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9259A" w14:textId="77777777" w:rsidR="009635FE" w:rsidRPr="009635FE" w:rsidRDefault="009635FE" w:rsidP="009635FE">
      <w:pPr>
        <w:pStyle w:val="ListParagraph"/>
        <w:ind w:left="0"/>
        <w:jc w:val="both"/>
        <w:rPr>
          <w:rFonts w:ascii="Times New Roman" w:hAnsi="Times New Roman"/>
        </w:rPr>
      </w:pPr>
      <w:bookmarkStart w:id="0" w:name="_Toc143446312"/>
      <w:bookmarkStart w:id="1" w:name="_Toc143446344"/>
      <w:bookmarkStart w:id="2" w:name="_Toc143447272"/>
      <w:bookmarkStart w:id="3" w:name="_Toc143430435"/>
      <w:r w:rsidRPr="00812B71">
        <w:rPr>
          <w:noProof/>
          <w:lang w:eastAsia="en-GB"/>
        </w:rPr>
        <w:drawing>
          <wp:inline distT="0" distB="0" distL="0" distR="0" wp14:anchorId="3C636DF5" wp14:editId="4D7E2B7E">
            <wp:extent cx="2157211" cy="863432"/>
            <wp:effectExtent l="0" t="0" r="0" b="0"/>
            <wp:docPr id="549524858" name="Picture 54952485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53E463BB" w14:textId="77777777" w:rsidR="009635FE" w:rsidRPr="009635FE" w:rsidRDefault="009635FE" w:rsidP="009635FE">
      <w:pPr>
        <w:pStyle w:val="ListParagraph"/>
        <w:jc w:val="both"/>
        <w:rPr>
          <w:rFonts w:ascii="Times New Roman" w:hAnsi="Times New Roman"/>
        </w:rPr>
      </w:pPr>
    </w:p>
    <w:p w14:paraId="7BD2CE27" w14:textId="77777777" w:rsidR="009635FE" w:rsidRPr="009635FE" w:rsidRDefault="009635FE" w:rsidP="009635FE">
      <w:pPr>
        <w:pStyle w:val="ListParagraph"/>
        <w:jc w:val="both"/>
        <w:rPr>
          <w:rFonts w:ascii="Times New Roman" w:hAnsi="Times New Roman"/>
          <w:szCs w:val="24"/>
        </w:rPr>
      </w:pPr>
    </w:p>
    <w:p w14:paraId="490D5483" w14:textId="77777777" w:rsidR="00EA30E0" w:rsidRDefault="00EA30E0" w:rsidP="009635FE">
      <w:pPr>
        <w:pStyle w:val="ListParagraph"/>
        <w:ind w:left="0"/>
        <w:jc w:val="both"/>
        <w:rPr>
          <w:rFonts w:ascii="Times New Roman" w:hAnsi="Times New Roman"/>
          <w:sz w:val="32"/>
          <w:szCs w:val="32"/>
        </w:rPr>
      </w:pPr>
    </w:p>
    <w:p w14:paraId="613BAA79" w14:textId="2E63E322" w:rsidR="009635FE" w:rsidRPr="0014568A" w:rsidRDefault="009635FE" w:rsidP="009635FE">
      <w:pPr>
        <w:pStyle w:val="ListParagraph"/>
        <w:ind w:left="0"/>
        <w:jc w:val="both"/>
        <w:rPr>
          <w:rFonts w:ascii="Times New Roman" w:hAnsi="Times New Roman"/>
          <w:sz w:val="44"/>
          <w:szCs w:val="44"/>
        </w:rPr>
      </w:pPr>
      <w:r w:rsidRPr="0014568A">
        <w:rPr>
          <w:rFonts w:ascii="Times New Roman" w:hAnsi="Times New Roman"/>
          <w:sz w:val="44"/>
          <w:szCs w:val="44"/>
        </w:rPr>
        <w:t>Banking Financial Management and Financial Market (LCMB7012)</w:t>
      </w:r>
    </w:p>
    <w:p w14:paraId="4907CAFC" w14:textId="77777777" w:rsidR="009635FE" w:rsidRPr="009635FE" w:rsidRDefault="009635FE" w:rsidP="009635FE">
      <w:pPr>
        <w:pStyle w:val="ListParagraph"/>
        <w:jc w:val="both"/>
        <w:rPr>
          <w:rFonts w:ascii="Times New Roman" w:hAnsi="Times New Roman"/>
          <w:szCs w:val="24"/>
        </w:rPr>
      </w:pPr>
    </w:p>
    <w:p w14:paraId="05028F91" w14:textId="77777777" w:rsidR="009635FE" w:rsidRDefault="009635FE" w:rsidP="009635FE">
      <w:pPr>
        <w:pStyle w:val="ListParagraph"/>
        <w:ind w:left="0"/>
        <w:jc w:val="both"/>
        <w:rPr>
          <w:rFonts w:ascii="Times New Roman" w:hAnsi="Times New Roman"/>
          <w:sz w:val="32"/>
          <w:szCs w:val="32"/>
        </w:rPr>
      </w:pPr>
    </w:p>
    <w:p w14:paraId="14FCB82C" w14:textId="77777777" w:rsidR="009635FE" w:rsidRDefault="009635FE" w:rsidP="009635FE">
      <w:pPr>
        <w:pStyle w:val="ListParagraph"/>
        <w:ind w:left="0"/>
        <w:jc w:val="both"/>
        <w:rPr>
          <w:rFonts w:ascii="Times New Roman" w:hAnsi="Times New Roman"/>
          <w:sz w:val="32"/>
          <w:szCs w:val="32"/>
        </w:rPr>
      </w:pPr>
    </w:p>
    <w:p w14:paraId="4B02F605" w14:textId="7DAF75E6" w:rsidR="009635FE" w:rsidRPr="0014568A" w:rsidRDefault="009635FE" w:rsidP="009635FE">
      <w:pPr>
        <w:pStyle w:val="ListParagraph"/>
        <w:ind w:left="0"/>
        <w:jc w:val="both"/>
        <w:rPr>
          <w:rFonts w:ascii="Times New Roman" w:hAnsi="Times New Roman"/>
          <w:sz w:val="40"/>
          <w:szCs w:val="40"/>
        </w:rPr>
      </w:pPr>
      <w:r w:rsidRPr="0014568A">
        <w:rPr>
          <w:rFonts w:ascii="Times New Roman" w:hAnsi="Times New Roman"/>
          <w:sz w:val="40"/>
          <w:szCs w:val="40"/>
        </w:rPr>
        <w:t>2008 Financial Crisis and its impacts</w:t>
      </w:r>
      <w:r w:rsidR="00221620">
        <w:rPr>
          <w:rFonts w:ascii="Times New Roman" w:hAnsi="Times New Roman"/>
          <w:sz w:val="40"/>
          <w:szCs w:val="40"/>
        </w:rPr>
        <w:t xml:space="preserve"> analysis on J</w:t>
      </w:r>
      <w:r w:rsidR="00546B23">
        <w:rPr>
          <w:rFonts w:ascii="Times New Roman" w:hAnsi="Times New Roman"/>
          <w:sz w:val="40"/>
          <w:szCs w:val="40"/>
        </w:rPr>
        <w:t xml:space="preserve">P Morgan Chase &amp; </w:t>
      </w:r>
      <w:r w:rsidR="00AE2359">
        <w:rPr>
          <w:rFonts w:ascii="Times New Roman" w:hAnsi="Times New Roman"/>
          <w:sz w:val="40"/>
          <w:szCs w:val="40"/>
        </w:rPr>
        <w:t>Co.</w:t>
      </w:r>
    </w:p>
    <w:p w14:paraId="4BA4FACD" w14:textId="77777777" w:rsidR="009635FE" w:rsidRPr="009635FE" w:rsidRDefault="009635FE" w:rsidP="009635FE">
      <w:pPr>
        <w:pStyle w:val="ListParagraph"/>
        <w:rPr>
          <w:rFonts w:ascii="Times New Roman" w:hAnsi="Times New Roman"/>
          <w:sz w:val="40"/>
          <w:szCs w:val="40"/>
        </w:rPr>
      </w:pPr>
    </w:p>
    <w:p w14:paraId="2B176731" w14:textId="77777777" w:rsidR="009635FE" w:rsidRPr="00F52D19" w:rsidRDefault="009635FE" w:rsidP="00F52D19">
      <w:pPr>
        <w:jc w:val="both"/>
        <w:rPr>
          <w:rFonts w:ascii="Times New Roman" w:hAnsi="Times New Roman"/>
          <w:szCs w:val="24"/>
        </w:rPr>
      </w:pPr>
    </w:p>
    <w:p w14:paraId="3BDE7A66" w14:textId="77777777" w:rsidR="009635FE" w:rsidRPr="009635FE" w:rsidRDefault="009635FE" w:rsidP="009635FE">
      <w:pPr>
        <w:pStyle w:val="ListParagraph"/>
        <w:jc w:val="both"/>
        <w:rPr>
          <w:rFonts w:ascii="Times New Roman" w:hAnsi="Times New Roman"/>
          <w:szCs w:val="24"/>
        </w:rPr>
      </w:pPr>
    </w:p>
    <w:p w14:paraId="610A6C5A" w14:textId="77777777" w:rsidR="009635FE" w:rsidRPr="009635FE" w:rsidRDefault="009635FE" w:rsidP="009635FE">
      <w:pPr>
        <w:pStyle w:val="ListParagraph"/>
        <w:jc w:val="both"/>
        <w:rPr>
          <w:rFonts w:ascii="Times New Roman" w:hAnsi="Times New Roman"/>
          <w:szCs w:val="24"/>
        </w:rPr>
      </w:pPr>
    </w:p>
    <w:p w14:paraId="67EB959B" w14:textId="77777777" w:rsidR="009635FE" w:rsidRPr="009635FE" w:rsidRDefault="009635FE" w:rsidP="009635FE">
      <w:pPr>
        <w:pStyle w:val="ListParagraph"/>
        <w:jc w:val="both"/>
        <w:rPr>
          <w:rFonts w:ascii="Times New Roman" w:hAnsi="Times New Roman"/>
          <w:szCs w:val="24"/>
        </w:rPr>
      </w:pPr>
    </w:p>
    <w:p w14:paraId="53D73E23" w14:textId="77777777" w:rsidR="009635FE" w:rsidRPr="009635FE" w:rsidRDefault="009635FE" w:rsidP="009635FE">
      <w:pPr>
        <w:pStyle w:val="ListParagraph"/>
        <w:jc w:val="both"/>
        <w:rPr>
          <w:rFonts w:ascii="Times New Roman" w:hAnsi="Times New Roman"/>
          <w:szCs w:val="24"/>
        </w:rPr>
      </w:pPr>
    </w:p>
    <w:p w14:paraId="26BA9E31" w14:textId="77777777" w:rsidR="009635FE" w:rsidRDefault="009635FE" w:rsidP="009635FE">
      <w:pPr>
        <w:pStyle w:val="ListParagraph"/>
        <w:ind w:left="0"/>
        <w:jc w:val="both"/>
        <w:rPr>
          <w:rFonts w:ascii="Times New Roman" w:hAnsi="Times New Roman"/>
          <w:sz w:val="28"/>
          <w:szCs w:val="28"/>
        </w:rPr>
      </w:pPr>
    </w:p>
    <w:p w14:paraId="018B84A7" w14:textId="77777777" w:rsidR="009635FE" w:rsidRDefault="009635FE" w:rsidP="009635FE">
      <w:pPr>
        <w:pStyle w:val="ListParagraph"/>
        <w:ind w:left="0"/>
        <w:jc w:val="both"/>
        <w:rPr>
          <w:rFonts w:ascii="Times New Roman" w:hAnsi="Times New Roman"/>
          <w:sz w:val="28"/>
          <w:szCs w:val="28"/>
        </w:rPr>
      </w:pPr>
    </w:p>
    <w:p w14:paraId="4250AAE9" w14:textId="77777777" w:rsidR="009635FE" w:rsidRDefault="009635FE" w:rsidP="009635FE">
      <w:pPr>
        <w:pStyle w:val="ListParagraph"/>
        <w:ind w:left="0"/>
        <w:jc w:val="both"/>
        <w:rPr>
          <w:rFonts w:ascii="Times New Roman" w:hAnsi="Times New Roman"/>
          <w:sz w:val="28"/>
          <w:szCs w:val="28"/>
        </w:rPr>
      </w:pPr>
    </w:p>
    <w:p w14:paraId="07B6B13B" w14:textId="77777777" w:rsidR="009635FE" w:rsidRDefault="009635FE" w:rsidP="009635FE">
      <w:pPr>
        <w:pStyle w:val="ListParagraph"/>
        <w:ind w:left="0"/>
        <w:jc w:val="both"/>
        <w:rPr>
          <w:rFonts w:ascii="Times New Roman" w:hAnsi="Times New Roman"/>
          <w:sz w:val="28"/>
          <w:szCs w:val="28"/>
        </w:rPr>
      </w:pPr>
    </w:p>
    <w:p w14:paraId="231E3180" w14:textId="77777777" w:rsidR="009635FE" w:rsidRDefault="009635FE" w:rsidP="009635FE">
      <w:pPr>
        <w:pStyle w:val="ListParagraph"/>
        <w:ind w:left="0"/>
        <w:jc w:val="both"/>
        <w:rPr>
          <w:rFonts w:ascii="Times New Roman" w:hAnsi="Times New Roman"/>
          <w:sz w:val="28"/>
          <w:szCs w:val="28"/>
        </w:rPr>
      </w:pPr>
    </w:p>
    <w:p w14:paraId="1DF19447" w14:textId="77777777" w:rsidR="009635FE" w:rsidRDefault="009635FE" w:rsidP="009635FE">
      <w:pPr>
        <w:pStyle w:val="ListParagraph"/>
        <w:ind w:left="0"/>
        <w:jc w:val="both"/>
        <w:rPr>
          <w:rFonts w:ascii="Times New Roman" w:hAnsi="Times New Roman"/>
          <w:sz w:val="28"/>
          <w:szCs w:val="28"/>
        </w:rPr>
      </w:pPr>
    </w:p>
    <w:p w14:paraId="6ED34E4D" w14:textId="77777777" w:rsidR="009635FE" w:rsidRDefault="009635FE" w:rsidP="009635FE">
      <w:pPr>
        <w:pStyle w:val="ListParagraph"/>
        <w:ind w:left="0"/>
        <w:jc w:val="both"/>
        <w:rPr>
          <w:rFonts w:ascii="Times New Roman" w:hAnsi="Times New Roman"/>
          <w:sz w:val="28"/>
          <w:szCs w:val="28"/>
        </w:rPr>
      </w:pPr>
    </w:p>
    <w:p w14:paraId="4C45E38C" w14:textId="77777777" w:rsidR="009635FE" w:rsidRDefault="009635FE" w:rsidP="009635FE">
      <w:pPr>
        <w:pStyle w:val="ListParagraph"/>
        <w:ind w:left="0"/>
        <w:jc w:val="both"/>
        <w:rPr>
          <w:rFonts w:ascii="Times New Roman" w:hAnsi="Times New Roman"/>
          <w:sz w:val="28"/>
          <w:szCs w:val="28"/>
        </w:rPr>
      </w:pPr>
    </w:p>
    <w:p w14:paraId="559375DC" w14:textId="77777777" w:rsidR="009635FE" w:rsidRDefault="009635FE" w:rsidP="009635FE">
      <w:pPr>
        <w:pStyle w:val="ListParagraph"/>
        <w:ind w:left="0"/>
        <w:jc w:val="both"/>
        <w:rPr>
          <w:rFonts w:ascii="Times New Roman" w:hAnsi="Times New Roman"/>
          <w:sz w:val="28"/>
          <w:szCs w:val="28"/>
        </w:rPr>
      </w:pPr>
    </w:p>
    <w:p w14:paraId="6CE009F2" w14:textId="77777777" w:rsidR="009635FE" w:rsidRDefault="009635FE" w:rsidP="009635FE">
      <w:pPr>
        <w:pStyle w:val="ListParagraph"/>
        <w:ind w:left="0"/>
        <w:jc w:val="both"/>
        <w:rPr>
          <w:rFonts w:ascii="Times New Roman" w:hAnsi="Times New Roman"/>
          <w:sz w:val="28"/>
          <w:szCs w:val="28"/>
        </w:rPr>
      </w:pPr>
    </w:p>
    <w:p w14:paraId="0377B4F6" w14:textId="69EA73E9" w:rsidR="009635FE" w:rsidRPr="009635FE" w:rsidRDefault="009635FE" w:rsidP="009635FE">
      <w:pPr>
        <w:pStyle w:val="ListParagraph"/>
        <w:ind w:left="0"/>
        <w:jc w:val="both"/>
        <w:rPr>
          <w:rFonts w:ascii="Times New Roman" w:hAnsi="Times New Roman"/>
          <w:sz w:val="28"/>
          <w:szCs w:val="28"/>
        </w:rPr>
      </w:pPr>
      <w:r w:rsidRPr="009635FE">
        <w:rPr>
          <w:rFonts w:ascii="Times New Roman" w:hAnsi="Times New Roman"/>
          <w:sz w:val="28"/>
          <w:szCs w:val="28"/>
        </w:rPr>
        <w:t>Student name: Deena Palanchoke</w:t>
      </w:r>
    </w:p>
    <w:p w14:paraId="2265F897" w14:textId="77777777" w:rsidR="009635FE" w:rsidRPr="009635FE" w:rsidRDefault="009635FE" w:rsidP="009635FE">
      <w:pPr>
        <w:pStyle w:val="ListParagraph"/>
        <w:ind w:left="0"/>
        <w:jc w:val="both"/>
        <w:rPr>
          <w:rFonts w:ascii="Times New Roman" w:hAnsi="Times New Roman"/>
          <w:sz w:val="28"/>
          <w:szCs w:val="28"/>
        </w:rPr>
      </w:pPr>
      <w:r w:rsidRPr="009635FE">
        <w:rPr>
          <w:rFonts w:ascii="Times New Roman" w:hAnsi="Times New Roman"/>
          <w:sz w:val="28"/>
          <w:szCs w:val="28"/>
        </w:rPr>
        <w:t>Student Number: 2221001</w:t>
      </w:r>
    </w:p>
    <w:p w14:paraId="3CFE8DAD" w14:textId="77777777" w:rsidR="009635FE" w:rsidRPr="009635FE" w:rsidRDefault="009635FE" w:rsidP="009635FE">
      <w:pPr>
        <w:pStyle w:val="ListParagraph"/>
        <w:ind w:left="0"/>
        <w:jc w:val="both"/>
        <w:rPr>
          <w:rFonts w:ascii="Times New Roman" w:hAnsi="Times New Roman"/>
          <w:sz w:val="28"/>
          <w:szCs w:val="28"/>
        </w:rPr>
      </w:pPr>
      <w:r w:rsidRPr="009635FE">
        <w:rPr>
          <w:rFonts w:ascii="Times New Roman" w:hAnsi="Times New Roman"/>
          <w:sz w:val="28"/>
          <w:szCs w:val="28"/>
        </w:rPr>
        <w:t>Lecturer: David Coker</w:t>
      </w:r>
    </w:p>
    <w:p w14:paraId="0C8DF101" w14:textId="0EB9CF69" w:rsidR="009635FE" w:rsidRDefault="009635FE" w:rsidP="009635FE">
      <w:pPr>
        <w:pStyle w:val="ListParagraph"/>
        <w:ind w:left="0"/>
        <w:jc w:val="both"/>
        <w:rPr>
          <w:rFonts w:ascii="Times New Roman" w:hAnsi="Times New Roman"/>
          <w:sz w:val="28"/>
          <w:szCs w:val="28"/>
        </w:rPr>
      </w:pPr>
      <w:r w:rsidRPr="009635FE">
        <w:rPr>
          <w:rFonts w:ascii="Times New Roman" w:hAnsi="Times New Roman"/>
          <w:sz w:val="28"/>
          <w:szCs w:val="28"/>
        </w:rPr>
        <w:t>Submission Date: 21</w:t>
      </w:r>
      <w:r w:rsidRPr="009635FE">
        <w:rPr>
          <w:rFonts w:ascii="Times New Roman" w:hAnsi="Times New Roman"/>
          <w:sz w:val="28"/>
          <w:szCs w:val="28"/>
          <w:vertAlign w:val="superscript"/>
        </w:rPr>
        <w:t>st</w:t>
      </w:r>
      <w:r w:rsidRPr="009635FE">
        <w:rPr>
          <w:rFonts w:ascii="Times New Roman" w:hAnsi="Times New Roman"/>
          <w:sz w:val="28"/>
          <w:szCs w:val="28"/>
        </w:rPr>
        <w:t xml:space="preserve"> August 2023</w:t>
      </w:r>
    </w:p>
    <w:p w14:paraId="7A88ECF2" w14:textId="2FE612E3" w:rsidR="00154815" w:rsidRDefault="00154815">
      <w:pPr>
        <w:rPr>
          <w:rFonts w:ascii="Times New Roman" w:hAnsi="Times New Roman"/>
          <w:sz w:val="28"/>
          <w:szCs w:val="28"/>
        </w:rPr>
      </w:pPr>
      <w:r>
        <w:rPr>
          <w:rFonts w:ascii="Times New Roman" w:hAnsi="Times New Roman"/>
          <w:sz w:val="28"/>
          <w:szCs w:val="28"/>
        </w:rPr>
        <w:br w:type="page"/>
      </w:r>
    </w:p>
    <w:p w14:paraId="286F5127" w14:textId="77777777" w:rsidR="009635FE" w:rsidRDefault="009635FE" w:rsidP="009635FE">
      <w:pPr>
        <w:pStyle w:val="ListParagraph"/>
        <w:ind w:left="0"/>
        <w:jc w:val="both"/>
        <w:rPr>
          <w:rFonts w:ascii="Times New Roman" w:hAnsi="Times New Roman"/>
          <w:sz w:val="28"/>
          <w:szCs w:val="28"/>
        </w:rPr>
      </w:pPr>
    </w:p>
    <w:sdt>
      <w:sdtPr>
        <w:rPr>
          <w:rFonts w:ascii="Times New Roman" w:hAnsi="Times New Roman"/>
          <w:b/>
          <w:bCs/>
          <w:sz w:val="24"/>
          <w:szCs w:val="24"/>
        </w:rPr>
        <w:id w:val="-1458559535"/>
        <w:docPartObj>
          <w:docPartGallery w:val="Table of Contents"/>
          <w:docPartUnique/>
        </w:docPartObj>
      </w:sdtPr>
      <w:sdtEndPr>
        <w:rPr>
          <w:noProof/>
        </w:rPr>
      </w:sdtEndPr>
      <w:sdtContent>
        <w:p w14:paraId="46434641" w14:textId="77777777" w:rsidR="009635FE" w:rsidRPr="00DC0552" w:rsidRDefault="009635FE" w:rsidP="009635FE">
          <w:pPr>
            <w:jc w:val="center"/>
            <w:rPr>
              <w:rFonts w:ascii="Times New Roman" w:hAnsi="Times New Roman"/>
              <w:b/>
              <w:bCs/>
              <w:sz w:val="32"/>
              <w:szCs w:val="32"/>
            </w:rPr>
          </w:pPr>
          <w:r w:rsidRPr="00DC0552">
            <w:rPr>
              <w:rFonts w:ascii="Times New Roman" w:hAnsi="Times New Roman"/>
              <w:b/>
              <w:bCs/>
              <w:sz w:val="32"/>
              <w:szCs w:val="32"/>
            </w:rPr>
            <w:t>Contents</w:t>
          </w:r>
        </w:p>
        <w:p w14:paraId="1DEB0169" w14:textId="77777777" w:rsidR="009635FE" w:rsidRPr="00DC0552" w:rsidRDefault="009635FE" w:rsidP="009635FE">
          <w:pPr>
            <w:pStyle w:val="TOC1"/>
            <w:tabs>
              <w:tab w:val="left" w:pos="440"/>
              <w:tab w:val="right" w:leader="dot" w:pos="9607"/>
            </w:tabs>
            <w:rPr>
              <w:rFonts w:ascii="Times New Roman" w:hAnsi="Times New Roman"/>
              <w:b/>
              <w:bCs/>
              <w:noProof/>
              <w:kern w:val="2"/>
              <w:lang w:val="en-GB" w:eastAsia="en-GB"/>
              <w14:ligatures w14:val="standardContextual"/>
            </w:rPr>
          </w:pPr>
          <w:r w:rsidRPr="00DC0552">
            <w:rPr>
              <w:rFonts w:ascii="Times New Roman" w:hAnsi="Times New Roman"/>
              <w:b/>
              <w:bCs/>
              <w:sz w:val="24"/>
              <w:szCs w:val="24"/>
            </w:rPr>
            <w:fldChar w:fldCharType="begin"/>
          </w:r>
          <w:r w:rsidRPr="00DC0552">
            <w:rPr>
              <w:rFonts w:ascii="Times New Roman" w:hAnsi="Times New Roman"/>
              <w:b/>
              <w:bCs/>
              <w:sz w:val="24"/>
              <w:szCs w:val="24"/>
            </w:rPr>
            <w:instrText xml:space="preserve"> TOC \o "1-3" \h \z \u </w:instrText>
          </w:r>
          <w:r w:rsidRPr="00DC0552">
            <w:rPr>
              <w:rFonts w:ascii="Times New Roman" w:hAnsi="Times New Roman"/>
              <w:b/>
              <w:bCs/>
              <w:sz w:val="24"/>
              <w:szCs w:val="24"/>
            </w:rPr>
            <w:fldChar w:fldCharType="separate"/>
          </w:r>
          <w:hyperlink w:anchor="_Toc143447272" w:history="1">
            <w:r w:rsidRPr="00DC0552">
              <w:rPr>
                <w:rStyle w:val="Hyperlink"/>
                <w:rFonts w:ascii="Times New Roman" w:hAnsi="Times New Roman"/>
                <w:b/>
                <w:bCs/>
                <w:noProof/>
              </w:rPr>
              <w:t>1.</w:t>
            </w:r>
            <w:r w:rsidRPr="00DC0552">
              <w:rPr>
                <w:rFonts w:ascii="Times New Roman" w:hAnsi="Times New Roman"/>
                <w:b/>
                <w:bCs/>
                <w:noProof/>
                <w:kern w:val="2"/>
                <w:lang w:val="en-GB" w:eastAsia="en-GB"/>
                <w14:ligatures w14:val="standardContextual"/>
              </w:rPr>
              <w:tab/>
            </w:r>
            <w:r w:rsidRPr="00DC0552">
              <w:rPr>
                <w:rStyle w:val="Hyperlink"/>
                <w:rFonts w:ascii="Times New Roman" w:hAnsi="Times New Roman"/>
                <w:b/>
                <w:bCs/>
                <w:noProof/>
              </w:rPr>
              <w:t>Introduction</w:t>
            </w:r>
            <w:r w:rsidRPr="00DC0552">
              <w:rPr>
                <w:rFonts w:ascii="Times New Roman" w:hAnsi="Times New Roman"/>
                <w:b/>
                <w:bCs/>
                <w:noProof/>
                <w:webHidden/>
              </w:rPr>
              <w:tab/>
            </w:r>
            <w:r w:rsidRPr="00DC0552">
              <w:rPr>
                <w:rFonts w:ascii="Times New Roman" w:hAnsi="Times New Roman"/>
                <w:b/>
                <w:bCs/>
                <w:noProof/>
                <w:webHidden/>
              </w:rPr>
              <w:fldChar w:fldCharType="begin"/>
            </w:r>
            <w:r w:rsidRPr="00DC0552">
              <w:rPr>
                <w:rFonts w:ascii="Times New Roman" w:hAnsi="Times New Roman"/>
                <w:b/>
                <w:bCs/>
                <w:noProof/>
                <w:webHidden/>
              </w:rPr>
              <w:instrText xml:space="preserve"> PAGEREF _Toc143447272 \h </w:instrText>
            </w:r>
            <w:r w:rsidRPr="00DC0552">
              <w:rPr>
                <w:rFonts w:ascii="Times New Roman" w:hAnsi="Times New Roman"/>
                <w:b/>
                <w:bCs/>
                <w:noProof/>
                <w:webHidden/>
              </w:rPr>
            </w:r>
            <w:r w:rsidRPr="00DC0552">
              <w:rPr>
                <w:rFonts w:ascii="Times New Roman" w:hAnsi="Times New Roman"/>
                <w:b/>
                <w:bCs/>
                <w:noProof/>
                <w:webHidden/>
              </w:rPr>
              <w:fldChar w:fldCharType="separate"/>
            </w:r>
            <w:r w:rsidRPr="00DC0552">
              <w:rPr>
                <w:rFonts w:ascii="Times New Roman" w:hAnsi="Times New Roman"/>
                <w:b/>
                <w:bCs/>
                <w:noProof/>
                <w:webHidden/>
              </w:rPr>
              <w:t>2</w:t>
            </w:r>
            <w:r w:rsidRPr="00DC0552">
              <w:rPr>
                <w:rFonts w:ascii="Times New Roman" w:hAnsi="Times New Roman"/>
                <w:b/>
                <w:bCs/>
                <w:noProof/>
                <w:webHidden/>
              </w:rPr>
              <w:fldChar w:fldCharType="end"/>
            </w:r>
          </w:hyperlink>
        </w:p>
        <w:p w14:paraId="5BA1CBCB" w14:textId="77777777" w:rsidR="009635FE" w:rsidRPr="00DC0552" w:rsidRDefault="00C9016C" w:rsidP="009635FE">
          <w:pPr>
            <w:pStyle w:val="TOC1"/>
            <w:tabs>
              <w:tab w:val="left" w:pos="440"/>
              <w:tab w:val="right" w:leader="dot" w:pos="9607"/>
            </w:tabs>
            <w:rPr>
              <w:rFonts w:ascii="Times New Roman" w:hAnsi="Times New Roman"/>
              <w:b/>
              <w:bCs/>
              <w:noProof/>
              <w:kern w:val="2"/>
              <w:lang w:val="en-GB" w:eastAsia="en-GB"/>
              <w14:ligatures w14:val="standardContextual"/>
            </w:rPr>
          </w:pPr>
          <w:hyperlink w:anchor="_Toc143447273" w:history="1">
            <w:r w:rsidR="009635FE" w:rsidRPr="00DC0552">
              <w:rPr>
                <w:rStyle w:val="Hyperlink"/>
                <w:rFonts w:ascii="Times New Roman" w:hAnsi="Times New Roman"/>
                <w:b/>
                <w:bCs/>
                <w:noProof/>
              </w:rPr>
              <w:t>2.</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rPr>
              <w:t>Identification of key laws, regulations and contracts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_Toc143447273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2</w:t>
            </w:r>
            <w:r w:rsidR="009635FE" w:rsidRPr="00DC0552">
              <w:rPr>
                <w:rFonts w:ascii="Times New Roman" w:hAnsi="Times New Roman"/>
                <w:b/>
                <w:bCs/>
                <w:noProof/>
                <w:webHidden/>
              </w:rPr>
              <w:fldChar w:fldCharType="end"/>
            </w:r>
          </w:hyperlink>
        </w:p>
        <w:p w14:paraId="691422DB" w14:textId="691E4261" w:rsidR="009635FE" w:rsidRPr="00DC0552" w:rsidRDefault="00C9016C" w:rsidP="001D1C6C">
          <w:pPr>
            <w:pStyle w:val="TOC2"/>
            <w:rPr>
              <w:b/>
              <w:bCs/>
              <w:noProof/>
              <w:kern w:val="2"/>
              <w:lang w:val="en-GB" w:eastAsia="en-GB"/>
              <w14:ligatures w14:val="standardContextual"/>
            </w:rPr>
          </w:pPr>
          <w:hyperlink w:anchor="_Toc143447274" w:history="1">
            <w:r w:rsidR="009635FE" w:rsidRPr="00DC0552">
              <w:rPr>
                <w:rStyle w:val="Hyperlink"/>
                <w:rFonts w:ascii="Times New Roman" w:hAnsi="Times New Roman"/>
                <w:b/>
                <w:bCs/>
                <w:noProof/>
              </w:rPr>
              <w:t>2.1</w:t>
            </w:r>
            <w:r w:rsidR="009635FE" w:rsidRPr="00DC0552">
              <w:rPr>
                <w:b/>
                <w:bCs/>
                <w:noProof/>
                <w:kern w:val="2"/>
                <w:lang w:val="en-GB" w:eastAsia="en-GB"/>
                <w14:ligatures w14:val="standardContextual"/>
              </w:rPr>
              <w:tab/>
            </w:r>
            <w:r w:rsidR="009635FE" w:rsidRPr="00DC0552">
              <w:rPr>
                <w:rStyle w:val="Hyperlink"/>
                <w:rFonts w:ascii="Times New Roman" w:hAnsi="Times New Roman"/>
                <w:b/>
                <w:bCs/>
                <w:noProof/>
              </w:rPr>
              <w:t>Developments:</w:t>
            </w:r>
            <w:r w:rsidR="009635FE" w:rsidRPr="00DC0552">
              <w:rPr>
                <w:b/>
                <w:bCs/>
                <w:noProof/>
                <w:webHidden/>
              </w:rPr>
              <w:tab/>
            </w:r>
            <w:r w:rsidR="00EB5F8F" w:rsidRPr="00DC0552">
              <w:rPr>
                <w:b/>
                <w:bCs/>
                <w:noProof/>
                <w:webHidden/>
              </w:rPr>
              <w:t>…………………………………………………………………………………...</w:t>
            </w:r>
            <w:r w:rsidR="009635FE" w:rsidRPr="00DC0552">
              <w:rPr>
                <w:b/>
                <w:bCs/>
                <w:noProof/>
                <w:webHidden/>
              </w:rPr>
              <w:fldChar w:fldCharType="begin"/>
            </w:r>
            <w:r w:rsidR="009635FE" w:rsidRPr="00DC0552">
              <w:rPr>
                <w:b/>
                <w:bCs/>
                <w:noProof/>
                <w:webHidden/>
              </w:rPr>
              <w:instrText xml:space="preserve"> PAGEREF _Toc143447274 \h </w:instrText>
            </w:r>
            <w:r w:rsidR="009635FE" w:rsidRPr="00DC0552">
              <w:rPr>
                <w:b/>
                <w:bCs/>
                <w:noProof/>
                <w:webHidden/>
              </w:rPr>
            </w:r>
            <w:r w:rsidR="009635FE" w:rsidRPr="00DC0552">
              <w:rPr>
                <w:b/>
                <w:bCs/>
                <w:noProof/>
                <w:webHidden/>
              </w:rPr>
              <w:fldChar w:fldCharType="separate"/>
            </w:r>
            <w:r w:rsidR="009635FE" w:rsidRPr="00DC0552">
              <w:rPr>
                <w:b/>
                <w:bCs/>
                <w:noProof/>
                <w:webHidden/>
              </w:rPr>
              <w:t>2</w:t>
            </w:r>
            <w:r w:rsidR="009635FE" w:rsidRPr="00DC0552">
              <w:rPr>
                <w:b/>
                <w:bCs/>
                <w:noProof/>
                <w:webHidden/>
              </w:rPr>
              <w:fldChar w:fldCharType="end"/>
            </w:r>
          </w:hyperlink>
        </w:p>
        <w:p w14:paraId="448A0BEB" w14:textId="77777777" w:rsidR="009635FE" w:rsidRPr="00DC0552" w:rsidRDefault="00C9016C" w:rsidP="001D1C6C">
          <w:pPr>
            <w:pStyle w:val="TOC2"/>
            <w:rPr>
              <w:b/>
              <w:bCs/>
              <w:noProof/>
              <w:kern w:val="2"/>
              <w:lang w:val="en-GB" w:eastAsia="en-GB"/>
              <w14:ligatures w14:val="standardContextual"/>
            </w:rPr>
          </w:pPr>
          <w:hyperlink w:anchor="_Toc143447275" w:history="1">
            <w:r w:rsidR="009635FE" w:rsidRPr="00DC0552">
              <w:rPr>
                <w:rStyle w:val="Hyperlink"/>
                <w:rFonts w:ascii="Times New Roman" w:hAnsi="Times New Roman"/>
                <w:b/>
                <w:bCs/>
                <w:noProof/>
              </w:rPr>
              <w:t>2.2</w:t>
            </w:r>
            <w:r w:rsidR="009635FE" w:rsidRPr="00DC0552">
              <w:rPr>
                <w:b/>
                <w:bCs/>
                <w:noProof/>
                <w:kern w:val="2"/>
                <w:lang w:val="en-GB" w:eastAsia="en-GB"/>
                <w14:ligatures w14:val="standardContextual"/>
              </w:rPr>
              <w:tab/>
            </w:r>
            <w:r w:rsidR="009635FE" w:rsidRPr="00DC0552">
              <w:rPr>
                <w:rStyle w:val="Hyperlink"/>
                <w:rFonts w:ascii="Times New Roman" w:hAnsi="Times New Roman"/>
                <w:b/>
                <w:bCs/>
                <w:noProof/>
              </w:rPr>
              <w:t>Emergency Responses to End the Panic</w:t>
            </w:r>
            <w:r w:rsidR="009635FE" w:rsidRPr="00DC0552">
              <w:rPr>
                <w:b/>
                <w:bCs/>
                <w:noProof/>
                <w:webHidden/>
              </w:rPr>
              <w:tab/>
            </w:r>
            <w:r w:rsidR="009635FE" w:rsidRPr="00DC0552">
              <w:rPr>
                <w:b/>
                <w:bCs/>
                <w:noProof/>
                <w:webHidden/>
              </w:rPr>
              <w:fldChar w:fldCharType="begin"/>
            </w:r>
            <w:r w:rsidR="009635FE" w:rsidRPr="00DC0552">
              <w:rPr>
                <w:b/>
                <w:bCs/>
                <w:noProof/>
                <w:webHidden/>
              </w:rPr>
              <w:instrText xml:space="preserve"> PAGEREF _Toc143447275 \h </w:instrText>
            </w:r>
            <w:r w:rsidR="009635FE" w:rsidRPr="00DC0552">
              <w:rPr>
                <w:b/>
                <w:bCs/>
                <w:noProof/>
                <w:webHidden/>
              </w:rPr>
            </w:r>
            <w:r w:rsidR="009635FE" w:rsidRPr="00DC0552">
              <w:rPr>
                <w:b/>
                <w:bCs/>
                <w:noProof/>
                <w:webHidden/>
              </w:rPr>
              <w:fldChar w:fldCharType="separate"/>
            </w:r>
            <w:r w:rsidR="009635FE" w:rsidRPr="00DC0552">
              <w:rPr>
                <w:b/>
                <w:bCs/>
                <w:noProof/>
                <w:webHidden/>
              </w:rPr>
              <w:t>3</w:t>
            </w:r>
            <w:r w:rsidR="009635FE" w:rsidRPr="00DC0552">
              <w:rPr>
                <w:b/>
                <w:bCs/>
                <w:noProof/>
                <w:webHidden/>
              </w:rPr>
              <w:fldChar w:fldCharType="end"/>
            </w:r>
          </w:hyperlink>
        </w:p>
        <w:p w14:paraId="7EF80079"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76" w:history="1">
            <w:r w:rsidR="009635FE" w:rsidRPr="00DC0552">
              <w:rPr>
                <w:rStyle w:val="Hyperlink"/>
                <w:rFonts w:ascii="Times New Roman" w:hAnsi="Times New Roman"/>
                <w:b/>
                <w:bCs/>
                <w:noProof/>
              </w:rPr>
              <w:t>2.2.1</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Troubled Asset Relief Program (TARP):</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_Toc143447276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3</w:t>
            </w:r>
            <w:r w:rsidR="009635FE" w:rsidRPr="00DC0552">
              <w:rPr>
                <w:rFonts w:ascii="Times New Roman" w:hAnsi="Times New Roman"/>
                <w:b/>
                <w:bCs/>
                <w:noProof/>
                <w:webHidden/>
              </w:rPr>
              <w:fldChar w:fldCharType="end"/>
            </w:r>
          </w:hyperlink>
        </w:p>
        <w:p w14:paraId="0B371473"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77" w:history="1">
            <w:r w:rsidR="009635FE" w:rsidRPr="00DC0552">
              <w:rPr>
                <w:rStyle w:val="Hyperlink"/>
                <w:rFonts w:ascii="Times New Roman" w:hAnsi="Times New Roman"/>
                <w:b/>
                <w:bCs/>
                <w:noProof/>
                <w:lang w:val="en"/>
              </w:rPr>
              <w:t>2.2.2</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Federal Reserve Act.</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_Toc143447277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3</w:t>
            </w:r>
            <w:r w:rsidR="009635FE" w:rsidRPr="00DC0552">
              <w:rPr>
                <w:rFonts w:ascii="Times New Roman" w:hAnsi="Times New Roman"/>
                <w:b/>
                <w:bCs/>
                <w:noProof/>
                <w:webHidden/>
              </w:rPr>
              <w:fldChar w:fldCharType="end"/>
            </w:r>
          </w:hyperlink>
        </w:p>
        <w:p w14:paraId="5B18483B"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78" w:history="1">
            <w:r w:rsidR="009635FE" w:rsidRPr="00DC0552">
              <w:rPr>
                <w:rStyle w:val="Hyperlink"/>
                <w:rFonts w:ascii="Times New Roman" w:hAnsi="Times New Roman"/>
                <w:b/>
                <w:bCs/>
                <w:noProof/>
                <w:lang w:val="en"/>
              </w:rPr>
              <w:t>2.2.3</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Federal Deposit Insurance Corporation (FDIC):</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_Toc143447278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5</w:t>
            </w:r>
            <w:r w:rsidR="009635FE" w:rsidRPr="00DC0552">
              <w:rPr>
                <w:rFonts w:ascii="Times New Roman" w:hAnsi="Times New Roman"/>
                <w:b/>
                <w:bCs/>
                <w:noProof/>
                <w:webHidden/>
              </w:rPr>
              <w:fldChar w:fldCharType="end"/>
            </w:r>
          </w:hyperlink>
        </w:p>
        <w:p w14:paraId="4D97F213"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79" w:history="1">
            <w:r w:rsidR="009635FE" w:rsidRPr="00DC0552">
              <w:rPr>
                <w:rStyle w:val="Hyperlink"/>
                <w:rFonts w:ascii="Times New Roman" w:hAnsi="Times New Roman"/>
                <w:b/>
                <w:bCs/>
                <w:noProof/>
                <w:lang w:val="en"/>
              </w:rPr>
              <w:t>2.2.4</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Housing and Economic Recovery Act of 2008 (HERA):</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_Toc143447279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5</w:t>
            </w:r>
            <w:r w:rsidR="009635FE" w:rsidRPr="00DC0552">
              <w:rPr>
                <w:rFonts w:ascii="Times New Roman" w:hAnsi="Times New Roman"/>
                <w:b/>
                <w:bCs/>
                <w:noProof/>
                <w:webHidden/>
              </w:rPr>
              <w:fldChar w:fldCharType="end"/>
            </w:r>
          </w:hyperlink>
        </w:p>
        <w:p w14:paraId="592E994B" w14:textId="77777777" w:rsidR="009635FE" w:rsidRPr="00DC0552" w:rsidRDefault="00C9016C" w:rsidP="009635FE">
          <w:pPr>
            <w:pStyle w:val="TOC1"/>
            <w:tabs>
              <w:tab w:val="left" w:pos="440"/>
              <w:tab w:val="right" w:leader="dot" w:pos="9607"/>
            </w:tabs>
            <w:rPr>
              <w:rFonts w:ascii="Times New Roman" w:hAnsi="Times New Roman"/>
              <w:b/>
              <w:bCs/>
              <w:noProof/>
              <w:kern w:val="2"/>
              <w:lang w:val="en-GB" w:eastAsia="en-GB"/>
              <w14:ligatures w14:val="standardContextual"/>
            </w:rPr>
          </w:pPr>
          <w:hyperlink w:anchor="_Toc143447280" w:history="1">
            <w:r w:rsidR="009635FE" w:rsidRPr="00DC0552">
              <w:rPr>
                <w:rStyle w:val="Hyperlink"/>
                <w:rFonts w:ascii="Times New Roman" w:hAnsi="Times New Roman"/>
                <w:b/>
                <w:bCs/>
                <w:noProof/>
              </w:rPr>
              <w:t>3.</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rPr>
              <w:t>Key laws, regulations and contracts by Global players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_Toc143447280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6</w:t>
            </w:r>
            <w:r w:rsidR="009635FE" w:rsidRPr="00DC0552">
              <w:rPr>
                <w:rFonts w:ascii="Times New Roman" w:hAnsi="Times New Roman"/>
                <w:b/>
                <w:bCs/>
                <w:noProof/>
                <w:webHidden/>
              </w:rPr>
              <w:fldChar w:fldCharType="end"/>
            </w:r>
          </w:hyperlink>
        </w:p>
        <w:p w14:paraId="6BBBBCA4" w14:textId="77777777" w:rsidR="009635FE" w:rsidRPr="00DC0552" w:rsidRDefault="00C9016C" w:rsidP="001D1C6C">
          <w:pPr>
            <w:pStyle w:val="TOC2"/>
            <w:rPr>
              <w:b/>
              <w:bCs/>
              <w:noProof/>
              <w:kern w:val="2"/>
              <w:lang w:val="en-GB" w:eastAsia="en-GB"/>
              <w14:ligatures w14:val="standardContextual"/>
            </w:rPr>
          </w:pPr>
          <w:hyperlink w:anchor="_Toc143447281" w:history="1">
            <w:r w:rsidR="009635FE" w:rsidRPr="00DC0552">
              <w:rPr>
                <w:rStyle w:val="Hyperlink"/>
                <w:rFonts w:ascii="Times New Roman" w:hAnsi="Times New Roman"/>
                <w:b/>
                <w:bCs/>
                <w:noProof/>
                <w:lang w:val="en"/>
              </w:rPr>
              <w:t>3.1</w:t>
            </w:r>
            <w:r w:rsidR="009635FE" w:rsidRPr="00DC0552">
              <w:rPr>
                <w:b/>
                <w:bCs/>
                <w:noProof/>
                <w:kern w:val="2"/>
                <w:lang w:val="en-GB" w:eastAsia="en-GB"/>
                <w14:ligatures w14:val="standardContextual"/>
              </w:rPr>
              <w:tab/>
            </w:r>
            <w:r w:rsidR="009635FE" w:rsidRPr="00DC0552">
              <w:rPr>
                <w:rStyle w:val="Hyperlink"/>
                <w:rFonts w:ascii="Times New Roman" w:hAnsi="Times New Roman"/>
                <w:b/>
                <w:bCs/>
                <w:noProof/>
                <w:lang w:val="en"/>
              </w:rPr>
              <w:t>International Regulatory And Legal Adjustments</w:t>
            </w:r>
            <w:r w:rsidR="009635FE" w:rsidRPr="00DC0552">
              <w:rPr>
                <w:b/>
                <w:bCs/>
                <w:noProof/>
                <w:webHidden/>
              </w:rPr>
              <w:tab/>
            </w:r>
            <w:r w:rsidR="009635FE" w:rsidRPr="00DC0552">
              <w:rPr>
                <w:b/>
                <w:bCs/>
                <w:noProof/>
                <w:webHidden/>
              </w:rPr>
              <w:fldChar w:fldCharType="begin"/>
            </w:r>
            <w:r w:rsidR="009635FE" w:rsidRPr="00DC0552">
              <w:rPr>
                <w:b/>
                <w:bCs/>
                <w:noProof/>
                <w:webHidden/>
              </w:rPr>
              <w:instrText xml:space="preserve"> PAGEREF _Toc143447281 \h </w:instrText>
            </w:r>
            <w:r w:rsidR="009635FE" w:rsidRPr="00DC0552">
              <w:rPr>
                <w:b/>
                <w:bCs/>
                <w:noProof/>
                <w:webHidden/>
              </w:rPr>
            </w:r>
            <w:r w:rsidR="009635FE" w:rsidRPr="00DC0552">
              <w:rPr>
                <w:b/>
                <w:bCs/>
                <w:noProof/>
                <w:webHidden/>
              </w:rPr>
              <w:fldChar w:fldCharType="separate"/>
            </w:r>
            <w:r w:rsidR="009635FE" w:rsidRPr="00DC0552">
              <w:rPr>
                <w:b/>
                <w:bCs/>
                <w:noProof/>
                <w:webHidden/>
              </w:rPr>
              <w:t>6</w:t>
            </w:r>
            <w:r w:rsidR="009635FE" w:rsidRPr="00DC0552">
              <w:rPr>
                <w:b/>
                <w:bCs/>
                <w:noProof/>
                <w:webHidden/>
              </w:rPr>
              <w:fldChar w:fldCharType="end"/>
            </w:r>
          </w:hyperlink>
        </w:p>
        <w:p w14:paraId="1C40DD16" w14:textId="77777777" w:rsidR="009635FE" w:rsidRPr="00DC0552" w:rsidRDefault="00C9016C" w:rsidP="001D1C6C">
          <w:pPr>
            <w:pStyle w:val="TOC2"/>
            <w:rPr>
              <w:b/>
              <w:bCs/>
              <w:noProof/>
              <w:kern w:val="2"/>
              <w:lang w:val="en-GB" w:eastAsia="en-GB"/>
              <w14:ligatures w14:val="standardContextual"/>
            </w:rPr>
          </w:pPr>
          <w:hyperlink w:anchor="_Toc143447282" w:history="1">
            <w:r w:rsidR="009635FE" w:rsidRPr="00DC0552">
              <w:rPr>
                <w:rStyle w:val="Hyperlink"/>
                <w:rFonts w:ascii="Times New Roman" w:hAnsi="Times New Roman"/>
                <w:b/>
                <w:bCs/>
                <w:noProof/>
                <w:lang w:val="en"/>
              </w:rPr>
              <w:t>The Dodd-Frank Wall Street Reform and Consumer Protection Act and the Emergency Economic Stabilization Act (EESA)</w:t>
            </w:r>
            <w:r w:rsidR="009635FE" w:rsidRPr="00DC0552">
              <w:rPr>
                <w:b/>
                <w:bCs/>
                <w:noProof/>
                <w:webHidden/>
              </w:rPr>
              <w:tab/>
            </w:r>
            <w:r w:rsidR="009635FE" w:rsidRPr="00DC0552">
              <w:rPr>
                <w:b/>
                <w:bCs/>
                <w:noProof/>
                <w:webHidden/>
              </w:rPr>
              <w:fldChar w:fldCharType="begin"/>
            </w:r>
            <w:r w:rsidR="009635FE" w:rsidRPr="00DC0552">
              <w:rPr>
                <w:b/>
                <w:bCs/>
                <w:noProof/>
                <w:webHidden/>
              </w:rPr>
              <w:instrText xml:space="preserve"> PAGEREF _Toc143447282 \h </w:instrText>
            </w:r>
            <w:r w:rsidR="009635FE" w:rsidRPr="00DC0552">
              <w:rPr>
                <w:b/>
                <w:bCs/>
                <w:noProof/>
                <w:webHidden/>
              </w:rPr>
            </w:r>
            <w:r w:rsidR="009635FE" w:rsidRPr="00DC0552">
              <w:rPr>
                <w:b/>
                <w:bCs/>
                <w:noProof/>
                <w:webHidden/>
              </w:rPr>
              <w:fldChar w:fldCharType="separate"/>
            </w:r>
            <w:r w:rsidR="009635FE" w:rsidRPr="00DC0552">
              <w:rPr>
                <w:b/>
                <w:bCs/>
                <w:noProof/>
                <w:webHidden/>
              </w:rPr>
              <w:t>7</w:t>
            </w:r>
            <w:r w:rsidR="009635FE" w:rsidRPr="00DC0552">
              <w:rPr>
                <w:b/>
                <w:bCs/>
                <w:noProof/>
                <w:webHidden/>
              </w:rPr>
              <w:fldChar w:fldCharType="end"/>
            </w:r>
          </w:hyperlink>
        </w:p>
        <w:p w14:paraId="7F6E520E" w14:textId="77777777" w:rsidR="009635FE" w:rsidRPr="00DC0552" w:rsidRDefault="00C9016C" w:rsidP="009635FE">
          <w:pPr>
            <w:pStyle w:val="TOC1"/>
            <w:tabs>
              <w:tab w:val="left" w:pos="440"/>
              <w:tab w:val="right" w:leader="dot" w:pos="9607"/>
            </w:tabs>
            <w:rPr>
              <w:rFonts w:ascii="Times New Roman" w:hAnsi="Times New Roman"/>
              <w:b/>
              <w:bCs/>
              <w:noProof/>
              <w:kern w:val="2"/>
              <w:lang w:val="en-GB" w:eastAsia="en-GB"/>
              <w14:ligatures w14:val="standardContextual"/>
            </w:rPr>
          </w:pPr>
          <w:hyperlink w:anchor="_Toc143447283" w:history="1">
            <w:r w:rsidR="009635FE" w:rsidRPr="00DC0552">
              <w:rPr>
                <w:rStyle w:val="Hyperlink"/>
                <w:rFonts w:ascii="Times New Roman" w:hAnsi="Times New Roman"/>
                <w:b/>
                <w:bCs/>
                <w:noProof/>
                <w:lang w:val="en"/>
              </w:rPr>
              <w:t>4.</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rPr>
              <w:t>Stabilizing the financial system and the different banking institutions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_Toc143447283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8</w:t>
            </w:r>
            <w:r w:rsidR="009635FE" w:rsidRPr="00DC0552">
              <w:rPr>
                <w:rFonts w:ascii="Times New Roman" w:hAnsi="Times New Roman"/>
                <w:b/>
                <w:bCs/>
                <w:noProof/>
                <w:webHidden/>
              </w:rPr>
              <w:fldChar w:fldCharType="end"/>
            </w:r>
          </w:hyperlink>
        </w:p>
        <w:p w14:paraId="464EE4B6" w14:textId="77777777" w:rsidR="009635FE" w:rsidRPr="00DC0552" w:rsidRDefault="00C9016C" w:rsidP="001D1C6C">
          <w:pPr>
            <w:pStyle w:val="TOC2"/>
            <w:rPr>
              <w:b/>
              <w:bCs/>
              <w:noProof/>
              <w:kern w:val="2"/>
              <w:lang w:val="en-GB" w:eastAsia="en-GB"/>
              <w14:ligatures w14:val="standardContextual"/>
            </w:rPr>
          </w:pPr>
          <w:hyperlink w:anchor="_Toc143447284" w:history="1">
            <w:r w:rsidR="009635FE" w:rsidRPr="00DC0552">
              <w:rPr>
                <w:rStyle w:val="Hyperlink"/>
                <w:rFonts w:ascii="Times New Roman" w:hAnsi="Times New Roman"/>
                <w:b/>
                <w:bCs/>
                <w:noProof/>
              </w:rPr>
              <w:t>4.1</w:t>
            </w:r>
            <w:r w:rsidR="009635FE" w:rsidRPr="00DC0552">
              <w:rPr>
                <w:b/>
                <w:bCs/>
                <w:noProof/>
                <w:kern w:val="2"/>
                <w:lang w:val="en-GB" w:eastAsia="en-GB"/>
                <w14:ligatures w14:val="standardContextual"/>
              </w:rPr>
              <w:tab/>
            </w:r>
            <w:r w:rsidR="009635FE" w:rsidRPr="00DC0552">
              <w:rPr>
                <w:rStyle w:val="Hyperlink"/>
                <w:rFonts w:ascii="Times New Roman" w:hAnsi="Times New Roman"/>
                <w:b/>
                <w:bCs/>
                <w:noProof/>
              </w:rPr>
              <w:t>Restoring stability to the financial system and various banking entities after the 2008 crisis.</w:t>
            </w:r>
            <w:r w:rsidR="009635FE" w:rsidRPr="00DC0552">
              <w:rPr>
                <w:b/>
                <w:bCs/>
                <w:noProof/>
                <w:webHidden/>
              </w:rPr>
              <w:fldChar w:fldCharType="begin"/>
            </w:r>
            <w:r w:rsidR="009635FE" w:rsidRPr="00DC0552">
              <w:rPr>
                <w:b/>
                <w:bCs/>
                <w:noProof/>
                <w:webHidden/>
              </w:rPr>
              <w:instrText xml:space="preserve"> PAGEREF _Toc143447284 \h </w:instrText>
            </w:r>
            <w:r w:rsidR="009635FE" w:rsidRPr="00DC0552">
              <w:rPr>
                <w:b/>
                <w:bCs/>
                <w:noProof/>
                <w:webHidden/>
              </w:rPr>
            </w:r>
            <w:r w:rsidR="009635FE" w:rsidRPr="00DC0552">
              <w:rPr>
                <w:b/>
                <w:bCs/>
                <w:noProof/>
                <w:webHidden/>
              </w:rPr>
              <w:fldChar w:fldCharType="separate"/>
            </w:r>
            <w:r w:rsidR="009635FE" w:rsidRPr="00DC0552">
              <w:rPr>
                <w:b/>
                <w:bCs/>
                <w:noProof/>
                <w:webHidden/>
              </w:rPr>
              <w:t>9</w:t>
            </w:r>
            <w:r w:rsidR="009635FE" w:rsidRPr="00DC0552">
              <w:rPr>
                <w:b/>
                <w:bCs/>
                <w:noProof/>
                <w:webHidden/>
              </w:rPr>
              <w:fldChar w:fldCharType="end"/>
            </w:r>
          </w:hyperlink>
        </w:p>
        <w:p w14:paraId="5BA8FD3F"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85" w:history="1">
            <w:r w:rsidR="009635FE" w:rsidRPr="00DC0552">
              <w:rPr>
                <w:rStyle w:val="Hyperlink"/>
                <w:rFonts w:ascii="Times New Roman" w:hAnsi="Times New Roman"/>
                <w:b/>
                <w:bCs/>
                <w:noProof/>
              </w:rPr>
              <w:t>4.1.1</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rPr>
              <w:t>Enhanced Bank Resilience and Risk Management:</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_Toc143447285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10</w:t>
            </w:r>
            <w:r w:rsidR="009635FE" w:rsidRPr="00DC0552">
              <w:rPr>
                <w:rFonts w:ascii="Times New Roman" w:hAnsi="Times New Roman"/>
                <w:b/>
                <w:bCs/>
                <w:noProof/>
                <w:webHidden/>
              </w:rPr>
              <w:fldChar w:fldCharType="end"/>
            </w:r>
          </w:hyperlink>
        </w:p>
        <w:p w14:paraId="7D083FA3"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86" w:history="1">
            <w:r w:rsidR="009635FE" w:rsidRPr="00DC0552">
              <w:rPr>
                <w:rStyle w:val="Hyperlink"/>
                <w:rFonts w:ascii="Times New Roman" w:hAnsi="Times New Roman"/>
                <w:b/>
                <w:bCs/>
                <w:noProof/>
              </w:rPr>
              <w:t>4.1.2</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rPr>
              <w:t>Market Dynamics and Projected Bank Profitability:</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_Toc143447286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10</w:t>
            </w:r>
            <w:r w:rsidR="009635FE" w:rsidRPr="00DC0552">
              <w:rPr>
                <w:rFonts w:ascii="Times New Roman" w:hAnsi="Times New Roman"/>
                <w:b/>
                <w:bCs/>
                <w:noProof/>
                <w:webHidden/>
              </w:rPr>
              <w:fldChar w:fldCharType="end"/>
            </w:r>
          </w:hyperlink>
        </w:p>
        <w:p w14:paraId="407E43AE"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87" w:history="1">
            <w:r w:rsidR="009635FE" w:rsidRPr="00DC0552">
              <w:rPr>
                <w:rStyle w:val="Hyperlink"/>
                <w:rFonts w:ascii="Times New Roman" w:hAnsi="Times New Roman"/>
                <w:b/>
                <w:bCs/>
                <w:noProof/>
              </w:rPr>
              <w:t>System-wide effects.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_Toc143447287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10</w:t>
            </w:r>
            <w:r w:rsidR="009635FE" w:rsidRPr="00DC0552">
              <w:rPr>
                <w:rFonts w:ascii="Times New Roman" w:hAnsi="Times New Roman"/>
                <w:b/>
                <w:bCs/>
                <w:noProof/>
                <w:webHidden/>
              </w:rPr>
              <w:fldChar w:fldCharType="end"/>
            </w:r>
          </w:hyperlink>
        </w:p>
        <w:p w14:paraId="46F7409A" w14:textId="77777777" w:rsidR="009635FE" w:rsidRPr="00DC0552" w:rsidRDefault="00C9016C" w:rsidP="009635FE">
          <w:pPr>
            <w:pStyle w:val="TOC1"/>
            <w:tabs>
              <w:tab w:val="left" w:pos="440"/>
              <w:tab w:val="right" w:leader="dot" w:pos="9607"/>
            </w:tabs>
            <w:rPr>
              <w:rFonts w:ascii="Times New Roman" w:hAnsi="Times New Roman"/>
              <w:b/>
              <w:bCs/>
              <w:noProof/>
              <w:kern w:val="2"/>
              <w:lang w:val="en-GB" w:eastAsia="en-GB"/>
              <w14:ligatures w14:val="standardContextual"/>
            </w:rPr>
          </w:pPr>
          <w:hyperlink w:anchor="_Toc143447288" w:history="1">
            <w:r w:rsidR="009635FE" w:rsidRPr="00DC0552">
              <w:rPr>
                <w:rStyle w:val="Hyperlink"/>
                <w:rFonts w:ascii="Times New Roman" w:hAnsi="Times New Roman"/>
                <w:b/>
                <w:bCs/>
                <w:noProof/>
                <w:lang w:val="en"/>
              </w:rPr>
              <w:t>5.</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 xml:space="preserve">Publicly listed Financial Services company </w:t>
            </w:r>
            <w:r w:rsidR="009635FE" w:rsidRPr="00DC0552">
              <w:rPr>
                <w:rStyle w:val="Hyperlink"/>
                <w:rFonts w:ascii="Times New Roman" w:hAnsi="Times New Roman"/>
                <w:b/>
                <w:bCs/>
                <w:noProof/>
              </w:rPr>
              <w:t>analysis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_Toc143447288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11</w:t>
            </w:r>
            <w:r w:rsidR="009635FE" w:rsidRPr="00DC0552">
              <w:rPr>
                <w:rFonts w:ascii="Times New Roman" w:hAnsi="Times New Roman"/>
                <w:b/>
                <w:bCs/>
                <w:noProof/>
                <w:webHidden/>
              </w:rPr>
              <w:fldChar w:fldCharType="end"/>
            </w:r>
          </w:hyperlink>
        </w:p>
        <w:p w14:paraId="16763E59" w14:textId="77777777" w:rsidR="009635FE" w:rsidRPr="00DC0552" w:rsidRDefault="00C9016C" w:rsidP="001D1C6C">
          <w:pPr>
            <w:pStyle w:val="TOC2"/>
            <w:rPr>
              <w:b/>
              <w:bCs/>
              <w:noProof/>
              <w:kern w:val="2"/>
              <w:lang w:val="en-GB" w:eastAsia="en-GB"/>
              <w14:ligatures w14:val="standardContextual"/>
            </w:rPr>
          </w:pPr>
          <w:hyperlink w:anchor="_Toc143447289" w:history="1">
            <w:r w:rsidR="009635FE" w:rsidRPr="00DC0552">
              <w:rPr>
                <w:rStyle w:val="Hyperlink"/>
                <w:rFonts w:ascii="Times New Roman" w:hAnsi="Times New Roman"/>
                <w:b/>
                <w:bCs/>
                <w:noProof/>
              </w:rPr>
              <w:t>5.1</w:t>
            </w:r>
            <w:r w:rsidR="009635FE" w:rsidRPr="00DC0552">
              <w:rPr>
                <w:b/>
                <w:bCs/>
                <w:noProof/>
                <w:kern w:val="2"/>
                <w:lang w:val="en-GB" w:eastAsia="en-GB"/>
                <w14:ligatures w14:val="standardContextual"/>
              </w:rPr>
              <w:tab/>
            </w:r>
            <w:r w:rsidR="009635FE" w:rsidRPr="00DC0552">
              <w:rPr>
                <w:rStyle w:val="Hyperlink"/>
                <w:rFonts w:ascii="Times New Roman" w:hAnsi="Times New Roman"/>
                <w:b/>
                <w:bCs/>
                <w:noProof/>
                <w:shd w:val="clear" w:color="auto" w:fill="FFFFFF"/>
              </w:rPr>
              <w:t>JPMorgan Chase &amp; Co.</w:t>
            </w:r>
            <w:r w:rsidR="009635FE" w:rsidRPr="00DC0552">
              <w:rPr>
                <w:b/>
                <w:bCs/>
                <w:noProof/>
                <w:webHidden/>
              </w:rPr>
              <w:tab/>
            </w:r>
            <w:r w:rsidR="009635FE" w:rsidRPr="00DC0552">
              <w:rPr>
                <w:b/>
                <w:bCs/>
                <w:noProof/>
                <w:webHidden/>
              </w:rPr>
              <w:fldChar w:fldCharType="begin"/>
            </w:r>
            <w:r w:rsidR="009635FE" w:rsidRPr="00DC0552">
              <w:rPr>
                <w:b/>
                <w:bCs/>
                <w:noProof/>
                <w:webHidden/>
              </w:rPr>
              <w:instrText xml:space="preserve"> PAGEREF _Toc143447289 \h </w:instrText>
            </w:r>
            <w:r w:rsidR="009635FE" w:rsidRPr="00DC0552">
              <w:rPr>
                <w:b/>
                <w:bCs/>
                <w:noProof/>
                <w:webHidden/>
              </w:rPr>
            </w:r>
            <w:r w:rsidR="009635FE" w:rsidRPr="00DC0552">
              <w:rPr>
                <w:b/>
                <w:bCs/>
                <w:noProof/>
                <w:webHidden/>
              </w:rPr>
              <w:fldChar w:fldCharType="separate"/>
            </w:r>
            <w:r w:rsidR="009635FE" w:rsidRPr="00DC0552">
              <w:rPr>
                <w:b/>
                <w:bCs/>
                <w:noProof/>
                <w:webHidden/>
              </w:rPr>
              <w:t>11</w:t>
            </w:r>
            <w:r w:rsidR="009635FE" w:rsidRPr="00DC0552">
              <w:rPr>
                <w:b/>
                <w:bCs/>
                <w:noProof/>
                <w:webHidden/>
              </w:rPr>
              <w:fldChar w:fldCharType="end"/>
            </w:r>
          </w:hyperlink>
        </w:p>
        <w:p w14:paraId="51428D1C" w14:textId="77777777" w:rsidR="009635FE" w:rsidRPr="00DC0552" w:rsidRDefault="00C9016C" w:rsidP="001D1C6C">
          <w:pPr>
            <w:pStyle w:val="TOC2"/>
            <w:rPr>
              <w:b/>
              <w:bCs/>
              <w:noProof/>
              <w:kern w:val="2"/>
              <w:lang w:val="en-GB" w:eastAsia="en-GB"/>
              <w14:ligatures w14:val="standardContextual"/>
            </w:rPr>
          </w:pPr>
          <w:hyperlink w:anchor="_Toc143447294" w:history="1">
            <w:r w:rsidR="009635FE" w:rsidRPr="00DC0552">
              <w:rPr>
                <w:rStyle w:val="Hyperlink"/>
                <w:rFonts w:ascii="Times New Roman" w:hAnsi="Times New Roman"/>
                <w:b/>
                <w:bCs/>
                <w:noProof/>
                <w:lang w:val="en"/>
              </w:rPr>
              <w:t>5.2</w:t>
            </w:r>
            <w:r w:rsidR="009635FE" w:rsidRPr="00DC0552">
              <w:rPr>
                <w:b/>
                <w:bCs/>
                <w:noProof/>
                <w:kern w:val="2"/>
                <w:lang w:val="en-GB" w:eastAsia="en-GB"/>
                <w14:ligatures w14:val="standardContextual"/>
              </w:rPr>
              <w:tab/>
            </w:r>
            <w:r w:rsidR="009635FE" w:rsidRPr="00DC0552">
              <w:rPr>
                <w:rStyle w:val="Hyperlink"/>
                <w:rFonts w:ascii="Times New Roman" w:hAnsi="Times New Roman"/>
                <w:b/>
                <w:bCs/>
                <w:noProof/>
                <w:lang w:val="en"/>
              </w:rPr>
              <w:t>Impact on Business Model:</w:t>
            </w:r>
            <w:r w:rsidR="009635FE" w:rsidRPr="00DC0552">
              <w:rPr>
                <w:b/>
                <w:bCs/>
                <w:noProof/>
                <w:webHidden/>
              </w:rPr>
              <w:tab/>
            </w:r>
            <w:r w:rsidR="009635FE" w:rsidRPr="00DC0552">
              <w:rPr>
                <w:b/>
                <w:bCs/>
                <w:noProof/>
                <w:webHidden/>
              </w:rPr>
              <w:fldChar w:fldCharType="begin"/>
            </w:r>
            <w:r w:rsidR="009635FE" w:rsidRPr="00DC0552">
              <w:rPr>
                <w:b/>
                <w:bCs/>
                <w:noProof/>
                <w:webHidden/>
              </w:rPr>
              <w:instrText xml:space="preserve"> PAGEREF _Toc143447294 \h </w:instrText>
            </w:r>
            <w:r w:rsidR="009635FE" w:rsidRPr="00DC0552">
              <w:rPr>
                <w:b/>
                <w:bCs/>
                <w:noProof/>
                <w:webHidden/>
              </w:rPr>
            </w:r>
            <w:r w:rsidR="009635FE" w:rsidRPr="00DC0552">
              <w:rPr>
                <w:b/>
                <w:bCs/>
                <w:noProof/>
                <w:webHidden/>
              </w:rPr>
              <w:fldChar w:fldCharType="separate"/>
            </w:r>
            <w:r w:rsidR="009635FE" w:rsidRPr="00DC0552">
              <w:rPr>
                <w:b/>
                <w:bCs/>
                <w:noProof/>
                <w:webHidden/>
              </w:rPr>
              <w:t>11</w:t>
            </w:r>
            <w:r w:rsidR="009635FE" w:rsidRPr="00DC0552">
              <w:rPr>
                <w:b/>
                <w:bCs/>
                <w:noProof/>
                <w:webHidden/>
              </w:rPr>
              <w:fldChar w:fldCharType="end"/>
            </w:r>
          </w:hyperlink>
        </w:p>
        <w:p w14:paraId="012C4E88"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95" w:history="1">
            <w:r w:rsidR="009635FE" w:rsidRPr="00DC0552">
              <w:rPr>
                <w:rStyle w:val="Hyperlink"/>
                <w:rFonts w:ascii="Times New Roman" w:hAnsi="Times New Roman"/>
                <w:b/>
                <w:bCs/>
                <w:noProof/>
                <w:lang w:val="en"/>
              </w:rPr>
              <w:t>5.2.1</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Consumer Protection Reforms: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_Toc143447295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11</w:t>
            </w:r>
            <w:r w:rsidR="009635FE" w:rsidRPr="00DC0552">
              <w:rPr>
                <w:rFonts w:ascii="Times New Roman" w:hAnsi="Times New Roman"/>
                <w:b/>
                <w:bCs/>
                <w:noProof/>
                <w:webHidden/>
              </w:rPr>
              <w:fldChar w:fldCharType="end"/>
            </w:r>
          </w:hyperlink>
        </w:p>
        <w:p w14:paraId="1BCD6557"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96" w:history="1">
            <w:r w:rsidR="009635FE" w:rsidRPr="00DC0552">
              <w:rPr>
                <w:rStyle w:val="Hyperlink"/>
                <w:rFonts w:ascii="Times New Roman" w:hAnsi="Times New Roman"/>
                <w:b/>
                <w:bCs/>
                <w:noProof/>
                <w:lang w:val="en"/>
              </w:rPr>
              <w:t>5.2.2</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Risk Management and Capitalization:</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_Toc143447296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11</w:t>
            </w:r>
            <w:r w:rsidR="009635FE" w:rsidRPr="00DC0552">
              <w:rPr>
                <w:rFonts w:ascii="Times New Roman" w:hAnsi="Times New Roman"/>
                <w:b/>
                <w:bCs/>
                <w:noProof/>
                <w:webHidden/>
              </w:rPr>
              <w:fldChar w:fldCharType="end"/>
            </w:r>
          </w:hyperlink>
        </w:p>
        <w:p w14:paraId="31B57B59"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97" w:history="1">
            <w:r w:rsidR="009635FE" w:rsidRPr="00DC0552">
              <w:rPr>
                <w:rStyle w:val="Hyperlink"/>
                <w:rFonts w:ascii="Times New Roman" w:hAnsi="Times New Roman"/>
                <w:b/>
                <w:bCs/>
                <w:noProof/>
                <w:lang w:val="en"/>
              </w:rPr>
              <w:t>5.2.3</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Diversification of Products and Services: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_Toc143447297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12</w:t>
            </w:r>
            <w:r w:rsidR="009635FE" w:rsidRPr="00DC0552">
              <w:rPr>
                <w:rFonts w:ascii="Times New Roman" w:hAnsi="Times New Roman"/>
                <w:b/>
                <w:bCs/>
                <w:noProof/>
                <w:webHidden/>
              </w:rPr>
              <w:fldChar w:fldCharType="end"/>
            </w:r>
          </w:hyperlink>
        </w:p>
        <w:p w14:paraId="1A49C1EA" w14:textId="77777777" w:rsidR="009635FE" w:rsidRPr="00DC0552" w:rsidRDefault="00C9016C" w:rsidP="001D1C6C">
          <w:pPr>
            <w:pStyle w:val="TOC2"/>
            <w:rPr>
              <w:b/>
              <w:bCs/>
              <w:noProof/>
              <w:kern w:val="2"/>
              <w:lang w:val="en-GB" w:eastAsia="en-GB"/>
              <w14:ligatures w14:val="standardContextual"/>
            </w:rPr>
          </w:pPr>
          <w:hyperlink w:anchor="_Toc143447298" w:history="1">
            <w:r w:rsidR="009635FE" w:rsidRPr="00DC0552">
              <w:rPr>
                <w:rStyle w:val="Hyperlink"/>
                <w:rFonts w:ascii="Times New Roman" w:hAnsi="Times New Roman"/>
                <w:b/>
                <w:bCs/>
                <w:noProof/>
                <w:lang w:val="en"/>
              </w:rPr>
              <w:t>5.3</w:t>
            </w:r>
            <w:r w:rsidR="009635FE" w:rsidRPr="00DC0552">
              <w:rPr>
                <w:b/>
                <w:bCs/>
                <w:noProof/>
                <w:kern w:val="2"/>
                <w:lang w:val="en-GB" w:eastAsia="en-GB"/>
                <w14:ligatures w14:val="standardContextual"/>
              </w:rPr>
              <w:tab/>
            </w:r>
            <w:r w:rsidR="009635FE" w:rsidRPr="00DC0552">
              <w:rPr>
                <w:rStyle w:val="Hyperlink"/>
                <w:rFonts w:ascii="Times New Roman" w:hAnsi="Times New Roman"/>
                <w:b/>
                <w:bCs/>
                <w:noProof/>
                <w:lang w:val="en"/>
              </w:rPr>
              <w:t>Compliance and Non-Compliance:</w:t>
            </w:r>
            <w:r w:rsidR="009635FE" w:rsidRPr="00DC0552">
              <w:rPr>
                <w:b/>
                <w:bCs/>
                <w:noProof/>
                <w:webHidden/>
              </w:rPr>
              <w:tab/>
            </w:r>
            <w:r w:rsidR="009635FE" w:rsidRPr="00DC0552">
              <w:rPr>
                <w:b/>
                <w:bCs/>
                <w:noProof/>
                <w:webHidden/>
              </w:rPr>
              <w:fldChar w:fldCharType="begin"/>
            </w:r>
            <w:r w:rsidR="009635FE" w:rsidRPr="00DC0552">
              <w:rPr>
                <w:b/>
                <w:bCs/>
                <w:noProof/>
                <w:webHidden/>
              </w:rPr>
              <w:instrText xml:space="preserve"> PAGEREF _Toc143447298 \h </w:instrText>
            </w:r>
            <w:r w:rsidR="009635FE" w:rsidRPr="00DC0552">
              <w:rPr>
                <w:b/>
                <w:bCs/>
                <w:noProof/>
                <w:webHidden/>
              </w:rPr>
            </w:r>
            <w:r w:rsidR="009635FE" w:rsidRPr="00DC0552">
              <w:rPr>
                <w:b/>
                <w:bCs/>
                <w:noProof/>
                <w:webHidden/>
              </w:rPr>
              <w:fldChar w:fldCharType="separate"/>
            </w:r>
            <w:r w:rsidR="009635FE" w:rsidRPr="00DC0552">
              <w:rPr>
                <w:b/>
                <w:bCs/>
                <w:noProof/>
                <w:webHidden/>
              </w:rPr>
              <w:t>12</w:t>
            </w:r>
            <w:r w:rsidR="009635FE" w:rsidRPr="00DC0552">
              <w:rPr>
                <w:b/>
                <w:bCs/>
                <w:noProof/>
                <w:webHidden/>
              </w:rPr>
              <w:fldChar w:fldCharType="end"/>
            </w:r>
          </w:hyperlink>
        </w:p>
        <w:p w14:paraId="1AA0EF29"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299" w:history="1">
            <w:r w:rsidR="009635FE" w:rsidRPr="00DC0552">
              <w:rPr>
                <w:rStyle w:val="Hyperlink"/>
                <w:rFonts w:ascii="Times New Roman" w:hAnsi="Times New Roman"/>
                <w:b/>
                <w:bCs/>
                <w:noProof/>
                <w:lang w:val="en"/>
              </w:rPr>
              <w:t>5.3.1</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Consumer Protection Reforms: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_Toc143447299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12</w:t>
            </w:r>
            <w:r w:rsidR="009635FE" w:rsidRPr="00DC0552">
              <w:rPr>
                <w:rFonts w:ascii="Times New Roman" w:hAnsi="Times New Roman"/>
                <w:b/>
                <w:bCs/>
                <w:noProof/>
                <w:webHidden/>
              </w:rPr>
              <w:fldChar w:fldCharType="end"/>
            </w:r>
          </w:hyperlink>
        </w:p>
        <w:p w14:paraId="2B03BC1E"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300" w:history="1">
            <w:r w:rsidR="009635FE" w:rsidRPr="00DC0552">
              <w:rPr>
                <w:rStyle w:val="Hyperlink"/>
                <w:rFonts w:ascii="Times New Roman" w:hAnsi="Times New Roman"/>
                <w:b/>
                <w:bCs/>
                <w:noProof/>
                <w:lang w:val="en"/>
              </w:rPr>
              <w:t>5.3.2</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Capital and Risk Management Obligations: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_Toc143447300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12</w:t>
            </w:r>
            <w:r w:rsidR="009635FE" w:rsidRPr="00DC0552">
              <w:rPr>
                <w:rFonts w:ascii="Times New Roman" w:hAnsi="Times New Roman"/>
                <w:b/>
                <w:bCs/>
                <w:noProof/>
                <w:webHidden/>
              </w:rPr>
              <w:fldChar w:fldCharType="end"/>
            </w:r>
          </w:hyperlink>
        </w:p>
        <w:p w14:paraId="4954A047"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301" w:history="1">
            <w:r w:rsidR="009635FE" w:rsidRPr="00DC0552">
              <w:rPr>
                <w:rStyle w:val="Hyperlink"/>
                <w:rFonts w:ascii="Times New Roman" w:hAnsi="Times New Roman"/>
                <w:b/>
                <w:bCs/>
                <w:noProof/>
                <w:lang w:val="en"/>
              </w:rPr>
              <w:t>5.3.3</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Implications of Dodd-Frank Reforms: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_Toc143447301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12</w:t>
            </w:r>
            <w:r w:rsidR="009635FE" w:rsidRPr="00DC0552">
              <w:rPr>
                <w:rFonts w:ascii="Times New Roman" w:hAnsi="Times New Roman"/>
                <w:b/>
                <w:bCs/>
                <w:noProof/>
                <w:webHidden/>
              </w:rPr>
              <w:fldChar w:fldCharType="end"/>
            </w:r>
          </w:hyperlink>
        </w:p>
        <w:p w14:paraId="4E95B007" w14:textId="77777777" w:rsidR="009635FE" w:rsidRPr="00DC0552" w:rsidRDefault="00C9016C" w:rsidP="001D1C6C">
          <w:pPr>
            <w:pStyle w:val="TOC2"/>
            <w:rPr>
              <w:b/>
              <w:bCs/>
              <w:noProof/>
              <w:kern w:val="2"/>
              <w:lang w:val="en-GB" w:eastAsia="en-GB"/>
              <w14:ligatures w14:val="standardContextual"/>
            </w:rPr>
          </w:pPr>
          <w:hyperlink w:anchor="_Toc143447302" w:history="1">
            <w:r w:rsidR="009635FE" w:rsidRPr="00DC0552">
              <w:rPr>
                <w:rStyle w:val="Hyperlink"/>
                <w:rFonts w:ascii="Times New Roman" w:hAnsi="Times New Roman"/>
                <w:b/>
                <w:bCs/>
                <w:noProof/>
                <w:lang w:val="en"/>
              </w:rPr>
              <w:t>5.4</w:t>
            </w:r>
            <w:r w:rsidR="009635FE" w:rsidRPr="00DC0552">
              <w:rPr>
                <w:b/>
                <w:bCs/>
                <w:noProof/>
                <w:kern w:val="2"/>
                <w:lang w:val="en-GB" w:eastAsia="en-GB"/>
                <w14:ligatures w14:val="standardContextual"/>
              </w:rPr>
              <w:tab/>
            </w:r>
            <w:r w:rsidR="009635FE" w:rsidRPr="00DC0552">
              <w:rPr>
                <w:rStyle w:val="Hyperlink"/>
                <w:rFonts w:ascii="Times New Roman" w:hAnsi="Times New Roman"/>
                <w:b/>
                <w:bCs/>
                <w:noProof/>
                <w:lang w:val="en"/>
              </w:rPr>
              <w:t>Impact on Financial Performance:</w:t>
            </w:r>
            <w:r w:rsidR="009635FE" w:rsidRPr="00DC0552">
              <w:rPr>
                <w:b/>
                <w:bCs/>
                <w:noProof/>
                <w:webHidden/>
              </w:rPr>
              <w:tab/>
            </w:r>
            <w:r w:rsidR="009635FE" w:rsidRPr="00DC0552">
              <w:rPr>
                <w:b/>
                <w:bCs/>
                <w:noProof/>
                <w:webHidden/>
              </w:rPr>
              <w:fldChar w:fldCharType="begin"/>
            </w:r>
            <w:r w:rsidR="009635FE" w:rsidRPr="00DC0552">
              <w:rPr>
                <w:b/>
                <w:bCs/>
                <w:noProof/>
                <w:webHidden/>
              </w:rPr>
              <w:instrText xml:space="preserve"> PAGEREF _Toc143447302 \h </w:instrText>
            </w:r>
            <w:r w:rsidR="009635FE" w:rsidRPr="00DC0552">
              <w:rPr>
                <w:b/>
                <w:bCs/>
                <w:noProof/>
                <w:webHidden/>
              </w:rPr>
            </w:r>
            <w:r w:rsidR="009635FE" w:rsidRPr="00DC0552">
              <w:rPr>
                <w:b/>
                <w:bCs/>
                <w:noProof/>
                <w:webHidden/>
              </w:rPr>
              <w:fldChar w:fldCharType="separate"/>
            </w:r>
            <w:r w:rsidR="009635FE" w:rsidRPr="00DC0552">
              <w:rPr>
                <w:b/>
                <w:bCs/>
                <w:noProof/>
                <w:webHidden/>
              </w:rPr>
              <w:t>12</w:t>
            </w:r>
            <w:r w:rsidR="009635FE" w:rsidRPr="00DC0552">
              <w:rPr>
                <w:b/>
                <w:bCs/>
                <w:noProof/>
                <w:webHidden/>
              </w:rPr>
              <w:fldChar w:fldCharType="end"/>
            </w:r>
          </w:hyperlink>
        </w:p>
        <w:p w14:paraId="5F8ED1CF"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303" w:history="1">
            <w:r w:rsidR="009635FE" w:rsidRPr="00DC0552">
              <w:rPr>
                <w:rStyle w:val="Hyperlink"/>
                <w:rFonts w:ascii="Times New Roman" w:hAnsi="Times New Roman"/>
                <w:b/>
                <w:bCs/>
                <w:noProof/>
                <w:lang w:val="en"/>
              </w:rPr>
              <w:t>5.4.1</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Profitability</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_Toc143447303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12</w:t>
            </w:r>
            <w:r w:rsidR="009635FE" w:rsidRPr="00DC0552">
              <w:rPr>
                <w:rFonts w:ascii="Times New Roman" w:hAnsi="Times New Roman"/>
                <w:b/>
                <w:bCs/>
                <w:noProof/>
                <w:webHidden/>
              </w:rPr>
              <w:fldChar w:fldCharType="end"/>
            </w:r>
          </w:hyperlink>
        </w:p>
        <w:p w14:paraId="0513E72B"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304" w:history="1">
            <w:r w:rsidR="009635FE" w:rsidRPr="00DC0552">
              <w:rPr>
                <w:rStyle w:val="Hyperlink"/>
                <w:rFonts w:ascii="Times New Roman" w:hAnsi="Times New Roman"/>
                <w:b/>
                <w:bCs/>
                <w:noProof/>
                <w:lang w:val="en"/>
              </w:rPr>
              <w:t>5.4.2</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Market Reputation:</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_Toc143447304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13</w:t>
            </w:r>
            <w:r w:rsidR="009635FE" w:rsidRPr="00DC0552">
              <w:rPr>
                <w:rFonts w:ascii="Times New Roman" w:hAnsi="Times New Roman"/>
                <w:b/>
                <w:bCs/>
                <w:noProof/>
                <w:webHidden/>
              </w:rPr>
              <w:fldChar w:fldCharType="end"/>
            </w:r>
          </w:hyperlink>
        </w:p>
        <w:p w14:paraId="6797FE7D" w14:textId="77777777" w:rsidR="009635FE" w:rsidRPr="00DC0552" w:rsidRDefault="00C9016C" w:rsidP="009635FE">
          <w:pPr>
            <w:pStyle w:val="TOC3"/>
            <w:rPr>
              <w:rFonts w:ascii="Times New Roman" w:hAnsi="Times New Roman"/>
              <w:b/>
              <w:bCs/>
              <w:noProof/>
              <w:kern w:val="2"/>
              <w:lang w:val="en-GB" w:eastAsia="en-GB"/>
              <w14:ligatures w14:val="standardContextual"/>
            </w:rPr>
          </w:pPr>
          <w:hyperlink w:anchor="_Toc143447305" w:history="1">
            <w:r w:rsidR="009635FE" w:rsidRPr="00DC0552">
              <w:rPr>
                <w:rStyle w:val="Hyperlink"/>
                <w:rFonts w:ascii="Times New Roman" w:hAnsi="Times New Roman"/>
                <w:b/>
                <w:bCs/>
                <w:noProof/>
                <w:lang w:val="en"/>
              </w:rPr>
              <w:t>5.4.3</w:t>
            </w:r>
            <w:r w:rsidR="009635FE" w:rsidRPr="00DC0552">
              <w:rPr>
                <w:rFonts w:ascii="Times New Roman" w:hAnsi="Times New Roman"/>
                <w:b/>
                <w:bCs/>
                <w:noProof/>
                <w:kern w:val="2"/>
                <w:lang w:val="en-GB" w:eastAsia="en-GB"/>
                <w14:ligatures w14:val="standardContextual"/>
              </w:rPr>
              <w:tab/>
            </w:r>
            <w:r w:rsidR="009635FE" w:rsidRPr="00DC0552">
              <w:rPr>
                <w:rStyle w:val="Hyperlink"/>
                <w:rFonts w:ascii="Times New Roman" w:hAnsi="Times New Roman"/>
                <w:b/>
                <w:bCs/>
                <w:noProof/>
                <w:lang w:val="en"/>
              </w:rPr>
              <w:t>Stability</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_Toc143447305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13</w:t>
            </w:r>
            <w:r w:rsidR="009635FE" w:rsidRPr="00DC0552">
              <w:rPr>
                <w:rFonts w:ascii="Times New Roman" w:hAnsi="Times New Roman"/>
                <w:b/>
                <w:bCs/>
                <w:noProof/>
                <w:webHidden/>
              </w:rPr>
              <w:fldChar w:fldCharType="end"/>
            </w:r>
          </w:hyperlink>
        </w:p>
        <w:p w14:paraId="4D0ADF25" w14:textId="77777777" w:rsidR="009635FE" w:rsidRPr="00DC0552" w:rsidRDefault="00C9016C" w:rsidP="009635FE">
          <w:pPr>
            <w:pStyle w:val="TOC1"/>
            <w:tabs>
              <w:tab w:val="right" w:leader="dot" w:pos="9607"/>
            </w:tabs>
            <w:rPr>
              <w:rFonts w:ascii="Times New Roman" w:hAnsi="Times New Roman"/>
              <w:b/>
              <w:bCs/>
              <w:noProof/>
              <w:kern w:val="2"/>
              <w:lang w:val="en-GB" w:eastAsia="en-GB"/>
              <w14:ligatures w14:val="standardContextual"/>
            </w:rPr>
          </w:pPr>
          <w:hyperlink w:anchor="_Toc143447306" w:history="1">
            <w:r w:rsidR="009635FE" w:rsidRPr="00DC0552">
              <w:rPr>
                <w:rStyle w:val="Hyperlink"/>
                <w:rFonts w:ascii="Times New Roman" w:hAnsi="Times New Roman"/>
                <w:b/>
                <w:bCs/>
                <w:noProof/>
                <w:lang w:val="en"/>
              </w:rPr>
              <w:t>References:</w:t>
            </w:r>
            <w:r w:rsidR="009635FE" w:rsidRPr="00DC0552">
              <w:rPr>
                <w:rFonts w:ascii="Times New Roman" w:hAnsi="Times New Roman"/>
                <w:b/>
                <w:bCs/>
                <w:noProof/>
                <w:webHidden/>
              </w:rPr>
              <w:tab/>
            </w:r>
            <w:r w:rsidR="009635FE" w:rsidRPr="00DC0552">
              <w:rPr>
                <w:rFonts w:ascii="Times New Roman" w:hAnsi="Times New Roman"/>
                <w:b/>
                <w:bCs/>
                <w:noProof/>
                <w:webHidden/>
              </w:rPr>
              <w:fldChar w:fldCharType="begin"/>
            </w:r>
            <w:r w:rsidR="009635FE" w:rsidRPr="00DC0552">
              <w:rPr>
                <w:rFonts w:ascii="Times New Roman" w:hAnsi="Times New Roman"/>
                <w:b/>
                <w:bCs/>
                <w:noProof/>
                <w:webHidden/>
              </w:rPr>
              <w:instrText xml:space="preserve"> PAGEREF _Toc143447306 \h </w:instrText>
            </w:r>
            <w:r w:rsidR="009635FE" w:rsidRPr="00DC0552">
              <w:rPr>
                <w:rFonts w:ascii="Times New Roman" w:hAnsi="Times New Roman"/>
                <w:b/>
                <w:bCs/>
                <w:noProof/>
                <w:webHidden/>
              </w:rPr>
            </w:r>
            <w:r w:rsidR="009635FE" w:rsidRPr="00DC0552">
              <w:rPr>
                <w:rFonts w:ascii="Times New Roman" w:hAnsi="Times New Roman"/>
                <w:b/>
                <w:bCs/>
                <w:noProof/>
                <w:webHidden/>
              </w:rPr>
              <w:fldChar w:fldCharType="separate"/>
            </w:r>
            <w:r w:rsidR="009635FE" w:rsidRPr="00DC0552">
              <w:rPr>
                <w:rFonts w:ascii="Times New Roman" w:hAnsi="Times New Roman"/>
                <w:b/>
                <w:bCs/>
                <w:noProof/>
                <w:webHidden/>
              </w:rPr>
              <w:t>14</w:t>
            </w:r>
            <w:r w:rsidR="009635FE" w:rsidRPr="00DC0552">
              <w:rPr>
                <w:rFonts w:ascii="Times New Roman" w:hAnsi="Times New Roman"/>
                <w:b/>
                <w:bCs/>
                <w:noProof/>
                <w:webHidden/>
              </w:rPr>
              <w:fldChar w:fldCharType="end"/>
            </w:r>
          </w:hyperlink>
        </w:p>
        <w:p w14:paraId="109A3859" w14:textId="0708E1D3" w:rsidR="009635FE" w:rsidRPr="00DC0552" w:rsidRDefault="009635FE" w:rsidP="00020AED">
          <w:pPr>
            <w:jc w:val="both"/>
            <w:rPr>
              <w:rFonts w:ascii="Times New Roman" w:hAnsi="Times New Roman"/>
              <w:b/>
              <w:bCs/>
              <w:noProof/>
              <w:sz w:val="24"/>
              <w:szCs w:val="24"/>
            </w:rPr>
            <w:sectPr w:rsidR="009635FE" w:rsidRPr="00DC0552" w:rsidSect="009635FE">
              <w:footerReference w:type="default" r:id="rId9"/>
              <w:pgSz w:w="12240" w:h="15840"/>
              <w:pgMar w:top="1440" w:right="1183" w:bottom="567" w:left="1440" w:header="720" w:footer="555" w:gutter="0"/>
              <w:pgNumType w:fmt="lowerRoman" w:start="1"/>
              <w:cols w:space="720"/>
              <w:noEndnote/>
              <w:titlePg/>
              <w:docGrid w:linePitch="299"/>
            </w:sectPr>
          </w:pPr>
          <w:r w:rsidRPr="00DC0552">
            <w:rPr>
              <w:rFonts w:ascii="Times New Roman" w:hAnsi="Times New Roman"/>
              <w:b/>
              <w:bCs/>
              <w:sz w:val="24"/>
              <w:szCs w:val="24"/>
            </w:rPr>
            <w:fldChar w:fldCharType="end"/>
          </w:r>
        </w:p>
      </w:sdtContent>
    </w:sdt>
    <w:p w14:paraId="5626FC35" w14:textId="5066FE33" w:rsidR="00AE0DAC" w:rsidRPr="009635FE" w:rsidRDefault="001937DA" w:rsidP="009635FE">
      <w:pPr>
        <w:pStyle w:val="Heading1"/>
        <w:numPr>
          <w:ilvl w:val="0"/>
          <w:numId w:val="13"/>
        </w:numPr>
        <w:ind w:left="426" w:hanging="426"/>
        <w:jc w:val="both"/>
        <w:rPr>
          <w:b w:val="0"/>
          <w:szCs w:val="28"/>
        </w:rPr>
      </w:pPr>
      <w:r w:rsidRPr="00812B71">
        <w:rPr>
          <w:szCs w:val="28"/>
        </w:rPr>
        <w:lastRenderedPageBreak/>
        <w:t>In</w:t>
      </w:r>
      <w:r w:rsidRPr="009635FE">
        <w:rPr>
          <w:szCs w:val="28"/>
        </w:rPr>
        <w:t>troduction</w:t>
      </w:r>
      <w:bookmarkEnd w:id="0"/>
      <w:bookmarkEnd w:id="1"/>
      <w:bookmarkEnd w:id="2"/>
    </w:p>
    <w:p w14:paraId="169B6AA6" w14:textId="700FBC46" w:rsidR="00500D37" w:rsidRPr="00812B71" w:rsidRDefault="00FD189F" w:rsidP="0096660C">
      <w:pPr>
        <w:pStyle w:val="ListParagraph"/>
        <w:spacing w:after="0" w:line="276" w:lineRule="auto"/>
        <w:ind w:left="0"/>
        <w:jc w:val="both"/>
        <w:rPr>
          <w:rFonts w:ascii="Times New Roman" w:hAnsi="Times New Roman"/>
          <w:sz w:val="24"/>
          <w:szCs w:val="24"/>
        </w:rPr>
      </w:pPr>
      <w:r w:rsidRPr="00812B71">
        <w:rPr>
          <w:rFonts w:ascii="Times New Roman" w:hAnsi="Times New Roman"/>
          <w:sz w:val="24"/>
          <w:szCs w:val="24"/>
        </w:rPr>
        <w:t>This report is prepared on</w:t>
      </w:r>
      <w:r w:rsidR="00500D37" w:rsidRPr="00812B71">
        <w:rPr>
          <w:rFonts w:ascii="Times New Roman" w:hAnsi="Times New Roman"/>
          <w:sz w:val="24"/>
          <w:szCs w:val="24"/>
        </w:rPr>
        <w:t xml:space="preserve"> </w:t>
      </w:r>
      <w:r w:rsidR="001536FA">
        <w:rPr>
          <w:rFonts w:ascii="Times New Roman" w:hAnsi="Times New Roman"/>
          <w:sz w:val="24"/>
          <w:szCs w:val="24"/>
        </w:rPr>
        <w:t>important</w:t>
      </w:r>
      <w:r w:rsidR="00B2093B" w:rsidRPr="00812B71">
        <w:rPr>
          <w:rFonts w:ascii="Times New Roman" w:hAnsi="Times New Roman"/>
          <w:sz w:val="24"/>
          <w:szCs w:val="24"/>
        </w:rPr>
        <w:t xml:space="preserve"> laws, regulations and cont</w:t>
      </w:r>
      <w:r w:rsidR="00B53715" w:rsidRPr="00812B71">
        <w:rPr>
          <w:rFonts w:ascii="Times New Roman" w:hAnsi="Times New Roman"/>
          <w:sz w:val="24"/>
          <w:szCs w:val="24"/>
        </w:rPr>
        <w:t>r</w:t>
      </w:r>
      <w:r w:rsidR="00B2093B" w:rsidRPr="00812B71">
        <w:rPr>
          <w:rFonts w:ascii="Times New Roman" w:hAnsi="Times New Roman"/>
          <w:sz w:val="24"/>
          <w:szCs w:val="24"/>
        </w:rPr>
        <w:t>act</w:t>
      </w:r>
      <w:r w:rsidR="00FF5779">
        <w:rPr>
          <w:rFonts w:ascii="Times New Roman" w:hAnsi="Times New Roman"/>
          <w:sz w:val="24"/>
          <w:szCs w:val="24"/>
        </w:rPr>
        <w:t xml:space="preserve"> introduced</w:t>
      </w:r>
      <w:r w:rsidR="00B31D33" w:rsidRPr="00812B71">
        <w:rPr>
          <w:rFonts w:ascii="Times New Roman" w:hAnsi="Times New Roman"/>
          <w:sz w:val="24"/>
          <w:szCs w:val="24"/>
        </w:rPr>
        <w:t xml:space="preserve"> </w:t>
      </w:r>
      <w:r w:rsidR="00D57CEC" w:rsidRPr="00812B71">
        <w:rPr>
          <w:rFonts w:ascii="Times New Roman" w:hAnsi="Times New Roman"/>
          <w:sz w:val="24"/>
          <w:szCs w:val="24"/>
        </w:rPr>
        <w:t xml:space="preserve">in </w:t>
      </w:r>
      <w:r w:rsidR="003357E4" w:rsidRPr="00812B71">
        <w:rPr>
          <w:rFonts w:ascii="Times New Roman" w:hAnsi="Times New Roman"/>
          <w:sz w:val="24"/>
          <w:szCs w:val="24"/>
        </w:rPr>
        <w:t xml:space="preserve">the </w:t>
      </w:r>
      <w:r w:rsidR="00D57CEC" w:rsidRPr="00812B71">
        <w:rPr>
          <w:rFonts w:ascii="Times New Roman" w:hAnsi="Times New Roman"/>
          <w:sz w:val="24"/>
          <w:szCs w:val="24"/>
        </w:rPr>
        <w:t>United States</w:t>
      </w:r>
      <w:r w:rsidR="009E4117">
        <w:rPr>
          <w:rFonts w:ascii="Times New Roman" w:hAnsi="Times New Roman"/>
          <w:sz w:val="24"/>
          <w:szCs w:val="24"/>
        </w:rPr>
        <w:t xml:space="preserve"> after </w:t>
      </w:r>
      <w:r w:rsidR="009E4117" w:rsidRPr="00812B71">
        <w:rPr>
          <w:rFonts w:ascii="Times New Roman" w:hAnsi="Times New Roman"/>
          <w:sz w:val="24"/>
          <w:szCs w:val="24"/>
        </w:rPr>
        <w:t>the 2008 financial crisis</w:t>
      </w:r>
      <w:r w:rsidR="003357E4" w:rsidRPr="00812B71">
        <w:rPr>
          <w:rFonts w:ascii="Times New Roman" w:hAnsi="Times New Roman"/>
          <w:sz w:val="24"/>
          <w:szCs w:val="24"/>
        </w:rPr>
        <w:t>. Ini</w:t>
      </w:r>
      <w:r w:rsidR="005A17E5" w:rsidRPr="00812B71">
        <w:rPr>
          <w:rFonts w:ascii="Times New Roman" w:hAnsi="Times New Roman"/>
          <w:sz w:val="24"/>
          <w:szCs w:val="24"/>
        </w:rPr>
        <w:t xml:space="preserve">tially, </w:t>
      </w:r>
      <w:r w:rsidR="00530E85">
        <w:rPr>
          <w:rFonts w:ascii="Times New Roman" w:hAnsi="Times New Roman"/>
          <w:sz w:val="24"/>
          <w:szCs w:val="24"/>
        </w:rPr>
        <w:t xml:space="preserve">it outlines the evolution of </w:t>
      </w:r>
      <w:r w:rsidR="00FE67F3">
        <w:rPr>
          <w:rFonts w:ascii="Times New Roman" w:hAnsi="Times New Roman"/>
          <w:sz w:val="24"/>
          <w:szCs w:val="24"/>
        </w:rPr>
        <w:t xml:space="preserve">various </w:t>
      </w:r>
      <w:r w:rsidR="00A014E6" w:rsidRPr="00812B71">
        <w:rPr>
          <w:rFonts w:ascii="Times New Roman" w:hAnsi="Times New Roman"/>
          <w:sz w:val="24"/>
          <w:szCs w:val="24"/>
        </w:rPr>
        <w:t>Acts</w:t>
      </w:r>
      <w:r w:rsidR="00812B52" w:rsidRPr="00812B71">
        <w:rPr>
          <w:rFonts w:ascii="Times New Roman" w:hAnsi="Times New Roman"/>
          <w:sz w:val="24"/>
          <w:szCs w:val="24"/>
        </w:rPr>
        <w:t xml:space="preserve"> and programs</w:t>
      </w:r>
      <w:r w:rsidR="004E5D59" w:rsidRPr="00812B71">
        <w:rPr>
          <w:rFonts w:ascii="Times New Roman" w:hAnsi="Times New Roman"/>
          <w:sz w:val="24"/>
          <w:szCs w:val="24"/>
        </w:rPr>
        <w:t xml:space="preserve"> </w:t>
      </w:r>
      <w:r w:rsidR="00FE67F3">
        <w:rPr>
          <w:rFonts w:ascii="Times New Roman" w:hAnsi="Times New Roman"/>
          <w:sz w:val="24"/>
          <w:szCs w:val="24"/>
        </w:rPr>
        <w:t xml:space="preserve">as well as </w:t>
      </w:r>
      <w:r w:rsidR="004E5D59" w:rsidRPr="00812B71">
        <w:rPr>
          <w:rFonts w:ascii="Times New Roman" w:hAnsi="Times New Roman"/>
          <w:sz w:val="24"/>
          <w:szCs w:val="24"/>
        </w:rPr>
        <w:t xml:space="preserve">the </w:t>
      </w:r>
      <w:r w:rsidR="00422ABC">
        <w:rPr>
          <w:rFonts w:ascii="Times New Roman" w:hAnsi="Times New Roman"/>
          <w:sz w:val="24"/>
          <w:szCs w:val="24"/>
        </w:rPr>
        <w:t>immediate actions taken</w:t>
      </w:r>
      <w:r w:rsidR="005554AF" w:rsidRPr="00812B71">
        <w:rPr>
          <w:rFonts w:ascii="Times New Roman" w:hAnsi="Times New Roman"/>
          <w:sz w:val="24"/>
          <w:szCs w:val="24"/>
        </w:rPr>
        <w:t xml:space="preserve"> by the United States </w:t>
      </w:r>
      <w:r w:rsidR="00207D72">
        <w:rPr>
          <w:rFonts w:ascii="Times New Roman" w:hAnsi="Times New Roman"/>
          <w:sz w:val="24"/>
          <w:szCs w:val="24"/>
        </w:rPr>
        <w:t>to alleviate the crisis-driven</w:t>
      </w:r>
      <w:r w:rsidR="001C2AD7" w:rsidRPr="00812B71">
        <w:rPr>
          <w:rFonts w:ascii="Times New Roman" w:hAnsi="Times New Roman"/>
          <w:sz w:val="24"/>
          <w:szCs w:val="24"/>
        </w:rPr>
        <w:t xml:space="preserve"> </w:t>
      </w:r>
      <w:r w:rsidR="00F47A63" w:rsidRPr="00812B71">
        <w:rPr>
          <w:rFonts w:ascii="Times New Roman" w:hAnsi="Times New Roman"/>
          <w:sz w:val="24"/>
          <w:szCs w:val="24"/>
        </w:rPr>
        <w:t xml:space="preserve">panic. </w:t>
      </w:r>
      <w:r w:rsidR="00AC6F00" w:rsidRPr="00812B71">
        <w:rPr>
          <w:rFonts w:ascii="Times New Roman" w:hAnsi="Times New Roman"/>
          <w:sz w:val="24"/>
          <w:szCs w:val="24"/>
        </w:rPr>
        <w:t xml:space="preserve">Secondly, </w:t>
      </w:r>
      <w:r w:rsidR="006C0E73" w:rsidRPr="00812B71">
        <w:rPr>
          <w:rFonts w:ascii="Times New Roman" w:hAnsi="Times New Roman"/>
          <w:sz w:val="24"/>
          <w:szCs w:val="24"/>
        </w:rPr>
        <w:t xml:space="preserve">it discusses the </w:t>
      </w:r>
      <w:r w:rsidR="00EF0EA5" w:rsidRPr="00812B71">
        <w:rPr>
          <w:rFonts w:ascii="Times New Roman" w:hAnsi="Times New Roman"/>
          <w:sz w:val="24"/>
          <w:szCs w:val="24"/>
        </w:rPr>
        <w:t xml:space="preserve">Global </w:t>
      </w:r>
      <w:r w:rsidR="008C68E1" w:rsidRPr="00812B71">
        <w:rPr>
          <w:rFonts w:ascii="Times New Roman" w:hAnsi="Times New Roman"/>
          <w:sz w:val="24"/>
          <w:szCs w:val="24"/>
        </w:rPr>
        <w:t>adjustment of laws</w:t>
      </w:r>
      <w:r w:rsidR="00656606" w:rsidRPr="00812B71">
        <w:rPr>
          <w:rFonts w:ascii="Times New Roman" w:hAnsi="Times New Roman"/>
          <w:sz w:val="24"/>
          <w:szCs w:val="24"/>
        </w:rPr>
        <w:t xml:space="preserve"> and regulations</w:t>
      </w:r>
      <w:r w:rsidR="002A5731" w:rsidRPr="00812B71">
        <w:rPr>
          <w:rFonts w:ascii="Times New Roman" w:hAnsi="Times New Roman"/>
          <w:sz w:val="24"/>
          <w:szCs w:val="24"/>
        </w:rPr>
        <w:t xml:space="preserve"> </w:t>
      </w:r>
      <w:r w:rsidR="00EA28DE" w:rsidRPr="00812B71">
        <w:rPr>
          <w:rFonts w:ascii="Times New Roman" w:hAnsi="Times New Roman"/>
          <w:sz w:val="24"/>
          <w:szCs w:val="24"/>
        </w:rPr>
        <w:t xml:space="preserve">to </w:t>
      </w:r>
      <w:r w:rsidR="006A5C01" w:rsidRPr="00812B71">
        <w:rPr>
          <w:rFonts w:ascii="Times New Roman" w:hAnsi="Times New Roman"/>
          <w:sz w:val="24"/>
          <w:szCs w:val="24"/>
        </w:rPr>
        <w:t xml:space="preserve">end </w:t>
      </w:r>
      <w:r w:rsidR="00EA28DE" w:rsidRPr="00812B71">
        <w:rPr>
          <w:rFonts w:ascii="Times New Roman" w:hAnsi="Times New Roman"/>
          <w:sz w:val="24"/>
          <w:szCs w:val="24"/>
        </w:rPr>
        <w:t xml:space="preserve">the financial crisis. </w:t>
      </w:r>
      <w:r w:rsidR="003545BF" w:rsidRPr="00812B71">
        <w:rPr>
          <w:rFonts w:ascii="Times New Roman" w:hAnsi="Times New Roman"/>
          <w:sz w:val="24"/>
          <w:szCs w:val="24"/>
        </w:rPr>
        <w:t>Fu</w:t>
      </w:r>
      <w:r w:rsidR="00A6009B" w:rsidRPr="00812B71">
        <w:rPr>
          <w:rFonts w:ascii="Times New Roman" w:hAnsi="Times New Roman"/>
          <w:sz w:val="24"/>
          <w:szCs w:val="24"/>
        </w:rPr>
        <w:t>r</w:t>
      </w:r>
      <w:r w:rsidR="003545BF" w:rsidRPr="00812B71">
        <w:rPr>
          <w:rFonts w:ascii="Times New Roman" w:hAnsi="Times New Roman"/>
          <w:sz w:val="24"/>
          <w:szCs w:val="24"/>
        </w:rPr>
        <w:t>th</w:t>
      </w:r>
      <w:r w:rsidR="00F63C19" w:rsidRPr="00812B71">
        <w:rPr>
          <w:rFonts w:ascii="Times New Roman" w:hAnsi="Times New Roman"/>
          <w:sz w:val="24"/>
          <w:szCs w:val="24"/>
        </w:rPr>
        <w:t xml:space="preserve">er, it </w:t>
      </w:r>
      <w:r w:rsidR="00CD4866" w:rsidRPr="00812B71">
        <w:rPr>
          <w:rFonts w:ascii="Times New Roman" w:hAnsi="Times New Roman"/>
          <w:sz w:val="24"/>
          <w:szCs w:val="24"/>
        </w:rPr>
        <w:t xml:space="preserve">explains </w:t>
      </w:r>
      <w:r w:rsidR="0094352F">
        <w:rPr>
          <w:rFonts w:ascii="Times New Roman" w:hAnsi="Times New Roman"/>
          <w:sz w:val="24"/>
          <w:szCs w:val="24"/>
        </w:rPr>
        <w:t xml:space="preserve">the role played by these adapted laws and regulations </w:t>
      </w:r>
      <w:r w:rsidR="008220A2">
        <w:rPr>
          <w:rFonts w:ascii="Times New Roman" w:hAnsi="Times New Roman"/>
          <w:sz w:val="24"/>
          <w:szCs w:val="24"/>
        </w:rPr>
        <w:t xml:space="preserve">in restoring stability to the financial system and </w:t>
      </w:r>
      <w:r w:rsidR="001D4588">
        <w:rPr>
          <w:rFonts w:ascii="Times New Roman" w:hAnsi="Times New Roman"/>
          <w:sz w:val="24"/>
          <w:szCs w:val="24"/>
        </w:rPr>
        <w:t>different</w:t>
      </w:r>
      <w:r w:rsidR="008220A2">
        <w:rPr>
          <w:rFonts w:ascii="Times New Roman" w:hAnsi="Times New Roman"/>
          <w:sz w:val="24"/>
          <w:szCs w:val="24"/>
        </w:rPr>
        <w:t xml:space="preserve"> bank</w:t>
      </w:r>
      <w:r w:rsidR="00C9016C">
        <w:rPr>
          <w:rFonts w:ascii="Times New Roman" w:hAnsi="Times New Roman"/>
          <w:sz w:val="24"/>
          <w:szCs w:val="24"/>
        </w:rPr>
        <w:t>ing entities</w:t>
      </w:r>
      <w:r w:rsidR="0084514E" w:rsidRPr="00812B71">
        <w:rPr>
          <w:rFonts w:ascii="Times New Roman" w:hAnsi="Times New Roman"/>
          <w:sz w:val="24"/>
          <w:szCs w:val="24"/>
        </w:rPr>
        <w:t>. Finally,</w:t>
      </w:r>
      <w:r w:rsidR="003A7E09" w:rsidRPr="00812B71">
        <w:rPr>
          <w:rFonts w:ascii="Times New Roman" w:hAnsi="Times New Roman"/>
          <w:sz w:val="24"/>
          <w:szCs w:val="24"/>
        </w:rPr>
        <w:t xml:space="preserve"> we conclude on JPMorgan Chase and Co. to understand how </w:t>
      </w:r>
      <w:r w:rsidR="003943F9" w:rsidRPr="00812B71">
        <w:rPr>
          <w:rFonts w:ascii="Times New Roman" w:hAnsi="Times New Roman"/>
          <w:sz w:val="24"/>
          <w:szCs w:val="24"/>
        </w:rPr>
        <w:t xml:space="preserve">2008 financial crisis impacted the whole business and how it copes with US laws, regulations and contracts. We talked about how it </w:t>
      </w:r>
      <w:r w:rsidR="00C76840" w:rsidRPr="00812B71">
        <w:rPr>
          <w:rFonts w:ascii="Times New Roman" w:hAnsi="Times New Roman"/>
          <w:sz w:val="24"/>
          <w:szCs w:val="24"/>
        </w:rPr>
        <w:t>approaches</w:t>
      </w:r>
      <w:r w:rsidR="003943F9" w:rsidRPr="00812B71">
        <w:rPr>
          <w:rFonts w:ascii="Times New Roman" w:hAnsi="Times New Roman"/>
          <w:sz w:val="24"/>
          <w:szCs w:val="24"/>
        </w:rPr>
        <w:t xml:space="preserve"> new compliance and non-compliance issues which attributes in positive financial impacts.</w:t>
      </w:r>
    </w:p>
    <w:p w14:paraId="41F72F0A" w14:textId="77777777" w:rsidR="003A7E09" w:rsidRPr="00812B71" w:rsidRDefault="003A7E09" w:rsidP="0096660C">
      <w:pPr>
        <w:pStyle w:val="ListParagraph"/>
        <w:spacing w:after="0" w:line="276" w:lineRule="auto"/>
        <w:ind w:left="0"/>
        <w:jc w:val="both"/>
        <w:rPr>
          <w:rFonts w:ascii="Times New Roman" w:hAnsi="Times New Roman"/>
          <w:sz w:val="24"/>
          <w:szCs w:val="24"/>
        </w:rPr>
      </w:pPr>
    </w:p>
    <w:p w14:paraId="1C2E97ED" w14:textId="4E4C09F6" w:rsidR="00853F1F" w:rsidRPr="00812B71" w:rsidRDefault="00853F1F" w:rsidP="0096660C">
      <w:pPr>
        <w:pStyle w:val="Heading1"/>
        <w:numPr>
          <w:ilvl w:val="0"/>
          <w:numId w:val="13"/>
        </w:numPr>
        <w:ind w:left="426" w:hanging="426"/>
        <w:jc w:val="both"/>
        <w:rPr>
          <w:b w:val="0"/>
          <w:sz w:val="24"/>
          <w:szCs w:val="24"/>
        </w:rPr>
      </w:pPr>
      <w:bookmarkStart w:id="4" w:name="_Toc143446313"/>
      <w:bookmarkStart w:id="5" w:name="_Toc143446345"/>
      <w:bookmarkStart w:id="6" w:name="_Toc143447273"/>
      <w:r w:rsidRPr="00812B71">
        <w:rPr>
          <w:sz w:val="24"/>
          <w:szCs w:val="24"/>
        </w:rPr>
        <w:t>Identification of key laws, regulations and contracts</w:t>
      </w:r>
      <w:bookmarkEnd w:id="3"/>
      <w:bookmarkEnd w:id="4"/>
      <w:bookmarkEnd w:id="5"/>
      <w:bookmarkEnd w:id="6"/>
      <w:r w:rsidRPr="00812B71">
        <w:rPr>
          <w:sz w:val="24"/>
          <w:szCs w:val="24"/>
        </w:rPr>
        <w:t xml:space="preserve"> </w:t>
      </w:r>
    </w:p>
    <w:p w14:paraId="1C2E97EE" w14:textId="77777777" w:rsidR="00853F1F" w:rsidRPr="00812B71" w:rsidRDefault="00C74E0A" w:rsidP="0096660C">
      <w:pPr>
        <w:jc w:val="both"/>
        <w:rPr>
          <w:rFonts w:ascii="Times New Roman" w:hAnsi="Times New Roman"/>
          <w:sz w:val="24"/>
          <w:szCs w:val="24"/>
        </w:rPr>
      </w:pPr>
      <w:r w:rsidRPr="00812B71">
        <w:rPr>
          <w:rFonts w:ascii="Times New Roman" w:hAnsi="Times New Roman"/>
          <w:sz w:val="24"/>
          <w:szCs w:val="24"/>
        </w:rPr>
        <w:t xml:space="preserve">In the aftermath of the 2008 financial crisis, the United States implemented various legislative measures, regulations, and agreements to address the challenges that surfaced, particularly within the real estate and mortgage sectors. </w:t>
      </w:r>
    </w:p>
    <w:p w14:paraId="1C2E97EF" w14:textId="2DD62BD0" w:rsidR="00853F1F" w:rsidRPr="00812B71" w:rsidRDefault="007F13C2" w:rsidP="0096660C">
      <w:pPr>
        <w:pStyle w:val="Heading2"/>
        <w:numPr>
          <w:ilvl w:val="1"/>
          <w:numId w:val="27"/>
        </w:numPr>
        <w:jc w:val="both"/>
        <w:rPr>
          <w:b w:val="0"/>
          <w:sz w:val="24"/>
          <w:szCs w:val="24"/>
        </w:rPr>
      </w:pPr>
      <w:bookmarkStart w:id="7" w:name="_Toc143430436"/>
      <w:r w:rsidRPr="00812B71">
        <w:rPr>
          <w:sz w:val="24"/>
          <w:szCs w:val="24"/>
        </w:rPr>
        <w:t xml:space="preserve"> </w:t>
      </w:r>
      <w:bookmarkStart w:id="8" w:name="_Toc143446314"/>
      <w:bookmarkStart w:id="9" w:name="_Toc143446346"/>
      <w:bookmarkStart w:id="10" w:name="_Toc143447274"/>
      <w:r w:rsidR="00853F1F" w:rsidRPr="00812B71">
        <w:rPr>
          <w:sz w:val="24"/>
          <w:szCs w:val="24"/>
        </w:rPr>
        <w:t>Developments:</w:t>
      </w:r>
      <w:bookmarkEnd w:id="7"/>
      <w:bookmarkEnd w:id="8"/>
      <w:bookmarkEnd w:id="9"/>
      <w:bookmarkEnd w:id="10"/>
    </w:p>
    <w:p w14:paraId="7FC57477" w14:textId="77777777" w:rsidR="00932ABC" w:rsidRPr="00812B71" w:rsidRDefault="00C74E0A" w:rsidP="0096660C">
      <w:pPr>
        <w:jc w:val="both"/>
        <w:rPr>
          <w:rFonts w:ascii="Times New Roman" w:hAnsi="Times New Roman"/>
        </w:rPr>
      </w:pPr>
      <w:r w:rsidRPr="00812B71">
        <w:rPr>
          <w:rFonts w:ascii="Times New Roman" w:hAnsi="Times New Roman"/>
        </w:rPr>
        <w:t>Some notable developments include:</w:t>
      </w:r>
      <w:bookmarkStart w:id="11" w:name="_Toc143428107"/>
      <w:bookmarkStart w:id="12" w:name="_Toc143430437"/>
      <w:bookmarkStart w:id="13" w:name="_Toc143446347"/>
    </w:p>
    <w:p w14:paraId="1C2E97F1" w14:textId="0D2D4423" w:rsidR="00C74E0A" w:rsidRPr="00812B71" w:rsidRDefault="00C74E0A" w:rsidP="0096660C">
      <w:pPr>
        <w:pStyle w:val="ListParagraph"/>
        <w:numPr>
          <w:ilvl w:val="0"/>
          <w:numId w:val="39"/>
        </w:numPr>
        <w:jc w:val="both"/>
        <w:rPr>
          <w:rFonts w:ascii="Times New Roman" w:hAnsi="Times New Roman"/>
        </w:rPr>
      </w:pPr>
      <w:r w:rsidRPr="00812B71">
        <w:rPr>
          <w:rFonts w:ascii="Times New Roman" w:hAnsi="Times New Roman"/>
          <w:b/>
          <w:bCs/>
        </w:rPr>
        <w:t>Dodd-Frank Wall Street Reform and Consumer Protection Act (2010):</w:t>
      </w:r>
      <w:bookmarkEnd w:id="11"/>
      <w:bookmarkEnd w:id="12"/>
      <w:bookmarkEnd w:id="13"/>
      <w:r w:rsidRPr="00812B71">
        <w:rPr>
          <w:rFonts w:ascii="Times New Roman" w:hAnsi="Times New Roman"/>
        </w:rPr>
        <w:t xml:space="preserve"> This comprehensive legislation was enacted as a response to the crisis, with the aim of bolstering financial stability and shielding consumers. It established the Consumer Financial Protection Bureau (CFPB) to oversee and regulate financial services and products, including mortgages, to ensure equitable practices and curb predatory lending.</w:t>
      </w:r>
    </w:p>
    <w:p w14:paraId="1C2E97F2" w14:textId="172A6DC9" w:rsidR="00C74E0A" w:rsidRPr="00812B71" w:rsidRDefault="00C74E0A" w:rsidP="0096660C">
      <w:pPr>
        <w:pStyle w:val="ListParagraph"/>
        <w:numPr>
          <w:ilvl w:val="0"/>
          <w:numId w:val="39"/>
        </w:numPr>
        <w:jc w:val="both"/>
        <w:rPr>
          <w:rFonts w:ascii="Times New Roman" w:hAnsi="Times New Roman"/>
        </w:rPr>
      </w:pPr>
      <w:bookmarkStart w:id="14" w:name="_Toc143428108"/>
      <w:bookmarkStart w:id="15" w:name="_Toc143430438"/>
      <w:bookmarkStart w:id="16" w:name="_Toc143446348"/>
      <w:r w:rsidRPr="00812B71">
        <w:rPr>
          <w:rFonts w:ascii="Times New Roman" w:hAnsi="Times New Roman"/>
          <w:b/>
          <w:bCs/>
        </w:rPr>
        <w:t>Emergency Economic Stabilization Act (2008):</w:t>
      </w:r>
      <w:bookmarkEnd w:id="14"/>
      <w:bookmarkEnd w:id="15"/>
      <w:bookmarkEnd w:id="16"/>
      <w:r w:rsidR="00DC5F4A" w:rsidRPr="00812B71">
        <w:rPr>
          <w:rFonts w:ascii="Times New Roman" w:hAnsi="Times New Roman"/>
        </w:rPr>
        <w:t xml:space="preserve"> </w:t>
      </w:r>
      <w:r w:rsidRPr="00812B71">
        <w:rPr>
          <w:rFonts w:ascii="Times New Roman" w:hAnsi="Times New Roman"/>
        </w:rPr>
        <w:t>This act led to the creation of the Distressed Asset Relief Program (TARP), which was designed to stabilize the financial system. It granted the government the authority to purchase and guarantee distressed assets like mortgage-backed securities.</w:t>
      </w:r>
    </w:p>
    <w:p w14:paraId="1C2E97F3" w14:textId="41A8A438" w:rsidR="006D2FB9" w:rsidRPr="00812B71" w:rsidRDefault="00C74E0A" w:rsidP="0096660C">
      <w:pPr>
        <w:pStyle w:val="ListParagraph"/>
        <w:numPr>
          <w:ilvl w:val="0"/>
          <w:numId w:val="39"/>
        </w:numPr>
        <w:jc w:val="both"/>
        <w:rPr>
          <w:rFonts w:ascii="Times New Roman" w:hAnsi="Times New Roman"/>
          <w:lang w:val="en"/>
        </w:rPr>
      </w:pPr>
      <w:bookmarkStart w:id="17" w:name="_Toc143428109"/>
      <w:bookmarkStart w:id="18" w:name="_Toc143430439"/>
      <w:bookmarkStart w:id="19" w:name="_Toc143446349"/>
      <w:r w:rsidRPr="00812B71">
        <w:rPr>
          <w:rFonts w:ascii="Times New Roman" w:hAnsi="Times New Roman"/>
          <w:b/>
          <w:bCs/>
        </w:rPr>
        <w:t>Home Affordable Modification Program (HAMP):</w:t>
      </w:r>
      <w:bookmarkEnd w:id="17"/>
      <w:bookmarkEnd w:id="18"/>
      <w:bookmarkEnd w:id="19"/>
      <w:r w:rsidRPr="00812B71">
        <w:rPr>
          <w:rFonts w:ascii="Times New Roman" w:hAnsi="Times New Roman"/>
        </w:rPr>
        <w:t xml:space="preserve"> As a component of the broader Making Home Affordable Program, HAMP aimed to make qualifying loans more manageable for borrowers. Its objective was to assist homeowners facing difficulties in order to prevent foreclosures.</w:t>
      </w:r>
    </w:p>
    <w:p w14:paraId="1C2E97F4" w14:textId="15587715" w:rsidR="004E698D" w:rsidRPr="00812B71" w:rsidRDefault="004E698D" w:rsidP="0096660C">
      <w:pPr>
        <w:pStyle w:val="ListParagraph"/>
        <w:numPr>
          <w:ilvl w:val="0"/>
          <w:numId w:val="39"/>
        </w:numPr>
        <w:jc w:val="both"/>
        <w:rPr>
          <w:rFonts w:ascii="Times New Roman" w:hAnsi="Times New Roman"/>
          <w:lang w:val="en"/>
        </w:rPr>
      </w:pPr>
      <w:bookmarkStart w:id="20" w:name="_Toc143428110"/>
      <w:bookmarkStart w:id="21" w:name="_Toc143430440"/>
      <w:bookmarkStart w:id="22" w:name="_Toc143446350"/>
      <w:r w:rsidRPr="00812B71">
        <w:rPr>
          <w:rFonts w:ascii="Times New Roman" w:hAnsi="Times New Roman"/>
          <w:b/>
          <w:bCs/>
        </w:rPr>
        <w:t>Mortgage Reform and Anti-Predatory Lending Act (2010):</w:t>
      </w:r>
      <w:bookmarkEnd w:id="20"/>
      <w:bookmarkEnd w:id="21"/>
      <w:bookmarkEnd w:id="22"/>
      <w:r w:rsidRPr="00812B71">
        <w:rPr>
          <w:rFonts w:ascii="Times New Roman" w:hAnsi="Times New Roman"/>
          <w:lang w:val="en"/>
        </w:rPr>
        <w:t xml:space="preserve"> </w:t>
      </w:r>
      <w:r w:rsidR="006D2FB9" w:rsidRPr="00812B71">
        <w:rPr>
          <w:rFonts w:ascii="Times New Roman" w:hAnsi="Times New Roman"/>
          <w:lang w:val="en"/>
        </w:rPr>
        <w:t>This section of the Dodd-Frank Act introduced fresh standards and safeguards concerning mortgage lending, aiming to provide enhanced borrower protection. Among its measures, it mandated lenders to confirm a borrower's capacity to repay a mortgage and banned specific exploitative lending practices.</w:t>
      </w:r>
    </w:p>
    <w:p w14:paraId="1C2E97F5" w14:textId="2B6F7F0C" w:rsidR="004E698D" w:rsidRPr="00812B71" w:rsidRDefault="004E698D" w:rsidP="0096660C">
      <w:pPr>
        <w:pStyle w:val="ListParagraph"/>
        <w:numPr>
          <w:ilvl w:val="0"/>
          <w:numId w:val="39"/>
        </w:numPr>
        <w:jc w:val="both"/>
        <w:rPr>
          <w:rFonts w:ascii="Times New Roman" w:hAnsi="Times New Roman"/>
          <w:lang w:val="en"/>
        </w:rPr>
      </w:pPr>
      <w:bookmarkStart w:id="23" w:name="_Toc143428111"/>
      <w:bookmarkStart w:id="24" w:name="_Toc143430441"/>
      <w:bookmarkStart w:id="25" w:name="_Toc143446351"/>
      <w:r w:rsidRPr="00812B71">
        <w:rPr>
          <w:rFonts w:ascii="Times New Roman" w:hAnsi="Times New Roman"/>
          <w:b/>
          <w:bCs/>
        </w:rPr>
        <w:t>Credit CARD Act (2009):</w:t>
      </w:r>
      <w:bookmarkEnd w:id="23"/>
      <w:bookmarkEnd w:id="24"/>
      <w:bookmarkEnd w:id="25"/>
      <w:r w:rsidRPr="00812B71">
        <w:rPr>
          <w:rFonts w:ascii="Times New Roman" w:hAnsi="Times New Roman"/>
          <w:lang w:val="en"/>
        </w:rPr>
        <w:t xml:space="preserve"> </w:t>
      </w:r>
      <w:r w:rsidR="006D2FB9" w:rsidRPr="00812B71">
        <w:rPr>
          <w:rFonts w:ascii="Times New Roman" w:hAnsi="Times New Roman"/>
          <w:lang w:val="en"/>
        </w:rPr>
        <w:t>While not directly centered on mortgages, this act primarily addressed credit card operations, encompassing clauses that bolstered safeguards for consumers and mandated increased clarity regarding credit card conditions and charges</w:t>
      </w:r>
      <w:r w:rsidR="00FA3E69" w:rsidRPr="00812B71">
        <w:rPr>
          <w:rFonts w:ascii="Times New Roman" w:hAnsi="Times New Roman"/>
          <w:lang w:val="en"/>
        </w:rPr>
        <w:t xml:space="preserve"> (Polk et al; 2009)</w:t>
      </w:r>
    </w:p>
    <w:p w14:paraId="1C2E97F6" w14:textId="24157E46" w:rsidR="004E698D" w:rsidRPr="00812B71" w:rsidRDefault="004E698D" w:rsidP="0096660C">
      <w:pPr>
        <w:pStyle w:val="ListParagraph"/>
        <w:numPr>
          <w:ilvl w:val="0"/>
          <w:numId w:val="39"/>
        </w:numPr>
        <w:jc w:val="both"/>
        <w:rPr>
          <w:rFonts w:ascii="Times New Roman" w:hAnsi="Times New Roman"/>
          <w:lang w:val="en"/>
        </w:rPr>
      </w:pPr>
      <w:bookmarkStart w:id="26" w:name="_Toc143428112"/>
      <w:bookmarkStart w:id="27" w:name="_Toc143430442"/>
      <w:bookmarkStart w:id="28" w:name="_Toc143446352"/>
      <w:r w:rsidRPr="00812B71">
        <w:rPr>
          <w:rFonts w:ascii="Times New Roman" w:hAnsi="Times New Roman"/>
          <w:b/>
          <w:bCs/>
        </w:rPr>
        <w:t>Foreclosure prevention efforts:</w:t>
      </w:r>
      <w:bookmarkEnd w:id="26"/>
      <w:bookmarkEnd w:id="27"/>
      <w:bookmarkEnd w:id="28"/>
      <w:r w:rsidRPr="00812B71">
        <w:rPr>
          <w:rFonts w:ascii="Times New Roman" w:hAnsi="Times New Roman"/>
          <w:lang w:val="en"/>
        </w:rPr>
        <w:t xml:space="preserve"> </w:t>
      </w:r>
      <w:r w:rsidR="008E2983" w:rsidRPr="00812B71">
        <w:rPr>
          <w:rFonts w:ascii="Times New Roman" w:hAnsi="Times New Roman"/>
          <w:lang w:val="en"/>
        </w:rPr>
        <w:t>Numerous states and federal entities adopted strategies to tackle the surge in mortgage payment defaults and property seizures. Some of these initiatives encompassed temporary halts on foreclosures, programs facilitating negotiations during foreclosures, and tailored support aimed at homeowners facing financial strain.</w:t>
      </w:r>
    </w:p>
    <w:p w14:paraId="3EF3D8AB" w14:textId="77777777" w:rsidR="0062422E" w:rsidRPr="00812B71" w:rsidRDefault="0062422E" w:rsidP="0062422E">
      <w:pPr>
        <w:jc w:val="right"/>
        <w:rPr>
          <w:rFonts w:ascii="Times New Roman" w:hAnsi="Times New Roman"/>
          <w:lang w:val="en"/>
        </w:rPr>
      </w:pPr>
    </w:p>
    <w:p w14:paraId="1C2E97F7" w14:textId="562CFC8D" w:rsidR="004E698D" w:rsidRPr="00812B71" w:rsidRDefault="004E698D" w:rsidP="0096660C">
      <w:pPr>
        <w:pStyle w:val="ListParagraph"/>
        <w:numPr>
          <w:ilvl w:val="0"/>
          <w:numId w:val="39"/>
        </w:numPr>
        <w:jc w:val="both"/>
        <w:rPr>
          <w:rFonts w:ascii="Times New Roman" w:hAnsi="Times New Roman"/>
          <w:lang w:val="en"/>
        </w:rPr>
      </w:pPr>
      <w:bookmarkStart w:id="29" w:name="_Toc143428113"/>
      <w:bookmarkStart w:id="30" w:name="_Toc143430443"/>
      <w:bookmarkStart w:id="31" w:name="_Toc143446353"/>
      <w:r w:rsidRPr="00812B71">
        <w:rPr>
          <w:rFonts w:ascii="Times New Roman" w:hAnsi="Times New Roman"/>
          <w:b/>
          <w:bCs/>
        </w:rPr>
        <w:lastRenderedPageBreak/>
        <w:t>Mortgage servicer settlements:</w:t>
      </w:r>
      <w:bookmarkEnd w:id="29"/>
      <w:bookmarkEnd w:id="30"/>
      <w:bookmarkEnd w:id="31"/>
      <w:r w:rsidRPr="00812B71">
        <w:rPr>
          <w:rFonts w:ascii="Times New Roman" w:hAnsi="Times New Roman"/>
          <w:lang w:val="en"/>
        </w:rPr>
        <w:t xml:space="preserve"> </w:t>
      </w:r>
      <w:r w:rsidR="008E2983" w:rsidRPr="00812B71">
        <w:rPr>
          <w:rFonts w:ascii="Times New Roman" w:hAnsi="Times New Roman"/>
          <w:lang w:val="en"/>
        </w:rPr>
        <w:t>Legal actions and settlements were directed at various significant mortgage servicers due to their involvement in inappropriate foreclosure procedures and misconduct in mortgage servicing. These settlements led to monetary fines and mandates for enhanced operational standards.</w:t>
      </w:r>
    </w:p>
    <w:p w14:paraId="791D60D6" w14:textId="77777777" w:rsidR="00842F94" w:rsidRPr="00812B71" w:rsidRDefault="00842F94" w:rsidP="0096660C">
      <w:pPr>
        <w:pStyle w:val="Heading2"/>
        <w:numPr>
          <w:ilvl w:val="1"/>
          <w:numId w:val="27"/>
        </w:numPr>
        <w:ind w:left="426" w:hanging="426"/>
        <w:jc w:val="both"/>
        <w:rPr>
          <w:b w:val="0"/>
          <w:sz w:val="24"/>
          <w:szCs w:val="24"/>
        </w:rPr>
      </w:pPr>
      <w:bookmarkStart w:id="32" w:name="_Toc143430444"/>
      <w:bookmarkStart w:id="33" w:name="_Toc143446315"/>
      <w:bookmarkStart w:id="34" w:name="_Toc143446354"/>
      <w:bookmarkStart w:id="35" w:name="_Toc143447275"/>
      <w:r w:rsidRPr="00812B71">
        <w:rPr>
          <w:sz w:val="24"/>
          <w:szCs w:val="24"/>
        </w:rPr>
        <w:t>Emergency Responses to End the Panic</w:t>
      </w:r>
      <w:bookmarkEnd w:id="32"/>
      <w:bookmarkEnd w:id="33"/>
      <w:bookmarkEnd w:id="34"/>
      <w:bookmarkEnd w:id="35"/>
    </w:p>
    <w:p w14:paraId="732F5E4C" w14:textId="77777777" w:rsidR="007F13C2" w:rsidRPr="00812B71" w:rsidRDefault="00842F94" w:rsidP="0096660C">
      <w:pPr>
        <w:pStyle w:val="ListParagraph"/>
        <w:shd w:val="clear" w:color="auto" w:fill="FFFFFF"/>
        <w:spacing w:before="60" w:after="180" w:line="336" w:lineRule="atLeast"/>
        <w:ind w:left="0"/>
        <w:jc w:val="both"/>
        <w:rPr>
          <w:rFonts w:ascii="Times New Roman" w:hAnsi="Times New Roman"/>
          <w:sz w:val="24"/>
          <w:szCs w:val="24"/>
        </w:rPr>
      </w:pPr>
      <w:r w:rsidRPr="00812B71">
        <w:rPr>
          <w:rFonts w:ascii="Times New Roman" w:hAnsi="Times New Roman"/>
          <w:sz w:val="24"/>
          <w:szCs w:val="24"/>
        </w:rPr>
        <w:t>In order to combat the financial panic, the US implemented a number of programs, particularly the following:</w:t>
      </w:r>
      <w:bookmarkStart w:id="36" w:name="_Toc143430445"/>
    </w:p>
    <w:p w14:paraId="7F4812B4" w14:textId="3B248FBC" w:rsidR="000A6F07" w:rsidRPr="00812B71" w:rsidRDefault="00F2617F" w:rsidP="0096660C">
      <w:pPr>
        <w:pStyle w:val="Heading3"/>
        <w:numPr>
          <w:ilvl w:val="2"/>
          <w:numId w:val="28"/>
        </w:numPr>
        <w:ind w:left="709" w:hanging="709"/>
        <w:jc w:val="both"/>
        <w:rPr>
          <w:b w:val="0"/>
          <w:sz w:val="24"/>
        </w:rPr>
      </w:pPr>
      <w:bookmarkStart w:id="37" w:name="_Toc143446355"/>
      <w:bookmarkStart w:id="38" w:name="_Toc143447276"/>
      <w:r w:rsidRPr="00812B71">
        <w:rPr>
          <w:sz w:val="24"/>
          <w:lang w:val="en"/>
        </w:rPr>
        <w:t>T</w:t>
      </w:r>
      <w:r w:rsidR="00E41912" w:rsidRPr="00812B71">
        <w:rPr>
          <w:sz w:val="24"/>
          <w:lang w:val="en"/>
        </w:rPr>
        <w:t>roubled Asset Relief Program (TARP)</w:t>
      </w:r>
      <w:r w:rsidR="0001696F" w:rsidRPr="00812B71">
        <w:rPr>
          <w:sz w:val="24"/>
          <w:lang w:val="en"/>
        </w:rPr>
        <w:t>:</w:t>
      </w:r>
      <w:bookmarkEnd w:id="36"/>
      <w:bookmarkEnd w:id="37"/>
      <w:bookmarkEnd w:id="38"/>
    </w:p>
    <w:p w14:paraId="6A9F13D4" w14:textId="77777777" w:rsidR="00945314" w:rsidRPr="00812B71" w:rsidRDefault="00945314" w:rsidP="0096660C">
      <w:pPr>
        <w:jc w:val="both"/>
        <w:rPr>
          <w:rFonts w:ascii="Times New Roman" w:hAnsi="Times New Roman"/>
          <w:b/>
          <w:bCs/>
          <w:sz w:val="24"/>
          <w:szCs w:val="24"/>
          <w:lang w:val="en"/>
        </w:rPr>
      </w:pPr>
      <w:bookmarkStart w:id="39" w:name="_Toc143430446"/>
      <w:r w:rsidRPr="00812B71">
        <w:rPr>
          <w:rFonts w:ascii="Times New Roman" w:hAnsi="Times New Roman"/>
          <w:sz w:val="24"/>
          <w:szCs w:val="24"/>
        </w:rPr>
        <w:t>TARP, which the Treasury executed in accordance with the Emergency Economic Stabilization Act of 2008 (EESA), as revised by the American Recovery and Reinvestment Act of 2009 (ARRA). In an effort to stimulate economic growth, stabilize the U.S. financial system, and prevent avoidable foreclosures, the Treasury formulated various initiatives under TARP (Troubled Asset Relief Program). While the original authorization for TARP stood at $700 billion, the Dodd-Frank Wall Street Reform and Consumer Protection Act subsequently revised this authority to $475 billion. Across TARP's five distinct program domains, the following amounts were allocated from this overall sum:</w:t>
      </w:r>
      <w:bookmarkEnd w:id="39"/>
    </w:p>
    <w:p w14:paraId="73C88E05" w14:textId="77777777" w:rsidR="00945314" w:rsidRPr="00812B71" w:rsidRDefault="00945314" w:rsidP="0096660C">
      <w:pPr>
        <w:numPr>
          <w:ilvl w:val="0"/>
          <w:numId w:val="11"/>
        </w:numPr>
        <w:spacing w:before="60" w:after="60" w:line="240" w:lineRule="auto"/>
        <w:ind w:left="284" w:hanging="284"/>
        <w:jc w:val="both"/>
        <w:rPr>
          <w:rFonts w:ascii="Times New Roman" w:hAnsi="Times New Roman"/>
          <w:sz w:val="24"/>
          <w:szCs w:val="24"/>
        </w:rPr>
      </w:pPr>
      <w:r w:rsidRPr="00812B71">
        <w:rPr>
          <w:rFonts w:ascii="Times New Roman" w:hAnsi="Times New Roman"/>
          <w:sz w:val="24"/>
          <w:szCs w:val="24"/>
        </w:rPr>
        <w:t>Programs to stabilize banking institutions cost over $250 billion, of which $5 billion were ultimately canceled.</w:t>
      </w:r>
    </w:p>
    <w:p w14:paraId="6FFD4622" w14:textId="77777777" w:rsidR="00945314" w:rsidRPr="00812B71" w:rsidRDefault="00945314" w:rsidP="0096660C">
      <w:pPr>
        <w:numPr>
          <w:ilvl w:val="0"/>
          <w:numId w:val="11"/>
        </w:numPr>
        <w:spacing w:before="60" w:after="60" w:line="240" w:lineRule="auto"/>
        <w:ind w:left="284" w:hanging="284"/>
        <w:jc w:val="both"/>
        <w:rPr>
          <w:rFonts w:ascii="Times New Roman" w:hAnsi="Times New Roman"/>
          <w:sz w:val="24"/>
          <w:szCs w:val="24"/>
        </w:rPr>
      </w:pPr>
      <w:r w:rsidRPr="00812B71">
        <w:rPr>
          <w:rFonts w:ascii="Times New Roman" w:hAnsi="Times New Roman"/>
          <w:sz w:val="24"/>
          <w:szCs w:val="24"/>
        </w:rPr>
        <w:t>Through initiatives to revive the credit markets, almost $27 billion was contributed.</w:t>
      </w:r>
    </w:p>
    <w:p w14:paraId="62786AFA" w14:textId="77777777" w:rsidR="00945314" w:rsidRPr="00812B71" w:rsidRDefault="00945314" w:rsidP="0096660C">
      <w:pPr>
        <w:numPr>
          <w:ilvl w:val="0"/>
          <w:numId w:val="11"/>
        </w:numPr>
        <w:spacing w:before="60" w:after="60" w:line="240" w:lineRule="auto"/>
        <w:ind w:left="284" w:hanging="284"/>
        <w:jc w:val="both"/>
        <w:rPr>
          <w:rFonts w:ascii="Times New Roman" w:hAnsi="Times New Roman"/>
          <w:sz w:val="24"/>
          <w:szCs w:val="24"/>
        </w:rPr>
      </w:pPr>
      <w:r w:rsidRPr="00812B71">
        <w:rPr>
          <w:rFonts w:ascii="Times New Roman" w:hAnsi="Times New Roman"/>
          <w:sz w:val="24"/>
          <w:szCs w:val="24"/>
        </w:rPr>
        <w:t>A total of $82 billion was promised (only $2 billion was ultimately canceled) to help stabilize the American car sector.</w:t>
      </w:r>
    </w:p>
    <w:p w14:paraId="40ACF6ED" w14:textId="77777777" w:rsidR="00945314" w:rsidRPr="00812B71" w:rsidRDefault="00945314" w:rsidP="0096660C">
      <w:pPr>
        <w:numPr>
          <w:ilvl w:val="0"/>
          <w:numId w:val="11"/>
        </w:numPr>
        <w:spacing w:before="60" w:after="60" w:line="240" w:lineRule="auto"/>
        <w:ind w:left="284" w:hanging="284"/>
        <w:jc w:val="both"/>
        <w:rPr>
          <w:rFonts w:ascii="Times New Roman" w:hAnsi="Times New Roman"/>
          <w:sz w:val="24"/>
          <w:szCs w:val="24"/>
        </w:rPr>
      </w:pPr>
      <w:r w:rsidRPr="00812B71">
        <w:rPr>
          <w:rFonts w:ascii="Times New Roman" w:hAnsi="Times New Roman"/>
          <w:sz w:val="24"/>
          <w:szCs w:val="24"/>
        </w:rPr>
        <w:t>Approximately $70 billion was committed (of which $2 billion was subsequently canceled) to stabilize American International Group (AIG).</w:t>
      </w:r>
    </w:p>
    <w:p w14:paraId="4689B079" w14:textId="77777777" w:rsidR="00945314" w:rsidRPr="00812B71" w:rsidRDefault="00945314" w:rsidP="0096660C">
      <w:pPr>
        <w:numPr>
          <w:ilvl w:val="0"/>
          <w:numId w:val="11"/>
        </w:numPr>
        <w:spacing w:before="60" w:after="60" w:line="240" w:lineRule="auto"/>
        <w:ind w:left="284" w:hanging="284"/>
        <w:jc w:val="both"/>
        <w:rPr>
          <w:rFonts w:ascii="Times New Roman" w:hAnsi="Times New Roman"/>
          <w:sz w:val="24"/>
          <w:szCs w:val="24"/>
        </w:rPr>
      </w:pPr>
      <w:r w:rsidRPr="00812B71">
        <w:rPr>
          <w:rFonts w:ascii="Times New Roman" w:hAnsi="Times New Roman"/>
          <w:sz w:val="24"/>
          <w:szCs w:val="24"/>
        </w:rPr>
        <w:t>Programs to aid struggling families prevent foreclosure received an estimated $46 billion in commitments, which were disbursed over time.</w:t>
      </w:r>
    </w:p>
    <w:p w14:paraId="34E009EB" w14:textId="77777777" w:rsidR="000A6F07" w:rsidRPr="00812B71" w:rsidRDefault="000A6F07" w:rsidP="0096660C">
      <w:pPr>
        <w:jc w:val="both"/>
        <w:rPr>
          <w:rFonts w:ascii="Times New Roman" w:hAnsi="Times New Roman"/>
          <w:sz w:val="24"/>
          <w:szCs w:val="24"/>
          <w:lang w:val="en"/>
        </w:rPr>
      </w:pPr>
    </w:p>
    <w:p w14:paraId="150F82BD" w14:textId="37BB8184" w:rsidR="003E7011" w:rsidRPr="00812B71" w:rsidRDefault="003E7011" w:rsidP="0096660C">
      <w:pPr>
        <w:pStyle w:val="Heading3"/>
        <w:numPr>
          <w:ilvl w:val="2"/>
          <w:numId w:val="28"/>
        </w:numPr>
        <w:ind w:left="709"/>
        <w:jc w:val="both"/>
        <w:rPr>
          <w:b w:val="0"/>
          <w:sz w:val="24"/>
          <w:lang w:val="en"/>
        </w:rPr>
      </w:pPr>
      <w:bookmarkStart w:id="40" w:name="_Toc143430447"/>
      <w:bookmarkStart w:id="41" w:name="_Toc143446356"/>
      <w:bookmarkStart w:id="42" w:name="_Toc143447277"/>
      <w:r w:rsidRPr="00812B71">
        <w:rPr>
          <w:sz w:val="24"/>
          <w:lang w:val="en"/>
        </w:rPr>
        <w:t>Federal Reserve Act.</w:t>
      </w:r>
      <w:bookmarkEnd w:id="40"/>
      <w:bookmarkEnd w:id="41"/>
      <w:bookmarkEnd w:id="42"/>
    </w:p>
    <w:p w14:paraId="0F17539F" w14:textId="77777777" w:rsidR="003E7011" w:rsidRPr="00812B71" w:rsidRDefault="003E7011" w:rsidP="0096660C">
      <w:pPr>
        <w:jc w:val="both"/>
        <w:rPr>
          <w:rFonts w:ascii="Times New Roman" w:hAnsi="Times New Roman"/>
          <w:sz w:val="24"/>
          <w:szCs w:val="24"/>
          <w:lang w:val="en"/>
        </w:rPr>
      </w:pPr>
      <w:r w:rsidRPr="00812B71">
        <w:rPr>
          <w:rFonts w:ascii="Times New Roman" w:hAnsi="Times New Roman"/>
          <w:sz w:val="24"/>
          <w:szCs w:val="24"/>
          <w:lang w:val="en"/>
        </w:rPr>
        <w:t>The Federal Reserve undertook a number of measures under its conventional discount window powers for commercial banks and Section 13(3) of the Federal Reserve Act in response to the 2008 financial crisis and ensuing economic difficulties. These initiatives attempted to stabilize markets, add liquidity to the financial system, and aid in the recovery of the economy. Here are some of the key programs established:</w:t>
      </w:r>
    </w:p>
    <w:p w14:paraId="52C168EF" w14:textId="77777777" w:rsidR="007F13C2" w:rsidRPr="00812B71" w:rsidRDefault="007F13C2" w:rsidP="0096660C">
      <w:pPr>
        <w:jc w:val="both"/>
        <w:rPr>
          <w:rFonts w:ascii="Times New Roman" w:hAnsi="Times New Roman"/>
          <w:b/>
          <w:sz w:val="24"/>
          <w:szCs w:val="24"/>
          <w:lang w:val="en"/>
        </w:rPr>
      </w:pPr>
    </w:p>
    <w:p w14:paraId="0CEFAEC4" w14:textId="47CE5C8D" w:rsidR="003E7011" w:rsidRPr="00812B71" w:rsidRDefault="003E7011" w:rsidP="0096660C">
      <w:pPr>
        <w:jc w:val="both"/>
        <w:rPr>
          <w:rFonts w:ascii="Times New Roman" w:hAnsi="Times New Roman"/>
          <w:b/>
          <w:sz w:val="24"/>
          <w:szCs w:val="24"/>
          <w:lang w:val="en"/>
        </w:rPr>
      </w:pPr>
      <w:r w:rsidRPr="00812B71">
        <w:rPr>
          <w:rFonts w:ascii="Times New Roman" w:hAnsi="Times New Roman"/>
          <w:b/>
          <w:sz w:val="24"/>
          <w:szCs w:val="24"/>
          <w:lang w:val="en"/>
        </w:rPr>
        <w:t>Traditional Discount Window Authority Programs:</w:t>
      </w:r>
    </w:p>
    <w:p w14:paraId="62104AED" w14:textId="77777777" w:rsidR="003E7011" w:rsidRPr="00812B71" w:rsidRDefault="003E7011" w:rsidP="0096660C">
      <w:pPr>
        <w:numPr>
          <w:ilvl w:val="0"/>
          <w:numId w:val="5"/>
        </w:numPr>
        <w:jc w:val="both"/>
        <w:rPr>
          <w:rFonts w:ascii="Times New Roman" w:hAnsi="Times New Roman"/>
          <w:sz w:val="24"/>
          <w:szCs w:val="24"/>
          <w:lang w:val="en"/>
        </w:rPr>
      </w:pPr>
      <w:r w:rsidRPr="00812B71">
        <w:rPr>
          <w:rFonts w:ascii="Times New Roman" w:hAnsi="Times New Roman"/>
          <w:b/>
          <w:sz w:val="24"/>
          <w:szCs w:val="24"/>
          <w:lang w:val="en"/>
        </w:rPr>
        <w:t>Primary Credit Facility:</w:t>
      </w:r>
      <w:r w:rsidRPr="00812B71">
        <w:rPr>
          <w:rFonts w:ascii="Times New Roman" w:hAnsi="Times New Roman"/>
          <w:sz w:val="24"/>
          <w:szCs w:val="24"/>
          <w:lang w:val="en"/>
        </w:rPr>
        <w:t xml:space="preserve"> Serving as the core lending avenue within the Federal Reserve's discount window, this program provides short-term loans to eligible depository institutions encountering temporary liquidity shortages. In times of turmoil, the Federal Reserve has the </w:t>
      </w:r>
      <w:r w:rsidRPr="00812B71">
        <w:rPr>
          <w:rFonts w:ascii="Times New Roman" w:hAnsi="Times New Roman"/>
          <w:sz w:val="24"/>
          <w:szCs w:val="24"/>
          <w:lang w:val="en"/>
        </w:rPr>
        <w:lastRenderedPageBreak/>
        <w:t>potential to reduce the discount rate, thereby enhancing the attractiveness of borrowing and facilitating liquidity access for banks.</w:t>
      </w:r>
    </w:p>
    <w:p w14:paraId="26174901" w14:textId="77777777" w:rsidR="003E7011" w:rsidRPr="00812B71" w:rsidRDefault="003E7011" w:rsidP="0096660C">
      <w:pPr>
        <w:numPr>
          <w:ilvl w:val="0"/>
          <w:numId w:val="5"/>
        </w:numPr>
        <w:jc w:val="both"/>
        <w:rPr>
          <w:rFonts w:ascii="Times New Roman" w:hAnsi="Times New Roman"/>
          <w:sz w:val="24"/>
          <w:szCs w:val="24"/>
          <w:lang w:val="en"/>
        </w:rPr>
      </w:pPr>
      <w:r w:rsidRPr="00812B71">
        <w:rPr>
          <w:rFonts w:ascii="Times New Roman" w:hAnsi="Times New Roman"/>
          <w:b/>
          <w:sz w:val="24"/>
          <w:szCs w:val="24"/>
          <w:lang w:val="en"/>
        </w:rPr>
        <w:t>Seasonal Liquidity Support:</w:t>
      </w:r>
      <w:r w:rsidRPr="00812B71">
        <w:rPr>
          <w:rFonts w:ascii="Times New Roman" w:hAnsi="Times New Roman"/>
          <w:sz w:val="24"/>
          <w:szCs w:val="24"/>
          <w:lang w:val="en"/>
        </w:rPr>
        <w:t xml:space="preserve"> This initiative caters to the liquidity requirements arising from foreseen seasonal fluctuations in deposits and loans. It is generally accessible to smaller depository institutions that undergo significant variations in liquidity needs throughout the year.</w:t>
      </w:r>
    </w:p>
    <w:p w14:paraId="66587C35" w14:textId="77777777" w:rsidR="003E7011" w:rsidRPr="00812B71" w:rsidRDefault="003E7011" w:rsidP="0096660C">
      <w:pPr>
        <w:numPr>
          <w:ilvl w:val="0"/>
          <w:numId w:val="5"/>
        </w:numPr>
        <w:jc w:val="both"/>
        <w:rPr>
          <w:rFonts w:ascii="Times New Roman" w:hAnsi="Times New Roman"/>
          <w:sz w:val="24"/>
          <w:szCs w:val="24"/>
          <w:lang w:val="en"/>
        </w:rPr>
      </w:pPr>
      <w:r w:rsidRPr="00812B71">
        <w:rPr>
          <w:rFonts w:ascii="Times New Roman" w:hAnsi="Times New Roman"/>
          <w:b/>
          <w:sz w:val="24"/>
          <w:szCs w:val="24"/>
          <w:lang w:val="en"/>
        </w:rPr>
        <w:t>Additional Credit Provision:</w:t>
      </w:r>
      <w:r w:rsidRPr="00812B71">
        <w:rPr>
          <w:rFonts w:ascii="Times New Roman" w:hAnsi="Times New Roman"/>
          <w:sz w:val="24"/>
          <w:szCs w:val="24"/>
          <w:lang w:val="en"/>
        </w:rPr>
        <w:t xml:space="preserve"> Secondary credit is provided to depository institutions that do not qualify for primary credit due to financial weaknesses or specific violations. The interest rate for secondary credit exceeds that of primary credit, underscoring the increased risk associated with borrowing.</w:t>
      </w:r>
    </w:p>
    <w:p w14:paraId="6BA1FD14" w14:textId="77777777" w:rsidR="003E7011" w:rsidRPr="00812B71" w:rsidRDefault="003E7011" w:rsidP="0096660C">
      <w:pPr>
        <w:jc w:val="both"/>
        <w:rPr>
          <w:rFonts w:ascii="Times New Roman" w:hAnsi="Times New Roman"/>
          <w:b/>
          <w:sz w:val="24"/>
          <w:szCs w:val="24"/>
          <w:lang w:val="en"/>
        </w:rPr>
      </w:pPr>
      <w:r w:rsidRPr="00812B71">
        <w:rPr>
          <w:rFonts w:ascii="Times New Roman" w:hAnsi="Times New Roman"/>
          <w:b/>
          <w:sz w:val="24"/>
          <w:szCs w:val="24"/>
          <w:lang w:val="en"/>
        </w:rPr>
        <w:t>Section 13(3) of the Federal Reserve Act Programs:</w:t>
      </w:r>
    </w:p>
    <w:p w14:paraId="4076E3D3" w14:textId="3A6BB98A" w:rsidR="003E7011" w:rsidRPr="00812B71" w:rsidRDefault="003E7011" w:rsidP="0096660C">
      <w:pPr>
        <w:pStyle w:val="ListParagraph"/>
        <w:numPr>
          <w:ilvl w:val="0"/>
          <w:numId w:val="29"/>
        </w:numPr>
        <w:jc w:val="both"/>
        <w:rPr>
          <w:rFonts w:ascii="Times New Roman" w:hAnsi="Times New Roman"/>
          <w:sz w:val="24"/>
          <w:szCs w:val="24"/>
          <w:lang w:val="en"/>
        </w:rPr>
      </w:pPr>
      <w:r w:rsidRPr="00812B71">
        <w:rPr>
          <w:rFonts w:ascii="Times New Roman" w:hAnsi="Times New Roman"/>
          <w:b/>
          <w:sz w:val="24"/>
          <w:szCs w:val="24"/>
          <w:lang w:val="en"/>
        </w:rPr>
        <w:t>Term Asset Backed Securities Loan Facility (TALF)</w:t>
      </w:r>
      <w:r w:rsidRPr="00812B71">
        <w:rPr>
          <w:rFonts w:ascii="Times New Roman" w:hAnsi="Times New Roman"/>
          <w:sz w:val="24"/>
          <w:szCs w:val="24"/>
          <w:lang w:val="en"/>
        </w:rPr>
        <w:t xml:space="preserve"> was established to extend loans to investors for acquiring specific asset-backed securities (ABS). The objective was to bolster credit markets and streamline lending by augmenting the availability of financing for both consumers and businesses.</w:t>
      </w:r>
    </w:p>
    <w:p w14:paraId="18AEF55B" w14:textId="77777777" w:rsidR="007F13C2" w:rsidRPr="00812B71" w:rsidRDefault="007F13C2" w:rsidP="0096660C">
      <w:pPr>
        <w:pStyle w:val="ListParagraph"/>
        <w:ind w:left="142"/>
        <w:jc w:val="both"/>
        <w:rPr>
          <w:rFonts w:ascii="Times New Roman" w:hAnsi="Times New Roman"/>
          <w:b/>
          <w:sz w:val="24"/>
          <w:szCs w:val="24"/>
          <w:lang w:val="en"/>
        </w:rPr>
      </w:pPr>
    </w:p>
    <w:p w14:paraId="2C0EDD5C" w14:textId="19742B54" w:rsidR="003E7011" w:rsidRPr="00812B71" w:rsidRDefault="003E7011" w:rsidP="0096660C">
      <w:pPr>
        <w:pStyle w:val="ListParagraph"/>
        <w:numPr>
          <w:ilvl w:val="0"/>
          <w:numId w:val="29"/>
        </w:numPr>
        <w:jc w:val="both"/>
        <w:rPr>
          <w:rFonts w:ascii="Times New Roman" w:hAnsi="Times New Roman"/>
          <w:sz w:val="24"/>
          <w:szCs w:val="24"/>
          <w:lang w:val="en"/>
        </w:rPr>
      </w:pPr>
      <w:r w:rsidRPr="00812B71">
        <w:rPr>
          <w:rFonts w:ascii="Times New Roman" w:hAnsi="Times New Roman"/>
          <w:b/>
          <w:sz w:val="24"/>
          <w:szCs w:val="24"/>
          <w:lang w:val="en"/>
        </w:rPr>
        <w:t>Commercial Paper Funding Facility (CPFF):</w:t>
      </w:r>
      <w:r w:rsidRPr="00812B71">
        <w:rPr>
          <w:rFonts w:ascii="Times New Roman" w:hAnsi="Times New Roman"/>
          <w:sz w:val="24"/>
          <w:szCs w:val="24"/>
          <w:lang w:val="en"/>
        </w:rPr>
        <w:t xml:space="preserve"> CPFF was designed to reinforce the commercial paper market, a critical source of short-term funding for corporations. The Federal Reserve provided loans to a dedicated entity to purchase commercial paper, thereby stabilizing this market.</w:t>
      </w:r>
    </w:p>
    <w:p w14:paraId="7608F424" w14:textId="77777777" w:rsidR="007F13C2" w:rsidRPr="00812B71" w:rsidRDefault="007F13C2" w:rsidP="0096660C">
      <w:pPr>
        <w:pStyle w:val="ListParagraph"/>
        <w:ind w:left="142"/>
        <w:jc w:val="both"/>
        <w:rPr>
          <w:rFonts w:ascii="Times New Roman" w:hAnsi="Times New Roman"/>
          <w:b/>
          <w:sz w:val="24"/>
          <w:szCs w:val="24"/>
          <w:lang w:val="en"/>
        </w:rPr>
      </w:pPr>
    </w:p>
    <w:p w14:paraId="514EE5BE" w14:textId="03F556A0" w:rsidR="003E7011" w:rsidRPr="00812B71" w:rsidRDefault="003E7011" w:rsidP="0096660C">
      <w:pPr>
        <w:pStyle w:val="ListParagraph"/>
        <w:numPr>
          <w:ilvl w:val="0"/>
          <w:numId w:val="29"/>
        </w:numPr>
        <w:jc w:val="both"/>
        <w:rPr>
          <w:rFonts w:ascii="Times New Roman" w:hAnsi="Times New Roman"/>
          <w:sz w:val="24"/>
          <w:szCs w:val="24"/>
          <w:lang w:val="en"/>
        </w:rPr>
      </w:pPr>
      <w:r w:rsidRPr="00812B71">
        <w:rPr>
          <w:rFonts w:ascii="Times New Roman" w:hAnsi="Times New Roman"/>
          <w:b/>
          <w:sz w:val="24"/>
          <w:szCs w:val="24"/>
          <w:lang w:val="en"/>
        </w:rPr>
        <w:t>Primary Dealer Credit Facility (PDCF):</w:t>
      </w:r>
      <w:r w:rsidRPr="00812B71">
        <w:rPr>
          <w:rFonts w:ascii="Times New Roman" w:hAnsi="Times New Roman"/>
          <w:sz w:val="24"/>
          <w:szCs w:val="24"/>
          <w:lang w:val="en"/>
        </w:rPr>
        <w:t xml:space="preserve"> This initiative enabled primary dealers (financial institutions engaged in direct trading with the Federal Reserve) to secure short-term loans by pledging diverse collateral. The aim was to ensure the seamless operation of financial markets and back market-making endeavors.</w:t>
      </w:r>
    </w:p>
    <w:p w14:paraId="161B3BE8" w14:textId="77777777" w:rsidR="007F13C2" w:rsidRPr="00812B71" w:rsidRDefault="007F13C2" w:rsidP="0096660C">
      <w:pPr>
        <w:pStyle w:val="ListParagraph"/>
        <w:ind w:left="142"/>
        <w:jc w:val="both"/>
        <w:rPr>
          <w:rFonts w:ascii="Times New Roman" w:hAnsi="Times New Roman"/>
          <w:b/>
          <w:sz w:val="24"/>
          <w:szCs w:val="24"/>
          <w:lang w:val="en"/>
        </w:rPr>
      </w:pPr>
    </w:p>
    <w:p w14:paraId="5AD08343" w14:textId="0CAE4F0C" w:rsidR="003E7011" w:rsidRPr="00812B71" w:rsidRDefault="003E7011" w:rsidP="0096660C">
      <w:pPr>
        <w:pStyle w:val="ListParagraph"/>
        <w:numPr>
          <w:ilvl w:val="0"/>
          <w:numId w:val="29"/>
        </w:numPr>
        <w:jc w:val="both"/>
        <w:rPr>
          <w:rFonts w:ascii="Times New Roman" w:hAnsi="Times New Roman"/>
          <w:sz w:val="24"/>
          <w:szCs w:val="24"/>
          <w:lang w:val="en"/>
        </w:rPr>
      </w:pPr>
      <w:r w:rsidRPr="00812B71">
        <w:rPr>
          <w:rFonts w:ascii="Times New Roman" w:hAnsi="Times New Roman"/>
          <w:b/>
          <w:sz w:val="24"/>
          <w:szCs w:val="24"/>
          <w:lang w:val="en"/>
        </w:rPr>
        <w:t>Term Auction Facility (TAF):</w:t>
      </w:r>
      <w:r w:rsidRPr="00812B71">
        <w:rPr>
          <w:rFonts w:ascii="Times New Roman" w:hAnsi="Times New Roman"/>
          <w:sz w:val="24"/>
          <w:szCs w:val="24"/>
          <w:lang w:val="en"/>
        </w:rPr>
        <w:t xml:space="preserve"> TAF permitted depository institutions to bid for short-term loans from the Federal Reserve through an auction format. The program aimed to alleviate liquidity stress in money markets and promote interbank lending.</w:t>
      </w:r>
    </w:p>
    <w:p w14:paraId="46BB8641" w14:textId="77777777" w:rsidR="007F13C2" w:rsidRPr="00812B71" w:rsidRDefault="007F13C2" w:rsidP="0096660C">
      <w:pPr>
        <w:pStyle w:val="ListParagraph"/>
        <w:ind w:left="142"/>
        <w:jc w:val="both"/>
        <w:rPr>
          <w:rFonts w:ascii="Times New Roman" w:hAnsi="Times New Roman"/>
          <w:b/>
          <w:sz w:val="24"/>
          <w:szCs w:val="24"/>
          <w:lang w:val="en"/>
        </w:rPr>
      </w:pPr>
    </w:p>
    <w:p w14:paraId="0C4887FF" w14:textId="63F846A8" w:rsidR="003E7011" w:rsidRPr="00812B71" w:rsidRDefault="003E7011" w:rsidP="0096660C">
      <w:pPr>
        <w:pStyle w:val="ListParagraph"/>
        <w:numPr>
          <w:ilvl w:val="0"/>
          <w:numId w:val="29"/>
        </w:numPr>
        <w:jc w:val="both"/>
        <w:rPr>
          <w:rFonts w:ascii="Times New Roman" w:hAnsi="Times New Roman"/>
          <w:sz w:val="24"/>
          <w:szCs w:val="24"/>
          <w:lang w:val="en"/>
        </w:rPr>
      </w:pPr>
      <w:r w:rsidRPr="00812B71">
        <w:rPr>
          <w:rFonts w:ascii="Times New Roman" w:hAnsi="Times New Roman"/>
          <w:b/>
          <w:sz w:val="24"/>
          <w:szCs w:val="24"/>
          <w:lang w:val="en"/>
        </w:rPr>
        <w:t>Money Market Investor Funding Facility (MMIFF):</w:t>
      </w:r>
      <w:r w:rsidRPr="00812B71">
        <w:rPr>
          <w:rFonts w:ascii="Times New Roman" w:hAnsi="Times New Roman"/>
          <w:sz w:val="24"/>
          <w:szCs w:val="24"/>
          <w:lang w:val="en"/>
        </w:rPr>
        <w:t xml:space="preserve"> MMIFF lent support to money market mutual funds by providing loans to financial institutions for purchasing specific high-quality assets from these funds. The program aimed to avert disturbances within the money market fund sector.</w:t>
      </w:r>
    </w:p>
    <w:p w14:paraId="2DB522C5" w14:textId="77777777" w:rsidR="007F13C2" w:rsidRPr="00812B71" w:rsidRDefault="007F13C2" w:rsidP="0096660C">
      <w:pPr>
        <w:pStyle w:val="ListParagraph"/>
        <w:ind w:left="862"/>
        <w:jc w:val="both"/>
        <w:rPr>
          <w:rFonts w:ascii="Times New Roman" w:hAnsi="Times New Roman"/>
          <w:b/>
          <w:sz w:val="24"/>
          <w:szCs w:val="24"/>
          <w:lang w:val="en"/>
        </w:rPr>
      </w:pPr>
    </w:p>
    <w:p w14:paraId="5595EF44" w14:textId="07178E27" w:rsidR="003E7011" w:rsidRPr="00812B71" w:rsidRDefault="003E7011" w:rsidP="0096660C">
      <w:pPr>
        <w:pStyle w:val="ListParagraph"/>
        <w:numPr>
          <w:ilvl w:val="0"/>
          <w:numId w:val="29"/>
        </w:numPr>
        <w:jc w:val="both"/>
        <w:rPr>
          <w:rFonts w:ascii="Times New Roman" w:hAnsi="Times New Roman"/>
          <w:sz w:val="24"/>
          <w:szCs w:val="24"/>
          <w:lang w:val="en"/>
        </w:rPr>
      </w:pPr>
      <w:r w:rsidRPr="00812B71">
        <w:rPr>
          <w:rFonts w:ascii="Times New Roman" w:hAnsi="Times New Roman"/>
          <w:b/>
          <w:sz w:val="24"/>
          <w:szCs w:val="24"/>
          <w:lang w:val="en"/>
        </w:rPr>
        <w:t>Asset-Backed Commercial Paper Money Market Mutual Fund Liquidity Facility (AMLF):</w:t>
      </w:r>
      <w:r w:rsidRPr="00812B71">
        <w:rPr>
          <w:rFonts w:ascii="Times New Roman" w:hAnsi="Times New Roman"/>
          <w:sz w:val="24"/>
          <w:szCs w:val="24"/>
          <w:lang w:val="en"/>
        </w:rPr>
        <w:t xml:space="preserve"> The objective of this facility was to alleviate liquidity strains faced by money market mutual funds holding specific asset-backed commercial paper (ABCP). It involved providing loans to banks, enabling them to acquire eligible ABCP from these funds.</w:t>
      </w:r>
    </w:p>
    <w:p w14:paraId="1C2E9805" w14:textId="77777777" w:rsidR="003E0F1F" w:rsidRPr="00812B71" w:rsidRDefault="003E0F1F" w:rsidP="0096660C">
      <w:pPr>
        <w:spacing w:before="60" w:after="60" w:line="240" w:lineRule="auto"/>
        <w:jc w:val="both"/>
        <w:rPr>
          <w:rFonts w:ascii="Times New Roman" w:hAnsi="Times New Roman"/>
          <w:sz w:val="24"/>
          <w:szCs w:val="24"/>
        </w:rPr>
      </w:pPr>
    </w:p>
    <w:p w14:paraId="1C2E9813" w14:textId="7193B6F3" w:rsidR="001C01D1" w:rsidRPr="00812B71" w:rsidRDefault="001C01D1" w:rsidP="0096660C">
      <w:pPr>
        <w:pStyle w:val="Heading3"/>
        <w:numPr>
          <w:ilvl w:val="2"/>
          <w:numId w:val="28"/>
        </w:numPr>
        <w:ind w:left="709" w:hanging="709"/>
        <w:jc w:val="both"/>
        <w:rPr>
          <w:b w:val="0"/>
          <w:sz w:val="24"/>
          <w:lang w:val="en"/>
        </w:rPr>
      </w:pPr>
      <w:bookmarkStart w:id="43" w:name="_Toc143430448"/>
      <w:bookmarkStart w:id="44" w:name="_Toc143446357"/>
      <w:bookmarkStart w:id="45" w:name="_Toc143447278"/>
      <w:r w:rsidRPr="00812B71">
        <w:rPr>
          <w:sz w:val="24"/>
          <w:lang w:val="en"/>
        </w:rPr>
        <w:lastRenderedPageBreak/>
        <w:t>Federal Deposit Insurance Corporation (FDIC):</w:t>
      </w:r>
      <w:bookmarkEnd w:id="43"/>
      <w:bookmarkEnd w:id="44"/>
      <w:bookmarkEnd w:id="45"/>
    </w:p>
    <w:p w14:paraId="1C2E9814" w14:textId="02ADEC9F" w:rsidR="001C01D1" w:rsidRPr="00812B71" w:rsidRDefault="001C01D1" w:rsidP="0096660C">
      <w:pPr>
        <w:jc w:val="both"/>
        <w:rPr>
          <w:rFonts w:ascii="Times New Roman" w:hAnsi="Times New Roman"/>
          <w:sz w:val="24"/>
          <w:szCs w:val="24"/>
          <w:lang w:val="en"/>
        </w:rPr>
      </w:pPr>
      <w:r w:rsidRPr="00812B71">
        <w:rPr>
          <w:rFonts w:ascii="Times New Roman" w:hAnsi="Times New Roman"/>
          <w:sz w:val="24"/>
          <w:szCs w:val="24"/>
          <w:lang w:val="en"/>
        </w:rPr>
        <w:t>Amid and in the aftermath of the 2008 financial crisis, the Federal Deposit Insurance Corporation (FDIC) played a pivotal role in stabilizing the banking system and safeguarding the interests of depositors. The following are the key initiatives and programs initiated by the FDIC:</w:t>
      </w:r>
    </w:p>
    <w:p w14:paraId="1C2E9815" w14:textId="79FF1FA5" w:rsidR="001C01D1" w:rsidRPr="00812B71" w:rsidRDefault="001C01D1" w:rsidP="0096660C">
      <w:pPr>
        <w:pStyle w:val="ListParagraph"/>
        <w:numPr>
          <w:ilvl w:val="0"/>
          <w:numId w:val="19"/>
        </w:numPr>
        <w:ind w:left="426" w:hanging="426"/>
        <w:jc w:val="both"/>
        <w:rPr>
          <w:rFonts w:ascii="Times New Roman" w:hAnsi="Times New Roman"/>
          <w:b/>
          <w:sz w:val="24"/>
          <w:szCs w:val="24"/>
          <w:lang w:val="en"/>
        </w:rPr>
      </w:pPr>
      <w:r w:rsidRPr="00812B71">
        <w:rPr>
          <w:rFonts w:ascii="Times New Roman" w:hAnsi="Times New Roman"/>
          <w:b/>
          <w:sz w:val="24"/>
          <w:szCs w:val="24"/>
          <w:lang w:val="en"/>
        </w:rPr>
        <w:t>Deposit Insurance Fund (DIF) and Bank Resolutions:</w:t>
      </w:r>
    </w:p>
    <w:p w14:paraId="1C2E9816" w14:textId="77F01BD0" w:rsidR="001C01D1" w:rsidRPr="00812B71" w:rsidRDefault="001C01D1" w:rsidP="0096660C">
      <w:pPr>
        <w:jc w:val="both"/>
        <w:rPr>
          <w:rFonts w:ascii="Times New Roman" w:hAnsi="Times New Roman"/>
          <w:sz w:val="24"/>
          <w:szCs w:val="24"/>
          <w:lang w:val="en"/>
        </w:rPr>
      </w:pPr>
      <w:r w:rsidRPr="00812B71">
        <w:rPr>
          <w:rFonts w:ascii="Times New Roman" w:hAnsi="Times New Roman"/>
          <w:sz w:val="24"/>
          <w:szCs w:val="24"/>
          <w:lang w:val="en"/>
        </w:rPr>
        <w:t>The FDIC effectively employed its Deposit Insurance Fund (DIF) to ensure the stability of the banking sector and shield depositors. It held a significant responsibility in managing the resolution of failed banks and savings institutions. Whenever a bank encountered failure, the FDIC assumed the role of the receiver, assuming control over the institution's operations, safeguarding depositors' funds, and ensuring uninterrupted access to vital banking services</w:t>
      </w:r>
      <w:r w:rsidR="00FA3E69" w:rsidRPr="00812B71">
        <w:rPr>
          <w:rFonts w:ascii="Times New Roman" w:hAnsi="Times New Roman"/>
          <w:sz w:val="24"/>
          <w:szCs w:val="24"/>
          <w:lang w:val="en"/>
        </w:rPr>
        <w:t xml:space="preserve"> (</w:t>
      </w:r>
      <w:r w:rsidR="00FA3E69" w:rsidRPr="00812B71">
        <w:rPr>
          <w:rFonts w:ascii="Times New Roman" w:hAnsi="Times New Roman"/>
          <w:color w:val="222222"/>
          <w:sz w:val="24"/>
          <w:szCs w:val="24"/>
          <w:shd w:val="clear" w:color="auto" w:fill="FFFFFF"/>
        </w:rPr>
        <w:t>Guynn et al;2010).</w:t>
      </w:r>
    </w:p>
    <w:p w14:paraId="1C2E9817" w14:textId="70DC6091" w:rsidR="001C01D1" w:rsidRPr="00812B71" w:rsidRDefault="001C01D1" w:rsidP="0096660C">
      <w:pPr>
        <w:pStyle w:val="ListParagraph"/>
        <w:numPr>
          <w:ilvl w:val="0"/>
          <w:numId w:val="19"/>
        </w:numPr>
        <w:ind w:left="426" w:hanging="426"/>
        <w:jc w:val="both"/>
        <w:rPr>
          <w:rFonts w:ascii="Times New Roman" w:hAnsi="Times New Roman"/>
          <w:b/>
          <w:sz w:val="24"/>
          <w:szCs w:val="24"/>
          <w:lang w:val="en"/>
        </w:rPr>
      </w:pPr>
      <w:r w:rsidRPr="00812B71">
        <w:rPr>
          <w:rFonts w:ascii="Times New Roman" w:hAnsi="Times New Roman"/>
          <w:b/>
          <w:sz w:val="24"/>
          <w:szCs w:val="24"/>
          <w:lang w:val="en"/>
        </w:rPr>
        <w:t>Temporary Increase in Deposit Insurance Coverage:</w:t>
      </w:r>
    </w:p>
    <w:p w14:paraId="1C2E9818" w14:textId="203A5264" w:rsidR="001C01D1" w:rsidRPr="00812B71" w:rsidRDefault="001C01D1" w:rsidP="0096660C">
      <w:pPr>
        <w:jc w:val="both"/>
        <w:rPr>
          <w:rFonts w:ascii="Times New Roman" w:hAnsi="Times New Roman"/>
          <w:sz w:val="24"/>
          <w:szCs w:val="24"/>
          <w:lang w:val="en"/>
        </w:rPr>
      </w:pPr>
      <w:r w:rsidRPr="00812B71">
        <w:rPr>
          <w:rFonts w:ascii="Times New Roman" w:hAnsi="Times New Roman"/>
          <w:sz w:val="24"/>
          <w:szCs w:val="24"/>
          <w:lang w:val="en"/>
        </w:rPr>
        <w:t>As a response to the crisis, the FDIC temporarily elevated the standard deposit insurance coverage from $100,000 to $250,000 per depositor per insured bank. This augmentation in coverage aimed to bolster trust in the banking system and offer additional assurance to depositors during a period marked by heightened uncertainty.</w:t>
      </w:r>
    </w:p>
    <w:p w14:paraId="1C2E9819" w14:textId="6B00A6FB" w:rsidR="001C01D1" w:rsidRPr="00812B71" w:rsidRDefault="001C01D1" w:rsidP="0096660C">
      <w:pPr>
        <w:pStyle w:val="ListParagraph"/>
        <w:numPr>
          <w:ilvl w:val="0"/>
          <w:numId w:val="19"/>
        </w:numPr>
        <w:ind w:left="426" w:hanging="426"/>
        <w:jc w:val="both"/>
        <w:rPr>
          <w:rFonts w:ascii="Times New Roman" w:hAnsi="Times New Roman"/>
          <w:b/>
          <w:sz w:val="24"/>
          <w:szCs w:val="24"/>
          <w:lang w:val="en"/>
        </w:rPr>
      </w:pPr>
      <w:r w:rsidRPr="00812B71">
        <w:rPr>
          <w:rFonts w:ascii="Times New Roman" w:hAnsi="Times New Roman"/>
          <w:b/>
          <w:sz w:val="24"/>
          <w:szCs w:val="24"/>
          <w:lang w:val="en"/>
        </w:rPr>
        <w:t>Temporary Liquidity Guarantee Program (TLGP):</w:t>
      </w:r>
    </w:p>
    <w:p w14:paraId="1C2E981A" w14:textId="77777777" w:rsidR="001C01D1" w:rsidRPr="00812B71" w:rsidRDefault="001C01D1" w:rsidP="0096660C">
      <w:pPr>
        <w:jc w:val="both"/>
        <w:rPr>
          <w:rFonts w:ascii="Times New Roman" w:hAnsi="Times New Roman"/>
          <w:sz w:val="24"/>
          <w:szCs w:val="24"/>
          <w:lang w:val="en"/>
        </w:rPr>
      </w:pPr>
      <w:r w:rsidRPr="00812B71">
        <w:rPr>
          <w:rFonts w:ascii="Times New Roman" w:hAnsi="Times New Roman"/>
          <w:sz w:val="24"/>
          <w:szCs w:val="24"/>
          <w:lang w:val="en"/>
        </w:rPr>
        <w:t>The TLGP emerged as a pivotal measure aimed at stabilizing financial markets and bolstering confidence in the banking sector. Comprising two components, namely the Transaction Account Guarantee (TAG) program and the Debt Guarantee Program (DGP), it offered strategic support.</w:t>
      </w:r>
    </w:p>
    <w:p w14:paraId="1C2E981B" w14:textId="77777777" w:rsidR="001C01D1" w:rsidRPr="00812B71" w:rsidRDefault="001C01D1" w:rsidP="0096660C">
      <w:pPr>
        <w:jc w:val="both"/>
        <w:rPr>
          <w:rFonts w:ascii="Times New Roman" w:hAnsi="Times New Roman"/>
          <w:sz w:val="24"/>
          <w:szCs w:val="24"/>
          <w:lang w:val="en"/>
        </w:rPr>
      </w:pPr>
      <w:r w:rsidRPr="00812B71">
        <w:rPr>
          <w:rFonts w:ascii="Times New Roman" w:hAnsi="Times New Roman"/>
          <w:sz w:val="24"/>
          <w:szCs w:val="24"/>
          <w:lang w:val="en"/>
        </w:rPr>
        <w:t>- The TAG program extended unlimited coverage to noninterest-bearing transaction accounts, fully safeguarding businesses, municipalities, and other depositors holding such accounts.</w:t>
      </w:r>
    </w:p>
    <w:p w14:paraId="1C2E981C" w14:textId="77777777" w:rsidR="001C01D1" w:rsidRPr="00812B71" w:rsidRDefault="001C01D1" w:rsidP="0096660C">
      <w:pPr>
        <w:jc w:val="both"/>
        <w:rPr>
          <w:rFonts w:ascii="Times New Roman" w:hAnsi="Times New Roman"/>
          <w:sz w:val="24"/>
          <w:szCs w:val="24"/>
          <w:lang w:val="en"/>
        </w:rPr>
      </w:pPr>
      <w:r w:rsidRPr="00812B71">
        <w:rPr>
          <w:rFonts w:ascii="Times New Roman" w:hAnsi="Times New Roman"/>
          <w:sz w:val="24"/>
          <w:szCs w:val="24"/>
          <w:lang w:val="en"/>
        </w:rPr>
        <w:t>- Through the DGP, interim guarantees were furnished on recently issued senior unsecured debt from banks, thrifts, and specific holding entities. This initiative aimed to enhance market liquidity and facilitate debt issuance during times of market strain.</w:t>
      </w:r>
    </w:p>
    <w:p w14:paraId="0488F656" w14:textId="77777777" w:rsidR="007F13C2" w:rsidRPr="00812B71" w:rsidRDefault="001C01D1" w:rsidP="0096660C">
      <w:pPr>
        <w:jc w:val="both"/>
        <w:rPr>
          <w:rFonts w:ascii="Times New Roman" w:hAnsi="Times New Roman"/>
          <w:color w:val="222222"/>
          <w:sz w:val="24"/>
          <w:szCs w:val="24"/>
          <w:shd w:val="clear" w:color="auto" w:fill="FFFFFF"/>
        </w:rPr>
      </w:pPr>
      <w:r w:rsidRPr="00812B71">
        <w:rPr>
          <w:rFonts w:ascii="Times New Roman" w:hAnsi="Times New Roman"/>
          <w:sz w:val="24"/>
          <w:szCs w:val="24"/>
          <w:lang w:val="en"/>
        </w:rPr>
        <w:t>These FDIC initiatives played a pivotal role in upholding public trust in the banking system and ensuring the stability of financial institutions during the crisis. By providing deposit insurance coverage, managing failed institutions, and introducing short-term liquidity support programs, the FDIC played a vital role in averting panic and disruptions within the banking sector. Importantly, these endeavors formed part of a broader coordinated strategy involving multiple regulatory bodies, central banks, and governmental entities to mitigate the aftermath of the financial crisis and stabilize the global economy</w:t>
      </w:r>
      <w:r w:rsidR="00FA3E69" w:rsidRPr="00812B71">
        <w:rPr>
          <w:rFonts w:ascii="Times New Roman" w:hAnsi="Times New Roman"/>
          <w:sz w:val="24"/>
          <w:szCs w:val="24"/>
          <w:lang w:val="en"/>
        </w:rPr>
        <w:t xml:space="preserve"> </w:t>
      </w:r>
      <w:r w:rsidR="003C168D" w:rsidRPr="00812B71">
        <w:rPr>
          <w:rFonts w:ascii="Times New Roman" w:hAnsi="Times New Roman"/>
          <w:sz w:val="24"/>
          <w:szCs w:val="24"/>
          <w:lang w:val="en"/>
        </w:rPr>
        <w:t>(</w:t>
      </w:r>
      <w:r w:rsidR="003C168D" w:rsidRPr="00812B71">
        <w:rPr>
          <w:rFonts w:ascii="Times New Roman" w:hAnsi="Times New Roman"/>
          <w:color w:val="222222"/>
          <w:sz w:val="24"/>
          <w:szCs w:val="24"/>
          <w:shd w:val="clear" w:color="auto" w:fill="FFFFFF"/>
        </w:rPr>
        <w:t>Cukierman,2017)</w:t>
      </w:r>
      <w:r w:rsidR="00FA3E69" w:rsidRPr="00812B71">
        <w:rPr>
          <w:rFonts w:ascii="Times New Roman" w:hAnsi="Times New Roman"/>
          <w:color w:val="222222"/>
          <w:sz w:val="24"/>
          <w:szCs w:val="24"/>
          <w:shd w:val="clear" w:color="auto" w:fill="FFFFFF"/>
        </w:rPr>
        <w:t>.</w:t>
      </w:r>
      <w:bookmarkStart w:id="46" w:name="_Toc143430449"/>
    </w:p>
    <w:p w14:paraId="79828A1F" w14:textId="77777777" w:rsidR="007F13C2" w:rsidRPr="00812B71" w:rsidRDefault="007F13C2" w:rsidP="0096660C">
      <w:pPr>
        <w:jc w:val="both"/>
        <w:rPr>
          <w:rFonts w:ascii="Times New Roman" w:hAnsi="Times New Roman"/>
          <w:color w:val="222222"/>
          <w:sz w:val="24"/>
          <w:szCs w:val="24"/>
          <w:shd w:val="clear" w:color="auto" w:fill="FFFFFF"/>
        </w:rPr>
      </w:pPr>
    </w:p>
    <w:p w14:paraId="1C2E981F" w14:textId="451FC8F5" w:rsidR="001C01D1" w:rsidRPr="00812B71" w:rsidRDefault="001C01D1" w:rsidP="0096660C">
      <w:pPr>
        <w:pStyle w:val="Heading3"/>
        <w:numPr>
          <w:ilvl w:val="2"/>
          <w:numId w:val="28"/>
        </w:numPr>
        <w:jc w:val="both"/>
        <w:rPr>
          <w:sz w:val="24"/>
          <w:lang w:val="en"/>
        </w:rPr>
      </w:pPr>
      <w:bookmarkStart w:id="47" w:name="_Toc143446358"/>
      <w:bookmarkStart w:id="48" w:name="_Toc143447279"/>
      <w:r w:rsidRPr="00812B71">
        <w:rPr>
          <w:sz w:val="24"/>
          <w:lang w:val="en"/>
        </w:rPr>
        <w:t>Housing and Economic Recovery Act of 2008 (HERA):</w:t>
      </w:r>
      <w:bookmarkEnd w:id="46"/>
      <w:bookmarkEnd w:id="47"/>
      <w:bookmarkEnd w:id="48"/>
    </w:p>
    <w:p w14:paraId="1C2E9820" w14:textId="604AF152" w:rsidR="001C01D1" w:rsidRPr="00812B71" w:rsidRDefault="001C01D1" w:rsidP="0096660C">
      <w:pPr>
        <w:jc w:val="both"/>
        <w:rPr>
          <w:rFonts w:ascii="Times New Roman" w:hAnsi="Times New Roman"/>
          <w:sz w:val="24"/>
          <w:szCs w:val="24"/>
          <w:lang w:val="en"/>
        </w:rPr>
      </w:pPr>
      <w:r w:rsidRPr="00812B71">
        <w:rPr>
          <w:rFonts w:ascii="Times New Roman" w:hAnsi="Times New Roman"/>
          <w:sz w:val="24"/>
          <w:szCs w:val="24"/>
          <w:lang w:val="en"/>
        </w:rPr>
        <w:t>In response to the financial crisis and the housing market collapse, the U.S. Department of the Treasury undertook significant measures to stabilize the housing sector and mitigate systemic risks. One of the key actions was the rescue of Fannie Mae and Freddie Mac, government-sponsored enterprises (GSEs) integral to the U.S. housing finance system. This rescue was carried out within the framework of the Housing and Economic Recovery Act of 2008 (HERA)</w:t>
      </w:r>
      <w:r w:rsidR="006756C7" w:rsidRPr="00812B71">
        <w:rPr>
          <w:rFonts w:ascii="Times New Roman" w:hAnsi="Times New Roman"/>
          <w:sz w:val="24"/>
          <w:szCs w:val="24"/>
          <w:lang w:val="en"/>
        </w:rPr>
        <w:t xml:space="preserve"> </w:t>
      </w:r>
      <w:r w:rsidR="006756C7" w:rsidRPr="00812B71">
        <w:rPr>
          <w:rFonts w:ascii="Times New Roman" w:hAnsi="Times New Roman"/>
          <w:color w:val="000000"/>
          <w:sz w:val="24"/>
          <w:szCs w:val="24"/>
          <w:shd w:val="clear" w:color="auto" w:fill="FFFFFF"/>
        </w:rPr>
        <w:t>(</w:t>
      </w:r>
      <w:r w:rsidR="00A53B9A" w:rsidRPr="00812B71">
        <w:rPr>
          <w:rFonts w:ascii="Times New Roman" w:hAnsi="Times New Roman"/>
          <w:sz w:val="24"/>
          <w:szCs w:val="24"/>
          <w:shd w:val="clear" w:color="auto" w:fill="FFFFFF"/>
        </w:rPr>
        <w:t>Guynn, R.D., 2010</w:t>
      </w:r>
      <w:r w:rsidR="006756C7" w:rsidRPr="00812B71">
        <w:rPr>
          <w:rFonts w:ascii="Times New Roman" w:hAnsi="Times New Roman"/>
          <w:color w:val="000000"/>
          <w:sz w:val="24"/>
          <w:szCs w:val="24"/>
          <w:shd w:val="clear" w:color="auto" w:fill="FFFFFF"/>
        </w:rPr>
        <w:t>)</w:t>
      </w:r>
      <w:r w:rsidRPr="00812B71">
        <w:rPr>
          <w:rFonts w:ascii="Times New Roman" w:hAnsi="Times New Roman"/>
          <w:sz w:val="24"/>
          <w:szCs w:val="24"/>
          <w:lang w:val="en"/>
        </w:rPr>
        <w:t>.</w:t>
      </w:r>
    </w:p>
    <w:p w14:paraId="1C2E9821" w14:textId="6CA4B52A" w:rsidR="001C01D1" w:rsidRPr="00812B71" w:rsidRDefault="001C01D1" w:rsidP="0096660C">
      <w:pPr>
        <w:jc w:val="both"/>
        <w:rPr>
          <w:rFonts w:ascii="Times New Roman" w:hAnsi="Times New Roman"/>
          <w:sz w:val="24"/>
          <w:szCs w:val="24"/>
          <w:lang w:val="en"/>
        </w:rPr>
      </w:pPr>
      <w:r w:rsidRPr="00812B71">
        <w:rPr>
          <w:rFonts w:ascii="Times New Roman" w:hAnsi="Times New Roman"/>
          <w:sz w:val="24"/>
          <w:szCs w:val="24"/>
          <w:lang w:val="en"/>
        </w:rPr>
        <w:lastRenderedPageBreak/>
        <w:t>The HERA, an encompassing legislation, was enacted by the U.S. Congress in response to housing challenges and vulnerabilities within the housing finance system. It aimed to bolster regulatory oversight, elevate transparency, and equip mechanisms to address the predicaments faced by GSEs, particularly Fannie Mae and Freddie Mac</w:t>
      </w:r>
      <w:r w:rsidR="00FA3E69" w:rsidRPr="00812B71">
        <w:rPr>
          <w:rFonts w:ascii="Times New Roman" w:hAnsi="Times New Roman"/>
          <w:sz w:val="24"/>
          <w:szCs w:val="24"/>
          <w:lang w:val="en"/>
        </w:rPr>
        <w:t xml:space="preserve"> (Polk et al;</w:t>
      </w:r>
      <w:r w:rsidR="003E3031" w:rsidRPr="00812B71">
        <w:rPr>
          <w:rFonts w:ascii="Times New Roman" w:hAnsi="Times New Roman"/>
          <w:sz w:val="24"/>
          <w:szCs w:val="24"/>
          <w:lang w:val="en"/>
        </w:rPr>
        <w:t xml:space="preserve"> </w:t>
      </w:r>
      <w:r w:rsidR="00FA3E69" w:rsidRPr="00812B71">
        <w:rPr>
          <w:rFonts w:ascii="Times New Roman" w:hAnsi="Times New Roman"/>
          <w:sz w:val="24"/>
          <w:szCs w:val="24"/>
          <w:lang w:val="en"/>
        </w:rPr>
        <w:t>2010).</w:t>
      </w:r>
    </w:p>
    <w:p w14:paraId="26D9E8CB" w14:textId="77777777" w:rsidR="007F13C2" w:rsidRPr="00812B71" w:rsidRDefault="007F13C2" w:rsidP="0096660C">
      <w:pPr>
        <w:jc w:val="both"/>
        <w:rPr>
          <w:rFonts w:ascii="Times New Roman" w:hAnsi="Times New Roman"/>
          <w:b/>
          <w:sz w:val="24"/>
          <w:szCs w:val="24"/>
          <w:lang w:val="en"/>
        </w:rPr>
      </w:pPr>
    </w:p>
    <w:p w14:paraId="1C2E9822" w14:textId="1325A93B" w:rsidR="001C01D1" w:rsidRPr="00812B71" w:rsidRDefault="001C01D1" w:rsidP="0096660C">
      <w:pPr>
        <w:jc w:val="both"/>
        <w:rPr>
          <w:rFonts w:ascii="Times New Roman" w:hAnsi="Times New Roman"/>
          <w:b/>
          <w:sz w:val="24"/>
          <w:szCs w:val="24"/>
          <w:lang w:val="en"/>
        </w:rPr>
      </w:pPr>
      <w:r w:rsidRPr="00812B71">
        <w:rPr>
          <w:rFonts w:ascii="Times New Roman" w:hAnsi="Times New Roman"/>
          <w:b/>
          <w:sz w:val="24"/>
          <w:szCs w:val="24"/>
          <w:lang w:val="en"/>
        </w:rPr>
        <w:t>Treasury's Rescue of Fannie Mae and Freddie Mac:</w:t>
      </w:r>
    </w:p>
    <w:p w14:paraId="1C2E9823" w14:textId="77777777" w:rsidR="001C01D1" w:rsidRPr="00812B71" w:rsidRDefault="001C01D1" w:rsidP="0096660C">
      <w:pPr>
        <w:jc w:val="both"/>
        <w:rPr>
          <w:rFonts w:ascii="Times New Roman" w:hAnsi="Times New Roman"/>
          <w:sz w:val="24"/>
          <w:szCs w:val="24"/>
          <w:lang w:val="en"/>
        </w:rPr>
      </w:pPr>
      <w:r w:rsidRPr="00812B71">
        <w:rPr>
          <w:rFonts w:ascii="Times New Roman" w:hAnsi="Times New Roman"/>
          <w:sz w:val="24"/>
          <w:szCs w:val="24"/>
          <w:lang w:val="en"/>
        </w:rPr>
        <w:t>Fannie Mae (Federal National Mortgage Association) and Freddie Mac (Federal Home Loan Mortgage Corporation) functioned as crucial players in the secondary mortgage market. Their role included purchasing mortgages from lenders, bundling them into securities, and vending these securities to investors. The financial crisis severely impacted these entities due to their exposure to risky mortgage assets and the subsequent housing market collapse.</w:t>
      </w:r>
    </w:p>
    <w:p w14:paraId="5CC6A433" w14:textId="77777777" w:rsidR="007F13C2" w:rsidRPr="00812B71" w:rsidRDefault="007F13C2" w:rsidP="0096660C">
      <w:pPr>
        <w:jc w:val="both"/>
        <w:rPr>
          <w:rFonts w:ascii="Times New Roman" w:hAnsi="Times New Roman"/>
          <w:b/>
          <w:sz w:val="24"/>
          <w:szCs w:val="24"/>
          <w:lang w:val="en"/>
        </w:rPr>
      </w:pPr>
    </w:p>
    <w:p w14:paraId="1C2E9824" w14:textId="10C47B9B" w:rsidR="001C01D1" w:rsidRPr="00812B71" w:rsidRDefault="001C01D1" w:rsidP="0096660C">
      <w:pPr>
        <w:jc w:val="both"/>
        <w:rPr>
          <w:rFonts w:ascii="Times New Roman" w:hAnsi="Times New Roman"/>
          <w:b/>
          <w:sz w:val="24"/>
          <w:szCs w:val="24"/>
          <w:lang w:val="en"/>
        </w:rPr>
      </w:pPr>
      <w:r w:rsidRPr="00812B71">
        <w:rPr>
          <w:rFonts w:ascii="Times New Roman" w:hAnsi="Times New Roman"/>
          <w:b/>
          <w:sz w:val="24"/>
          <w:szCs w:val="24"/>
          <w:lang w:val="en"/>
        </w:rPr>
        <w:t>Under the authority granted by the HERA, the Treasury Department undertook the subsequent actions:</w:t>
      </w:r>
    </w:p>
    <w:p w14:paraId="1C2E9825" w14:textId="133D351F" w:rsidR="001C01D1" w:rsidRPr="00812B71" w:rsidRDefault="001C01D1" w:rsidP="0096660C">
      <w:pPr>
        <w:pStyle w:val="ListParagraph"/>
        <w:numPr>
          <w:ilvl w:val="0"/>
          <w:numId w:val="17"/>
        </w:numPr>
        <w:ind w:left="284" w:hanging="284"/>
        <w:jc w:val="both"/>
        <w:rPr>
          <w:rFonts w:ascii="Times New Roman" w:hAnsi="Times New Roman"/>
          <w:sz w:val="24"/>
          <w:szCs w:val="24"/>
          <w:lang w:val="en"/>
        </w:rPr>
      </w:pPr>
      <w:r w:rsidRPr="00812B71">
        <w:rPr>
          <w:rFonts w:ascii="Times New Roman" w:hAnsi="Times New Roman"/>
          <w:b/>
          <w:sz w:val="24"/>
          <w:szCs w:val="24"/>
          <w:lang w:val="en"/>
        </w:rPr>
        <w:t>Conservatorship Placement:</w:t>
      </w:r>
      <w:r w:rsidRPr="00812B71">
        <w:rPr>
          <w:rFonts w:ascii="Times New Roman" w:hAnsi="Times New Roman"/>
          <w:sz w:val="24"/>
          <w:szCs w:val="24"/>
          <w:lang w:val="en"/>
        </w:rPr>
        <w:t xml:space="preserve"> In September 2008, both Fannie Mae and Freddie Mac were placed under conservatorship by their regulatory body, the Federal Housing Finance Agency (FHFA). This granted the FHFA the ability to assume management and operations control over the GSEs to ensure their stability.</w:t>
      </w:r>
    </w:p>
    <w:p w14:paraId="1C2E9826" w14:textId="2FB992AA" w:rsidR="001C01D1" w:rsidRPr="00812B71" w:rsidRDefault="001C01D1" w:rsidP="0096660C">
      <w:pPr>
        <w:pStyle w:val="ListParagraph"/>
        <w:numPr>
          <w:ilvl w:val="0"/>
          <w:numId w:val="17"/>
        </w:numPr>
        <w:ind w:left="284" w:hanging="284"/>
        <w:jc w:val="both"/>
        <w:rPr>
          <w:rFonts w:ascii="Times New Roman" w:hAnsi="Times New Roman"/>
          <w:sz w:val="24"/>
          <w:szCs w:val="24"/>
          <w:lang w:val="en"/>
        </w:rPr>
      </w:pPr>
      <w:r w:rsidRPr="00812B71">
        <w:rPr>
          <w:rFonts w:ascii="Times New Roman" w:hAnsi="Times New Roman"/>
          <w:b/>
          <w:sz w:val="24"/>
          <w:szCs w:val="24"/>
          <w:lang w:val="en"/>
        </w:rPr>
        <w:t>Capital Injection:</w:t>
      </w:r>
      <w:r w:rsidRPr="00812B71">
        <w:rPr>
          <w:rFonts w:ascii="Times New Roman" w:hAnsi="Times New Roman"/>
          <w:sz w:val="24"/>
          <w:szCs w:val="24"/>
          <w:lang w:val="en"/>
        </w:rPr>
        <w:t xml:space="preserve"> The Treasury injected capital into Fannie Mae and Freddie Mac to reinforce their financial standings and avert insolvency. This intervention aided in stabilizing the balance sheets of the GSEs and reinstating trust in their pivotal roles within the housing market.</w:t>
      </w:r>
    </w:p>
    <w:p w14:paraId="1C2E9827" w14:textId="018612DA" w:rsidR="008B50F5" w:rsidRPr="00812B71" w:rsidRDefault="008B50F5" w:rsidP="0096660C">
      <w:pPr>
        <w:pStyle w:val="ListParagraph"/>
        <w:numPr>
          <w:ilvl w:val="0"/>
          <w:numId w:val="17"/>
        </w:numPr>
        <w:ind w:left="284" w:hanging="284"/>
        <w:jc w:val="both"/>
        <w:rPr>
          <w:rFonts w:ascii="Times New Roman" w:hAnsi="Times New Roman"/>
          <w:sz w:val="24"/>
          <w:szCs w:val="24"/>
          <w:lang w:val="en"/>
        </w:rPr>
      </w:pPr>
      <w:r w:rsidRPr="00812B71">
        <w:rPr>
          <w:rFonts w:ascii="Times New Roman" w:hAnsi="Times New Roman"/>
          <w:b/>
          <w:sz w:val="24"/>
          <w:szCs w:val="24"/>
          <w:lang w:val="en"/>
        </w:rPr>
        <w:t>Preferred Stock Agreements:</w:t>
      </w:r>
      <w:r w:rsidRPr="00812B71">
        <w:rPr>
          <w:rFonts w:ascii="Times New Roman" w:hAnsi="Times New Roman"/>
          <w:sz w:val="24"/>
          <w:szCs w:val="24"/>
          <w:lang w:val="en"/>
        </w:rPr>
        <w:t xml:space="preserve"> As part of the capital injection, the Treasury acquired preferred stock in both GSEs. This granted the Treasury ownership within the GSEs and the potential for dividends on its preferred shares.</w:t>
      </w:r>
    </w:p>
    <w:p w14:paraId="1C2E9828" w14:textId="08A2E6D3" w:rsidR="008B50F5" w:rsidRPr="00812B71" w:rsidRDefault="008B50F5" w:rsidP="0096660C">
      <w:pPr>
        <w:pStyle w:val="ListParagraph"/>
        <w:numPr>
          <w:ilvl w:val="0"/>
          <w:numId w:val="17"/>
        </w:numPr>
        <w:ind w:left="284" w:hanging="284"/>
        <w:jc w:val="both"/>
        <w:rPr>
          <w:rFonts w:ascii="Times New Roman" w:hAnsi="Times New Roman"/>
          <w:sz w:val="24"/>
          <w:szCs w:val="24"/>
          <w:lang w:val="en"/>
        </w:rPr>
      </w:pPr>
      <w:r w:rsidRPr="00812B71">
        <w:rPr>
          <w:rFonts w:ascii="Times New Roman" w:hAnsi="Times New Roman"/>
          <w:b/>
          <w:sz w:val="24"/>
          <w:szCs w:val="24"/>
          <w:lang w:val="en"/>
        </w:rPr>
        <w:t>Pledge of Support:</w:t>
      </w:r>
      <w:r w:rsidRPr="00812B71">
        <w:rPr>
          <w:rFonts w:ascii="Times New Roman" w:hAnsi="Times New Roman"/>
          <w:sz w:val="24"/>
          <w:szCs w:val="24"/>
          <w:lang w:val="en"/>
        </w:rPr>
        <w:t xml:space="preserve"> Through the FHFA, the Treasury made a commitment to provide financial support to Fannie Mae and Freddie Mac, ensuring uninterrupted operations and preventing disruptions in the mortgage market</w:t>
      </w:r>
      <w:r w:rsidR="00F167FE" w:rsidRPr="00812B71">
        <w:rPr>
          <w:rFonts w:ascii="Times New Roman" w:hAnsi="Times New Roman"/>
          <w:sz w:val="24"/>
          <w:szCs w:val="24"/>
          <w:lang w:val="en"/>
        </w:rPr>
        <w:t xml:space="preserve"> </w:t>
      </w:r>
      <w:r w:rsidR="00F167FE" w:rsidRPr="00812B71">
        <w:rPr>
          <w:rFonts w:ascii="Times New Roman" w:hAnsi="Times New Roman"/>
          <w:color w:val="000000"/>
          <w:sz w:val="24"/>
          <w:szCs w:val="24"/>
          <w:shd w:val="clear" w:color="auto" w:fill="FFFFFF"/>
        </w:rPr>
        <w:t>(</w:t>
      </w:r>
      <w:r w:rsidR="00F167FE" w:rsidRPr="00812B71">
        <w:rPr>
          <w:rFonts w:ascii="Times New Roman" w:hAnsi="Times New Roman"/>
          <w:i/>
          <w:iCs/>
          <w:color w:val="000000"/>
          <w:sz w:val="24"/>
          <w:szCs w:val="24"/>
        </w:rPr>
        <w:t>Basel III</w:t>
      </w:r>
      <w:r w:rsidR="00F167FE" w:rsidRPr="00812B71">
        <w:rPr>
          <w:rFonts w:ascii="Times New Roman" w:hAnsi="Times New Roman"/>
          <w:color w:val="000000"/>
          <w:sz w:val="24"/>
          <w:szCs w:val="24"/>
          <w:shd w:val="clear" w:color="auto" w:fill="FFFFFF"/>
        </w:rPr>
        <w:t>, 2017)</w:t>
      </w:r>
      <w:r w:rsidRPr="00812B71">
        <w:rPr>
          <w:rFonts w:ascii="Times New Roman" w:hAnsi="Times New Roman"/>
          <w:sz w:val="24"/>
          <w:szCs w:val="24"/>
          <w:lang w:val="en"/>
        </w:rPr>
        <w:t>.</w:t>
      </w:r>
    </w:p>
    <w:p w14:paraId="1C2E982A" w14:textId="527FCF4F" w:rsidR="00853F1F" w:rsidRPr="00812B71" w:rsidRDefault="00853F1F" w:rsidP="0096660C">
      <w:pPr>
        <w:pStyle w:val="Heading1"/>
        <w:numPr>
          <w:ilvl w:val="0"/>
          <w:numId w:val="28"/>
        </w:numPr>
        <w:jc w:val="both"/>
        <w:rPr>
          <w:b w:val="0"/>
          <w:sz w:val="24"/>
          <w:szCs w:val="24"/>
        </w:rPr>
      </w:pPr>
      <w:bookmarkStart w:id="49" w:name="_Toc143430450"/>
      <w:bookmarkStart w:id="50" w:name="_Toc143446316"/>
      <w:bookmarkStart w:id="51" w:name="_Toc143446359"/>
      <w:bookmarkStart w:id="52" w:name="_Toc143447280"/>
      <w:r w:rsidRPr="00812B71">
        <w:rPr>
          <w:sz w:val="24"/>
          <w:szCs w:val="24"/>
        </w:rPr>
        <w:t>Key laws, regulations and contracts</w:t>
      </w:r>
      <w:r w:rsidR="0064762E" w:rsidRPr="00812B71">
        <w:rPr>
          <w:sz w:val="24"/>
          <w:szCs w:val="24"/>
        </w:rPr>
        <w:t xml:space="preserve"> </w:t>
      </w:r>
      <w:r w:rsidRPr="00812B71">
        <w:rPr>
          <w:sz w:val="24"/>
          <w:szCs w:val="24"/>
        </w:rPr>
        <w:t>by Global players</w:t>
      </w:r>
      <w:bookmarkEnd w:id="49"/>
      <w:bookmarkEnd w:id="50"/>
      <w:bookmarkEnd w:id="51"/>
      <w:bookmarkEnd w:id="52"/>
    </w:p>
    <w:p w14:paraId="1C2E982B" w14:textId="77777777" w:rsidR="00853F1F" w:rsidRPr="00812B71" w:rsidRDefault="008B50F5"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 xml:space="preserve">Amidst the repercussions of the 2008 global financial crisis, a series of international regulatory and legal adjustments were implemented to thwart a recurrence and elevate overall financial stability. While much of this response transpired at the national level, global organizations and agreements also played pivotal roles. </w:t>
      </w:r>
    </w:p>
    <w:p w14:paraId="1C2E982C" w14:textId="7AA6E60A" w:rsidR="00853F1F" w:rsidRPr="00812B71" w:rsidRDefault="00853F1F" w:rsidP="0096660C">
      <w:pPr>
        <w:pStyle w:val="Heading2"/>
        <w:numPr>
          <w:ilvl w:val="1"/>
          <w:numId w:val="32"/>
        </w:numPr>
        <w:jc w:val="both"/>
        <w:rPr>
          <w:b w:val="0"/>
          <w:sz w:val="24"/>
          <w:szCs w:val="24"/>
          <w:lang w:val="en"/>
        </w:rPr>
      </w:pPr>
      <w:bookmarkStart w:id="53" w:name="_Toc143430451"/>
      <w:bookmarkStart w:id="54" w:name="_Toc143446317"/>
      <w:bookmarkStart w:id="55" w:name="_Toc143446360"/>
      <w:bookmarkStart w:id="56" w:name="_Toc143447281"/>
      <w:r w:rsidRPr="00812B71">
        <w:rPr>
          <w:sz w:val="24"/>
          <w:szCs w:val="24"/>
          <w:lang w:val="en"/>
        </w:rPr>
        <w:t>International Regulatory And Legal Adjustments</w:t>
      </w:r>
      <w:bookmarkEnd w:id="53"/>
      <w:bookmarkEnd w:id="54"/>
      <w:bookmarkEnd w:id="55"/>
      <w:bookmarkEnd w:id="56"/>
    </w:p>
    <w:p w14:paraId="1C2E982D" w14:textId="77777777" w:rsidR="001C01D1" w:rsidRPr="00812B71" w:rsidRDefault="008B50F5"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A few notable developments encompass:</w:t>
      </w:r>
    </w:p>
    <w:p w14:paraId="1C2E982E" w14:textId="7A65384F" w:rsidR="001C01D1" w:rsidRPr="00812B71" w:rsidRDefault="001C01D1" w:rsidP="0096660C">
      <w:pPr>
        <w:pStyle w:val="ListParagraph"/>
        <w:widowControl w:val="0"/>
        <w:numPr>
          <w:ilvl w:val="0"/>
          <w:numId w:val="15"/>
        </w:numPr>
        <w:autoSpaceDE w:val="0"/>
        <w:autoSpaceDN w:val="0"/>
        <w:adjustRightInd w:val="0"/>
        <w:spacing w:after="200" w:line="276" w:lineRule="auto"/>
        <w:ind w:left="142" w:hanging="142"/>
        <w:jc w:val="both"/>
        <w:rPr>
          <w:rFonts w:ascii="Times New Roman" w:hAnsi="Times New Roman"/>
          <w:sz w:val="24"/>
          <w:szCs w:val="24"/>
          <w:lang w:val="en"/>
        </w:rPr>
      </w:pPr>
      <w:bookmarkStart w:id="57" w:name="_Toc143430452"/>
      <w:bookmarkStart w:id="58" w:name="_Toc143446361"/>
      <w:r w:rsidRPr="00812B71">
        <w:rPr>
          <w:rFonts w:ascii="Times New Roman" w:hAnsi="Times New Roman"/>
          <w:b/>
          <w:bCs/>
        </w:rPr>
        <w:t>Basel III:</w:t>
      </w:r>
      <w:bookmarkEnd w:id="57"/>
      <w:bookmarkEnd w:id="58"/>
      <w:r w:rsidRPr="00812B71">
        <w:rPr>
          <w:rFonts w:ascii="Times New Roman" w:hAnsi="Times New Roman"/>
          <w:sz w:val="24"/>
          <w:szCs w:val="24"/>
          <w:lang w:val="en"/>
        </w:rPr>
        <w:t xml:space="preserve"> The Basel Committee on Banking Supervision introduced the Basel III framework, a comprehensive series of reforms intended to fortify the resilience of the banking sector. This framework encompassed heightened capital requirements, liquidity standards, and improved risk </w:t>
      </w:r>
      <w:r w:rsidRPr="00812B71">
        <w:rPr>
          <w:rFonts w:ascii="Times New Roman" w:hAnsi="Times New Roman"/>
          <w:sz w:val="24"/>
          <w:szCs w:val="24"/>
          <w:lang w:val="en"/>
        </w:rPr>
        <w:lastRenderedPageBreak/>
        <w:t>management practices for banks</w:t>
      </w:r>
      <w:r w:rsidR="00FA3E69" w:rsidRPr="00812B71">
        <w:rPr>
          <w:rFonts w:ascii="Times New Roman" w:hAnsi="Times New Roman"/>
          <w:sz w:val="24"/>
          <w:szCs w:val="24"/>
          <w:lang w:val="en"/>
        </w:rPr>
        <w:t xml:space="preserve"> (</w:t>
      </w:r>
      <w:r w:rsidR="00FA3E69" w:rsidRPr="00812B71">
        <w:rPr>
          <w:rFonts w:ascii="Times New Roman" w:hAnsi="Times New Roman"/>
          <w:color w:val="222222"/>
          <w:sz w:val="24"/>
          <w:szCs w:val="24"/>
          <w:shd w:val="clear" w:color="auto" w:fill="FFFFFF"/>
        </w:rPr>
        <w:t>BIS, 2011).</w:t>
      </w:r>
    </w:p>
    <w:p w14:paraId="1C2E982F" w14:textId="14EBC05B" w:rsidR="001C01D1" w:rsidRPr="00812B71" w:rsidRDefault="001C01D1" w:rsidP="0096660C">
      <w:pPr>
        <w:pStyle w:val="ListParagraph"/>
        <w:widowControl w:val="0"/>
        <w:numPr>
          <w:ilvl w:val="0"/>
          <w:numId w:val="15"/>
        </w:numPr>
        <w:autoSpaceDE w:val="0"/>
        <w:autoSpaceDN w:val="0"/>
        <w:adjustRightInd w:val="0"/>
        <w:spacing w:after="200" w:line="276" w:lineRule="auto"/>
        <w:ind w:left="142" w:hanging="142"/>
        <w:jc w:val="both"/>
        <w:rPr>
          <w:rFonts w:ascii="Times New Roman" w:hAnsi="Times New Roman"/>
          <w:sz w:val="24"/>
          <w:szCs w:val="24"/>
          <w:lang w:val="en"/>
        </w:rPr>
      </w:pPr>
      <w:bookmarkStart w:id="59" w:name="_Toc143430453"/>
      <w:bookmarkStart w:id="60" w:name="_Toc143446362"/>
      <w:r w:rsidRPr="00812B71">
        <w:rPr>
          <w:rFonts w:ascii="Times New Roman" w:hAnsi="Times New Roman"/>
          <w:b/>
          <w:bCs/>
        </w:rPr>
        <w:t>Reforms by the Financial Stability Board (FSB):</w:t>
      </w:r>
      <w:bookmarkEnd w:id="59"/>
      <w:bookmarkEnd w:id="60"/>
      <w:r w:rsidRPr="00812B71">
        <w:rPr>
          <w:rFonts w:ascii="Times New Roman" w:hAnsi="Times New Roman"/>
          <w:sz w:val="24"/>
          <w:szCs w:val="24"/>
          <w:lang w:val="en"/>
        </w:rPr>
        <w:t xml:space="preserve"> Established by the G20, the Financial Stability Board (FSB) played a pivotal role in orchestrating international efforts. It formulated and advocated principles for prudent compensation practices, enhanced supervision of systemically important financial institutions (SIFIs), and heightened risk governance.</w:t>
      </w:r>
    </w:p>
    <w:p w14:paraId="1C2E9830" w14:textId="3170DD62" w:rsidR="001C01D1" w:rsidRPr="00812B71" w:rsidRDefault="001C01D1" w:rsidP="0096660C">
      <w:pPr>
        <w:pStyle w:val="ListParagraph"/>
        <w:widowControl w:val="0"/>
        <w:numPr>
          <w:ilvl w:val="0"/>
          <w:numId w:val="15"/>
        </w:numPr>
        <w:autoSpaceDE w:val="0"/>
        <w:autoSpaceDN w:val="0"/>
        <w:adjustRightInd w:val="0"/>
        <w:spacing w:after="200" w:line="276" w:lineRule="auto"/>
        <w:ind w:left="142" w:hanging="142"/>
        <w:jc w:val="both"/>
        <w:rPr>
          <w:rFonts w:ascii="Times New Roman" w:hAnsi="Times New Roman"/>
          <w:sz w:val="24"/>
          <w:szCs w:val="24"/>
          <w:lang w:val="en"/>
        </w:rPr>
      </w:pPr>
      <w:bookmarkStart w:id="61" w:name="_Toc143430454"/>
      <w:bookmarkStart w:id="62" w:name="_Toc143446363"/>
      <w:r w:rsidRPr="00812B71">
        <w:rPr>
          <w:rFonts w:ascii="Times New Roman" w:hAnsi="Times New Roman"/>
          <w:b/>
          <w:bCs/>
        </w:rPr>
        <w:t>G20 Commitments:</w:t>
      </w:r>
      <w:bookmarkEnd w:id="61"/>
      <w:bookmarkEnd w:id="62"/>
      <w:r w:rsidR="00B44157" w:rsidRPr="00812B71">
        <w:rPr>
          <w:rFonts w:ascii="Times New Roman" w:hAnsi="Times New Roman"/>
          <w:sz w:val="24"/>
          <w:szCs w:val="24"/>
          <w:lang w:val="en"/>
        </w:rPr>
        <w:t xml:space="preserve"> </w:t>
      </w:r>
      <w:r w:rsidRPr="00812B71">
        <w:rPr>
          <w:rFonts w:ascii="Times New Roman" w:hAnsi="Times New Roman"/>
          <w:sz w:val="24"/>
          <w:szCs w:val="24"/>
          <w:lang w:val="en"/>
        </w:rPr>
        <w:t>G20 leaders reached a consensus on a set of commitments aimed at fostering financial stability. These commitments encompassed enhancing the quality and quantity of capital, amplifying transparency within financial markets, and bolstering collaboration among regulatory authorities.</w:t>
      </w:r>
    </w:p>
    <w:p w14:paraId="1C2E9831" w14:textId="7524692E" w:rsidR="001C01D1" w:rsidRPr="00812B71" w:rsidRDefault="001C01D1" w:rsidP="0096660C">
      <w:pPr>
        <w:pStyle w:val="ListParagraph"/>
        <w:widowControl w:val="0"/>
        <w:numPr>
          <w:ilvl w:val="0"/>
          <w:numId w:val="15"/>
        </w:numPr>
        <w:autoSpaceDE w:val="0"/>
        <w:autoSpaceDN w:val="0"/>
        <w:adjustRightInd w:val="0"/>
        <w:spacing w:after="200" w:line="276" w:lineRule="auto"/>
        <w:ind w:left="142" w:hanging="142"/>
        <w:jc w:val="both"/>
        <w:rPr>
          <w:rFonts w:ascii="Times New Roman" w:hAnsi="Times New Roman"/>
          <w:sz w:val="24"/>
          <w:szCs w:val="24"/>
          <w:lang w:val="en"/>
        </w:rPr>
      </w:pPr>
      <w:bookmarkStart w:id="63" w:name="_Toc143430455"/>
      <w:bookmarkStart w:id="64" w:name="_Toc143446364"/>
      <w:r w:rsidRPr="00812B71">
        <w:rPr>
          <w:rFonts w:ascii="Times New Roman" w:hAnsi="Times New Roman"/>
          <w:b/>
          <w:bCs/>
        </w:rPr>
        <w:t>Dodd-Frank Wall Street Reform and Consumer Protection Act (2010):</w:t>
      </w:r>
      <w:bookmarkEnd w:id="63"/>
      <w:bookmarkEnd w:id="64"/>
      <w:r w:rsidRPr="00812B71">
        <w:rPr>
          <w:rFonts w:ascii="Times New Roman" w:hAnsi="Times New Roman"/>
          <w:b/>
          <w:bCs/>
        </w:rPr>
        <w:t xml:space="preserve"> </w:t>
      </w:r>
      <w:r w:rsidRPr="00812B71">
        <w:rPr>
          <w:rFonts w:ascii="Times New Roman" w:hAnsi="Times New Roman"/>
          <w:sz w:val="24"/>
          <w:szCs w:val="24"/>
          <w:lang w:val="en"/>
        </w:rPr>
        <w:t>While primarily a U.S. statute, its global impact was substantial due to certain provisions' extraterritorial reach. This act introduced measures to address the issue of "too big to fail," enhance transparency in derivatives markets, and institute the Volcker Rule, which restricts proprietary trading by banks</w:t>
      </w:r>
      <w:r w:rsidR="00FA3E69" w:rsidRPr="00812B71">
        <w:rPr>
          <w:rFonts w:ascii="Times New Roman" w:hAnsi="Times New Roman"/>
          <w:sz w:val="24"/>
          <w:szCs w:val="24"/>
          <w:lang w:val="en"/>
        </w:rPr>
        <w:t xml:space="preserve"> (</w:t>
      </w:r>
      <w:r w:rsidR="00FA3E69" w:rsidRPr="00812B71">
        <w:rPr>
          <w:rFonts w:ascii="Times New Roman" w:hAnsi="Times New Roman"/>
          <w:color w:val="222222"/>
          <w:sz w:val="24"/>
          <w:szCs w:val="24"/>
          <w:shd w:val="clear" w:color="auto" w:fill="FFFFFF"/>
        </w:rPr>
        <w:t>Carpenter, 2010).</w:t>
      </w:r>
    </w:p>
    <w:p w14:paraId="1C2E9832" w14:textId="59FCAFEE" w:rsidR="001C01D1" w:rsidRPr="00812B71" w:rsidRDefault="001C01D1" w:rsidP="0096660C">
      <w:pPr>
        <w:pStyle w:val="ListParagraph"/>
        <w:widowControl w:val="0"/>
        <w:numPr>
          <w:ilvl w:val="0"/>
          <w:numId w:val="15"/>
        </w:numPr>
        <w:autoSpaceDE w:val="0"/>
        <w:autoSpaceDN w:val="0"/>
        <w:adjustRightInd w:val="0"/>
        <w:spacing w:after="200" w:line="276" w:lineRule="auto"/>
        <w:ind w:left="142" w:hanging="142"/>
        <w:jc w:val="both"/>
        <w:rPr>
          <w:rFonts w:ascii="Times New Roman" w:hAnsi="Times New Roman"/>
          <w:sz w:val="24"/>
          <w:szCs w:val="24"/>
          <w:lang w:val="en"/>
        </w:rPr>
      </w:pPr>
      <w:bookmarkStart w:id="65" w:name="_Toc143430456"/>
      <w:bookmarkStart w:id="66" w:name="_Toc143446365"/>
      <w:r w:rsidRPr="00812B71">
        <w:rPr>
          <w:rFonts w:ascii="Times New Roman" w:hAnsi="Times New Roman"/>
          <w:b/>
          <w:bCs/>
        </w:rPr>
        <w:t>European Market Infrastructure Regulation (EMIR):</w:t>
      </w:r>
      <w:bookmarkEnd w:id="65"/>
      <w:bookmarkEnd w:id="66"/>
      <w:r w:rsidRPr="00812B71">
        <w:rPr>
          <w:rFonts w:ascii="Times New Roman" w:hAnsi="Times New Roman"/>
          <w:sz w:val="24"/>
          <w:szCs w:val="24"/>
          <w:lang w:val="en"/>
        </w:rPr>
        <w:t xml:space="preserve"> Designed within the EU, EMIR aimed to heighten transparency and mitigate risks within the derivatives market. The regulation necessitated central clearing and reporting of over-the-counter (OTC) derivatives transactions.</w:t>
      </w:r>
    </w:p>
    <w:p w14:paraId="1C2E9833" w14:textId="1D8BCCFA" w:rsidR="001C01D1" w:rsidRPr="00812B71" w:rsidRDefault="001C01D1" w:rsidP="0096660C">
      <w:pPr>
        <w:pStyle w:val="ListParagraph"/>
        <w:widowControl w:val="0"/>
        <w:numPr>
          <w:ilvl w:val="0"/>
          <w:numId w:val="15"/>
        </w:numPr>
        <w:autoSpaceDE w:val="0"/>
        <w:autoSpaceDN w:val="0"/>
        <w:adjustRightInd w:val="0"/>
        <w:spacing w:after="200" w:line="276" w:lineRule="auto"/>
        <w:ind w:left="142" w:hanging="142"/>
        <w:jc w:val="both"/>
        <w:rPr>
          <w:rFonts w:ascii="Times New Roman" w:hAnsi="Times New Roman"/>
          <w:sz w:val="24"/>
          <w:szCs w:val="24"/>
          <w:lang w:val="en"/>
        </w:rPr>
      </w:pPr>
      <w:bookmarkStart w:id="67" w:name="_Toc143430457"/>
      <w:bookmarkStart w:id="68" w:name="_Toc143446366"/>
      <w:r w:rsidRPr="00812B71">
        <w:rPr>
          <w:rFonts w:ascii="Times New Roman" w:hAnsi="Times New Roman"/>
          <w:b/>
          <w:bCs/>
        </w:rPr>
        <w:t>European Banking Authority (EBA):</w:t>
      </w:r>
      <w:bookmarkEnd w:id="67"/>
      <w:bookmarkEnd w:id="68"/>
      <w:r w:rsidRPr="00812B71">
        <w:rPr>
          <w:rFonts w:ascii="Times New Roman" w:hAnsi="Times New Roman"/>
          <w:sz w:val="24"/>
          <w:szCs w:val="24"/>
          <w:lang w:val="en"/>
        </w:rPr>
        <w:t xml:space="preserve"> As an integral component of the European System of Financial Supervision, the EBA plays a pivotal role in harmonizing and coordinating banking regulations and supervisory practices across the European Union.</w:t>
      </w:r>
    </w:p>
    <w:p w14:paraId="1C2E9834" w14:textId="75D9299F" w:rsidR="001C01D1" w:rsidRPr="00812B71" w:rsidRDefault="001C01D1" w:rsidP="0096660C">
      <w:pPr>
        <w:pStyle w:val="ListParagraph"/>
        <w:widowControl w:val="0"/>
        <w:numPr>
          <w:ilvl w:val="0"/>
          <w:numId w:val="15"/>
        </w:numPr>
        <w:autoSpaceDE w:val="0"/>
        <w:autoSpaceDN w:val="0"/>
        <w:adjustRightInd w:val="0"/>
        <w:spacing w:after="200" w:line="276" w:lineRule="auto"/>
        <w:ind w:left="142" w:hanging="142"/>
        <w:jc w:val="both"/>
        <w:rPr>
          <w:rFonts w:ascii="Times New Roman" w:hAnsi="Times New Roman"/>
          <w:sz w:val="24"/>
          <w:szCs w:val="24"/>
          <w:lang w:val="en"/>
        </w:rPr>
      </w:pPr>
      <w:bookmarkStart w:id="69" w:name="_Toc143430458"/>
      <w:bookmarkStart w:id="70" w:name="_Toc143446367"/>
      <w:r w:rsidRPr="00812B71">
        <w:rPr>
          <w:rFonts w:ascii="Times New Roman" w:hAnsi="Times New Roman"/>
          <w:b/>
          <w:bCs/>
        </w:rPr>
        <w:t>Foreign Account Tax Compliance Act (FATCA):</w:t>
      </w:r>
      <w:bookmarkEnd w:id="69"/>
      <w:bookmarkEnd w:id="70"/>
      <w:r w:rsidRPr="00812B71">
        <w:rPr>
          <w:rFonts w:ascii="Times New Roman" w:hAnsi="Times New Roman"/>
          <w:b/>
          <w:bCs/>
        </w:rPr>
        <w:t xml:space="preserve"> </w:t>
      </w:r>
      <w:r w:rsidRPr="00812B71">
        <w:rPr>
          <w:rFonts w:ascii="Times New Roman" w:hAnsi="Times New Roman"/>
          <w:sz w:val="24"/>
          <w:szCs w:val="24"/>
          <w:lang w:val="en"/>
        </w:rPr>
        <w:t>Enacted by the U.S., FATCA mandated foreign financial institutions to report on U.S. account holders to the Internal Revenue Service (IRS) to combat tax evasion.</w:t>
      </w:r>
    </w:p>
    <w:p w14:paraId="1C2E9835" w14:textId="3B40394A" w:rsidR="001C01D1" w:rsidRPr="00812B71" w:rsidRDefault="001C01D1" w:rsidP="0096660C">
      <w:pPr>
        <w:pStyle w:val="ListParagraph"/>
        <w:widowControl w:val="0"/>
        <w:numPr>
          <w:ilvl w:val="0"/>
          <w:numId w:val="15"/>
        </w:numPr>
        <w:autoSpaceDE w:val="0"/>
        <w:autoSpaceDN w:val="0"/>
        <w:adjustRightInd w:val="0"/>
        <w:spacing w:after="200" w:line="276" w:lineRule="auto"/>
        <w:ind w:left="142" w:hanging="142"/>
        <w:jc w:val="both"/>
        <w:rPr>
          <w:rFonts w:ascii="Times New Roman" w:hAnsi="Times New Roman"/>
          <w:sz w:val="24"/>
          <w:szCs w:val="24"/>
          <w:lang w:val="en"/>
        </w:rPr>
      </w:pPr>
      <w:bookmarkStart w:id="71" w:name="_Toc143430459"/>
      <w:bookmarkStart w:id="72" w:name="_Toc143446368"/>
      <w:r w:rsidRPr="00812B71">
        <w:rPr>
          <w:rFonts w:ascii="Times New Roman" w:hAnsi="Times New Roman"/>
          <w:b/>
          <w:bCs/>
        </w:rPr>
        <w:t>MiFID II (Markets in Financial Instruments Directive II)</w:t>
      </w:r>
      <w:bookmarkEnd w:id="71"/>
      <w:bookmarkEnd w:id="72"/>
      <w:r w:rsidRPr="00812B71">
        <w:rPr>
          <w:rFonts w:ascii="Times New Roman" w:hAnsi="Times New Roman"/>
          <w:sz w:val="24"/>
          <w:szCs w:val="24"/>
          <w:lang w:val="en"/>
        </w:rPr>
        <w:t xml:space="preserve"> An EU regulation with the objective of enhancing transparency, safeguarding investor interests, and fortifying market integrity within financial markets. This regulation expanded its scope to encompass additional financial instruments and trading platforms.</w:t>
      </w:r>
    </w:p>
    <w:p w14:paraId="1C2E9836" w14:textId="61EB90A1" w:rsidR="00526C1A" w:rsidRPr="00812B71" w:rsidRDefault="00526C1A" w:rsidP="0096660C">
      <w:pPr>
        <w:pStyle w:val="ListParagraph"/>
        <w:widowControl w:val="0"/>
        <w:numPr>
          <w:ilvl w:val="0"/>
          <w:numId w:val="15"/>
        </w:numPr>
        <w:autoSpaceDE w:val="0"/>
        <w:autoSpaceDN w:val="0"/>
        <w:adjustRightInd w:val="0"/>
        <w:spacing w:after="200" w:line="276" w:lineRule="auto"/>
        <w:ind w:left="142" w:hanging="142"/>
        <w:jc w:val="both"/>
        <w:rPr>
          <w:rFonts w:ascii="Times New Roman" w:hAnsi="Times New Roman"/>
          <w:sz w:val="24"/>
          <w:szCs w:val="24"/>
          <w:lang w:val="en"/>
        </w:rPr>
      </w:pPr>
      <w:bookmarkStart w:id="73" w:name="_Toc143430460"/>
      <w:bookmarkStart w:id="74" w:name="_Toc143446369"/>
      <w:r w:rsidRPr="00812B71">
        <w:rPr>
          <w:rFonts w:ascii="Times New Roman" w:hAnsi="Times New Roman"/>
          <w:b/>
          <w:bCs/>
        </w:rPr>
        <w:t>Solvency II:</w:t>
      </w:r>
      <w:bookmarkEnd w:id="73"/>
      <w:bookmarkEnd w:id="74"/>
      <w:r w:rsidRPr="00812B71">
        <w:rPr>
          <w:rFonts w:ascii="Times New Roman" w:hAnsi="Times New Roman"/>
          <w:sz w:val="24"/>
          <w:szCs w:val="24"/>
          <w:lang w:val="en"/>
        </w:rPr>
        <w:t xml:space="preserve"> An EU directive aimed at harmonizing and improving the regulation of insurance companies across the European Union, focusing on risk management, capital adequacy, and reporting</w:t>
      </w:r>
      <w:r w:rsidR="00FA3E69" w:rsidRPr="00812B71">
        <w:rPr>
          <w:rFonts w:ascii="Times New Roman" w:hAnsi="Times New Roman"/>
          <w:sz w:val="24"/>
          <w:szCs w:val="24"/>
          <w:lang w:val="en"/>
        </w:rPr>
        <w:t xml:space="preserve"> (Mian et al; 2010).</w:t>
      </w:r>
    </w:p>
    <w:p w14:paraId="1C2E9837" w14:textId="53523889" w:rsidR="00526C1A" w:rsidRPr="00812B71" w:rsidRDefault="00526C1A" w:rsidP="0096660C">
      <w:pPr>
        <w:pStyle w:val="ListParagraph"/>
        <w:widowControl w:val="0"/>
        <w:numPr>
          <w:ilvl w:val="0"/>
          <w:numId w:val="15"/>
        </w:numPr>
        <w:autoSpaceDE w:val="0"/>
        <w:autoSpaceDN w:val="0"/>
        <w:adjustRightInd w:val="0"/>
        <w:spacing w:after="200" w:line="276" w:lineRule="auto"/>
        <w:ind w:left="142" w:hanging="142"/>
        <w:jc w:val="both"/>
        <w:rPr>
          <w:rFonts w:ascii="Times New Roman" w:hAnsi="Times New Roman"/>
          <w:sz w:val="24"/>
          <w:szCs w:val="24"/>
          <w:lang w:val="en"/>
        </w:rPr>
      </w:pPr>
      <w:bookmarkStart w:id="75" w:name="_Toc143430461"/>
      <w:bookmarkStart w:id="76" w:name="_Toc143446370"/>
      <w:r w:rsidRPr="00812B71">
        <w:rPr>
          <w:rFonts w:ascii="Times New Roman" w:hAnsi="Times New Roman"/>
          <w:b/>
          <w:bCs/>
        </w:rPr>
        <w:t>Global Systemically Important Insurers (G-SIIs) Framework:</w:t>
      </w:r>
      <w:bookmarkEnd w:id="75"/>
      <w:bookmarkEnd w:id="76"/>
      <w:r w:rsidRPr="00812B71">
        <w:rPr>
          <w:rStyle w:val="Heading3Char"/>
          <w:sz w:val="24"/>
          <w:lang w:val="en"/>
        </w:rPr>
        <w:t xml:space="preserve"> </w:t>
      </w:r>
      <w:r w:rsidRPr="00812B71">
        <w:rPr>
          <w:rFonts w:ascii="Times New Roman" w:hAnsi="Times New Roman"/>
          <w:sz w:val="24"/>
          <w:szCs w:val="24"/>
          <w:lang w:val="en"/>
        </w:rPr>
        <w:t>Similar to banks, international agreements and regulatory bodies developed frameworks to assess and regulate globally systemically important insurance companies to prevent risks to the financial system.</w:t>
      </w:r>
    </w:p>
    <w:p w14:paraId="1C2E9838" w14:textId="77777777" w:rsidR="00DC650B" w:rsidRPr="00812B71" w:rsidRDefault="00526C1A"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These initiatives collectively aimed to address vulnerabilities exposed by the 2008 crisis, enhance risk management practices, increase transparency, and strengthen the resilience of the global financial system</w:t>
      </w:r>
      <w:r w:rsidR="00FA3E69" w:rsidRPr="00812B71">
        <w:rPr>
          <w:rFonts w:ascii="Times New Roman" w:hAnsi="Times New Roman"/>
          <w:sz w:val="24"/>
          <w:szCs w:val="24"/>
          <w:lang w:val="en"/>
        </w:rPr>
        <w:t xml:space="preserve"> (</w:t>
      </w:r>
      <w:r w:rsidR="00FA3E69" w:rsidRPr="00812B71">
        <w:rPr>
          <w:rFonts w:ascii="Times New Roman" w:hAnsi="Times New Roman"/>
          <w:color w:val="222222"/>
          <w:sz w:val="24"/>
          <w:szCs w:val="24"/>
          <w:shd w:val="clear" w:color="auto" w:fill="FFFFFF"/>
        </w:rPr>
        <w:t>Guynn , 2010)</w:t>
      </w:r>
    </w:p>
    <w:p w14:paraId="1C2E9839" w14:textId="77777777" w:rsidR="00DC650B" w:rsidRPr="00812B71" w:rsidRDefault="00DC650B" w:rsidP="0096660C">
      <w:pPr>
        <w:widowControl w:val="0"/>
        <w:autoSpaceDE w:val="0"/>
        <w:autoSpaceDN w:val="0"/>
        <w:adjustRightInd w:val="0"/>
        <w:spacing w:after="200" w:line="276" w:lineRule="auto"/>
        <w:jc w:val="both"/>
        <w:rPr>
          <w:rFonts w:ascii="Times New Roman" w:hAnsi="Times New Roman"/>
          <w:sz w:val="24"/>
          <w:szCs w:val="24"/>
          <w:lang w:val="en"/>
        </w:rPr>
      </w:pPr>
      <w:bookmarkStart w:id="77" w:name="_Toc143430462"/>
      <w:bookmarkStart w:id="78" w:name="_Toc143446318"/>
      <w:bookmarkStart w:id="79" w:name="_Toc143446371"/>
      <w:bookmarkStart w:id="80" w:name="_Toc143447282"/>
      <w:r w:rsidRPr="00812B71">
        <w:rPr>
          <w:rStyle w:val="Heading2Char"/>
          <w:sz w:val="24"/>
          <w:szCs w:val="24"/>
          <w:lang w:val="en"/>
        </w:rPr>
        <w:t>The Dodd-Frank Wall Street Reform and Consumer Protection Act and the Emergency Economic Stabilization Act (EESA)</w:t>
      </w:r>
      <w:bookmarkEnd w:id="77"/>
      <w:bookmarkEnd w:id="78"/>
      <w:bookmarkEnd w:id="79"/>
      <w:bookmarkEnd w:id="80"/>
      <w:r w:rsidRPr="00812B71">
        <w:rPr>
          <w:rFonts w:ascii="Times New Roman" w:hAnsi="Times New Roman"/>
          <w:sz w:val="24"/>
          <w:szCs w:val="24"/>
          <w:lang w:val="en"/>
        </w:rPr>
        <w:t xml:space="preserve"> were both significant pieces of legislation that played a role in addressing the 2008 financial crisis.</w:t>
      </w:r>
    </w:p>
    <w:p w14:paraId="1C2E983A" w14:textId="77777777" w:rsidR="001C01D1" w:rsidRPr="00812B71" w:rsidRDefault="00DC650B"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 xml:space="preserve">The </w:t>
      </w:r>
      <w:r w:rsidRPr="00812B71">
        <w:rPr>
          <w:rFonts w:ascii="Times New Roman" w:hAnsi="Times New Roman"/>
          <w:b/>
          <w:sz w:val="24"/>
          <w:szCs w:val="24"/>
          <w:lang w:val="en"/>
        </w:rPr>
        <w:t>Dodd-Frank Wall Street Reform and Consumer Protection Act</w:t>
      </w:r>
      <w:r w:rsidRPr="00812B71">
        <w:rPr>
          <w:rFonts w:ascii="Times New Roman" w:hAnsi="Times New Roman"/>
          <w:sz w:val="24"/>
          <w:szCs w:val="24"/>
          <w:lang w:val="en"/>
        </w:rPr>
        <w:t xml:space="preserve">, passed in 2010, aimed to </w:t>
      </w:r>
      <w:r w:rsidRPr="00812B71">
        <w:rPr>
          <w:rFonts w:ascii="Times New Roman" w:hAnsi="Times New Roman"/>
          <w:sz w:val="24"/>
          <w:szCs w:val="24"/>
          <w:lang w:val="en"/>
        </w:rPr>
        <w:lastRenderedPageBreak/>
        <w:t>prevent another financial crisis by implementing comprehensive regulatory reforms and consumer protections. Some of the key provisions of Dodd-Frank included:</w:t>
      </w:r>
    </w:p>
    <w:p w14:paraId="1C2E983B" w14:textId="77777777" w:rsidR="001C01D1" w:rsidRPr="00812B71" w:rsidRDefault="001C01D1" w:rsidP="0096660C">
      <w:pPr>
        <w:pStyle w:val="ListParagraph"/>
        <w:widowControl w:val="0"/>
        <w:numPr>
          <w:ilvl w:val="0"/>
          <w:numId w:val="23"/>
        </w:numPr>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Establishment of the Consumer Financial Protection Bureau (CFPB) responsible for supervising financial offerings and shielding consumers against exploitative tactics.</w:t>
      </w:r>
    </w:p>
    <w:p w14:paraId="1C2E983C" w14:textId="77777777" w:rsidR="001C01D1" w:rsidRPr="00812B71" w:rsidRDefault="001C01D1" w:rsidP="0096660C">
      <w:pPr>
        <w:pStyle w:val="ListParagraph"/>
        <w:widowControl w:val="0"/>
        <w:numPr>
          <w:ilvl w:val="0"/>
          <w:numId w:val="23"/>
        </w:numPr>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Strengthened regulatory vigilance over financial entities, entailing more rigorous capital prerequisites and assessments during times of stress.</w:t>
      </w:r>
    </w:p>
    <w:p w14:paraId="1C2E983D" w14:textId="77777777" w:rsidR="001C01D1" w:rsidRPr="00812B71" w:rsidRDefault="001C01D1" w:rsidP="0096660C">
      <w:pPr>
        <w:pStyle w:val="ListParagraph"/>
        <w:widowControl w:val="0"/>
        <w:numPr>
          <w:ilvl w:val="0"/>
          <w:numId w:val="23"/>
        </w:numPr>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Imposition of regulations on over-the-counter derivatives to heighten transparency and diminish systemic jeopardy.</w:t>
      </w:r>
    </w:p>
    <w:p w14:paraId="1C2E983E" w14:textId="77777777" w:rsidR="001C01D1" w:rsidRPr="00812B71" w:rsidRDefault="001C01D1" w:rsidP="0096660C">
      <w:pPr>
        <w:pStyle w:val="ListParagraph"/>
        <w:widowControl w:val="0"/>
        <w:numPr>
          <w:ilvl w:val="0"/>
          <w:numId w:val="23"/>
        </w:numPr>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Adoption of strategies to tackle the predicament of institutions deemed "too big to fail," alongside crafting a structured mechanism for the controlled resolution of struggling financial enterprises.</w:t>
      </w:r>
    </w:p>
    <w:p w14:paraId="1C2E983F" w14:textId="6B8AD4E8" w:rsidR="001C01D1" w:rsidRPr="00812B71" w:rsidRDefault="001C01D1" w:rsidP="0096660C">
      <w:pPr>
        <w:pStyle w:val="ListParagraph"/>
        <w:widowControl w:val="0"/>
        <w:numPr>
          <w:ilvl w:val="0"/>
          <w:numId w:val="23"/>
        </w:numPr>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Impositions on banks' proprietary trading (recognized as the "Volcker Rule") to curb excessive risk-taking tendencies</w:t>
      </w:r>
      <w:r w:rsidR="0055180F" w:rsidRPr="00812B71">
        <w:rPr>
          <w:rFonts w:ascii="Times New Roman" w:hAnsi="Times New Roman"/>
          <w:sz w:val="24"/>
          <w:szCs w:val="24"/>
          <w:lang w:val="en"/>
        </w:rPr>
        <w:t xml:space="preserve"> </w:t>
      </w:r>
      <w:r w:rsidR="00536A94" w:rsidRPr="00812B71">
        <w:rPr>
          <w:rFonts w:ascii="Times New Roman" w:hAnsi="Times New Roman"/>
          <w:sz w:val="24"/>
          <w:szCs w:val="24"/>
          <w:lang w:val="en"/>
        </w:rPr>
        <w:t>(</w:t>
      </w:r>
      <w:r w:rsidR="00226596" w:rsidRPr="00812B71">
        <w:rPr>
          <w:rFonts w:ascii="Times New Roman" w:hAnsi="Times New Roman"/>
          <w:sz w:val="24"/>
          <w:szCs w:val="24"/>
          <w:shd w:val="clear" w:color="auto" w:fill="FFFFFF"/>
        </w:rPr>
        <w:t>Polk, D. and Wardwell, L.L.P., 2010</w:t>
      </w:r>
      <w:r w:rsidR="00536A94" w:rsidRPr="00812B71">
        <w:rPr>
          <w:rFonts w:ascii="Times New Roman" w:hAnsi="Times New Roman"/>
          <w:sz w:val="24"/>
          <w:szCs w:val="24"/>
          <w:shd w:val="clear" w:color="auto" w:fill="FFFFFF"/>
        </w:rPr>
        <w:t>).</w:t>
      </w:r>
    </w:p>
    <w:p w14:paraId="1C2E9840" w14:textId="77777777" w:rsidR="001C01D1" w:rsidRPr="00812B71" w:rsidRDefault="001C01D1"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The response to the 2008 financial crisis witnessed the enactment of significant reforms, including the Dodd-Frank Wall Street Reform and Consumer Protection Act and the establishment of the Consumer Financial Protection Bureau (CFPB), alongside the initiation of the Emergency Economic Stabilization Act (EESA) that led to the Troubled Asset Relief Program (TARP). These measures aimed to reinstate stability in the financial system and forestall the recurrence of the crisis. In this assessment, I will evaluate the extent to which these reforms contributed to stabilizing the financial system and reshaping banking entities</w:t>
      </w:r>
      <w:r w:rsidR="008C140B" w:rsidRPr="00812B71">
        <w:rPr>
          <w:rFonts w:ascii="Times New Roman" w:hAnsi="Times New Roman"/>
          <w:sz w:val="24"/>
          <w:szCs w:val="24"/>
          <w:lang w:val="en"/>
        </w:rPr>
        <w:t xml:space="preserve"> (</w:t>
      </w:r>
      <w:r w:rsidR="008C140B" w:rsidRPr="00812B71">
        <w:rPr>
          <w:rFonts w:ascii="Times New Roman" w:hAnsi="Times New Roman"/>
          <w:color w:val="222222"/>
          <w:sz w:val="24"/>
          <w:szCs w:val="24"/>
          <w:shd w:val="clear" w:color="auto" w:fill="FFFFFF"/>
        </w:rPr>
        <w:t>Carpenter, 2010).</w:t>
      </w:r>
    </w:p>
    <w:p w14:paraId="1C2E9842" w14:textId="76248C88" w:rsidR="00853F1F" w:rsidRPr="00812B71" w:rsidRDefault="0064762E" w:rsidP="0096660C">
      <w:pPr>
        <w:pStyle w:val="Heading1"/>
        <w:numPr>
          <w:ilvl w:val="0"/>
          <w:numId w:val="32"/>
        </w:numPr>
        <w:jc w:val="both"/>
        <w:rPr>
          <w:b w:val="0"/>
          <w:sz w:val="24"/>
          <w:szCs w:val="24"/>
          <w:lang w:val="en"/>
        </w:rPr>
      </w:pPr>
      <w:bookmarkStart w:id="81" w:name="_Toc143430463"/>
      <w:bookmarkStart w:id="82" w:name="_Toc143446319"/>
      <w:bookmarkStart w:id="83" w:name="_Toc143446372"/>
      <w:bookmarkStart w:id="84" w:name="_Toc143447283"/>
      <w:r w:rsidRPr="00812B71">
        <w:rPr>
          <w:sz w:val="24"/>
          <w:szCs w:val="24"/>
        </w:rPr>
        <w:t>Stabilizing</w:t>
      </w:r>
      <w:r w:rsidR="00853F1F" w:rsidRPr="00812B71">
        <w:rPr>
          <w:sz w:val="24"/>
          <w:szCs w:val="24"/>
        </w:rPr>
        <w:t xml:space="preserve"> the financial system and the different banking institutions</w:t>
      </w:r>
      <w:bookmarkEnd w:id="81"/>
      <w:bookmarkEnd w:id="82"/>
      <w:bookmarkEnd w:id="83"/>
      <w:bookmarkEnd w:id="84"/>
      <w:r w:rsidR="00853F1F" w:rsidRPr="00812B71">
        <w:rPr>
          <w:sz w:val="24"/>
          <w:szCs w:val="24"/>
        </w:rPr>
        <w:t xml:space="preserve"> </w:t>
      </w:r>
    </w:p>
    <w:p w14:paraId="1C2E9843" w14:textId="77777777" w:rsidR="001C01D1" w:rsidRPr="00812B71" w:rsidRDefault="001C01D1"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The formation of the Consumer Financial Protection Bureau (CFPB) was a pivotal component of Dodd-Frank's reform efforts. Designed to oversee and regulate financial services and products, the CFPB's mission was to ensure equitable and transparent offerings for consumers. This proved particularly pertinent in the aftermath of the crisis, given the role of exploitative lending practices and misleading financial products in the housing market collapse. The CFPB's exertions to enforce regulations and curb abusive practices have indeed extended heightened protection to consumers. The bureau's supervision of mortgage originators and servicers led to improved disclosure practices, mitigating the chances of borrowers becoming entangled in unsustainable loans. However, the CFPB's impact faced constraints stemming from opposition by certain financial institutions and policy modifications enacted by subsequent administrations, which could have curtailed its enforcement effectiveness.</w:t>
      </w:r>
    </w:p>
    <w:p w14:paraId="1C2E9844" w14:textId="77777777" w:rsidR="001C01D1" w:rsidRPr="00812B71" w:rsidRDefault="001C01D1"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 xml:space="preserve">Regulatory transformations mandated by Dodd-Frank, including more stringent capital prerequisites and rigorous stress testing, substantially contributed to bolstering the stability of banking establishments. These reforms were tailored to ensure banks held robust capital buffers capable of withstanding economic shocks and financial upheaval. By subjecting banks to demanding stress tests, regulators gauged their resilience in diverse adverse scenarios. This impelled banks to adopt prudential risk management practices and prioritize capital preservation. Consequently, banks are </w:t>
      </w:r>
      <w:r w:rsidRPr="00812B71">
        <w:rPr>
          <w:rFonts w:ascii="Times New Roman" w:hAnsi="Times New Roman"/>
          <w:sz w:val="24"/>
          <w:szCs w:val="24"/>
          <w:lang w:val="en"/>
        </w:rPr>
        <w:lastRenderedPageBreak/>
        <w:t>better equipped to navigate economic downturns and financial market turbulence. The execution of these measures has predominantly succeeded in fostering a more resilient financial framework, albeit amid ongoing debates concerning striking the optimal balance between safety and constraining economic growth</w:t>
      </w:r>
      <w:r w:rsidR="00FA3E69" w:rsidRPr="00812B71">
        <w:rPr>
          <w:rFonts w:ascii="Times New Roman" w:hAnsi="Times New Roman"/>
          <w:sz w:val="24"/>
          <w:szCs w:val="24"/>
          <w:lang w:val="en"/>
        </w:rPr>
        <w:t xml:space="preserve"> (</w:t>
      </w:r>
      <w:r w:rsidR="00FA3E69" w:rsidRPr="00812B71">
        <w:rPr>
          <w:rFonts w:ascii="Times New Roman" w:hAnsi="Times New Roman"/>
          <w:color w:val="222222"/>
          <w:sz w:val="24"/>
          <w:szCs w:val="24"/>
          <w:shd w:val="clear" w:color="auto" w:fill="FFFFFF"/>
        </w:rPr>
        <w:t>Harrington, 2009).</w:t>
      </w:r>
    </w:p>
    <w:p w14:paraId="1C2E9845" w14:textId="77777777" w:rsidR="001C01D1" w:rsidRPr="00812B71" w:rsidRDefault="001C01D1"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The Troubled Asset Relief Program (TARP) set forth by the EESA marked a bold intervention directed at stabilizing the financial system by procuring distressed assets from banks and injecting capital. TARP emerged as a pivotal force in forestalling the complete collapse of the banking sector, injecting liquidity, and rejuvenating confidence. Its acquisition of toxic assets averted fire sales that could have exacerbated the crisis. Furthermore, the program's infusions of capital into banks bolstered their financial foundations and enabled them to sustain lending, an action indispensable for staving off a credit freeze capable of paralyzing the economy. While TARP effectively averted a more severe crisis, it encountered criticism for aiding institutions that were viewed as contributors to the crisis. The public backlash concerning the perception of "bailing out" Wall Street underscored the intricacies of reconciling systemic stability with public sentiment</w:t>
      </w:r>
      <w:r w:rsidR="008C140B" w:rsidRPr="00812B71">
        <w:rPr>
          <w:rFonts w:ascii="Times New Roman" w:hAnsi="Times New Roman"/>
          <w:sz w:val="24"/>
          <w:szCs w:val="24"/>
          <w:lang w:val="en"/>
        </w:rPr>
        <w:t xml:space="preserve"> (</w:t>
      </w:r>
      <w:r w:rsidR="008C140B" w:rsidRPr="00812B71">
        <w:rPr>
          <w:rFonts w:ascii="Times New Roman" w:hAnsi="Times New Roman"/>
          <w:color w:val="222222"/>
          <w:sz w:val="24"/>
          <w:szCs w:val="24"/>
          <w:shd w:val="clear" w:color="auto" w:fill="FFFFFF"/>
        </w:rPr>
        <w:t>Wilson, 2013).</w:t>
      </w:r>
    </w:p>
    <w:p w14:paraId="1C2E9846" w14:textId="77777777" w:rsidR="001C01D1" w:rsidRPr="00812B71" w:rsidRDefault="001C01D1"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Nonetheless, it's important to acknowledge that the effectiveness of these reforms has not been without limitations. Critics posit that Dodd-Frank's regulatory demands might impede smaller financial entities' competitiveness against larger banks with greater resources for compliance. Moreover, the breadth of regulatory reform may not have fully addressed the intricate interconnections and vulnerabilities that can still culminate in systemic risks. While the stress testing regimen has heightened transparency and risk management, questions remain about its efficacy in foreseeing and forestalling all conceivable crisis scenarios.</w:t>
      </w:r>
    </w:p>
    <w:p w14:paraId="1C2E9847" w14:textId="77777777" w:rsidR="00C853B7" w:rsidRPr="00812B71" w:rsidRDefault="00C853B7"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Moreover, despite the success of TARP in stabilizing the financial system, it did not eliminate all the underlying structural issues that contributed to the crisis. Some of the fundamental problems, such as moral hazard and the concentration of risk in certain institutions, remain relevant, raising questions about the long-term sustainability of the system</w:t>
      </w:r>
      <w:r w:rsidR="008C140B" w:rsidRPr="00812B71">
        <w:rPr>
          <w:rFonts w:ascii="Times New Roman" w:hAnsi="Times New Roman"/>
          <w:sz w:val="24"/>
          <w:szCs w:val="24"/>
          <w:lang w:val="en"/>
        </w:rPr>
        <w:t xml:space="preserve"> (</w:t>
      </w:r>
      <w:r w:rsidR="008C140B" w:rsidRPr="00812B71">
        <w:rPr>
          <w:rFonts w:ascii="Times New Roman" w:hAnsi="Times New Roman"/>
          <w:color w:val="222222"/>
          <w:sz w:val="24"/>
          <w:szCs w:val="24"/>
          <w:shd w:val="clear" w:color="auto" w:fill="FFFFFF"/>
        </w:rPr>
        <w:t>Webel, 2011).</w:t>
      </w:r>
    </w:p>
    <w:p w14:paraId="1C2E9848" w14:textId="77777777" w:rsidR="00C146F4" w:rsidRPr="00812B71" w:rsidRDefault="005E16F9"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T</w:t>
      </w:r>
      <w:r w:rsidR="00C853B7" w:rsidRPr="00812B71">
        <w:rPr>
          <w:rFonts w:ascii="Times New Roman" w:hAnsi="Times New Roman"/>
          <w:sz w:val="24"/>
          <w:szCs w:val="24"/>
          <w:lang w:val="en"/>
        </w:rPr>
        <w:t>he Dodd-Frank reforms, particularly the establishment of the Consumer Financial Protection Bureau and the implementation of stricter regulatory requirements, have contributed to greater consumer protection and increased stability within banking institutions. The Troubled Asset Relief Program was essential in averting a deeper financial crisis and restoring confidence in the banking sector. While these reforms have made significant strides in stabilizing the financial system, challenges remain. Striking the right balance between regulatory oversight and fostering economic growth remains a complex task, and ongoing vigilance is necessary to ensure that the lessons learned from the 2008 crisis continue to guide future financial policies and reforms.</w:t>
      </w:r>
    </w:p>
    <w:p w14:paraId="1C2E9849" w14:textId="007EF161" w:rsidR="00E8727E" w:rsidRPr="00812B71" w:rsidRDefault="00E8727E" w:rsidP="0096660C">
      <w:pPr>
        <w:pStyle w:val="Heading2"/>
        <w:numPr>
          <w:ilvl w:val="1"/>
          <w:numId w:val="32"/>
        </w:numPr>
        <w:jc w:val="both"/>
        <w:rPr>
          <w:b w:val="0"/>
          <w:sz w:val="24"/>
          <w:szCs w:val="24"/>
        </w:rPr>
      </w:pPr>
      <w:bookmarkStart w:id="85" w:name="_Toc143430464"/>
      <w:bookmarkStart w:id="86" w:name="_Toc143446320"/>
      <w:bookmarkStart w:id="87" w:name="_Toc143446373"/>
      <w:bookmarkStart w:id="88" w:name="_Toc143447284"/>
      <w:r w:rsidRPr="00812B71">
        <w:rPr>
          <w:sz w:val="24"/>
          <w:szCs w:val="24"/>
        </w:rPr>
        <w:t>Restoring stability to the financial system and various banking entities after the 2008 crisis.</w:t>
      </w:r>
      <w:bookmarkEnd w:id="85"/>
      <w:bookmarkEnd w:id="86"/>
      <w:bookmarkEnd w:id="87"/>
      <w:bookmarkEnd w:id="88"/>
    </w:p>
    <w:p w14:paraId="1C2E984A" w14:textId="77777777" w:rsidR="00E8727E" w:rsidRPr="00812B71" w:rsidRDefault="00E8727E"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The following three aspects are pertinent to the core findings regarding the impact of post-crisis structural shifts on banking sector stability:</w:t>
      </w:r>
    </w:p>
    <w:p w14:paraId="1C2E984B" w14:textId="2BEE9A22" w:rsidR="00E8727E" w:rsidRPr="00812B71" w:rsidRDefault="00E8727E" w:rsidP="0096660C">
      <w:pPr>
        <w:pStyle w:val="Heading3"/>
        <w:numPr>
          <w:ilvl w:val="2"/>
          <w:numId w:val="32"/>
        </w:numPr>
        <w:jc w:val="both"/>
        <w:rPr>
          <w:b w:val="0"/>
          <w:sz w:val="24"/>
        </w:rPr>
      </w:pPr>
      <w:bookmarkStart w:id="89" w:name="_Toc143430465"/>
      <w:bookmarkStart w:id="90" w:name="_Toc143446374"/>
      <w:bookmarkStart w:id="91" w:name="_Toc143447285"/>
      <w:r w:rsidRPr="00812B71">
        <w:rPr>
          <w:sz w:val="24"/>
        </w:rPr>
        <w:lastRenderedPageBreak/>
        <w:t>Enhanced Bank Resilience and Risk Management:</w:t>
      </w:r>
      <w:bookmarkEnd w:id="89"/>
      <w:bookmarkEnd w:id="90"/>
      <w:bookmarkEnd w:id="91"/>
    </w:p>
    <w:p w14:paraId="1C2E984C" w14:textId="77777777" w:rsidR="00E8727E" w:rsidRPr="00812B71" w:rsidRDefault="00E8727E"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A pivotal outcome stemming from post-crisis structural shifts pertains to bank risk-taking and resiliency. Across the global banking landscape, there has been a noteworthy augmentation in capital and liquidity reserves. This strategic bolstering of resources equips banks with a heightened capacity to navigate potential hazards. Notably, stress testing has emerged as a recurrent practice, augmenting forward-looking resilience and facilitating the sustenance of credit flows in both favorable and challenging scenarios. Moreover, banks in advanced economies have transitioned towards more dependable funding sources and allocated investments towards assets that, while potentially riskier, offer simplicity. Nonetheless, it's crucial to acknowledge the influence of cyclical factors, such as accommodative monetary policies, which may impact the significance of these alterations as circumstances evolve.</w:t>
      </w:r>
    </w:p>
    <w:p w14:paraId="1C2E984D" w14:textId="77777777" w:rsidR="00E8727E" w:rsidRPr="00812B71" w:rsidRDefault="00E8727E"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Banks' internal control and risk management mechanisms have demonstrated substantial improvement according to qualitative data. While the quantification of these enhancements remains challenging, regulatory supervisors underscore the scope for further progress. The evolving nature of hazards and the inherent uncertainty surrounding their future permutations contribute to the ongoing imperative for advancing risk management practices</w:t>
      </w:r>
      <w:r w:rsidR="008C140B" w:rsidRPr="00812B71">
        <w:rPr>
          <w:rFonts w:ascii="Times New Roman" w:hAnsi="Times New Roman"/>
          <w:sz w:val="24"/>
          <w:szCs w:val="24"/>
        </w:rPr>
        <w:t xml:space="preserve"> (</w:t>
      </w:r>
      <w:r w:rsidR="008C140B" w:rsidRPr="00812B71">
        <w:rPr>
          <w:rFonts w:ascii="Times New Roman" w:hAnsi="Times New Roman"/>
          <w:color w:val="222222"/>
          <w:sz w:val="24"/>
          <w:szCs w:val="24"/>
          <w:shd w:val="clear" w:color="auto" w:fill="FFFFFF"/>
        </w:rPr>
        <w:t>Massad et al; 2018).</w:t>
      </w:r>
    </w:p>
    <w:p w14:paraId="1C2E984E" w14:textId="125C5037" w:rsidR="00E8727E" w:rsidRPr="00812B71" w:rsidRDefault="00E8727E" w:rsidP="0096660C">
      <w:pPr>
        <w:pStyle w:val="Heading3"/>
        <w:numPr>
          <w:ilvl w:val="2"/>
          <w:numId w:val="32"/>
        </w:numPr>
        <w:jc w:val="both"/>
        <w:rPr>
          <w:b w:val="0"/>
          <w:sz w:val="24"/>
        </w:rPr>
      </w:pPr>
      <w:bookmarkStart w:id="92" w:name="_Toc143430466"/>
      <w:bookmarkStart w:id="93" w:name="_Toc143446375"/>
      <w:bookmarkStart w:id="94" w:name="_Toc143447286"/>
      <w:r w:rsidRPr="00812B71">
        <w:rPr>
          <w:sz w:val="24"/>
        </w:rPr>
        <w:t>Market Dynamics and Projected Bank Profitability:</w:t>
      </w:r>
      <w:bookmarkEnd w:id="92"/>
      <w:bookmarkEnd w:id="93"/>
      <w:bookmarkEnd w:id="94"/>
    </w:p>
    <w:p w14:paraId="1C2E984F" w14:textId="77777777" w:rsidR="00E8727E" w:rsidRPr="00812B71" w:rsidRDefault="00E8727E"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Within the context of post-crisis transformation, considerations of current market conditions and prospective bank profitability come into focus. Despite recent positive shifts in market-based indicators reflecting investor sentiment towards larger institutions, concerns persist among equity investors concerning the profitability of certain banks. This hesitancy persists, underscoring the need for more pronounced structural adjustments and cost-cutting measures to enhance bank viability and attractiveness.</w:t>
      </w:r>
    </w:p>
    <w:p w14:paraId="1C2E9850" w14:textId="77777777" w:rsidR="00E8727E" w:rsidRPr="00812B71" w:rsidRDefault="00E8727E"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Delving into the insights from the Working Group's simulation research, it is apparent that specific institutions necessitate further structural changes to bolster their competitive stance and long-term sustainability. This realization underscores the ongoing necessity for banks to adapt to evolving market conditions and strategically position themselves for sustained profitability.</w:t>
      </w:r>
    </w:p>
    <w:p w14:paraId="1C2E9851" w14:textId="35E6BD0C" w:rsidR="00DB5761" w:rsidRPr="00812B71" w:rsidRDefault="00C146F4" w:rsidP="0096660C">
      <w:pPr>
        <w:pStyle w:val="Heading3"/>
        <w:jc w:val="both"/>
        <w:rPr>
          <w:b w:val="0"/>
          <w:sz w:val="24"/>
        </w:rPr>
      </w:pPr>
      <w:bookmarkStart w:id="95" w:name="_Toc143430467"/>
      <w:bookmarkStart w:id="96" w:name="_Toc143446376"/>
      <w:bookmarkStart w:id="97" w:name="_Toc143447287"/>
      <w:r w:rsidRPr="00812B71">
        <w:rPr>
          <w:sz w:val="24"/>
        </w:rPr>
        <w:t>System-wide effects.</w:t>
      </w:r>
      <w:bookmarkEnd w:id="95"/>
      <w:bookmarkEnd w:id="96"/>
      <w:bookmarkEnd w:id="97"/>
      <w:r w:rsidRPr="00812B71">
        <w:rPr>
          <w:sz w:val="24"/>
        </w:rPr>
        <w:t xml:space="preserve"> </w:t>
      </w:r>
    </w:p>
    <w:p w14:paraId="1C2E9852" w14:textId="77777777" w:rsidR="002C4DFA" w:rsidRPr="00812B71" w:rsidRDefault="002C4DFA"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 xml:space="preserve">Assessing the impact of structural changes on overall system stability presents greater challenges compared to evaluating individual banks, primarily due to the intricate interactions within the system. Nevertheless, several modifications align with the goals of public authorities and the reformative process. </w:t>
      </w:r>
    </w:p>
    <w:p w14:paraId="1C2E9853" w14:textId="77777777" w:rsidR="002C4DFA" w:rsidRPr="00812B71" w:rsidRDefault="002C4DFA"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 xml:space="preserve">Firstly, there is a noticeable trend of banks adopting a more geographically focused international strategy, leading to an increased emphasis on local intermediation of international claims. </w:t>
      </w:r>
    </w:p>
    <w:p w14:paraId="1C2E9854" w14:textId="77777777" w:rsidR="002C4DFA" w:rsidRPr="00812B71" w:rsidRDefault="002C4DFA"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 xml:space="preserve">Secondly, direct interconnections between banks, established through lending and derivatives exposures, have witnessed a decline. </w:t>
      </w:r>
    </w:p>
    <w:p w14:paraId="1C2E9855" w14:textId="107FF553" w:rsidR="002C4DFA" w:rsidRPr="00812B71" w:rsidRDefault="002C4DFA"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 xml:space="preserve">Thirdly, certain European banking systems, possessing substantial capacity, have achieved </w:t>
      </w:r>
      <w:r w:rsidRPr="00812B71">
        <w:rPr>
          <w:rFonts w:ascii="Times New Roman" w:hAnsi="Times New Roman"/>
          <w:sz w:val="24"/>
          <w:szCs w:val="24"/>
        </w:rPr>
        <w:lastRenderedPageBreak/>
        <w:t>advancements in consolidation efforts</w:t>
      </w:r>
      <w:r w:rsidR="0079461B" w:rsidRPr="00812B71">
        <w:rPr>
          <w:rFonts w:ascii="Times New Roman" w:hAnsi="Times New Roman"/>
          <w:sz w:val="24"/>
          <w:szCs w:val="24"/>
        </w:rPr>
        <w:t xml:space="preserve"> (</w:t>
      </w:r>
      <w:r w:rsidR="0079461B" w:rsidRPr="00812B71">
        <w:rPr>
          <w:rFonts w:ascii="Times New Roman" w:hAnsi="Times New Roman"/>
          <w:sz w:val="24"/>
          <w:szCs w:val="24"/>
          <w:shd w:val="clear" w:color="auto" w:fill="FFFFFF"/>
        </w:rPr>
        <w:t>BIS, B., 2011)</w:t>
      </w:r>
      <w:r w:rsidRPr="00812B71">
        <w:rPr>
          <w:rFonts w:ascii="Times New Roman" w:hAnsi="Times New Roman"/>
          <w:sz w:val="24"/>
          <w:szCs w:val="24"/>
        </w:rPr>
        <w:t xml:space="preserve">. </w:t>
      </w:r>
    </w:p>
    <w:p w14:paraId="1C2E9856" w14:textId="77777777" w:rsidR="002C4DFA" w:rsidRPr="00812B71" w:rsidRDefault="002C4DFA"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 xml:space="preserve">Fourthly, though the consequences of reduced business model diversity resulting from banks' strategic shift towards commercial banking are not fully discernible yet, this transition has been accompanied by a pivot towards more stable funding sources like deposits. </w:t>
      </w:r>
    </w:p>
    <w:p w14:paraId="1C2E9857" w14:textId="77777777" w:rsidR="002C4DFA" w:rsidRPr="00812B71" w:rsidRDefault="002C4DFA" w:rsidP="0096660C">
      <w:pPr>
        <w:widowControl w:val="0"/>
        <w:autoSpaceDE w:val="0"/>
        <w:autoSpaceDN w:val="0"/>
        <w:adjustRightInd w:val="0"/>
        <w:spacing w:after="200" w:line="276" w:lineRule="auto"/>
        <w:jc w:val="both"/>
        <w:rPr>
          <w:rFonts w:ascii="Times New Roman" w:hAnsi="Times New Roman"/>
          <w:sz w:val="24"/>
          <w:szCs w:val="24"/>
        </w:rPr>
      </w:pPr>
      <w:r w:rsidRPr="00812B71">
        <w:rPr>
          <w:rFonts w:ascii="Times New Roman" w:hAnsi="Times New Roman"/>
          <w:sz w:val="24"/>
          <w:szCs w:val="24"/>
        </w:rPr>
        <w:t>Moreover, an array of additional reforms has contributed to enhancing systemic stability. Examples include the reformation of money market mutual funds and continuous progress in the development of resolution and recovery frameworks</w:t>
      </w:r>
      <w:r w:rsidR="008C140B" w:rsidRPr="00812B71">
        <w:rPr>
          <w:rFonts w:ascii="Times New Roman" w:hAnsi="Times New Roman"/>
          <w:sz w:val="24"/>
          <w:szCs w:val="24"/>
        </w:rPr>
        <w:t xml:space="preserve"> (</w:t>
      </w:r>
      <w:r w:rsidR="008C140B" w:rsidRPr="00812B71">
        <w:rPr>
          <w:rFonts w:ascii="Times New Roman" w:hAnsi="Times New Roman"/>
          <w:color w:val="222222"/>
          <w:sz w:val="24"/>
          <w:szCs w:val="24"/>
          <w:shd w:val="clear" w:color="auto" w:fill="FFFFFF"/>
        </w:rPr>
        <w:t>Banerjee, 2018).</w:t>
      </w:r>
    </w:p>
    <w:p w14:paraId="1C2E9858" w14:textId="6CB60DD6" w:rsidR="00853F1F" w:rsidRPr="00812B71" w:rsidRDefault="005E16F9" w:rsidP="0096660C">
      <w:pPr>
        <w:pStyle w:val="Heading1"/>
        <w:numPr>
          <w:ilvl w:val="0"/>
          <w:numId w:val="32"/>
        </w:numPr>
        <w:jc w:val="both"/>
        <w:rPr>
          <w:b w:val="0"/>
          <w:sz w:val="24"/>
          <w:szCs w:val="24"/>
          <w:lang w:val="en"/>
        </w:rPr>
      </w:pPr>
      <w:bookmarkStart w:id="98" w:name="_Toc143430468"/>
      <w:bookmarkStart w:id="99" w:name="_Toc143446321"/>
      <w:bookmarkStart w:id="100" w:name="_Toc143446377"/>
      <w:bookmarkStart w:id="101" w:name="_Toc143447288"/>
      <w:r w:rsidRPr="00812B71">
        <w:rPr>
          <w:sz w:val="24"/>
          <w:szCs w:val="24"/>
          <w:lang w:val="en"/>
        </w:rPr>
        <w:t>Publicly listed Financial Services company</w:t>
      </w:r>
      <w:r w:rsidR="00853F1F" w:rsidRPr="00812B71">
        <w:rPr>
          <w:sz w:val="24"/>
          <w:szCs w:val="24"/>
          <w:lang w:val="en"/>
        </w:rPr>
        <w:t xml:space="preserve"> </w:t>
      </w:r>
      <w:r w:rsidR="00853F1F" w:rsidRPr="00812B71">
        <w:rPr>
          <w:sz w:val="24"/>
          <w:szCs w:val="24"/>
        </w:rPr>
        <w:t>analysis</w:t>
      </w:r>
      <w:bookmarkEnd w:id="98"/>
      <w:bookmarkEnd w:id="99"/>
      <w:bookmarkEnd w:id="100"/>
      <w:bookmarkEnd w:id="101"/>
      <w:r w:rsidR="00853F1F" w:rsidRPr="00812B71">
        <w:rPr>
          <w:sz w:val="24"/>
          <w:szCs w:val="24"/>
        </w:rPr>
        <w:t xml:space="preserve"> </w:t>
      </w:r>
    </w:p>
    <w:p w14:paraId="1C2E9859" w14:textId="3D6A99B6" w:rsidR="001357BF" w:rsidRPr="00812B71" w:rsidRDefault="009D4C06" w:rsidP="0096660C">
      <w:pPr>
        <w:pStyle w:val="Heading2"/>
        <w:numPr>
          <w:ilvl w:val="1"/>
          <w:numId w:val="32"/>
        </w:numPr>
        <w:jc w:val="both"/>
        <w:rPr>
          <w:b w:val="0"/>
          <w:sz w:val="24"/>
          <w:szCs w:val="24"/>
          <w:shd w:val="clear" w:color="auto" w:fill="FFFFFF"/>
        </w:rPr>
      </w:pPr>
      <w:bookmarkStart w:id="102" w:name="_Toc143430469"/>
      <w:bookmarkStart w:id="103" w:name="_Toc143446322"/>
      <w:bookmarkStart w:id="104" w:name="_Toc143446378"/>
      <w:bookmarkStart w:id="105" w:name="_Toc143447289"/>
      <w:r w:rsidRPr="00812B71">
        <w:rPr>
          <w:sz w:val="24"/>
          <w:szCs w:val="24"/>
          <w:shd w:val="clear" w:color="auto" w:fill="FFFFFF"/>
        </w:rPr>
        <w:t>JPMorgan Chase &amp; Co.</w:t>
      </w:r>
      <w:bookmarkEnd w:id="102"/>
      <w:bookmarkEnd w:id="103"/>
      <w:bookmarkEnd w:id="104"/>
      <w:bookmarkEnd w:id="105"/>
    </w:p>
    <w:p w14:paraId="1C2E985A" w14:textId="77777777" w:rsidR="002C4DFA" w:rsidRPr="00812B71" w:rsidRDefault="002C4DFA" w:rsidP="0096660C">
      <w:pPr>
        <w:widowControl w:val="0"/>
        <w:autoSpaceDE w:val="0"/>
        <w:autoSpaceDN w:val="0"/>
        <w:adjustRightInd w:val="0"/>
        <w:spacing w:after="200" w:line="276" w:lineRule="auto"/>
        <w:jc w:val="both"/>
        <w:rPr>
          <w:rFonts w:ascii="Times New Roman" w:hAnsi="Times New Roman"/>
          <w:bCs/>
          <w:sz w:val="24"/>
          <w:szCs w:val="24"/>
          <w:shd w:val="clear" w:color="auto" w:fill="FFFFFF"/>
        </w:rPr>
      </w:pPr>
      <w:r w:rsidRPr="00812B71">
        <w:rPr>
          <w:rFonts w:ascii="Times New Roman" w:hAnsi="Times New Roman"/>
          <w:bCs/>
          <w:sz w:val="24"/>
          <w:szCs w:val="24"/>
          <w:shd w:val="clear" w:color="auto" w:fill="FFFFFF"/>
        </w:rPr>
        <w:t>Headquartered in New York City and incorporated in Delaware, JPMorgan Chase &amp; Co. is a prominent American multinational financial services firm. Holding the distinction of being both the largest bank in the United States and the world's most sizable bank based on market capitalization, JPMorgan Chase has significantly impacted the financial landscape.</w:t>
      </w:r>
    </w:p>
    <w:p w14:paraId="1C2E985B" w14:textId="77777777" w:rsidR="002C4DFA" w:rsidRPr="00812B71" w:rsidRDefault="002C4DFA" w:rsidP="0096660C">
      <w:pPr>
        <w:widowControl w:val="0"/>
        <w:autoSpaceDE w:val="0"/>
        <w:autoSpaceDN w:val="0"/>
        <w:adjustRightInd w:val="0"/>
        <w:spacing w:after="200" w:line="276" w:lineRule="auto"/>
        <w:jc w:val="both"/>
        <w:rPr>
          <w:rFonts w:ascii="Times New Roman" w:hAnsi="Times New Roman"/>
          <w:bCs/>
          <w:sz w:val="24"/>
          <w:szCs w:val="24"/>
          <w:shd w:val="clear" w:color="auto" w:fill="FFFFFF"/>
        </w:rPr>
      </w:pPr>
      <w:r w:rsidRPr="00812B71">
        <w:rPr>
          <w:rFonts w:ascii="Times New Roman" w:hAnsi="Times New Roman"/>
          <w:bCs/>
          <w:sz w:val="24"/>
          <w:szCs w:val="24"/>
          <w:shd w:val="clear" w:color="auto" w:fill="FFFFFF"/>
        </w:rPr>
        <w:t>Notably, on October 28, 2008, a substantial sum of $25 billion was transferred from the U.S. Treasury Department to JPMorgan Chase under the Troubled Asset Relief Program (TARP). This transaction marked the fifth largest transfer under Section A of TARP, specifically intended to assist distressed assets linked to residential mortgages. Despite being acknowledged as being in a notably healthier financial position compared to other banks, JPMorgan Chase accepted the TARP funds, as the government aimed to avoid singling out banks facing capital challenges.</w:t>
      </w:r>
    </w:p>
    <w:p w14:paraId="1C2E985C" w14:textId="77777777" w:rsidR="002C4DFA" w:rsidRPr="00812B71" w:rsidRDefault="002C4DFA" w:rsidP="0096660C">
      <w:pPr>
        <w:widowControl w:val="0"/>
        <w:autoSpaceDE w:val="0"/>
        <w:autoSpaceDN w:val="0"/>
        <w:adjustRightInd w:val="0"/>
        <w:spacing w:after="200" w:line="276" w:lineRule="auto"/>
        <w:jc w:val="both"/>
        <w:rPr>
          <w:rFonts w:ascii="Times New Roman" w:hAnsi="Times New Roman"/>
          <w:bCs/>
          <w:sz w:val="24"/>
          <w:szCs w:val="24"/>
          <w:shd w:val="clear" w:color="auto" w:fill="FFFFFF"/>
        </w:rPr>
      </w:pPr>
      <w:r w:rsidRPr="00812B71">
        <w:rPr>
          <w:rFonts w:ascii="Times New Roman" w:hAnsi="Times New Roman"/>
          <w:bCs/>
          <w:sz w:val="24"/>
          <w:szCs w:val="24"/>
          <w:shd w:val="clear" w:color="auto" w:fill="FFFFFF"/>
        </w:rPr>
        <w:t>In February 2009, JPMorgan Chase articulated its intention to leverage its robust capital base and financial strength to engage in the acquisition of new businesses, underscoring its strategic approach to utilizing its resources for expansion and growth.</w:t>
      </w:r>
    </w:p>
    <w:p w14:paraId="1C2E985D" w14:textId="77777777" w:rsidR="00526C1A" w:rsidRPr="00812B71" w:rsidRDefault="00526C1A"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A</w:t>
      </w:r>
      <w:r w:rsidR="005E16F9" w:rsidRPr="00812B71">
        <w:rPr>
          <w:rFonts w:ascii="Times New Roman" w:hAnsi="Times New Roman"/>
          <w:sz w:val="24"/>
          <w:szCs w:val="24"/>
          <w:lang w:val="en"/>
        </w:rPr>
        <w:t xml:space="preserve"> </w:t>
      </w:r>
      <w:r w:rsidRPr="00812B71">
        <w:rPr>
          <w:rFonts w:ascii="Times New Roman" w:hAnsi="Times New Roman"/>
          <w:sz w:val="24"/>
          <w:szCs w:val="24"/>
          <w:lang w:val="en"/>
        </w:rPr>
        <w:t>general analysis of how financial reforms, particularly those stemming from the 2008 financial crisis, might have impacted JPMorgan Chase &amp; Co.'s business model and their level of compliance</w:t>
      </w:r>
      <w:r w:rsidR="008C140B" w:rsidRPr="00812B71">
        <w:rPr>
          <w:rFonts w:ascii="Times New Roman" w:hAnsi="Times New Roman"/>
          <w:sz w:val="24"/>
          <w:szCs w:val="24"/>
          <w:lang w:val="en"/>
        </w:rPr>
        <w:t xml:space="preserve"> (</w:t>
      </w:r>
      <w:proofErr w:type="spellStart"/>
      <w:r w:rsidR="008C140B" w:rsidRPr="00812B71">
        <w:rPr>
          <w:rFonts w:ascii="Times New Roman" w:hAnsi="Times New Roman"/>
          <w:color w:val="222222"/>
          <w:sz w:val="24"/>
          <w:szCs w:val="24"/>
          <w:shd w:val="clear" w:color="auto" w:fill="FFFFFF"/>
        </w:rPr>
        <w:t>Dimon</w:t>
      </w:r>
      <w:proofErr w:type="spellEnd"/>
      <w:r w:rsidR="008C140B" w:rsidRPr="00812B71">
        <w:rPr>
          <w:rFonts w:ascii="Times New Roman" w:hAnsi="Times New Roman"/>
          <w:color w:val="222222"/>
          <w:sz w:val="24"/>
          <w:szCs w:val="24"/>
          <w:shd w:val="clear" w:color="auto" w:fill="FFFFFF"/>
        </w:rPr>
        <w:t>, 2017).</w:t>
      </w:r>
    </w:p>
    <w:p w14:paraId="3A44B30D" w14:textId="77777777" w:rsidR="00932ABC" w:rsidRPr="00812B71" w:rsidRDefault="00932ABC" w:rsidP="0096660C">
      <w:pPr>
        <w:pStyle w:val="ListParagraph"/>
        <w:keepNext/>
        <w:keepLines/>
        <w:numPr>
          <w:ilvl w:val="0"/>
          <w:numId w:val="33"/>
        </w:numPr>
        <w:spacing w:before="40" w:after="0"/>
        <w:contextualSpacing w:val="0"/>
        <w:jc w:val="both"/>
        <w:outlineLvl w:val="1"/>
        <w:rPr>
          <w:rFonts w:ascii="Times New Roman" w:eastAsiaTheme="majorEastAsia" w:hAnsi="Times New Roman"/>
          <w:b/>
          <w:vanish/>
          <w:sz w:val="24"/>
          <w:szCs w:val="24"/>
          <w:lang w:val="en"/>
        </w:rPr>
      </w:pPr>
      <w:bookmarkStart w:id="106" w:name="_Toc143446323"/>
      <w:bookmarkStart w:id="107" w:name="_Toc143446379"/>
      <w:bookmarkStart w:id="108" w:name="_Toc143446565"/>
      <w:bookmarkStart w:id="109" w:name="_Toc143446694"/>
      <w:bookmarkStart w:id="110" w:name="_Toc143446815"/>
      <w:bookmarkStart w:id="111" w:name="_Toc143447290"/>
      <w:bookmarkStart w:id="112" w:name="_Toc143430470"/>
      <w:bookmarkEnd w:id="106"/>
      <w:bookmarkEnd w:id="107"/>
      <w:bookmarkEnd w:id="108"/>
      <w:bookmarkEnd w:id="109"/>
      <w:bookmarkEnd w:id="110"/>
      <w:bookmarkEnd w:id="111"/>
    </w:p>
    <w:p w14:paraId="26B9CECC" w14:textId="77777777" w:rsidR="00932ABC" w:rsidRPr="00812B71" w:rsidRDefault="00932ABC" w:rsidP="0096660C">
      <w:pPr>
        <w:pStyle w:val="ListParagraph"/>
        <w:keepNext/>
        <w:keepLines/>
        <w:numPr>
          <w:ilvl w:val="0"/>
          <w:numId w:val="33"/>
        </w:numPr>
        <w:spacing w:before="40" w:after="0"/>
        <w:contextualSpacing w:val="0"/>
        <w:jc w:val="both"/>
        <w:outlineLvl w:val="1"/>
        <w:rPr>
          <w:rFonts w:ascii="Times New Roman" w:eastAsiaTheme="majorEastAsia" w:hAnsi="Times New Roman"/>
          <w:b/>
          <w:vanish/>
          <w:sz w:val="24"/>
          <w:szCs w:val="24"/>
          <w:lang w:val="en"/>
        </w:rPr>
      </w:pPr>
      <w:bookmarkStart w:id="113" w:name="_Toc143446324"/>
      <w:bookmarkStart w:id="114" w:name="_Toc143446380"/>
      <w:bookmarkStart w:id="115" w:name="_Toc143446566"/>
      <w:bookmarkStart w:id="116" w:name="_Toc143446695"/>
      <w:bookmarkStart w:id="117" w:name="_Toc143446816"/>
      <w:bookmarkStart w:id="118" w:name="_Toc143447291"/>
      <w:bookmarkEnd w:id="113"/>
      <w:bookmarkEnd w:id="114"/>
      <w:bookmarkEnd w:id="115"/>
      <w:bookmarkEnd w:id="116"/>
      <w:bookmarkEnd w:id="117"/>
      <w:bookmarkEnd w:id="118"/>
    </w:p>
    <w:p w14:paraId="2FE67A93" w14:textId="77777777" w:rsidR="00932ABC" w:rsidRPr="00812B71" w:rsidRDefault="00932ABC" w:rsidP="0096660C">
      <w:pPr>
        <w:pStyle w:val="ListParagraph"/>
        <w:keepNext/>
        <w:keepLines/>
        <w:numPr>
          <w:ilvl w:val="0"/>
          <w:numId w:val="33"/>
        </w:numPr>
        <w:spacing w:before="40" w:after="0"/>
        <w:contextualSpacing w:val="0"/>
        <w:jc w:val="both"/>
        <w:outlineLvl w:val="1"/>
        <w:rPr>
          <w:rFonts w:ascii="Times New Roman" w:eastAsiaTheme="majorEastAsia" w:hAnsi="Times New Roman"/>
          <w:b/>
          <w:vanish/>
          <w:sz w:val="24"/>
          <w:szCs w:val="24"/>
          <w:lang w:val="en"/>
        </w:rPr>
      </w:pPr>
      <w:bookmarkStart w:id="119" w:name="_Toc143446325"/>
      <w:bookmarkStart w:id="120" w:name="_Toc143446381"/>
      <w:bookmarkStart w:id="121" w:name="_Toc143446567"/>
      <w:bookmarkStart w:id="122" w:name="_Toc143446696"/>
      <w:bookmarkStart w:id="123" w:name="_Toc143446817"/>
      <w:bookmarkStart w:id="124" w:name="_Toc143447292"/>
      <w:bookmarkEnd w:id="119"/>
      <w:bookmarkEnd w:id="120"/>
      <w:bookmarkEnd w:id="121"/>
      <w:bookmarkEnd w:id="122"/>
      <w:bookmarkEnd w:id="123"/>
      <w:bookmarkEnd w:id="124"/>
    </w:p>
    <w:p w14:paraId="6DB6E8A0" w14:textId="77777777" w:rsidR="00932ABC" w:rsidRPr="00812B71" w:rsidRDefault="00932ABC" w:rsidP="0096660C">
      <w:pPr>
        <w:pStyle w:val="ListParagraph"/>
        <w:keepNext/>
        <w:keepLines/>
        <w:numPr>
          <w:ilvl w:val="1"/>
          <w:numId w:val="33"/>
        </w:numPr>
        <w:spacing w:before="40" w:after="0"/>
        <w:contextualSpacing w:val="0"/>
        <w:jc w:val="both"/>
        <w:outlineLvl w:val="1"/>
        <w:rPr>
          <w:rFonts w:ascii="Times New Roman" w:eastAsiaTheme="majorEastAsia" w:hAnsi="Times New Roman"/>
          <w:b/>
          <w:vanish/>
          <w:sz w:val="24"/>
          <w:szCs w:val="24"/>
          <w:lang w:val="en"/>
        </w:rPr>
      </w:pPr>
      <w:bookmarkStart w:id="125" w:name="_Toc143446326"/>
      <w:bookmarkStart w:id="126" w:name="_Toc143446382"/>
      <w:bookmarkStart w:id="127" w:name="_Toc143446568"/>
      <w:bookmarkStart w:id="128" w:name="_Toc143446697"/>
      <w:bookmarkStart w:id="129" w:name="_Toc143446818"/>
      <w:bookmarkStart w:id="130" w:name="_Toc143447293"/>
      <w:bookmarkEnd w:id="125"/>
      <w:bookmarkEnd w:id="126"/>
      <w:bookmarkEnd w:id="127"/>
      <w:bookmarkEnd w:id="128"/>
      <w:bookmarkEnd w:id="129"/>
      <w:bookmarkEnd w:id="130"/>
    </w:p>
    <w:p w14:paraId="1C2E985E" w14:textId="37F93018" w:rsidR="002B02CD" w:rsidRPr="00812B71" w:rsidRDefault="002B02CD" w:rsidP="0096660C">
      <w:pPr>
        <w:pStyle w:val="Heading2"/>
        <w:numPr>
          <w:ilvl w:val="1"/>
          <w:numId w:val="33"/>
        </w:numPr>
        <w:jc w:val="both"/>
        <w:rPr>
          <w:b w:val="0"/>
          <w:sz w:val="24"/>
          <w:szCs w:val="24"/>
          <w:lang w:val="en"/>
        </w:rPr>
      </w:pPr>
      <w:bookmarkStart w:id="131" w:name="_Toc143446327"/>
      <w:bookmarkStart w:id="132" w:name="_Toc143446383"/>
      <w:bookmarkStart w:id="133" w:name="_Toc143447294"/>
      <w:r w:rsidRPr="00812B71">
        <w:rPr>
          <w:sz w:val="24"/>
          <w:szCs w:val="24"/>
          <w:lang w:val="en"/>
        </w:rPr>
        <w:t>Impact on Business Model:</w:t>
      </w:r>
      <w:bookmarkEnd w:id="112"/>
      <w:bookmarkEnd w:id="131"/>
      <w:bookmarkEnd w:id="132"/>
      <w:bookmarkEnd w:id="133"/>
    </w:p>
    <w:p w14:paraId="1C2E985F" w14:textId="455E4843" w:rsidR="002B02CD" w:rsidRPr="00812B71" w:rsidRDefault="002B02CD" w:rsidP="0096660C">
      <w:pPr>
        <w:pStyle w:val="Heading3"/>
        <w:numPr>
          <w:ilvl w:val="2"/>
          <w:numId w:val="33"/>
        </w:numPr>
        <w:jc w:val="both"/>
        <w:rPr>
          <w:b w:val="0"/>
          <w:sz w:val="24"/>
          <w:lang w:val="en"/>
        </w:rPr>
      </w:pPr>
      <w:bookmarkStart w:id="134" w:name="_Toc143430471"/>
      <w:bookmarkStart w:id="135" w:name="_Toc143446384"/>
      <w:bookmarkStart w:id="136" w:name="_Toc143447295"/>
      <w:r w:rsidRPr="00812B71">
        <w:rPr>
          <w:sz w:val="24"/>
          <w:lang w:val="en"/>
        </w:rPr>
        <w:t>Consumer Protection Reforms:</w:t>
      </w:r>
      <w:bookmarkEnd w:id="134"/>
      <w:bookmarkEnd w:id="135"/>
      <w:bookmarkEnd w:id="136"/>
    </w:p>
    <w:p w14:paraId="1C2E9860" w14:textId="77777777" w:rsidR="002B02CD" w:rsidRPr="00812B71" w:rsidRDefault="002B02CD"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JPMorgan Chase, as a significant player in the financial industry, would have undoubtedly adjusted its business practices to adhere to consumer protection regulations. This would encompass several aspects such as transparency, fairness, and responsible lending. In response to regulations, the bank likely reevaluated its communication with customers, ensuring that terms, fees, and risks associated with financial products were communicated clearly and comprehensibly. This shift not only protects consumers but also reduces the potential for legal disputes arising from lack of transparency or deceptive practices</w:t>
      </w:r>
      <w:r w:rsidR="008C140B" w:rsidRPr="00812B71">
        <w:rPr>
          <w:rFonts w:ascii="Times New Roman" w:hAnsi="Times New Roman"/>
          <w:sz w:val="24"/>
          <w:szCs w:val="24"/>
          <w:lang w:val="en"/>
        </w:rPr>
        <w:t xml:space="preserve"> (</w:t>
      </w:r>
      <w:proofErr w:type="spellStart"/>
      <w:r w:rsidR="008C140B" w:rsidRPr="00812B71">
        <w:rPr>
          <w:rFonts w:ascii="Times New Roman" w:hAnsi="Times New Roman"/>
          <w:color w:val="222222"/>
          <w:sz w:val="24"/>
          <w:szCs w:val="24"/>
          <w:shd w:val="clear" w:color="auto" w:fill="FFFFFF"/>
        </w:rPr>
        <w:t>Hearit</w:t>
      </w:r>
      <w:proofErr w:type="spellEnd"/>
      <w:r w:rsidR="008C140B" w:rsidRPr="00812B71">
        <w:rPr>
          <w:rFonts w:ascii="Times New Roman" w:hAnsi="Times New Roman"/>
          <w:color w:val="222222"/>
          <w:sz w:val="24"/>
          <w:szCs w:val="24"/>
          <w:shd w:val="clear" w:color="auto" w:fill="FFFFFF"/>
        </w:rPr>
        <w:t>, 2018).</w:t>
      </w:r>
    </w:p>
    <w:p w14:paraId="1C2E9861" w14:textId="24D03415" w:rsidR="002B02CD" w:rsidRPr="00812B71" w:rsidRDefault="002B02CD" w:rsidP="0096660C">
      <w:pPr>
        <w:pStyle w:val="Heading3"/>
        <w:numPr>
          <w:ilvl w:val="2"/>
          <w:numId w:val="33"/>
        </w:numPr>
        <w:jc w:val="both"/>
        <w:rPr>
          <w:b w:val="0"/>
          <w:sz w:val="24"/>
          <w:lang w:val="en"/>
        </w:rPr>
      </w:pPr>
      <w:bookmarkStart w:id="137" w:name="_Toc143430472"/>
      <w:bookmarkStart w:id="138" w:name="_Toc143446385"/>
      <w:bookmarkStart w:id="139" w:name="_Toc143447296"/>
      <w:r w:rsidRPr="00812B71">
        <w:rPr>
          <w:sz w:val="24"/>
          <w:lang w:val="en"/>
        </w:rPr>
        <w:t>Risk Management and Capitalization:</w:t>
      </w:r>
      <w:bookmarkEnd w:id="137"/>
      <w:bookmarkEnd w:id="138"/>
      <w:bookmarkEnd w:id="139"/>
    </w:p>
    <w:p w14:paraId="1C2E9862" w14:textId="77777777" w:rsidR="002B02CD" w:rsidRPr="00812B71" w:rsidRDefault="002B02CD"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 xml:space="preserve">Being a systemically important bank, JPMorgan Chase's business model would have undergone a </w:t>
      </w:r>
      <w:r w:rsidRPr="00812B71">
        <w:rPr>
          <w:rFonts w:ascii="Times New Roman" w:hAnsi="Times New Roman"/>
          <w:sz w:val="24"/>
          <w:szCs w:val="24"/>
          <w:lang w:val="en"/>
        </w:rPr>
        <w:lastRenderedPageBreak/>
        <w:t>transformation in its risk management practices. Enhanced risk management is vital for navigating volatile financial markets and preventing another crisis. The bank would have likely increased its capital reserves to meet stricter regulatory requirements, ensuring it has a robust buffer against economic shocks. Adhering to capital adequacy ratios and undergoing stress tests demonstrates the bank's commitment to maintaining its financial strength and resilience.</w:t>
      </w:r>
    </w:p>
    <w:p w14:paraId="1C2E9863" w14:textId="759AE457" w:rsidR="002B02CD" w:rsidRPr="00812B71" w:rsidRDefault="002B02CD" w:rsidP="0096660C">
      <w:pPr>
        <w:pStyle w:val="Heading3"/>
        <w:numPr>
          <w:ilvl w:val="2"/>
          <w:numId w:val="33"/>
        </w:numPr>
        <w:jc w:val="both"/>
        <w:rPr>
          <w:b w:val="0"/>
          <w:sz w:val="24"/>
          <w:lang w:val="en"/>
        </w:rPr>
      </w:pPr>
      <w:bookmarkStart w:id="140" w:name="_Toc143430473"/>
      <w:bookmarkStart w:id="141" w:name="_Toc143446386"/>
      <w:bookmarkStart w:id="142" w:name="_Toc143447297"/>
      <w:r w:rsidRPr="00812B71">
        <w:rPr>
          <w:sz w:val="24"/>
          <w:lang w:val="en"/>
        </w:rPr>
        <w:t>Diversification of Products and Services:</w:t>
      </w:r>
      <w:bookmarkEnd w:id="140"/>
      <w:bookmarkEnd w:id="141"/>
      <w:bookmarkEnd w:id="142"/>
    </w:p>
    <w:p w14:paraId="1C2E9864" w14:textId="77777777" w:rsidR="002B02CD" w:rsidRPr="00812B71" w:rsidRDefault="002B02CD"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In response to the changing regulatory environment, JPMorgan Chase's business model probably underwent diversification of its product and service offerings. By expanding into areas such as wealth management, asset management, and advisory services, the bank not only spreads its risk across different business lines but also aligns with a more holistic approach to financial services. Diversification serves as a protective measure against the risks associated with a single business segment, enhancing the bank's overall stability.</w:t>
      </w:r>
    </w:p>
    <w:p w14:paraId="1C2E9865" w14:textId="1D072F26" w:rsidR="002B02CD" w:rsidRPr="00812B71" w:rsidRDefault="002B02CD" w:rsidP="0096660C">
      <w:pPr>
        <w:pStyle w:val="Heading2"/>
        <w:numPr>
          <w:ilvl w:val="1"/>
          <w:numId w:val="33"/>
        </w:numPr>
        <w:jc w:val="both"/>
        <w:rPr>
          <w:b w:val="0"/>
          <w:sz w:val="24"/>
          <w:szCs w:val="24"/>
          <w:lang w:val="en"/>
        </w:rPr>
      </w:pPr>
      <w:bookmarkStart w:id="143" w:name="_Toc143430474"/>
      <w:bookmarkStart w:id="144" w:name="_Toc143446328"/>
      <w:bookmarkStart w:id="145" w:name="_Toc143446387"/>
      <w:bookmarkStart w:id="146" w:name="_Toc143447298"/>
      <w:r w:rsidRPr="00812B71">
        <w:rPr>
          <w:sz w:val="24"/>
          <w:szCs w:val="24"/>
          <w:lang w:val="en"/>
        </w:rPr>
        <w:t>Compliance and Non-Compliance:</w:t>
      </w:r>
      <w:bookmarkEnd w:id="143"/>
      <w:bookmarkEnd w:id="144"/>
      <w:bookmarkEnd w:id="145"/>
      <w:bookmarkEnd w:id="146"/>
    </w:p>
    <w:p w14:paraId="1C2E9866" w14:textId="08B8D37E" w:rsidR="002B02CD" w:rsidRPr="00812B71" w:rsidRDefault="002B02CD" w:rsidP="0096660C">
      <w:pPr>
        <w:pStyle w:val="Heading3"/>
        <w:numPr>
          <w:ilvl w:val="2"/>
          <w:numId w:val="33"/>
        </w:numPr>
        <w:jc w:val="both"/>
        <w:rPr>
          <w:b w:val="0"/>
          <w:sz w:val="24"/>
          <w:lang w:val="en"/>
        </w:rPr>
      </w:pPr>
      <w:bookmarkStart w:id="147" w:name="_Toc143430475"/>
      <w:bookmarkStart w:id="148" w:name="_Toc143446388"/>
      <w:bookmarkStart w:id="149" w:name="_Toc143447299"/>
      <w:r w:rsidRPr="00812B71">
        <w:rPr>
          <w:sz w:val="24"/>
          <w:lang w:val="en"/>
        </w:rPr>
        <w:t>Consumer Protection Reforms:</w:t>
      </w:r>
      <w:bookmarkEnd w:id="147"/>
      <w:bookmarkEnd w:id="148"/>
      <w:bookmarkEnd w:id="149"/>
    </w:p>
    <w:p w14:paraId="1C2E9867" w14:textId="77777777" w:rsidR="002B02CD" w:rsidRPr="00812B71" w:rsidRDefault="002B02CD"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JPMorgan Chase's compliance with consumer protection reforms is of paramount importance. Non-compliance could result in legal actions, regulatory penalties, and reputational damage. Adhering to these reforms not only safeguards the bank's reputation but also fosters trust among consumers, leading to long-term customer relationships and loyalty.</w:t>
      </w:r>
    </w:p>
    <w:p w14:paraId="1C2E9868" w14:textId="141E5E59" w:rsidR="00BA6A4C" w:rsidRPr="00812B71" w:rsidRDefault="00BA6A4C" w:rsidP="0096660C">
      <w:pPr>
        <w:pStyle w:val="Heading3"/>
        <w:numPr>
          <w:ilvl w:val="2"/>
          <w:numId w:val="33"/>
        </w:numPr>
        <w:jc w:val="both"/>
        <w:rPr>
          <w:b w:val="0"/>
          <w:sz w:val="24"/>
          <w:lang w:val="en"/>
        </w:rPr>
      </w:pPr>
      <w:bookmarkStart w:id="150" w:name="_Toc143430476"/>
      <w:bookmarkStart w:id="151" w:name="_Toc143446389"/>
      <w:bookmarkStart w:id="152" w:name="_Toc143447300"/>
      <w:r w:rsidRPr="00812B71">
        <w:rPr>
          <w:sz w:val="24"/>
          <w:lang w:val="en"/>
        </w:rPr>
        <w:t>Capital and Risk Management Obligations:</w:t>
      </w:r>
      <w:bookmarkEnd w:id="150"/>
      <w:bookmarkEnd w:id="151"/>
      <w:bookmarkEnd w:id="152"/>
    </w:p>
    <w:p w14:paraId="1C2E9869" w14:textId="77777777" w:rsidR="00BA6A4C" w:rsidRPr="00812B71" w:rsidRDefault="00BA6A4C"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Upholding capital and risk management obligations stands as a foundational pillar of upholding financial stability. Failure to meet these standards might trigger regulatory intervention and admonishment, potentially undermining the bank's operational efficiency. Through steadfast adherence to these requisites, JPMorgan Chase guarantees its sustained adequate capitalization and resilience, even during periods of economic downturns or financial turbulence.</w:t>
      </w:r>
    </w:p>
    <w:p w14:paraId="1C2E986A" w14:textId="59A726C1" w:rsidR="00BA6A4C" w:rsidRPr="00812B71" w:rsidRDefault="00BA6A4C" w:rsidP="0096660C">
      <w:pPr>
        <w:pStyle w:val="Heading3"/>
        <w:numPr>
          <w:ilvl w:val="2"/>
          <w:numId w:val="33"/>
        </w:numPr>
        <w:jc w:val="both"/>
        <w:rPr>
          <w:b w:val="0"/>
          <w:sz w:val="24"/>
          <w:lang w:val="en"/>
        </w:rPr>
      </w:pPr>
      <w:bookmarkStart w:id="153" w:name="_Toc143430477"/>
      <w:bookmarkStart w:id="154" w:name="_Toc143446390"/>
      <w:bookmarkStart w:id="155" w:name="_Toc143447301"/>
      <w:r w:rsidRPr="00812B71">
        <w:rPr>
          <w:sz w:val="24"/>
          <w:lang w:val="en"/>
        </w:rPr>
        <w:t>Implications of Dodd-Frank Reforms:</w:t>
      </w:r>
      <w:bookmarkEnd w:id="153"/>
      <w:bookmarkEnd w:id="154"/>
      <w:bookmarkEnd w:id="155"/>
    </w:p>
    <w:p w14:paraId="1C2E986B" w14:textId="77777777" w:rsidR="002B02CD" w:rsidRPr="00812B71" w:rsidRDefault="00BA6A4C"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As a significant player within the financial sector, JPMorgan Chase is inevitably bound by diverse stipulations within the Dodd-Frank Act. Upholding compliance with reporting mandates, limitations on proprietary trading (Volcker Rule), and regulations addressing institutions deemed "too big to fail" is indispensable for sidestepping regulatory penalties. Neglecting adherence could usher in reputational harm and legal ramifications, both of which have the potential to impact the bank's financial performance and market positioning</w:t>
      </w:r>
      <w:r w:rsidR="008C140B" w:rsidRPr="00812B71">
        <w:rPr>
          <w:rFonts w:ascii="Times New Roman" w:hAnsi="Times New Roman"/>
          <w:sz w:val="24"/>
          <w:szCs w:val="24"/>
          <w:lang w:val="en"/>
        </w:rPr>
        <w:t xml:space="preserve"> (</w:t>
      </w:r>
      <w:r w:rsidR="008C140B" w:rsidRPr="00812B71">
        <w:rPr>
          <w:rFonts w:ascii="Times New Roman" w:hAnsi="Times New Roman"/>
          <w:color w:val="222222"/>
          <w:sz w:val="24"/>
          <w:szCs w:val="24"/>
          <w:shd w:val="clear" w:color="auto" w:fill="FFFFFF"/>
        </w:rPr>
        <w:t>PARIHAR, 2022.).</w:t>
      </w:r>
    </w:p>
    <w:p w14:paraId="1C2E986C" w14:textId="5FE804AF" w:rsidR="002B02CD" w:rsidRPr="00812B71" w:rsidRDefault="002B02CD" w:rsidP="0096660C">
      <w:pPr>
        <w:pStyle w:val="Heading2"/>
        <w:numPr>
          <w:ilvl w:val="1"/>
          <w:numId w:val="33"/>
        </w:numPr>
        <w:jc w:val="both"/>
        <w:rPr>
          <w:b w:val="0"/>
          <w:sz w:val="24"/>
          <w:szCs w:val="24"/>
          <w:lang w:val="en"/>
        </w:rPr>
      </w:pPr>
      <w:bookmarkStart w:id="156" w:name="_Toc143430478"/>
      <w:bookmarkStart w:id="157" w:name="_Toc143446329"/>
      <w:bookmarkStart w:id="158" w:name="_Toc143446391"/>
      <w:bookmarkStart w:id="159" w:name="_Toc143447302"/>
      <w:r w:rsidRPr="00812B71">
        <w:rPr>
          <w:sz w:val="24"/>
          <w:szCs w:val="24"/>
          <w:lang w:val="en"/>
        </w:rPr>
        <w:t>Impact on Financial Performance:</w:t>
      </w:r>
      <w:bookmarkEnd w:id="156"/>
      <w:bookmarkEnd w:id="157"/>
      <w:bookmarkEnd w:id="158"/>
      <w:bookmarkEnd w:id="159"/>
    </w:p>
    <w:p w14:paraId="1C2E986D" w14:textId="2461475A" w:rsidR="002B02CD" w:rsidRPr="00812B71" w:rsidRDefault="002B02CD" w:rsidP="0096660C">
      <w:pPr>
        <w:pStyle w:val="Heading3"/>
        <w:numPr>
          <w:ilvl w:val="2"/>
          <w:numId w:val="33"/>
        </w:numPr>
        <w:jc w:val="both"/>
        <w:rPr>
          <w:b w:val="0"/>
          <w:sz w:val="24"/>
          <w:lang w:val="en"/>
        </w:rPr>
      </w:pPr>
      <w:bookmarkStart w:id="160" w:name="_Toc143430479"/>
      <w:bookmarkStart w:id="161" w:name="_Toc143446392"/>
      <w:bookmarkStart w:id="162" w:name="_Toc143447303"/>
      <w:r w:rsidRPr="00812B71">
        <w:rPr>
          <w:sz w:val="24"/>
          <w:lang w:val="en"/>
        </w:rPr>
        <w:t>Profitability</w:t>
      </w:r>
      <w:bookmarkEnd w:id="160"/>
      <w:bookmarkEnd w:id="161"/>
      <w:bookmarkEnd w:id="162"/>
    </w:p>
    <w:p w14:paraId="1C2E986E" w14:textId="77777777" w:rsidR="002B02CD" w:rsidRPr="00812B71" w:rsidRDefault="002B02CD"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Adjusting the business model to enhance risk management and compliance might lead to additional costs in terms of regulatory compliance efforts and increased capital reserves. However, these costs are counterbalanced by the reduction in risks and improved operational efficiency. Over the long term, effective risk management can lead to more stable financial performance and sustainable profitability.</w:t>
      </w:r>
    </w:p>
    <w:p w14:paraId="1C2E986F" w14:textId="1B7D6F75" w:rsidR="002B02CD" w:rsidRPr="00812B71" w:rsidRDefault="002B02CD" w:rsidP="0096660C">
      <w:pPr>
        <w:pStyle w:val="Heading3"/>
        <w:numPr>
          <w:ilvl w:val="2"/>
          <w:numId w:val="33"/>
        </w:numPr>
        <w:jc w:val="both"/>
        <w:rPr>
          <w:b w:val="0"/>
          <w:sz w:val="24"/>
          <w:lang w:val="en"/>
        </w:rPr>
      </w:pPr>
      <w:bookmarkStart w:id="163" w:name="_Toc143430480"/>
      <w:bookmarkStart w:id="164" w:name="_Toc143446393"/>
      <w:bookmarkStart w:id="165" w:name="_Toc143447304"/>
      <w:r w:rsidRPr="00812B71">
        <w:rPr>
          <w:sz w:val="24"/>
          <w:lang w:val="en"/>
        </w:rPr>
        <w:lastRenderedPageBreak/>
        <w:t>Market Reputation:</w:t>
      </w:r>
      <w:bookmarkEnd w:id="163"/>
      <w:bookmarkEnd w:id="164"/>
      <w:bookmarkEnd w:id="165"/>
    </w:p>
    <w:p w14:paraId="1C2E9870" w14:textId="77777777" w:rsidR="002B02CD" w:rsidRPr="00812B71" w:rsidRDefault="002B02CD"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Adherence to financial reforms enhances JPMorgan Chase's reputation as a responsible and compliant financial institution. This reputation can be a significant competitive advantage, attracting both customers and investors. A positive market reputation builds trust, which is essential for maintaining and expanding the bank's customer base and market share.</w:t>
      </w:r>
    </w:p>
    <w:p w14:paraId="1C2E9871" w14:textId="3E5A4E86" w:rsidR="002B02CD" w:rsidRPr="00812B71" w:rsidRDefault="002B02CD" w:rsidP="0096660C">
      <w:pPr>
        <w:pStyle w:val="Heading3"/>
        <w:numPr>
          <w:ilvl w:val="2"/>
          <w:numId w:val="33"/>
        </w:numPr>
        <w:jc w:val="both"/>
        <w:rPr>
          <w:b w:val="0"/>
          <w:sz w:val="24"/>
          <w:lang w:val="en"/>
        </w:rPr>
      </w:pPr>
      <w:bookmarkStart w:id="166" w:name="_Toc143430481"/>
      <w:bookmarkStart w:id="167" w:name="_Toc143446394"/>
      <w:bookmarkStart w:id="168" w:name="_Toc143447305"/>
      <w:r w:rsidRPr="00812B71">
        <w:rPr>
          <w:sz w:val="24"/>
          <w:lang w:val="en"/>
        </w:rPr>
        <w:t>Stability</w:t>
      </w:r>
      <w:bookmarkEnd w:id="166"/>
      <w:bookmarkEnd w:id="167"/>
      <w:bookmarkEnd w:id="168"/>
    </w:p>
    <w:p w14:paraId="1C2E9872" w14:textId="38499451" w:rsidR="002B02CD" w:rsidRPr="00812B71" w:rsidRDefault="002B02CD"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Enhanced risk management practices and compliance efforts significantly contribute to JPMorgan Chase's overall stability. This stability not only safeguards the bank against potential financial distress but also reduces the likelihood of disruptions that could impact the broader financial system. As a systemically important bank, its stability has implications for the overall health of the financial ecosystem.</w:t>
      </w:r>
      <w:r w:rsidR="00F66B4A" w:rsidRPr="00812B71">
        <w:rPr>
          <w:rFonts w:ascii="Times New Roman" w:hAnsi="Times New Roman"/>
          <w:sz w:val="24"/>
          <w:szCs w:val="24"/>
          <w:lang w:val="en"/>
        </w:rPr>
        <w:t xml:space="preserve"> (</w:t>
      </w:r>
      <w:proofErr w:type="spellStart"/>
      <w:r w:rsidR="00F66B4A" w:rsidRPr="00812B71">
        <w:rPr>
          <w:rFonts w:ascii="Times New Roman" w:hAnsi="Times New Roman"/>
          <w:sz w:val="24"/>
          <w:szCs w:val="24"/>
          <w:shd w:val="clear" w:color="auto" w:fill="FFFFFF"/>
        </w:rPr>
        <w:t>Dimon</w:t>
      </w:r>
      <w:proofErr w:type="spellEnd"/>
      <w:r w:rsidR="00F66B4A" w:rsidRPr="00812B71">
        <w:rPr>
          <w:rFonts w:ascii="Times New Roman" w:hAnsi="Times New Roman"/>
          <w:sz w:val="24"/>
          <w:szCs w:val="24"/>
          <w:shd w:val="clear" w:color="auto" w:fill="FFFFFF"/>
        </w:rPr>
        <w:t>, J., 2017)</w:t>
      </w:r>
    </w:p>
    <w:p w14:paraId="3DC839D2" w14:textId="7EEEE96E" w:rsidR="00FC6EF5" w:rsidRPr="00812B71" w:rsidRDefault="002B02CD" w:rsidP="0096660C">
      <w:pPr>
        <w:widowControl w:val="0"/>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lang w:val="en"/>
        </w:rPr>
        <w:t xml:space="preserve">In </w:t>
      </w:r>
      <w:r w:rsidR="00CE5985" w:rsidRPr="00812B71">
        <w:rPr>
          <w:rFonts w:ascii="Times New Roman" w:hAnsi="Times New Roman"/>
          <w:sz w:val="24"/>
          <w:szCs w:val="24"/>
          <w:lang w:val="en"/>
        </w:rPr>
        <w:t>t</w:t>
      </w:r>
      <w:r w:rsidRPr="00812B71">
        <w:rPr>
          <w:rFonts w:ascii="Times New Roman" w:hAnsi="Times New Roman"/>
          <w:sz w:val="24"/>
          <w:szCs w:val="24"/>
          <w:lang w:val="en"/>
        </w:rPr>
        <w:t>he 2008 financial crisis prompted a series of regulatory and legal changes globally. JPMorgan Chase &amp; Co., as a major player in the financial industry, adapted its business model and practices to align with these reforms. This adaptation not only ensures compliance with regulations but also enhances the bank's overall financial stability, market reputation, and long-term profitability. By adhering to consumer protection, risk management, and regulatory requirements, JPMorgan Chase positions itself as a responsible and resilient institution within the global financial landscape</w:t>
      </w:r>
      <w:r w:rsidR="00B4748C" w:rsidRPr="00812B71">
        <w:rPr>
          <w:rFonts w:ascii="Times New Roman" w:hAnsi="Times New Roman"/>
          <w:sz w:val="24"/>
          <w:szCs w:val="24"/>
          <w:lang w:val="en"/>
        </w:rPr>
        <w:t xml:space="preserve"> </w:t>
      </w:r>
      <w:r w:rsidR="00FC6EF5" w:rsidRPr="00812B71">
        <w:rPr>
          <w:rFonts w:ascii="Times New Roman" w:hAnsi="Times New Roman"/>
          <w:sz w:val="24"/>
          <w:szCs w:val="24"/>
          <w:lang w:val="en"/>
        </w:rPr>
        <w:br w:type="page"/>
      </w:r>
    </w:p>
    <w:p w14:paraId="1C2E9874" w14:textId="44A357A4" w:rsidR="00526C1A" w:rsidRPr="00812B71" w:rsidRDefault="00932ABC" w:rsidP="0096660C">
      <w:pPr>
        <w:pStyle w:val="Heading1"/>
        <w:jc w:val="both"/>
        <w:rPr>
          <w:b w:val="0"/>
          <w:sz w:val="24"/>
          <w:szCs w:val="24"/>
          <w:lang w:val="en"/>
        </w:rPr>
      </w:pPr>
      <w:bookmarkStart w:id="169" w:name="_Toc143430482"/>
      <w:bookmarkStart w:id="170" w:name="_Toc143446330"/>
      <w:bookmarkStart w:id="171" w:name="_Toc143446395"/>
      <w:bookmarkStart w:id="172" w:name="_Toc143447306"/>
      <w:r w:rsidRPr="00812B71">
        <w:rPr>
          <w:sz w:val="24"/>
          <w:szCs w:val="24"/>
          <w:lang w:val="en"/>
        </w:rPr>
        <w:lastRenderedPageBreak/>
        <w:t>R</w:t>
      </w:r>
      <w:r w:rsidR="00B44157" w:rsidRPr="00812B71">
        <w:rPr>
          <w:sz w:val="24"/>
          <w:szCs w:val="24"/>
          <w:lang w:val="en"/>
        </w:rPr>
        <w:t>eferences:</w:t>
      </w:r>
      <w:bookmarkEnd w:id="169"/>
      <w:bookmarkEnd w:id="170"/>
      <w:bookmarkEnd w:id="171"/>
      <w:bookmarkEnd w:id="172"/>
    </w:p>
    <w:p w14:paraId="1C2E9875"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 xml:space="preserve">Abbassi, P., Brownlees, C., Hans, C. and </w:t>
      </w:r>
      <w:proofErr w:type="spellStart"/>
      <w:r w:rsidRPr="00812B71">
        <w:rPr>
          <w:rFonts w:ascii="Times New Roman" w:hAnsi="Times New Roman"/>
          <w:sz w:val="24"/>
          <w:szCs w:val="24"/>
          <w:shd w:val="clear" w:color="auto" w:fill="FFFFFF"/>
        </w:rPr>
        <w:t>Podlich</w:t>
      </w:r>
      <w:proofErr w:type="spellEnd"/>
      <w:r w:rsidRPr="00812B71">
        <w:rPr>
          <w:rFonts w:ascii="Times New Roman" w:hAnsi="Times New Roman"/>
          <w:sz w:val="24"/>
          <w:szCs w:val="24"/>
          <w:shd w:val="clear" w:color="auto" w:fill="FFFFFF"/>
        </w:rPr>
        <w:t>, N., 2017. Credit risk interconnectedness: What does the market really know?. </w:t>
      </w:r>
      <w:r w:rsidRPr="00812B71">
        <w:rPr>
          <w:rFonts w:ascii="Times New Roman" w:hAnsi="Times New Roman"/>
          <w:i/>
          <w:iCs/>
          <w:sz w:val="24"/>
          <w:szCs w:val="24"/>
          <w:shd w:val="clear" w:color="auto" w:fill="FFFFFF"/>
        </w:rPr>
        <w:t>Journal of Financial Stability</w:t>
      </w:r>
      <w:r w:rsidRPr="00812B71">
        <w:rPr>
          <w:rFonts w:ascii="Times New Roman" w:hAnsi="Times New Roman"/>
          <w:sz w:val="24"/>
          <w:szCs w:val="24"/>
          <w:shd w:val="clear" w:color="auto" w:fill="FFFFFF"/>
        </w:rPr>
        <w:t>, </w:t>
      </w:r>
      <w:r w:rsidRPr="00812B71">
        <w:rPr>
          <w:rFonts w:ascii="Times New Roman" w:hAnsi="Times New Roman"/>
          <w:i/>
          <w:iCs/>
          <w:sz w:val="24"/>
          <w:szCs w:val="24"/>
          <w:shd w:val="clear" w:color="auto" w:fill="FFFFFF"/>
        </w:rPr>
        <w:t>29</w:t>
      </w:r>
      <w:r w:rsidRPr="00812B71">
        <w:rPr>
          <w:rFonts w:ascii="Times New Roman" w:hAnsi="Times New Roman"/>
          <w:sz w:val="24"/>
          <w:szCs w:val="24"/>
          <w:shd w:val="clear" w:color="auto" w:fill="FFFFFF"/>
        </w:rPr>
        <w:t>, pp.1-12.</w:t>
      </w:r>
    </w:p>
    <w:p w14:paraId="1C2E9876"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shd w:val="clear" w:color="auto" w:fill="FFFFFF"/>
        </w:rPr>
        <w:t>Banerjee, R.N. and Mio, H., 2018. The impact of liquidity regulation on banks. </w:t>
      </w:r>
      <w:r w:rsidRPr="00812B71">
        <w:rPr>
          <w:rFonts w:ascii="Times New Roman" w:hAnsi="Times New Roman"/>
          <w:i/>
          <w:iCs/>
          <w:sz w:val="24"/>
          <w:szCs w:val="24"/>
          <w:shd w:val="clear" w:color="auto" w:fill="FFFFFF"/>
        </w:rPr>
        <w:t>Journal of Financial intermediation</w:t>
      </w:r>
      <w:r w:rsidRPr="00812B71">
        <w:rPr>
          <w:rFonts w:ascii="Times New Roman" w:hAnsi="Times New Roman"/>
          <w:sz w:val="24"/>
          <w:szCs w:val="24"/>
          <w:shd w:val="clear" w:color="auto" w:fill="FFFFFF"/>
        </w:rPr>
        <w:t>, </w:t>
      </w:r>
      <w:r w:rsidRPr="00812B71">
        <w:rPr>
          <w:rFonts w:ascii="Times New Roman" w:hAnsi="Times New Roman"/>
          <w:i/>
          <w:iCs/>
          <w:sz w:val="24"/>
          <w:szCs w:val="24"/>
          <w:shd w:val="clear" w:color="auto" w:fill="FFFFFF"/>
        </w:rPr>
        <w:t>35</w:t>
      </w:r>
      <w:r w:rsidRPr="00812B71">
        <w:rPr>
          <w:rFonts w:ascii="Times New Roman" w:hAnsi="Times New Roman"/>
          <w:sz w:val="24"/>
          <w:szCs w:val="24"/>
          <w:shd w:val="clear" w:color="auto" w:fill="FFFFFF"/>
        </w:rPr>
        <w:t>, pp.30-44.</w:t>
      </w:r>
    </w:p>
    <w:p w14:paraId="0CCBE8B4" w14:textId="77777777" w:rsidR="00230D54" w:rsidRPr="00812B71" w:rsidRDefault="00230D54" w:rsidP="0096660C">
      <w:pPr>
        <w:pStyle w:val="ListParagraph"/>
        <w:numPr>
          <w:ilvl w:val="0"/>
          <w:numId w:val="12"/>
        </w:numPr>
        <w:spacing w:after="240" w:line="360" w:lineRule="atLeast"/>
        <w:jc w:val="both"/>
        <w:rPr>
          <w:rFonts w:ascii="Times New Roman" w:eastAsia="Times New Roman" w:hAnsi="Times New Roman"/>
          <w:color w:val="000000"/>
          <w:sz w:val="24"/>
          <w:szCs w:val="24"/>
          <w:lang w:val="en-GB" w:eastAsia="en-GB"/>
        </w:rPr>
      </w:pPr>
      <w:r w:rsidRPr="00812B71">
        <w:rPr>
          <w:rFonts w:ascii="Times New Roman" w:eastAsia="Times New Roman" w:hAnsi="Times New Roman"/>
          <w:i/>
          <w:iCs/>
          <w:color w:val="000000"/>
          <w:sz w:val="24"/>
          <w:szCs w:val="24"/>
          <w:lang w:val="en-GB" w:eastAsia="en-GB"/>
        </w:rPr>
        <w:t>Basel III: international regulatory framework for banks</w:t>
      </w:r>
      <w:r w:rsidRPr="00812B71">
        <w:rPr>
          <w:rFonts w:ascii="Times New Roman" w:eastAsia="Times New Roman" w:hAnsi="Times New Roman"/>
          <w:color w:val="000000"/>
          <w:sz w:val="24"/>
          <w:szCs w:val="24"/>
          <w:lang w:val="en-GB" w:eastAsia="en-GB"/>
        </w:rPr>
        <w:t> (2017) </w:t>
      </w:r>
      <w:r w:rsidRPr="00812B71">
        <w:rPr>
          <w:rFonts w:ascii="Times New Roman" w:eastAsia="Times New Roman" w:hAnsi="Times New Roman"/>
          <w:i/>
          <w:iCs/>
          <w:color w:val="000000"/>
          <w:sz w:val="24"/>
          <w:szCs w:val="24"/>
          <w:lang w:val="en-GB" w:eastAsia="en-GB"/>
        </w:rPr>
        <w:t>Bis.org</w:t>
      </w:r>
      <w:r w:rsidRPr="00812B71">
        <w:rPr>
          <w:rFonts w:ascii="Times New Roman" w:eastAsia="Times New Roman" w:hAnsi="Times New Roman"/>
          <w:color w:val="000000"/>
          <w:sz w:val="24"/>
          <w:szCs w:val="24"/>
          <w:lang w:val="en-GB" w:eastAsia="en-GB"/>
        </w:rPr>
        <w:t>. Available at: https://www.bis.org/bcbs/basel3.htm (Accessed: 20 August 2023).</w:t>
      </w:r>
    </w:p>
    <w:p w14:paraId="5A45FE36" w14:textId="3E45356B" w:rsidR="00230D54" w:rsidRPr="00812B71" w:rsidRDefault="00230D54" w:rsidP="0096660C">
      <w:pPr>
        <w:pStyle w:val="ListParagraph"/>
        <w:spacing w:before="100" w:beforeAutospacing="1" w:after="100" w:afterAutospacing="1" w:line="240" w:lineRule="auto"/>
        <w:jc w:val="both"/>
        <w:rPr>
          <w:rFonts w:ascii="Times New Roman" w:eastAsia="Times New Roman" w:hAnsi="Times New Roman"/>
          <w:color w:val="000000"/>
          <w:sz w:val="24"/>
          <w:szCs w:val="24"/>
          <w:lang w:val="en-GB" w:eastAsia="en-GB"/>
        </w:rPr>
      </w:pPr>
    </w:p>
    <w:p w14:paraId="1C2E9877"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BIS, B., 2011. Basel iii: International regulatory framework for banks.</w:t>
      </w:r>
    </w:p>
    <w:p w14:paraId="1C2E9878"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shd w:val="clear" w:color="auto" w:fill="FFFFFF"/>
        </w:rPr>
        <w:t xml:space="preserve">Carpenter, D.H., 2010, July. The </w:t>
      </w:r>
      <w:proofErr w:type="spellStart"/>
      <w:r w:rsidRPr="00812B71">
        <w:rPr>
          <w:rFonts w:ascii="Times New Roman" w:hAnsi="Times New Roman"/>
          <w:sz w:val="24"/>
          <w:szCs w:val="24"/>
          <w:shd w:val="clear" w:color="auto" w:fill="FFFFFF"/>
        </w:rPr>
        <w:t>dodd</w:t>
      </w:r>
      <w:proofErr w:type="spellEnd"/>
      <w:r w:rsidRPr="00812B71">
        <w:rPr>
          <w:rFonts w:ascii="Times New Roman" w:hAnsi="Times New Roman"/>
          <w:sz w:val="24"/>
          <w:szCs w:val="24"/>
          <w:shd w:val="clear" w:color="auto" w:fill="FFFFFF"/>
        </w:rPr>
        <w:t>-frank wall street reform and consumer protection act: title x, the consumer financial protection bureau. Congressional Research Service, Library of Congress.</w:t>
      </w:r>
    </w:p>
    <w:p w14:paraId="1C2E9879"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Cukierman, A., 2013. Monetary policy and institutions before, during, and after the global financial crisis. </w:t>
      </w:r>
      <w:r w:rsidRPr="00812B71">
        <w:rPr>
          <w:rFonts w:ascii="Times New Roman" w:hAnsi="Times New Roman"/>
          <w:i/>
          <w:iCs/>
          <w:sz w:val="24"/>
          <w:szCs w:val="24"/>
          <w:shd w:val="clear" w:color="auto" w:fill="FFFFFF"/>
        </w:rPr>
        <w:t>Journal of Financial Stability</w:t>
      </w:r>
      <w:r w:rsidRPr="00812B71">
        <w:rPr>
          <w:rFonts w:ascii="Times New Roman" w:hAnsi="Times New Roman"/>
          <w:sz w:val="24"/>
          <w:szCs w:val="24"/>
          <w:shd w:val="clear" w:color="auto" w:fill="FFFFFF"/>
        </w:rPr>
        <w:t>, </w:t>
      </w:r>
      <w:r w:rsidRPr="00812B71">
        <w:rPr>
          <w:rFonts w:ascii="Times New Roman" w:hAnsi="Times New Roman"/>
          <w:i/>
          <w:iCs/>
          <w:sz w:val="24"/>
          <w:szCs w:val="24"/>
          <w:shd w:val="clear" w:color="auto" w:fill="FFFFFF"/>
        </w:rPr>
        <w:t>9</w:t>
      </w:r>
      <w:r w:rsidRPr="00812B71">
        <w:rPr>
          <w:rFonts w:ascii="Times New Roman" w:hAnsi="Times New Roman"/>
          <w:sz w:val="24"/>
          <w:szCs w:val="24"/>
          <w:shd w:val="clear" w:color="auto" w:fill="FFFFFF"/>
        </w:rPr>
        <w:t>(3), pp.373-384.</w:t>
      </w:r>
    </w:p>
    <w:p w14:paraId="1C2E987A"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proofErr w:type="spellStart"/>
      <w:r w:rsidRPr="00812B71">
        <w:rPr>
          <w:rFonts w:ascii="Times New Roman" w:hAnsi="Times New Roman"/>
          <w:sz w:val="24"/>
          <w:szCs w:val="24"/>
          <w:shd w:val="clear" w:color="auto" w:fill="FFFFFF"/>
        </w:rPr>
        <w:t>Dimon</w:t>
      </w:r>
      <w:proofErr w:type="spellEnd"/>
      <w:r w:rsidRPr="00812B71">
        <w:rPr>
          <w:rFonts w:ascii="Times New Roman" w:hAnsi="Times New Roman"/>
          <w:sz w:val="24"/>
          <w:szCs w:val="24"/>
          <w:shd w:val="clear" w:color="auto" w:fill="FFFFFF"/>
        </w:rPr>
        <w:t>, J., 2017. JPMorgan Chase &amp; Co. </w:t>
      </w:r>
      <w:r w:rsidRPr="00812B71">
        <w:rPr>
          <w:rFonts w:ascii="Times New Roman" w:hAnsi="Times New Roman"/>
          <w:i/>
          <w:iCs/>
          <w:sz w:val="24"/>
          <w:szCs w:val="24"/>
          <w:shd w:val="clear" w:color="auto" w:fill="FFFFFF"/>
        </w:rPr>
        <w:t>Annual Report</w:t>
      </w:r>
      <w:r w:rsidRPr="00812B71">
        <w:rPr>
          <w:rFonts w:ascii="Times New Roman" w:hAnsi="Times New Roman"/>
          <w:sz w:val="24"/>
          <w:szCs w:val="24"/>
          <w:shd w:val="clear" w:color="auto" w:fill="FFFFFF"/>
        </w:rPr>
        <w:t>.</w:t>
      </w:r>
    </w:p>
    <w:p w14:paraId="1C2E987B"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Ertürk, I., 2016. Financialization, bank business models and the limits of post-crisis bank regulation. </w:t>
      </w:r>
      <w:r w:rsidRPr="00812B71">
        <w:rPr>
          <w:rFonts w:ascii="Times New Roman" w:hAnsi="Times New Roman"/>
          <w:i/>
          <w:iCs/>
          <w:sz w:val="24"/>
          <w:szCs w:val="24"/>
          <w:shd w:val="clear" w:color="auto" w:fill="FFFFFF"/>
        </w:rPr>
        <w:t>Journal of banking regulation</w:t>
      </w:r>
      <w:r w:rsidRPr="00812B71">
        <w:rPr>
          <w:rFonts w:ascii="Times New Roman" w:hAnsi="Times New Roman"/>
          <w:sz w:val="24"/>
          <w:szCs w:val="24"/>
          <w:shd w:val="clear" w:color="auto" w:fill="FFFFFF"/>
        </w:rPr>
        <w:t>, </w:t>
      </w:r>
      <w:r w:rsidRPr="00812B71">
        <w:rPr>
          <w:rFonts w:ascii="Times New Roman" w:hAnsi="Times New Roman"/>
          <w:i/>
          <w:iCs/>
          <w:sz w:val="24"/>
          <w:szCs w:val="24"/>
          <w:shd w:val="clear" w:color="auto" w:fill="FFFFFF"/>
        </w:rPr>
        <w:t>17</w:t>
      </w:r>
      <w:r w:rsidRPr="00812B71">
        <w:rPr>
          <w:rFonts w:ascii="Times New Roman" w:hAnsi="Times New Roman"/>
          <w:sz w:val="24"/>
          <w:szCs w:val="24"/>
          <w:shd w:val="clear" w:color="auto" w:fill="FFFFFF"/>
        </w:rPr>
        <w:t>(1-2), pp.60-72.</w:t>
      </w:r>
    </w:p>
    <w:p w14:paraId="1C2E987C"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Guynn, R.D., 2010. The global financial crisis and proposed regulatory reform. </w:t>
      </w:r>
      <w:r w:rsidRPr="00812B71">
        <w:rPr>
          <w:rFonts w:ascii="Times New Roman" w:hAnsi="Times New Roman"/>
          <w:i/>
          <w:iCs/>
          <w:sz w:val="24"/>
          <w:szCs w:val="24"/>
          <w:shd w:val="clear" w:color="auto" w:fill="FFFFFF"/>
        </w:rPr>
        <w:t>BYU L. Rev.</w:t>
      </w:r>
      <w:r w:rsidRPr="00812B71">
        <w:rPr>
          <w:rFonts w:ascii="Times New Roman" w:hAnsi="Times New Roman"/>
          <w:sz w:val="24"/>
          <w:szCs w:val="24"/>
          <w:shd w:val="clear" w:color="auto" w:fill="FFFFFF"/>
        </w:rPr>
        <w:t>, p.421.</w:t>
      </w:r>
    </w:p>
    <w:p w14:paraId="1C2E987D"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shd w:val="clear" w:color="auto" w:fill="FFFFFF"/>
        </w:rPr>
        <w:t>Guynn, R.D., Polk, D. and Wardell, L.L.P., 2010. The financial panic of 2008 and financial regulatory reform. </w:t>
      </w:r>
      <w:r w:rsidRPr="00812B71">
        <w:rPr>
          <w:rFonts w:ascii="Times New Roman" w:hAnsi="Times New Roman"/>
          <w:i/>
          <w:iCs/>
          <w:sz w:val="24"/>
          <w:szCs w:val="24"/>
          <w:shd w:val="clear" w:color="auto" w:fill="FFFFFF"/>
        </w:rPr>
        <w:t>IBA Task Force on the Financial Crisis Report</w:t>
      </w:r>
      <w:r w:rsidRPr="00812B71">
        <w:rPr>
          <w:rFonts w:ascii="Times New Roman" w:hAnsi="Times New Roman"/>
          <w:sz w:val="24"/>
          <w:szCs w:val="24"/>
          <w:shd w:val="clear" w:color="auto" w:fill="FFFFFF"/>
        </w:rPr>
        <w:t>, pp.41-53</w:t>
      </w:r>
    </w:p>
    <w:p w14:paraId="1C2E987E"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Harrington, S.E., 2009. The financial crisis, systemic risk, and the future of insurance regulation. </w:t>
      </w:r>
      <w:r w:rsidRPr="00812B71">
        <w:rPr>
          <w:rFonts w:ascii="Times New Roman" w:hAnsi="Times New Roman"/>
          <w:i/>
          <w:iCs/>
          <w:sz w:val="24"/>
          <w:szCs w:val="24"/>
          <w:shd w:val="clear" w:color="auto" w:fill="FFFFFF"/>
        </w:rPr>
        <w:t>Journal of Risk and insurance</w:t>
      </w:r>
      <w:r w:rsidRPr="00812B71">
        <w:rPr>
          <w:rFonts w:ascii="Times New Roman" w:hAnsi="Times New Roman"/>
          <w:sz w:val="24"/>
          <w:szCs w:val="24"/>
          <w:shd w:val="clear" w:color="auto" w:fill="FFFFFF"/>
        </w:rPr>
        <w:t>, </w:t>
      </w:r>
      <w:r w:rsidRPr="00812B71">
        <w:rPr>
          <w:rFonts w:ascii="Times New Roman" w:hAnsi="Times New Roman"/>
          <w:i/>
          <w:iCs/>
          <w:sz w:val="24"/>
          <w:szCs w:val="24"/>
          <w:shd w:val="clear" w:color="auto" w:fill="FFFFFF"/>
        </w:rPr>
        <w:t>76</w:t>
      </w:r>
      <w:r w:rsidRPr="00812B71">
        <w:rPr>
          <w:rFonts w:ascii="Times New Roman" w:hAnsi="Times New Roman"/>
          <w:sz w:val="24"/>
          <w:szCs w:val="24"/>
          <w:shd w:val="clear" w:color="auto" w:fill="FFFFFF"/>
        </w:rPr>
        <w:t>(4), pp.785-819.</w:t>
      </w:r>
    </w:p>
    <w:p w14:paraId="52682066" w14:textId="1E6A4CB3" w:rsidR="00665983"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proofErr w:type="spellStart"/>
      <w:r w:rsidRPr="00812B71">
        <w:rPr>
          <w:rFonts w:ascii="Times New Roman" w:hAnsi="Times New Roman"/>
          <w:sz w:val="24"/>
          <w:szCs w:val="24"/>
          <w:shd w:val="clear" w:color="auto" w:fill="FFFFFF"/>
        </w:rPr>
        <w:t>Hearit</w:t>
      </w:r>
      <w:proofErr w:type="spellEnd"/>
      <w:r w:rsidRPr="00812B71">
        <w:rPr>
          <w:rFonts w:ascii="Times New Roman" w:hAnsi="Times New Roman"/>
          <w:sz w:val="24"/>
          <w:szCs w:val="24"/>
          <w:shd w:val="clear" w:color="auto" w:fill="FFFFFF"/>
        </w:rPr>
        <w:t>, L.B., 2018. JPMorgan Chase, Bank of America, Wells Fargo, and the financial crisis of 2008. </w:t>
      </w:r>
      <w:r w:rsidRPr="00812B71">
        <w:rPr>
          <w:rFonts w:ascii="Times New Roman" w:hAnsi="Times New Roman"/>
          <w:i/>
          <w:iCs/>
          <w:sz w:val="24"/>
          <w:szCs w:val="24"/>
          <w:shd w:val="clear" w:color="auto" w:fill="FFFFFF"/>
        </w:rPr>
        <w:t>International Journal of Business Communication</w:t>
      </w:r>
      <w:r w:rsidRPr="00812B71">
        <w:rPr>
          <w:rFonts w:ascii="Times New Roman" w:hAnsi="Times New Roman"/>
          <w:sz w:val="24"/>
          <w:szCs w:val="24"/>
          <w:shd w:val="clear" w:color="auto" w:fill="FFFFFF"/>
        </w:rPr>
        <w:t>, </w:t>
      </w:r>
      <w:r w:rsidRPr="00812B71">
        <w:rPr>
          <w:rFonts w:ascii="Times New Roman" w:hAnsi="Times New Roman"/>
          <w:i/>
          <w:iCs/>
          <w:sz w:val="24"/>
          <w:szCs w:val="24"/>
          <w:shd w:val="clear" w:color="auto" w:fill="FFFFFF"/>
        </w:rPr>
        <w:t>55</w:t>
      </w:r>
      <w:r w:rsidRPr="00812B71">
        <w:rPr>
          <w:rFonts w:ascii="Times New Roman" w:hAnsi="Times New Roman"/>
          <w:sz w:val="24"/>
          <w:szCs w:val="24"/>
          <w:shd w:val="clear" w:color="auto" w:fill="FFFFFF"/>
        </w:rPr>
        <w:t>(2), pp.237-260.</w:t>
      </w:r>
    </w:p>
    <w:p w14:paraId="1C2E9880"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Massad, T.G. and Kashkari, N.T., 2018. Implementing TARP: The Administrative Architecture of the Troubled Assets Relief Program.</w:t>
      </w:r>
    </w:p>
    <w:p w14:paraId="1C2E9881"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shd w:val="clear" w:color="auto" w:fill="FFFFFF"/>
        </w:rPr>
        <w:t>Mian, A., Sufi, A. and Trebbi, F., 2010. The political economy of the US mortgage default crisis. </w:t>
      </w:r>
      <w:r w:rsidRPr="00812B71">
        <w:rPr>
          <w:rFonts w:ascii="Times New Roman" w:hAnsi="Times New Roman"/>
          <w:i/>
          <w:iCs/>
          <w:sz w:val="24"/>
          <w:szCs w:val="24"/>
          <w:shd w:val="clear" w:color="auto" w:fill="FFFFFF"/>
        </w:rPr>
        <w:t>American Economic Review</w:t>
      </w:r>
      <w:r w:rsidRPr="00812B71">
        <w:rPr>
          <w:rFonts w:ascii="Times New Roman" w:hAnsi="Times New Roman"/>
          <w:sz w:val="24"/>
          <w:szCs w:val="24"/>
          <w:shd w:val="clear" w:color="auto" w:fill="FFFFFF"/>
        </w:rPr>
        <w:t>, </w:t>
      </w:r>
      <w:r w:rsidRPr="00812B71">
        <w:rPr>
          <w:rFonts w:ascii="Times New Roman" w:hAnsi="Times New Roman"/>
          <w:i/>
          <w:iCs/>
          <w:sz w:val="24"/>
          <w:szCs w:val="24"/>
          <w:shd w:val="clear" w:color="auto" w:fill="FFFFFF"/>
        </w:rPr>
        <w:t>100</w:t>
      </w:r>
      <w:r w:rsidRPr="00812B71">
        <w:rPr>
          <w:rFonts w:ascii="Times New Roman" w:hAnsi="Times New Roman"/>
          <w:sz w:val="24"/>
          <w:szCs w:val="24"/>
          <w:shd w:val="clear" w:color="auto" w:fill="FFFFFF"/>
        </w:rPr>
        <w:t>(5), pp.1967-1998.</w:t>
      </w:r>
    </w:p>
    <w:p w14:paraId="1C2E9882"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lang w:val="en"/>
        </w:rPr>
      </w:pPr>
      <w:r w:rsidRPr="00812B71">
        <w:rPr>
          <w:rFonts w:ascii="Times New Roman" w:hAnsi="Times New Roman"/>
          <w:sz w:val="24"/>
          <w:szCs w:val="24"/>
          <w:shd w:val="clear" w:color="auto" w:fill="FFFFFF"/>
        </w:rPr>
        <w:t>PARIHAR, S.B., 2022. </w:t>
      </w:r>
      <w:r w:rsidRPr="00812B71">
        <w:rPr>
          <w:rFonts w:ascii="Times New Roman" w:hAnsi="Times New Roman"/>
          <w:i/>
          <w:iCs/>
          <w:sz w:val="24"/>
          <w:szCs w:val="24"/>
          <w:shd w:val="clear" w:color="auto" w:fill="FFFFFF"/>
        </w:rPr>
        <w:t>Investment Analysis of JP Morgan Chase &amp; Co</w:t>
      </w:r>
      <w:r w:rsidRPr="00812B71">
        <w:rPr>
          <w:rFonts w:ascii="Times New Roman" w:hAnsi="Times New Roman"/>
          <w:sz w:val="24"/>
          <w:szCs w:val="24"/>
          <w:shd w:val="clear" w:color="auto" w:fill="FFFFFF"/>
        </w:rPr>
        <w:t xml:space="preserve"> (Doctoral dissertation, </w:t>
      </w:r>
      <w:proofErr w:type="spellStart"/>
      <w:r w:rsidRPr="00812B71">
        <w:rPr>
          <w:rFonts w:ascii="Times New Roman" w:hAnsi="Times New Roman"/>
          <w:sz w:val="24"/>
          <w:szCs w:val="24"/>
          <w:shd w:val="clear" w:color="auto" w:fill="FFFFFF"/>
        </w:rPr>
        <w:t>Rashtrasant</w:t>
      </w:r>
      <w:proofErr w:type="spellEnd"/>
      <w:r w:rsidRPr="00812B71">
        <w:rPr>
          <w:rFonts w:ascii="Times New Roman" w:hAnsi="Times New Roman"/>
          <w:sz w:val="24"/>
          <w:szCs w:val="24"/>
          <w:shd w:val="clear" w:color="auto" w:fill="FFFFFF"/>
        </w:rPr>
        <w:t xml:space="preserve"> </w:t>
      </w:r>
      <w:proofErr w:type="spellStart"/>
      <w:r w:rsidRPr="00812B71">
        <w:rPr>
          <w:rFonts w:ascii="Times New Roman" w:hAnsi="Times New Roman"/>
          <w:sz w:val="24"/>
          <w:szCs w:val="24"/>
          <w:shd w:val="clear" w:color="auto" w:fill="FFFFFF"/>
        </w:rPr>
        <w:t>Tukadoji</w:t>
      </w:r>
      <w:proofErr w:type="spellEnd"/>
      <w:r w:rsidRPr="00812B71">
        <w:rPr>
          <w:rFonts w:ascii="Times New Roman" w:hAnsi="Times New Roman"/>
          <w:sz w:val="24"/>
          <w:szCs w:val="24"/>
          <w:shd w:val="clear" w:color="auto" w:fill="FFFFFF"/>
        </w:rPr>
        <w:t xml:space="preserve"> Maharaj Nagpur University).</w:t>
      </w:r>
    </w:p>
    <w:p w14:paraId="1C2E9883"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 xml:space="preserve">Polk, D. and Wardwell, L.L.P., 2010. Summary of the Dodd-Frank Wall Street Reform and </w:t>
      </w:r>
      <w:r w:rsidRPr="00812B71">
        <w:rPr>
          <w:rFonts w:ascii="Times New Roman" w:hAnsi="Times New Roman"/>
          <w:sz w:val="24"/>
          <w:szCs w:val="24"/>
          <w:shd w:val="clear" w:color="auto" w:fill="FFFFFF"/>
        </w:rPr>
        <w:lastRenderedPageBreak/>
        <w:t>Consumer Protection Act, Passed by the House of Representatives on June 30, 2010.</w:t>
      </w:r>
    </w:p>
    <w:p w14:paraId="1C2E9884"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Polk, D., Wardwell, L.L.P. and Cavanaugh, K.A., 2009. A Guide to the Laws, Regulations and Contracts of the Financial Crisis.</w:t>
      </w:r>
    </w:p>
    <w:p w14:paraId="1C2E9885"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Webel, B., 2011. </w:t>
      </w:r>
      <w:r w:rsidRPr="00812B71">
        <w:rPr>
          <w:rFonts w:ascii="Times New Roman" w:hAnsi="Times New Roman"/>
          <w:i/>
          <w:iCs/>
          <w:sz w:val="24"/>
          <w:szCs w:val="24"/>
          <w:shd w:val="clear" w:color="auto" w:fill="FFFFFF"/>
        </w:rPr>
        <w:t>Emergency Economic Stabilization Act and Current Financial Turmoil: Issues and Analysis</w:t>
      </w:r>
      <w:r w:rsidRPr="00812B71">
        <w:rPr>
          <w:rFonts w:ascii="Times New Roman" w:hAnsi="Times New Roman"/>
          <w:sz w:val="24"/>
          <w:szCs w:val="24"/>
          <w:shd w:val="clear" w:color="auto" w:fill="FFFFFF"/>
        </w:rPr>
        <w:t>. DIANE Publishing.</w:t>
      </w:r>
    </w:p>
    <w:p w14:paraId="1C2E9886" w14:textId="77777777" w:rsidR="00B44157" w:rsidRPr="00812B71" w:rsidRDefault="00B44157" w:rsidP="0096660C">
      <w:pPr>
        <w:widowControl w:val="0"/>
        <w:numPr>
          <w:ilvl w:val="0"/>
          <w:numId w:val="12"/>
        </w:numPr>
        <w:autoSpaceDE w:val="0"/>
        <w:autoSpaceDN w:val="0"/>
        <w:adjustRightInd w:val="0"/>
        <w:spacing w:after="200" w:line="276" w:lineRule="auto"/>
        <w:jc w:val="both"/>
        <w:rPr>
          <w:rFonts w:ascii="Times New Roman" w:hAnsi="Times New Roman"/>
          <w:sz w:val="24"/>
          <w:szCs w:val="24"/>
          <w:shd w:val="clear" w:color="auto" w:fill="FFFFFF"/>
        </w:rPr>
      </w:pPr>
      <w:r w:rsidRPr="00812B71">
        <w:rPr>
          <w:rFonts w:ascii="Times New Roman" w:hAnsi="Times New Roman"/>
          <w:sz w:val="24"/>
          <w:szCs w:val="24"/>
          <w:shd w:val="clear" w:color="auto" w:fill="FFFFFF"/>
        </w:rPr>
        <w:t>Wilson, L., 2013. Troubled Asset Relief Program (TARP). </w:t>
      </w:r>
      <w:r w:rsidRPr="00812B71">
        <w:rPr>
          <w:rFonts w:ascii="Times New Roman" w:hAnsi="Times New Roman"/>
          <w:i/>
          <w:iCs/>
          <w:sz w:val="24"/>
          <w:szCs w:val="24"/>
          <w:shd w:val="clear" w:color="auto" w:fill="FFFFFF"/>
        </w:rPr>
        <w:t>The New Palgrave Dictionary of Economics</w:t>
      </w:r>
      <w:r w:rsidRPr="00812B71">
        <w:rPr>
          <w:rFonts w:ascii="Times New Roman" w:hAnsi="Times New Roman"/>
          <w:sz w:val="24"/>
          <w:szCs w:val="24"/>
          <w:shd w:val="clear" w:color="auto" w:fill="FFFFFF"/>
        </w:rPr>
        <w:t>, </w:t>
      </w:r>
      <w:r w:rsidRPr="00812B71">
        <w:rPr>
          <w:rFonts w:ascii="Times New Roman" w:hAnsi="Times New Roman"/>
          <w:i/>
          <w:iCs/>
          <w:sz w:val="24"/>
          <w:szCs w:val="24"/>
          <w:shd w:val="clear" w:color="auto" w:fill="FFFFFF"/>
        </w:rPr>
        <w:t>7</w:t>
      </w:r>
      <w:r w:rsidRPr="00812B71">
        <w:rPr>
          <w:rFonts w:ascii="Times New Roman" w:hAnsi="Times New Roman"/>
          <w:sz w:val="24"/>
          <w:szCs w:val="24"/>
          <w:shd w:val="clear" w:color="auto" w:fill="FFFFFF"/>
        </w:rPr>
        <w:t>.</w:t>
      </w:r>
    </w:p>
    <w:p w14:paraId="1C2E9887" w14:textId="77777777" w:rsidR="00B44157" w:rsidRPr="00812B71" w:rsidRDefault="00B44157" w:rsidP="0096660C">
      <w:pPr>
        <w:jc w:val="both"/>
        <w:rPr>
          <w:rFonts w:ascii="Times New Roman" w:hAnsi="Times New Roman"/>
          <w:sz w:val="24"/>
          <w:szCs w:val="24"/>
        </w:rPr>
      </w:pPr>
    </w:p>
    <w:sectPr w:rsidR="00B44157" w:rsidRPr="00812B71" w:rsidSect="0062422E">
      <w:pgSz w:w="12240" w:h="15840"/>
      <w:pgMar w:top="1440" w:right="1183" w:bottom="567" w:left="1440" w:header="720" w:footer="555"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2239B" w14:textId="77777777" w:rsidR="00D61518" w:rsidRDefault="00D61518" w:rsidP="00853F1F">
      <w:pPr>
        <w:spacing w:after="0" w:line="240" w:lineRule="auto"/>
      </w:pPr>
      <w:r>
        <w:separator/>
      </w:r>
    </w:p>
  </w:endnote>
  <w:endnote w:type="continuationSeparator" w:id="0">
    <w:p w14:paraId="527C087B" w14:textId="77777777" w:rsidR="00D61518" w:rsidRDefault="00D61518" w:rsidP="00853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E988D" w14:textId="77777777" w:rsidR="001357BF" w:rsidRDefault="001357BF">
    <w:pPr>
      <w:pStyle w:val="Footer"/>
      <w:jc w:val="right"/>
    </w:pPr>
    <w:r>
      <w:fldChar w:fldCharType="begin"/>
    </w:r>
    <w:r>
      <w:instrText xml:space="preserve"> PAGE   \* MERGEFORMAT </w:instrText>
    </w:r>
    <w:r>
      <w:fldChar w:fldCharType="separate"/>
    </w:r>
    <w:r>
      <w:rPr>
        <w:noProof/>
      </w:rPr>
      <w:t>2</w:t>
    </w:r>
    <w:r>
      <w:fldChar w:fldCharType="end"/>
    </w:r>
  </w:p>
  <w:p w14:paraId="1C2E988E" w14:textId="77777777" w:rsidR="001357BF" w:rsidRDefault="00135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D6E9C" w14:textId="77777777" w:rsidR="00D61518" w:rsidRDefault="00D61518" w:rsidP="00853F1F">
      <w:pPr>
        <w:spacing w:after="0" w:line="240" w:lineRule="auto"/>
      </w:pPr>
      <w:r>
        <w:separator/>
      </w:r>
    </w:p>
  </w:footnote>
  <w:footnote w:type="continuationSeparator" w:id="0">
    <w:p w14:paraId="705569DF" w14:textId="77777777" w:rsidR="00D61518" w:rsidRDefault="00D61518" w:rsidP="00853F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45094"/>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9F6D9C"/>
    <w:multiLevelType w:val="hybridMultilevel"/>
    <w:tmpl w:val="77DE0552"/>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 w15:restartNumberingAfterBreak="0">
    <w:nsid w:val="024A71E2"/>
    <w:multiLevelType w:val="hybridMultilevel"/>
    <w:tmpl w:val="FFFFFFFF"/>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3" w15:restartNumberingAfterBreak="0">
    <w:nsid w:val="07016125"/>
    <w:multiLevelType w:val="multilevel"/>
    <w:tmpl w:val="4EDEED9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7626426"/>
    <w:multiLevelType w:val="hybridMultilevel"/>
    <w:tmpl w:val="0F94F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3F0774"/>
    <w:multiLevelType w:val="multilevel"/>
    <w:tmpl w:val="966080D6"/>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A021093"/>
    <w:multiLevelType w:val="hybridMultilevel"/>
    <w:tmpl w:val="743E087A"/>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7" w15:restartNumberingAfterBreak="0">
    <w:nsid w:val="11F46ADB"/>
    <w:multiLevelType w:val="hybridMultilevel"/>
    <w:tmpl w:val="FFFFFFFF"/>
    <w:lvl w:ilvl="0" w:tplc="0409000F">
      <w:start w:val="1"/>
      <w:numFmt w:val="decimal"/>
      <w:lvlText w:val="%1."/>
      <w:lvlJc w:val="left"/>
      <w:pPr>
        <w:ind w:left="720" w:hanging="3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8" w15:restartNumberingAfterBreak="0">
    <w:nsid w:val="167A7857"/>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7BE17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911C6F"/>
    <w:multiLevelType w:val="multilevel"/>
    <w:tmpl w:val="B22833F4"/>
    <w:lvl w:ilvl="0">
      <w:start w:val="3"/>
      <w:numFmt w:val="decimal"/>
      <w:lvlText w:val="%1."/>
      <w:lvlJc w:val="left"/>
      <w:pPr>
        <w:ind w:left="720" w:hanging="360"/>
      </w:pPr>
      <w:rPr>
        <w:rFonts w:hint="default"/>
        <w:b/>
        <w:bCs/>
      </w:rPr>
    </w:lvl>
    <w:lvl w:ilvl="1">
      <w:start w:val="1"/>
      <w:numFmt w:val="decimal"/>
      <w:isLgl/>
      <w:lvlText w:val="%1.%2"/>
      <w:lvlJc w:val="left"/>
      <w:pPr>
        <w:ind w:left="840" w:hanging="480"/>
      </w:pPr>
      <w:rPr>
        <w:rFonts w:hint="default"/>
        <w:b/>
        <w:bCs/>
      </w:rPr>
    </w:lvl>
    <w:lvl w:ilvl="2">
      <w:start w:val="1"/>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1CDF424F"/>
    <w:multiLevelType w:val="multilevel"/>
    <w:tmpl w:val="B22833F4"/>
    <w:lvl w:ilvl="0">
      <w:start w:val="3"/>
      <w:numFmt w:val="decimal"/>
      <w:lvlText w:val="%1."/>
      <w:lvlJc w:val="left"/>
      <w:pPr>
        <w:ind w:left="720" w:hanging="360"/>
      </w:pPr>
      <w:rPr>
        <w:rFonts w:hint="default"/>
        <w:b/>
        <w:bCs/>
      </w:rPr>
    </w:lvl>
    <w:lvl w:ilvl="1">
      <w:start w:val="1"/>
      <w:numFmt w:val="decimal"/>
      <w:isLgl/>
      <w:lvlText w:val="%1.%2"/>
      <w:lvlJc w:val="left"/>
      <w:pPr>
        <w:ind w:left="840" w:hanging="480"/>
      </w:pPr>
      <w:rPr>
        <w:rFonts w:hint="default"/>
        <w:b/>
        <w:bCs/>
      </w:rPr>
    </w:lvl>
    <w:lvl w:ilvl="2">
      <w:start w:val="1"/>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0161B20"/>
    <w:multiLevelType w:val="multilevel"/>
    <w:tmpl w:val="0400BE8A"/>
    <w:lvl w:ilvl="0">
      <w:start w:val="1"/>
      <w:numFmt w:val="decimal"/>
      <w:lvlText w:val="%1"/>
      <w:lvlJc w:val="left"/>
      <w:pPr>
        <w:ind w:left="525" w:hanging="525"/>
      </w:pPr>
      <w:rPr>
        <w:rFonts w:hint="default"/>
      </w:rPr>
    </w:lvl>
    <w:lvl w:ilvl="1">
      <w:start w:val="2"/>
      <w:numFmt w:val="decimal"/>
      <w:lvlText w:val="%1.%2"/>
      <w:lvlJc w:val="left"/>
      <w:pPr>
        <w:ind w:left="705" w:hanging="525"/>
      </w:pPr>
      <w:rPr>
        <w:rFonts w:hint="default"/>
      </w:rPr>
    </w:lvl>
    <w:lvl w:ilvl="2">
      <w:start w:val="1"/>
      <w:numFmt w:val="decimal"/>
      <w:lvlText w:val="%1.%2.%3"/>
      <w:lvlJc w:val="left"/>
      <w:pPr>
        <w:ind w:left="1080" w:hanging="720"/>
      </w:pPr>
      <w:rPr>
        <w:rFonts w:hint="default"/>
        <w:b/>
        <w:bCs/>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13" w15:restartNumberingAfterBreak="0">
    <w:nsid w:val="20186113"/>
    <w:multiLevelType w:val="multilevel"/>
    <w:tmpl w:val="B22833F4"/>
    <w:lvl w:ilvl="0">
      <w:start w:val="3"/>
      <w:numFmt w:val="decimal"/>
      <w:lvlText w:val="%1."/>
      <w:lvlJc w:val="left"/>
      <w:pPr>
        <w:ind w:left="720" w:hanging="360"/>
      </w:pPr>
      <w:rPr>
        <w:rFonts w:hint="default"/>
        <w:b/>
        <w:bCs/>
      </w:rPr>
    </w:lvl>
    <w:lvl w:ilvl="1">
      <w:start w:val="1"/>
      <w:numFmt w:val="decimal"/>
      <w:isLgl/>
      <w:lvlText w:val="%1.%2"/>
      <w:lvlJc w:val="left"/>
      <w:pPr>
        <w:ind w:left="840" w:hanging="480"/>
      </w:pPr>
      <w:rPr>
        <w:rFonts w:hint="default"/>
        <w:b/>
        <w:bCs/>
      </w:rPr>
    </w:lvl>
    <w:lvl w:ilvl="2">
      <w:start w:val="1"/>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22B36C79"/>
    <w:multiLevelType w:val="hybridMultilevel"/>
    <w:tmpl w:val="FFFFFFFF"/>
    <w:lvl w:ilvl="0" w:tplc="0409000F">
      <w:start w:val="1"/>
      <w:numFmt w:val="decimal"/>
      <w:lvlText w:val="%1."/>
      <w:lvlJc w:val="left"/>
      <w:pPr>
        <w:ind w:left="720" w:hanging="3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5" w15:restartNumberingAfterBreak="0">
    <w:nsid w:val="23AA67B8"/>
    <w:multiLevelType w:val="hybridMultilevel"/>
    <w:tmpl w:val="7B3C527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6" w15:restartNumberingAfterBreak="0">
    <w:nsid w:val="244644F3"/>
    <w:multiLevelType w:val="hybridMultilevel"/>
    <w:tmpl w:val="9CEC9CD2"/>
    <w:lvl w:ilvl="0" w:tplc="198A40A0">
      <w:start w:val="2"/>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94380D"/>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AD978B7"/>
    <w:multiLevelType w:val="multilevel"/>
    <w:tmpl w:val="FFFFFFFF"/>
    <w:lvl w:ilvl="0">
      <w:start w:val="1"/>
      <w:numFmt w:val="bullet"/>
      <w:lvlText w:val=""/>
      <w:lvlJc w:val="left"/>
      <w:pPr>
        <w:tabs>
          <w:tab w:val="num" w:pos="644"/>
        </w:tabs>
        <w:ind w:left="644" w:hanging="360"/>
      </w:pPr>
      <w:rPr>
        <w:rFonts w:ascii="Symbol" w:hAnsi="Symbol" w:hint="default"/>
        <w:sz w:val="20"/>
      </w:rPr>
    </w:lvl>
    <w:lvl w:ilvl="1">
      <w:start w:val="1"/>
      <w:numFmt w:val="decimal"/>
      <w:lvlText w:val="%2."/>
      <w:lvlJc w:val="left"/>
      <w:pPr>
        <w:ind w:left="1364" w:hanging="360"/>
      </w:pPr>
      <w:rPr>
        <w:rFonts w:cs="Times New Roman" w:hint="default"/>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19" w15:restartNumberingAfterBreak="0">
    <w:nsid w:val="2D1378C6"/>
    <w:multiLevelType w:val="hybridMultilevel"/>
    <w:tmpl w:val="4F62E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BC38F4"/>
    <w:multiLevelType w:val="hybridMultilevel"/>
    <w:tmpl w:val="6138412C"/>
    <w:lvl w:ilvl="0" w:tplc="3D6A7C34">
      <w:start w:val="2"/>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6E30EE"/>
    <w:multiLevelType w:val="multilevel"/>
    <w:tmpl w:val="41A83F0C"/>
    <w:lvl w:ilvl="0">
      <w:start w:val="2"/>
      <w:numFmt w:val="decimal"/>
      <w:lvlText w:val="%1."/>
      <w:lvlJc w:val="left"/>
      <w:pPr>
        <w:ind w:left="720" w:hanging="360"/>
      </w:pPr>
      <w:rPr>
        <w:rFonts w:hint="default"/>
        <w:b/>
        <w:bCs/>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354F6703"/>
    <w:multiLevelType w:val="hybridMultilevel"/>
    <w:tmpl w:val="41CA3D88"/>
    <w:lvl w:ilvl="0" w:tplc="08090001">
      <w:start w:val="1"/>
      <w:numFmt w:val="bullet"/>
      <w:lvlText w:val=""/>
      <w:lvlJc w:val="left"/>
      <w:pPr>
        <w:ind w:left="1714" w:hanging="360"/>
      </w:pPr>
      <w:rPr>
        <w:rFonts w:ascii="Symbol" w:hAnsi="Symbol" w:hint="default"/>
      </w:rPr>
    </w:lvl>
    <w:lvl w:ilvl="1" w:tplc="08090003" w:tentative="1">
      <w:start w:val="1"/>
      <w:numFmt w:val="bullet"/>
      <w:lvlText w:val="o"/>
      <w:lvlJc w:val="left"/>
      <w:pPr>
        <w:ind w:left="2434" w:hanging="360"/>
      </w:pPr>
      <w:rPr>
        <w:rFonts w:ascii="Courier New" w:hAnsi="Courier New" w:cs="Courier New" w:hint="default"/>
      </w:rPr>
    </w:lvl>
    <w:lvl w:ilvl="2" w:tplc="08090005" w:tentative="1">
      <w:start w:val="1"/>
      <w:numFmt w:val="bullet"/>
      <w:lvlText w:val=""/>
      <w:lvlJc w:val="left"/>
      <w:pPr>
        <w:ind w:left="3154" w:hanging="360"/>
      </w:pPr>
      <w:rPr>
        <w:rFonts w:ascii="Wingdings" w:hAnsi="Wingdings" w:hint="default"/>
      </w:rPr>
    </w:lvl>
    <w:lvl w:ilvl="3" w:tplc="08090001" w:tentative="1">
      <w:start w:val="1"/>
      <w:numFmt w:val="bullet"/>
      <w:lvlText w:val=""/>
      <w:lvlJc w:val="left"/>
      <w:pPr>
        <w:ind w:left="3874" w:hanging="360"/>
      </w:pPr>
      <w:rPr>
        <w:rFonts w:ascii="Symbol" w:hAnsi="Symbol" w:hint="default"/>
      </w:rPr>
    </w:lvl>
    <w:lvl w:ilvl="4" w:tplc="08090003" w:tentative="1">
      <w:start w:val="1"/>
      <w:numFmt w:val="bullet"/>
      <w:lvlText w:val="o"/>
      <w:lvlJc w:val="left"/>
      <w:pPr>
        <w:ind w:left="4594" w:hanging="360"/>
      </w:pPr>
      <w:rPr>
        <w:rFonts w:ascii="Courier New" w:hAnsi="Courier New" w:cs="Courier New" w:hint="default"/>
      </w:rPr>
    </w:lvl>
    <w:lvl w:ilvl="5" w:tplc="08090005" w:tentative="1">
      <w:start w:val="1"/>
      <w:numFmt w:val="bullet"/>
      <w:lvlText w:val=""/>
      <w:lvlJc w:val="left"/>
      <w:pPr>
        <w:ind w:left="5314" w:hanging="360"/>
      </w:pPr>
      <w:rPr>
        <w:rFonts w:ascii="Wingdings" w:hAnsi="Wingdings" w:hint="default"/>
      </w:rPr>
    </w:lvl>
    <w:lvl w:ilvl="6" w:tplc="08090001" w:tentative="1">
      <w:start w:val="1"/>
      <w:numFmt w:val="bullet"/>
      <w:lvlText w:val=""/>
      <w:lvlJc w:val="left"/>
      <w:pPr>
        <w:ind w:left="6034" w:hanging="360"/>
      </w:pPr>
      <w:rPr>
        <w:rFonts w:ascii="Symbol" w:hAnsi="Symbol" w:hint="default"/>
      </w:rPr>
    </w:lvl>
    <w:lvl w:ilvl="7" w:tplc="08090003" w:tentative="1">
      <w:start w:val="1"/>
      <w:numFmt w:val="bullet"/>
      <w:lvlText w:val="o"/>
      <w:lvlJc w:val="left"/>
      <w:pPr>
        <w:ind w:left="6754" w:hanging="360"/>
      </w:pPr>
      <w:rPr>
        <w:rFonts w:ascii="Courier New" w:hAnsi="Courier New" w:cs="Courier New" w:hint="default"/>
      </w:rPr>
    </w:lvl>
    <w:lvl w:ilvl="8" w:tplc="08090005" w:tentative="1">
      <w:start w:val="1"/>
      <w:numFmt w:val="bullet"/>
      <w:lvlText w:val=""/>
      <w:lvlJc w:val="left"/>
      <w:pPr>
        <w:ind w:left="7474" w:hanging="360"/>
      </w:pPr>
      <w:rPr>
        <w:rFonts w:ascii="Wingdings" w:hAnsi="Wingdings" w:hint="default"/>
      </w:rPr>
    </w:lvl>
  </w:abstractNum>
  <w:abstractNum w:abstractNumId="23" w15:restartNumberingAfterBreak="0">
    <w:nsid w:val="35E722D1"/>
    <w:multiLevelType w:val="multilevel"/>
    <w:tmpl w:val="8DCC65A2"/>
    <w:lvl w:ilvl="0">
      <w:start w:val="1"/>
      <w:numFmt w:val="decimal"/>
      <w:lvlText w:val="%1."/>
      <w:lvlJc w:val="left"/>
      <w:pPr>
        <w:ind w:left="360" w:hanging="360"/>
      </w:pPr>
      <w:rPr>
        <w:rFonts w:hint="default"/>
      </w:rPr>
    </w:lvl>
    <w:lvl w:ilvl="1">
      <w:start w:val="1"/>
      <w:numFmt w:val="decimal"/>
      <w:lvlText w:val="%1.2.1"/>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37656D67"/>
    <w:multiLevelType w:val="multilevel"/>
    <w:tmpl w:val="B67A1FAA"/>
    <w:lvl w:ilvl="0">
      <w:start w:val="1"/>
      <w:numFmt w:val="decimal"/>
      <w:lvlText w:val="%1"/>
      <w:lvlJc w:val="left"/>
      <w:pPr>
        <w:ind w:left="480" w:hanging="480"/>
      </w:pPr>
      <w:rPr>
        <w:rFonts w:eastAsiaTheme="majorEastAsia" w:hint="default"/>
        <w:b/>
      </w:rPr>
    </w:lvl>
    <w:lvl w:ilvl="1">
      <w:start w:val="2"/>
      <w:numFmt w:val="decimal"/>
      <w:lvlText w:val="%1.%2"/>
      <w:lvlJc w:val="left"/>
      <w:pPr>
        <w:ind w:left="660" w:hanging="480"/>
      </w:pPr>
      <w:rPr>
        <w:rFonts w:eastAsiaTheme="majorEastAsia" w:hint="default"/>
        <w:b/>
      </w:rPr>
    </w:lvl>
    <w:lvl w:ilvl="2">
      <w:start w:val="1"/>
      <w:numFmt w:val="decimal"/>
      <w:lvlText w:val="%1.%2.%3"/>
      <w:lvlJc w:val="left"/>
      <w:pPr>
        <w:ind w:left="1080" w:hanging="720"/>
      </w:pPr>
      <w:rPr>
        <w:rFonts w:eastAsiaTheme="majorEastAsia" w:hint="default"/>
        <w:b/>
      </w:rPr>
    </w:lvl>
    <w:lvl w:ilvl="3">
      <w:start w:val="1"/>
      <w:numFmt w:val="decimal"/>
      <w:lvlText w:val="%1.%2.%3.%4"/>
      <w:lvlJc w:val="left"/>
      <w:pPr>
        <w:ind w:left="1260" w:hanging="720"/>
      </w:pPr>
      <w:rPr>
        <w:rFonts w:eastAsiaTheme="majorEastAsia" w:hint="default"/>
        <w:b/>
      </w:rPr>
    </w:lvl>
    <w:lvl w:ilvl="4">
      <w:start w:val="1"/>
      <w:numFmt w:val="decimal"/>
      <w:lvlText w:val="%1.%2.%3.%4.%5"/>
      <w:lvlJc w:val="left"/>
      <w:pPr>
        <w:ind w:left="1800" w:hanging="1080"/>
      </w:pPr>
      <w:rPr>
        <w:rFonts w:eastAsiaTheme="majorEastAsia" w:hint="default"/>
        <w:b/>
      </w:rPr>
    </w:lvl>
    <w:lvl w:ilvl="5">
      <w:start w:val="1"/>
      <w:numFmt w:val="decimal"/>
      <w:lvlText w:val="%1.%2.%3.%4.%5.%6"/>
      <w:lvlJc w:val="left"/>
      <w:pPr>
        <w:ind w:left="1980" w:hanging="1080"/>
      </w:pPr>
      <w:rPr>
        <w:rFonts w:eastAsiaTheme="majorEastAsia" w:hint="default"/>
        <w:b/>
      </w:rPr>
    </w:lvl>
    <w:lvl w:ilvl="6">
      <w:start w:val="1"/>
      <w:numFmt w:val="decimal"/>
      <w:lvlText w:val="%1.%2.%3.%4.%5.%6.%7"/>
      <w:lvlJc w:val="left"/>
      <w:pPr>
        <w:ind w:left="2520" w:hanging="1440"/>
      </w:pPr>
      <w:rPr>
        <w:rFonts w:eastAsiaTheme="majorEastAsia" w:hint="default"/>
        <w:b/>
      </w:rPr>
    </w:lvl>
    <w:lvl w:ilvl="7">
      <w:start w:val="1"/>
      <w:numFmt w:val="decimal"/>
      <w:lvlText w:val="%1.%2.%3.%4.%5.%6.%7.%8"/>
      <w:lvlJc w:val="left"/>
      <w:pPr>
        <w:ind w:left="2700" w:hanging="1440"/>
      </w:pPr>
      <w:rPr>
        <w:rFonts w:eastAsiaTheme="majorEastAsia" w:hint="default"/>
        <w:b/>
      </w:rPr>
    </w:lvl>
    <w:lvl w:ilvl="8">
      <w:start w:val="1"/>
      <w:numFmt w:val="decimal"/>
      <w:lvlText w:val="%1.%2.%3.%4.%5.%6.%7.%8.%9"/>
      <w:lvlJc w:val="left"/>
      <w:pPr>
        <w:ind w:left="3240" w:hanging="1800"/>
      </w:pPr>
      <w:rPr>
        <w:rFonts w:eastAsiaTheme="majorEastAsia" w:hint="default"/>
        <w:b/>
      </w:rPr>
    </w:lvl>
  </w:abstractNum>
  <w:abstractNum w:abstractNumId="25" w15:restartNumberingAfterBreak="0">
    <w:nsid w:val="3924594C"/>
    <w:multiLevelType w:val="multilevel"/>
    <w:tmpl w:val="39643A38"/>
    <w:lvl w:ilvl="0">
      <w:start w:val="1"/>
      <w:numFmt w:val="decimal"/>
      <w:lvlText w:val="%1."/>
      <w:lvlJc w:val="left"/>
      <w:pPr>
        <w:ind w:left="720" w:hanging="360"/>
      </w:pPr>
      <w:rPr>
        <w:rFonts w:hint="default"/>
        <w:b/>
        <w:bCs/>
      </w:rPr>
    </w:lvl>
    <w:lvl w:ilvl="1">
      <w:start w:val="2"/>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3FC37055"/>
    <w:multiLevelType w:val="hybridMultilevel"/>
    <w:tmpl w:val="FFFFFFFF"/>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27" w15:restartNumberingAfterBreak="0">
    <w:nsid w:val="46F56847"/>
    <w:multiLevelType w:val="multilevel"/>
    <w:tmpl w:val="B22833F4"/>
    <w:lvl w:ilvl="0">
      <w:start w:val="3"/>
      <w:numFmt w:val="decimal"/>
      <w:lvlText w:val="%1."/>
      <w:lvlJc w:val="left"/>
      <w:pPr>
        <w:ind w:left="720" w:hanging="360"/>
      </w:pPr>
      <w:rPr>
        <w:rFonts w:hint="default"/>
        <w:b/>
        <w:bCs/>
      </w:rPr>
    </w:lvl>
    <w:lvl w:ilvl="1">
      <w:start w:val="1"/>
      <w:numFmt w:val="decimal"/>
      <w:isLgl/>
      <w:lvlText w:val="%1.%2"/>
      <w:lvlJc w:val="left"/>
      <w:pPr>
        <w:ind w:left="840" w:hanging="480"/>
      </w:pPr>
      <w:rPr>
        <w:rFonts w:hint="default"/>
        <w:b/>
        <w:bCs/>
      </w:rPr>
    </w:lvl>
    <w:lvl w:ilvl="2">
      <w:start w:val="1"/>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47973511"/>
    <w:multiLevelType w:val="hybridMultilevel"/>
    <w:tmpl w:val="349EDC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886786F"/>
    <w:multiLevelType w:val="multilevel"/>
    <w:tmpl w:val="3E221066"/>
    <w:lvl w:ilvl="0">
      <w:start w:val="1"/>
      <w:numFmt w:val="decimal"/>
      <w:lvlText w:val="%1.2.1"/>
      <w:lvlJc w:val="left"/>
      <w:pPr>
        <w:ind w:left="360" w:hanging="360"/>
      </w:pPr>
      <w:rPr>
        <w:rFonts w:hint="default"/>
        <w:b/>
        <w:bCs/>
      </w:rPr>
    </w:lvl>
    <w:lvl w:ilvl="1">
      <w:start w:val="4"/>
      <w:numFmt w:val="decimal"/>
      <w:lvlText w:val="%1.2.%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1998" w:hanging="72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210" w:hanging="108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422" w:hanging="1440"/>
      </w:pPr>
      <w:rPr>
        <w:rFonts w:hint="default"/>
      </w:rPr>
    </w:lvl>
    <w:lvl w:ilvl="8">
      <w:start w:val="1"/>
      <w:numFmt w:val="decimal"/>
      <w:lvlText w:val="%1.%2.%3.%4.%5.%6.%7.%8.%9"/>
      <w:lvlJc w:val="left"/>
      <w:pPr>
        <w:ind w:left="5208" w:hanging="1800"/>
      </w:pPr>
      <w:rPr>
        <w:rFonts w:hint="default"/>
      </w:rPr>
    </w:lvl>
  </w:abstractNum>
  <w:abstractNum w:abstractNumId="30" w15:restartNumberingAfterBreak="0">
    <w:nsid w:val="4C190E19"/>
    <w:multiLevelType w:val="multilevel"/>
    <w:tmpl w:val="016E38CA"/>
    <w:lvl w:ilvl="0">
      <w:start w:val="1"/>
      <w:numFmt w:val="decimal"/>
      <w:lvlText w:val="%1"/>
      <w:lvlJc w:val="left"/>
      <w:pPr>
        <w:ind w:left="360" w:hanging="360"/>
      </w:pPr>
      <w:rPr>
        <w:rFonts w:hint="default"/>
      </w:rPr>
    </w:lvl>
    <w:lvl w:ilvl="1">
      <w:start w:val="4"/>
      <w:numFmt w:val="decimal"/>
      <w:lvlText w:val="%1.2.%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1998" w:hanging="72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210" w:hanging="108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422" w:hanging="1440"/>
      </w:pPr>
      <w:rPr>
        <w:rFonts w:hint="default"/>
      </w:rPr>
    </w:lvl>
    <w:lvl w:ilvl="8">
      <w:start w:val="1"/>
      <w:numFmt w:val="decimal"/>
      <w:lvlText w:val="%1.%2.%3.%4.%5.%6.%7.%8.%9"/>
      <w:lvlJc w:val="left"/>
      <w:pPr>
        <w:ind w:left="5208" w:hanging="1800"/>
      </w:pPr>
      <w:rPr>
        <w:rFonts w:hint="default"/>
      </w:rPr>
    </w:lvl>
  </w:abstractNum>
  <w:abstractNum w:abstractNumId="31" w15:restartNumberingAfterBreak="0">
    <w:nsid w:val="4F0F2564"/>
    <w:multiLevelType w:val="hybridMultilevel"/>
    <w:tmpl w:val="78B8A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EB214F"/>
    <w:multiLevelType w:val="hybridMultilevel"/>
    <w:tmpl w:val="ADBC8424"/>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33" w15:restartNumberingAfterBreak="0">
    <w:nsid w:val="57397D25"/>
    <w:multiLevelType w:val="hybridMultilevel"/>
    <w:tmpl w:val="CC6A7C8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34" w15:restartNumberingAfterBreak="0">
    <w:nsid w:val="5B115B33"/>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E3E2EAB"/>
    <w:multiLevelType w:val="multilevel"/>
    <w:tmpl w:val="016E38CA"/>
    <w:lvl w:ilvl="0">
      <w:start w:val="1"/>
      <w:numFmt w:val="decimal"/>
      <w:lvlText w:val="%1"/>
      <w:lvlJc w:val="left"/>
      <w:pPr>
        <w:ind w:left="360" w:hanging="360"/>
      </w:pPr>
      <w:rPr>
        <w:rFonts w:hint="default"/>
      </w:rPr>
    </w:lvl>
    <w:lvl w:ilvl="1">
      <w:start w:val="4"/>
      <w:numFmt w:val="decimal"/>
      <w:lvlText w:val="%1.2.%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1998" w:hanging="72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210" w:hanging="108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422" w:hanging="1440"/>
      </w:pPr>
      <w:rPr>
        <w:rFonts w:hint="default"/>
      </w:rPr>
    </w:lvl>
    <w:lvl w:ilvl="8">
      <w:start w:val="1"/>
      <w:numFmt w:val="decimal"/>
      <w:lvlText w:val="%1.%2.%3.%4.%5.%6.%7.%8.%9"/>
      <w:lvlJc w:val="left"/>
      <w:pPr>
        <w:ind w:left="5208" w:hanging="1800"/>
      </w:pPr>
      <w:rPr>
        <w:rFonts w:hint="default"/>
      </w:rPr>
    </w:lvl>
  </w:abstractNum>
  <w:abstractNum w:abstractNumId="36" w15:restartNumberingAfterBreak="0">
    <w:nsid w:val="60FE3831"/>
    <w:multiLevelType w:val="multilevel"/>
    <w:tmpl w:val="B22833F4"/>
    <w:lvl w:ilvl="0">
      <w:start w:val="3"/>
      <w:numFmt w:val="decimal"/>
      <w:lvlText w:val="%1."/>
      <w:lvlJc w:val="left"/>
      <w:pPr>
        <w:ind w:left="720" w:hanging="360"/>
      </w:pPr>
      <w:rPr>
        <w:rFonts w:hint="default"/>
        <w:b/>
        <w:bCs/>
      </w:rPr>
    </w:lvl>
    <w:lvl w:ilvl="1">
      <w:start w:val="1"/>
      <w:numFmt w:val="decimal"/>
      <w:isLgl/>
      <w:lvlText w:val="%1.%2"/>
      <w:lvlJc w:val="left"/>
      <w:pPr>
        <w:ind w:left="840" w:hanging="480"/>
      </w:pPr>
      <w:rPr>
        <w:rFonts w:hint="default"/>
        <w:b/>
        <w:bCs/>
      </w:rPr>
    </w:lvl>
    <w:lvl w:ilvl="2">
      <w:start w:val="1"/>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614C6D78"/>
    <w:multiLevelType w:val="hybridMultilevel"/>
    <w:tmpl w:val="A7003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DE0675"/>
    <w:multiLevelType w:val="multilevel"/>
    <w:tmpl w:val="016E38CA"/>
    <w:lvl w:ilvl="0">
      <w:start w:val="1"/>
      <w:numFmt w:val="decimal"/>
      <w:lvlText w:val="%1"/>
      <w:lvlJc w:val="left"/>
      <w:pPr>
        <w:ind w:left="360" w:hanging="360"/>
      </w:pPr>
      <w:rPr>
        <w:rFonts w:hint="default"/>
      </w:rPr>
    </w:lvl>
    <w:lvl w:ilvl="1">
      <w:start w:val="4"/>
      <w:numFmt w:val="decimal"/>
      <w:lvlText w:val="%1.2.%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1998" w:hanging="72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210" w:hanging="108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422" w:hanging="1440"/>
      </w:pPr>
      <w:rPr>
        <w:rFonts w:hint="default"/>
      </w:rPr>
    </w:lvl>
    <w:lvl w:ilvl="8">
      <w:start w:val="1"/>
      <w:numFmt w:val="decimal"/>
      <w:lvlText w:val="%1.%2.%3.%4.%5.%6.%7.%8.%9"/>
      <w:lvlJc w:val="left"/>
      <w:pPr>
        <w:ind w:left="5208" w:hanging="1800"/>
      </w:pPr>
      <w:rPr>
        <w:rFonts w:hint="default"/>
      </w:rPr>
    </w:lvl>
  </w:abstractNum>
  <w:num w:numId="1" w16cid:durableId="896550571">
    <w:abstractNumId w:val="18"/>
  </w:num>
  <w:num w:numId="2" w16cid:durableId="1264531035">
    <w:abstractNumId w:val="9"/>
  </w:num>
  <w:num w:numId="3" w16cid:durableId="1846747329">
    <w:abstractNumId w:val="14"/>
  </w:num>
  <w:num w:numId="4" w16cid:durableId="927232736">
    <w:abstractNumId w:val="6"/>
  </w:num>
  <w:num w:numId="5" w16cid:durableId="1550655149">
    <w:abstractNumId w:val="33"/>
  </w:num>
  <w:num w:numId="6" w16cid:durableId="2040933674">
    <w:abstractNumId w:val="2"/>
  </w:num>
  <w:num w:numId="7" w16cid:durableId="1517772438">
    <w:abstractNumId w:val="26"/>
  </w:num>
  <w:num w:numId="8" w16cid:durableId="1661956087">
    <w:abstractNumId w:val="17"/>
  </w:num>
  <w:num w:numId="9" w16cid:durableId="452360128">
    <w:abstractNumId w:val="8"/>
  </w:num>
  <w:num w:numId="10" w16cid:durableId="1316296390">
    <w:abstractNumId w:val="7"/>
  </w:num>
  <w:num w:numId="11" w16cid:durableId="1457141903">
    <w:abstractNumId w:val="34"/>
  </w:num>
  <w:num w:numId="12" w16cid:durableId="1920628106">
    <w:abstractNumId w:val="0"/>
  </w:num>
  <w:num w:numId="13" w16cid:durableId="2037609350">
    <w:abstractNumId w:val="25"/>
  </w:num>
  <w:num w:numId="14" w16cid:durableId="700129267">
    <w:abstractNumId w:val="37"/>
  </w:num>
  <w:num w:numId="15" w16cid:durableId="817117446">
    <w:abstractNumId w:val="31"/>
  </w:num>
  <w:num w:numId="16" w16cid:durableId="1525290496">
    <w:abstractNumId w:val="22"/>
  </w:num>
  <w:num w:numId="17" w16cid:durableId="820193258">
    <w:abstractNumId w:val="1"/>
  </w:num>
  <w:num w:numId="18" w16cid:durableId="1576938555">
    <w:abstractNumId w:val="5"/>
  </w:num>
  <w:num w:numId="19" w16cid:durableId="1556119178">
    <w:abstractNumId w:val="32"/>
  </w:num>
  <w:num w:numId="20" w16cid:durableId="1249076097">
    <w:abstractNumId w:val="35"/>
  </w:num>
  <w:num w:numId="21" w16cid:durableId="517696750">
    <w:abstractNumId w:val="28"/>
  </w:num>
  <w:num w:numId="22" w16cid:durableId="533538183">
    <w:abstractNumId w:val="24"/>
  </w:num>
  <w:num w:numId="23" w16cid:durableId="984551885">
    <w:abstractNumId w:val="4"/>
  </w:num>
  <w:num w:numId="24" w16cid:durableId="460923403">
    <w:abstractNumId w:val="23"/>
  </w:num>
  <w:num w:numId="25" w16cid:durableId="1296594866">
    <w:abstractNumId w:val="29"/>
  </w:num>
  <w:num w:numId="26" w16cid:durableId="1702785167">
    <w:abstractNumId w:val="12"/>
  </w:num>
  <w:num w:numId="27" w16cid:durableId="619916322">
    <w:abstractNumId w:val="3"/>
  </w:num>
  <w:num w:numId="28" w16cid:durableId="179706885">
    <w:abstractNumId w:val="21"/>
  </w:num>
  <w:num w:numId="29" w16cid:durableId="2004307820">
    <w:abstractNumId w:val="15"/>
  </w:num>
  <w:num w:numId="30" w16cid:durableId="1770159235">
    <w:abstractNumId w:val="38"/>
  </w:num>
  <w:num w:numId="31" w16cid:durableId="470945590">
    <w:abstractNumId w:val="30"/>
  </w:num>
  <w:num w:numId="32" w16cid:durableId="1848327519">
    <w:abstractNumId w:val="10"/>
  </w:num>
  <w:num w:numId="33" w16cid:durableId="443230157">
    <w:abstractNumId w:val="13"/>
  </w:num>
  <w:num w:numId="34" w16cid:durableId="746730174">
    <w:abstractNumId w:val="36"/>
  </w:num>
  <w:num w:numId="35" w16cid:durableId="1928659724">
    <w:abstractNumId w:val="11"/>
  </w:num>
  <w:num w:numId="36" w16cid:durableId="1489977669">
    <w:abstractNumId w:val="27"/>
  </w:num>
  <w:num w:numId="37" w16cid:durableId="1079671660">
    <w:abstractNumId w:val="19"/>
  </w:num>
  <w:num w:numId="38" w16cid:durableId="470488065">
    <w:abstractNumId w:val="16"/>
  </w:num>
  <w:num w:numId="39" w16cid:durableId="6301334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4CB"/>
    <w:rsid w:val="00011B23"/>
    <w:rsid w:val="00012B6C"/>
    <w:rsid w:val="0001696F"/>
    <w:rsid w:val="00020AED"/>
    <w:rsid w:val="00031FCC"/>
    <w:rsid w:val="00047B2E"/>
    <w:rsid w:val="00055333"/>
    <w:rsid w:val="00055D0D"/>
    <w:rsid w:val="00080AAA"/>
    <w:rsid w:val="000A52BB"/>
    <w:rsid w:val="000A6F07"/>
    <w:rsid w:val="000D07F8"/>
    <w:rsid w:val="000E6415"/>
    <w:rsid w:val="000F652E"/>
    <w:rsid w:val="001017C0"/>
    <w:rsid w:val="00107072"/>
    <w:rsid w:val="001357BF"/>
    <w:rsid w:val="0014568A"/>
    <w:rsid w:val="001536FA"/>
    <w:rsid w:val="00154815"/>
    <w:rsid w:val="001675E2"/>
    <w:rsid w:val="001727E8"/>
    <w:rsid w:val="001937DA"/>
    <w:rsid w:val="00193C10"/>
    <w:rsid w:val="001B1DF4"/>
    <w:rsid w:val="001C01D1"/>
    <w:rsid w:val="001C04CB"/>
    <w:rsid w:val="001C2AD7"/>
    <w:rsid w:val="001D1C6C"/>
    <w:rsid w:val="001D4588"/>
    <w:rsid w:val="001E23B7"/>
    <w:rsid w:val="00201709"/>
    <w:rsid w:val="00207D72"/>
    <w:rsid w:val="00221620"/>
    <w:rsid w:val="00226596"/>
    <w:rsid w:val="00230D54"/>
    <w:rsid w:val="0025266D"/>
    <w:rsid w:val="002568FA"/>
    <w:rsid w:val="002940A4"/>
    <w:rsid w:val="002A5731"/>
    <w:rsid w:val="002B02CD"/>
    <w:rsid w:val="002B7F83"/>
    <w:rsid w:val="002C4DFA"/>
    <w:rsid w:val="002E1A9E"/>
    <w:rsid w:val="002F3757"/>
    <w:rsid w:val="0030186C"/>
    <w:rsid w:val="00317195"/>
    <w:rsid w:val="0032416E"/>
    <w:rsid w:val="003357E4"/>
    <w:rsid w:val="003372F1"/>
    <w:rsid w:val="003545BF"/>
    <w:rsid w:val="003943F9"/>
    <w:rsid w:val="003A7E09"/>
    <w:rsid w:val="003B42BE"/>
    <w:rsid w:val="003C168D"/>
    <w:rsid w:val="003C3260"/>
    <w:rsid w:val="003E0F1F"/>
    <w:rsid w:val="003E3031"/>
    <w:rsid w:val="003E7011"/>
    <w:rsid w:val="003F269B"/>
    <w:rsid w:val="00416830"/>
    <w:rsid w:val="00420493"/>
    <w:rsid w:val="00422ABC"/>
    <w:rsid w:val="004346DE"/>
    <w:rsid w:val="00466D72"/>
    <w:rsid w:val="004715B7"/>
    <w:rsid w:val="00495EE4"/>
    <w:rsid w:val="004A0194"/>
    <w:rsid w:val="004C07C9"/>
    <w:rsid w:val="004D282D"/>
    <w:rsid w:val="004D4070"/>
    <w:rsid w:val="004E491C"/>
    <w:rsid w:val="004E5D59"/>
    <w:rsid w:val="004E698D"/>
    <w:rsid w:val="004F3998"/>
    <w:rsid w:val="00500D37"/>
    <w:rsid w:val="00526C1A"/>
    <w:rsid w:val="00530E85"/>
    <w:rsid w:val="00536A94"/>
    <w:rsid w:val="00546B23"/>
    <w:rsid w:val="0055180F"/>
    <w:rsid w:val="00554E31"/>
    <w:rsid w:val="005554AF"/>
    <w:rsid w:val="00567B4E"/>
    <w:rsid w:val="00571B1A"/>
    <w:rsid w:val="005A17E5"/>
    <w:rsid w:val="005B6E31"/>
    <w:rsid w:val="005D2393"/>
    <w:rsid w:val="005D5258"/>
    <w:rsid w:val="005D764F"/>
    <w:rsid w:val="005E16F9"/>
    <w:rsid w:val="005E5423"/>
    <w:rsid w:val="005E798B"/>
    <w:rsid w:val="005F338E"/>
    <w:rsid w:val="005F4221"/>
    <w:rsid w:val="005F5FF7"/>
    <w:rsid w:val="00601A14"/>
    <w:rsid w:val="0062422E"/>
    <w:rsid w:val="006405AD"/>
    <w:rsid w:val="0064572C"/>
    <w:rsid w:val="0064762E"/>
    <w:rsid w:val="00656606"/>
    <w:rsid w:val="006604F6"/>
    <w:rsid w:val="0066512C"/>
    <w:rsid w:val="00665983"/>
    <w:rsid w:val="006756C7"/>
    <w:rsid w:val="00680974"/>
    <w:rsid w:val="006A5C01"/>
    <w:rsid w:val="006C0E73"/>
    <w:rsid w:val="006D2FB9"/>
    <w:rsid w:val="006D4017"/>
    <w:rsid w:val="00730A8A"/>
    <w:rsid w:val="00733C21"/>
    <w:rsid w:val="00735909"/>
    <w:rsid w:val="00741AC9"/>
    <w:rsid w:val="0074315E"/>
    <w:rsid w:val="00747949"/>
    <w:rsid w:val="007523DA"/>
    <w:rsid w:val="00755C50"/>
    <w:rsid w:val="0075601D"/>
    <w:rsid w:val="0079461B"/>
    <w:rsid w:val="00795390"/>
    <w:rsid w:val="007A7D68"/>
    <w:rsid w:val="007D4719"/>
    <w:rsid w:val="007E098F"/>
    <w:rsid w:val="007E6F3F"/>
    <w:rsid w:val="007F13C2"/>
    <w:rsid w:val="008010B9"/>
    <w:rsid w:val="00812B52"/>
    <w:rsid w:val="00812B71"/>
    <w:rsid w:val="008220A2"/>
    <w:rsid w:val="00825126"/>
    <w:rsid w:val="00842F94"/>
    <w:rsid w:val="008434EB"/>
    <w:rsid w:val="0084514E"/>
    <w:rsid w:val="00853F1F"/>
    <w:rsid w:val="008546F4"/>
    <w:rsid w:val="008642EE"/>
    <w:rsid w:val="00891586"/>
    <w:rsid w:val="00891D29"/>
    <w:rsid w:val="008A449C"/>
    <w:rsid w:val="008B13EE"/>
    <w:rsid w:val="008B2139"/>
    <w:rsid w:val="008B50F5"/>
    <w:rsid w:val="008C140B"/>
    <w:rsid w:val="008C68E1"/>
    <w:rsid w:val="008D1DD3"/>
    <w:rsid w:val="008D1E89"/>
    <w:rsid w:val="008E0C01"/>
    <w:rsid w:val="008E2983"/>
    <w:rsid w:val="009034BF"/>
    <w:rsid w:val="00932ABC"/>
    <w:rsid w:val="0094352F"/>
    <w:rsid w:val="00945314"/>
    <w:rsid w:val="009635FE"/>
    <w:rsid w:val="0096462F"/>
    <w:rsid w:val="0096660C"/>
    <w:rsid w:val="009B17B8"/>
    <w:rsid w:val="009C682E"/>
    <w:rsid w:val="009D4C06"/>
    <w:rsid w:val="009E4117"/>
    <w:rsid w:val="00A014E6"/>
    <w:rsid w:val="00A1692C"/>
    <w:rsid w:val="00A27160"/>
    <w:rsid w:val="00A33FAC"/>
    <w:rsid w:val="00A53B9A"/>
    <w:rsid w:val="00A6009B"/>
    <w:rsid w:val="00A76DD0"/>
    <w:rsid w:val="00A83730"/>
    <w:rsid w:val="00A91EC7"/>
    <w:rsid w:val="00AC6F00"/>
    <w:rsid w:val="00AE0DAC"/>
    <w:rsid w:val="00AE2359"/>
    <w:rsid w:val="00AF0F57"/>
    <w:rsid w:val="00B17D33"/>
    <w:rsid w:val="00B2093B"/>
    <w:rsid w:val="00B31D33"/>
    <w:rsid w:val="00B44157"/>
    <w:rsid w:val="00B4748C"/>
    <w:rsid w:val="00B52EAA"/>
    <w:rsid w:val="00B53715"/>
    <w:rsid w:val="00B57058"/>
    <w:rsid w:val="00B64481"/>
    <w:rsid w:val="00B66BD3"/>
    <w:rsid w:val="00B924F3"/>
    <w:rsid w:val="00B92579"/>
    <w:rsid w:val="00BA6A4C"/>
    <w:rsid w:val="00BB0362"/>
    <w:rsid w:val="00BC426B"/>
    <w:rsid w:val="00BC4D8A"/>
    <w:rsid w:val="00BE4791"/>
    <w:rsid w:val="00BE4C02"/>
    <w:rsid w:val="00C064F6"/>
    <w:rsid w:val="00C146F4"/>
    <w:rsid w:val="00C23A74"/>
    <w:rsid w:val="00C36939"/>
    <w:rsid w:val="00C44336"/>
    <w:rsid w:val="00C57CD1"/>
    <w:rsid w:val="00C74E0A"/>
    <w:rsid w:val="00C76840"/>
    <w:rsid w:val="00C80D18"/>
    <w:rsid w:val="00C834BD"/>
    <w:rsid w:val="00C853B7"/>
    <w:rsid w:val="00C9016C"/>
    <w:rsid w:val="00C9091C"/>
    <w:rsid w:val="00CD00F2"/>
    <w:rsid w:val="00CD4866"/>
    <w:rsid w:val="00CD692A"/>
    <w:rsid w:val="00CE21B1"/>
    <w:rsid w:val="00CE5985"/>
    <w:rsid w:val="00D0773C"/>
    <w:rsid w:val="00D26943"/>
    <w:rsid w:val="00D3027A"/>
    <w:rsid w:val="00D57CEC"/>
    <w:rsid w:val="00D61518"/>
    <w:rsid w:val="00D73552"/>
    <w:rsid w:val="00D82F1D"/>
    <w:rsid w:val="00D87D5D"/>
    <w:rsid w:val="00DB5761"/>
    <w:rsid w:val="00DC0552"/>
    <w:rsid w:val="00DC4A43"/>
    <w:rsid w:val="00DC5F4A"/>
    <w:rsid w:val="00DC650B"/>
    <w:rsid w:val="00DD5D1B"/>
    <w:rsid w:val="00E410C6"/>
    <w:rsid w:val="00E41912"/>
    <w:rsid w:val="00E65132"/>
    <w:rsid w:val="00E71047"/>
    <w:rsid w:val="00E76FF0"/>
    <w:rsid w:val="00E8727E"/>
    <w:rsid w:val="00E87E7E"/>
    <w:rsid w:val="00E940C7"/>
    <w:rsid w:val="00EA28DE"/>
    <w:rsid w:val="00EA30E0"/>
    <w:rsid w:val="00EA75B6"/>
    <w:rsid w:val="00EB3045"/>
    <w:rsid w:val="00EB5F8F"/>
    <w:rsid w:val="00EC0441"/>
    <w:rsid w:val="00ED708D"/>
    <w:rsid w:val="00EE7DF1"/>
    <w:rsid w:val="00EF0EA5"/>
    <w:rsid w:val="00F02336"/>
    <w:rsid w:val="00F167FE"/>
    <w:rsid w:val="00F2617F"/>
    <w:rsid w:val="00F446D9"/>
    <w:rsid w:val="00F47A63"/>
    <w:rsid w:val="00F52D19"/>
    <w:rsid w:val="00F5303E"/>
    <w:rsid w:val="00F60453"/>
    <w:rsid w:val="00F6350D"/>
    <w:rsid w:val="00F63C19"/>
    <w:rsid w:val="00F66B4A"/>
    <w:rsid w:val="00F80BBA"/>
    <w:rsid w:val="00F8752C"/>
    <w:rsid w:val="00FA3E69"/>
    <w:rsid w:val="00FB2335"/>
    <w:rsid w:val="00FC6EF5"/>
    <w:rsid w:val="00FD189F"/>
    <w:rsid w:val="00FD5F65"/>
    <w:rsid w:val="00FE67F3"/>
    <w:rsid w:val="00FF5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C2E97BB"/>
  <w14:defaultImageDpi w14:val="0"/>
  <w15:docId w15:val="{21980E3B-98E7-4BD2-BA68-D8A51947A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rsid w:val="007F13C2"/>
    <w:pPr>
      <w:keepNext/>
      <w:keepLines/>
      <w:spacing w:before="240" w:after="0"/>
      <w:outlineLvl w:val="0"/>
    </w:pPr>
    <w:rPr>
      <w:rFonts w:ascii="Times New Roman" w:eastAsiaTheme="majorEastAsia" w:hAnsi="Times New Roman"/>
      <w:b/>
      <w:sz w:val="28"/>
      <w:szCs w:val="32"/>
    </w:rPr>
  </w:style>
  <w:style w:type="paragraph" w:styleId="Heading2">
    <w:name w:val="heading 2"/>
    <w:basedOn w:val="Normal"/>
    <w:next w:val="Normal"/>
    <w:link w:val="Heading2Char"/>
    <w:uiPriority w:val="9"/>
    <w:unhideWhenUsed/>
    <w:qFormat/>
    <w:rsid w:val="007F13C2"/>
    <w:pPr>
      <w:keepNext/>
      <w:keepLines/>
      <w:spacing w:before="40" w:after="0"/>
      <w:outlineLvl w:val="1"/>
    </w:pPr>
    <w:rPr>
      <w:rFonts w:ascii="Times New Roman" w:eastAsiaTheme="majorEastAsia" w:hAnsi="Times New Roman"/>
      <w:b/>
      <w:sz w:val="28"/>
      <w:szCs w:val="26"/>
    </w:rPr>
  </w:style>
  <w:style w:type="paragraph" w:styleId="Heading3">
    <w:name w:val="heading 3"/>
    <w:basedOn w:val="Normal"/>
    <w:next w:val="Normal"/>
    <w:link w:val="Heading3Char"/>
    <w:uiPriority w:val="9"/>
    <w:unhideWhenUsed/>
    <w:qFormat/>
    <w:rsid w:val="007F13C2"/>
    <w:pPr>
      <w:keepNext/>
      <w:keepLines/>
      <w:spacing w:after="0"/>
      <w:outlineLvl w:val="2"/>
    </w:pPr>
    <w:rPr>
      <w:rFonts w:ascii="Times New Roman" w:eastAsiaTheme="majorEastAsia" w:hAnsi="Times New Roman"/>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7F13C2"/>
    <w:rPr>
      <w:rFonts w:ascii="Times New Roman" w:eastAsiaTheme="majorEastAsia" w:hAnsi="Times New Roman"/>
      <w:b/>
      <w:sz w:val="28"/>
      <w:szCs w:val="32"/>
      <w:lang w:eastAsia="en-US"/>
    </w:rPr>
  </w:style>
  <w:style w:type="character" w:customStyle="1" w:styleId="Heading2Char">
    <w:name w:val="Heading 2 Char"/>
    <w:basedOn w:val="DefaultParagraphFont"/>
    <w:link w:val="Heading2"/>
    <w:uiPriority w:val="9"/>
    <w:locked/>
    <w:rsid w:val="007F13C2"/>
    <w:rPr>
      <w:rFonts w:ascii="Times New Roman" w:eastAsiaTheme="majorEastAsia" w:hAnsi="Times New Roman"/>
      <w:b/>
      <w:sz w:val="28"/>
      <w:szCs w:val="26"/>
      <w:lang w:eastAsia="en-US"/>
    </w:rPr>
  </w:style>
  <w:style w:type="character" w:customStyle="1" w:styleId="Heading3Char">
    <w:name w:val="Heading 3 Char"/>
    <w:basedOn w:val="DefaultParagraphFont"/>
    <w:link w:val="Heading3"/>
    <w:uiPriority w:val="9"/>
    <w:locked/>
    <w:rsid w:val="007F13C2"/>
    <w:rPr>
      <w:rFonts w:ascii="Times New Roman" w:eastAsiaTheme="majorEastAsia" w:hAnsi="Times New Roman"/>
      <w:b/>
      <w:sz w:val="28"/>
      <w:szCs w:val="24"/>
      <w:lang w:eastAsia="en-US"/>
    </w:rPr>
  </w:style>
  <w:style w:type="paragraph" w:styleId="NormalWeb">
    <w:name w:val="Normal (Web)"/>
    <w:basedOn w:val="Normal"/>
    <w:uiPriority w:val="99"/>
    <w:semiHidden/>
    <w:unhideWhenUsed/>
    <w:rsid w:val="007A7D68"/>
    <w:pPr>
      <w:spacing w:before="100" w:beforeAutospacing="1" w:after="100" w:afterAutospacing="1" w:line="240" w:lineRule="auto"/>
    </w:pPr>
    <w:rPr>
      <w:rFonts w:ascii="Times New Roman" w:hAnsi="Times New Roman"/>
      <w:sz w:val="24"/>
      <w:szCs w:val="24"/>
    </w:rPr>
  </w:style>
  <w:style w:type="character" w:styleId="Strong">
    <w:name w:val="Strong"/>
    <w:basedOn w:val="DefaultParagraphFont"/>
    <w:uiPriority w:val="22"/>
    <w:qFormat/>
    <w:rsid w:val="007A7D68"/>
    <w:rPr>
      <w:rFonts w:cs="Times New Roman"/>
      <w:b/>
      <w:bCs/>
    </w:rPr>
  </w:style>
  <w:style w:type="character" w:styleId="Emphasis">
    <w:name w:val="Emphasis"/>
    <w:basedOn w:val="DefaultParagraphFont"/>
    <w:uiPriority w:val="20"/>
    <w:qFormat/>
    <w:rsid w:val="007A7D68"/>
    <w:rPr>
      <w:rFonts w:cs="Times New Roman"/>
      <w:i/>
      <w:iCs/>
    </w:rPr>
  </w:style>
  <w:style w:type="character" w:styleId="Hyperlink">
    <w:name w:val="Hyperlink"/>
    <w:basedOn w:val="DefaultParagraphFont"/>
    <w:uiPriority w:val="99"/>
    <w:unhideWhenUsed/>
    <w:rsid w:val="007A7D68"/>
    <w:rPr>
      <w:rFonts w:cs="Times New Roman"/>
      <w:color w:val="0000FF"/>
      <w:u w:val="single"/>
    </w:rPr>
  </w:style>
  <w:style w:type="paragraph" w:styleId="Header">
    <w:name w:val="header"/>
    <w:basedOn w:val="Normal"/>
    <w:link w:val="HeaderChar"/>
    <w:uiPriority w:val="99"/>
    <w:unhideWhenUsed/>
    <w:rsid w:val="00853F1F"/>
    <w:pPr>
      <w:tabs>
        <w:tab w:val="center" w:pos="4680"/>
        <w:tab w:val="right" w:pos="9360"/>
      </w:tabs>
      <w:spacing w:after="0" w:line="240" w:lineRule="auto"/>
    </w:pPr>
  </w:style>
  <w:style w:type="character" w:customStyle="1" w:styleId="HeaderChar">
    <w:name w:val="Header Char"/>
    <w:basedOn w:val="DefaultParagraphFont"/>
    <w:link w:val="Header"/>
    <w:uiPriority w:val="99"/>
    <w:locked/>
    <w:rsid w:val="00853F1F"/>
    <w:rPr>
      <w:rFonts w:cs="Times New Roman"/>
    </w:rPr>
  </w:style>
  <w:style w:type="paragraph" w:styleId="Footer">
    <w:name w:val="footer"/>
    <w:basedOn w:val="Normal"/>
    <w:link w:val="FooterChar"/>
    <w:uiPriority w:val="99"/>
    <w:unhideWhenUsed/>
    <w:rsid w:val="00853F1F"/>
    <w:pPr>
      <w:tabs>
        <w:tab w:val="center" w:pos="4680"/>
        <w:tab w:val="right" w:pos="9360"/>
      </w:tabs>
      <w:spacing w:after="0" w:line="240" w:lineRule="auto"/>
    </w:pPr>
  </w:style>
  <w:style w:type="character" w:customStyle="1" w:styleId="FooterChar">
    <w:name w:val="Footer Char"/>
    <w:basedOn w:val="DefaultParagraphFont"/>
    <w:link w:val="Footer"/>
    <w:uiPriority w:val="99"/>
    <w:locked/>
    <w:rsid w:val="00853F1F"/>
    <w:rPr>
      <w:rFonts w:cs="Times New Roman"/>
    </w:rPr>
  </w:style>
  <w:style w:type="paragraph" w:styleId="TOCHeading">
    <w:name w:val="TOC Heading"/>
    <w:basedOn w:val="Heading1"/>
    <w:next w:val="Normal"/>
    <w:uiPriority w:val="39"/>
    <w:unhideWhenUsed/>
    <w:qFormat/>
    <w:rsid w:val="001357BF"/>
    <w:pPr>
      <w:outlineLvl w:val="9"/>
    </w:pPr>
  </w:style>
  <w:style w:type="paragraph" w:styleId="TOC1">
    <w:name w:val="toc 1"/>
    <w:basedOn w:val="Normal"/>
    <w:next w:val="Normal"/>
    <w:autoRedefine/>
    <w:uiPriority w:val="39"/>
    <w:unhideWhenUsed/>
    <w:rsid w:val="001357BF"/>
    <w:pPr>
      <w:spacing w:after="100"/>
    </w:pPr>
  </w:style>
  <w:style w:type="paragraph" w:styleId="TOC2">
    <w:name w:val="toc 2"/>
    <w:basedOn w:val="Normal"/>
    <w:next w:val="Normal"/>
    <w:autoRedefine/>
    <w:uiPriority w:val="39"/>
    <w:unhideWhenUsed/>
    <w:rsid w:val="001D1C6C"/>
    <w:pPr>
      <w:tabs>
        <w:tab w:val="left" w:pos="1100"/>
        <w:tab w:val="right" w:leader="dot" w:pos="9617"/>
      </w:tabs>
      <w:spacing w:after="100"/>
      <w:ind w:left="220" w:firstLine="206"/>
      <w:jc w:val="both"/>
    </w:pPr>
  </w:style>
  <w:style w:type="paragraph" w:styleId="TOC3">
    <w:name w:val="toc 3"/>
    <w:basedOn w:val="Normal"/>
    <w:next w:val="Normal"/>
    <w:autoRedefine/>
    <w:uiPriority w:val="39"/>
    <w:unhideWhenUsed/>
    <w:rsid w:val="0096660C"/>
    <w:pPr>
      <w:tabs>
        <w:tab w:val="left" w:pos="1320"/>
        <w:tab w:val="right" w:leader="dot" w:pos="9607"/>
      </w:tabs>
      <w:spacing w:after="100"/>
      <w:ind w:left="440"/>
      <w:jc w:val="both"/>
    </w:pPr>
  </w:style>
  <w:style w:type="paragraph" w:styleId="ListParagraph">
    <w:name w:val="List Paragraph"/>
    <w:basedOn w:val="Normal"/>
    <w:uiPriority w:val="34"/>
    <w:qFormat/>
    <w:rsid w:val="005B6E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743601">
      <w:bodyDiv w:val="1"/>
      <w:marLeft w:val="0"/>
      <w:marRight w:val="0"/>
      <w:marTop w:val="0"/>
      <w:marBottom w:val="0"/>
      <w:divBdr>
        <w:top w:val="none" w:sz="0" w:space="0" w:color="auto"/>
        <w:left w:val="none" w:sz="0" w:space="0" w:color="auto"/>
        <w:bottom w:val="none" w:sz="0" w:space="0" w:color="auto"/>
        <w:right w:val="none" w:sz="0" w:space="0" w:color="auto"/>
      </w:divBdr>
    </w:div>
    <w:div w:id="1937984098">
      <w:marLeft w:val="0"/>
      <w:marRight w:val="0"/>
      <w:marTop w:val="0"/>
      <w:marBottom w:val="0"/>
      <w:divBdr>
        <w:top w:val="none" w:sz="0" w:space="0" w:color="auto"/>
        <w:left w:val="none" w:sz="0" w:space="0" w:color="auto"/>
        <w:bottom w:val="none" w:sz="0" w:space="0" w:color="auto"/>
        <w:right w:val="none" w:sz="0" w:space="0" w:color="auto"/>
      </w:divBdr>
      <w:divsChild>
        <w:div w:id="1937984097">
          <w:marLeft w:val="0"/>
          <w:marRight w:val="0"/>
          <w:marTop w:val="0"/>
          <w:marBottom w:val="300"/>
          <w:divBdr>
            <w:top w:val="none" w:sz="0" w:space="0" w:color="auto"/>
            <w:left w:val="none" w:sz="0" w:space="0" w:color="auto"/>
            <w:bottom w:val="none" w:sz="0" w:space="0" w:color="auto"/>
            <w:right w:val="none" w:sz="0" w:space="0" w:color="auto"/>
          </w:divBdr>
        </w:div>
        <w:div w:id="1937984099">
          <w:marLeft w:val="0"/>
          <w:marRight w:val="0"/>
          <w:marTop w:val="0"/>
          <w:marBottom w:val="300"/>
          <w:divBdr>
            <w:top w:val="none" w:sz="0" w:space="0" w:color="auto"/>
            <w:left w:val="none" w:sz="0" w:space="0" w:color="auto"/>
            <w:bottom w:val="none" w:sz="0" w:space="0" w:color="auto"/>
            <w:right w:val="none" w:sz="0" w:space="0" w:color="auto"/>
          </w:divBdr>
          <w:divsChild>
            <w:div w:id="1937984096">
              <w:marLeft w:val="0"/>
              <w:marRight w:val="0"/>
              <w:marTop w:val="0"/>
              <w:marBottom w:val="0"/>
              <w:divBdr>
                <w:top w:val="none" w:sz="0" w:space="0" w:color="auto"/>
                <w:left w:val="none" w:sz="0" w:space="0" w:color="auto"/>
                <w:bottom w:val="none" w:sz="0" w:space="0" w:color="auto"/>
                <w:right w:val="none" w:sz="0" w:space="0" w:color="auto"/>
              </w:divBdr>
              <w:divsChild>
                <w:div w:id="1937984102">
                  <w:marLeft w:val="0"/>
                  <w:marRight w:val="0"/>
                  <w:marTop w:val="0"/>
                  <w:marBottom w:val="0"/>
                  <w:divBdr>
                    <w:top w:val="none" w:sz="0" w:space="0" w:color="auto"/>
                    <w:left w:val="none" w:sz="0" w:space="0" w:color="auto"/>
                    <w:bottom w:val="none" w:sz="0" w:space="0" w:color="auto"/>
                    <w:right w:val="none" w:sz="0" w:space="0" w:color="auto"/>
                  </w:divBdr>
                  <w:divsChild>
                    <w:div w:id="1937984095">
                      <w:marLeft w:val="0"/>
                      <w:marRight w:val="0"/>
                      <w:marTop w:val="0"/>
                      <w:marBottom w:val="0"/>
                      <w:divBdr>
                        <w:top w:val="none" w:sz="0" w:space="0" w:color="auto"/>
                        <w:left w:val="none" w:sz="0" w:space="0" w:color="auto"/>
                        <w:bottom w:val="none" w:sz="0" w:space="0" w:color="auto"/>
                        <w:right w:val="none" w:sz="0" w:space="0" w:color="auto"/>
                      </w:divBdr>
                      <w:divsChild>
                        <w:div w:id="1937984103">
                          <w:marLeft w:val="0"/>
                          <w:marRight w:val="0"/>
                          <w:marTop w:val="0"/>
                          <w:marBottom w:val="300"/>
                          <w:divBdr>
                            <w:top w:val="none" w:sz="0" w:space="0" w:color="auto"/>
                            <w:left w:val="none" w:sz="0" w:space="0" w:color="auto"/>
                            <w:bottom w:val="none" w:sz="0" w:space="0" w:color="auto"/>
                            <w:right w:val="none" w:sz="0" w:space="0" w:color="auto"/>
                          </w:divBdr>
                          <w:divsChild>
                            <w:div w:id="193798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7984101">
      <w:marLeft w:val="0"/>
      <w:marRight w:val="0"/>
      <w:marTop w:val="0"/>
      <w:marBottom w:val="0"/>
      <w:divBdr>
        <w:top w:val="none" w:sz="0" w:space="0" w:color="auto"/>
        <w:left w:val="none" w:sz="0" w:space="0" w:color="auto"/>
        <w:bottom w:val="none" w:sz="0" w:space="0" w:color="auto"/>
        <w:right w:val="none" w:sz="0" w:space="0" w:color="auto"/>
      </w:divBdr>
    </w:div>
    <w:div w:id="1937984104">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07E367-C7BD-4A82-AD5F-5424BB156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16</Pages>
  <Words>5311</Words>
  <Characters>35111</Characters>
  <Application>Microsoft Office Word</Application>
  <DocSecurity>0</DocSecurity>
  <Lines>292</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M.TT</dc:creator>
  <cp:keywords/>
  <dc:description/>
  <cp:lastModifiedBy>deena palanchoke</cp:lastModifiedBy>
  <cp:revision>194</cp:revision>
  <dcterms:created xsi:type="dcterms:W3CDTF">2023-08-20T06:35:00Z</dcterms:created>
  <dcterms:modified xsi:type="dcterms:W3CDTF">2023-08-21T07:25:00Z</dcterms:modified>
</cp:coreProperties>
</file>