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0680D" w14:textId="5403A5B7" w:rsidR="000B656F" w:rsidRPr="00876921" w:rsidRDefault="000B656F" w:rsidP="000B656F">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1F847A5" wp14:editId="7CE13B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2026F">
        <w:rPr>
          <w:rFonts w:ascii="Arial" w:eastAsia="Times New Roman" w:hAnsi="Arial" w:cs="Arial"/>
          <w:b/>
          <w:bCs/>
          <w:sz w:val="28"/>
          <w:szCs w:val="28"/>
          <w:lang w:eastAsia="en-GB"/>
        </w:rPr>
        <w:t>23988as</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CD4632F" w14:textId="77777777" w:rsidR="000B656F" w:rsidRPr="00876921" w:rsidRDefault="000B656F" w:rsidP="000B656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B656F" w:rsidRPr="00876921" w14:paraId="4298EBFD" w14:textId="77777777" w:rsidTr="00664440">
        <w:tc>
          <w:tcPr>
            <w:tcW w:w="9922" w:type="dxa"/>
            <w:shd w:val="clear" w:color="auto" w:fill="C0C0C0"/>
          </w:tcPr>
          <w:p w14:paraId="6AEDDF35" w14:textId="77777777" w:rsidR="000B656F" w:rsidRPr="00876921" w:rsidRDefault="000B656F" w:rsidP="00664440">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7FA22CF0" w14:textId="77777777" w:rsidR="000B656F" w:rsidRPr="00876921" w:rsidRDefault="000B656F" w:rsidP="000B656F">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3"/>
        <w:gridCol w:w="2275"/>
        <w:gridCol w:w="2275"/>
      </w:tblGrid>
      <w:tr w:rsidR="000B656F" w:rsidRPr="00876921" w14:paraId="73676370" w14:textId="77777777" w:rsidTr="000B656F">
        <w:tc>
          <w:tcPr>
            <w:tcW w:w="2098" w:type="dxa"/>
            <w:shd w:val="clear" w:color="auto" w:fill="auto"/>
          </w:tcPr>
          <w:p w14:paraId="0BA2DFD6"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303" w:type="dxa"/>
          </w:tcPr>
          <w:p w14:paraId="0271D6E8"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Taylor Clapham</w:t>
            </w:r>
          </w:p>
        </w:tc>
        <w:tc>
          <w:tcPr>
            <w:tcW w:w="2275" w:type="dxa"/>
            <w:shd w:val="clear" w:color="auto" w:fill="D9D9D9" w:themeFill="background1" w:themeFillShade="D9"/>
          </w:tcPr>
          <w:p w14:paraId="644E44AA"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5" w:type="dxa"/>
          </w:tcPr>
          <w:p w14:paraId="29AD2B6B"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2319746</w:t>
            </w:r>
          </w:p>
        </w:tc>
      </w:tr>
      <w:tr w:rsidR="000B656F" w:rsidRPr="00876921" w14:paraId="312221FB" w14:textId="77777777" w:rsidTr="000B656F">
        <w:tc>
          <w:tcPr>
            <w:tcW w:w="2098" w:type="dxa"/>
            <w:shd w:val="clear" w:color="auto" w:fill="auto"/>
          </w:tcPr>
          <w:p w14:paraId="605EA909"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53" w:type="dxa"/>
            <w:gridSpan w:val="3"/>
          </w:tcPr>
          <w:p w14:paraId="2A87A719"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0B656F" w:rsidRPr="00876921" w14:paraId="4663035B" w14:textId="77777777" w:rsidTr="000B656F">
        <w:tc>
          <w:tcPr>
            <w:tcW w:w="2098" w:type="dxa"/>
            <w:shd w:val="clear" w:color="auto" w:fill="auto"/>
          </w:tcPr>
          <w:p w14:paraId="057E60FF"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53" w:type="dxa"/>
            <w:gridSpan w:val="3"/>
            <w:shd w:val="clear" w:color="auto" w:fill="auto"/>
          </w:tcPr>
          <w:p w14:paraId="5C5BBCB3"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0B656F" w:rsidRPr="00876921" w14:paraId="528FF96E" w14:textId="77777777" w:rsidTr="000B656F">
        <w:tc>
          <w:tcPr>
            <w:tcW w:w="2098" w:type="dxa"/>
            <w:shd w:val="clear" w:color="auto" w:fill="auto"/>
          </w:tcPr>
          <w:p w14:paraId="5F849C37"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303" w:type="dxa"/>
          </w:tcPr>
          <w:p w14:paraId="7D69C1DE"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5" w:type="dxa"/>
            <w:shd w:val="clear" w:color="auto" w:fill="D9D9D9" w:themeFill="background1" w:themeFillShade="D9"/>
          </w:tcPr>
          <w:p w14:paraId="5D3F6452" w14:textId="77777777" w:rsidR="000B656F" w:rsidRPr="00876921" w:rsidRDefault="000B656F" w:rsidP="00664440">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5" w:type="dxa"/>
          </w:tcPr>
          <w:p w14:paraId="63F89599"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0B656F" w:rsidRPr="00876921" w14:paraId="135AC4E7" w14:textId="77777777" w:rsidTr="000B656F">
        <w:tc>
          <w:tcPr>
            <w:tcW w:w="2098" w:type="dxa"/>
            <w:shd w:val="clear" w:color="auto" w:fill="auto"/>
          </w:tcPr>
          <w:p w14:paraId="7860CB8C"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303" w:type="dxa"/>
          </w:tcPr>
          <w:p w14:paraId="346DAADA" w14:textId="77777777" w:rsidR="000B656F" w:rsidRPr="00876921" w:rsidRDefault="000B656F" w:rsidP="00664440">
            <w:pPr>
              <w:spacing w:before="120" w:after="120" w:line="240" w:lineRule="auto"/>
              <w:jc w:val="both"/>
              <w:rPr>
                <w:rFonts w:ascii="Arial" w:eastAsia="Times New Roman" w:hAnsi="Arial" w:cs="Arial"/>
                <w:b/>
                <w:lang w:eastAsia="en-GB"/>
              </w:rPr>
            </w:pPr>
          </w:p>
        </w:tc>
        <w:tc>
          <w:tcPr>
            <w:tcW w:w="2275" w:type="dxa"/>
            <w:shd w:val="clear" w:color="auto" w:fill="D9D9D9" w:themeFill="background1" w:themeFillShade="D9"/>
          </w:tcPr>
          <w:p w14:paraId="6E4043BC"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5" w:type="dxa"/>
          </w:tcPr>
          <w:p w14:paraId="32737BA2" w14:textId="77777777" w:rsidR="000B656F" w:rsidRPr="00876921" w:rsidRDefault="000B656F" w:rsidP="00664440">
            <w:pPr>
              <w:spacing w:before="120" w:after="120" w:line="240" w:lineRule="auto"/>
              <w:jc w:val="both"/>
              <w:rPr>
                <w:rFonts w:ascii="Arial" w:eastAsia="Times New Roman" w:hAnsi="Arial" w:cs="Arial"/>
                <w:b/>
                <w:lang w:eastAsia="en-GB"/>
              </w:rPr>
            </w:pPr>
          </w:p>
        </w:tc>
      </w:tr>
      <w:tr w:rsidR="000B656F" w:rsidRPr="00876921" w14:paraId="5ABC9557" w14:textId="77777777" w:rsidTr="000B656F">
        <w:tc>
          <w:tcPr>
            <w:tcW w:w="2098" w:type="dxa"/>
            <w:shd w:val="clear" w:color="auto" w:fill="auto"/>
          </w:tcPr>
          <w:p w14:paraId="1C409D99"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303" w:type="dxa"/>
          </w:tcPr>
          <w:p w14:paraId="75EABB97"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75" w:type="dxa"/>
            <w:shd w:val="clear" w:color="auto" w:fill="auto"/>
          </w:tcPr>
          <w:p w14:paraId="492B74DC"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5" w:type="dxa"/>
          </w:tcPr>
          <w:p w14:paraId="232EF012" w14:textId="77777777" w:rsidR="000B656F" w:rsidRPr="00876921" w:rsidRDefault="000B656F" w:rsidP="0066444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0B656F" w:rsidRPr="00876921" w14:paraId="4B404C6C" w14:textId="77777777" w:rsidTr="000B656F">
        <w:tc>
          <w:tcPr>
            <w:tcW w:w="2098" w:type="dxa"/>
            <w:shd w:val="clear" w:color="auto" w:fill="auto"/>
          </w:tcPr>
          <w:p w14:paraId="0FBA0A4B" w14:textId="77777777" w:rsidR="000B656F" w:rsidRPr="00F403AF" w:rsidRDefault="000B656F" w:rsidP="00664440">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303" w:type="dxa"/>
            <w:shd w:val="clear" w:color="auto" w:fill="auto"/>
          </w:tcPr>
          <w:p w14:paraId="6F2990FF" w14:textId="77777777" w:rsidR="000B656F" w:rsidRPr="00F403AF" w:rsidRDefault="000B656F" w:rsidP="00664440">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27</w:t>
            </w:r>
            <w:r w:rsidRPr="009648DA">
              <w:rPr>
                <w:rFonts w:asciiTheme="minorBidi" w:eastAsia="Times New Roman" w:hAnsiTheme="minorBidi"/>
                <w:b/>
                <w:bCs/>
                <w:color w:val="000000" w:themeColor="text1"/>
                <w:vertAlign w:val="superscript"/>
                <w:lang w:eastAsia="en-GB"/>
              </w:rPr>
              <w:t>th</w:t>
            </w:r>
            <w:r>
              <w:rPr>
                <w:rFonts w:asciiTheme="minorBidi" w:eastAsia="Times New Roman" w:hAnsiTheme="minorBidi"/>
                <w:b/>
                <w:bCs/>
                <w:color w:val="000000" w:themeColor="text1"/>
                <w:lang w:eastAsia="en-GB"/>
              </w:rPr>
              <w:t xml:space="preserve"> January 2025</w:t>
            </w:r>
          </w:p>
        </w:tc>
        <w:tc>
          <w:tcPr>
            <w:tcW w:w="2275" w:type="dxa"/>
            <w:shd w:val="clear" w:color="auto" w:fill="auto"/>
          </w:tcPr>
          <w:p w14:paraId="28AC77DB" w14:textId="77777777" w:rsidR="000B656F" w:rsidRPr="00876921" w:rsidRDefault="000B656F" w:rsidP="0066444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5" w:type="dxa"/>
          </w:tcPr>
          <w:p w14:paraId="7B7ED1B7" w14:textId="77777777" w:rsidR="000B656F" w:rsidRPr="00876921" w:rsidRDefault="000B656F" w:rsidP="00664440">
            <w:pPr>
              <w:spacing w:before="120" w:after="120" w:line="240" w:lineRule="auto"/>
              <w:rPr>
                <w:rFonts w:ascii="Arial" w:eastAsia="Times New Roman" w:hAnsi="Arial" w:cs="Arial"/>
                <w:b/>
                <w:bCs/>
                <w:lang w:eastAsia="en-GB"/>
              </w:rPr>
            </w:pPr>
            <w:r>
              <w:rPr>
                <w:rFonts w:ascii="Arial" w:eastAsia="Times New Roman" w:hAnsi="Arial" w:cs="Arial"/>
                <w:b/>
                <w:bCs/>
                <w:lang w:eastAsia="en-GB"/>
              </w:rPr>
              <w:t>17</w:t>
            </w:r>
            <w:r w:rsidRPr="009648DA">
              <w:rPr>
                <w:rFonts w:ascii="Arial" w:eastAsia="Times New Roman" w:hAnsi="Arial" w:cs="Arial"/>
                <w:b/>
                <w:bCs/>
                <w:vertAlign w:val="superscript"/>
                <w:lang w:eastAsia="en-GB"/>
              </w:rPr>
              <w:t>th</w:t>
            </w:r>
            <w:r>
              <w:rPr>
                <w:rFonts w:ascii="Arial" w:eastAsia="Times New Roman" w:hAnsi="Arial" w:cs="Arial"/>
                <w:b/>
                <w:bCs/>
                <w:lang w:eastAsia="en-GB"/>
              </w:rPr>
              <w:t xml:space="preserve"> February 2025</w:t>
            </w:r>
          </w:p>
        </w:tc>
      </w:tr>
    </w:tbl>
    <w:p w14:paraId="2F068526" w14:textId="77777777" w:rsidR="00113337" w:rsidRDefault="00113337" w:rsidP="000B656F">
      <w:pPr>
        <w:spacing w:after="0" w:line="276" w:lineRule="auto"/>
        <w:ind w:left="567" w:right="531"/>
        <w:rPr>
          <w:rFonts w:ascii="Arial" w:eastAsia="Times New Roman" w:hAnsi="Arial" w:cs="Arial"/>
          <w:b/>
          <w:bCs/>
          <w:lang w:eastAsia="en-GB"/>
        </w:rPr>
      </w:pPr>
    </w:p>
    <w:p w14:paraId="25E25980" w14:textId="77777777" w:rsidR="00113337" w:rsidRDefault="00113337" w:rsidP="000B656F">
      <w:pPr>
        <w:spacing w:after="0" w:line="276" w:lineRule="auto"/>
        <w:ind w:left="567" w:right="531"/>
        <w:rPr>
          <w:rFonts w:ascii="Arial" w:eastAsia="Times New Roman" w:hAnsi="Arial" w:cs="Arial"/>
          <w:b/>
          <w:bCs/>
          <w:lang w:eastAsia="en-GB"/>
        </w:rPr>
      </w:pPr>
    </w:p>
    <w:p w14:paraId="3AA37BF8" w14:textId="77777777" w:rsidR="000B656F" w:rsidRDefault="000B656F" w:rsidP="000B656F">
      <w:pPr>
        <w:spacing w:after="0" w:line="276" w:lineRule="auto"/>
        <w:ind w:left="567" w:right="531"/>
        <w:rPr>
          <w:rFonts w:ascii="Arial" w:eastAsia="Times New Roman" w:hAnsi="Arial" w:cs="Arial"/>
          <w:lang w:eastAsia="en-GB"/>
        </w:rPr>
      </w:pPr>
    </w:p>
    <w:p w14:paraId="56D32C92" w14:textId="77777777" w:rsidR="00F53BF9" w:rsidRDefault="00F53BF9" w:rsidP="000B656F">
      <w:pPr>
        <w:spacing w:after="0" w:line="276" w:lineRule="auto"/>
        <w:ind w:left="567" w:right="531"/>
        <w:rPr>
          <w:rFonts w:ascii="Arial" w:eastAsia="Times New Roman" w:hAnsi="Arial" w:cs="Arial"/>
          <w:lang w:eastAsia="en-GB"/>
        </w:rPr>
      </w:pPr>
    </w:p>
    <w:p w14:paraId="6B9592D2" w14:textId="77777777" w:rsidR="00CA73D7" w:rsidRDefault="00CA73D7" w:rsidP="00CA73D7">
      <w:pPr>
        <w:rPr>
          <w:b/>
          <w:bCs/>
        </w:rPr>
      </w:pPr>
      <w:r>
        <w:rPr>
          <w:b/>
          <w:bCs/>
        </w:rPr>
        <w:t>Essay Question One</w:t>
      </w:r>
    </w:p>
    <w:p w14:paraId="642E6B30" w14:textId="77777777" w:rsidR="00CA73D7" w:rsidRPr="00535B05" w:rsidRDefault="00CA73D7" w:rsidP="00CA73D7">
      <w:pPr>
        <w:rPr>
          <w:b/>
          <w:bCs/>
        </w:rPr>
      </w:pPr>
      <w:r w:rsidRPr="00535B05">
        <w:rPr>
          <w:b/>
          <w:bCs/>
        </w:rPr>
        <w:t>Maintaining Professional Standards</w:t>
      </w:r>
    </w:p>
    <w:p w14:paraId="63D2F5AA" w14:textId="77777777" w:rsidR="00CA73D7" w:rsidRDefault="00CA73D7" w:rsidP="00CA73D7">
      <w:pPr>
        <w:rPr>
          <w:b/>
          <w:bCs/>
        </w:rPr>
      </w:pPr>
      <w:r w:rsidRPr="00535B05">
        <w:rPr>
          <w:b/>
          <w:bCs/>
        </w:rPr>
        <w:t>Critically examine policing policies and procedures (e.g. PACE, Code of Ethics, NDM, use of BWV) aimed at reducing misconduct and malpractice by police officers. How might these increase public confidence in polic</w:t>
      </w:r>
      <w:r>
        <w:rPr>
          <w:b/>
          <w:bCs/>
        </w:rPr>
        <w:t>e?</w:t>
      </w:r>
    </w:p>
    <w:p w14:paraId="773AD163" w14:textId="00D4C088" w:rsidR="006467F1" w:rsidRDefault="006467F1" w:rsidP="00CA73D7">
      <w:pPr>
        <w:rPr>
          <w:b/>
          <w:bCs/>
        </w:rPr>
      </w:pPr>
      <w:r>
        <w:rPr>
          <w:b/>
          <w:bCs/>
        </w:rPr>
        <w:t xml:space="preserve">Word count: 1083 words </w:t>
      </w:r>
    </w:p>
    <w:p w14:paraId="152CC901" w14:textId="348EBBFE" w:rsidR="00CA73D7" w:rsidRPr="00A34C7F" w:rsidRDefault="00CA73D7" w:rsidP="00CA73D7">
      <w:pPr>
        <w:tabs>
          <w:tab w:val="left" w:pos="284"/>
        </w:tabs>
      </w:pPr>
      <w:r w:rsidRPr="00A34C7F">
        <w:t xml:space="preserve">Policies and procedures within the police are critical to effective day to day operations within the service. </w:t>
      </w:r>
      <w:r>
        <w:t>T</w:t>
      </w:r>
      <w:r w:rsidRPr="00A34C7F">
        <w:t>hese area</w:t>
      </w:r>
      <w:r>
        <w:t>s</w:t>
      </w:r>
      <w:r w:rsidRPr="00A34C7F">
        <w:t xml:space="preserve"> shape public confidence. Misconduct reduces trust and compromise the mandatory policies and procedures of policing, whilst promoting the importance of them. </w:t>
      </w:r>
    </w:p>
    <w:p w14:paraId="7227E5CE" w14:textId="2345F791" w:rsidR="00CA73D7" w:rsidRPr="00A34C7F" w:rsidRDefault="00CA73D7" w:rsidP="00CA73D7">
      <w:pPr>
        <w:tabs>
          <w:tab w:val="left" w:pos="284"/>
        </w:tabs>
      </w:pPr>
      <w:r w:rsidRPr="00A34C7F">
        <w:t>The Police and Criminal Evidence Act (PACE), Code of Ethics, National Decision Model (NDM), and Body-Worn Video (BWV) technology have been introduced into the service to address issues of misconduct and promote transparency and evidence of events. This essay evalua</w:t>
      </w:r>
      <w:r w:rsidR="00827495">
        <w:t>tes</w:t>
      </w:r>
      <w:r w:rsidRPr="00A34C7F">
        <w:t xml:space="preserve"> their strengths and </w:t>
      </w:r>
      <w:r w:rsidR="006467F1" w:rsidRPr="00A34C7F">
        <w:t>weaknesses and</w:t>
      </w:r>
      <w:r w:rsidRPr="00A34C7F">
        <w:t xml:space="preserve"> explores their role in improving public confidence in policing.</w:t>
      </w:r>
    </w:p>
    <w:p w14:paraId="6BA4B696" w14:textId="77777777" w:rsidR="00CA73D7" w:rsidRPr="00AE3026" w:rsidRDefault="00CA73D7" w:rsidP="00CA73D7">
      <w:r w:rsidRPr="00AE3026">
        <w:lastRenderedPageBreak/>
        <w:t>PACE</w:t>
      </w:r>
      <w:r w:rsidRPr="0034750C">
        <w:t xml:space="preserve"> 1984</w:t>
      </w:r>
      <w:r w:rsidRPr="00AE3026">
        <w:t xml:space="preserve"> </w:t>
      </w:r>
      <w:r w:rsidRPr="0034750C">
        <w:t>separates</w:t>
      </w:r>
      <w:r w:rsidRPr="00AE3026">
        <w:t xml:space="preserve"> police powers with individuals' rights, </w:t>
      </w:r>
      <w:r w:rsidRPr="0034750C">
        <w:t>it provides</w:t>
      </w:r>
      <w:r w:rsidRPr="00AE3026">
        <w:t xml:space="preserve"> a framework for transparent and accountable policing practices. It </w:t>
      </w:r>
      <w:r w:rsidRPr="0034750C">
        <w:t xml:space="preserve">sets out </w:t>
      </w:r>
      <w:r w:rsidRPr="00AE3026">
        <w:t xml:space="preserve">key procedures </w:t>
      </w:r>
      <w:r w:rsidRPr="0034750C">
        <w:t xml:space="preserve">within the documents which include </w:t>
      </w:r>
      <w:r w:rsidRPr="00AE3026">
        <w:t>search</w:t>
      </w:r>
      <w:r w:rsidRPr="0034750C">
        <w:t>ing</w:t>
      </w:r>
      <w:r w:rsidRPr="00AE3026">
        <w:t>, arrest, detention, and interviews.</w:t>
      </w:r>
    </w:p>
    <w:p w14:paraId="734D5283" w14:textId="77777777" w:rsidR="006467F1" w:rsidRDefault="006467F1" w:rsidP="006467F1">
      <w:pPr>
        <w:rPr>
          <w:b/>
          <w:bCs/>
        </w:rPr>
      </w:pPr>
    </w:p>
    <w:p w14:paraId="22A14461" w14:textId="36BC5D20" w:rsidR="00CA73D7" w:rsidRPr="00C11C39" w:rsidRDefault="00CA73D7" w:rsidP="006467F1">
      <w:r w:rsidRPr="00C11C39">
        <w:t>Within PACE officers are guided by mandatory procedures which are directed towards persons in custody. Detailed documentation of police actions will be recorded whilst any persons is being held in custody, detainees and legal representatives are entitled to documentation relating to them which include but not limited to such as custody records upon arrest and whilst detained. Production of the custody record reduces the opportunities for any allegations being made and ensuring fair treatment of the detainee whilst in custody.</w:t>
      </w:r>
    </w:p>
    <w:p w14:paraId="1FC90E50" w14:textId="48C912BD" w:rsidR="00CA73D7" w:rsidRPr="00C11C39" w:rsidRDefault="00CA73D7" w:rsidP="006467F1">
      <w:r w:rsidRPr="00C11C39">
        <w:t>Evidence obtained in breach of PACE procedures may be inadmissible in court. This could result in the non-conviction of the defendant.</w:t>
      </w:r>
    </w:p>
    <w:p w14:paraId="7F36DB11" w14:textId="3B66426B" w:rsidR="00CA73D7" w:rsidRPr="00C11C39" w:rsidRDefault="00CA73D7" w:rsidP="006467F1">
      <w:r w:rsidRPr="00C11C39">
        <w:t>The act has a structured training environment, this provided officers with knowledge of legal boundaries and practices that they need to use whilst on duty.</w:t>
      </w:r>
    </w:p>
    <w:p w14:paraId="767F0A5E" w14:textId="0A14CC4C" w:rsidR="00CA73D7" w:rsidRPr="00AE3026" w:rsidRDefault="00CA73D7" w:rsidP="00CA73D7"/>
    <w:p w14:paraId="02BDA745" w14:textId="217D1353" w:rsidR="00CA73D7" w:rsidRPr="00AE3026" w:rsidRDefault="00CA73D7" w:rsidP="006467F1">
      <w:r>
        <w:t>Data available demonstrates and</w:t>
      </w:r>
      <w:r w:rsidRPr="00AE3026">
        <w:t xml:space="preserve"> remains a concern</w:t>
      </w:r>
      <w:r>
        <w:t xml:space="preserve"> where powers are being misused. There are</w:t>
      </w:r>
      <w:r w:rsidRPr="00AE3026">
        <w:t xml:space="preserve"> reports of inappropriate stop</w:t>
      </w:r>
      <w:r>
        <w:t xml:space="preserve"> </w:t>
      </w:r>
      <w:r w:rsidRPr="00AE3026">
        <w:t>and</w:t>
      </w:r>
      <w:r>
        <w:t xml:space="preserve"> </w:t>
      </w:r>
      <w:r w:rsidRPr="00AE3026">
        <w:t>search practices disproportionately targeting ethnic minorities</w:t>
      </w:r>
      <w:r>
        <w:t xml:space="preserve"> which in turn </w:t>
      </w:r>
      <w:r w:rsidRPr="00AE3026">
        <w:t>undermin</w:t>
      </w:r>
      <w:r>
        <w:t xml:space="preserve">es the </w:t>
      </w:r>
      <w:r w:rsidRPr="00AE3026">
        <w:t>credibility</w:t>
      </w:r>
      <w:r>
        <w:t xml:space="preserve"> of PACE.</w:t>
      </w:r>
    </w:p>
    <w:p w14:paraId="40C6C3EE" w14:textId="702144D9" w:rsidR="00CA73D7" w:rsidRPr="00AE3026" w:rsidRDefault="00CA73D7" w:rsidP="006467F1">
      <w:r w:rsidRPr="00AE3026">
        <w:t xml:space="preserve"> </w:t>
      </w:r>
      <w:r>
        <w:t>S</w:t>
      </w:r>
      <w:r w:rsidRPr="00AE3026">
        <w:t>ufficient staffing and resources</w:t>
      </w:r>
      <w:r>
        <w:t xml:space="preserve"> should be a main priority and at the forefront of planning but </w:t>
      </w:r>
      <w:r w:rsidRPr="00AE3026">
        <w:t xml:space="preserve">often </w:t>
      </w:r>
      <w:r>
        <w:t xml:space="preserve">there are </w:t>
      </w:r>
      <w:r w:rsidRPr="00AE3026">
        <w:t>inadequate</w:t>
      </w:r>
      <w:r>
        <w:t xml:space="preserve"> numbers of officers to deal with incidents</w:t>
      </w:r>
      <w:r w:rsidRPr="00AE3026">
        <w:t>.</w:t>
      </w:r>
    </w:p>
    <w:p w14:paraId="24574E57" w14:textId="77777777" w:rsidR="00CA73D7" w:rsidRPr="00AE3026" w:rsidRDefault="00CA73D7" w:rsidP="00CA73D7">
      <w:pPr>
        <w:rPr>
          <w:color w:val="FF0000"/>
        </w:rPr>
      </w:pPr>
      <w:r w:rsidRPr="00AE3026">
        <w:t xml:space="preserve">PACE plays a crucial role in safeguarding individuals’ rights, but its effectiveness depends on </w:t>
      </w:r>
      <w:r w:rsidRPr="0007127F">
        <w:t>structured</w:t>
      </w:r>
      <w:r w:rsidRPr="00AE3026">
        <w:t xml:space="preserve"> enforcement and periodic updates to address emerging challenges in policing.</w:t>
      </w:r>
    </w:p>
    <w:p w14:paraId="7A22FE8A" w14:textId="614D6820" w:rsidR="00CA73D7" w:rsidRPr="00FB733B" w:rsidRDefault="00CA73D7" w:rsidP="00CA73D7"/>
    <w:p w14:paraId="2B8BF576" w14:textId="77777777" w:rsidR="00CA73D7" w:rsidRPr="00FB733B" w:rsidRDefault="00CA73D7" w:rsidP="00CA73D7">
      <w:r w:rsidRPr="00FB733B">
        <w:t>The Code of Practice was introduced in 2014 by the College of Policing. It outlines principles such as integrity, fairness, and respect to others and is the professional framework for officers to comply with in relation to their personal and professional conduct.</w:t>
      </w:r>
    </w:p>
    <w:p w14:paraId="33547720" w14:textId="3FBE842D" w:rsidR="00CA73D7" w:rsidRPr="00FB733B" w:rsidRDefault="00CA73D7" w:rsidP="00CA73D7"/>
    <w:p w14:paraId="4A6AD680" w14:textId="578E36C6" w:rsidR="00CA73D7" w:rsidRPr="00FB733B" w:rsidRDefault="00CA73D7" w:rsidP="006467F1">
      <w:r w:rsidRPr="00FB733B">
        <w:t>It provides a clear standard and understanding for evaluating officer conduct and promoting accountability of their actions.</w:t>
      </w:r>
    </w:p>
    <w:p w14:paraId="7FB3B819" w14:textId="2EC34947" w:rsidR="00CA73D7" w:rsidRPr="00FB733B" w:rsidRDefault="00CA73D7" w:rsidP="006467F1">
      <w:r w:rsidRPr="00FB733B">
        <w:t>The officer agrees to present a positive and transparent image whilst dealing with members of public. This will improve the public trust and perception towards the service.</w:t>
      </w:r>
    </w:p>
    <w:p w14:paraId="2CAAA1DA" w14:textId="618FD3A6" w:rsidR="00CA73D7" w:rsidRPr="00FB733B" w:rsidRDefault="00CA73D7" w:rsidP="006467F1">
      <w:r w:rsidRPr="00FB733B">
        <w:t xml:space="preserve"> The Code assists officers in simple and complex incidents whilst promoting consistency at the time they are conducting their role.</w:t>
      </w:r>
    </w:p>
    <w:p w14:paraId="290FEAF5" w14:textId="51CD47E3" w:rsidR="00CA73D7" w:rsidRPr="00846969" w:rsidRDefault="00CA73D7" w:rsidP="00CA73D7"/>
    <w:p w14:paraId="62B58CC6" w14:textId="2A4D9B1A" w:rsidR="00CA73D7" w:rsidRPr="00846969" w:rsidRDefault="00CA73D7" w:rsidP="006467F1">
      <w:r w:rsidRPr="00846969">
        <w:t>There is nothing in force to deal with situations where this area is not followed. If there was a process this would gain more confidence with the public.</w:t>
      </w:r>
    </w:p>
    <w:p w14:paraId="71CFFCFF" w14:textId="77777777" w:rsidR="006467F1" w:rsidRDefault="006467F1" w:rsidP="006467F1">
      <w:r w:rsidRPr="006467F1">
        <w:t>Cultural resistance may cause some attitude</w:t>
      </w:r>
      <w:r w:rsidR="00CA73D7" w:rsidRPr="00846969">
        <w:t xml:space="preserve"> within some departments </w:t>
      </w:r>
      <w:r>
        <w:t xml:space="preserve">which </w:t>
      </w:r>
      <w:r w:rsidR="00CA73D7" w:rsidRPr="00846969">
        <w:t>may hinder the adoption of new or ongoing ethical practices.</w:t>
      </w:r>
    </w:p>
    <w:p w14:paraId="46AECF53" w14:textId="7AB7A208" w:rsidR="00CA73D7" w:rsidRPr="00846969" w:rsidRDefault="00CA73D7" w:rsidP="006467F1">
      <w:r w:rsidRPr="00846969">
        <w:lastRenderedPageBreak/>
        <w:t>Public awareness of the Code is mandatory and the lack of this will reduce its potential to enhance confidence in policing.</w:t>
      </w:r>
    </w:p>
    <w:p w14:paraId="3B547965" w14:textId="77777777" w:rsidR="00CA73D7" w:rsidRPr="00846969" w:rsidRDefault="00CA73D7" w:rsidP="00CA73D7">
      <w:r w:rsidRPr="00846969">
        <w:t>While the Code of Ethics is a valuable initiative, it requires robust enforcement mechanisms and cultural transformation within police organi</w:t>
      </w:r>
      <w:r>
        <w:t>s</w:t>
      </w:r>
      <w:r w:rsidRPr="00846969">
        <w:t>ations to fulfil its potential.</w:t>
      </w:r>
    </w:p>
    <w:p w14:paraId="029D9572" w14:textId="77777777" w:rsidR="006467F1" w:rsidRDefault="006467F1" w:rsidP="00CA73D7">
      <w:pPr>
        <w:rPr>
          <w:b/>
          <w:bCs/>
        </w:rPr>
      </w:pPr>
    </w:p>
    <w:p w14:paraId="55C05B8D" w14:textId="5329B8A6" w:rsidR="00CA73D7" w:rsidRPr="00FF62BF" w:rsidRDefault="00CA73D7" w:rsidP="00CA73D7">
      <w:r w:rsidRPr="00FF62BF">
        <w:t>The NDM is a structured decision-making framework which is used every day within the police service. It allows the officers and service to deal with situations proportionality and be held accountable for any final decision which has been made. The NDM guides officers in assessing risks, considering legal frameworks, and evaluating options and contingencies.</w:t>
      </w:r>
    </w:p>
    <w:p w14:paraId="1EFCFE84" w14:textId="77777777" w:rsidR="006467F1" w:rsidRPr="006467F1" w:rsidRDefault="006467F1" w:rsidP="006467F1"/>
    <w:p w14:paraId="76604136" w14:textId="77777777" w:rsidR="006467F1" w:rsidRDefault="00CA73D7" w:rsidP="006467F1">
      <w:r w:rsidRPr="00FF62BF">
        <w:t>The NDM allows the officers to consider all aspects of the incident, return to previous steps as the information is changing before making the final decision. The NDM ensures decisions align with professional standards.</w:t>
      </w:r>
    </w:p>
    <w:p w14:paraId="35D5A8A5" w14:textId="4D31463C" w:rsidR="00CA73D7" w:rsidRPr="00451666" w:rsidRDefault="00CA73D7" w:rsidP="006467F1">
      <w:r w:rsidRPr="00451666">
        <w:t xml:space="preserve"> Its universal applicability supports consistent decision-making across diverse scenarios.</w:t>
      </w:r>
    </w:p>
    <w:p w14:paraId="60B395A2" w14:textId="4F12C009" w:rsidR="00CA73D7" w:rsidRPr="00451666" w:rsidRDefault="00CA73D7" w:rsidP="006467F1">
      <w:r w:rsidRPr="00451666">
        <w:t>Requiring officers to record their reasoning promotes accountability and reduces random actions and decisions being made.</w:t>
      </w:r>
    </w:p>
    <w:p w14:paraId="392480C2" w14:textId="77777777" w:rsidR="006467F1" w:rsidRPr="006467F1" w:rsidRDefault="006467F1" w:rsidP="006467F1">
      <w:pPr>
        <w:ind w:left="720"/>
      </w:pPr>
    </w:p>
    <w:p w14:paraId="2C8699DF" w14:textId="12E17EE3" w:rsidR="00CA73D7" w:rsidRPr="00451666" w:rsidRDefault="00CA73D7" w:rsidP="006467F1">
      <w:r w:rsidRPr="00451666">
        <w:t xml:space="preserve"> High-pressure situations may challenge officers’ ability to adhere to the model’s detailed steps and make the correct decisions.</w:t>
      </w:r>
    </w:p>
    <w:p w14:paraId="42C9D5E1" w14:textId="50394190" w:rsidR="00CA73D7" w:rsidRPr="00AE3026" w:rsidRDefault="00CA73D7" w:rsidP="006467F1">
      <w:r w:rsidRPr="00AE3026">
        <w:t xml:space="preserve"> Decisions remain susceptible to individual biases, which can undermine fairness.</w:t>
      </w:r>
    </w:p>
    <w:p w14:paraId="541EF8B8" w14:textId="43B60C1A" w:rsidR="00CA73D7" w:rsidRPr="00AE3026" w:rsidRDefault="00CA73D7" w:rsidP="006467F1">
      <w:r w:rsidRPr="00AE3026">
        <w:t xml:space="preserve"> Inconsistent training on the NDM leads to uneven application across police forces.</w:t>
      </w:r>
    </w:p>
    <w:p w14:paraId="43389ED5" w14:textId="77777777" w:rsidR="00CA73D7" w:rsidRPr="00AE3026" w:rsidRDefault="00CA73D7" w:rsidP="00CA73D7">
      <w:r w:rsidRPr="00AE3026">
        <w:t>The NDM facilitates ethical and rational decision-making but demands consistent training and support to ensure its effective implementation.</w:t>
      </w:r>
    </w:p>
    <w:p w14:paraId="6F80E624" w14:textId="77777777" w:rsidR="006467F1" w:rsidRDefault="006467F1" w:rsidP="00CA73D7">
      <w:pPr>
        <w:rPr>
          <w:b/>
          <w:bCs/>
        </w:rPr>
      </w:pPr>
    </w:p>
    <w:p w14:paraId="16B9491F" w14:textId="1D467ED9" w:rsidR="00CA73D7" w:rsidRPr="00CA2518" w:rsidRDefault="00CA73D7" w:rsidP="00CA73D7">
      <w:r w:rsidRPr="00CA2518">
        <w:t>B</w:t>
      </w:r>
      <w:r w:rsidR="006467F1">
        <w:t xml:space="preserve">ody </w:t>
      </w:r>
      <w:r w:rsidRPr="00CA2518">
        <w:t>W</w:t>
      </w:r>
      <w:r w:rsidR="006467F1">
        <w:t xml:space="preserve">orn </w:t>
      </w:r>
      <w:r w:rsidRPr="00CA2518">
        <w:t>V</w:t>
      </w:r>
      <w:r w:rsidR="006467F1">
        <w:t>ideo (BWV)</w:t>
      </w:r>
      <w:r w:rsidRPr="00CA2518">
        <w:t xml:space="preserve"> technology allows situations to be recorded when there is an interaction between officers and public. This device is being rolled out to all officers promot</w:t>
      </w:r>
      <w:r>
        <w:t>ing</w:t>
      </w:r>
      <w:r w:rsidRPr="00CA2518">
        <w:t xml:space="preserve"> transparency and accountability within the service.</w:t>
      </w:r>
    </w:p>
    <w:p w14:paraId="5D36E1EF" w14:textId="2B2CF07C" w:rsidR="00CA73D7" w:rsidRPr="00CA2518" w:rsidRDefault="00CA73D7" w:rsidP="00CA73D7"/>
    <w:p w14:paraId="1D866618" w14:textId="3BC5CD03" w:rsidR="00CA73D7" w:rsidRPr="00CA2518" w:rsidRDefault="00CA73D7" w:rsidP="006467F1">
      <w:r w:rsidRPr="00CA2518">
        <w:t>Studies show that BWV reduces incidents of misconduct when officers are equipped with BWV, and they are activated prior to attending the incident as all parties are aware of the footage which will be available if needed.</w:t>
      </w:r>
    </w:p>
    <w:p w14:paraId="48075925" w14:textId="0E42948C" w:rsidR="00CA73D7" w:rsidRPr="00CA2518" w:rsidRDefault="00CA73D7" w:rsidP="006467F1">
      <w:r w:rsidRPr="00CA2518">
        <w:t>BWV provides objective evidence for resolving disputes, supporting prosecutions, and protecting officers from unfounded complaints.</w:t>
      </w:r>
    </w:p>
    <w:p w14:paraId="5CF3C3A5" w14:textId="096FF9AD" w:rsidR="00CA73D7" w:rsidRPr="00CA2518" w:rsidRDefault="00CA73D7" w:rsidP="006467F1">
      <w:r w:rsidRPr="00CA2518">
        <w:t>The visible presence of BWV signals a commitment to accountability and enhancing public confidence.</w:t>
      </w:r>
    </w:p>
    <w:p w14:paraId="7DD2ABBC" w14:textId="7EB82BEE" w:rsidR="00CA73D7" w:rsidRPr="00CA2518" w:rsidRDefault="00CA73D7" w:rsidP="006467F1">
      <w:r w:rsidRPr="00CA2518">
        <w:lastRenderedPageBreak/>
        <w:t>Continuous recording raises issues of data protection and potential misuse of footage. Officers are trained to use the BWV when necessary and in situations where there is sensitivity, they will take the appropriate action.</w:t>
      </w:r>
    </w:p>
    <w:p w14:paraId="1613485B" w14:textId="4D519A05" w:rsidR="00CA73D7" w:rsidRPr="00AE3026" w:rsidRDefault="00CA73D7" w:rsidP="006467F1">
      <w:r w:rsidRPr="00AE3026">
        <w:t>Instances of officers failing to activate BWV undermine its effectiveness as a transparency tool.</w:t>
      </w:r>
    </w:p>
    <w:p w14:paraId="7CCB84AD" w14:textId="41F9AAB2" w:rsidR="00CA73D7" w:rsidRPr="00AE3026" w:rsidRDefault="00CA73D7" w:rsidP="006467F1">
      <w:r w:rsidRPr="00AE3026">
        <w:t xml:space="preserve"> The procurement, maintenance, and storage of BWV data impose financial burdens on police departments.</w:t>
      </w:r>
    </w:p>
    <w:p w14:paraId="26ADD4D7" w14:textId="77777777" w:rsidR="00CA73D7" w:rsidRPr="00AE3026" w:rsidRDefault="00CA73D7" w:rsidP="00CA73D7">
      <w:r w:rsidRPr="00AE3026">
        <w:t>When deployed consistently and ethically, BWV represents a significant step toward enhancing transparency and accountability in policing.</w:t>
      </w:r>
    </w:p>
    <w:p w14:paraId="09680B49" w14:textId="77777777" w:rsidR="006467F1" w:rsidRDefault="006467F1" w:rsidP="00CA73D7">
      <w:pPr>
        <w:rPr>
          <w:b/>
          <w:bCs/>
        </w:rPr>
      </w:pPr>
    </w:p>
    <w:p w14:paraId="17AF5EE0" w14:textId="2793B49E" w:rsidR="00CA73D7" w:rsidRPr="007B6BCF" w:rsidRDefault="00CA73D7" w:rsidP="006467F1">
      <w:r w:rsidRPr="007B6BCF">
        <w:t xml:space="preserve">Public confidence is achieved by gaining the trust from the members of public and depends on effective implementation and awareness of the force’s priorities. </w:t>
      </w:r>
      <w:r w:rsidR="006467F1">
        <w:t>There are several key strategies which include c</w:t>
      </w:r>
      <w:r w:rsidRPr="006467F1">
        <w:t xml:space="preserve">ommunity </w:t>
      </w:r>
      <w:r w:rsidR="006467F1">
        <w:t>e</w:t>
      </w:r>
      <w:r w:rsidRPr="006467F1">
        <w:t>ngagement</w:t>
      </w:r>
      <w:r w:rsidR="006467F1">
        <w:t>; p</w:t>
      </w:r>
      <w:r w:rsidRPr="006467F1">
        <w:t>ublic</w:t>
      </w:r>
      <w:r w:rsidRPr="007B6BCF">
        <w:t xml:space="preserve"> consultations, awareness campaigns, and transparent reporting can increase understanding of these measures.</w:t>
      </w:r>
    </w:p>
    <w:p w14:paraId="3DD76F59" w14:textId="0671C0A8" w:rsidR="00CA73D7" w:rsidRPr="007B6BCF" w:rsidRDefault="00CA73D7" w:rsidP="006467F1">
      <w:r w:rsidRPr="007B6BCF">
        <w:t>The Independent Office for Police Conduct (IOPC) provide crucial accountability between officers and members of public in any complaint made against officers or a force.</w:t>
      </w:r>
    </w:p>
    <w:p w14:paraId="0CD7771C" w14:textId="32E5575C" w:rsidR="00CA73D7" w:rsidRPr="007B6BCF" w:rsidRDefault="00CA73D7" w:rsidP="006467F1">
      <w:r w:rsidRPr="007B6BCF">
        <w:t>Regular training, feedback, updates to policies and procedures ensure they remain relevant and effective to the officer’s role.</w:t>
      </w:r>
    </w:p>
    <w:p w14:paraId="1828832E" w14:textId="77777777" w:rsidR="006467F1" w:rsidRDefault="006467F1" w:rsidP="00CA73D7">
      <w:pPr>
        <w:rPr>
          <w:b/>
          <w:bCs/>
        </w:rPr>
      </w:pPr>
    </w:p>
    <w:p w14:paraId="666D6E06" w14:textId="23553D97" w:rsidR="00CA73D7" w:rsidRDefault="00CA73D7" w:rsidP="00CA73D7">
      <w:r w:rsidRPr="00E169B2">
        <w:t>Policies, procedures, and frameworks such as PACE, the Code of Ethics, the NDM, and BWV within the police service are essential tools for addressing direction within situations, misconduct issues and other negative perceptions towards the service. Their strengths in promoting accountability are evident, but there are limits where the procedures highlight the need for strict implementation, adequate resources, and transformation within the mindset of officers and public. These challenges will promote greater community engagement and measures can build a foundation of trust and confidence between the police service and the public. The effectiveness of these initiatives depends on the commitment to professional standards and ethical practices.</w:t>
      </w:r>
    </w:p>
    <w:p w14:paraId="0F22BAD1" w14:textId="653D2D76" w:rsidR="00CA73D7" w:rsidRPr="009042CA" w:rsidRDefault="00CA73D7" w:rsidP="00CA73D7">
      <w:pPr>
        <w:rPr>
          <w:b/>
          <w:bCs/>
          <w:color w:val="FF0000"/>
        </w:rPr>
      </w:pPr>
    </w:p>
    <w:p w14:paraId="4265A736" w14:textId="77777777" w:rsidR="00CA73D7" w:rsidRPr="00AE3026" w:rsidRDefault="00CA73D7" w:rsidP="00CA73D7">
      <w:r w:rsidRPr="00AE3026">
        <w:rPr>
          <w:b/>
          <w:bCs/>
        </w:rPr>
        <w:t>References</w:t>
      </w:r>
    </w:p>
    <w:p w14:paraId="50CCA0CD" w14:textId="77777777" w:rsidR="00CA73D7" w:rsidRPr="00AE3026" w:rsidRDefault="00CA73D7" w:rsidP="00CA73D7">
      <w:pPr>
        <w:numPr>
          <w:ilvl w:val="0"/>
          <w:numId w:val="45"/>
        </w:numPr>
      </w:pPr>
      <w:r w:rsidRPr="00AE3026">
        <w:t xml:space="preserve">College of Policing. (2014). </w:t>
      </w:r>
      <w:r w:rsidRPr="00AE3026">
        <w:rPr>
          <w:i/>
          <w:iCs/>
        </w:rPr>
        <w:t>Code of Ethics: A Code of Practice for the Principles and Standards of Professional Behaviour for the Policing Profession of England and Wales</w:t>
      </w:r>
      <w:r w:rsidRPr="00AE3026">
        <w:t>. Retrieved from https://www.college.police.uk.</w:t>
      </w:r>
    </w:p>
    <w:p w14:paraId="5541BEAD" w14:textId="77777777" w:rsidR="00CA73D7" w:rsidRPr="00AE3026" w:rsidRDefault="00CA73D7" w:rsidP="00CA73D7">
      <w:pPr>
        <w:numPr>
          <w:ilvl w:val="0"/>
          <w:numId w:val="45"/>
        </w:numPr>
      </w:pPr>
      <w:r w:rsidRPr="00AE3026">
        <w:t xml:space="preserve">Home Office. (1984). </w:t>
      </w:r>
      <w:r w:rsidRPr="00AE3026">
        <w:rPr>
          <w:i/>
          <w:iCs/>
        </w:rPr>
        <w:t>Police and Criminal Evidence Act 1984 (PACE)</w:t>
      </w:r>
      <w:r w:rsidRPr="00AE3026">
        <w:t>. Retrieved from https://www.legislation.gov.uk.</w:t>
      </w:r>
    </w:p>
    <w:p w14:paraId="563CC365" w14:textId="77777777" w:rsidR="00CA73D7" w:rsidRPr="00AE3026" w:rsidRDefault="00CA73D7" w:rsidP="00CA73D7">
      <w:pPr>
        <w:numPr>
          <w:ilvl w:val="0"/>
          <w:numId w:val="45"/>
        </w:numPr>
      </w:pPr>
      <w:r w:rsidRPr="00AE3026">
        <w:t xml:space="preserve">Ariel, B., Farrar, W. A., &amp; Sutherland, A. (2015). "The Effect of Police Body-Worn Cameras on Use of Force and Citizens' Complaints Against the Police: A Randomized Controlled Trial." </w:t>
      </w:r>
      <w:r w:rsidRPr="00AE3026">
        <w:rPr>
          <w:i/>
          <w:iCs/>
        </w:rPr>
        <w:t>Journal of Quantitative Criminology, 31</w:t>
      </w:r>
      <w:r w:rsidRPr="00AE3026">
        <w:t>(3), 509-535.</w:t>
      </w:r>
    </w:p>
    <w:p w14:paraId="7420DDA5" w14:textId="77777777" w:rsidR="00CA73D7" w:rsidRPr="00AE3026" w:rsidRDefault="00CA73D7" w:rsidP="00CA73D7">
      <w:pPr>
        <w:numPr>
          <w:ilvl w:val="0"/>
          <w:numId w:val="45"/>
        </w:numPr>
      </w:pPr>
      <w:r w:rsidRPr="00AE3026">
        <w:t xml:space="preserve">Independent Office for Police Conduct (IOPC). (2021). </w:t>
      </w:r>
      <w:r w:rsidRPr="00AE3026">
        <w:rPr>
          <w:i/>
          <w:iCs/>
        </w:rPr>
        <w:t>Annual Report and Accounts 2020/21</w:t>
      </w:r>
      <w:r w:rsidRPr="00AE3026">
        <w:t>. Retrieved from https://www.policeconduct.gov.uk.</w:t>
      </w:r>
    </w:p>
    <w:p w14:paraId="094CCAE6" w14:textId="0141D1D7" w:rsidR="00CA73D7" w:rsidRDefault="00CA73D7" w:rsidP="00CA73D7">
      <w:pPr>
        <w:numPr>
          <w:ilvl w:val="0"/>
          <w:numId w:val="45"/>
        </w:numPr>
      </w:pPr>
      <w:r w:rsidRPr="00AE3026">
        <w:lastRenderedPageBreak/>
        <w:t xml:space="preserve">College of Policing. (2013). </w:t>
      </w:r>
      <w:r w:rsidRPr="00AE3026">
        <w:rPr>
          <w:i/>
          <w:iCs/>
        </w:rPr>
        <w:t>National Decision Model (NDM)</w:t>
      </w:r>
      <w:r w:rsidRPr="00AE3026">
        <w:t xml:space="preserve">. Retrieved from </w:t>
      </w:r>
      <w:hyperlink r:id="rId7" w:history="1">
        <w:r w:rsidRPr="00555B05">
          <w:rPr>
            <w:rStyle w:val="Hyperlink"/>
          </w:rPr>
          <w:t>https://www.college.police.uk</w:t>
        </w:r>
      </w:hyperlink>
    </w:p>
    <w:p w14:paraId="2A338814" w14:textId="77777777" w:rsidR="006467F1" w:rsidRDefault="006467F1" w:rsidP="006467F1"/>
    <w:p w14:paraId="6B884CC9" w14:textId="77777777" w:rsidR="006467F1" w:rsidRDefault="006467F1" w:rsidP="006467F1"/>
    <w:p w14:paraId="212EBA41" w14:textId="77777777" w:rsidR="006467F1" w:rsidRDefault="006467F1" w:rsidP="006467F1"/>
    <w:p w14:paraId="1BF66466" w14:textId="77777777" w:rsidR="006467F1" w:rsidRDefault="006467F1" w:rsidP="006467F1"/>
    <w:p w14:paraId="15131689" w14:textId="77777777" w:rsidR="006467F1" w:rsidRDefault="006467F1" w:rsidP="006467F1"/>
    <w:p w14:paraId="756971EC" w14:textId="77777777" w:rsidR="006467F1" w:rsidRDefault="006467F1" w:rsidP="006467F1"/>
    <w:p w14:paraId="7F37BCD5" w14:textId="77777777" w:rsidR="006467F1" w:rsidRDefault="006467F1" w:rsidP="006467F1"/>
    <w:p w14:paraId="716F4640" w14:textId="77777777" w:rsidR="006467F1" w:rsidRDefault="006467F1" w:rsidP="006467F1"/>
    <w:p w14:paraId="3C61B521" w14:textId="77777777" w:rsidR="006467F1" w:rsidRDefault="006467F1" w:rsidP="006467F1"/>
    <w:p w14:paraId="29D8A14E" w14:textId="77777777" w:rsidR="006467F1" w:rsidRDefault="006467F1" w:rsidP="006467F1"/>
    <w:p w14:paraId="7B6834D3" w14:textId="77777777" w:rsidR="006467F1" w:rsidRDefault="006467F1" w:rsidP="006467F1"/>
    <w:p w14:paraId="39175CCA" w14:textId="77777777" w:rsidR="006467F1" w:rsidRDefault="006467F1" w:rsidP="006467F1"/>
    <w:p w14:paraId="151E8C95" w14:textId="77777777" w:rsidR="006467F1" w:rsidRDefault="006467F1" w:rsidP="006467F1"/>
    <w:p w14:paraId="41D4D0BF" w14:textId="77777777" w:rsidR="006467F1" w:rsidRDefault="006467F1" w:rsidP="006467F1"/>
    <w:p w14:paraId="1DDAF238" w14:textId="77777777" w:rsidR="006467F1" w:rsidRDefault="006467F1" w:rsidP="006467F1"/>
    <w:p w14:paraId="3AC8594F" w14:textId="77777777" w:rsidR="006467F1" w:rsidRDefault="006467F1" w:rsidP="006467F1"/>
    <w:p w14:paraId="15A3CC27" w14:textId="77777777" w:rsidR="006467F1" w:rsidRDefault="006467F1" w:rsidP="006467F1"/>
    <w:p w14:paraId="457ED9C1" w14:textId="77777777" w:rsidR="006467F1" w:rsidRDefault="006467F1" w:rsidP="006467F1"/>
    <w:p w14:paraId="4C212086" w14:textId="77777777" w:rsidR="006467F1" w:rsidRDefault="006467F1" w:rsidP="006467F1"/>
    <w:p w14:paraId="432A4F2D" w14:textId="77777777" w:rsidR="0072517A" w:rsidRDefault="0072517A" w:rsidP="006467F1"/>
    <w:p w14:paraId="435301DA" w14:textId="77777777" w:rsidR="0072517A" w:rsidRDefault="0072517A" w:rsidP="006467F1"/>
    <w:p w14:paraId="1DF0D3F2" w14:textId="77777777" w:rsidR="0072517A" w:rsidRDefault="0072517A" w:rsidP="006467F1"/>
    <w:p w14:paraId="7E015640" w14:textId="77777777" w:rsidR="0072517A" w:rsidRDefault="0072517A" w:rsidP="006467F1"/>
    <w:p w14:paraId="63E58243" w14:textId="77777777" w:rsidR="0072517A" w:rsidRDefault="0072517A" w:rsidP="006467F1"/>
    <w:p w14:paraId="3A718DF5" w14:textId="77777777" w:rsidR="0072517A" w:rsidRDefault="0072517A" w:rsidP="006467F1"/>
    <w:p w14:paraId="3F821B2A" w14:textId="77777777" w:rsidR="0072517A" w:rsidRDefault="0072517A" w:rsidP="006467F1"/>
    <w:p w14:paraId="5620D134" w14:textId="77777777" w:rsidR="0072517A" w:rsidRDefault="0072517A" w:rsidP="006467F1"/>
    <w:p w14:paraId="4EA95B38" w14:textId="77777777" w:rsidR="0072517A" w:rsidRDefault="0072517A" w:rsidP="006467F1"/>
    <w:p w14:paraId="320D45EA" w14:textId="77777777" w:rsidR="00CA73D7" w:rsidRDefault="00CA73D7" w:rsidP="00CA73D7"/>
    <w:p w14:paraId="615FE1F8" w14:textId="77777777" w:rsidR="00CA73D7" w:rsidRPr="006E6DCA" w:rsidRDefault="00CA73D7" w:rsidP="00CA73D7">
      <w:r w:rsidRPr="006E6DCA">
        <w:rPr>
          <w:b/>
          <w:bCs/>
        </w:rPr>
        <w:lastRenderedPageBreak/>
        <w:t>Essay two – Public Protection</w:t>
      </w:r>
    </w:p>
    <w:p w14:paraId="366CC880" w14:textId="77777777" w:rsidR="00CA73D7" w:rsidRPr="000353E9" w:rsidRDefault="00CA73D7" w:rsidP="00CA73D7">
      <w:pPr>
        <w:rPr>
          <w:b/>
          <w:bCs/>
        </w:rPr>
      </w:pPr>
      <w:r w:rsidRPr="000353E9">
        <w:rPr>
          <w:b/>
          <w:bCs/>
        </w:rPr>
        <w:t>What characteristics (socio-economic, psychological etc.) can make a person vulnerable to exploitation to criminal gangs?</w:t>
      </w:r>
    </w:p>
    <w:p w14:paraId="0654B570" w14:textId="77777777" w:rsidR="00CA73D7" w:rsidRPr="000353E9" w:rsidRDefault="00CA73D7" w:rsidP="00CA73D7">
      <w:pPr>
        <w:rPr>
          <w:b/>
          <w:bCs/>
        </w:rPr>
      </w:pPr>
      <w:r w:rsidRPr="000353E9">
        <w:rPr>
          <w:b/>
          <w:bCs/>
        </w:rPr>
        <w:t>Your answer must be based on academic research.</w:t>
      </w:r>
    </w:p>
    <w:p w14:paraId="7AC1427B" w14:textId="73B85A7C" w:rsidR="00CA73D7" w:rsidRPr="000353E9" w:rsidRDefault="006467F1" w:rsidP="00CA73D7">
      <w:pPr>
        <w:rPr>
          <w:b/>
          <w:bCs/>
        </w:rPr>
      </w:pPr>
      <w:r>
        <w:rPr>
          <w:b/>
          <w:bCs/>
        </w:rPr>
        <w:t xml:space="preserve">Word </w:t>
      </w:r>
      <w:proofErr w:type="gramStart"/>
      <w:r>
        <w:rPr>
          <w:b/>
          <w:bCs/>
        </w:rPr>
        <w:t>count :</w:t>
      </w:r>
      <w:proofErr w:type="gramEnd"/>
      <w:r>
        <w:rPr>
          <w:b/>
          <w:bCs/>
        </w:rPr>
        <w:t xml:space="preserve"> 1065 words </w:t>
      </w:r>
    </w:p>
    <w:p w14:paraId="6B92F329" w14:textId="40C1A0BA" w:rsidR="00CA73D7" w:rsidRPr="003D7D61" w:rsidRDefault="00CA73D7" w:rsidP="00CA73D7">
      <w:pPr>
        <w:rPr>
          <w:b/>
          <w:bCs/>
        </w:rPr>
      </w:pPr>
    </w:p>
    <w:p w14:paraId="7F875BAF" w14:textId="561EA500" w:rsidR="00CA73D7" w:rsidRPr="00D73324" w:rsidRDefault="00CA73D7" w:rsidP="00CA73D7">
      <w:r w:rsidRPr="00D73324">
        <w:t>The exploitation of individuals by criminal gangs represents a significant challenge to public protection and social well-being. Vulnerability to such exploitation is moulded</w:t>
      </w:r>
      <w:r w:rsidR="007D5B8A">
        <w:t xml:space="preserve"> through</w:t>
      </w:r>
      <w:r w:rsidRPr="00D73324">
        <w:t xml:space="preserve"> socio-economic, psychological, and environmental factors. This essay is going to explore the characteristics that make individuals vulnerable to exploitation by criminal gangs, integrating academic research to highlight the relationship of the disadvantages, individual psychological factors, and broader social influences. Understanding these vulnerabilities is critical for developing effective intervention and prevention strategies.</w:t>
      </w:r>
    </w:p>
    <w:p w14:paraId="06D54914" w14:textId="7A44F12B" w:rsidR="00CA73D7" w:rsidRPr="00D73324" w:rsidRDefault="00CA73D7" w:rsidP="00CA73D7">
      <w:pPr>
        <w:rPr>
          <w:b/>
          <w:bCs/>
        </w:rPr>
      </w:pPr>
    </w:p>
    <w:p w14:paraId="3F614B86" w14:textId="4ED459DA" w:rsidR="00CA73D7" w:rsidRPr="0023350C" w:rsidRDefault="00CA73D7" w:rsidP="00CA73D7">
      <w:r w:rsidRPr="0023350C">
        <w:t>I</w:t>
      </w:r>
      <w:r w:rsidR="00164F5C">
        <w:t>n</w:t>
      </w:r>
      <w:r w:rsidRPr="0023350C">
        <w:t xml:space="preserve"> relation to gang exploitation, social factors have many disadvantages and is a critical factor regarding vulnerability. Poverty, unemployment, and lack of access to education create environments where individuals may seek alternative ways to live day to day, this then exposes them to exploitation and being included in the criminal gang’s process.</w:t>
      </w:r>
    </w:p>
    <w:p w14:paraId="129B238E" w14:textId="15DD2E1A" w:rsidR="00CA73D7" w:rsidRPr="0023350C" w:rsidRDefault="00CA73D7" w:rsidP="00CA73D7">
      <w:pPr>
        <w:rPr>
          <w:b/>
          <w:bCs/>
        </w:rPr>
      </w:pPr>
    </w:p>
    <w:p w14:paraId="64AFCA30" w14:textId="230DED19" w:rsidR="00CA73D7" w:rsidRPr="004E544B" w:rsidRDefault="00CA73D7" w:rsidP="00CA73D7">
      <w:r w:rsidRPr="004E544B">
        <w:t>Poverty is a significant risk factor when gang members are attempting to recruit new members. Individuals from low-income backgrounds may lack financial resources and opportunities within the community which will steer them toward criminal networks. The organisations will promise financial gain or other benefits such as money, food, or protection, particularly in communities where they</w:t>
      </w:r>
      <w:r w:rsidR="00164F5C">
        <w:t xml:space="preserve"> are</w:t>
      </w:r>
      <w:r w:rsidRPr="004E544B">
        <w:t xml:space="preserve"> classed as deprived (Harding, 2020).</w:t>
      </w:r>
    </w:p>
    <w:p w14:paraId="46EC77D7" w14:textId="362BF4FA" w:rsidR="00CA73D7" w:rsidRPr="004E544B" w:rsidRDefault="00CA73D7" w:rsidP="00CA73D7">
      <w:pPr>
        <w:rPr>
          <w:b/>
          <w:bCs/>
        </w:rPr>
      </w:pPr>
    </w:p>
    <w:p w14:paraId="78BE5C3A" w14:textId="684DAB40" w:rsidR="00CA73D7" w:rsidRPr="00BE6F22" w:rsidRDefault="00CA73D7" w:rsidP="00CA73D7">
      <w:r w:rsidRPr="00BE6F22">
        <w:t>I</w:t>
      </w:r>
      <w:r w:rsidR="00164F5C">
        <w:t>n</w:t>
      </w:r>
      <w:r w:rsidRPr="00BE6F22">
        <w:t xml:space="preserve"> areas where they have a state of poverty, educational failure or exclusion from schools or social events also contributes to vulnerability. Studies have shown that young people excluded from mainstream education are targeted by gangs (Fitzgerald et al., 2021). Schools act as protective environments and when individuals refuse or are removed from these environments this leaves individuals vulnerable to the recruitment process the gang has in place. This may appear to the individual as a substitute for the structure and belonging that education provides.</w:t>
      </w:r>
    </w:p>
    <w:p w14:paraId="39E51734" w14:textId="6B818103" w:rsidR="00CA73D7" w:rsidRPr="00BE6F22" w:rsidRDefault="00CA73D7" w:rsidP="00CA73D7">
      <w:pPr>
        <w:rPr>
          <w:b/>
          <w:bCs/>
        </w:rPr>
      </w:pPr>
    </w:p>
    <w:p w14:paraId="24B802BB" w14:textId="77777777" w:rsidR="00CA73D7" w:rsidRPr="008E7CF6" w:rsidRDefault="00CA73D7" w:rsidP="00CA73D7">
      <w:r w:rsidRPr="008E7CF6">
        <w:t>Social inequalities such as ethnicity, culture, religion, and migration increase the vulnerabilities that the individual may have. These groups may face resistance to the social environment, making them prime targets for exploitation. According to Hesketh et al. (2019), gangs often exploit individuals who have feelings of social exclusion. The gangs will offer a sense of identity and community to those who feel alienated.</w:t>
      </w:r>
    </w:p>
    <w:p w14:paraId="424D756F" w14:textId="17CFD041" w:rsidR="00CA73D7" w:rsidRPr="00502EEA" w:rsidRDefault="00CA73D7" w:rsidP="00CA73D7">
      <w:pPr>
        <w:rPr>
          <w:b/>
          <w:bCs/>
        </w:rPr>
      </w:pPr>
    </w:p>
    <w:p w14:paraId="0871FA21" w14:textId="1A750C2E" w:rsidR="00CA73D7" w:rsidRPr="00164F5C" w:rsidRDefault="00CA73D7" w:rsidP="00CA73D7">
      <w:r w:rsidRPr="00502EEA">
        <w:lastRenderedPageBreak/>
        <w:t>Psychological issues also play a significant role in determining vulnerability. Trauma, mental health issues, and developmental factors will contribute to the vulnerability of individuals which will make them a target to the process of the exploitation.</w:t>
      </w:r>
    </w:p>
    <w:p w14:paraId="17957D63" w14:textId="7B2D5918" w:rsidR="00CA73D7" w:rsidRPr="00502EEA" w:rsidRDefault="00CA73D7" w:rsidP="00CA73D7">
      <w:pPr>
        <w:rPr>
          <w:b/>
          <w:bCs/>
        </w:rPr>
      </w:pPr>
    </w:p>
    <w:p w14:paraId="2FE5E1AC" w14:textId="0220B649" w:rsidR="00CA73D7" w:rsidRDefault="00CA73D7" w:rsidP="00CA73D7">
      <w:r w:rsidRPr="00502EEA">
        <w:t>Childhood experiences which include adverse experiences such as, abuse, neglect, and domestic violence, significantly increase the likelihood of gang involvement. Research conducted by Hughes et al. (2017) states that individuals with high ACE scores are more likely to experience low self-esteem, impaired decision-making, and a diminished thought process. These conditions will assist the process the gangs undertake, and they will manipulate the individual for their benefit.</w:t>
      </w:r>
    </w:p>
    <w:p w14:paraId="11E29B7C" w14:textId="77777777" w:rsidR="00164F5C" w:rsidRPr="00164F5C" w:rsidRDefault="00164F5C" w:rsidP="00CA73D7"/>
    <w:p w14:paraId="210F48F2" w14:textId="6C6E95D9" w:rsidR="00CA73D7" w:rsidRPr="00401180" w:rsidRDefault="00CA73D7" w:rsidP="00CA73D7">
      <w:r w:rsidRPr="004F3966">
        <w:t>Issues that have been detected regarding mental health, such as depression, anxiety, and post-traumatic stress disorder (PTSD), further heighten vulnerab</w:t>
      </w:r>
      <w:r w:rsidR="00164F5C">
        <w:t>ility</w:t>
      </w:r>
      <w:r w:rsidRPr="004F3966">
        <w:t xml:space="preserve"> towards the individual. These conditions often impair judgment and increase their decision making whilst dealing with the gang members which will make individuals more vulnerable to exploitation. For example, </w:t>
      </w:r>
      <w:proofErr w:type="spellStart"/>
      <w:r w:rsidRPr="004F3966">
        <w:t>Coid</w:t>
      </w:r>
      <w:proofErr w:type="spellEnd"/>
      <w:r w:rsidRPr="004F3966">
        <w:t xml:space="preserve"> et al. (2013) found that gang-affiliated youths often exhibit higher rates of mental health disorders compared to their non-affiliated peers, suggesting that psychological distress is both </w:t>
      </w:r>
      <w:r w:rsidRPr="00401180">
        <w:t>a cause and consequence of gang involvement.</w:t>
      </w:r>
    </w:p>
    <w:p w14:paraId="626E2E00" w14:textId="1C68C040" w:rsidR="00CA73D7" w:rsidRPr="0096551E" w:rsidRDefault="00CA73D7" w:rsidP="00CA73D7">
      <w:pPr>
        <w:rPr>
          <w:b/>
          <w:bCs/>
        </w:rPr>
      </w:pPr>
    </w:p>
    <w:p w14:paraId="37E797C8" w14:textId="77777777" w:rsidR="00CA73D7" w:rsidRPr="0096551E" w:rsidRDefault="00CA73D7" w:rsidP="00CA73D7">
      <w:r w:rsidRPr="0096551E">
        <w:t>Young people, due to their developmental stage, face heightened vulnerability. During childhood this makes them more prone to risk-taking behaviour and vulnerable to peer pressure (Blakemore, 2018). If these circumstances exist, then this provides an opportunity for exploitation by gangs. Evidence and research show that younger individuals are classed as high-risk roles, such as drug transportation or involvement in violent acts. These roles often carry significant legal and physical dangers which shows the importance for early interventions to protect the individual from such exploitation.</w:t>
      </w:r>
    </w:p>
    <w:p w14:paraId="4AB6AF12" w14:textId="3D1121E9" w:rsidR="00CA73D7" w:rsidRPr="0096551E" w:rsidRDefault="00CA73D7" w:rsidP="00CA73D7">
      <w:pPr>
        <w:rPr>
          <w:b/>
          <w:bCs/>
        </w:rPr>
      </w:pPr>
    </w:p>
    <w:p w14:paraId="5D671017" w14:textId="77777777" w:rsidR="00CA73D7" w:rsidRPr="00552216" w:rsidRDefault="00CA73D7" w:rsidP="00CA73D7">
      <w:r w:rsidRPr="00552216">
        <w:t>Family background such as parental neglect, substance abuse, or domestic conflict, increase vulnerability. According to Bellis et al. (2017), individuals from unstable family backgrounds often seek advice, guidance and reassurance and wanting to feel a part of something elsewhere, which gangs exploit by presenting themselves as friends and families.</w:t>
      </w:r>
    </w:p>
    <w:p w14:paraId="55E1384B" w14:textId="4EA8E58B" w:rsidR="00CA73D7" w:rsidRPr="00552216" w:rsidRDefault="00CA73D7" w:rsidP="00CA73D7">
      <w:pPr>
        <w:rPr>
          <w:b/>
          <w:bCs/>
        </w:rPr>
      </w:pPr>
    </w:p>
    <w:p w14:paraId="3C396B57" w14:textId="77777777" w:rsidR="00CA73D7" w:rsidRPr="00552216" w:rsidRDefault="00CA73D7" w:rsidP="00CA73D7">
      <w:r w:rsidRPr="00552216">
        <w:t>Peer groups can influence the individual’s behaviour, particularly during the individual’s childhood years. Association with peers who have been recruited by the gang members increases exposure to gang culture and promotes the criminal behaviour (Dishion et al., 2019). Peer pressure can also convince individuals to participate in gang activities as a means of gaining acceptance or avoiding any sort of victimisation.</w:t>
      </w:r>
    </w:p>
    <w:p w14:paraId="01D7B722" w14:textId="636F5922" w:rsidR="00CA73D7" w:rsidRPr="00FF25A6" w:rsidRDefault="00CA73D7" w:rsidP="00CA73D7">
      <w:pPr>
        <w:rPr>
          <w:b/>
          <w:bCs/>
        </w:rPr>
      </w:pPr>
    </w:p>
    <w:p w14:paraId="193FE037" w14:textId="41BB5D85" w:rsidR="00CA73D7" w:rsidRPr="00164F5C" w:rsidRDefault="00CA73D7" w:rsidP="00CA73D7">
      <w:r w:rsidRPr="00FF25A6">
        <w:t xml:space="preserve">Communities with elevated levels of violence, drug activity, and limited social activities create environments which attract gang exploitation towards youths and adults within that area. Research by Sampson and Groves (1989) show that neighbourhoods with no financial or social </w:t>
      </w:r>
      <w:r w:rsidRPr="00FF25A6">
        <w:lastRenderedPageBreak/>
        <w:t>backing which are classed as deprived are more likely to experience gang exploitation. Gangs thrive in these areas, exploiting the absence of secure community structures.</w:t>
      </w:r>
    </w:p>
    <w:p w14:paraId="42895B59" w14:textId="46F01A81" w:rsidR="00CA73D7" w:rsidRPr="00CF0927" w:rsidRDefault="00CA73D7" w:rsidP="00CA73D7">
      <w:pPr>
        <w:rPr>
          <w:b/>
          <w:bCs/>
        </w:rPr>
      </w:pPr>
    </w:p>
    <w:p w14:paraId="60627C4E" w14:textId="2D4B68C1" w:rsidR="00CA73D7" w:rsidRDefault="00CA73D7" w:rsidP="00CA73D7">
      <w:r w:rsidRPr="00CF0927">
        <w:t>Exploitation by criminal gangs also target individuals w</w:t>
      </w:r>
      <w:r w:rsidR="00A47245">
        <w:t>ith</w:t>
      </w:r>
      <w:r w:rsidRPr="00CF0927">
        <w:t xml:space="preserve"> different gender identifications. Women and girls often face serious risks, including sexual exploitation, coerci</w:t>
      </w:r>
      <w:r w:rsidR="00A47245">
        <w:t>ve</w:t>
      </w:r>
      <w:r w:rsidRPr="00CF0927">
        <w:t xml:space="preserve"> or controlling behaviour and physical abuse to force them into the criminal activities. Research by Beckett et al. (2013) highlights how gangs exploit traditional gender norms and vulnerabilities, such as dependence on male partners or fear of violence, to manipulate women and girls into compliance.</w:t>
      </w:r>
    </w:p>
    <w:p w14:paraId="12480C59" w14:textId="77777777" w:rsidR="00A47245" w:rsidRPr="00A47245" w:rsidRDefault="00A47245" w:rsidP="00CA73D7"/>
    <w:p w14:paraId="3D4795A7" w14:textId="77777777" w:rsidR="00CA73D7" w:rsidRPr="003E0D19" w:rsidRDefault="00CA73D7" w:rsidP="00CA73D7">
      <w:r w:rsidRPr="003E0D19">
        <w:t>Exploitation with the gang network is rarely the result of one single factor. Instead, it is a result of multiple characteristics one being “intersectionality” (Crenshaw, 1991). For example, an individual who is poor, experiences racial discrimination, and has a history of trauma faces a higher risk of exploitation. Understanding these vulnerabilities is essential for targeted interventions.</w:t>
      </w:r>
    </w:p>
    <w:p w14:paraId="7E44EEEC" w14:textId="74DF9E87" w:rsidR="00CA73D7" w:rsidRPr="00336520" w:rsidRDefault="00CA73D7" w:rsidP="00CA73D7">
      <w:pPr>
        <w:rPr>
          <w:b/>
          <w:bCs/>
        </w:rPr>
      </w:pPr>
    </w:p>
    <w:p w14:paraId="5C3DA1F7" w14:textId="29FB410E" w:rsidR="00CA73D7" w:rsidRPr="009C2700" w:rsidRDefault="00CA73D7" w:rsidP="005A1A4E">
      <w:r w:rsidRPr="00336520">
        <w:t xml:space="preserve">Effective public protection strategies must address the nature of vulnerability. </w:t>
      </w:r>
      <w:r w:rsidR="005A1A4E">
        <w:t xml:space="preserve"> Early intervention by which a person can i</w:t>
      </w:r>
      <w:r w:rsidRPr="00C76F16">
        <w:t>dentify at-risk individuals through schools, community programs, and social services can help mitigate vulnerability.</w:t>
      </w:r>
      <w:r w:rsidR="005A1A4E">
        <w:t xml:space="preserve"> </w:t>
      </w:r>
      <w:r w:rsidRPr="00C76F16">
        <w:t>Improving community structures and social activity and inclusion can reduce the chance of gang activity.</w:t>
      </w:r>
      <w:r w:rsidR="005A1A4E">
        <w:t xml:space="preserve"> </w:t>
      </w:r>
      <w:r w:rsidRPr="000D1FF0">
        <w:t xml:space="preserve">Providing mental health services and support for individuals with ACEs can address psychological </w:t>
      </w:r>
      <w:r w:rsidR="005A1A4E" w:rsidRPr="000D1FF0">
        <w:t>vulnerability</w:t>
      </w:r>
      <w:r w:rsidR="005A1A4E">
        <w:t xml:space="preserve">. </w:t>
      </w:r>
      <w:r w:rsidRPr="009C2700">
        <w:t>Policies aimed at reducing poverty, improving education, and addressing discrepancies within the systems and organisations are critical for long-term prevention.</w:t>
      </w:r>
    </w:p>
    <w:p w14:paraId="437B5660" w14:textId="2226AAD2" w:rsidR="00CA73D7" w:rsidRPr="0007622C" w:rsidRDefault="00CA73D7" w:rsidP="00CA73D7">
      <w:pPr>
        <w:rPr>
          <w:b/>
          <w:bCs/>
        </w:rPr>
      </w:pPr>
    </w:p>
    <w:p w14:paraId="311349A1" w14:textId="30A27DCF" w:rsidR="00CA73D7" w:rsidRPr="006467F1" w:rsidRDefault="00CA73D7" w:rsidP="00CA73D7">
      <w:r>
        <w:t>E</w:t>
      </w:r>
      <w:r w:rsidRPr="0007622C">
        <w:t>xploitation by criminal gangs is</w:t>
      </w:r>
      <w:r>
        <w:t xml:space="preserve"> controlled by several methods</w:t>
      </w:r>
      <w:r w:rsidRPr="0007622C">
        <w:t xml:space="preserve"> </w:t>
      </w:r>
      <w:r>
        <w:t xml:space="preserve">such as </w:t>
      </w:r>
      <w:r w:rsidRPr="0007622C">
        <w:t xml:space="preserve">socio-economic, psychological, and environmental factors. </w:t>
      </w:r>
      <w:r>
        <w:t>T</w:t>
      </w:r>
      <w:r w:rsidRPr="0007622C">
        <w:t xml:space="preserve">rauma, </w:t>
      </w:r>
      <w:r>
        <w:t xml:space="preserve">poverty, </w:t>
      </w:r>
      <w:r w:rsidRPr="0007622C">
        <w:t>and social exclusion create a ground</w:t>
      </w:r>
      <w:r>
        <w:t>ing</w:t>
      </w:r>
      <w:r w:rsidRPr="0007622C">
        <w:t xml:space="preserve"> for exploitation, while developmental and gender-specific vulnerabilities further increase the risks. Vulnerabilities require a comprehensive approach that integrates early intervention, community involvement, and reform within the systems that are in place. Understanding the vulnerabilities that make individuals targets to exploitation, policymakers and practitioners can develop strict frameworks to protect the vulnerable population and disrupt the cycle of gang exploitation.</w:t>
      </w:r>
    </w:p>
    <w:p w14:paraId="4BFC852C" w14:textId="77777777" w:rsidR="00CA73D7" w:rsidRDefault="00CA73D7" w:rsidP="00CA73D7">
      <w:pPr>
        <w:rPr>
          <w:b/>
          <w:bCs/>
        </w:rPr>
      </w:pPr>
    </w:p>
    <w:p w14:paraId="318DC11A" w14:textId="77777777" w:rsidR="00CA73D7" w:rsidRPr="007112B1" w:rsidRDefault="00CA73D7" w:rsidP="00CA73D7">
      <w:pPr>
        <w:rPr>
          <w:b/>
          <w:bCs/>
        </w:rPr>
      </w:pPr>
      <w:r w:rsidRPr="007112B1">
        <w:rPr>
          <w:b/>
          <w:bCs/>
        </w:rPr>
        <w:t>References</w:t>
      </w:r>
    </w:p>
    <w:p w14:paraId="2635CD4D" w14:textId="77777777" w:rsidR="00CA73D7" w:rsidRPr="007112B1" w:rsidRDefault="00CA73D7" w:rsidP="00CA73D7">
      <w:pPr>
        <w:numPr>
          <w:ilvl w:val="0"/>
          <w:numId w:val="21"/>
        </w:numPr>
      </w:pPr>
      <w:r w:rsidRPr="007112B1">
        <w:t xml:space="preserve">Beckett, H., Brodie, I., &amp; Pearce, J. (2013). </w:t>
      </w:r>
      <w:r w:rsidRPr="007112B1">
        <w:rPr>
          <w:b/>
          <w:bCs/>
        </w:rPr>
        <w:t>Research into gang-associated sexual exploitation and sexual violence.</w:t>
      </w:r>
      <w:r w:rsidRPr="007112B1">
        <w:t xml:space="preserve"> University of Bedfordshire.</w:t>
      </w:r>
    </w:p>
    <w:p w14:paraId="7911C80E" w14:textId="77777777" w:rsidR="00CA73D7" w:rsidRPr="007112B1" w:rsidRDefault="00CA73D7" w:rsidP="00CA73D7">
      <w:pPr>
        <w:numPr>
          <w:ilvl w:val="0"/>
          <w:numId w:val="21"/>
        </w:numPr>
      </w:pPr>
      <w:r w:rsidRPr="007112B1">
        <w:t xml:space="preserve">Bellis, M. A., Hughes, K., Leckenby, N., Perkins, C., &amp; Lowey, H. (2017). Adverse childhood experiences and associations with health-harming behaviours in young adults: surveys in England and Wales. </w:t>
      </w:r>
      <w:r w:rsidRPr="007112B1">
        <w:rPr>
          <w:i/>
          <w:iCs/>
        </w:rPr>
        <w:t>BMJ Open</w:t>
      </w:r>
      <w:r w:rsidRPr="007112B1">
        <w:t>, 7(2).</w:t>
      </w:r>
    </w:p>
    <w:p w14:paraId="3A34AD0F" w14:textId="77777777" w:rsidR="00CA73D7" w:rsidRPr="007112B1" w:rsidRDefault="00CA73D7" w:rsidP="00CA73D7">
      <w:pPr>
        <w:numPr>
          <w:ilvl w:val="0"/>
          <w:numId w:val="21"/>
        </w:numPr>
      </w:pPr>
      <w:r w:rsidRPr="007112B1">
        <w:t xml:space="preserve">Blakemore, S. J. (2018). Avoiding social risk in adolescence. </w:t>
      </w:r>
      <w:r w:rsidRPr="007112B1">
        <w:rPr>
          <w:i/>
          <w:iCs/>
        </w:rPr>
        <w:t>Current Directions in Psychological Science</w:t>
      </w:r>
      <w:r w:rsidRPr="007112B1">
        <w:t>, 27(2), 116-122.</w:t>
      </w:r>
    </w:p>
    <w:p w14:paraId="11DFE88D" w14:textId="77777777" w:rsidR="00CA73D7" w:rsidRPr="007112B1" w:rsidRDefault="00CA73D7" w:rsidP="00CA73D7">
      <w:pPr>
        <w:numPr>
          <w:ilvl w:val="0"/>
          <w:numId w:val="21"/>
        </w:numPr>
      </w:pPr>
      <w:proofErr w:type="spellStart"/>
      <w:r w:rsidRPr="007112B1">
        <w:lastRenderedPageBreak/>
        <w:t>Coid</w:t>
      </w:r>
      <w:proofErr w:type="spellEnd"/>
      <w:r w:rsidRPr="007112B1">
        <w:t xml:space="preserve">, J. W., Ullrich, S., Keers, R., et al. (2013). Gang membership, violence, and psychiatric morbidity. </w:t>
      </w:r>
      <w:r w:rsidRPr="007112B1">
        <w:rPr>
          <w:i/>
          <w:iCs/>
        </w:rPr>
        <w:t>American Journal of Psychiatry</w:t>
      </w:r>
      <w:r w:rsidRPr="007112B1">
        <w:t>, 170(9), 985-993.</w:t>
      </w:r>
    </w:p>
    <w:p w14:paraId="55E9235E" w14:textId="77777777" w:rsidR="00CA73D7" w:rsidRPr="007112B1" w:rsidRDefault="00CA73D7" w:rsidP="00CA73D7">
      <w:pPr>
        <w:numPr>
          <w:ilvl w:val="0"/>
          <w:numId w:val="21"/>
        </w:numPr>
      </w:pPr>
      <w:r w:rsidRPr="007112B1">
        <w:t xml:space="preserve">Crenshaw, K. (1991). Mapping the margins: Intersectionality, identity politics, and violence against women of colour. </w:t>
      </w:r>
      <w:r w:rsidRPr="007112B1">
        <w:rPr>
          <w:i/>
          <w:iCs/>
        </w:rPr>
        <w:t>Stanford Law Review</w:t>
      </w:r>
      <w:r w:rsidRPr="007112B1">
        <w:t>, 43(6), 1241-1299.</w:t>
      </w:r>
    </w:p>
    <w:p w14:paraId="6BFEA530" w14:textId="77777777" w:rsidR="00CA73D7" w:rsidRPr="007112B1" w:rsidRDefault="00CA73D7" w:rsidP="00CA73D7">
      <w:pPr>
        <w:numPr>
          <w:ilvl w:val="0"/>
          <w:numId w:val="21"/>
        </w:numPr>
      </w:pPr>
      <w:r w:rsidRPr="007112B1">
        <w:t xml:space="preserve">Dishion, T. J., </w:t>
      </w:r>
      <w:proofErr w:type="spellStart"/>
      <w:r w:rsidRPr="007112B1">
        <w:t>Véronneau</w:t>
      </w:r>
      <w:proofErr w:type="spellEnd"/>
      <w:r w:rsidRPr="007112B1">
        <w:t xml:space="preserve">, M. H., &amp; Myers, M. W. (2019). Cascading peer dynamics underlying the progression from problem behaviour to violence in adolescence. </w:t>
      </w:r>
      <w:r w:rsidRPr="007112B1">
        <w:rPr>
          <w:i/>
          <w:iCs/>
        </w:rPr>
        <w:t>Development and Psychopathology</w:t>
      </w:r>
      <w:r w:rsidRPr="007112B1">
        <w:t>, 22(4), 899-911.</w:t>
      </w:r>
    </w:p>
    <w:p w14:paraId="23140CB0" w14:textId="77777777" w:rsidR="00CA73D7" w:rsidRPr="007112B1" w:rsidRDefault="00CA73D7" w:rsidP="00CA73D7">
      <w:pPr>
        <w:numPr>
          <w:ilvl w:val="0"/>
          <w:numId w:val="21"/>
        </w:numPr>
      </w:pPr>
      <w:r w:rsidRPr="007112B1">
        <w:t xml:space="preserve">Fitzgerald, J., Schwartz, J., &amp; Heinrichs, B. (2021). School exclusion and its role in fostering gang affiliation: A systematic review. </w:t>
      </w:r>
      <w:r w:rsidRPr="007112B1">
        <w:rPr>
          <w:i/>
          <w:iCs/>
        </w:rPr>
        <w:t>Journal of Youth Studies</w:t>
      </w:r>
      <w:r w:rsidRPr="007112B1">
        <w:t>, 24(6), 758-775.</w:t>
      </w:r>
    </w:p>
    <w:p w14:paraId="5337854B" w14:textId="77777777" w:rsidR="00CA73D7" w:rsidRPr="007112B1" w:rsidRDefault="00CA73D7" w:rsidP="00CA73D7">
      <w:pPr>
        <w:numPr>
          <w:ilvl w:val="0"/>
          <w:numId w:val="21"/>
        </w:numPr>
      </w:pPr>
      <w:r w:rsidRPr="007112B1">
        <w:t xml:space="preserve">Harding, S. (2020). </w:t>
      </w:r>
      <w:r w:rsidRPr="007112B1">
        <w:rPr>
          <w:i/>
          <w:iCs/>
        </w:rPr>
        <w:t>The street casino: Survival in violent street gangs</w:t>
      </w:r>
      <w:r w:rsidRPr="007112B1">
        <w:t>. Policy Press.</w:t>
      </w:r>
    </w:p>
    <w:p w14:paraId="1401616B" w14:textId="77777777" w:rsidR="00CA73D7" w:rsidRPr="007112B1" w:rsidRDefault="00CA73D7" w:rsidP="00CA73D7">
      <w:pPr>
        <w:numPr>
          <w:ilvl w:val="0"/>
          <w:numId w:val="21"/>
        </w:numPr>
      </w:pPr>
      <w:r w:rsidRPr="007112B1">
        <w:t xml:space="preserve">Hesketh, O., Robinson, G., &amp; Densley, J. (2019). Gang-associated youth and social exclusion: Understanding the impact of deprivation and marginalization. </w:t>
      </w:r>
      <w:r w:rsidRPr="007112B1">
        <w:rPr>
          <w:i/>
          <w:iCs/>
        </w:rPr>
        <w:t>Crime &amp; Delinquency</w:t>
      </w:r>
      <w:r w:rsidRPr="007112B1">
        <w:t>, 65(7), 891-910.</w:t>
      </w:r>
    </w:p>
    <w:p w14:paraId="1403112D" w14:textId="77777777" w:rsidR="00CA73D7" w:rsidRPr="007112B1" w:rsidRDefault="00CA73D7" w:rsidP="00CA73D7">
      <w:pPr>
        <w:numPr>
          <w:ilvl w:val="0"/>
          <w:numId w:val="21"/>
        </w:numPr>
      </w:pPr>
      <w:r w:rsidRPr="007112B1">
        <w:t xml:space="preserve">Hughes, K., Bellis, M. A., Hardcastle, K. A., et al. (2017). The effect of multiple adverse childhood experiences on health: a systematic review and meta-analysis. </w:t>
      </w:r>
      <w:r w:rsidRPr="007112B1">
        <w:rPr>
          <w:i/>
          <w:iCs/>
        </w:rPr>
        <w:t>The Lancet Public Health</w:t>
      </w:r>
      <w:r w:rsidRPr="007112B1">
        <w:t>, 2(8), e356-e366.</w:t>
      </w:r>
    </w:p>
    <w:p w14:paraId="54B6B3E1" w14:textId="77777777" w:rsidR="00CA73D7" w:rsidRDefault="00CA73D7" w:rsidP="00CA73D7">
      <w:pPr>
        <w:numPr>
          <w:ilvl w:val="0"/>
          <w:numId w:val="21"/>
        </w:numPr>
      </w:pPr>
      <w:r w:rsidRPr="007112B1">
        <w:t xml:space="preserve">Sampson, R. J., &amp; Groves, W. B. (1989). Community structure and crime: Testing social-disorganization theory. </w:t>
      </w:r>
      <w:r w:rsidRPr="007112B1">
        <w:rPr>
          <w:i/>
          <w:iCs/>
        </w:rPr>
        <w:t>American Journal of Sociology</w:t>
      </w:r>
      <w:r w:rsidRPr="007112B1">
        <w:t>, 94(4), 774-802.</w:t>
      </w:r>
    </w:p>
    <w:p w14:paraId="001F91FD" w14:textId="77777777" w:rsidR="00CA73D7" w:rsidRDefault="00CA73D7" w:rsidP="00CA73D7">
      <w:r>
        <w:br w:type="page"/>
      </w:r>
    </w:p>
    <w:p w14:paraId="563042D1" w14:textId="77777777" w:rsidR="00CA73D7" w:rsidRPr="00575E30" w:rsidRDefault="00CA73D7" w:rsidP="00CA73D7">
      <w:r w:rsidRPr="00575E30">
        <w:rPr>
          <w:b/>
          <w:bCs/>
        </w:rPr>
        <w:lastRenderedPageBreak/>
        <w:t>Essay three – Vulnerability &amp; Risk</w:t>
      </w:r>
    </w:p>
    <w:p w14:paraId="148036B4" w14:textId="77777777" w:rsidR="00CA73D7" w:rsidRPr="006467F1" w:rsidRDefault="00CA73D7" w:rsidP="00CA73D7">
      <w:pPr>
        <w:rPr>
          <w:b/>
          <w:bCs/>
        </w:rPr>
      </w:pPr>
      <w:r w:rsidRPr="006467F1">
        <w:rPr>
          <w:b/>
          <w:bCs/>
        </w:rPr>
        <w:t>Is early intervention an effective means of preventing young people from offending? What increases or detracts from its effectiveness?</w:t>
      </w:r>
    </w:p>
    <w:p w14:paraId="15BF5309" w14:textId="77777777" w:rsidR="00CA73D7" w:rsidRPr="006467F1" w:rsidRDefault="00CA73D7" w:rsidP="00CA73D7">
      <w:pPr>
        <w:rPr>
          <w:b/>
          <w:bCs/>
        </w:rPr>
      </w:pPr>
      <w:r w:rsidRPr="006467F1">
        <w:rPr>
          <w:b/>
          <w:bCs/>
        </w:rPr>
        <w:t>Your answer must be based on academic research.</w:t>
      </w:r>
    </w:p>
    <w:p w14:paraId="67E14A39" w14:textId="104ED6C8" w:rsidR="00CA73D7" w:rsidRPr="00575E30" w:rsidRDefault="00CA73D7" w:rsidP="00CA73D7">
      <w:r w:rsidRPr="00575E30">
        <w:rPr>
          <w:b/>
          <w:bCs/>
        </w:rPr>
        <w:t xml:space="preserve">Word </w:t>
      </w:r>
      <w:r w:rsidR="006467F1">
        <w:rPr>
          <w:b/>
          <w:bCs/>
        </w:rPr>
        <w:t>count</w:t>
      </w:r>
      <w:r w:rsidRPr="00575E30">
        <w:rPr>
          <w:b/>
          <w:bCs/>
        </w:rPr>
        <w:t>: </w:t>
      </w:r>
      <w:r w:rsidR="00E6064B" w:rsidRPr="009347DA">
        <w:rPr>
          <w:b/>
          <w:bCs/>
        </w:rPr>
        <w:t>922</w:t>
      </w:r>
      <w:r w:rsidRPr="009347DA">
        <w:rPr>
          <w:b/>
          <w:bCs/>
        </w:rPr>
        <w:t xml:space="preserve"> words.</w:t>
      </w:r>
    </w:p>
    <w:p w14:paraId="39DF480A" w14:textId="77777777" w:rsidR="00CA73D7" w:rsidRPr="00FF2A08" w:rsidRDefault="00CA73D7" w:rsidP="00CA73D7">
      <w:r w:rsidRPr="00FF2A08">
        <w:t xml:space="preserve">Youth offending within the criminal justice system raises challenges to the implemented systems and organisations, this area requires solid strategies that address both its short and long-term impacts. Early intervention is designed to tackle the risk factors of criminal behaviour before it escalates. This has gained significant attention from policymakers and researchers alike. This essay is going to examine the effectiveness of early intervention in reducing youth offending. There will be supporting evidence, and it will consider the areas that either strengthen or reduce its success. </w:t>
      </w:r>
    </w:p>
    <w:p w14:paraId="442BAC94" w14:textId="77777777" w:rsidR="00E6064B" w:rsidRDefault="00E6064B" w:rsidP="00CA73D7">
      <w:pPr>
        <w:rPr>
          <w:b/>
          <w:bCs/>
        </w:rPr>
      </w:pPr>
    </w:p>
    <w:p w14:paraId="0EDDC955" w14:textId="1E1FC740" w:rsidR="00CA73D7" w:rsidRPr="00266D08" w:rsidRDefault="00CA73D7" w:rsidP="00CA73D7">
      <w:r w:rsidRPr="00266D08">
        <w:t>Early intervention is crucial in the developmental aspect of criminology. This highlights the criminal behaviour which frequently arises from adverse developmental pathways shaped by risk and protective factors. Risk factors include family disfunction, low educational achievement, social economic hardship, and association with delinquent peers (Farrington &amp; Welsh, 2007). On the other hand, protective factors such as strong family connections, academic success, and community support act as buffers against these risks (Hawkins et al., 1992). The goal of early intervention is to alter the direction towards offending by targeting these risk factors during the early developmental stages of this process.</w:t>
      </w:r>
    </w:p>
    <w:p w14:paraId="43419691" w14:textId="77777777" w:rsidR="00E6064B" w:rsidRDefault="00E6064B" w:rsidP="00CA73D7">
      <w:pPr>
        <w:rPr>
          <w:b/>
          <w:bCs/>
        </w:rPr>
      </w:pPr>
    </w:p>
    <w:p w14:paraId="1D68743D" w14:textId="5A888ACC" w:rsidR="00CA73D7" w:rsidRPr="00FE2651" w:rsidRDefault="00CA73D7" w:rsidP="00CA73D7">
      <w:r w:rsidRPr="00FE2651">
        <w:t>Academic studies demonstrate that early intervention can reduce the likelihood of youth offending. One example is the “Perry Preschool Project,” this is a study that provides early childhood education to disadvantaged children. The children who completed this project showed lower rates of criminal behaviour in adulthood compared to a controlled group how did not complete this project (Schweinhart et al., 2005). Similarly, the “Nurse-Family Partnership” (NFP) program, delivers home visits by qualified nurses to first time and low-income mothers, has shown reduction in the number of juveniles who commit crime among children whose families received the intervention (Olds et al., 1998).</w:t>
      </w:r>
    </w:p>
    <w:p w14:paraId="4B400214" w14:textId="77777777" w:rsidR="00CA73D7" w:rsidRPr="008D7394" w:rsidRDefault="00CA73D7" w:rsidP="00CA73D7">
      <w:r w:rsidRPr="008D7394">
        <w:t>School based programs also show promising results. The “Seattle Social Development Project” promotes academic achievement and social competence. This has demonstrated long term reductions in antisocial behaviour and criminal activities among the persons who have attended this project (Hawkins et al., 1999). Furthermore, multi-issue interventions, such as Multisystemic Therapy (MST), combines family, peer, and community-based policies and strategies, have been particularly effective in addressing abnormal child and adult behaviours (Henggeler et al., 2009).</w:t>
      </w:r>
    </w:p>
    <w:p w14:paraId="719CA2C3" w14:textId="7D41D88F" w:rsidR="00CA73D7" w:rsidRPr="00C44492" w:rsidRDefault="00CA73D7" w:rsidP="00CA73D7">
      <w:pPr>
        <w:rPr>
          <w:b/>
          <w:bCs/>
        </w:rPr>
      </w:pPr>
    </w:p>
    <w:p w14:paraId="211D0974" w14:textId="067313B9" w:rsidR="00CA73D7" w:rsidRPr="00C44492" w:rsidRDefault="00CA73D7" w:rsidP="00E6064B">
      <w:r w:rsidRPr="00C44492">
        <w:t>Creating procedures to address specific risk factors increases the effectiveness of this process. For example, programs focusing on improving parenting skills, such as Triple P (Positive Parenting Program), have been successful in reducing child behavioural problems linked to later life offending (Sanders et al., 2003).</w:t>
      </w:r>
    </w:p>
    <w:p w14:paraId="72006F4B" w14:textId="5DF08AAE" w:rsidR="00CA73D7" w:rsidRPr="00C44492" w:rsidRDefault="00CA73D7" w:rsidP="00E6064B">
      <w:r w:rsidRPr="00C44492">
        <w:lastRenderedPageBreak/>
        <w:t>Intervening during early childhood or adolescence is critical. These periods of cognitive and social development provide the person with the best opportunity and will reduce the impact. The earlier the intervention, the more likely it is to change their pathway in their developmental (Farrington, 2003).</w:t>
      </w:r>
    </w:p>
    <w:p w14:paraId="15BA8D61" w14:textId="78480DBA" w:rsidR="00CA73D7" w:rsidRPr="00C44492" w:rsidRDefault="00CA73D7" w:rsidP="00E6064B">
      <w:r w:rsidRPr="00C44492">
        <w:t>Programs addressing multiple areas such as family, school, and community are more effective than those targeting a single area. For example, MST’s success</w:t>
      </w:r>
      <w:r>
        <w:t xml:space="preserve"> shows</w:t>
      </w:r>
      <w:r w:rsidRPr="00C44492">
        <w:t xml:space="preserve"> its ability to include process</w:t>
      </w:r>
      <w:r>
        <w:t>es</w:t>
      </w:r>
      <w:r w:rsidRPr="00C44492">
        <w:t xml:space="preserve"> across various systems (Henggeler et al., 2009).</w:t>
      </w:r>
    </w:p>
    <w:p w14:paraId="30CE82E7" w14:textId="019BE2BB" w:rsidR="00CA73D7" w:rsidRPr="00B665E8" w:rsidRDefault="00CA73D7" w:rsidP="00E6064B">
      <w:r w:rsidRPr="00B665E8">
        <w:t>Long term achievements will depend on process and require follow-up appointments. Short term programs often fail to produce lasting effects unless reinforced over time (Schweinhart et al., 2005).</w:t>
      </w:r>
    </w:p>
    <w:p w14:paraId="7D80A863" w14:textId="2AD9088B" w:rsidR="00CA73D7" w:rsidRPr="005300AD" w:rsidRDefault="00CA73D7" w:rsidP="00E6064B">
      <w:r w:rsidRPr="005300AD">
        <w:t>Programs tailored to the cultural and social requirements of the persons undertaking the program are more likely to engage and achieve positive outcomes (Shaw et al., 2016).</w:t>
      </w:r>
    </w:p>
    <w:p w14:paraId="4BC8E150" w14:textId="6F70CC8E" w:rsidR="00CA73D7" w:rsidRPr="00882D34" w:rsidRDefault="00CA73D7" w:rsidP="00CA73D7">
      <w:pPr>
        <w:rPr>
          <w:b/>
          <w:bCs/>
        </w:rPr>
      </w:pPr>
    </w:p>
    <w:p w14:paraId="7478A3EF" w14:textId="77777777" w:rsidR="00CA73D7" w:rsidRPr="00882D34" w:rsidRDefault="00CA73D7" w:rsidP="00CA73D7">
      <w:r w:rsidRPr="00882D34">
        <w:t>Early intervention faces several challenges to achieve full effectiveness:</w:t>
      </w:r>
    </w:p>
    <w:p w14:paraId="35CBD80C" w14:textId="77777777" w:rsidR="00E6064B" w:rsidRDefault="00CA73D7" w:rsidP="00E6064B">
      <w:r w:rsidRPr="00882D34">
        <w:t>Any changes in the implementation of this program can undermine outcomes. Deviations from the intended design which is caused due to resource constraints or inadequate training, reduces its effectiveness (Durlak &amp; Dupre, 2008).</w:t>
      </w:r>
    </w:p>
    <w:p w14:paraId="58E7BCD8" w14:textId="42BF0912" w:rsidR="00CA73D7" w:rsidRPr="00C20197" w:rsidRDefault="00CA73D7" w:rsidP="00E6064B">
      <w:r w:rsidRPr="00C20197">
        <w:t>High quality interventions require substantial financial and human resources. These pose barriers to the scale of the process. Cost effectiveness is essential to prioritise programs with the greatest social impact (Heckman et al., 2010).</w:t>
      </w:r>
    </w:p>
    <w:p w14:paraId="4D44A281" w14:textId="4458E246" w:rsidR="00CA73D7" w:rsidRPr="00C20197" w:rsidRDefault="00CA73D7" w:rsidP="00E6064B">
      <w:r w:rsidRPr="00C20197">
        <w:t>Labelling young people or families as “at risk” may lead to this terminology being used. This can have a negative impact on their engagement and reduce their social interactions (McAra &amp; McVie, 2007).</w:t>
      </w:r>
    </w:p>
    <w:p w14:paraId="5D1B0840" w14:textId="4C70CFA7" w:rsidR="00CA73D7" w:rsidRPr="00C20197" w:rsidRDefault="00CA73D7" w:rsidP="00E6064B">
      <w:r w:rsidRPr="00C20197">
        <w:t>Programs often struggle to engage hard to reach areas, such as families who have been assessed to have disadvantages or those how have no trust with proven systems (Axford &amp; Morpeth, 2013).</w:t>
      </w:r>
    </w:p>
    <w:p w14:paraId="711873D6" w14:textId="57175300" w:rsidR="00CA73D7" w:rsidRPr="00C20197" w:rsidRDefault="00CA73D7" w:rsidP="00E6064B">
      <w:r w:rsidRPr="00C20197">
        <w:t xml:space="preserve">Youth offending have been linked with </w:t>
      </w:r>
      <w:proofErr w:type="gramStart"/>
      <w:r w:rsidRPr="00C20197">
        <w:t>a number of</w:t>
      </w:r>
      <w:proofErr w:type="gramEnd"/>
      <w:r w:rsidRPr="00C20197">
        <w:t xml:space="preserve"> complex factors. This makes it difficult to isolate the actual effects of individual. To evaluate effectiveness accurately, assessments must account for the various outcomes that are available and have been recognised in this field (Farrington &amp; Welsh, 2007).</w:t>
      </w:r>
    </w:p>
    <w:p w14:paraId="5220CADB" w14:textId="5638362D" w:rsidR="00CA73D7" w:rsidRPr="00303A50" w:rsidRDefault="00CA73D7" w:rsidP="00CA73D7">
      <w:pPr>
        <w:rPr>
          <w:b/>
          <w:bCs/>
        </w:rPr>
      </w:pPr>
    </w:p>
    <w:p w14:paraId="4F1325F9" w14:textId="77777777" w:rsidR="00CA73D7" w:rsidRPr="00303A50" w:rsidRDefault="00CA73D7" w:rsidP="00CA73D7">
      <w:r w:rsidRPr="00303A50">
        <w:t>To promote the effectiveness of early intervention, policymakers must prioritise evidence-based programs with noticeable outcomes. Investment in training and resources ensures loyalty to program designs. Adopting a multi-agency approach that combines education, health, and social services promotes a coordinated response to youth offending (Hawkins et al., 1999).</w:t>
      </w:r>
    </w:p>
    <w:p w14:paraId="50DCF119" w14:textId="12A26941" w:rsidR="00CA73D7" w:rsidRPr="00E6064B" w:rsidRDefault="00CA73D7" w:rsidP="00CA73D7">
      <w:r w:rsidRPr="00303A50">
        <w:t>Programs should also include community involvement to gain trust and cultural knowledge in this area. Encouraging partners and staff in the design and implementation process which will increase sustainability and confidence. Finally, strict monitoring and evaluation frameworks are essential for continuous improvement, enabling adaptations based on evidence through academic research (Durlak &amp; Dupre, 2008).</w:t>
      </w:r>
    </w:p>
    <w:p w14:paraId="471A3A00" w14:textId="77777777" w:rsidR="00CA73D7" w:rsidRDefault="00CA73D7" w:rsidP="00CA73D7">
      <w:r w:rsidRPr="00B37E76">
        <w:lastRenderedPageBreak/>
        <w:t>Whilst researching this topic I have found that early intervention is critical for the prevention youth offending. There is a wide variety of research with evidence supporting its efficiency. Programs that target specific risk factors, adopt a complete approach, and show the developmental timing whilst demonstrating the greatest success. However, challenges such as resource limitations, implementation of reliability and engagement must be addressed to achieve the maximum impact. Prioritising evidence-based practices and implementing a collaborative and community-driven approach, early intervention can play a crucial role in reducing youth offending and promoting social well-being.</w:t>
      </w:r>
    </w:p>
    <w:p w14:paraId="7B772697" w14:textId="77777777" w:rsidR="00E6064B" w:rsidRDefault="00E6064B" w:rsidP="00CA73D7">
      <w:pPr>
        <w:rPr>
          <w:color w:val="FF0000"/>
        </w:rPr>
      </w:pPr>
    </w:p>
    <w:p w14:paraId="502669DE" w14:textId="3B926D48" w:rsidR="00CA73D7" w:rsidRPr="00CB5418" w:rsidRDefault="00CA73D7" w:rsidP="00CA73D7">
      <w:pPr>
        <w:rPr>
          <w:b/>
          <w:bCs/>
        </w:rPr>
      </w:pPr>
      <w:r w:rsidRPr="00CB5418">
        <w:rPr>
          <w:b/>
          <w:bCs/>
        </w:rPr>
        <w:t>References</w:t>
      </w:r>
    </w:p>
    <w:p w14:paraId="6CB84F8C" w14:textId="77777777" w:rsidR="00CA73D7" w:rsidRPr="00CB5418" w:rsidRDefault="00CA73D7" w:rsidP="00CA73D7">
      <w:pPr>
        <w:numPr>
          <w:ilvl w:val="0"/>
          <w:numId w:val="24"/>
        </w:numPr>
      </w:pPr>
      <w:r w:rsidRPr="00CB5418">
        <w:t xml:space="preserve">Axford, N., &amp; Morpeth, L. (2013). Evidence-based programs for families: Promoting engagement and adherence. </w:t>
      </w:r>
      <w:r w:rsidRPr="00CB5418">
        <w:rPr>
          <w:i/>
          <w:iCs/>
        </w:rPr>
        <w:t>Journal of Family Psychology, 27</w:t>
      </w:r>
      <w:r w:rsidRPr="00CB5418">
        <w:t>(2), 221-230.</w:t>
      </w:r>
    </w:p>
    <w:p w14:paraId="75D0AF42" w14:textId="77777777" w:rsidR="00CA73D7" w:rsidRPr="00CB5418" w:rsidRDefault="00CA73D7" w:rsidP="00CA73D7">
      <w:pPr>
        <w:numPr>
          <w:ilvl w:val="0"/>
          <w:numId w:val="24"/>
        </w:numPr>
      </w:pPr>
      <w:r w:rsidRPr="00CB5418">
        <w:t xml:space="preserve">Durlak, J. A., &amp; Dupre, E. P. (2008). Implementation matters: A review of research on the influence of implementation on program outcomes and the factors affecting implementation. </w:t>
      </w:r>
      <w:r w:rsidRPr="00CB5418">
        <w:rPr>
          <w:i/>
          <w:iCs/>
        </w:rPr>
        <w:t>American Journal of Community Psychology, 41</w:t>
      </w:r>
      <w:r w:rsidRPr="00CB5418">
        <w:t>(3-4), 327-350.</w:t>
      </w:r>
    </w:p>
    <w:p w14:paraId="61E06B7D" w14:textId="77777777" w:rsidR="00CA73D7" w:rsidRPr="00CB5418" w:rsidRDefault="00CA73D7" w:rsidP="00CA73D7">
      <w:pPr>
        <w:numPr>
          <w:ilvl w:val="0"/>
          <w:numId w:val="24"/>
        </w:numPr>
      </w:pPr>
      <w:r w:rsidRPr="00CB5418">
        <w:t xml:space="preserve">Farrington, D. P. (2003). Developmental and life-course criminology: Key theoretical and empirical issues. </w:t>
      </w:r>
      <w:r w:rsidRPr="00CB5418">
        <w:rPr>
          <w:i/>
          <w:iCs/>
        </w:rPr>
        <w:t>Criminology, 41</w:t>
      </w:r>
      <w:r w:rsidRPr="00CB5418">
        <w:t>(2), 221-255.</w:t>
      </w:r>
    </w:p>
    <w:p w14:paraId="798885A1" w14:textId="77777777" w:rsidR="00CA73D7" w:rsidRPr="00CB5418" w:rsidRDefault="00CA73D7" w:rsidP="00CA73D7">
      <w:pPr>
        <w:numPr>
          <w:ilvl w:val="0"/>
          <w:numId w:val="24"/>
        </w:numPr>
      </w:pPr>
      <w:r w:rsidRPr="00CB5418">
        <w:t xml:space="preserve">Farrington, D. P., &amp; Welsh, B. C. (2007). Saving children from a life of crime: Early risk factors and effective interventions. </w:t>
      </w:r>
      <w:r w:rsidRPr="00CB5418">
        <w:rPr>
          <w:i/>
          <w:iCs/>
        </w:rPr>
        <w:t>Oxford University Press</w:t>
      </w:r>
      <w:r w:rsidRPr="00CB5418">
        <w:t>.</w:t>
      </w:r>
    </w:p>
    <w:p w14:paraId="057B6EEC" w14:textId="77777777" w:rsidR="00CA73D7" w:rsidRPr="00CB5418" w:rsidRDefault="00CA73D7" w:rsidP="00CA73D7">
      <w:pPr>
        <w:numPr>
          <w:ilvl w:val="0"/>
          <w:numId w:val="24"/>
        </w:numPr>
      </w:pPr>
      <w:r w:rsidRPr="00CB5418">
        <w:t xml:space="preserve">Hawkins, J. D., Catalano, R. F., &amp; Kosterman, R. (1999). Preventing adolescent health-risk behaviours by strengthening protection during childhood. </w:t>
      </w:r>
      <w:r w:rsidRPr="00CB5418">
        <w:rPr>
          <w:i/>
          <w:iCs/>
        </w:rPr>
        <w:t>Archives of Paediatrics &amp; Adolescent Medicine, 153</w:t>
      </w:r>
      <w:r w:rsidRPr="00CB5418">
        <w:t>(3), 226-234.</w:t>
      </w:r>
    </w:p>
    <w:p w14:paraId="6B5B09E8" w14:textId="77777777" w:rsidR="00CA73D7" w:rsidRPr="00CB5418" w:rsidRDefault="00CA73D7" w:rsidP="00CA73D7">
      <w:pPr>
        <w:numPr>
          <w:ilvl w:val="0"/>
          <w:numId w:val="24"/>
        </w:numPr>
      </w:pPr>
      <w:r w:rsidRPr="00CB5418">
        <w:t xml:space="preserve">Heckman, J. J., Moon, S. H., Pinto, R., Savelyev, P. A., &amp; </w:t>
      </w:r>
      <w:proofErr w:type="spellStart"/>
      <w:r w:rsidRPr="00CB5418">
        <w:t>Yavitz</w:t>
      </w:r>
      <w:proofErr w:type="spellEnd"/>
      <w:r w:rsidRPr="00CB5418">
        <w:t xml:space="preserve">, A. (2010). The rate of return to the </w:t>
      </w:r>
      <w:proofErr w:type="spellStart"/>
      <w:r w:rsidRPr="00CB5418">
        <w:t>HighScope</w:t>
      </w:r>
      <w:proofErr w:type="spellEnd"/>
      <w:r w:rsidRPr="00CB5418">
        <w:t xml:space="preserve"> Perry Preschool Program. </w:t>
      </w:r>
      <w:r w:rsidRPr="00CB5418">
        <w:rPr>
          <w:i/>
          <w:iCs/>
        </w:rPr>
        <w:t>Journal of Public Economics, 94</w:t>
      </w:r>
      <w:r w:rsidRPr="00CB5418">
        <w:t>(1-2), 114-128.</w:t>
      </w:r>
    </w:p>
    <w:p w14:paraId="1E97EFA3" w14:textId="77777777" w:rsidR="00CA73D7" w:rsidRPr="00CB5418" w:rsidRDefault="00CA73D7" w:rsidP="00CA73D7">
      <w:pPr>
        <w:numPr>
          <w:ilvl w:val="0"/>
          <w:numId w:val="24"/>
        </w:numPr>
      </w:pPr>
      <w:r w:rsidRPr="00CB5418">
        <w:t xml:space="preserve">Henggeler, S. W., Schoenwald, S. K., </w:t>
      </w:r>
      <w:proofErr w:type="spellStart"/>
      <w:r w:rsidRPr="00CB5418">
        <w:t>Borduin</w:t>
      </w:r>
      <w:proofErr w:type="spellEnd"/>
      <w:r w:rsidRPr="00CB5418">
        <w:t xml:space="preserve">, C. M., Rowland, M. D., &amp; Cunningham, P. B. (2009). </w:t>
      </w:r>
      <w:r w:rsidRPr="00CB5418">
        <w:rPr>
          <w:i/>
          <w:iCs/>
        </w:rPr>
        <w:t>Multisystemic therapy for antisocial behaviour in children and adolescents.</w:t>
      </w:r>
      <w:r w:rsidRPr="00CB5418">
        <w:t xml:space="preserve"> Guilford Press.</w:t>
      </w:r>
    </w:p>
    <w:p w14:paraId="45D0F87C" w14:textId="77777777" w:rsidR="00CA73D7" w:rsidRPr="00CB5418" w:rsidRDefault="00CA73D7" w:rsidP="00CA73D7">
      <w:pPr>
        <w:numPr>
          <w:ilvl w:val="0"/>
          <w:numId w:val="24"/>
        </w:numPr>
      </w:pPr>
      <w:r w:rsidRPr="00CB5418">
        <w:t xml:space="preserve">McAra, L., &amp; McVie, S. (2007). Youth justice? The impact of system contacts on patterns of desistance from offending. </w:t>
      </w:r>
      <w:r w:rsidRPr="00CB5418">
        <w:rPr>
          <w:i/>
          <w:iCs/>
        </w:rPr>
        <w:t>European Journal of Criminology, 4</w:t>
      </w:r>
      <w:r w:rsidRPr="00CB5418">
        <w:t>(3), 315-345.</w:t>
      </w:r>
    </w:p>
    <w:p w14:paraId="7CD996B1" w14:textId="77777777" w:rsidR="00CA73D7" w:rsidRPr="00CB5418" w:rsidRDefault="00CA73D7" w:rsidP="00CA73D7">
      <w:pPr>
        <w:numPr>
          <w:ilvl w:val="0"/>
          <w:numId w:val="24"/>
        </w:numPr>
      </w:pPr>
      <w:r w:rsidRPr="00CB5418">
        <w:t xml:space="preserve">Olds, D. L., Henderson, C. R., Cole, R., Eckenrode, J., Kitzman, H., Luckey, D., &amp; Powers, J. (1998). Long-term effects of nurse home visitation on children’s criminal and antisocial behaviour. </w:t>
      </w:r>
      <w:r w:rsidRPr="00CB5418">
        <w:rPr>
          <w:i/>
          <w:iCs/>
        </w:rPr>
        <w:t>Journal of the American Medical Association, 280</w:t>
      </w:r>
      <w:r w:rsidRPr="00CB5418">
        <w:t>(14), 1238-1244.</w:t>
      </w:r>
    </w:p>
    <w:p w14:paraId="427708D9" w14:textId="77777777" w:rsidR="00CA73D7" w:rsidRPr="00CB5418" w:rsidRDefault="00CA73D7" w:rsidP="00CA73D7">
      <w:pPr>
        <w:numPr>
          <w:ilvl w:val="0"/>
          <w:numId w:val="24"/>
        </w:numPr>
      </w:pPr>
      <w:r w:rsidRPr="00CB5418">
        <w:t>Sanders, M. R., Markie-</w:t>
      </w:r>
      <w:proofErr w:type="spellStart"/>
      <w:r w:rsidRPr="00CB5418">
        <w:t>Dadds</w:t>
      </w:r>
      <w:proofErr w:type="spellEnd"/>
      <w:r w:rsidRPr="00CB5418">
        <w:t xml:space="preserve">, C., Tully, L. A., &amp; </w:t>
      </w:r>
      <w:proofErr w:type="spellStart"/>
      <w:r w:rsidRPr="00CB5418">
        <w:t>Bor</w:t>
      </w:r>
      <w:proofErr w:type="spellEnd"/>
      <w:r w:rsidRPr="00CB5418">
        <w:t xml:space="preserve">, W. (2003). The Triple P-Positive Parenting Program: A comparison of enhanced, standard, and self-directed behavioural family intervention for parents of children with early onset conduct problems. </w:t>
      </w:r>
      <w:r w:rsidRPr="00CB5418">
        <w:rPr>
          <w:i/>
          <w:iCs/>
        </w:rPr>
        <w:t>Journal of Consulting and Clinical Psychology, 68</w:t>
      </w:r>
      <w:r w:rsidRPr="00CB5418">
        <w:t>(4), 624-640.</w:t>
      </w:r>
    </w:p>
    <w:p w14:paraId="6B9B531B" w14:textId="77777777" w:rsidR="00CA73D7" w:rsidRPr="00CB5418" w:rsidRDefault="00CA73D7" w:rsidP="00CA73D7">
      <w:pPr>
        <w:numPr>
          <w:ilvl w:val="0"/>
          <w:numId w:val="24"/>
        </w:numPr>
      </w:pPr>
      <w:r w:rsidRPr="00CB5418">
        <w:t xml:space="preserve">Schweinhart, L. J., Montie, J., Xiang, Z., Barnett, W. S., Belfield, C. R., &amp; Nores, M. (2005). </w:t>
      </w:r>
      <w:r w:rsidRPr="00CB5418">
        <w:rPr>
          <w:i/>
          <w:iCs/>
        </w:rPr>
        <w:t>Lifetime effects: The High Scope Perry Preschool Study through age 40.</w:t>
      </w:r>
      <w:r w:rsidRPr="00CB5418">
        <w:t xml:space="preserve"> High Scope Press.</w:t>
      </w:r>
    </w:p>
    <w:p w14:paraId="40D030B0" w14:textId="77777777" w:rsidR="00CA73D7" w:rsidRPr="00CB5418" w:rsidRDefault="00CA73D7" w:rsidP="00CA73D7">
      <w:pPr>
        <w:numPr>
          <w:ilvl w:val="0"/>
          <w:numId w:val="24"/>
        </w:numPr>
      </w:pPr>
      <w:r w:rsidRPr="00CB5418">
        <w:lastRenderedPageBreak/>
        <w:t xml:space="preserve">Shaw, T. V., Bright, C. L., &amp; Sharpe, T. L. (2016). Child welfare outcomes for families receiving community-based services: Findings from a quasi-experimental design. </w:t>
      </w:r>
      <w:r w:rsidRPr="00CB5418">
        <w:rPr>
          <w:i/>
          <w:iCs/>
        </w:rPr>
        <w:t>Children and Youth Services Review, 68</w:t>
      </w:r>
      <w:r w:rsidRPr="00CB5418">
        <w:t>, 165-172.</w:t>
      </w:r>
    </w:p>
    <w:p w14:paraId="0DE8AFC6" w14:textId="77777777" w:rsidR="00CA73D7" w:rsidRPr="007112B1" w:rsidRDefault="00CA73D7" w:rsidP="00CA73D7"/>
    <w:p w14:paraId="32ABFE9F" w14:textId="77777777" w:rsidR="00CA73D7" w:rsidRPr="00535B05" w:rsidRDefault="00CA73D7" w:rsidP="00CA73D7"/>
    <w:p w14:paraId="0B53DC60" w14:textId="77777777" w:rsidR="00CA73D7" w:rsidRDefault="00CA73D7" w:rsidP="00CA73D7">
      <w:r>
        <w:br w:type="page"/>
      </w:r>
    </w:p>
    <w:p w14:paraId="2B3A14B6" w14:textId="77777777" w:rsidR="00CA73D7" w:rsidRPr="006E75E1" w:rsidRDefault="00CA73D7" w:rsidP="00CA73D7">
      <w:r w:rsidRPr="006E75E1">
        <w:rPr>
          <w:b/>
          <w:bCs/>
        </w:rPr>
        <w:lastRenderedPageBreak/>
        <w:t>Essay four – Valuing Difference &amp; Inclusion</w:t>
      </w:r>
    </w:p>
    <w:p w14:paraId="6E3948AE" w14:textId="77777777" w:rsidR="00CA73D7" w:rsidRPr="009347DA" w:rsidRDefault="00CA73D7" w:rsidP="00CA73D7">
      <w:pPr>
        <w:rPr>
          <w:b/>
          <w:bCs/>
        </w:rPr>
      </w:pPr>
      <w:r w:rsidRPr="009347DA">
        <w:rPr>
          <w:b/>
          <w:bCs/>
        </w:rPr>
        <w:t>How effectively has policing adapted to accommodate diversity within the UK?</w:t>
      </w:r>
    </w:p>
    <w:p w14:paraId="26A62EC1" w14:textId="77777777" w:rsidR="00CA73D7" w:rsidRPr="009347DA" w:rsidRDefault="00CA73D7" w:rsidP="00CA73D7">
      <w:pPr>
        <w:rPr>
          <w:b/>
          <w:bCs/>
        </w:rPr>
      </w:pPr>
      <w:r w:rsidRPr="009347DA">
        <w:rPr>
          <w:b/>
          <w:bCs/>
        </w:rPr>
        <w:t>Consider the police force itself and/or the way police engage with diverse communities.</w:t>
      </w:r>
    </w:p>
    <w:p w14:paraId="505C592F" w14:textId="77777777" w:rsidR="00CA73D7" w:rsidRPr="009347DA" w:rsidRDefault="00CA73D7" w:rsidP="00CA73D7">
      <w:pPr>
        <w:rPr>
          <w:b/>
          <w:bCs/>
        </w:rPr>
      </w:pPr>
      <w:r w:rsidRPr="009347DA">
        <w:rPr>
          <w:b/>
          <w:bCs/>
        </w:rPr>
        <w:t>Support your answer with relevant evidence drawn from academic sources.</w:t>
      </w:r>
    </w:p>
    <w:p w14:paraId="15611630" w14:textId="5A21AE0A" w:rsidR="00CA73D7" w:rsidRPr="009D051C" w:rsidRDefault="00CA73D7" w:rsidP="00CA73D7">
      <w:pPr>
        <w:rPr>
          <w:b/>
          <w:bCs/>
        </w:rPr>
      </w:pPr>
      <w:r w:rsidRPr="006E75E1">
        <w:rPr>
          <w:b/>
          <w:bCs/>
        </w:rPr>
        <w:t xml:space="preserve">Word </w:t>
      </w:r>
      <w:r w:rsidR="00A93C4A">
        <w:rPr>
          <w:b/>
          <w:bCs/>
        </w:rPr>
        <w:t>count</w:t>
      </w:r>
      <w:r w:rsidRPr="006E75E1">
        <w:rPr>
          <w:b/>
          <w:bCs/>
        </w:rPr>
        <w:t>: </w:t>
      </w:r>
      <w:r w:rsidR="009D051C">
        <w:t>977</w:t>
      </w:r>
      <w:r w:rsidRPr="006E75E1">
        <w:t xml:space="preserve"> words.</w:t>
      </w:r>
    </w:p>
    <w:p w14:paraId="4602DD30" w14:textId="77777777" w:rsidR="009D051C" w:rsidRPr="00423C58" w:rsidRDefault="009D051C" w:rsidP="009D051C">
      <w:r w:rsidRPr="00423C58">
        <w:t>In modern day policing, diversity and inclusion is important, valuing difference and ensuring equal treatment to all due to the United Kingdom being a multicultural society. Therefore, demands that the police service represent its diverse community and engage well within this. This essay will include what the police force has adapted to accommodate the diversity within the UK, considering both internal reforms and external community engagement strategies. This essay will be supported with research and policies to provide a critical dynamic on the progress and challenges which are faced. </w:t>
      </w:r>
    </w:p>
    <w:p w14:paraId="76EC44EA" w14:textId="77777777" w:rsidR="009D051C" w:rsidRPr="00423C58" w:rsidRDefault="009D051C" w:rsidP="009D051C">
      <w:r w:rsidRPr="00423C58">
        <w:t xml:space="preserve">UK </w:t>
      </w:r>
      <w:r w:rsidRPr="008107D7">
        <w:t>P</w:t>
      </w:r>
      <w:r w:rsidRPr="00423C58">
        <w:t>olice</w:t>
      </w:r>
      <w:r w:rsidRPr="008107D7">
        <w:t xml:space="preserve"> organisations have attempted </w:t>
      </w:r>
      <w:r w:rsidRPr="00423C58">
        <w:t xml:space="preserve">to improve diversity for decades. </w:t>
      </w:r>
      <w:r w:rsidRPr="008107D7">
        <w:t>F</w:t>
      </w:r>
      <w:r w:rsidRPr="00423C58">
        <w:t>ollowing the murder of Stephen Lawrence,</w:t>
      </w:r>
      <w:r w:rsidRPr="008107D7">
        <w:t xml:space="preserve"> the</w:t>
      </w:r>
      <w:r w:rsidRPr="00423C58">
        <w:t xml:space="preserve"> Macpherson Report </w:t>
      </w:r>
      <w:r w:rsidRPr="008107D7">
        <w:t xml:space="preserve">1999 was produced, and it </w:t>
      </w:r>
      <w:r w:rsidRPr="00423C58">
        <w:t>highlighted institutional racism within the Metropolitan Police</w:t>
      </w:r>
      <w:r w:rsidRPr="008107D7">
        <w:t xml:space="preserve"> service. This report</w:t>
      </w:r>
      <w:r w:rsidRPr="00423C58">
        <w:t xml:space="preserve"> called for</w:t>
      </w:r>
      <w:r w:rsidRPr="008107D7">
        <w:t xml:space="preserve"> </w:t>
      </w:r>
      <w:r w:rsidRPr="00423C58">
        <w:t>cultural changes</w:t>
      </w:r>
      <w:r w:rsidRPr="008107D7">
        <w:t xml:space="preserve"> within the organisation</w:t>
      </w:r>
      <w:r w:rsidRPr="00423C58">
        <w:t>.</w:t>
      </w:r>
      <w:r w:rsidRPr="008107D7">
        <w:t xml:space="preserve"> It gave </w:t>
      </w:r>
      <w:r w:rsidRPr="00423C58">
        <w:t>seventy recommendations</w:t>
      </w:r>
      <w:r w:rsidRPr="008107D7">
        <w:t xml:space="preserve">. One of the </w:t>
      </w:r>
      <w:r w:rsidRPr="00423C58">
        <w:t>measures</w:t>
      </w:r>
      <w:r w:rsidRPr="008107D7">
        <w:t xml:space="preserve"> were </w:t>
      </w:r>
      <w:r w:rsidRPr="00423C58">
        <w:t>to increase recruitment from minority ethnic communities and improve diversity training</w:t>
      </w:r>
      <w:r w:rsidRPr="008107D7">
        <w:t xml:space="preserve"> within the service</w:t>
      </w:r>
      <w:r w:rsidRPr="00423C58">
        <w:t xml:space="preserve"> (Macpherson, 1999).</w:t>
      </w:r>
    </w:p>
    <w:p w14:paraId="611CB3FA" w14:textId="77777777" w:rsidR="009D051C" w:rsidRPr="00423C58" w:rsidRDefault="009D051C" w:rsidP="009D051C">
      <w:r w:rsidRPr="00330D19">
        <w:t>F</w:t>
      </w:r>
      <w:r w:rsidRPr="00423C58">
        <w:t xml:space="preserve">urther implementations have been put in place to </w:t>
      </w:r>
      <w:r w:rsidRPr="00330D19">
        <w:t>change</w:t>
      </w:r>
      <w:r w:rsidRPr="00423C58">
        <w:t xml:space="preserve"> the </w:t>
      </w:r>
      <w:r w:rsidRPr="00330D19">
        <w:t>practices within the service.</w:t>
      </w:r>
      <w:r w:rsidRPr="00423C58">
        <w:t xml:space="preserve"> Home Office </w:t>
      </w:r>
      <w:r w:rsidRPr="00330D19">
        <w:t xml:space="preserve">figures show that </w:t>
      </w:r>
      <w:r w:rsidRPr="00423C58">
        <w:t>ethnic representation within</w:t>
      </w:r>
      <w:r w:rsidRPr="00330D19">
        <w:t xml:space="preserve"> </w:t>
      </w:r>
      <w:r w:rsidRPr="00423C58">
        <w:t>England and Wales</w:t>
      </w:r>
      <w:r w:rsidRPr="00330D19">
        <w:t xml:space="preserve"> has</w:t>
      </w:r>
      <w:r w:rsidRPr="00423C58">
        <w:t xml:space="preserve"> increased from 2% in 1999 to 8% in 2022. The </w:t>
      </w:r>
      <w:r w:rsidRPr="00330D19">
        <w:t xml:space="preserve">Police </w:t>
      </w:r>
      <w:r w:rsidRPr="00423C58">
        <w:t xml:space="preserve">Uplift Programme is </w:t>
      </w:r>
      <w:r w:rsidRPr="00330D19">
        <w:t xml:space="preserve">where the </w:t>
      </w:r>
      <w:r w:rsidRPr="00423C58">
        <w:t>recruitment drives</w:t>
      </w:r>
      <w:r w:rsidRPr="00330D19">
        <w:t xml:space="preserve"> target unrepresented or minority backgrounds</w:t>
      </w:r>
      <w:r w:rsidRPr="00423C58">
        <w:t>.</w:t>
      </w:r>
      <w:r w:rsidRPr="00330D19">
        <w:t xml:space="preserve"> Although all forces use the same model, there are differences, and not all forces are not achieving the same results</w:t>
      </w:r>
      <w:r w:rsidRPr="00423C58">
        <w:t xml:space="preserve">. </w:t>
      </w:r>
      <w:r w:rsidRPr="00330D19">
        <w:t>Underrepresented officers</w:t>
      </w:r>
      <w:r w:rsidRPr="00423C58">
        <w:t xml:space="preserve"> often report barriers to progression</w:t>
      </w:r>
      <w:r w:rsidRPr="00330D19">
        <w:t xml:space="preserve"> </w:t>
      </w:r>
      <w:r w:rsidRPr="00423C58">
        <w:t>(Cashmore, 2020).</w:t>
      </w:r>
    </w:p>
    <w:p w14:paraId="2531581C" w14:textId="77777777" w:rsidR="009D051C" w:rsidRPr="00423C58" w:rsidRDefault="009D051C" w:rsidP="009D051C">
      <w:r w:rsidRPr="00423C58">
        <w:t>Gender</w:t>
      </w:r>
      <w:r>
        <w:t xml:space="preserve"> imbalance within the service</w:t>
      </w:r>
      <w:r w:rsidRPr="00423C58">
        <w:t xml:space="preserve"> has also improved, with women now making up over 30% of the workforce, compared to less than 20% in the 1990s (ONS, 2021). Several programmes have supported females and have therefore contributed to this change. However, women are still underrepresented in senior positions</w:t>
      </w:r>
      <w:r w:rsidRPr="00330D19">
        <w:t>.</w:t>
      </w:r>
    </w:p>
    <w:p w14:paraId="710DFF4A" w14:textId="77777777" w:rsidR="009D051C" w:rsidRPr="00423C58" w:rsidRDefault="009D051C" w:rsidP="009D051C">
      <w:r w:rsidRPr="00330D19">
        <w:t>Policing today</w:t>
      </w:r>
      <w:r w:rsidRPr="00423C58">
        <w:t xml:space="preserve"> requires more than </w:t>
      </w:r>
      <w:r w:rsidRPr="00330D19">
        <w:t>changes from within the service.</w:t>
      </w:r>
      <w:r w:rsidRPr="00423C58">
        <w:t xml:space="preserve"> </w:t>
      </w:r>
      <w:r w:rsidRPr="00330D19">
        <w:t xml:space="preserve">It also requires </w:t>
      </w:r>
      <w:r w:rsidRPr="00423C58">
        <w:t xml:space="preserve">significant engagement with communities. Trust and confidence </w:t>
      </w:r>
      <w:r w:rsidRPr="00330D19">
        <w:t xml:space="preserve">are a major priority within the service and can </w:t>
      </w:r>
      <w:r w:rsidRPr="00423C58">
        <w:t>vary significantly among diverse groups</w:t>
      </w:r>
      <w:r w:rsidRPr="00330D19">
        <w:t xml:space="preserve">. </w:t>
      </w:r>
      <w:r w:rsidRPr="00423C58">
        <w:t>Black and Asian communities</w:t>
      </w:r>
      <w:r w:rsidRPr="00330D19">
        <w:t xml:space="preserve"> </w:t>
      </w:r>
      <w:r w:rsidRPr="00423C58">
        <w:t>reporting lower levels of trust compared to White communities (Bradford et al., 2017).</w:t>
      </w:r>
    </w:p>
    <w:p w14:paraId="4107A0E9" w14:textId="77777777" w:rsidR="009D051C" w:rsidRPr="00423C58" w:rsidRDefault="009D051C" w:rsidP="009D051C">
      <w:r w:rsidRPr="00174184">
        <w:t>C</w:t>
      </w:r>
      <w:r w:rsidRPr="00423C58">
        <w:t>ommunity policing</w:t>
      </w:r>
      <w:r w:rsidRPr="00174184">
        <w:t xml:space="preserve"> has assisted in the growing confidence within the service</w:t>
      </w:r>
      <w:r w:rsidRPr="00423C58">
        <w:t xml:space="preserve">. Local communities and </w:t>
      </w:r>
      <w:r w:rsidRPr="00174184">
        <w:t>officers</w:t>
      </w:r>
      <w:r w:rsidRPr="00423C58">
        <w:t xml:space="preserve"> can communicate through initiatives like Safer Neighbourhood Teams and Independent Advisory Groups (IAGs). These </w:t>
      </w:r>
      <w:r w:rsidRPr="00174184">
        <w:t>schemes</w:t>
      </w:r>
      <w:r w:rsidRPr="00423C58">
        <w:t xml:space="preserve"> have </w:t>
      </w:r>
      <w:r w:rsidRPr="00174184">
        <w:t>helped</w:t>
      </w:r>
      <w:r w:rsidRPr="00423C58">
        <w:t xml:space="preserve"> understanding </w:t>
      </w:r>
      <w:r w:rsidRPr="00174184">
        <w:t>the</w:t>
      </w:r>
      <w:r w:rsidRPr="00423C58">
        <w:t xml:space="preserve"> community concerns and </w:t>
      </w:r>
      <w:r w:rsidRPr="00174184">
        <w:t>assisted</w:t>
      </w:r>
      <w:r w:rsidRPr="00423C58">
        <w:t xml:space="preserve"> to improv</w:t>
      </w:r>
      <w:r w:rsidRPr="00174184">
        <w:t>e</w:t>
      </w:r>
      <w:r w:rsidRPr="00423C58">
        <w:t xml:space="preserve"> policing strategies (Myhill, 2012). </w:t>
      </w:r>
      <w:r w:rsidRPr="00174184">
        <w:t>Occasions</w:t>
      </w:r>
      <w:r w:rsidRPr="00423C58">
        <w:t xml:space="preserve"> like Diwali or Eid celebration, IAGs have played a cr</w:t>
      </w:r>
      <w:r w:rsidRPr="00174184">
        <w:t>itical</w:t>
      </w:r>
      <w:r w:rsidRPr="00423C58">
        <w:t xml:space="preserve"> role in advising police on culturally sensitive procedures.</w:t>
      </w:r>
    </w:p>
    <w:p w14:paraId="5CB4DB31" w14:textId="77777777" w:rsidR="009D051C" w:rsidRPr="00174184" w:rsidRDefault="009D051C" w:rsidP="009D051C">
      <w:r w:rsidRPr="00174184">
        <w:t>S</w:t>
      </w:r>
      <w:r w:rsidRPr="00423C58">
        <w:t>top searches</w:t>
      </w:r>
      <w:r w:rsidRPr="00174184">
        <w:t xml:space="preserve"> continue to be a challenge</w:t>
      </w:r>
      <w:r w:rsidRPr="00423C58">
        <w:t xml:space="preserve">, these remain an issue within policing particularly for </w:t>
      </w:r>
      <w:r w:rsidRPr="00174184">
        <w:t>ethnic minorities</w:t>
      </w:r>
      <w:r w:rsidRPr="00423C58">
        <w:t xml:space="preserve">. Home Office </w:t>
      </w:r>
      <w:r w:rsidRPr="00174184">
        <w:t xml:space="preserve">figures </w:t>
      </w:r>
      <w:r w:rsidRPr="00423C58">
        <w:t xml:space="preserve">show that Black individuals are seven times more likely to be stopped and searched than White individuals. </w:t>
      </w:r>
      <w:r w:rsidRPr="00174184">
        <w:t>T</w:t>
      </w:r>
      <w:r w:rsidRPr="00423C58">
        <w:t xml:space="preserve">he introduction of body-worn cameras </w:t>
      </w:r>
      <w:r w:rsidRPr="00423C58">
        <w:lastRenderedPageBreak/>
        <w:t>aims to increase accountability</w:t>
      </w:r>
      <w:r w:rsidRPr="00174184">
        <w:t xml:space="preserve"> but</w:t>
      </w:r>
      <w:r w:rsidRPr="00423C58">
        <w:t xml:space="preserve"> their effectiveness in addressing perceptions of bias remains</w:t>
      </w:r>
      <w:r w:rsidRPr="00174184">
        <w:t xml:space="preserve"> to be seen</w:t>
      </w:r>
      <w:r w:rsidRPr="00423C58">
        <w:t xml:space="preserve"> (Ariel et al., 2016).</w:t>
      </w:r>
    </w:p>
    <w:p w14:paraId="2149CAC2" w14:textId="77777777" w:rsidR="009D051C" w:rsidRPr="00423C58" w:rsidRDefault="009D051C" w:rsidP="009D051C">
      <w:r w:rsidRPr="00174184">
        <w:t>T</w:t>
      </w:r>
      <w:r w:rsidRPr="00423C58">
        <w:t>raining</w:t>
      </w:r>
      <w:r w:rsidRPr="00174184">
        <w:t xml:space="preserve"> and workshops</w:t>
      </w:r>
      <w:r w:rsidRPr="00423C58">
        <w:t xml:space="preserve"> </w:t>
      </w:r>
      <w:r w:rsidRPr="00174184">
        <w:t>are</w:t>
      </w:r>
      <w:r w:rsidRPr="00423C58">
        <w:t xml:space="preserve"> crucial component in promoting inclusion. Mandatory diversity training programmes were implemented by police forces to increase knowledge of cultural sensitivity and unconscious bias. Despite these initiatives, assessments indicate inconsistent results. Loftus (2009) </w:t>
      </w:r>
      <w:r w:rsidRPr="00174184">
        <w:t>states</w:t>
      </w:r>
      <w:r w:rsidRPr="00423C58">
        <w:t xml:space="preserve"> that training alone </w:t>
      </w:r>
      <w:r w:rsidRPr="00174184">
        <w:t>will not</w:t>
      </w:r>
      <w:r w:rsidRPr="00423C58">
        <w:t xml:space="preserve"> </w:t>
      </w:r>
      <w:r w:rsidRPr="00174184">
        <w:t>remove</w:t>
      </w:r>
      <w:r w:rsidRPr="00423C58">
        <w:t xml:space="preserve"> deeply ingrained </w:t>
      </w:r>
      <w:r w:rsidRPr="00174184">
        <w:t>thoughts</w:t>
      </w:r>
      <w:r w:rsidRPr="00423C58">
        <w:t xml:space="preserve"> and that a more comprehensive approach is required</w:t>
      </w:r>
      <w:r w:rsidRPr="00174184">
        <w:t xml:space="preserve"> which include</w:t>
      </w:r>
      <w:r w:rsidRPr="00423C58">
        <w:t xml:space="preserve"> </w:t>
      </w:r>
      <w:r w:rsidRPr="00174184">
        <w:t xml:space="preserve">placing </w:t>
      </w:r>
      <w:r w:rsidRPr="00423C58">
        <w:t>diversity principles into everyday policing practices</w:t>
      </w:r>
      <w:r w:rsidRPr="00174184">
        <w:t xml:space="preserve"> and policies</w:t>
      </w:r>
      <w:r w:rsidRPr="00423C58">
        <w:t>.</w:t>
      </w:r>
    </w:p>
    <w:p w14:paraId="26F433CB" w14:textId="77777777" w:rsidR="009D051C" w:rsidRPr="00423C58" w:rsidRDefault="009D051C" w:rsidP="009D051C">
      <w:pPr>
        <w:tabs>
          <w:tab w:val="left" w:pos="1985"/>
        </w:tabs>
      </w:pPr>
      <w:r w:rsidRPr="00423C58">
        <w:t xml:space="preserve">The National Police Chiefs' Council (NPCC) </w:t>
      </w:r>
      <w:r w:rsidRPr="005F5564">
        <w:t>has found that diversity</w:t>
      </w:r>
      <w:r w:rsidRPr="00423C58">
        <w:t xml:space="preserve"> and inclusion</w:t>
      </w:r>
      <w:r w:rsidRPr="005F5564">
        <w:t xml:space="preserve"> is an essential element which should be included</w:t>
      </w:r>
      <w:r w:rsidRPr="00423C58">
        <w:t xml:space="preserve"> into </w:t>
      </w:r>
      <w:r w:rsidRPr="005F5564">
        <w:t xml:space="preserve">policing </w:t>
      </w:r>
      <w:r w:rsidRPr="00423C58">
        <w:t xml:space="preserve">priorities. </w:t>
      </w:r>
      <w:r w:rsidRPr="005F5564">
        <w:t xml:space="preserve">Programs </w:t>
      </w:r>
      <w:r w:rsidRPr="00423C58">
        <w:t>such as Race Action Plan (2022), aim to address d</w:t>
      </w:r>
      <w:r w:rsidRPr="005F5564">
        <w:t>ifferences</w:t>
      </w:r>
      <w:r w:rsidRPr="00423C58">
        <w:t xml:space="preserve"> in policing outcomes and improve cultural</w:t>
      </w:r>
      <w:r w:rsidRPr="005F5564">
        <w:t xml:space="preserve"> inclusion</w:t>
      </w:r>
      <w:r w:rsidRPr="00423C58">
        <w:t xml:space="preserve"> through training modules and community partnerships. </w:t>
      </w:r>
      <w:r w:rsidRPr="005F5564">
        <w:t>However</w:t>
      </w:r>
      <w:r w:rsidRPr="00A41E36">
        <w:t>, there are</w:t>
      </w:r>
      <w:r w:rsidRPr="00423C58">
        <w:t xml:space="preserve"> </w:t>
      </w:r>
      <w:r w:rsidRPr="00A41E36">
        <w:t>arguments by some</w:t>
      </w:r>
      <w:r w:rsidRPr="00423C58">
        <w:t xml:space="preserve"> that such plans often lack </w:t>
      </w:r>
      <w:r w:rsidRPr="00A41E36">
        <w:t xml:space="preserve">mandatory policies, </w:t>
      </w:r>
      <w:r w:rsidRPr="00423C58">
        <w:t>accountability, and evaluation (Lammy, 2017).</w:t>
      </w:r>
    </w:p>
    <w:p w14:paraId="0173B8E2" w14:textId="77777777" w:rsidR="009D051C" w:rsidRPr="00A41E36" w:rsidRDefault="009D051C" w:rsidP="009D051C">
      <w:pPr>
        <w:tabs>
          <w:tab w:val="left" w:pos="1985"/>
        </w:tabs>
      </w:pPr>
      <w:r w:rsidRPr="00423C58">
        <w:t xml:space="preserve">UK policing has made </w:t>
      </w:r>
      <w:r w:rsidRPr="00A41E36">
        <w:t>progress</w:t>
      </w:r>
      <w:r w:rsidRPr="00423C58">
        <w:t xml:space="preserve"> i</w:t>
      </w:r>
      <w:r w:rsidRPr="00A41E36">
        <w:t xml:space="preserve">n </w:t>
      </w:r>
      <w:r w:rsidRPr="00423C58">
        <w:t>the</w:t>
      </w:r>
      <w:r w:rsidRPr="00A41E36">
        <w:t xml:space="preserve"> delivery of</w:t>
      </w:r>
      <w:r w:rsidRPr="00423C58">
        <w:t xml:space="preserve"> diverse needs </w:t>
      </w:r>
      <w:r w:rsidRPr="00A41E36">
        <w:t>for groups such as LGBTQ+ and females of ethnic origin</w:t>
      </w:r>
      <w:r w:rsidRPr="00423C58">
        <w:t>. For example, specialist liaison officers for LGBTQ+ communities have been appointed in many forces and hate crime reporting</w:t>
      </w:r>
      <w:r w:rsidRPr="00A41E36">
        <w:t xml:space="preserve"> procedures</w:t>
      </w:r>
      <w:r w:rsidRPr="00423C58">
        <w:t xml:space="preserve"> have been </w:t>
      </w:r>
      <w:r w:rsidRPr="00A41E36">
        <w:t>improved which are accountable</w:t>
      </w:r>
      <w:r w:rsidRPr="00423C58">
        <w:t>.</w:t>
      </w:r>
      <w:r w:rsidRPr="00A41E36">
        <w:t xml:space="preserve"> </w:t>
      </w:r>
    </w:p>
    <w:p w14:paraId="4F886A2D" w14:textId="77777777" w:rsidR="009D051C" w:rsidRPr="00423C58" w:rsidRDefault="009D051C" w:rsidP="009D051C">
      <w:pPr>
        <w:tabs>
          <w:tab w:val="left" w:pos="1985"/>
        </w:tabs>
      </w:pPr>
      <w:r w:rsidRPr="00A41E36">
        <w:t>T</w:t>
      </w:r>
      <w:r w:rsidRPr="00423C58">
        <w:t>ransgender</w:t>
      </w:r>
      <w:r w:rsidRPr="00A41E36">
        <w:t xml:space="preserve"> communities have </w:t>
      </w:r>
      <w:r w:rsidRPr="00423C58">
        <w:t>often report</w:t>
      </w:r>
      <w:r w:rsidRPr="00A41E36">
        <w:t>ed</w:t>
      </w:r>
      <w:r w:rsidRPr="00423C58">
        <w:t xml:space="preserve"> negative experiences with police</w:t>
      </w:r>
      <w:r w:rsidRPr="00A41E36">
        <w:t xml:space="preserve"> contact. It has been suggested that officers have</w:t>
      </w:r>
      <w:r w:rsidRPr="00423C58">
        <w:t xml:space="preserve"> a lack of understanding and respect for their identities (Stonewall, 2020).</w:t>
      </w:r>
    </w:p>
    <w:p w14:paraId="3F5E2368" w14:textId="77777777" w:rsidR="009D051C" w:rsidRPr="00423C58" w:rsidRDefault="009D051C" w:rsidP="009D051C">
      <w:r w:rsidRPr="00423C58">
        <w:t>Budget constraints</w:t>
      </w:r>
      <w:r w:rsidRPr="00A41E36">
        <w:t xml:space="preserve"> and</w:t>
      </w:r>
      <w:r w:rsidRPr="00423C58">
        <w:t xml:space="preserve"> </w:t>
      </w:r>
      <w:r w:rsidRPr="00A41E36">
        <w:t xml:space="preserve">increasing </w:t>
      </w:r>
      <w:r w:rsidRPr="00423C58">
        <w:t>austerity measures, have limited the resources available for diversity initiatives and community engagement</w:t>
      </w:r>
      <w:r w:rsidRPr="00A41E36">
        <w:t xml:space="preserve"> within the service</w:t>
      </w:r>
      <w:r w:rsidRPr="00423C58">
        <w:t>. </w:t>
      </w:r>
      <w:r w:rsidRPr="00A41E36">
        <w:t>Culture and</w:t>
      </w:r>
      <w:r w:rsidRPr="00423C58">
        <w:t xml:space="preserve"> discipline</w:t>
      </w:r>
      <w:r w:rsidRPr="00A41E36">
        <w:t xml:space="preserve"> within the service</w:t>
      </w:r>
      <w:r w:rsidRPr="00423C58">
        <w:t xml:space="preserve"> can conflict with efforts to promote inc</w:t>
      </w:r>
      <w:r w:rsidRPr="00A41E36">
        <w:t>lusion and</w:t>
      </w:r>
      <w:r w:rsidRPr="00423C58">
        <w:t xml:space="preserve"> community practices (Reiner, 2010).</w:t>
      </w:r>
    </w:p>
    <w:p w14:paraId="198110AB" w14:textId="77777777" w:rsidR="009D051C" w:rsidRPr="00423C58" w:rsidRDefault="009D051C" w:rsidP="009D051C">
      <w:r w:rsidRPr="00A03FE7">
        <w:t>The P</w:t>
      </w:r>
      <w:r w:rsidRPr="00423C58">
        <w:t xml:space="preserve">olice </w:t>
      </w:r>
      <w:r w:rsidRPr="00A03FE7">
        <w:t>service also</w:t>
      </w:r>
      <w:r w:rsidRPr="00423C58">
        <w:t xml:space="preserve"> face resistance to change. Studies indicate that some officers perceive diversity initiatives as </w:t>
      </w:r>
      <w:r w:rsidRPr="00A03FE7">
        <w:t xml:space="preserve">filling the gaps for training </w:t>
      </w:r>
      <w:r w:rsidRPr="00423C58">
        <w:t>or as compromising operational efficiency (Holdaway, 1996).</w:t>
      </w:r>
      <w:r w:rsidRPr="00A03FE7">
        <w:t xml:space="preserve"> S</w:t>
      </w:r>
      <w:r w:rsidRPr="00423C58">
        <w:t xml:space="preserve">trong leadership </w:t>
      </w:r>
      <w:r w:rsidRPr="00A03FE7">
        <w:t xml:space="preserve">is required </w:t>
      </w:r>
      <w:r w:rsidRPr="00423C58">
        <w:t>to address this and needs a concise explanation of how important diversity is f</w:t>
      </w:r>
      <w:r w:rsidRPr="00A03FE7">
        <w:t>o</w:t>
      </w:r>
      <w:r w:rsidRPr="00423C58">
        <w:t>r effective policing.</w:t>
      </w:r>
    </w:p>
    <w:p w14:paraId="07693954" w14:textId="77777777" w:rsidR="009D051C" w:rsidRPr="00423C58" w:rsidRDefault="009D051C" w:rsidP="009D051C">
      <w:r w:rsidRPr="00423C58">
        <w:t xml:space="preserve">To </w:t>
      </w:r>
      <w:r w:rsidRPr="00A03FE7">
        <w:t>improve</w:t>
      </w:r>
      <w:r w:rsidRPr="00423C58">
        <w:t xml:space="preserve"> diversity and inclusion, UK policing must adopt a </w:t>
      </w:r>
      <w:r w:rsidRPr="00A03FE7">
        <w:t>multi-agency</w:t>
      </w:r>
      <w:r w:rsidRPr="00423C58">
        <w:t xml:space="preserve"> approach. Recruitment and retention strategies should </w:t>
      </w:r>
      <w:r w:rsidRPr="00A03FE7">
        <w:t xml:space="preserve">be the </w:t>
      </w:r>
      <w:r w:rsidRPr="00423C58">
        <w:t>priorit</w:t>
      </w:r>
      <w:r w:rsidRPr="00A03FE7">
        <w:t>y. This</w:t>
      </w:r>
      <w:r w:rsidRPr="00423C58">
        <w:t xml:space="preserve"> </w:t>
      </w:r>
      <w:r w:rsidRPr="00A03FE7">
        <w:t xml:space="preserve">will </w:t>
      </w:r>
      <w:r w:rsidRPr="00423C58">
        <w:t>increas</w:t>
      </w:r>
      <w:r w:rsidRPr="00A03FE7">
        <w:t>e</w:t>
      </w:r>
      <w:r w:rsidRPr="00423C58">
        <w:t xml:space="preserve"> representation </w:t>
      </w:r>
      <w:r w:rsidRPr="00A03FE7">
        <w:t>and</w:t>
      </w:r>
      <w:r w:rsidRPr="00423C58">
        <w:t xml:space="preserve"> creat</w:t>
      </w:r>
      <w:r w:rsidRPr="00A03FE7">
        <w:t>e</w:t>
      </w:r>
      <w:r w:rsidRPr="00423C58">
        <w:t xml:space="preserve"> an environment where all officers can thrive. Mentorship programs and leadership development opportunities for underrepresented groups can help address progression barriers.</w:t>
      </w:r>
    </w:p>
    <w:p w14:paraId="6AC910BF" w14:textId="77777777" w:rsidR="009D051C" w:rsidRPr="00423C58" w:rsidRDefault="009D051C" w:rsidP="009D051C">
      <w:r w:rsidRPr="005F5564">
        <w:t>P</w:t>
      </w:r>
      <w:r w:rsidRPr="00423C58">
        <w:t xml:space="preserve">olice forces must deepen their </w:t>
      </w:r>
      <w:r w:rsidRPr="005F5564">
        <w:t>involvement and engagement</w:t>
      </w:r>
      <w:r w:rsidRPr="00423C58">
        <w:t xml:space="preserve"> with communities through models that involve </w:t>
      </w:r>
      <w:r w:rsidRPr="005F5564">
        <w:t>members of public</w:t>
      </w:r>
      <w:r w:rsidRPr="00423C58">
        <w:t xml:space="preserve"> in </w:t>
      </w:r>
      <w:r w:rsidRPr="005F5564">
        <w:t>the decision-making</w:t>
      </w:r>
      <w:r w:rsidRPr="00423C58">
        <w:t xml:space="preserve"> process. Transparency and accountability </w:t>
      </w:r>
      <w:r w:rsidRPr="005F5564">
        <w:t>are necessary</w:t>
      </w:r>
      <w:r w:rsidRPr="00423C58">
        <w:t xml:space="preserve">, particularly in </w:t>
      </w:r>
      <w:r w:rsidRPr="005F5564">
        <w:t>dealing with</w:t>
      </w:r>
      <w:r w:rsidRPr="00423C58">
        <w:t xml:space="preserve"> controversial practices like stop and search. Independent bodies should be</w:t>
      </w:r>
      <w:r w:rsidRPr="005F5564">
        <w:t xml:space="preserve"> introduced</w:t>
      </w:r>
      <w:r w:rsidRPr="00423C58">
        <w:t xml:space="preserve"> to monitor and evaluate th</w:t>
      </w:r>
      <w:r w:rsidRPr="005F5564">
        <w:t>e</w:t>
      </w:r>
      <w:r w:rsidRPr="00423C58">
        <w:t xml:space="preserve"> strategies.</w:t>
      </w:r>
    </w:p>
    <w:p w14:paraId="3E94694C" w14:textId="77777777" w:rsidR="009D051C" w:rsidRPr="005F5564" w:rsidRDefault="009D051C" w:rsidP="009D051C">
      <w:r w:rsidRPr="00423C58">
        <w:t xml:space="preserve">Furthermore, evidence-based approaches to diversity can be </w:t>
      </w:r>
      <w:r w:rsidRPr="005F5564">
        <w:t>improved</w:t>
      </w:r>
      <w:r w:rsidRPr="00423C58">
        <w:t xml:space="preserve"> </w:t>
      </w:r>
      <w:r w:rsidRPr="005F5564">
        <w:t>using</w:t>
      </w:r>
      <w:r w:rsidRPr="00423C58">
        <w:t xml:space="preserve"> technology, such as data </w:t>
      </w:r>
      <w:r w:rsidRPr="005F5564">
        <w:t>collection</w:t>
      </w:r>
      <w:r w:rsidRPr="00423C58">
        <w:t>. For instance, predictive modelling can identify d</w:t>
      </w:r>
      <w:r w:rsidRPr="005F5564">
        <w:t xml:space="preserve">ifferences </w:t>
      </w:r>
      <w:r w:rsidRPr="00423C58">
        <w:t xml:space="preserve">in policing practices and guide </w:t>
      </w:r>
      <w:r w:rsidRPr="005F5564">
        <w:t>management to a particular issue</w:t>
      </w:r>
      <w:r w:rsidRPr="00423C58">
        <w:t xml:space="preserve"> (Lum et al., 2016). </w:t>
      </w:r>
      <w:r w:rsidRPr="005F5564">
        <w:t>T</w:t>
      </w:r>
      <w:r w:rsidRPr="00423C58">
        <w:t>o avoid unintentional bias</w:t>
      </w:r>
      <w:r w:rsidRPr="005F5564">
        <w:t>, the use of technology</w:t>
      </w:r>
      <w:r w:rsidRPr="00423C58">
        <w:t xml:space="preserve"> needs to be </w:t>
      </w:r>
      <w:r w:rsidRPr="005F5564">
        <w:t>in conjunction with</w:t>
      </w:r>
      <w:r w:rsidRPr="00423C58">
        <w:t xml:space="preserve"> ethical precautions.</w:t>
      </w:r>
      <w:r w:rsidRPr="00423C58">
        <w:rPr>
          <w:b/>
          <w:bCs/>
        </w:rPr>
        <w:t> </w:t>
      </w:r>
    </w:p>
    <w:p w14:paraId="5E985077" w14:textId="77777777" w:rsidR="009D051C" w:rsidRPr="00423C58" w:rsidRDefault="009D051C" w:rsidP="009D051C">
      <w:r w:rsidRPr="00423C58">
        <w:lastRenderedPageBreak/>
        <w:t xml:space="preserve">There </w:t>
      </w:r>
      <w:r w:rsidRPr="005F5564">
        <w:t>has</w:t>
      </w:r>
      <w:r w:rsidRPr="00423C58">
        <w:t xml:space="preserve"> been considerable progress in the police </w:t>
      </w:r>
      <w:r w:rsidRPr="005F5564">
        <w:t>service</w:t>
      </w:r>
      <w:r w:rsidRPr="00423C58">
        <w:t xml:space="preserve"> </w:t>
      </w:r>
      <w:r w:rsidRPr="005F5564">
        <w:t>adopting</w:t>
      </w:r>
      <w:r w:rsidRPr="00423C58">
        <w:t xml:space="preserve"> to the demands of a diverse society. </w:t>
      </w:r>
      <w:r w:rsidRPr="005F5564">
        <w:t>R</w:t>
      </w:r>
      <w:r w:rsidRPr="00423C58">
        <w:t xml:space="preserve">epresentation and training </w:t>
      </w:r>
      <w:r w:rsidRPr="005F5564">
        <w:t>have</w:t>
      </w:r>
      <w:r w:rsidRPr="00423C58">
        <w:t xml:space="preserve"> been improved by internal reforms</w:t>
      </w:r>
      <w:r w:rsidRPr="005F5564">
        <w:t>. C</w:t>
      </w:r>
      <w:r w:rsidRPr="00423C58">
        <w:t xml:space="preserve">ommunity engagement has been better encouraged by external initiatives. Structural barriers and trust </w:t>
      </w:r>
      <w:r w:rsidRPr="005F5564">
        <w:t>issues</w:t>
      </w:r>
      <w:r w:rsidRPr="00423C58">
        <w:t xml:space="preserve"> continue. To create a policing system that is fair, efficient, and representative of the communities it serves, a </w:t>
      </w:r>
      <w:r w:rsidRPr="005F5564">
        <w:t>consistent and</w:t>
      </w:r>
      <w:r w:rsidRPr="00423C58">
        <w:t xml:space="preserve"> dedicat</w:t>
      </w:r>
      <w:r w:rsidRPr="005F5564">
        <w:t>ed approach</w:t>
      </w:r>
      <w:r w:rsidRPr="00423C58">
        <w:t xml:space="preserve"> to diversity and inclusion is necessary. Th</w:t>
      </w:r>
      <w:r w:rsidRPr="005F5564">
        <w:t>is commitment</w:t>
      </w:r>
      <w:r w:rsidRPr="00423C58">
        <w:t xml:space="preserve"> will depend on ongoing research, innovation, and cooperation between communities, legislators, and police forces.</w:t>
      </w:r>
    </w:p>
    <w:p w14:paraId="5C32C4F3" w14:textId="77777777" w:rsidR="00A93C4A" w:rsidRPr="00AD041C" w:rsidRDefault="00A93C4A" w:rsidP="00CA73D7"/>
    <w:p w14:paraId="4EE6536F" w14:textId="77777777" w:rsidR="00CA73D7" w:rsidRPr="00564848" w:rsidRDefault="00CA73D7" w:rsidP="00CA73D7">
      <w:pPr>
        <w:rPr>
          <w:b/>
          <w:bCs/>
        </w:rPr>
      </w:pPr>
      <w:r w:rsidRPr="00564848">
        <w:rPr>
          <w:b/>
          <w:bCs/>
        </w:rPr>
        <w:t>References</w:t>
      </w:r>
    </w:p>
    <w:p w14:paraId="751BAA94" w14:textId="77777777" w:rsidR="00CA73D7" w:rsidRPr="00564848" w:rsidRDefault="00CA73D7" w:rsidP="00CA73D7">
      <w:pPr>
        <w:numPr>
          <w:ilvl w:val="0"/>
          <w:numId w:val="25"/>
        </w:numPr>
      </w:pPr>
      <w:r w:rsidRPr="00564848">
        <w:t xml:space="preserve">Ariel, B., Farrar, W. A., &amp; Sutherland, A. (2016). "The Effect of Police Body-Worn Cameras on Use of Force and Citizens' Complaints Against the Police: A Randomized Controlled Trial." </w:t>
      </w:r>
      <w:r w:rsidRPr="00564848">
        <w:rPr>
          <w:i/>
          <w:iCs/>
        </w:rPr>
        <w:t>Journal of Quantitative Criminology</w:t>
      </w:r>
      <w:r w:rsidRPr="00564848">
        <w:t>, 32(3), 509-535.</w:t>
      </w:r>
    </w:p>
    <w:p w14:paraId="416BE720" w14:textId="77777777" w:rsidR="00CA73D7" w:rsidRPr="00564848" w:rsidRDefault="00CA73D7" w:rsidP="00CA73D7">
      <w:pPr>
        <w:numPr>
          <w:ilvl w:val="0"/>
          <w:numId w:val="25"/>
        </w:numPr>
      </w:pPr>
      <w:r w:rsidRPr="00564848">
        <w:t xml:space="preserve">Bradford, B., Milani, J., &amp; Jackson, J. (2017). "Identity, Legitimacy, and 'Making Sense' of Police Use of Force." </w:t>
      </w:r>
      <w:r w:rsidRPr="00564848">
        <w:rPr>
          <w:i/>
          <w:iCs/>
        </w:rPr>
        <w:t>Policing: A Journal of Policy and Practice</w:t>
      </w:r>
      <w:r w:rsidRPr="00564848">
        <w:t>, 11(4), 393-408.</w:t>
      </w:r>
    </w:p>
    <w:p w14:paraId="638E9E19" w14:textId="77777777" w:rsidR="00CA73D7" w:rsidRPr="00564848" w:rsidRDefault="00CA73D7" w:rsidP="00CA73D7">
      <w:pPr>
        <w:numPr>
          <w:ilvl w:val="0"/>
          <w:numId w:val="25"/>
        </w:numPr>
      </w:pPr>
      <w:r w:rsidRPr="00564848">
        <w:t xml:space="preserve">Cashmore, E. (2020). "Policing and Diversity: Past, Present, and Future." </w:t>
      </w:r>
      <w:r w:rsidRPr="00564848">
        <w:rPr>
          <w:i/>
          <w:iCs/>
        </w:rPr>
        <w:t>Policing: An International Journal</w:t>
      </w:r>
      <w:r w:rsidRPr="00564848">
        <w:t>, 43(1), 25-38.</w:t>
      </w:r>
    </w:p>
    <w:p w14:paraId="71541F5D" w14:textId="77777777" w:rsidR="00CA73D7" w:rsidRPr="00564848" w:rsidRDefault="00CA73D7" w:rsidP="00CA73D7">
      <w:pPr>
        <w:numPr>
          <w:ilvl w:val="0"/>
          <w:numId w:val="25"/>
        </w:numPr>
      </w:pPr>
      <w:r w:rsidRPr="00564848">
        <w:t>Home Office (2021). "Police Powers and Procedures, England and Wales." Retrieved from www.gov.uk.</w:t>
      </w:r>
    </w:p>
    <w:p w14:paraId="43441D69" w14:textId="77777777" w:rsidR="00CA73D7" w:rsidRPr="00564848" w:rsidRDefault="00CA73D7" w:rsidP="00CA73D7">
      <w:pPr>
        <w:numPr>
          <w:ilvl w:val="0"/>
          <w:numId w:val="25"/>
        </w:numPr>
      </w:pPr>
      <w:r w:rsidRPr="00564848">
        <w:t xml:space="preserve">Lammy, D. (2017). </w:t>
      </w:r>
      <w:r w:rsidRPr="00564848">
        <w:rPr>
          <w:i/>
          <w:iCs/>
        </w:rPr>
        <w:t>The Lammy Review: An Independent Review into the Treatment of, and Outcomes for, Black, Asian and Minority Ethnic Individuals in the Criminal Justice System.</w:t>
      </w:r>
    </w:p>
    <w:p w14:paraId="27290AE8" w14:textId="77777777" w:rsidR="00CA73D7" w:rsidRPr="00564848" w:rsidRDefault="00CA73D7" w:rsidP="00CA73D7">
      <w:pPr>
        <w:numPr>
          <w:ilvl w:val="0"/>
          <w:numId w:val="25"/>
        </w:numPr>
      </w:pPr>
      <w:r w:rsidRPr="00564848">
        <w:t xml:space="preserve">Loftus, B. (2009). </w:t>
      </w:r>
      <w:r w:rsidRPr="00564848">
        <w:rPr>
          <w:i/>
          <w:iCs/>
        </w:rPr>
        <w:t>Police Culture in a Changing World.</w:t>
      </w:r>
      <w:r w:rsidRPr="00564848">
        <w:t xml:space="preserve"> Oxford University Press.</w:t>
      </w:r>
    </w:p>
    <w:p w14:paraId="6C941DE0" w14:textId="77777777" w:rsidR="00CA73D7" w:rsidRPr="00564848" w:rsidRDefault="00CA73D7" w:rsidP="00CA73D7">
      <w:pPr>
        <w:numPr>
          <w:ilvl w:val="0"/>
          <w:numId w:val="25"/>
        </w:numPr>
      </w:pPr>
      <w:r w:rsidRPr="00564848">
        <w:t xml:space="preserve">Macpherson, W. (1999). </w:t>
      </w:r>
      <w:r w:rsidRPr="00564848">
        <w:rPr>
          <w:i/>
          <w:iCs/>
        </w:rPr>
        <w:t>The Stephen Lawrence Inquiry: Report of an Inquiry by Sir William Macpherson of Cluny.</w:t>
      </w:r>
    </w:p>
    <w:p w14:paraId="094B120A" w14:textId="77777777" w:rsidR="00CA73D7" w:rsidRPr="00564848" w:rsidRDefault="00CA73D7" w:rsidP="00CA73D7">
      <w:pPr>
        <w:numPr>
          <w:ilvl w:val="0"/>
          <w:numId w:val="25"/>
        </w:numPr>
      </w:pPr>
      <w:r w:rsidRPr="00564848">
        <w:t xml:space="preserve">Myhill, A. (2012). "Community Engagement in Policing: Lessons from the Literature." </w:t>
      </w:r>
      <w:r w:rsidRPr="00564848">
        <w:rPr>
          <w:i/>
          <w:iCs/>
        </w:rPr>
        <w:t>The Police Journal</w:t>
      </w:r>
      <w:r w:rsidRPr="00564848">
        <w:t>, 85(3), 203-220.</w:t>
      </w:r>
    </w:p>
    <w:p w14:paraId="1FFFC042" w14:textId="77777777" w:rsidR="00CA73D7" w:rsidRPr="00564848" w:rsidRDefault="00CA73D7" w:rsidP="00CA73D7">
      <w:pPr>
        <w:numPr>
          <w:ilvl w:val="0"/>
          <w:numId w:val="25"/>
        </w:numPr>
      </w:pPr>
      <w:r w:rsidRPr="00564848">
        <w:t>National Police Chiefs' Council (2022). "Race Action Plan." Retrieved from www.npcc.police.uk.</w:t>
      </w:r>
    </w:p>
    <w:p w14:paraId="317F676A" w14:textId="77777777" w:rsidR="00CA73D7" w:rsidRPr="00564848" w:rsidRDefault="00CA73D7" w:rsidP="00CA73D7">
      <w:pPr>
        <w:numPr>
          <w:ilvl w:val="0"/>
          <w:numId w:val="25"/>
        </w:numPr>
      </w:pPr>
      <w:r w:rsidRPr="00564848">
        <w:t>Office for National Statistics (2021). "Police Workforce, England and Wales." Retrieved from www.ons.gov.uk.</w:t>
      </w:r>
    </w:p>
    <w:p w14:paraId="7FAF1343" w14:textId="77777777" w:rsidR="00CA73D7" w:rsidRPr="00564848" w:rsidRDefault="00CA73D7" w:rsidP="00CA73D7">
      <w:pPr>
        <w:numPr>
          <w:ilvl w:val="0"/>
          <w:numId w:val="25"/>
        </w:numPr>
      </w:pPr>
      <w:r w:rsidRPr="00564848">
        <w:t xml:space="preserve">Reiner, R. (2010). </w:t>
      </w:r>
      <w:r w:rsidRPr="00564848">
        <w:rPr>
          <w:i/>
          <w:iCs/>
        </w:rPr>
        <w:t>The Politics of the Police.</w:t>
      </w:r>
      <w:r w:rsidRPr="00564848">
        <w:t xml:space="preserve"> Oxford University Press.</w:t>
      </w:r>
    </w:p>
    <w:p w14:paraId="7A82F5A9" w14:textId="77777777" w:rsidR="00CA73D7" w:rsidRPr="00564848" w:rsidRDefault="00CA73D7" w:rsidP="00CA73D7">
      <w:pPr>
        <w:numPr>
          <w:ilvl w:val="0"/>
          <w:numId w:val="25"/>
        </w:numPr>
      </w:pPr>
      <w:r w:rsidRPr="00564848">
        <w:t>Stonewall (2020). "LGBT in Britain: Hate Crime and Discrimination." Retrieved from www.stonewall.org.uk.</w:t>
      </w:r>
    </w:p>
    <w:p w14:paraId="22F6B77D" w14:textId="77777777" w:rsidR="00BE49CC" w:rsidRDefault="00BE49CC"/>
    <w:sectPr w:rsidR="00BE49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0723"/>
    <w:multiLevelType w:val="multilevel"/>
    <w:tmpl w:val="E530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D0718"/>
    <w:multiLevelType w:val="multilevel"/>
    <w:tmpl w:val="AA2E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95A68"/>
    <w:multiLevelType w:val="multilevel"/>
    <w:tmpl w:val="3DBA5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24157"/>
    <w:multiLevelType w:val="multilevel"/>
    <w:tmpl w:val="F2983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B258E"/>
    <w:multiLevelType w:val="multilevel"/>
    <w:tmpl w:val="F47A7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2800EF"/>
    <w:multiLevelType w:val="multilevel"/>
    <w:tmpl w:val="161A5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10AB7"/>
    <w:multiLevelType w:val="multilevel"/>
    <w:tmpl w:val="68589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13055D"/>
    <w:multiLevelType w:val="multilevel"/>
    <w:tmpl w:val="01C4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23AD6"/>
    <w:multiLevelType w:val="multilevel"/>
    <w:tmpl w:val="C01E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49665B"/>
    <w:multiLevelType w:val="multilevel"/>
    <w:tmpl w:val="0AD4A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9A4A56"/>
    <w:multiLevelType w:val="multilevel"/>
    <w:tmpl w:val="14C0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D255AD"/>
    <w:multiLevelType w:val="multilevel"/>
    <w:tmpl w:val="09E2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A50C1E"/>
    <w:multiLevelType w:val="multilevel"/>
    <w:tmpl w:val="0BBE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FF05B1"/>
    <w:multiLevelType w:val="multilevel"/>
    <w:tmpl w:val="263C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0E4967"/>
    <w:multiLevelType w:val="multilevel"/>
    <w:tmpl w:val="7F902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E67486"/>
    <w:multiLevelType w:val="multilevel"/>
    <w:tmpl w:val="1894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71ACC"/>
    <w:multiLevelType w:val="multilevel"/>
    <w:tmpl w:val="91144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5132A"/>
    <w:multiLevelType w:val="multilevel"/>
    <w:tmpl w:val="C15A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506563"/>
    <w:multiLevelType w:val="multilevel"/>
    <w:tmpl w:val="AAE4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E05A56"/>
    <w:multiLevelType w:val="multilevel"/>
    <w:tmpl w:val="E2E4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703C20"/>
    <w:multiLevelType w:val="multilevel"/>
    <w:tmpl w:val="A9D8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8D1E2B"/>
    <w:multiLevelType w:val="multilevel"/>
    <w:tmpl w:val="1C34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D612FF"/>
    <w:multiLevelType w:val="multilevel"/>
    <w:tmpl w:val="F18C4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B664071"/>
    <w:multiLevelType w:val="multilevel"/>
    <w:tmpl w:val="D410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DF71C7"/>
    <w:multiLevelType w:val="multilevel"/>
    <w:tmpl w:val="6A302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7E1704"/>
    <w:multiLevelType w:val="multilevel"/>
    <w:tmpl w:val="779AB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ED1153"/>
    <w:multiLevelType w:val="multilevel"/>
    <w:tmpl w:val="9D2E7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4F6D33"/>
    <w:multiLevelType w:val="multilevel"/>
    <w:tmpl w:val="1BA87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5429EE"/>
    <w:multiLevelType w:val="multilevel"/>
    <w:tmpl w:val="768A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4B4B03"/>
    <w:multiLevelType w:val="multilevel"/>
    <w:tmpl w:val="139C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C24A54"/>
    <w:multiLevelType w:val="multilevel"/>
    <w:tmpl w:val="59D8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833F0D"/>
    <w:multiLevelType w:val="multilevel"/>
    <w:tmpl w:val="2AF6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8D027A"/>
    <w:multiLevelType w:val="multilevel"/>
    <w:tmpl w:val="574A1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EAB116E"/>
    <w:multiLevelType w:val="multilevel"/>
    <w:tmpl w:val="A386D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63198E"/>
    <w:multiLevelType w:val="multilevel"/>
    <w:tmpl w:val="00AE7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E62B14"/>
    <w:multiLevelType w:val="multilevel"/>
    <w:tmpl w:val="BEC2B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22404E"/>
    <w:multiLevelType w:val="multilevel"/>
    <w:tmpl w:val="6BD8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6E6A13"/>
    <w:multiLevelType w:val="multilevel"/>
    <w:tmpl w:val="4A2AB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C464BA"/>
    <w:multiLevelType w:val="multilevel"/>
    <w:tmpl w:val="1B5C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411589"/>
    <w:multiLevelType w:val="multilevel"/>
    <w:tmpl w:val="BEFA1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0A6CC5"/>
    <w:multiLevelType w:val="multilevel"/>
    <w:tmpl w:val="437E9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EF15FE"/>
    <w:multiLevelType w:val="multilevel"/>
    <w:tmpl w:val="D0DC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47010C"/>
    <w:multiLevelType w:val="multilevel"/>
    <w:tmpl w:val="904C2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D0B5294"/>
    <w:multiLevelType w:val="multilevel"/>
    <w:tmpl w:val="64AC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1004009">
    <w:abstractNumId w:val="6"/>
  </w:num>
  <w:num w:numId="2" w16cid:durableId="1259102810">
    <w:abstractNumId w:val="25"/>
  </w:num>
  <w:num w:numId="3" w16cid:durableId="1476946657">
    <w:abstractNumId w:val="20"/>
  </w:num>
  <w:num w:numId="4" w16cid:durableId="1911233815">
    <w:abstractNumId w:val="22"/>
  </w:num>
  <w:num w:numId="5" w16cid:durableId="784615608">
    <w:abstractNumId w:val="37"/>
  </w:num>
  <w:num w:numId="6" w16cid:durableId="498234494">
    <w:abstractNumId w:val="30"/>
  </w:num>
  <w:num w:numId="7" w16cid:durableId="1125781465">
    <w:abstractNumId w:val="21"/>
  </w:num>
  <w:num w:numId="8" w16cid:durableId="958489211">
    <w:abstractNumId w:val="5"/>
  </w:num>
  <w:num w:numId="9" w16cid:durableId="439109570">
    <w:abstractNumId w:val="11"/>
  </w:num>
  <w:num w:numId="10" w16cid:durableId="859589408">
    <w:abstractNumId w:val="43"/>
  </w:num>
  <w:num w:numId="11" w16cid:durableId="1760517622">
    <w:abstractNumId w:val="14"/>
  </w:num>
  <w:num w:numId="12" w16cid:durableId="1719626717">
    <w:abstractNumId w:val="44"/>
  </w:num>
  <w:num w:numId="13" w16cid:durableId="201089370">
    <w:abstractNumId w:val="24"/>
  </w:num>
  <w:num w:numId="14" w16cid:durableId="1735733365">
    <w:abstractNumId w:val="3"/>
  </w:num>
  <w:num w:numId="15" w16cid:durableId="1294218053">
    <w:abstractNumId w:val="19"/>
  </w:num>
  <w:num w:numId="16" w16cid:durableId="293799251">
    <w:abstractNumId w:val="8"/>
  </w:num>
  <w:num w:numId="17" w16cid:durableId="1764255751">
    <w:abstractNumId w:val="39"/>
  </w:num>
  <w:num w:numId="18" w16cid:durableId="845096627">
    <w:abstractNumId w:val="13"/>
  </w:num>
  <w:num w:numId="19" w16cid:durableId="53432034">
    <w:abstractNumId w:val="27"/>
  </w:num>
  <w:num w:numId="20" w16cid:durableId="462697174">
    <w:abstractNumId w:val="31"/>
  </w:num>
  <w:num w:numId="21" w16cid:durableId="673142171">
    <w:abstractNumId w:val="40"/>
  </w:num>
  <w:num w:numId="22" w16cid:durableId="1794055363">
    <w:abstractNumId w:val="23"/>
  </w:num>
  <w:num w:numId="23" w16cid:durableId="1490714221">
    <w:abstractNumId w:val="7"/>
  </w:num>
  <w:num w:numId="24" w16cid:durableId="1721398910">
    <w:abstractNumId w:val="33"/>
  </w:num>
  <w:num w:numId="25" w16cid:durableId="1847671540">
    <w:abstractNumId w:val="17"/>
  </w:num>
  <w:num w:numId="26" w16cid:durableId="733746389">
    <w:abstractNumId w:val="41"/>
  </w:num>
  <w:num w:numId="27" w16cid:durableId="1348022199">
    <w:abstractNumId w:val="36"/>
  </w:num>
  <w:num w:numId="28" w16cid:durableId="1254315914">
    <w:abstractNumId w:val="16"/>
  </w:num>
  <w:num w:numId="29" w16cid:durableId="526065814">
    <w:abstractNumId w:val="9"/>
  </w:num>
  <w:num w:numId="30" w16cid:durableId="909384431">
    <w:abstractNumId w:val="38"/>
  </w:num>
  <w:num w:numId="31" w16cid:durableId="1823156832">
    <w:abstractNumId w:val="42"/>
  </w:num>
  <w:num w:numId="32" w16cid:durableId="1163666009">
    <w:abstractNumId w:val="34"/>
  </w:num>
  <w:num w:numId="33" w16cid:durableId="691225935">
    <w:abstractNumId w:val="35"/>
  </w:num>
  <w:num w:numId="34" w16cid:durableId="872109216">
    <w:abstractNumId w:val="12"/>
  </w:num>
  <w:num w:numId="35" w16cid:durableId="849367018">
    <w:abstractNumId w:val="18"/>
  </w:num>
  <w:num w:numId="36" w16cid:durableId="720443808">
    <w:abstractNumId w:val="1"/>
  </w:num>
  <w:num w:numId="37" w16cid:durableId="930773583">
    <w:abstractNumId w:val="29"/>
  </w:num>
  <w:num w:numId="38" w16cid:durableId="188835462">
    <w:abstractNumId w:val="2"/>
  </w:num>
  <w:num w:numId="39" w16cid:durableId="1261795791">
    <w:abstractNumId w:val="32"/>
  </w:num>
  <w:num w:numId="40" w16cid:durableId="1346132831">
    <w:abstractNumId w:val="26"/>
  </w:num>
  <w:num w:numId="41" w16cid:durableId="720327399">
    <w:abstractNumId w:val="4"/>
  </w:num>
  <w:num w:numId="42" w16cid:durableId="725566578">
    <w:abstractNumId w:val="15"/>
  </w:num>
  <w:num w:numId="43" w16cid:durableId="481191023">
    <w:abstractNumId w:val="10"/>
  </w:num>
  <w:num w:numId="44" w16cid:durableId="2033190798">
    <w:abstractNumId w:val="28"/>
  </w:num>
  <w:num w:numId="45" w16cid:durableId="163058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56F"/>
    <w:rsid w:val="00021B5C"/>
    <w:rsid w:val="00043B77"/>
    <w:rsid w:val="000B656F"/>
    <w:rsid w:val="00113337"/>
    <w:rsid w:val="00153D7D"/>
    <w:rsid w:val="00164F5C"/>
    <w:rsid w:val="001A4277"/>
    <w:rsid w:val="001D35AE"/>
    <w:rsid w:val="002A0F46"/>
    <w:rsid w:val="002D692A"/>
    <w:rsid w:val="00535C2B"/>
    <w:rsid w:val="005A1A4E"/>
    <w:rsid w:val="006467F1"/>
    <w:rsid w:val="00667233"/>
    <w:rsid w:val="00696D83"/>
    <w:rsid w:val="006F31A1"/>
    <w:rsid w:val="0072517A"/>
    <w:rsid w:val="007D5B8A"/>
    <w:rsid w:val="007E5DB5"/>
    <w:rsid w:val="00827495"/>
    <w:rsid w:val="00857583"/>
    <w:rsid w:val="008C099C"/>
    <w:rsid w:val="009347DA"/>
    <w:rsid w:val="00970687"/>
    <w:rsid w:val="009D051C"/>
    <w:rsid w:val="00A47245"/>
    <w:rsid w:val="00A7581E"/>
    <w:rsid w:val="00A93C4A"/>
    <w:rsid w:val="00AA256C"/>
    <w:rsid w:val="00AB696D"/>
    <w:rsid w:val="00AC7CAA"/>
    <w:rsid w:val="00AD041C"/>
    <w:rsid w:val="00BC035C"/>
    <w:rsid w:val="00BE49CC"/>
    <w:rsid w:val="00C4578B"/>
    <w:rsid w:val="00CA73D7"/>
    <w:rsid w:val="00CE3362"/>
    <w:rsid w:val="00D2026F"/>
    <w:rsid w:val="00D24A9A"/>
    <w:rsid w:val="00D34FD1"/>
    <w:rsid w:val="00D55BF0"/>
    <w:rsid w:val="00D65DB6"/>
    <w:rsid w:val="00D74610"/>
    <w:rsid w:val="00DB78EF"/>
    <w:rsid w:val="00DD38C7"/>
    <w:rsid w:val="00E33D29"/>
    <w:rsid w:val="00E45807"/>
    <w:rsid w:val="00E6064B"/>
    <w:rsid w:val="00EE50E8"/>
    <w:rsid w:val="00F1384E"/>
    <w:rsid w:val="00F53BF9"/>
    <w:rsid w:val="00FB7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8DADD"/>
  <w15:chartTrackingRefBased/>
  <w15:docId w15:val="{6FD27FB4-A042-42D7-92DB-51BC25711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56F"/>
    <w:rPr>
      <w:kern w:val="0"/>
      <w14:ligatures w14:val="none"/>
    </w:rPr>
  </w:style>
  <w:style w:type="paragraph" w:styleId="Heading1">
    <w:name w:val="heading 1"/>
    <w:basedOn w:val="Normal"/>
    <w:next w:val="Normal"/>
    <w:link w:val="Heading1Char"/>
    <w:uiPriority w:val="9"/>
    <w:qFormat/>
    <w:rsid w:val="000B65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5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5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5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5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5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5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5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5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56F"/>
    <w:rPr>
      <w:rFonts w:eastAsiaTheme="majorEastAsia" w:cstheme="majorBidi"/>
      <w:color w:val="272727" w:themeColor="text1" w:themeTint="D8"/>
    </w:rPr>
  </w:style>
  <w:style w:type="paragraph" w:styleId="Title">
    <w:name w:val="Title"/>
    <w:basedOn w:val="Normal"/>
    <w:next w:val="Normal"/>
    <w:link w:val="TitleChar"/>
    <w:uiPriority w:val="10"/>
    <w:qFormat/>
    <w:rsid w:val="000B65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5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56F"/>
    <w:pPr>
      <w:spacing w:before="160"/>
      <w:jc w:val="center"/>
    </w:pPr>
    <w:rPr>
      <w:i/>
      <w:iCs/>
      <w:color w:val="404040" w:themeColor="text1" w:themeTint="BF"/>
    </w:rPr>
  </w:style>
  <w:style w:type="character" w:customStyle="1" w:styleId="QuoteChar">
    <w:name w:val="Quote Char"/>
    <w:basedOn w:val="DefaultParagraphFont"/>
    <w:link w:val="Quote"/>
    <w:uiPriority w:val="29"/>
    <w:rsid w:val="000B656F"/>
    <w:rPr>
      <w:i/>
      <w:iCs/>
      <w:color w:val="404040" w:themeColor="text1" w:themeTint="BF"/>
    </w:rPr>
  </w:style>
  <w:style w:type="paragraph" w:styleId="ListParagraph">
    <w:name w:val="List Paragraph"/>
    <w:basedOn w:val="Normal"/>
    <w:uiPriority w:val="34"/>
    <w:qFormat/>
    <w:rsid w:val="000B656F"/>
    <w:pPr>
      <w:ind w:left="720"/>
      <w:contextualSpacing/>
    </w:pPr>
  </w:style>
  <w:style w:type="character" w:styleId="IntenseEmphasis">
    <w:name w:val="Intense Emphasis"/>
    <w:basedOn w:val="DefaultParagraphFont"/>
    <w:uiPriority w:val="21"/>
    <w:qFormat/>
    <w:rsid w:val="000B656F"/>
    <w:rPr>
      <w:i/>
      <w:iCs/>
      <w:color w:val="0F4761" w:themeColor="accent1" w:themeShade="BF"/>
    </w:rPr>
  </w:style>
  <w:style w:type="paragraph" w:styleId="IntenseQuote">
    <w:name w:val="Intense Quote"/>
    <w:basedOn w:val="Normal"/>
    <w:next w:val="Normal"/>
    <w:link w:val="IntenseQuoteChar"/>
    <w:uiPriority w:val="30"/>
    <w:qFormat/>
    <w:rsid w:val="000B65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56F"/>
    <w:rPr>
      <w:i/>
      <w:iCs/>
      <w:color w:val="0F4761" w:themeColor="accent1" w:themeShade="BF"/>
    </w:rPr>
  </w:style>
  <w:style w:type="character" w:styleId="IntenseReference">
    <w:name w:val="Intense Reference"/>
    <w:basedOn w:val="DefaultParagraphFont"/>
    <w:uiPriority w:val="32"/>
    <w:qFormat/>
    <w:rsid w:val="000B656F"/>
    <w:rPr>
      <w:b/>
      <w:bCs/>
      <w:smallCaps/>
      <w:color w:val="0F4761" w:themeColor="accent1" w:themeShade="BF"/>
      <w:spacing w:val="5"/>
    </w:rPr>
  </w:style>
  <w:style w:type="character" w:styleId="Hyperlink">
    <w:name w:val="Hyperlink"/>
    <w:basedOn w:val="DefaultParagraphFont"/>
    <w:uiPriority w:val="99"/>
    <w:unhideWhenUsed/>
    <w:rsid w:val="00C4578B"/>
    <w:rPr>
      <w:color w:val="467886" w:themeColor="hyperlink"/>
      <w:u w:val="single"/>
    </w:rPr>
  </w:style>
  <w:style w:type="character" w:styleId="UnresolvedMention">
    <w:name w:val="Unresolved Mention"/>
    <w:basedOn w:val="DefaultParagraphFont"/>
    <w:uiPriority w:val="99"/>
    <w:semiHidden/>
    <w:unhideWhenUsed/>
    <w:rsid w:val="00C45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288972">
      <w:bodyDiv w:val="1"/>
      <w:marLeft w:val="0"/>
      <w:marRight w:val="0"/>
      <w:marTop w:val="0"/>
      <w:marBottom w:val="0"/>
      <w:divBdr>
        <w:top w:val="none" w:sz="0" w:space="0" w:color="auto"/>
        <w:left w:val="none" w:sz="0" w:space="0" w:color="auto"/>
        <w:bottom w:val="none" w:sz="0" w:space="0" w:color="auto"/>
        <w:right w:val="none" w:sz="0" w:space="0" w:color="auto"/>
      </w:divBdr>
    </w:div>
    <w:div w:id="796870287">
      <w:bodyDiv w:val="1"/>
      <w:marLeft w:val="0"/>
      <w:marRight w:val="0"/>
      <w:marTop w:val="0"/>
      <w:marBottom w:val="0"/>
      <w:divBdr>
        <w:top w:val="none" w:sz="0" w:space="0" w:color="auto"/>
        <w:left w:val="none" w:sz="0" w:space="0" w:color="auto"/>
        <w:bottom w:val="none" w:sz="0" w:space="0" w:color="auto"/>
        <w:right w:val="none" w:sz="0" w:space="0" w:color="auto"/>
      </w:divBdr>
    </w:div>
    <w:div w:id="816335803">
      <w:bodyDiv w:val="1"/>
      <w:marLeft w:val="0"/>
      <w:marRight w:val="0"/>
      <w:marTop w:val="0"/>
      <w:marBottom w:val="0"/>
      <w:divBdr>
        <w:top w:val="none" w:sz="0" w:space="0" w:color="auto"/>
        <w:left w:val="none" w:sz="0" w:space="0" w:color="auto"/>
        <w:bottom w:val="none" w:sz="0" w:space="0" w:color="auto"/>
        <w:right w:val="none" w:sz="0" w:space="0" w:color="auto"/>
      </w:divBdr>
      <w:divsChild>
        <w:div w:id="190148731">
          <w:marLeft w:val="0"/>
          <w:marRight w:val="0"/>
          <w:marTop w:val="0"/>
          <w:marBottom w:val="160"/>
          <w:divBdr>
            <w:top w:val="none" w:sz="0" w:space="0" w:color="auto"/>
            <w:left w:val="none" w:sz="0" w:space="0" w:color="auto"/>
            <w:bottom w:val="none" w:sz="0" w:space="0" w:color="auto"/>
            <w:right w:val="none" w:sz="0" w:space="0" w:color="auto"/>
          </w:divBdr>
        </w:div>
        <w:div w:id="1077946951">
          <w:marLeft w:val="0"/>
          <w:marRight w:val="0"/>
          <w:marTop w:val="0"/>
          <w:marBottom w:val="160"/>
          <w:divBdr>
            <w:top w:val="none" w:sz="0" w:space="0" w:color="auto"/>
            <w:left w:val="none" w:sz="0" w:space="0" w:color="auto"/>
            <w:bottom w:val="none" w:sz="0" w:space="0" w:color="auto"/>
            <w:right w:val="none" w:sz="0" w:space="0" w:color="auto"/>
          </w:divBdr>
        </w:div>
        <w:div w:id="100760966">
          <w:marLeft w:val="0"/>
          <w:marRight w:val="0"/>
          <w:marTop w:val="0"/>
          <w:marBottom w:val="160"/>
          <w:divBdr>
            <w:top w:val="none" w:sz="0" w:space="0" w:color="auto"/>
            <w:left w:val="none" w:sz="0" w:space="0" w:color="auto"/>
            <w:bottom w:val="none" w:sz="0" w:space="0" w:color="auto"/>
            <w:right w:val="none" w:sz="0" w:space="0" w:color="auto"/>
          </w:divBdr>
        </w:div>
        <w:div w:id="455637548">
          <w:marLeft w:val="0"/>
          <w:marRight w:val="0"/>
          <w:marTop w:val="0"/>
          <w:marBottom w:val="160"/>
          <w:divBdr>
            <w:top w:val="none" w:sz="0" w:space="0" w:color="auto"/>
            <w:left w:val="none" w:sz="0" w:space="0" w:color="auto"/>
            <w:bottom w:val="none" w:sz="0" w:space="0" w:color="auto"/>
            <w:right w:val="none" w:sz="0" w:space="0" w:color="auto"/>
          </w:divBdr>
        </w:div>
        <w:div w:id="633606394">
          <w:marLeft w:val="0"/>
          <w:marRight w:val="0"/>
          <w:marTop w:val="0"/>
          <w:marBottom w:val="160"/>
          <w:divBdr>
            <w:top w:val="none" w:sz="0" w:space="0" w:color="auto"/>
            <w:left w:val="none" w:sz="0" w:space="0" w:color="auto"/>
            <w:bottom w:val="none" w:sz="0" w:space="0" w:color="auto"/>
            <w:right w:val="none" w:sz="0" w:space="0" w:color="auto"/>
          </w:divBdr>
        </w:div>
        <w:div w:id="1509754428">
          <w:marLeft w:val="0"/>
          <w:marRight w:val="0"/>
          <w:marTop w:val="0"/>
          <w:marBottom w:val="160"/>
          <w:divBdr>
            <w:top w:val="none" w:sz="0" w:space="0" w:color="auto"/>
            <w:left w:val="none" w:sz="0" w:space="0" w:color="auto"/>
            <w:bottom w:val="none" w:sz="0" w:space="0" w:color="auto"/>
            <w:right w:val="none" w:sz="0" w:space="0" w:color="auto"/>
          </w:divBdr>
        </w:div>
        <w:div w:id="332996739">
          <w:marLeft w:val="0"/>
          <w:marRight w:val="0"/>
          <w:marTop w:val="0"/>
          <w:marBottom w:val="160"/>
          <w:divBdr>
            <w:top w:val="none" w:sz="0" w:space="0" w:color="auto"/>
            <w:left w:val="none" w:sz="0" w:space="0" w:color="auto"/>
            <w:bottom w:val="none" w:sz="0" w:space="0" w:color="auto"/>
            <w:right w:val="none" w:sz="0" w:space="0" w:color="auto"/>
          </w:divBdr>
        </w:div>
        <w:div w:id="1131438277">
          <w:marLeft w:val="0"/>
          <w:marRight w:val="0"/>
          <w:marTop w:val="0"/>
          <w:marBottom w:val="160"/>
          <w:divBdr>
            <w:top w:val="none" w:sz="0" w:space="0" w:color="auto"/>
            <w:left w:val="none" w:sz="0" w:space="0" w:color="auto"/>
            <w:bottom w:val="none" w:sz="0" w:space="0" w:color="auto"/>
            <w:right w:val="none" w:sz="0" w:space="0" w:color="auto"/>
          </w:divBdr>
        </w:div>
        <w:div w:id="106002585">
          <w:marLeft w:val="0"/>
          <w:marRight w:val="0"/>
          <w:marTop w:val="0"/>
          <w:marBottom w:val="160"/>
          <w:divBdr>
            <w:top w:val="none" w:sz="0" w:space="0" w:color="auto"/>
            <w:left w:val="none" w:sz="0" w:space="0" w:color="auto"/>
            <w:bottom w:val="none" w:sz="0" w:space="0" w:color="auto"/>
            <w:right w:val="none" w:sz="0" w:space="0" w:color="auto"/>
          </w:divBdr>
        </w:div>
        <w:div w:id="1007825198">
          <w:marLeft w:val="0"/>
          <w:marRight w:val="0"/>
          <w:marTop w:val="0"/>
          <w:marBottom w:val="160"/>
          <w:divBdr>
            <w:top w:val="none" w:sz="0" w:space="0" w:color="auto"/>
            <w:left w:val="none" w:sz="0" w:space="0" w:color="auto"/>
            <w:bottom w:val="none" w:sz="0" w:space="0" w:color="auto"/>
            <w:right w:val="none" w:sz="0" w:space="0" w:color="auto"/>
          </w:divBdr>
        </w:div>
        <w:div w:id="793137193">
          <w:marLeft w:val="0"/>
          <w:marRight w:val="0"/>
          <w:marTop w:val="0"/>
          <w:marBottom w:val="160"/>
          <w:divBdr>
            <w:top w:val="none" w:sz="0" w:space="0" w:color="auto"/>
            <w:left w:val="none" w:sz="0" w:space="0" w:color="auto"/>
            <w:bottom w:val="none" w:sz="0" w:space="0" w:color="auto"/>
            <w:right w:val="none" w:sz="0" w:space="0" w:color="auto"/>
          </w:divBdr>
        </w:div>
        <w:div w:id="1873808896">
          <w:marLeft w:val="0"/>
          <w:marRight w:val="0"/>
          <w:marTop w:val="0"/>
          <w:marBottom w:val="160"/>
          <w:divBdr>
            <w:top w:val="none" w:sz="0" w:space="0" w:color="auto"/>
            <w:left w:val="none" w:sz="0" w:space="0" w:color="auto"/>
            <w:bottom w:val="none" w:sz="0" w:space="0" w:color="auto"/>
            <w:right w:val="none" w:sz="0" w:space="0" w:color="auto"/>
          </w:divBdr>
        </w:div>
        <w:div w:id="331184141">
          <w:marLeft w:val="0"/>
          <w:marRight w:val="0"/>
          <w:marTop w:val="0"/>
          <w:marBottom w:val="160"/>
          <w:divBdr>
            <w:top w:val="none" w:sz="0" w:space="0" w:color="auto"/>
            <w:left w:val="none" w:sz="0" w:space="0" w:color="auto"/>
            <w:bottom w:val="none" w:sz="0" w:space="0" w:color="auto"/>
            <w:right w:val="none" w:sz="0" w:space="0" w:color="auto"/>
          </w:divBdr>
        </w:div>
        <w:div w:id="1207596193">
          <w:marLeft w:val="0"/>
          <w:marRight w:val="0"/>
          <w:marTop w:val="0"/>
          <w:marBottom w:val="160"/>
          <w:divBdr>
            <w:top w:val="none" w:sz="0" w:space="0" w:color="auto"/>
            <w:left w:val="none" w:sz="0" w:space="0" w:color="auto"/>
            <w:bottom w:val="none" w:sz="0" w:space="0" w:color="auto"/>
            <w:right w:val="none" w:sz="0" w:space="0" w:color="auto"/>
          </w:divBdr>
        </w:div>
        <w:div w:id="1911233076">
          <w:marLeft w:val="0"/>
          <w:marRight w:val="0"/>
          <w:marTop w:val="0"/>
          <w:marBottom w:val="160"/>
          <w:divBdr>
            <w:top w:val="none" w:sz="0" w:space="0" w:color="auto"/>
            <w:left w:val="none" w:sz="0" w:space="0" w:color="auto"/>
            <w:bottom w:val="none" w:sz="0" w:space="0" w:color="auto"/>
            <w:right w:val="none" w:sz="0" w:space="0" w:color="auto"/>
          </w:divBdr>
        </w:div>
        <w:div w:id="1559436575">
          <w:marLeft w:val="0"/>
          <w:marRight w:val="0"/>
          <w:marTop w:val="0"/>
          <w:marBottom w:val="160"/>
          <w:divBdr>
            <w:top w:val="none" w:sz="0" w:space="0" w:color="auto"/>
            <w:left w:val="none" w:sz="0" w:space="0" w:color="auto"/>
            <w:bottom w:val="none" w:sz="0" w:space="0" w:color="auto"/>
            <w:right w:val="none" w:sz="0" w:space="0" w:color="auto"/>
          </w:divBdr>
        </w:div>
        <w:div w:id="885265200">
          <w:marLeft w:val="0"/>
          <w:marRight w:val="0"/>
          <w:marTop w:val="0"/>
          <w:marBottom w:val="160"/>
          <w:divBdr>
            <w:top w:val="none" w:sz="0" w:space="0" w:color="auto"/>
            <w:left w:val="none" w:sz="0" w:space="0" w:color="auto"/>
            <w:bottom w:val="none" w:sz="0" w:space="0" w:color="auto"/>
            <w:right w:val="none" w:sz="0" w:space="0" w:color="auto"/>
          </w:divBdr>
        </w:div>
        <w:div w:id="910772039">
          <w:marLeft w:val="0"/>
          <w:marRight w:val="0"/>
          <w:marTop w:val="0"/>
          <w:marBottom w:val="160"/>
          <w:divBdr>
            <w:top w:val="none" w:sz="0" w:space="0" w:color="auto"/>
            <w:left w:val="none" w:sz="0" w:space="0" w:color="auto"/>
            <w:bottom w:val="none" w:sz="0" w:space="0" w:color="auto"/>
            <w:right w:val="none" w:sz="0" w:space="0" w:color="auto"/>
          </w:divBdr>
        </w:div>
        <w:div w:id="383067245">
          <w:marLeft w:val="0"/>
          <w:marRight w:val="0"/>
          <w:marTop w:val="0"/>
          <w:marBottom w:val="160"/>
          <w:divBdr>
            <w:top w:val="none" w:sz="0" w:space="0" w:color="auto"/>
            <w:left w:val="none" w:sz="0" w:space="0" w:color="auto"/>
            <w:bottom w:val="none" w:sz="0" w:space="0" w:color="auto"/>
            <w:right w:val="none" w:sz="0" w:space="0" w:color="auto"/>
          </w:divBdr>
        </w:div>
        <w:div w:id="2137798877">
          <w:marLeft w:val="0"/>
          <w:marRight w:val="0"/>
          <w:marTop w:val="0"/>
          <w:marBottom w:val="160"/>
          <w:divBdr>
            <w:top w:val="none" w:sz="0" w:space="0" w:color="auto"/>
            <w:left w:val="none" w:sz="0" w:space="0" w:color="auto"/>
            <w:bottom w:val="none" w:sz="0" w:space="0" w:color="auto"/>
            <w:right w:val="none" w:sz="0" w:space="0" w:color="auto"/>
          </w:divBdr>
        </w:div>
        <w:div w:id="1682125608">
          <w:marLeft w:val="0"/>
          <w:marRight w:val="0"/>
          <w:marTop w:val="0"/>
          <w:marBottom w:val="160"/>
          <w:divBdr>
            <w:top w:val="none" w:sz="0" w:space="0" w:color="auto"/>
            <w:left w:val="none" w:sz="0" w:space="0" w:color="auto"/>
            <w:bottom w:val="none" w:sz="0" w:space="0" w:color="auto"/>
            <w:right w:val="none" w:sz="0" w:space="0" w:color="auto"/>
          </w:divBdr>
        </w:div>
        <w:div w:id="266885522">
          <w:marLeft w:val="0"/>
          <w:marRight w:val="0"/>
          <w:marTop w:val="0"/>
          <w:marBottom w:val="160"/>
          <w:divBdr>
            <w:top w:val="none" w:sz="0" w:space="0" w:color="auto"/>
            <w:left w:val="none" w:sz="0" w:space="0" w:color="auto"/>
            <w:bottom w:val="none" w:sz="0" w:space="0" w:color="auto"/>
            <w:right w:val="none" w:sz="0" w:space="0" w:color="auto"/>
          </w:divBdr>
        </w:div>
        <w:div w:id="1251162533">
          <w:marLeft w:val="0"/>
          <w:marRight w:val="0"/>
          <w:marTop w:val="0"/>
          <w:marBottom w:val="160"/>
          <w:divBdr>
            <w:top w:val="none" w:sz="0" w:space="0" w:color="auto"/>
            <w:left w:val="none" w:sz="0" w:space="0" w:color="auto"/>
            <w:bottom w:val="none" w:sz="0" w:space="0" w:color="auto"/>
            <w:right w:val="none" w:sz="0" w:space="0" w:color="auto"/>
          </w:divBdr>
        </w:div>
        <w:div w:id="2028671204">
          <w:marLeft w:val="0"/>
          <w:marRight w:val="0"/>
          <w:marTop w:val="0"/>
          <w:marBottom w:val="160"/>
          <w:divBdr>
            <w:top w:val="none" w:sz="0" w:space="0" w:color="auto"/>
            <w:left w:val="none" w:sz="0" w:space="0" w:color="auto"/>
            <w:bottom w:val="none" w:sz="0" w:space="0" w:color="auto"/>
            <w:right w:val="none" w:sz="0" w:space="0" w:color="auto"/>
          </w:divBdr>
        </w:div>
        <w:div w:id="1366953310">
          <w:marLeft w:val="0"/>
          <w:marRight w:val="0"/>
          <w:marTop w:val="0"/>
          <w:marBottom w:val="160"/>
          <w:divBdr>
            <w:top w:val="none" w:sz="0" w:space="0" w:color="auto"/>
            <w:left w:val="none" w:sz="0" w:space="0" w:color="auto"/>
            <w:bottom w:val="none" w:sz="0" w:space="0" w:color="auto"/>
            <w:right w:val="none" w:sz="0" w:space="0" w:color="auto"/>
          </w:divBdr>
        </w:div>
        <w:div w:id="1239973176">
          <w:marLeft w:val="0"/>
          <w:marRight w:val="0"/>
          <w:marTop w:val="0"/>
          <w:marBottom w:val="160"/>
          <w:divBdr>
            <w:top w:val="none" w:sz="0" w:space="0" w:color="auto"/>
            <w:left w:val="none" w:sz="0" w:space="0" w:color="auto"/>
            <w:bottom w:val="none" w:sz="0" w:space="0" w:color="auto"/>
            <w:right w:val="none" w:sz="0" w:space="0" w:color="auto"/>
          </w:divBdr>
        </w:div>
        <w:div w:id="196967993">
          <w:marLeft w:val="0"/>
          <w:marRight w:val="0"/>
          <w:marTop w:val="0"/>
          <w:marBottom w:val="160"/>
          <w:divBdr>
            <w:top w:val="none" w:sz="0" w:space="0" w:color="auto"/>
            <w:left w:val="none" w:sz="0" w:space="0" w:color="auto"/>
            <w:bottom w:val="none" w:sz="0" w:space="0" w:color="auto"/>
            <w:right w:val="none" w:sz="0" w:space="0" w:color="auto"/>
          </w:divBdr>
        </w:div>
        <w:div w:id="2061593001">
          <w:marLeft w:val="0"/>
          <w:marRight w:val="0"/>
          <w:marTop w:val="0"/>
          <w:marBottom w:val="160"/>
          <w:divBdr>
            <w:top w:val="none" w:sz="0" w:space="0" w:color="auto"/>
            <w:left w:val="none" w:sz="0" w:space="0" w:color="auto"/>
            <w:bottom w:val="none" w:sz="0" w:space="0" w:color="auto"/>
            <w:right w:val="none" w:sz="0" w:space="0" w:color="auto"/>
          </w:divBdr>
        </w:div>
        <w:div w:id="526992007">
          <w:marLeft w:val="0"/>
          <w:marRight w:val="0"/>
          <w:marTop w:val="0"/>
          <w:marBottom w:val="160"/>
          <w:divBdr>
            <w:top w:val="none" w:sz="0" w:space="0" w:color="auto"/>
            <w:left w:val="none" w:sz="0" w:space="0" w:color="auto"/>
            <w:bottom w:val="none" w:sz="0" w:space="0" w:color="auto"/>
            <w:right w:val="none" w:sz="0" w:space="0" w:color="auto"/>
          </w:divBdr>
        </w:div>
        <w:div w:id="1070032440">
          <w:marLeft w:val="0"/>
          <w:marRight w:val="0"/>
          <w:marTop w:val="0"/>
          <w:marBottom w:val="160"/>
          <w:divBdr>
            <w:top w:val="none" w:sz="0" w:space="0" w:color="auto"/>
            <w:left w:val="none" w:sz="0" w:space="0" w:color="auto"/>
            <w:bottom w:val="none" w:sz="0" w:space="0" w:color="auto"/>
            <w:right w:val="none" w:sz="0" w:space="0" w:color="auto"/>
          </w:divBdr>
        </w:div>
        <w:div w:id="457139736">
          <w:marLeft w:val="0"/>
          <w:marRight w:val="0"/>
          <w:marTop w:val="0"/>
          <w:marBottom w:val="160"/>
          <w:divBdr>
            <w:top w:val="none" w:sz="0" w:space="0" w:color="auto"/>
            <w:left w:val="none" w:sz="0" w:space="0" w:color="auto"/>
            <w:bottom w:val="none" w:sz="0" w:space="0" w:color="auto"/>
            <w:right w:val="none" w:sz="0" w:space="0" w:color="auto"/>
          </w:divBdr>
        </w:div>
        <w:div w:id="1574124930">
          <w:marLeft w:val="0"/>
          <w:marRight w:val="0"/>
          <w:marTop w:val="0"/>
          <w:marBottom w:val="160"/>
          <w:divBdr>
            <w:top w:val="none" w:sz="0" w:space="0" w:color="auto"/>
            <w:left w:val="none" w:sz="0" w:space="0" w:color="auto"/>
            <w:bottom w:val="none" w:sz="0" w:space="0" w:color="auto"/>
            <w:right w:val="none" w:sz="0" w:space="0" w:color="auto"/>
          </w:divBdr>
        </w:div>
      </w:divsChild>
    </w:div>
    <w:div w:id="920523581">
      <w:bodyDiv w:val="1"/>
      <w:marLeft w:val="0"/>
      <w:marRight w:val="0"/>
      <w:marTop w:val="0"/>
      <w:marBottom w:val="0"/>
      <w:divBdr>
        <w:top w:val="none" w:sz="0" w:space="0" w:color="auto"/>
        <w:left w:val="none" w:sz="0" w:space="0" w:color="auto"/>
        <w:bottom w:val="none" w:sz="0" w:space="0" w:color="auto"/>
        <w:right w:val="none" w:sz="0" w:space="0" w:color="auto"/>
      </w:divBdr>
    </w:div>
    <w:div w:id="1554538299">
      <w:bodyDiv w:val="1"/>
      <w:marLeft w:val="0"/>
      <w:marRight w:val="0"/>
      <w:marTop w:val="0"/>
      <w:marBottom w:val="0"/>
      <w:divBdr>
        <w:top w:val="none" w:sz="0" w:space="0" w:color="auto"/>
        <w:left w:val="none" w:sz="0" w:space="0" w:color="auto"/>
        <w:bottom w:val="none" w:sz="0" w:space="0" w:color="auto"/>
        <w:right w:val="none" w:sz="0" w:space="0" w:color="auto"/>
      </w:divBdr>
    </w:div>
    <w:div w:id="1647584811">
      <w:bodyDiv w:val="1"/>
      <w:marLeft w:val="0"/>
      <w:marRight w:val="0"/>
      <w:marTop w:val="0"/>
      <w:marBottom w:val="0"/>
      <w:divBdr>
        <w:top w:val="none" w:sz="0" w:space="0" w:color="auto"/>
        <w:left w:val="none" w:sz="0" w:space="0" w:color="auto"/>
        <w:bottom w:val="none" w:sz="0" w:space="0" w:color="auto"/>
        <w:right w:val="none" w:sz="0" w:space="0" w:color="auto"/>
      </w:divBdr>
      <w:divsChild>
        <w:div w:id="668946544">
          <w:marLeft w:val="0"/>
          <w:marRight w:val="0"/>
          <w:marTop w:val="0"/>
          <w:marBottom w:val="160"/>
          <w:divBdr>
            <w:top w:val="none" w:sz="0" w:space="0" w:color="auto"/>
            <w:left w:val="none" w:sz="0" w:space="0" w:color="auto"/>
            <w:bottom w:val="none" w:sz="0" w:space="0" w:color="auto"/>
            <w:right w:val="none" w:sz="0" w:space="0" w:color="auto"/>
          </w:divBdr>
        </w:div>
        <w:div w:id="1849711052">
          <w:marLeft w:val="0"/>
          <w:marRight w:val="0"/>
          <w:marTop w:val="0"/>
          <w:marBottom w:val="160"/>
          <w:divBdr>
            <w:top w:val="none" w:sz="0" w:space="0" w:color="auto"/>
            <w:left w:val="none" w:sz="0" w:space="0" w:color="auto"/>
            <w:bottom w:val="none" w:sz="0" w:space="0" w:color="auto"/>
            <w:right w:val="none" w:sz="0" w:space="0" w:color="auto"/>
          </w:divBdr>
        </w:div>
        <w:div w:id="138811520">
          <w:marLeft w:val="0"/>
          <w:marRight w:val="0"/>
          <w:marTop w:val="0"/>
          <w:marBottom w:val="160"/>
          <w:divBdr>
            <w:top w:val="none" w:sz="0" w:space="0" w:color="auto"/>
            <w:left w:val="none" w:sz="0" w:space="0" w:color="auto"/>
            <w:bottom w:val="none" w:sz="0" w:space="0" w:color="auto"/>
            <w:right w:val="none" w:sz="0" w:space="0" w:color="auto"/>
          </w:divBdr>
        </w:div>
        <w:div w:id="2076589322">
          <w:marLeft w:val="0"/>
          <w:marRight w:val="0"/>
          <w:marTop w:val="0"/>
          <w:marBottom w:val="160"/>
          <w:divBdr>
            <w:top w:val="none" w:sz="0" w:space="0" w:color="auto"/>
            <w:left w:val="none" w:sz="0" w:space="0" w:color="auto"/>
            <w:bottom w:val="none" w:sz="0" w:space="0" w:color="auto"/>
            <w:right w:val="none" w:sz="0" w:space="0" w:color="auto"/>
          </w:divBdr>
        </w:div>
        <w:div w:id="1401249328">
          <w:marLeft w:val="0"/>
          <w:marRight w:val="0"/>
          <w:marTop w:val="0"/>
          <w:marBottom w:val="160"/>
          <w:divBdr>
            <w:top w:val="none" w:sz="0" w:space="0" w:color="auto"/>
            <w:left w:val="none" w:sz="0" w:space="0" w:color="auto"/>
            <w:bottom w:val="none" w:sz="0" w:space="0" w:color="auto"/>
            <w:right w:val="none" w:sz="0" w:space="0" w:color="auto"/>
          </w:divBdr>
        </w:div>
        <w:div w:id="2140299719">
          <w:marLeft w:val="0"/>
          <w:marRight w:val="0"/>
          <w:marTop w:val="0"/>
          <w:marBottom w:val="160"/>
          <w:divBdr>
            <w:top w:val="none" w:sz="0" w:space="0" w:color="auto"/>
            <w:left w:val="none" w:sz="0" w:space="0" w:color="auto"/>
            <w:bottom w:val="none" w:sz="0" w:space="0" w:color="auto"/>
            <w:right w:val="none" w:sz="0" w:space="0" w:color="auto"/>
          </w:divBdr>
        </w:div>
        <w:div w:id="593906543">
          <w:marLeft w:val="0"/>
          <w:marRight w:val="0"/>
          <w:marTop w:val="0"/>
          <w:marBottom w:val="160"/>
          <w:divBdr>
            <w:top w:val="none" w:sz="0" w:space="0" w:color="auto"/>
            <w:left w:val="none" w:sz="0" w:space="0" w:color="auto"/>
            <w:bottom w:val="none" w:sz="0" w:space="0" w:color="auto"/>
            <w:right w:val="none" w:sz="0" w:space="0" w:color="auto"/>
          </w:divBdr>
        </w:div>
        <w:div w:id="1906335456">
          <w:marLeft w:val="0"/>
          <w:marRight w:val="0"/>
          <w:marTop w:val="0"/>
          <w:marBottom w:val="160"/>
          <w:divBdr>
            <w:top w:val="none" w:sz="0" w:space="0" w:color="auto"/>
            <w:left w:val="none" w:sz="0" w:space="0" w:color="auto"/>
            <w:bottom w:val="none" w:sz="0" w:space="0" w:color="auto"/>
            <w:right w:val="none" w:sz="0" w:space="0" w:color="auto"/>
          </w:divBdr>
        </w:div>
        <w:div w:id="1348168074">
          <w:marLeft w:val="0"/>
          <w:marRight w:val="0"/>
          <w:marTop w:val="0"/>
          <w:marBottom w:val="160"/>
          <w:divBdr>
            <w:top w:val="none" w:sz="0" w:space="0" w:color="auto"/>
            <w:left w:val="none" w:sz="0" w:space="0" w:color="auto"/>
            <w:bottom w:val="none" w:sz="0" w:space="0" w:color="auto"/>
            <w:right w:val="none" w:sz="0" w:space="0" w:color="auto"/>
          </w:divBdr>
        </w:div>
        <w:div w:id="1788233211">
          <w:marLeft w:val="0"/>
          <w:marRight w:val="0"/>
          <w:marTop w:val="0"/>
          <w:marBottom w:val="160"/>
          <w:divBdr>
            <w:top w:val="none" w:sz="0" w:space="0" w:color="auto"/>
            <w:left w:val="none" w:sz="0" w:space="0" w:color="auto"/>
            <w:bottom w:val="none" w:sz="0" w:space="0" w:color="auto"/>
            <w:right w:val="none" w:sz="0" w:space="0" w:color="auto"/>
          </w:divBdr>
        </w:div>
        <w:div w:id="144513292">
          <w:marLeft w:val="0"/>
          <w:marRight w:val="0"/>
          <w:marTop w:val="0"/>
          <w:marBottom w:val="160"/>
          <w:divBdr>
            <w:top w:val="none" w:sz="0" w:space="0" w:color="auto"/>
            <w:left w:val="none" w:sz="0" w:space="0" w:color="auto"/>
            <w:bottom w:val="none" w:sz="0" w:space="0" w:color="auto"/>
            <w:right w:val="none" w:sz="0" w:space="0" w:color="auto"/>
          </w:divBdr>
        </w:div>
        <w:div w:id="290131584">
          <w:marLeft w:val="0"/>
          <w:marRight w:val="0"/>
          <w:marTop w:val="0"/>
          <w:marBottom w:val="160"/>
          <w:divBdr>
            <w:top w:val="none" w:sz="0" w:space="0" w:color="auto"/>
            <w:left w:val="none" w:sz="0" w:space="0" w:color="auto"/>
            <w:bottom w:val="none" w:sz="0" w:space="0" w:color="auto"/>
            <w:right w:val="none" w:sz="0" w:space="0" w:color="auto"/>
          </w:divBdr>
        </w:div>
        <w:div w:id="1090853638">
          <w:marLeft w:val="0"/>
          <w:marRight w:val="0"/>
          <w:marTop w:val="0"/>
          <w:marBottom w:val="160"/>
          <w:divBdr>
            <w:top w:val="none" w:sz="0" w:space="0" w:color="auto"/>
            <w:left w:val="none" w:sz="0" w:space="0" w:color="auto"/>
            <w:bottom w:val="none" w:sz="0" w:space="0" w:color="auto"/>
            <w:right w:val="none" w:sz="0" w:space="0" w:color="auto"/>
          </w:divBdr>
        </w:div>
        <w:div w:id="1288465665">
          <w:marLeft w:val="0"/>
          <w:marRight w:val="0"/>
          <w:marTop w:val="0"/>
          <w:marBottom w:val="160"/>
          <w:divBdr>
            <w:top w:val="none" w:sz="0" w:space="0" w:color="auto"/>
            <w:left w:val="none" w:sz="0" w:space="0" w:color="auto"/>
            <w:bottom w:val="none" w:sz="0" w:space="0" w:color="auto"/>
            <w:right w:val="none" w:sz="0" w:space="0" w:color="auto"/>
          </w:divBdr>
        </w:div>
        <w:div w:id="1774353244">
          <w:marLeft w:val="0"/>
          <w:marRight w:val="0"/>
          <w:marTop w:val="0"/>
          <w:marBottom w:val="160"/>
          <w:divBdr>
            <w:top w:val="none" w:sz="0" w:space="0" w:color="auto"/>
            <w:left w:val="none" w:sz="0" w:space="0" w:color="auto"/>
            <w:bottom w:val="none" w:sz="0" w:space="0" w:color="auto"/>
            <w:right w:val="none" w:sz="0" w:space="0" w:color="auto"/>
          </w:divBdr>
        </w:div>
        <w:div w:id="1539009053">
          <w:marLeft w:val="0"/>
          <w:marRight w:val="0"/>
          <w:marTop w:val="0"/>
          <w:marBottom w:val="160"/>
          <w:divBdr>
            <w:top w:val="none" w:sz="0" w:space="0" w:color="auto"/>
            <w:left w:val="none" w:sz="0" w:space="0" w:color="auto"/>
            <w:bottom w:val="none" w:sz="0" w:space="0" w:color="auto"/>
            <w:right w:val="none" w:sz="0" w:space="0" w:color="auto"/>
          </w:divBdr>
        </w:div>
        <w:div w:id="1663848883">
          <w:marLeft w:val="0"/>
          <w:marRight w:val="0"/>
          <w:marTop w:val="0"/>
          <w:marBottom w:val="160"/>
          <w:divBdr>
            <w:top w:val="none" w:sz="0" w:space="0" w:color="auto"/>
            <w:left w:val="none" w:sz="0" w:space="0" w:color="auto"/>
            <w:bottom w:val="none" w:sz="0" w:space="0" w:color="auto"/>
            <w:right w:val="none" w:sz="0" w:space="0" w:color="auto"/>
          </w:divBdr>
        </w:div>
        <w:div w:id="1494376161">
          <w:marLeft w:val="0"/>
          <w:marRight w:val="0"/>
          <w:marTop w:val="0"/>
          <w:marBottom w:val="160"/>
          <w:divBdr>
            <w:top w:val="none" w:sz="0" w:space="0" w:color="auto"/>
            <w:left w:val="none" w:sz="0" w:space="0" w:color="auto"/>
            <w:bottom w:val="none" w:sz="0" w:space="0" w:color="auto"/>
            <w:right w:val="none" w:sz="0" w:space="0" w:color="auto"/>
          </w:divBdr>
        </w:div>
        <w:div w:id="1905484121">
          <w:marLeft w:val="0"/>
          <w:marRight w:val="0"/>
          <w:marTop w:val="0"/>
          <w:marBottom w:val="160"/>
          <w:divBdr>
            <w:top w:val="none" w:sz="0" w:space="0" w:color="auto"/>
            <w:left w:val="none" w:sz="0" w:space="0" w:color="auto"/>
            <w:bottom w:val="none" w:sz="0" w:space="0" w:color="auto"/>
            <w:right w:val="none" w:sz="0" w:space="0" w:color="auto"/>
          </w:divBdr>
        </w:div>
        <w:div w:id="637495343">
          <w:marLeft w:val="0"/>
          <w:marRight w:val="0"/>
          <w:marTop w:val="0"/>
          <w:marBottom w:val="160"/>
          <w:divBdr>
            <w:top w:val="none" w:sz="0" w:space="0" w:color="auto"/>
            <w:left w:val="none" w:sz="0" w:space="0" w:color="auto"/>
            <w:bottom w:val="none" w:sz="0" w:space="0" w:color="auto"/>
            <w:right w:val="none" w:sz="0" w:space="0" w:color="auto"/>
          </w:divBdr>
        </w:div>
        <w:div w:id="219366191">
          <w:marLeft w:val="0"/>
          <w:marRight w:val="0"/>
          <w:marTop w:val="0"/>
          <w:marBottom w:val="160"/>
          <w:divBdr>
            <w:top w:val="none" w:sz="0" w:space="0" w:color="auto"/>
            <w:left w:val="none" w:sz="0" w:space="0" w:color="auto"/>
            <w:bottom w:val="none" w:sz="0" w:space="0" w:color="auto"/>
            <w:right w:val="none" w:sz="0" w:space="0" w:color="auto"/>
          </w:divBdr>
        </w:div>
        <w:div w:id="970405180">
          <w:marLeft w:val="0"/>
          <w:marRight w:val="0"/>
          <w:marTop w:val="0"/>
          <w:marBottom w:val="160"/>
          <w:divBdr>
            <w:top w:val="none" w:sz="0" w:space="0" w:color="auto"/>
            <w:left w:val="none" w:sz="0" w:space="0" w:color="auto"/>
            <w:bottom w:val="none" w:sz="0" w:space="0" w:color="auto"/>
            <w:right w:val="none" w:sz="0" w:space="0" w:color="auto"/>
          </w:divBdr>
        </w:div>
        <w:div w:id="1660421177">
          <w:marLeft w:val="0"/>
          <w:marRight w:val="0"/>
          <w:marTop w:val="0"/>
          <w:marBottom w:val="160"/>
          <w:divBdr>
            <w:top w:val="none" w:sz="0" w:space="0" w:color="auto"/>
            <w:left w:val="none" w:sz="0" w:space="0" w:color="auto"/>
            <w:bottom w:val="none" w:sz="0" w:space="0" w:color="auto"/>
            <w:right w:val="none" w:sz="0" w:space="0" w:color="auto"/>
          </w:divBdr>
        </w:div>
        <w:div w:id="2013680158">
          <w:marLeft w:val="0"/>
          <w:marRight w:val="0"/>
          <w:marTop w:val="0"/>
          <w:marBottom w:val="160"/>
          <w:divBdr>
            <w:top w:val="none" w:sz="0" w:space="0" w:color="auto"/>
            <w:left w:val="none" w:sz="0" w:space="0" w:color="auto"/>
            <w:bottom w:val="none" w:sz="0" w:space="0" w:color="auto"/>
            <w:right w:val="none" w:sz="0" w:space="0" w:color="auto"/>
          </w:divBdr>
        </w:div>
        <w:div w:id="1796294479">
          <w:marLeft w:val="0"/>
          <w:marRight w:val="0"/>
          <w:marTop w:val="0"/>
          <w:marBottom w:val="160"/>
          <w:divBdr>
            <w:top w:val="none" w:sz="0" w:space="0" w:color="auto"/>
            <w:left w:val="none" w:sz="0" w:space="0" w:color="auto"/>
            <w:bottom w:val="none" w:sz="0" w:space="0" w:color="auto"/>
            <w:right w:val="none" w:sz="0" w:space="0" w:color="auto"/>
          </w:divBdr>
        </w:div>
        <w:div w:id="1107387497">
          <w:marLeft w:val="0"/>
          <w:marRight w:val="0"/>
          <w:marTop w:val="0"/>
          <w:marBottom w:val="160"/>
          <w:divBdr>
            <w:top w:val="none" w:sz="0" w:space="0" w:color="auto"/>
            <w:left w:val="none" w:sz="0" w:space="0" w:color="auto"/>
            <w:bottom w:val="none" w:sz="0" w:space="0" w:color="auto"/>
            <w:right w:val="none" w:sz="0" w:space="0" w:color="auto"/>
          </w:divBdr>
        </w:div>
        <w:div w:id="920725033">
          <w:marLeft w:val="0"/>
          <w:marRight w:val="0"/>
          <w:marTop w:val="0"/>
          <w:marBottom w:val="160"/>
          <w:divBdr>
            <w:top w:val="none" w:sz="0" w:space="0" w:color="auto"/>
            <w:left w:val="none" w:sz="0" w:space="0" w:color="auto"/>
            <w:bottom w:val="none" w:sz="0" w:space="0" w:color="auto"/>
            <w:right w:val="none" w:sz="0" w:space="0" w:color="auto"/>
          </w:divBdr>
        </w:div>
        <w:div w:id="2065833536">
          <w:marLeft w:val="0"/>
          <w:marRight w:val="0"/>
          <w:marTop w:val="0"/>
          <w:marBottom w:val="160"/>
          <w:divBdr>
            <w:top w:val="none" w:sz="0" w:space="0" w:color="auto"/>
            <w:left w:val="none" w:sz="0" w:space="0" w:color="auto"/>
            <w:bottom w:val="none" w:sz="0" w:space="0" w:color="auto"/>
            <w:right w:val="none" w:sz="0" w:space="0" w:color="auto"/>
          </w:divBdr>
        </w:div>
        <w:div w:id="287787486">
          <w:marLeft w:val="0"/>
          <w:marRight w:val="0"/>
          <w:marTop w:val="0"/>
          <w:marBottom w:val="160"/>
          <w:divBdr>
            <w:top w:val="none" w:sz="0" w:space="0" w:color="auto"/>
            <w:left w:val="none" w:sz="0" w:space="0" w:color="auto"/>
            <w:bottom w:val="none" w:sz="0" w:space="0" w:color="auto"/>
            <w:right w:val="none" w:sz="0" w:space="0" w:color="auto"/>
          </w:divBdr>
        </w:div>
        <w:div w:id="1889218840">
          <w:marLeft w:val="0"/>
          <w:marRight w:val="0"/>
          <w:marTop w:val="0"/>
          <w:marBottom w:val="160"/>
          <w:divBdr>
            <w:top w:val="none" w:sz="0" w:space="0" w:color="auto"/>
            <w:left w:val="none" w:sz="0" w:space="0" w:color="auto"/>
            <w:bottom w:val="none" w:sz="0" w:space="0" w:color="auto"/>
            <w:right w:val="none" w:sz="0" w:space="0" w:color="auto"/>
          </w:divBdr>
        </w:div>
        <w:div w:id="1878158220">
          <w:marLeft w:val="0"/>
          <w:marRight w:val="0"/>
          <w:marTop w:val="0"/>
          <w:marBottom w:val="160"/>
          <w:divBdr>
            <w:top w:val="none" w:sz="0" w:space="0" w:color="auto"/>
            <w:left w:val="none" w:sz="0" w:space="0" w:color="auto"/>
            <w:bottom w:val="none" w:sz="0" w:space="0" w:color="auto"/>
            <w:right w:val="none" w:sz="0" w:space="0" w:color="auto"/>
          </w:divBdr>
        </w:div>
        <w:div w:id="61099132">
          <w:marLeft w:val="0"/>
          <w:marRight w:val="0"/>
          <w:marTop w:val="0"/>
          <w:marBottom w:val="160"/>
          <w:divBdr>
            <w:top w:val="none" w:sz="0" w:space="0" w:color="auto"/>
            <w:left w:val="none" w:sz="0" w:space="0" w:color="auto"/>
            <w:bottom w:val="none" w:sz="0" w:space="0" w:color="auto"/>
            <w:right w:val="none" w:sz="0" w:space="0" w:color="auto"/>
          </w:divBdr>
        </w:div>
      </w:divsChild>
    </w:div>
    <w:div w:id="1734815296">
      <w:bodyDiv w:val="1"/>
      <w:marLeft w:val="0"/>
      <w:marRight w:val="0"/>
      <w:marTop w:val="0"/>
      <w:marBottom w:val="0"/>
      <w:divBdr>
        <w:top w:val="none" w:sz="0" w:space="0" w:color="auto"/>
        <w:left w:val="none" w:sz="0" w:space="0" w:color="auto"/>
        <w:bottom w:val="none" w:sz="0" w:space="0" w:color="auto"/>
        <w:right w:val="none" w:sz="0" w:space="0" w:color="auto"/>
      </w:divBdr>
    </w:div>
    <w:div w:id="204374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1583</TotalTime>
  <Pages>16</Pages>
  <Words>5503</Words>
  <Characters>31368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Clapham, Taylor</dc:creator>
  <cp:keywords/>
  <dc:description/>
  <cp:lastModifiedBy>Clapham, Taylor</cp:lastModifiedBy>
  <cp:revision>17</cp:revision>
  <dcterms:created xsi:type="dcterms:W3CDTF">2024-12-19T03:47:00Z</dcterms:created>
  <dcterms:modified xsi:type="dcterms:W3CDTF">2025-01-27T19:15:00Z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2024-12-19T03:48:53Z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54106aa8-1d45-445d-9f2c-9c9959e91dc2</vt:lpwstr>
  </property>
  <property fmtid="{D5CDD505-2E9C-101B-9397-08002B2CF9AE}" pid="8" name="MSIP_Label_f2acd28b-79a3-4a0f-b0ff-4b75658b1549_ContentBits">
    <vt:lpwstr>0</vt:lpwstr>
  </property>
</Properties>
</file>