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E75" w:rsidRPr="004C6E75" w:rsidRDefault="004C6E75" w:rsidP="004C6E75">
      <w:pPr>
        <w:spacing w:after="0" w:line="276" w:lineRule="auto"/>
        <w:ind w:firstLine="360"/>
        <w:jc w:val="center"/>
        <w:textAlignment w:val="baseline"/>
        <w:rPr>
          <w:rFonts w:eastAsia="Times New Roman" w:cstheme="minorHAnsi"/>
          <w:i/>
          <w:color w:val="000000"/>
          <w:sz w:val="28"/>
          <w:szCs w:val="24"/>
          <w:u w:val="single"/>
          <w:lang w:eastAsia="en-GB"/>
        </w:rPr>
      </w:pPr>
      <w:r w:rsidRPr="004C6E75">
        <w:rPr>
          <w:rFonts w:eastAsia="Times New Roman" w:cstheme="minorHAnsi"/>
          <w:i/>
          <w:color w:val="000000"/>
          <w:sz w:val="28"/>
          <w:szCs w:val="24"/>
          <w:u w:val="single"/>
          <w:lang w:eastAsia="en-GB"/>
        </w:rPr>
        <w:t>Wittgenstein suggests that ‘the peculiar grammar of the word “I”’ is liable to mislead us into thinking that there is a non-bodily entity, a ‘real I’ that ‘lives in my body’ (Blue Book p 66). Outline and evaluate this suggestion.</w:t>
      </w:r>
    </w:p>
    <w:p w:rsidR="004C6E75" w:rsidRDefault="004C6E75" w:rsidP="00F562A3">
      <w:pPr>
        <w:spacing w:after="0" w:line="276" w:lineRule="auto"/>
        <w:ind w:firstLine="360"/>
        <w:textAlignment w:val="baseline"/>
        <w:rPr>
          <w:rFonts w:eastAsia="Times New Roman" w:cstheme="minorHAnsi"/>
          <w:color w:val="000000"/>
          <w:sz w:val="24"/>
          <w:szCs w:val="24"/>
          <w:lang w:eastAsia="en-GB"/>
        </w:rPr>
      </w:pPr>
    </w:p>
    <w:p w:rsidR="00F562A3" w:rsidRPr="00B85550" w:rsidRDefault="002F75B5" w:rsidP="00F562A3">
      <w:pPr>
        <w:spacing w:after="0" w:line="276" w:lineRule="auto"/>
        <w:ind w:firstLine="360"/>
        <w:textAlignment w:val="baseline"/>
        <w:rPr>
          <w:rFonts w:eastAsia="Times New Roman" w:cstheme="minorHAnsi"/>
          <w:sz w:val="24"/>
          <w:szCs w:val="24"/>
          <w:lang w:eastAsia="en-GB"/>
        </w:rPr>
      </w:pPr>
      <w:r w:rsidRPr="002F75B5">
        <w:rPr>
          <w:rFonts w:eastAsia="Times New Roman" w:cstheme="minorHAnsi"/>
          <w:color w:val="000000"/>
          <w:sz w:val="24"/>
          <w:szCs w:val="24"/>
          <w:lang w:eastAsia="en-GB"/>
        </w:rPr>
        <w:t>Ludwig Josef Johann Wittgenstein was born on April 26th 1889 in Vienna, Austria, and is considered to be one of the most notable philosophers of the</w:t>
      </w:r>
      <w:r w:rsidR="000864F2">
        <w:rPr>
          <w:rFonts w:eastAsia="Times New Roman" w:cstheme="minorHAnsi"/>
          <w:color w:val="000000"/>
          <w:sz w:val="24"/>
          <w:szCs w:val="24"/>
          <w:lang w:eastAsia="en-GB"/>
        </w:rPr>
        <w:t xml:space="preserve"> twentieth century. He believes </w:t>
      </w:r>
      <w:r w:rsidRPr="002F75B5">
        <w:rPr>
          <w:rFonts w:eastAsia="Times New Roman" w:cstheme="minorHAnsi"/>
          <w:color w:val="000000"/>
          <w:sz w:val="24"/>
          <w:szCs w:val="24"/>
          <w:lang w:eastAsia="en-GB"/>
        </w:rPr>
        <w:t xml:space="preserve">that all problems of philosophy are problems of language. He once wrote in his 1921 work </w:t>
      </w:r>
      <w:proofErr w:type="spellStart"/>
      <w:r w:rsidRPr="002F75B5">
        <w:rPr>
          <w:rFonts w:eastAsia="Times New Roman" w:cstheme="minorHAnsi"/>
          <w:i/>
          <w:iCs/>
          <w:color w:val="000000"/>
          <w:sz w:val="24"/>
          <w:szCs w:val="24"/>
          <w:lang w:eastAsia="en-GB"/>
        </w:rPr>
        <w:t>Tractatus</w:t>
      </w:r>
      <w:proofErr w:type="spellEnd"/>
      <w:r w:rsidRPr="002F75B5">
        <w:rPr>
          <w:rFonts w:eastAsia="Times New Roman" w:cstheme="minorHAnsi"/>
          <w:i/>
          <w:iCs/>
          <w:color w:val="000000"/>
          <w:sz w:val="24"/>
          <w:szCs w:val="24"/>
          <w:lang w:eastAsia="en-GB"/>
        </w:rPr>
        <w:t xml:space="preserve"> </w:t>
      </w:r>
      <w:proofErr w:type="spellStart"/>
      <w:r w:rsidRPr="002F75B5">
        <w:rPr>
          <w:rFonts w:eastAsia="Times New Roman" w:cstheme="minorHAnsi"/>
          <w:i/>
          <w:iCs/>
          <w:color w:val="000000"/>
          <w:sz w:val="24"/>
          <w:szCs w:val="24"/>
          <w:lang w:eastAsia="en-GB"/>
        </w:rPr>
        <w:t>Logico-Philosophicus</w:t>
      </w:r>
      <w:proofErr w:type="spellEnd"/>
      <w:r w:rsidRPr="002F75B5">
        <w:rPr>
          <w:rFonts w:eastAsia="Times New Roman" w:cstheme="minorHAnsi"/>
          <w:color w:val="000000"/>
          <w:sz w:val="24"/>
          <w:szCs w:val="24"/>
          <w:lang w:eastAsia="en-GB"/>
        </w:rPr>
        <w:t xml:space="preserve"> “</w:t>
      </w:r>
      <w:r w:rsidRPr="00872FE9">
        <w:rPr>
          <w:rFonts w:eastAsia="Times New Roman" w:cstheme="minorHAnsi"/>
          <w:sz w:val="24"/>
          <w:szCs w:val="24"/>
          <w:lang w:eastAsia="en-GB"/>
        </w:rPr>
        <w:t>the method of formulating these problems [of philosophy] rests on the misunderstanding of the logic of our language</w:t>
      </w:r>
      <w:r w:rsidR="00173E48" w:rsidRPr="00872FE9">
        <w:rPr>
          <w:rFonts w:eastAsia="Times New Roman" w:cstheme="minorHAnsi"/>
          <w:sz w:val="24"/>
          <w:szCs w:val="24"/>
          <w:lang w:eastAsia="en-GB"/>
        </w:rPr>
        <w:t>,</w:t>
      </w:r>
      <w:r w:rsidRPr="00872FE9">
        <w:rPr>
          <w:rFonts w:eastAsia="Times New Roman" w:cstheme="minorHAnsi"/>
          <w:sz w:val="24"/>
          <w:szCs w:val="24"/>
          <w:lang w:eastAsia="en-GB"/>
        </w:rPr>
        <w:t>”</w:t>
      </w:r>
      <w:r w:rsidR="00173E48" w:rsidRPr="00872FE9">
        <w:rPr>
          <w:rStyle w:val="FootnoteReference"/>
          <w:rFonts w:eastAsia="Times New Roman" w:cstheme="minorHAnsi"/>
          <w:sz w:val="24"/>
          <w:szCs w:val="24"/>
          <w:lang w:eastAsia="en-GB"/>
        </w:rPr>
        <w:footnoteReference w:id="1"/>
      </w:r>
      <w:r w:rsidRPr="00872FE9">
        <w:rPr>
          <w:rFonts w:eastAsia="Times New Roman" w:cstheme="minorHAnsi"/>
          <w:sz w:val="24"/>
          <w:szCs w:val="24"/>
          <w:lang w:eastAsia="en-GB"/>
        </w:rPr>
        <w:t xml:space="preserve">. </w:t>
      </w:r>
      <w:r w:rsidRPr="002F75B5">
        <w:rPr>
          <w:rFonts w:eastAsia="Times New Roman" w:cstheme="minorHAnsi"/>
          <w:color w:val="000000"/>
          <w:sz w:val="24"/>
          <w:szCs w:val="24"/>
          <w:lang w:eastAsia="en-GB"/>
        </w:rPr>
        <w:t>Many of his philosophical works attempt to understand how humans communicate with each other.</w:t>
      </w:r>
      <w:r w:rsidR="00144123">
        <w:rPr>
          <w:rFonts w:eastAsia="Times New Roman" w:cstheme="minorHAnsi"/>
          <w:color w:val="000000"/>
          <w:sz w:val="24"/>
          <w:szCs w:val="24"/>
          <w:lang w:eastAsia="en-GB"/>
        </w:rPr>
        <w:br/>
      </w:r>
      <w:r w:rsidRPr="00144123">
        <w:rPr>
          <w:rFonts w:eastAsia="Times New Roman" w:cstheme="minorHAnsi"/>
          <w:color w:val="000000"/>
          <w:sz w:val="24"/>
          <w:szCs w:val="24"/>
          <w:lang w:eastAsia="en-GB"/>
        </w:rPr>
        <w:t xml:space="preserve">Wittgenstein suggests in his </w:t>
      </w:r>
      <w:r w:rsidRPr="00144123">
        <w:rPr>
          <w:rFonts w:eastAsia="Times New Roman" w:cstheme="minorHAnsi"/>
          <w:i/>
          <w:iCs/>
          <w:color w:val="000000"/>
          <w:sz w:val="24"/>
          <w:szCs w:val="24"/>
          <w:lang w:eastAsia="en-GB"/>
        </w:rPr>
        <w:t>Blue and Brown Books</w:t>
      </w:r>
      <w:r w:rsidRPr="00144123">
        <w:rPr>
          <w:rFonts w:eastAsia="Times New Roman" w:cstheme="minorHAnsi"/>
          <w:color w:val="000000"/>
          <w:sz w:val="24"/>
          <w:szCs w:val="24"/>
          <w:lang w:eastAsia="en-GB"/>
        </w:rPr>
        <w:t xml:space="preserve"> that “‘the peculiar grammar of the word “I”’ is liable to mislead us into thinking that there is a non-bodily entity, a ‘real I’ that ‘lives in my body’”</w:t>
      </w:r>
      <w:r w:rsidR="004C6E75">
        <w:rPr>
          <w:rStyle w:val="FootnoteReference"/>
          <w:rFonts w:eastAsia="Times New Roman" w:cstheme="minorHAnsi"/>
          <w:color w:val="000000"/>
          <w:sz w:val="24"/>
          <w:szCs w:val="24"/>
          <w:lang w:eastAsia="en-GB"/>
        </w:rPr>
        <w:footnoteReference w:id="2"/>
      </w:r>
      <w:r w:rsidRPr="00144123">
        <w:rPr>
          <w:rFonts w:eastAsia="Times New Roman" w:cstheme="minorHAnsi"/>
          <w:color w:val="000000"/>
          <w:sz w:val="24"/>
          <w:szCs w:val="24"/>
          <w:lang w:eastAsia="en-GB"/>
        </w:rPr>
        <w:t>. This would mean that as ‘I’ has a different meaning depending on who is using it,</w:t>
      </w:r>
      <w:r w:rsidR="00407D32">
        <w:rPr>
          <w:rFonts w:eastAsia="Times New Roman" w:cstheme="minorHAnsi"/>
          <w:color w:val="000000"/>
          <w:sz w:val="24"/>
          <w:szCs w:val="24"/>
          <w:lang w:eastAsia="en-GB"/>
        </w:rPr>
        <w:t xml:space="preserve"> it may be interpreted differently. Some people may believe that</w:t>
      </w:r>
      <w:r w:rsidRPr="00144123">
        <w:rPr>
          <w:rFonts w:eastAsia="Times New Roman" w:cstheme="minorHAnsi"/>
          <w:color w:val="000000"/>
          <w:sz w:val="24"/>
          <w:szCs w:val="24"/>
          <w:lang w:eastAsia="en-GB"/>
        </w:rPr>
        <w:t xml:space="preserve"> each person’s ‘I’ is something </w:t>
      </w:r>
      <w:r w:rsidR="000A158A">
        <w:rPr>
          <w:rFonts w:eastAsia="Times New Roman" w:cstheme="minorHAnsi"/>
          <w:color w:val="000000"/>
          <w:sz w:val="24"/>
          <w:szCs w:val="24"/>
          <w:lang w:eastAsia="en-GB"/>
        </w:rPr>
        <w:t xml:space="preserve">that represents their deepest self, and therefore </w:t>
      </w:r>
      <w:r w:rsidRPr="00144123">
        <w:rPr>
          <w:rFonts w:eastAsia="Times New Roman" w:cstheme="minorHAnsi"/>
          <w:color w:val="000000"/>
          <w:sz w:val="24"/>
          <w:szCs w:val="24"/>
          <w:lang w:eastAsia="en-GB"/>
        </w:rPr>
        <w:t xml:space="preserve">is unrelated to their body, and rather exists on a </w:t>
      </w:r>
      <w:r w:rsidR="00B33A31">
        <w:rPr>
          <w:rFonts w:eastAsia="Times New Roman" w:cstheme="minorHAnsi"/>
          <w:color w:val="000000"/>
          <w:sz w:val="24"/>
          <w:szCs w:val="24"/>
          <w:lang w:eastAsia="en-GB"/>
        </w:rPr>
        <w:t>plane similar to a soul. This r</w:t>
      </w:r>
      <w:r w:rsidRPr="00144123">
        <w:rPr>
          <w:rFonts w:eastAsia="Times New Roman" w:cstheme="minorHAnsi"/>
          <w:color w:val="000000"/>
          <w:sz w:val="24"/>
          <w:szCs w:val="24"/>
          <w:lang w:eastAsia="en-GB"/>
        </w:rPr>
        <w:t>einforces the idea that it is unique to each person.</w:t>
      </w:r>
      <w:r w:rsidR="00407D32">
        <w:rPr>
          <w:rFonts w:eastAsia="Times New Roman" w:cstheme="minorHAnsi"/>
          <w:color w:val="000000"/>
          <w:sz w:val="24"/>
          <w:szCs w:val="24"/>
          <w:lang w:eastAsia="en-GB"/>
        </w:rPr>
        <w:t xml:space="preserve"> </w:t>
      </w:r>
      <w:r w:rsidR="004C6E75">
        <w:rPr>
          <w:rFonts w:eastAsia="Times New Roman" w:cstheme="minorHAnsi"/>
          <w:color w:val="000000"/>
          <w:sz w:val="24"/>
          <w:szCs w:val="24"/>
          <w:lang w:eastAsia="en-GB"/>
        </w:rPr>
        <w:t xml:space="preserve">However, </w:t>
      </w:r>
      <w:r w:rsidR="00407D32">
        <w:rPr>
          <w:rFonts w:eastAsia="Times New Roman" w:cstheme="minorHAnsi"/>
          <w:color w:val="000000"/>
          <w:sz w:val="24"/>
          <w:szCs w:val="24"/>
          <w:lang w:eastAsia="en-GB"/>
        </w:rPr>
        <w:t xml:space="preserve">Wittgenstein </w:t>
      </w:r>
      <w:r w:rsidR="004C6E75">
        <w:rPr>
          <w:rFonts w:eastAsia="Times New Roman" w:cstheme="minorHAnsi"/>
          <w:color w:val="000000"/>
          <w:sz w:val="24"/>
          <w:szCs w:val="24"/>
          <w:lang w:eastAsia="en-GB"/>
        </w:rPr>
        <w:t xml:space="preserve">does not believe this, he </w:t>
      </w:r>
      <w:r w:rsidR="00407D32">
        <w:rPr>
          <w:rFonts w:eastAsia="Times New Roman" w:cstheme="minorHAnsi"/>
          <w:color w:val="000000"/>
          <w:sz w:val="24"/>
          <w:szCs w:val="24"/>
          <w:lang w:eastAsia="en-GB"/>
        </w:rPr>
        <w:t xml:space="preserve">instead </w:t>
      </w:r>
      <w:r w:rsidR="004C6E75">
        <w:rPr>
          <w:rFonts w:eastAsia="Times New Roman" w:cstheme="minorHAnsi"/>
          <w:color w:val="000000"/>
          <w:sz w:val="24"/>
          <w:szCs w:val="24"/>
          <w:lang w:eastAsia="en-GB"/>
        </w:rPr>
        <w:t>believes</w:t>
      </w:r>
      <w:r w:rsidR="004D53E3">
        <w:rPr>
          <w:rFonts w:eastAsia="Times New Roman" w:cstheme="minorHAnsi"/>
          <w:color w:val="000000"/>
          <w:sz w:val="24"/>
          <w:szCs w:val="24"/>
          <w:lang w:eastAsia="en-GB"/>
        </w:rPr>
        <w:t xml:space="preserve"> in a “private ostensive definition of consciousness,”</w:t>
      </w:r>
      <w:r w:rsidR="004D53E3">
        <w:rPr>
          <w:rStyle w:val="FootnoteReference"/>
          <w:rFonts w:eastAsia="Times New Roman" w:cstheme="minorHAnsi"/>
          <w:color w:val="000000"/>
          <w:sz w:val="24"/>
          <w:szCs w:val="24"/>
          <w:lang w:eastAsia="en-GB"/>
        </w:rPr>
        <w:footnoteReference w:id="3"/>
      </w:r>
      <w:r w:rsidR="004C6E75">
        <w:rPr>
          <w:rFonts w:eastAsia="Times New Roman" w:cstheme="minorHAnsi"/>
          <w:color w:val="000000"/>
          <w:sz w:val="24"/>
          <w:szCs w:val="24"/>
          <w:lang w:eastAsia="en-GB"/>
        </w:rPr>
        <w:t xml:space="preserve">, his view </w:t>
      </w:r>
      <w:r w:rsidR="00DB0588">
        <w:rPr>
          <w:rFonts w:eastAsia="Times New Roman" w:cstheme="minorHAnsi"/>
          <w:color w:val="000000"/>
          <w:sz w:val="24"/>
          <w:szCs w:val="24"/>
          <w:lang w:eastAsia="en-GB"/>
        </w:rPr>
        <w:t xml:space="preserve">is very particular </w:t>
      </w:r>
      <w:r w:rsidR="000A7DDC">
        <w:rPr>
          <w:rFonts w:eastAsia="Times New Roman" w:cstheme="minorHAnsi"/>
          <w:color w:val="000000"/>
          <w:sz w:val="24"/>
          <w:szCs w:val="24"/>
          <w:lang w:eastAsia="en-GB"/>
        </w:rPr>
        <w:t>and re</w:t>
      </w:r>
      <w:bookmarkStart w:id="0" w:name="_GoBack"/>
      <w:bookmarkEnd w:id="0"/>
      <w:r w:rsidR="000A7DDC">
        <w:rPr>
          <w:rFonts w:eastAsia="Times New Roman" w:cstheme="minorHAnsi"/>
          <w:color w:val="000000"/>
          <w:sz w:val="24"/>
          <w:szCs w:val="24"/>
          <w:lang w:eastAsia="en-GB"/>
        </w:rPr>
        <w:t xml:space="preserve">volves around the idea that language defines </w:t>
      </w:r>
      <w:r w:rsidR="004C6E75">
        <w:rPr>
          <w:rFonts w:eastAsia="Times New Roman" w:cstheme="minorHAnsi"/>
          <w:color w:val="000000"/>
          <w:sz w:val="24"/>
          <w:szCs w:val="24"/>
          <w:lang w:eastAsia="en-GB"/>
        </w:rPr>
        <w:t>consciousness</w:t>
      </w:r>
      <w:r w:rsidR="000A7DDC">
        <w:rPr>
          <w:rFonts w:eastAsia="Times New Roman" w:cstheme="minorHAnsi"/>
          <w:color w:val="000000"/>
          <w:sz w:val="24"/>
          <w:szCs w:val="24"/>
          <w:lang w:eastAsia="en-GB"/>
        </w:rPr>
        <w:t xml:space="preserve">, </w:t>
      </w:r>
      <w:r w:rsidR="004C6E75">
        <w:rPr>
          <w:rFonts w:eastAsia="Times New Roman" w:cstheme="minorHAnsi"/>
          <w:color w:val="000000"/>
          <w:sz w:val="24"/>
          <w:szCs w:val="24"/>
          <w:lang w:eastAsia="en-GB"/>
        </w:rPr>
        <w:t xml:space="preserve">and that </w:t>
      </w:r>
      <w:r w:rsidR="000A7DDC">
        <w:rPr>
          <w:rFonts w:eastAsia="Times New Roman" w:cstheme="minorHAnsi"/>
          <w:color w:val="000000"/>
          <w:sz w:val="24"/>
          <w:szCs w:val="24"/>
          <w:lang w:eastAsia="en-GB"/>
        </w:rPr>
        <w:t>we all have unique experiences of consciousness</w:t>
      </w:r>
      <w:r w:rsidR="00C1655E" w:rsidRPr="00B85550">
        <w:rPr>
          <w:rFonts w:eastAsia="Times New Roman" w:cstheme="minorHAnsi"/>
          <w:sz w:val="24"/>
          <w:szCs w:val="24"/>
          <w:lang w:eastAsia="en-GB"/>
        </w:rPr>
        <w:t>.</w:t>
      </w:r>
    </w:p>
    <w:p w:rsidR="000A7DDC" w:rsidRDefault="00C57CFD" w:rsidP="000A7DDC">
      <w:pPr>
        <w:spacing w:after="0" w:line="276" w:lineRule="auto"/>
        <w:ind w:firstLine="360"/>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When referring to the “particular grammar of the word,”, Wittgenstein is referring to how</w:t>
      </w:r>
      <w:r w:rsidR="004C6E75">
        <w:rPr>
          <w:rFonts w:eastAsia="Times New Roman" w:cstheme="minorHAnsi"/>
          <w:color w:val="000000"/>
          <w:sz w:val="24"/>
          <w:szCs w:val="24"/>
          <w:lang w:eastAsia="en-GB"/>
        </w:rPr>
        <w:t xml:space="preserve"> the meaning of ‘I’ </w:t>
      </w:r>
      <w:r>
        <w:rPr>
          <w:rFonts w:eastAsia="Times New Roman" w:cstheme="minorHAnsi"/>
          <w:color w:val="000000"/>
          <w:sz w:val="24"/>
          <w:szCs w:val="24"/>
          <w:lang w:eastAsia="en-GB"/>
        </w:rPr>
        <w:t>changes depending on who is using it. For example, i</w:t>
      </w:r>
      <w:r w:rsidR="002F75B5" w:rsidRPr="002F75B5">
        <w:rPr>
          <w:rFonts w:eastAsia="Times New Roman" w:cstheme="minorHAnsi"/>
          <w:color w:val="000000"/>
          <w:sz w:val="24"/>
          <w:szCs w:val="24"/>
          <w:lang w:eastAsia="en-GB"/>
        </w:rPr>
        <w:t xml:space="preserve">f Wittgenstein was to speak about a specific chair, we would know that what he is referring to </w:t>
      </w:r>
      <w:r w:rsidR="004C6E75">
        <w:rPr>
          <w:rFonts w:eastAsia="Times New Roman" w:cstheme="minorHAnsi"/>
          <w:color w:val="000000"/>
          <w:sz w:val="24"/>
          <w:szCs w:val="24"/>
          <w:lang w:eastAsia="en-GB"/>
        </w:rPr>
        <w:t>would be</w:t>
      </w:r>
      <w:r w:rsidR="002F75B5" w:rsidRPr="002F75B5">
        <w:rPr>
          <w:rFonts w:eastAsia="Times New Roman" w:cstheme="minorHAnsi"/>
          <w:color w:val="000000"/>
          <w:sz w:val="24"/>
          <w:szCs w:val="24"/>
          <w:lang w:eastAsia="en-GB"/>
        </w:rPr>
        <w:t xml:space="preserve"> that exact chair. If someone else was to talk of the same chair, we would understand that they are also referring to that chair. However, </w:t>
      </w:r>
      <w:r w:rsidR="004C6E75">
        <w:rPr>
          <w:rFonts w:eastAsia="Times New Roman" w:cstheme="minorHAnsi"/>
          <w:color w:val="000000"/>
          <w:sz w:val="24"/>
          <w:szCs w:val="24"/>
          <w:lang w:eastAsia="en-GB"/>
        </w:rPr>
        <w:t>different rules apply to the word ‘I’. I</w:t>
      </w:r>
      <w:r w:rsidR="002F75B5" w:rsidRPr="002F75B5">
        <w:rPr>
          <w:rFonts w:eastAsia="Times New Roman" w:cstheme="minorHAnsi"/>
          <w:color w:val="000000"/>
          <w:sz w:val="24"/>
          <w:szCs w:val="24"/>
          <w:lang w:eastAsia="en-GB"/>
        </w:rPr>
        <w:t xml:space="preserve">f Wittgenstein was to use the word ‘I’, it would mean something completely different than if someone else was to use the word ‘I’. ‘I’ is relative; its meaning depends on who is using it, though we do understand that the word is used as a way of referring to whoever is using it. Wittgenstein believes that similar rules would also apply to the word ‘here’. If I was to refer to something as being ‘here’, it would have a completely different meaning to if someone else referred to </w:t>
      </w:r>
      <w:r w:rsidR="004C6E75">
        <w:rPr>
          <w:rFonts w:eastAsia="Times New Roman" w:cstheme="minorHAnsi"/>
          <w:color w:val="000000"/>
          <w:sz w:val="24"/>
          <w:szCs w:val="24"/>
          <w:lang w:eastAsia="en-GB"/>
        </w:rPr>
        <w:t xml:space="preserve">something being at </w:t>
      </w:r>
      <w:r w:rsidR="002F75B5" w:rsidRPr="002F75B5">
        <w:rPr>
          <w:rFonts w:eastAsia="Times New Roman" w:cstheme="minorHAnsi"/>
          <w:color w:val="000000"/>
          <w:sz w:val="24"/>
          <w:szCs w:val="24"/>
          <w:lang w:eastAsia="en-GB"/>
        </w:rPr>
        <w:t>their ‘h</w:t>
      </w:r>
      <w:r w:rsidR="004C6E75">
        <w:rPr>
          <w:rFonts w:eastAsia="Times New Roman" w:cstheme="minorHAnsi"/>
          <w:color w:val="000000"/>
          <w:sz w:val="24"/>
          <w:szCs w:val="24"/>
          <w:lang w:eastAsia="en-GB"/>
        </w:rPr>
        <w:t xml:space="preserve">ere’. This word is also </w:t>
      </w:r>
      <w:r w:rsidR="002F75B5" w:rsidRPr="002F75B5">
        <w:rPr>
          <w:rFonts w:eastAsia="Times New Roman" w:cstheme="minorHAnsi"/>
          <w:color w:val="000000"/>
          <w:sz w:val="24"/>
          <w:szCs w:val="24"/>
          <w:lang w:eastAsia="en-GB"/>
        </w:rPr>
        <w:t>relative, and has a different meaning depending on where it is used.</w:t>
      </w:r>
      <w:r w:rsidR="002B3EA7">
        <w:rPr>
          <w:rFonts w:eastAsia="Times New Roman" w:cstheme="minorHAnsi"/>
          <w:color w:val="000000"/>
          <w:sz w:val="24"/>
          <w:szCs w:val="24"/>
          <w:lang w:eastAsia="en-GB"/>
        </w:rPr>
        <w:br/>
        <w:t xml:space="preserve">Wittgenstein </w:t>
      </w:r>
      <w:r w:rsidR="003334F4">
        <w:rPr>
          <w:rFonts w:eastAsia="Times New Roman" w:cstheme="minorHAnsi"/>
          <w:color w:val="000000"/>
          <w:sz w:val="24"/>
          <w:szCs w:val="24"/>
          <w:lang w:eastAsia="en-GB"/>
        </w:rPr>
        <w:t>considers</w:t>
      </w:r>
      <w:r w:rsidR="002B3EA7">
        <w:rPr>
          <w:rFonts w:eastAsia="Times New Roman" w:cstheme="minorHAnsi"/>
          <w:color w:val="000000"/>
          <w:sz w:val="24"/>
          <w:szCs w:val="24"/>
          <w:lang w:eastAsia="en-GB"/>
        </w:rPr>
        <w:t xml:space="preserve"> how </w:t>
      </w:r>
      <w:r w:rsidR="002B3EA7" w:rsidRPr="002B3EA7">
        <w:rPr>
          <w:rFonts w:eastAsia="Times New Roman" w:cstheme="minorHAnsi"/>
          <w:color w:val="000000"/>
          <w:sz w:val="24"/>
          <w:szCs w:val="24"/>
          <w:lang w:eastAsia="en-GB"/>
        </w:rPr>
        <w:t xml:space="preserve">language </w:t>
      </w:r>
      <w:r w:rsidR="002B3EA7">
        <w:rPr>
          <w:rFonts w:eastAsia="Times New Roman" w:cstheme="minorHAnsi"/>
          <w:color w:val="000000"/>
          <w:sz w:val="24"/>
          <w:szCs w:val="24"/>
          <w:lang w:eastAsia="en-GB"/>
        </w:rPr>
        <w:t>relates to</w:t>
      </w:r>
      <w:r w:rsidR="003334F4">
        <w:rPr>
          <w:rFonts w:eastAsia="Times New Roman" w:cstheme="minorHAnsi"/>
          <w:color w:val="000000"/>
          <w:sz w:val="24"/>
          <w:szCs w:val="24"/>
          <w:lang w:eastAsia="en-GB"/>
        </w:rPr>
        <w:t xml:space="preserve"> forms or ways of life, and concludes that</w:t>
      </w:r>
      <w:r w:rsidR="00043C63">
        <w:rPr>
          <w:rFonts w:eastAsia="Times New Roman" w:cstheme="minorHAnsi"/>
          <w:color w:val="000000"/>
          <w:sz w:val="24"/>
          <w:szCs w:val="24"/>
          <w:lang w:eastAsia="en-GB"/>
        </w:rPr>
        <w:t xml:space="preserve"> language is one of the most important features of consciousness, as without language we would not be able to convey our consciousness, and therefore would not know for certai</w:t>
      </w:r>
      <w:r w:rsidR="004C6E75">
        <w:rPr>
          <w:rFonts w:eastAsia="Times New Roman" w:cstheme="minorHAnsi"/>
          <w:color w:val="000000"/>
          <w:sz w:val="24"/>
          <w:szCs w:val="24"/>
          <w:lang w:eastAsia="en-GB"/>
        </w:rPr>
        <w:t>n that our consciousness exists</w:t>
      </w:r>
      <w:r w:rsidR="00043C63">
        <w:rPr>
          <w:rFonts w:eastAsia="Times New Roman" w:cstheme="minorHAnsi"/>
          <w:color w:val="000000"/>
          <w:sz w:val="24"/>
          <w:szCs w:val="24"/>
          <w:lang w:eastAsia="en-GB"/>
        </w:rPr>
        <w:t>.</w:t>
      </w:r>
    </w:p>
    <w:p w:rsidR="000A7DDC" w:rsidRDefault="002F75B5" w:rsidP="000A7DDC">
      <w:pPr>
        <w:spacing w:after="0" w:line="276" w:lineRule="auto"/>
        <w:ind w:firstLine="360"/>
        <w:textAlignment w:val="baseline"/>
        <w:rPr>
          <w:rFonts w:eastAsia="Times New Roman" w:cstheme="minorHAnsi"/>
          <w:sz w:val="24"/>
          <w:szCs w:val="24"/>
          <w:shd w:val="clear" w:color="auto" w:fill="FFFFFF"/>
          <w:lang w:eastAsia="en-GB"/>
        </w:rPr>
      </w:pPr>
      <w:r w:rsidRPr="002F75B5">
        <w:rPr>
          <w:rFonts w:eastAsia="Times New Roman" w:cstheme="minorHAnsi"/>
          <w:color w:val="000000"/>
          <w:sz w:val="24"/>
          <w:szCs w:val="24"/>
          <w:lang w:eastAsia="en-GB"/>
        </w:rPr>
        <w:t xml:space="preserve">The concept of a soul appears often in philosophical discussion. </w:t>
      </w:r>
      <w:r w:rsidR="00234C9E" w:rsidRPr="00234C9E">
        <w:rPr>
          <w:rFonts w:eastAsia="Times New Roman" w:cstheme="minorHAnsi"/>
          <w:color w:val="000000"/>
          <w:sz w:val="24"/>
          <w:szCs w:val="24"/>
          <w:lang w:eastAsia="en-GB"/>
        </w:rPr>
        <w:t>Most versions of philosophy believe that a person’s soul is the deepest part of their self, and is a non-physical entity.</w:t>
      </w:r>
      <w:r w:rsidR="00234C9E">
        <w:rPr>
          <w:rFonts w:eastAsia="Times New Roman" w:cstheme="minorHAnsi"/>
          <w:color w:val="000000"/>
          <w:sz w:val="24"/>
          <w:szCs w:val="24"/>
          <w:lang w:eastAsia="en-GB"/>
        </w:rPr>
        <w:t xml:space="preserve"> </w:t>
      </w:r>
      <w:r w:rsidR="00446675">
        <w:rPr>
          <w:rFonts w:eastAsia="Times New Roman" w:cstheme="minorHAnsi"/>
          <w:color w:val="000000"/>
          <w:sz w:val="24"/>
          <w:szCs w:val="24"/>
          <w:lang w:eastAsia="en-GB"/>
        </w:rPr>
        <w:t>Wittgenstein references this with the</w:t>
      </w:r>
      <w:r w:rsidRPr="002F75B5">
        <w:rPr>
          <w:rFonts w:eastAsia="Times New Roman" w:cstheme="minorHAnsi"/>
          <w:color w:val="000000"/>
          <w:sz w:val="24"/>
          <w:szCs w:val="24"/>
          <w:lang w:eastAsia="en-GB"/>
        </w:rPr>
        <w:t xml:space="preserve"> idea of ‘I’ </w:t>
      </w:r>
      <w:r w:rsidR="00446675">
        <w:rPr>
          <w:rFonts w:eastAsia="Times New Roman" w:cstheme="minorHAnsi"/>
          <w:color w:val="000000"/>
          <w:sz w:val="24"/>
          <w:szCs w:val="24"/>
          <w:lang w:eastAsia="en-GB"/>
        </w:rPr>
        <w:t>being</w:t>
      </w:r>
      <w:r w:rsidRPr="002F75B5">
        <w:rPr>
          <w:rFonts w:eastAsia="Times New Roman" w:cstheme="minorHAnsi"/>
          <w:color w:val="000000"/>
          <w:sz w:val="24"/>
          <w:szCs w:val="24"/>
          <w:lang w:eastAsia="en-GB"/>
        </w:rPr>
        <w:t xml:space="preserve"> reminiscent of a soul, as</w:t>
      </w:r>
      <w:r w:rsidR="00234C9E">
        <w:rPr>
          <w:rFonts w:eastAsia="Times New Roman" w:cstheme="minorHAnsi"/>
          <w:color w:val="000000"/>
          <w:sz w:val="24"/>
          <w:szCs w:val="24"/>
          <w:lang w:eastAsia="en-GB"/>
        </w:rPr>
        <w:t xml:space="preserve"> he believes that</w:t>
      </w:r>
      <w:r w:rsidRPr="002F75B5">
        <w:rPr>
          <w:rFonts w:eastAsia="Times New Roman" w:cstheme="minorHAnsi"/>
          <w:color w:val="000000"/>
          <w:sz w:val="24"/>
          <w:szCs w:val="24"/>
          <w:lang w:eastAsia="en-GB"/>
        </w:rPr>
        <w:t xml:space="preserve"> it is </w:t>
      </w:r>
      <w:r w:rsidRPr="005454CD">
        <w:rPr>
          <w:rFonts w:eastAsia="Times New Roman" w:cstheme="minorHAnsi"/>
          <w:sz w:val="24"/>
          <w:szCs w:val="24"/>
          <w:lang w:eastAsia="en-GB"/>
        </w:rPr>
        <w:lastRenderedPageBreak/>
        <w:t>a non-physical entity which is u</w:t>
      </w:r>
      <w:r w:rsidR="00234C9E">
        <w:rPr>
          <w:rFonts w:eastAsia="Times New Roman" w:cstheme="minorHAnsi"/>
          <w:sz w:val="24"/>
          <w:szCs w:val="24"/>
          <w:lang w:eastAsia="en-GB"/>
        </w:rPr>
        <w:t>sed to convey our deepest self.</w:t>
      </w:r>
      <w:r w:rsidR="00234C9E">
        <w:rPr>
          <w:rFonts w:eastAsia="Times New Roman" w:cstheme="minorHAnsi"/>
          <w:color w:val="000000"/>
          <w:sz w:val="24"/>
          <w:szCs w:val="24"/>
          <w:lang w:eastAsia="en-GB"/>
        </w:rPr>
        <w:br/>
      </w:r>
      <w:r w:rsidRPr="00234C9E">
        <w:rPr>
          <w:rFonts w:eastAsia="Times New Roman" w:cstheme="minorHAnsi"/>
          <w:sz w:val="24"/>
          <w:szCs w:val="24"/>
          <w:lang w:eastAsia="en-GB"/>
        </w:rPr>
        <w:t xml:space="preserve">Wittgenstein believes that </w:t>
      </w:r>
      <w:r w:rsidRPr="00234C9E">
        <w:rPr>
          <w:rFonts w:eastAsia="Times New Roman" w:cstheme="minorHAnsi"/>
          <w:sz w:val="24"/>
          <w:szCs w:val="24"/>
          <w:shd w:val="clear" w:color="auto" w:fill="FFFFFF"/>
          <w:lang w:eastAsia="en-GB"/>
        </w:rPr>
        <w:t>“philosophical questions about consciousness, for example, then, should be responded to by looking at the various uses we make of the word ‘consciousness.’”</w:t>
      </w:r>
      <w:r w:rsidR="00872FE9" w:rsidRPr="005454CD">
        <w:rPr>
          <w:rStyle w:val="FootnoteReference"/>
          <w:rFonts w:eastAsia="Times New Roman" w:cstheme="minorHAnsi"/>
          <w:sz w:val="24"/>
          <w:szCs w:val="24"/>
          <w:shd w:val="clear" w:color="auto" w:fill="FFFFFF"/>
          <w:lang w:eastAsia="en-GB"/>
        </w:rPr>
        <w:footnoteReference w:id="4"/>
      </w:r>
      <w:r w:rsidR="00785EB7">
        <w:rPr>
          <w:rFonts w:eastAsia="Times New Roman" w:cstheme="minorHAnsi"/>
          <w:sz w:val="24"/>
          <w:szCs w:val="24"/>
          <w:shd w:val="clear" w:color="auto" w:fill="FFFFFF"/>
          <w:lang w:eastAsia="en-GB"/>
        </w:rPr>
        <w:t xml:space="preserve"> Different </w:t>
      </w:r>
      <w:r w:rsidR="00C3563A">
        <w:rPr>
          <w:rFonts w:eastAsia="Times New Roman" w:cstheme="minorHAnsi"/>
          <w:sz w:val="24"/>
          <w:szCs w:val="24"/>
          <w:shd w:val="clear" w:color="auto" w:fill="FFFFFF"/>
          <w:lang w:eastAsia="en-GB"/>
        </w:rPr>
        <w:t xml:space="preserve">people have different interpretations </w:t>
      </w:r>
      <w:r w:rsidR="00785EB7">
        <w:rPr>
          <w:rFonts w:eastAsia="Times New Roman" w:cstheme="minorHAnsi"/>
          <w:sz w:val="24"/>
          <w:szCs w:val="24"/>
          <w:shd w:val="clear" w:color="auto" w:fill="FFFFFF"/>
          <w:lang w:eastAsia="en-GB"/>
        </w:rPr>
        <w:t>of consciousness</w:t>
      </w:r>
      <w:r w:rsidR="002B3EA7">
        <w:rPr>
          <w:rFonts w:eastAsia="Times New Roman" w:cstheme="minorHAnsi"/>
          <w:sz w:val="24"/>
          <w:szCs w:val="24"/>
          <w:shd w:val="clear" w:color="auto" w:fill="FFFFFF"/>
          <w:lang w:eastAsia="en-GB"/>
        </w:rPr>
        <w:t>.</w:t>
      </w:r>
      <w:r w:rsidR="00C3563A">
        <w:rPr>
          <w:rFonts w:eastAsia="Times New Roman" w:cstheme="minorHAnsi"/>
          <w:sz w:val="24"/>
          <w:szCs w:val="24"/>
          <w:shd w:val="clear" w:color="auto" w:fill="FFFFFF"/>
          <w:lang w:eastAsia="en-GB"/>
        </w:rPr>
        <w:t xml:space="preserve"> Jean-Pa</w:t>
      </w:r>
      <w:r w:rsidR="000864F2">
        <w:rPr>
          <w:rFonts w:eastAsia="Times New Roman" w:cstheme="minorHAnsi"/>
          <w:sz w:val="24"/>
          <w:szCs w:val="24"/>
          <w:shd w:val="clear" w:color="auto" w:fill="FFFFFF"/>
          <w:lang w:eastAsia="en-GB"/>
        </w:rPr>
        <w:t>ul Sartre, for example, believes that</w:t>
      </w:r>
      <w:r w:rsidR="00C3563A">
        <w:rPr>
          <w:rFonts w:eastAsia="Times New Roman" w:cstheme="minorHAnsi"/>
          <w:sz w:val="24"/>
          <w:szCs w:val="24"/>
          <w:shd w:val="clear" w:color="auto" w:fill="FFFFFF"/>
          <w:lang w:eastAsia="en-GB"/>
        </w:rPr>
        <w:t xml:space="preserve"> only ‘beings for itself’</w:t>
      </w:r>
      <w:r w:rsidR="00530C4E">
        <w:rPr>
          <w:rFonts w:eastAsia="Times New Roman" w:cstheme="minorHAnsi"/>
          <w:sz w:val="24"/>
          <w:szCs w:val="24"/>
          <w:shd w:val="clear" w:color="auto" w:fill="FFFFFF"/>
          <w:lang w:eastAsia="en-GB"/>
        </w:rPr>
        <w:t xml:space="preserve"> (</w:t>
      </w:r>
      <w:r w:rsidR="00530C4E">
        <w:rPr>
          <w:rFonts w:eastAsia="Times New Roman" w:cstheme="minorHAnsi"/>
          <w:i/>
          <w:sz w:val="24"/>
          <w:szCs w:val="24"/>
          <w:shd w:val="clear" w:color="auto" w:fill="FFFFFF"/>
          <w:lang w:eastAsia="en-GB"/>
        </w:rPr>
        <w:t>pour-</w:t>
      </w:r>
      <w:proofErr w:type="spellStart"/>
      <w:r w:rsidR="00530C4E">
        <w:rPr>
          <w:rFonts w:eastAsia="Times New Roman" w:cstheme="minorHAnsi"/>
          <w:i/>
          <w:sz w:val="24"/>
          <w:szCs w:val="24"/>
          <w:shd w:val="clear" w:color="auto" w:fill="FFFFFF"/>
          <w:lang w:eastAsia="en-GB"/>
        </w:rPr>
        <w:t>soi</w:t>
      </w:r>
      <w:proofErr w:type="spellEnd"/>
      <w:r w:rsidR="00530C4E" w:rsidRPr="00530C4E">
        <w:rPr>
          <w:rFonts w:eastAsia="Times New Roman" w:cstheme="minorHAnsi"/>
          <w:sz w:val="24"/>
          <w:szCs w:val="24"/>
          <w:shd w:val="clear" w:color="auto" w:fill="FFFFFF"/>
          <w:lang w:eastAsia="en-GB"/>
        </w:rPr>
        <w:t>)</w:t>
      </w:r>
      <w:r w:rsidR="00C3563A">
        <w:rPr>
          <w:rFonts w:eastAsia="Times New Roman" w:cstheme="minorHAnsi"/>
          <w:sz w:val="24"/>
          <w:szCs w:val="24"/>
          <w:shd w:val="clear" w:color="auto" w:fill="FFFFFF"/>
          <w:lang w:eastAsia="en-GB"/>
        </w:rPr>
        <w:t xml:space="preserve"> can be conscious</w:t>
      </w:r>
      <w:r w:rsidR="000864F2">
        <w:rPr>
          <w:rFonts w:eastAsia="Times New Roman" w:cstheme="minorHAnsi"/>
          <w:sz w:val="24"/>
          <w:szCs w:val="24"/>
          <w:shd w:val="clear" w:color="auto" w:fill="FFFFFF"/>
          <w:lang w:eastAsia="en-GB"/>
        </w:rPr>
        <w:t>,</w:t>
      </w:r>
      <w:r w:rsidR="00C3563A">
        <w:rPr>
          <w:rFonts w:eastAsia="Times New Roman" w:cstheme="minorHAnsi"/>
          <w:sz w:val="24"/>
          <w:szCs w:val="24"/>
          <w:shd w:val="clear" w:color="auto" w:fill="FFFFFF"/>
          <w:lang w:eastAsia="en-GB"/>
        </w:rPr>
        <w:t xml:space="preserve"> and that in order for those beings to be c</w:t>
      </w:r>
      <w:r w:rsidR="008D6308">
        <w:rPr>
          <w:rFonts w:eastAsia="Times New Roman" w:cstheme="minorHAnsi"/>
          <w:sz w:val="24"/>
          <w:szCs w:val="24"/>
          <w:shd w:val="clear" w:color="auto" w:fill="FFFFFF"/>
          <w:lang w:eastAsia="en-GB"/>
        </w:rPr>
        <w:t>onscious, they must be aware of</w:t>
      </w:r>
      <w:r w:rsidR="00C3563A">
        <w:rPr>
          <w:rFonts w:eastAsia="Times New Roman" w:cstheme="minorHAnsi"/>
          <w:sz w:val="24"/>
          <w:szCs w:val="24"/>
          <w:shd w:val="clear" w:color="auto" w:fill="FFFFFF"/>
          <w:lang w:eastAsia="en-GB"/>
        </w:rPr>
        <w:t xml:space="preserve"> something, whether that be somethin</w:t>
      </w:r>
      <w:r w:rsidR="00804FAE">
        <w:rPr>
          <w:rFonts w:eastAsia="Times New Roman" w:cstheme="minorHAnsi"/>
          <w:sz w:val="24"/>
          <w:szCs w:val="24"/>
          <w:shd w:val="clear" w:color="auto" w:fill="FFFFFF"/>
          <w:lang w:eastAsia="en-GB"/>
        </w:rPr>
        <w:t>g outside of themselves, or their own feelings</w:t>
      </w:r>
      <w:r w:rsidR="00C3563A">
        <w:rPr>
          <w:rFonts w:eastAsia="Times New Roman" w:cstheme="minorHAnsi"/>
          <w:sz w:val="24"/>
          <w:szCs w:val="24"/>
          <w:shd w:val="clear" w:color="auto" w:fill="FFFFFF"/>
          <w:lang w:eastAsia="en-GB"/>
        </w:rPr>
        <w:t>.</w:t>
      </w:r>
      <w:r w:rsidR="00E23E34">
        <w:rPr>
          <w:rStyle w:val="FootnoteReference"/>
          <w:rFonts w:eastAsia="Times New Roman" w:cstheme="minorHAnsi"/>
          <w:sz w:val="24"/>
          <w:szCs w:val="24"/>
          <w:shd w:val="clear" w:color="auto" w:fill="FFFFFF"/>
          <w:lang w:eastAsia="en-GB"/>
        </w:rPr>
        <w:footnoteReference w:id="5"/>
      </w:r>
      <w:r w:rsidR="008D6308">
        <w:rPr>
          <w:rFonts w:eastAsia="Times New Roman" w:cstheme="minorHAnsi"/>
          <w:sz w:val="24"/>
          <w:szCs w:val="24"/>
          <w:shd w:val="clear" w:color="auto" w:fill="FFFFFF"/>
          <w:lang w:eastAsia="en-GB"/>
        </w:rPr>
        <w:t xml:space="preserve"> The </w:t>
      </w:r>
      <w:r w:rsidR="008D6308" w:rsidRPr="008D6308">
        <w:rPr>
          <w:rFonts w:eastAsia="Times New Roman" w:cstheme="minorHAnsi"/>
          <w:sz w:val="24"/>
          <w:szCs w:val="24"/>
          <w:shd w:val="clear" w:color="auto" w:fill="FFFFFF"/>
          <w:lang w:eastAsia="en-GB"/>
        </w:rPr>
        <w:t xml:space="preserve">Merriam-Webster </w:t>
      </w:r>
      <w:r w:rsidR="008D6308">
        <w:rPr>
          <w:rFonts w:eastAsia="Times New Roman" w:cstheme="minorHAnsi"/>
          <w:sz w:val="24"/>
          <w:szCs w:val="24"/>
          <w:shd w:val="clear" w:color="auto" w:fill="FFFFFF"/>
          <w:lang w:eastAsia="en-GB"/>
        </w:rPr>
        <w:t>dictionary gives multiple definitions to ‘consciousness’, but the two that align most closely with the topic at hand state that consciousness is “</w:t>
      </w:r>
      <w:r w:rsidR="008D6308" w:rsidRPr="008D6308">
        <w:rPr>
          <w:rFonts w:eastAsia="Times New Roman" w:cstheme="minorHAnsi"/>
          <w:sz w:val="24"/>
          <w:szCs w:val="24"/>
          <w:shd w:val="clear" w:color="auto" w:fill="FFFFFF"/>
          <w:lang w:eastAsia="en-GB"/>
        </w:rPr>
        <w:t>the normal state of being awake and able to understand what is happening around you</w:t>
      </w:r>
      <w:r w:rsidR="008D6308">
        <w:rPr>
          <w:rFonts w:eastAsia="Times New Roman" w:cstheme="minorHAnsi"/>
          <w:sz w:val="24"/>
          <w:szCs w:val="24"/>
          <w:shd w:val="clear" w:color="auto" w:fill="FFFFFF"/>
          <w:lang w:eastAsia="en-GB"/>
        </w:rPr>
        <w:t>”</w:t>
      </w:r>
      <w:r w:rsidR="008D6308">
        <w:rPr>
          <w:rStyle w:val="FootnoteReference"/>
          <w:rFonts w:eastAsia="Times New Roman" w:cstheme="minorHAnsi"/>
          <w:sz w:val="24"/>
          <w:szCs w:val="24"/>
          <w:shd w:val="clear" w:color="auto" w:fill="FFFFFF"/>
          <w:lang w:eastAsia="en-GB"/>
        </w:rPr>
        <w:footnoteReference w:id="6"/>
      </w:r>
      <w:r w:rsidR="008D6308">
        <w:rPr>
          <w:rFonts w:eastAsia="Times New Roman" w:cstheme="minorHAnsi"/>
          <w:sz w:val="24"/>
          <w:szCs w:val="24"/>
          <w:shd w:val="clear" w:color="auto" w:fill="FFFFFF"/>
          <w:lang w:eastAsia="en-GB"/>
        </w:rPr>
        <w:t xml:space="preserve"> and “</w:t>
      </w:r>
      <w:r w:rsidR="008D6308" w:rsidRPr="008D6308">
        <w:rPr>
          <w:rFonts w:eastAsia="Times New Roman" w:cstheme="minorHAnsi"/>
          <w:sz w:val="24"/>
          <w:szCs w:val="24"/>
          <w:shd w:val="clear" w:color="auto" w:fill="FFFFFF"/>
          <w:lang w:eastAsia="en-GB"/>
        </w:rPr>
        <w:t>a person's mind and thoughts</w:t>
      </w:r>
      <w:r w:rsidR="008D6308">
        <w:rPr>
          <w:rFonts w:eastAsia="Times New Roman" w:cstheme="minorHAnsi"/>
          <w:sz w:val="24"/>
          <w:szCs w:val="24"/>
          <w:shd w:val="clear" w:color="auto" w:fill="FFFFFF"/>
          <w:lang w:eastAsia="en-GB"/>
        </w:rPr>
        <w:t>”</w:t>
      </w:r>
      <w:r w:rsidR="008D6308">
        <w:rPr>
          <w:rStyle w:val="FootnoteReference"/>
          <w:rFonts w:eastAsia="Times New Roman" w:cstheme="minorHAnsi"/>
          <w:sz w:val="24"/>
          <w:szCs w:val="24"/>
          <w:shd w:val="clear" w:color="auto" w:fill="FFFFFF"/>
          <w:lang w:eastAsia="en-GB"/>
        </w:rPr>
        <w:footnoteReference w:id="7"/>
      </w:r>
      <w:r w:rsidR="008D6308">
        <w:rPr>
          <w:rFonts w:eastAsia="Times New Roman" w:cstheme="minorHAnsi"/>
          <w:sz w:val="24"/>
          <w:szCs w:val="24"/>
          <w:shd w:val="clear" w:color="auto" w:fill="FFFFFF"/>
          <w:lang w:eastAsia="en-GB"/>
        </w:rPr>
        <w:t>.</w:t>
      </w:r>
      <w:r w:rsidR="000864F2">
        <w:rPr>
          <w:rFonts w:eastAsia="Times New Roman" w:cstheme="minorHAnsi"/>
          <w:sz w:val="24"/>
          <w:szCs w:val="24"/>
          <w:shd w:val="clear" w:color="auto" w:fill="FFFFFF"/>
          <w:lang w:eastAsia="en-GB"/>
        </w:rPr>
        <w:t xml:space="preserve"> </w:t>
      </w:r>
      <w:r w:rsidR="000864F2" w:rsidRPr="000864F2">
        <w:rPr>
          <w:rFonts w:eastAsia="Times New Roman" w:cstheme="minorHAnsi"/>
          <w:sz w:val="24"/>
          <w:szCs w:val="24"/>
          <w:shd w:val="clear" w:color="auto" w:fill="FFFFFF"/>
          <w:lang w:eastAsia="en-GB"/>
        </w:rPr>
        <w:t>René</w:t>
      </w:r>
      <w:r w:rsidR="004A0C8A">
        <w:rPr>
          <w:rFonts w:eastAsia="Times New Roman" w:cstheme="minorHAnsi"/>
          <w:sz w:val="24"/>
          <w:szCs w:val="24"/>
          <w:shd w:val="clear" w:color="auto" w:fill="FFFFFF"/>
          <w:lang w:eastAsia="en-GB"/>
        </w:rPr>
        <w:t xml:space="preserve"> Descartes believe</w:t>
      </w:r>
      <w:r w:rsidR="000864F2">
        <w:rPr>
          <w:rFonts w:eastAsia="Times New Roman" w:cstheme="minorHAnsi"/>
          <w:sz w:val="24"/>
          <w:szCs w:val="24"/>
          <w:shd w:val="clear" w:color="auto" w:fill="FFFFFF"/>
          <w:lang w:eastAsia="en-GB"/>
        </w:rPr>
        <w:t>s</w:t>
      </w:r>
      <w:r w:rsidR="004A0C8A">
        <w:rPr>
          <w:rFonts w:eastAsia="Times New Roman" w:cstheme="minorHAnsi"/>
          <w:sz w:val="24"/>
          <w:szCs w:val="24"/>
          <w:shd w:val="clear" w:color="auto" w:fill="FFFFFF"/>
          <w:lang w:eastAsia="en-GB"/>
        </w:rPr>
        <w:t xml:space="preserve"> that consciousness exists within one’s self, and famously wrote “I think, </w:t>
      </w:r>
      <w:r w:rsidR="004A0C8A" w:rsidRPr="00EC77E6">
        <w:rPr>
          <w:rFonts w:eastAsia="Times New Roman" w:cstheme="minorHAnsi"/>
          <w:sz w:val="24"/>
          <w:szCs w:val="24"/>
          <w:shd w:val="clear" w:color="auto" w:fill="FFFFFF"/>
          <w:lang w:eastAsia="en-GB"/>
        </w:rPr>
        <w:t>therefore I am,”</w:t>
      </w:r>
      <w:r w:rsidR="00EC77E6">
        <w:rPr>
          <w:rStyle w:val="FootnoteReference"/>
          <w:rFonts w:eastAsia="Times New Roman" w:cstheme="minorHAnsi"/>
          <w:sz w:val="24"/>
          <w:szCs w:val="24"/>
          <w:shd w:val="clear" w:color="auto" w:fill="FFFFFF"/>
          <w:lang w:eastAsia="en-GB"/>
        </w:rPr>
        <w:footnoteReference w:id="8"/>
      </w:r>
      <w:r w:rsidR="004A0C8A" w:rsidRPr="00EC77E6">
        <w:rPr>
          <w:rFonts w:eastAsia="Times New Roman" w:cstheme="minorHAnsi"/>
          <w:sz w:val="24"/>
          <w:szCs w:val="24"/>
          <w:shd w:val="clear" w:color="auto" w:fill="FFFFFF"/>
          <w:lang w:eastAsia="en-GB"/>
        </w:rPr>
        <w:t xml:space="preserve"> </w:t>
      </w:r>
      <w:r w:rsidR="003334F4">
        <w:rPr>
          <w:rFonts w:eastAsia="Times New Roman" w:cstheme="minorHAnsi"/>
          <w:sz w:val="24"/>
          <w:szCs w:val="24"/>
          <w:shd w:val="clear" w:color="auto" w:fill="FFFFFF"/>
          <w:lang w:eastAsia="en-GB"/>
        </w:rPr>
        <w:t>(</w:t>
      </w:r>
      <w:r w:rsidR="003334F4" w:rsidRPr="003334F4">
        <w:rPr>
          <w:rFonts w:eastAsia="Times New Roman" w:cstheme="minorHAnsi"/>
          <w:i/>
          <w:sz w:val="24"/>
          <w:szCs w:val="24"/>
          <w:shd w:val="clear" w:color="auto" w:fill="FFFFFF"/>
          <w:lang w:eastAsia="en-GB"/>
        </w:rPr>
        <w:t>cogito ergo sum</w:t>
      </w:r>
      <w:r w:rsidR="004A0C8A">
        <w:rPr>
          <w:rFonts w:eastAsia="Times New Roman" w:cstheme="minorHAnsi"/>
          <w:sz w:val="24"/>
          <w:szCs w:val="24"/>
          <w:shd w:val="clear" w:color="auto" w:fill="FFFFFF"/>
          <w:lang w:eastAsia="en-GB"/>
        </w:rPr>
        <w:t xml:space="preserve">) in his 1937 work </w:t>
      </w:r>
      <w:r w:rsidR="004A0C8A">
        <w:rPr>
          <w:rFonts w:eastAsia="Times New Roman" w:cstheme="minorHAnsi"/>
          <w:i/>
          <w:sz w:val="24"/>
          <w:szCs w:val="24"/>
          <w:shd w:val="clear" w:color="auto" w:fill="FFFFFF"/>
          <w:lang w:eastAsia="en-GB"/>
        </w:rPr>
        <w:t>Discourse on Method</w:t>
      </w:r>
      <w:r w:rsidR="004A0C8A">
        <w:rPr>
          <w:rFonts w:eastAsia="Times New Roman" w:cstheme="minorHAnsi"/>
          <w:sz w:val="24"/>
          <w:szCs w:val="24"/>
          <w:shd w:val="clear" w:color="auto" w:fill="FFFFFF"/>
          <w:lang w:eastAsia="en-GB"/>
        </w:rPr>
        <w:t xml:space="preserve">, referring to his </w:t>
      </w:r>
      <w:r w:rsidR="00EC77E6">
        <w:rPr>
          <w:rFonts w:eastAsia="Times New Roman" w:cstheme="minorHAnsi"/>
          <w:sz w:val="24"/>
          <w:szCs w:val="24"/>
          <w:shd w:val="clear" w:color="auto" w:fill="FFFFFF"/>
          <w:lang w:eastAsia="en-GB"/>
        </w:rPr>
        <w:t xml:space="preserve">belief that it is </w:t>
      </w:r>
      <w:r w:rsidR="000864F2">
        <w:rPr>
          <w:rFonts w:eastAsia="Times New Roman" w:cstheme="minorHAnsi"/>
          <w:sz w:val="24"/>
          <w:szCs w:val="24"/>
          <w:shd w:val="clear" w:color="auto" w:fill="FFFFFF"/>
          <w:lang w:eastAsia="en-GB"/>
        </w:rPr>
        <w:t>our</w:t>
      </w:r>
      <w:r w:rsidR="00EC77E6">
        <w:rPr>
          <w:rFonts w:eastAsia="Times New Roman" w:cstheme="minorHAnsi"/>
          <w:sz w:val="24"/>
          <w:szCs w:val="24"/>
          <w:shd w:val="clear" w:color="auto" w:fill="FFFFFF"/>
          <w:lang w:eastAsia="en-GB"/>
        </w:rPr>
        <w:t xml:space="preserve"> </w:t>
      </w:r>
      <w:r w:rsidR="004A0C8A">
        <w:rPr>
          <w:rFonts w:eastAsia="Times New Roman" w:cstheme="minorHAnsi"/>
          <w:sz w:val="24"/>
          <w:szCs w:val="24"/>
          <w:shd w:val="clear" w:color="auto" w:fill="FFFFFF"/>
          <w:lang w:eastAsia="en-GB"/>
        </w:rPr>
        <w:t xml:space="preserve">consciousness </w:t>
      </w:r>
      <w:r w:rsidR="00EC77E6">
        <w:rPr>
          <w:rFonts w:eastAsia="Times New Roman" w:cstheme="minorHAnsi"/>
          <w:sz w:val="24"/>
          <w:szCs w:val="24"/>
          <w:shd w:val="clear" w:color="auto" w:fill="FFFFFF"/>
          <w:lang w:eastAsia="en-GB"/>
        </w:rPr>
        <w:t xml:space="preserve">that </w:t>
      </w:r>
      <w:r w:rsidR="004A0C8A">
        <w:rPr>
          <w:rFonts w:eastAsia="Times New Roman" w:cstheme="minorHAnsi"/>
          <w:sz w:val="24"/>
          <w:szCs w:val="24"/>
          <w:shd w:val="clear" w:color="auto" w:fill="FFFFFF"/>
          <w:lang w:eastAsia="en-GB"/>
        </w:rPr>
        <w:t xml:space="preserve">makes </w:t>
      </w:r>
      <w:r w:rsidR="000864F2">
        <w:rPr>
          <w:rFonts w:eastAsia="Times New Roman" w:cstheme="minorHAnsi"/>
          <w:sz w:val="24"/>
          <w:szCs w:val="24"/>
          <w:shd w:val="clear" w:color="auto" w:fill="FFFFFF"/>
          <w:lang w:eastAsia="en-GB"/>
        </w:rPr>
        <w:t>us</w:t>
      </w:r>
      <w:r w:rsidR="004A0C8A">
        <w:rPr>
          <w:rFonts w:eastAsia="Times New Roman" w:cstheme="minorHAnsi"/>
          <w:sz w:val="24"/>
          <w:szCs w:val="24"/>
          <w:shd w:val="clear" w:color="auto" w:fill="FFFFFF"/>
          <w:lang w:eastAsia="en-GB"/>
        </w:rPr>
        <w:t xml:space="preserve"> truly </w:t>
      </w:r>
      <w:r w:rsidR="000864F2">
        <w:rPr>
          <w:rFonts w:eastAsia="Times New Roman" w:cstheme="minorHAnsi"/>
          <w:sz w:val="24"/>
          <w:szCs w:val="24"/>
          <w:shd w:val="clear" w:color="auto" w:fill="FFFFFF"/>
          <w:lang w:eastAsia="en-GB"/>
        </w:rPr>
        <w:t>ourselves. Descartes believes</w:t>
      </w:r>
      <w:r w:rsidR="004A0C8A">
        <w:rPr>
          <w:rFonts w:eastAsia="Times New Roman" w:cstheme="minorHAnsi"/>
          <w:sz w:val="24"/>
          <w:szCs w:val="24"/>
          <w:shd w:val="clear" w:color="auto" w:fill="FFFFFF"/>
          <w:lang w:eastAsia="en-GB"/>
        </w:rPr>
        <w:t xml:space="preserve"> that “</w:t>
      </w:r>
      <w:r w:rsidR="004A0C8A" w:rsidRPr="004A0C8A">
        <w:rPr>
          <w:rFonts w:eastAsia="Times New Roman" w:cstheme="minorHAnsi"/>
          <w:sz w:val="24"/>
          <w:szCs w:val="24"/>
          <w:shd w:val="clear" w:color="auto" w:fill="FFFFFF"/>
          <w:lang w:eastAsia="en-GB"/>
        </w:rPr>
        <w:t>Consciousness is self sufficient. Consciousness is entirely immanent</w:t>
      </w:r>
      <w:r w:rsidR="004A0C8A">
        <w:rPr>
          <w:rFonts w:eastAsia="Times New Roman" w:cstheme="minorHAnsi"/>
          <w:sz w:val="24"/>
          <w:szCs w:val="24"/>
          <w:shd w:val="clear" w:color="auto" w:fill="FFFFFF"/>
          <w:lang w:eastAsia="en-GB"/>
        </w:rPr>
        <w:t xml:space="preserve"> and capable of living its life </w:t>
      </w:r>
      <w:r w:rsidR="004A0C8A" w:rsidRPr="004A0C8A">
        <w:rPr>
          <w:rFonts w:eastAsia="Times New Roman" w:cstheme="minorHAnsi"/>
          <w:sz w:val="24"/>
          <w:szCs w:val="24"/>
          <w:shd w:val="clear" w:color="auto" w:fill="FFFFFF"/>
          <w:lang w:eastAsia="en-GB"/>
        </w:rPr>
        <w:t>independently of the body</w:t>
      </w:r>
      <w:r w:rsidR="004A0C8A">
        <w:rPr>
          <w:rFonts w:eastAsia="Times New Roman" w:cstheme="minorHAnsi"/>
          <w:sz w:val="24"/>
          <w:szCs w:val="24"/>
          <w:shd w:val="clear" w:color="auto" w:fill="FFFFFF"/>
          <w:lang w:eastAsia="en-GB"/>
        </w:rPr>
        <w:t>.”</w:t>
      </w:r>
      <w:r w:rsidR="004A0C8A">
        <w:rPr>
          <w:rStyle w:val="FootnoteReference"/>
          <w:rFonts w:eastAsia="Times New Roman" w:cstheme="minorHAnsi"/>
          <w:sz w:val="24"/>
          <w:szCs w:val="24"/>
          <w:shd w:val="clear" w:color="auto" w:fill="FFFFFF"/>
          <w:lang w:eastAsia="en-GB"/>
        </w:rPr>
        <w:footnoteReference w:id="9"/>
      </w:r>
      <w:r w:rsidR="00EC77E6">
        <w:rPr>
          <w:rFonts w:eastAsia="Times New Roman" w:cstheme="minorHAnsi"/>
          <w:sz w:val="24"/>
          <w:szCs w:val="24"/>
          <w:shd w:val="clear" w:color="auto" w:fill="FFFFFF"/>
          <w:lang w:eastAsia="en-GB"/>
        </w:rPr>
        <w:t>, and therefore the only thing that we as humans can be completely sure of is our own consciousness.</w:t>
      </w:r>
      <w:r w:rsidR="004A0C8A">
        <w:rPr>
          <w:rFonts w:eastAsia="Times New Roman" w:cstheme="minorHAnsi"/>
          <w:sz w:val="24"/>
          <w:szCs w:val="24"/>
          <w:shd w:val="clear" w:color="auto" w:fill="FFFFFF"/>
          <w:lang w:eastAsia="en-GB"/>
        </w:rPr>
        <w:br/>
      </w:r>
      <w:r w:rsidR="008D6308">
        <w:rPr>
          <w:rFonts w:eastAsia="Times New Roman" w:cstheme="minorHAnsi"/>
          <w:sz w:val="24"/>
          <w:szCs w:val="24"/>
          <w:shd w:val="clear" w:color="auto" w:fill="FFFFFF"/>
          <w:lang w:eastAsia="en-GB"/>
        </w:rPr>
        <w:t>Wittgenstein</w:t>
      </w:r>
      <w:r w:rsidR="004A0C8A">
        <w:rPr>
          <w:rFonts w:eastAsia="Times New Roman" w:cstheme="minorHAnsi"/>
          <w:sz w:val="24"/>
          <w:szCs w:val="24"/>
          <w:shd w:val="clear" w:color="auto" w:fill="FFFFFF"/>
          <w:lang w:eastAsia="en-GB"/>
        </w:rPr>
        <w:t xml:space="preserve"> reject</w:t>
      </w:r>
      <w:r w:rsidR="008D6308">
        <w:rPr>
          <w:rFonts w:eastAsia="Times New Roman" w:cstheme="minorHAnsi"/>
          <w:sz w:val="24"/>
          <w:szCs w:val="24"/>
          <w:shd w:val="clear" w:color="auto" w:fill="FFFFFF"/>
          <w:lang w:eastAsia="en-GB"/>
        </w:rPr>
        <w:t xml:space="preserve">s </w:t>
      </w:r>
      <w:r w:rsidR="004A0C8A">
        <w:rPr>
          <w:rFonts w:eastAsia="Times New Roman" w:cstheme="minorHAnsi"/>
          <w:sz w:val="24"/>
          <w:szCs w:val="24"/>
          <w:shd w:val="clear" w:color="auto" w:fill="FFFFFF"/>
          <w:lang w:eastAsia="en-GB"/>
        </w:rPr>
        <w:t xml:space="preserve">the Cartesian definition of consciousness. </w:t>
      </w:r>
      <w:r w:rsidR="00EC77E6">
        <w:rPr>
          <w:rFonts w:eastAsia="Times New Roman" w:cstheme="minorHAnsi"/>
          <w:sz w:val="24"/>
          <w:szCs w:val="24"/>
          <w:shd w:val="clear" w:color="auto" w:fill="FFFFFF"/>
          <w:lang w:eastAsia="en-GB"/>
        </w:rPr>
        <w:t xml:space="preserve">He never stated a particular theory of consciousness, but instead wrote of the importance of word usage when discussing consciousness. In his 1953 work </w:t>
      </w:r>
      <w:r w:rsidR="00EC77E6">
        <w:rPr>
          <w:rFonts w:eastAsia="Times New Roman" w:cstheme="minorHAnsi"/>
          <w:i/>
          <w:sz w:val="24"/>
          <w:szCs w:val="24"/>
          <w:shd w:val="clear" w:color="auto" w:fill="FFFFFF"/>
          <w:lang w:eastAsia="en-GB"/>
        </w:rPr>
        <w:t>Philosophical Investigations</w:t>
      </w:r>
      <w:r w:rsidR="00EC77E6">
        <w:rPr>
          <w:rFonts w:eastAsia="Times New Roman" w:cstheme="minorHAnsi"/>
          <w:sz w:val="24"/>
          <w:szCs w:val="24"/>
          <w:shd w:val="clear" w:color="auto" w:fill="FFFFFF"/>
          <w:lang w:eastAsia="en-GB"/>
        </w:rPr>
        <w:t xml:space="preserve">, Wittgenstein argues against the concept of first-person consciousness, stating </w:t>
      </w:r>
      <w:r w:rsidR="00EC77E6" w:rsidRPr="00EC77E6">
        <w:rPr>
          <w:rFonts w:eastAsia="Times New Roman" w:cstheme="minorHAnsi"/>
          <w:sz w:val="24"/>
          <w:szCs w:val="24"/>
          <w:shd w:val="clear" w:color="auto" w:fill="FFFFFF"/>
          <w:lang w:eastAsia="en-GB"/>
        </w:rPr>
        <w:t xml:space="preserve">that if </w:t>
      </w:r>
      <w:r w:rsidR="00EC77E6">
        <w:rPr>
          <w:rFonts w:eastAsia="Times New Roman" w:cstheme="minorHAnsi"/>
          <w:sz w:val="24"/>
          <w:szCs w:val="24"/>
          <w:shd w:val="clear" w:color="auto" w:fill="FFFFFF"/>
          <w:lang w:eastAsia="en-GB"/>
        </w:rPr>
        <w:t>some</w:t>
      </w:r>
      <w:r w:rsidR="00EC77E6" w:rsidRPr="00EC77E6">
        <w:rPr>
          <w:rFonts w:eastAsia="Times New Roman" w:cstheme="minorHAnsi"/>
          <w:sz w:val="24"/>
          <w:szCs w:val="24"/>
          <w:shd w:val="clear" w:color="auto" w:fill="FFFFFF"/>
          <w:lang w:eastAsia="en-GB"/>
        </w:rPr>
        <w:t xml:space="preserve">one </w:t>
      </w:r>
      <w:r w:rsidR="00EC77E6">
        <w:rPr>
          <w:rFonts w:eastAsia="Times New Roman" w:cstheme="minorHAnsi"/>
          <w:sz w:val="24"/>
          <w:szCs w:val="24"/>
          <w:shd w:val="clear" w:color="auto" w:fill="FFFFFF"/>
          <w:lang w:eastAsia="en-GB"/>
        </w:rPr>
        <w:t>“</w:t>
      </w:r>
      <w:r w:rsidR="00EC77E6" w:rsidRPr="00EC77E6">
        <w:rPr>
          <w:rFonts w:eastAsia="Times New Roman" w:cstheme="minorHAnsi"/>
          <w:sz w:val="24"/>
          <w:szCs w:val="24"/>
          <w:shd w:val="clear" w:color="auto" w:fill="FFFFFF"/>
          <w:lang w:eastAsia="en-GB"/>
        </w:rPr>
        <w:t>holds that the initial appli</w:t>
      </w:r>
      <w:r w:rsidR="00EC77E6">
        <w:rPr>
          <w:rFonts w:eastAsia="Times New Roman" w:cstheme="minorHAnsi"/>
          <w:sz w:val="24"/>
          <w:szCs w:val="24"/>
          <w:shd w:val="clear" w:color="auto" w:fill="FFFFFF"/>
          <w:lang w:eastAsia="en-GB"/>
        </w:rPr>
        <w:t xml:space="preserve">cation of expressions involving </w:t>
      </w:r>
      <w:r w:rsidR="00EC77E6" w:rsidRPr="00EC77E6">
        <w:rPr>
          <w:rFonts w:eastAsia="Times New Roman" w:cstheme="minorHAnsi"/>
          <w:sz w:val="24"/>
          <w:szCs w:val="24"/>
          <w:shd w:val="clear" w:color="auto" w:fill="FFFFFF"/>
          <w:lang w:eastAsia="en-GB"/>
        </w:rPr>
        <w:t xml:space="preserve">consciousness is to one-self, if one learns the meanings of these expressions by </w:t>
      </w:r>
      <w:r w:rsidR="00EC77E6">
        <w:rPr>
          <w:rFonts w:eastAsia="Times New Roman" w:cstheme="minorHAnsi"/>
          <w:sz w:val="24"/>
          <w:szCs w:val="24"/>
          <w:shd w:val="clear" w:color="auto" w:fill="FFFFFF"/>
          <w:lang w:eastAsia="en-GB"/>
        </w:rPr>
        <w:t>a private ostensive definiti</w:t>
      </w:r>
      <w:r w:rsidR="00EC77E6" w:rsidRPr="00B5330C">
        <w:rPr>
          <w:rFonts w:eastAsia="Times New Roman" w:cstheme="minorHAnsi"/>
          <w:sz w:val="24"/>
          <w:szCs w:val="24"/>
          <w:shd w:val="clear" w:color="auto" w:fill="FFFFFF"/>
          <w:lang w:eastAsia="en-GB"/>
        </w:rPr>
        <w:t>on, then insoluble difficulties arise concerning the application of such expressions to others.”</w:t>
      </w:r>
      <w:r w:rsidR="00EC77E6" w:rsidRPr="00B5330C">
        <w:rPr>
          <w:rStyle w:val="FootnoteReference"/>
          <w:rFonts w:eastAsia="Times New Roman" w:cstheme="minorHAnsi"/>
          <w:sz w:val="24"/>
          <w:szCs w:val="24"/>
          <w:shd w:val="clear" w:color="auto" w:fill="FFFFFF"/>
          <w:lang w:eastAsia="en-GB"/>
        </w:rPr>
        <w:footnoteReference w:id="10"/>
      </w:r>
      <w:r w:rsidR="00A2574B" w:rsidRPr="00B5330C">
        <w:rPr>
          <w:rFonts w:eastAsia="Times New Roman" w:cstheme="minorHAnsi"/>
          <w:sz w:val="24"/>
          <w:szCs w:val="24"/>
          <w:shd w:val="clear" w:color="auto" w:fill="FFFFFF"/>
          <w:lang w:eastAsia="en-GB"/>
        </w:rPr>
        <w:t xml:space="preserve"> Wittgenstei</w:t>
      </w:r>
      <w:r w:rsidR="00B5330C">
        <w:rPr>
          <w:rFonts w:eastAsia="Times New Roman" w:cstheme="minorHAnsi"/>
          <w:sz w:val="24"/>
          <w:szCs w:val="24"/>
          <w:shd w:val="clear" w:color="auto" w:fill="FFFFFF"/>
          <w:lang w:eastAsia="en-GB"/>
        </w:rPr>
        <w:t>n criticises</w:t>
      </w:r>
      <w:r w:rsidR="00A2574B" w:rsidRPr="00B5330C">
        <w:rPr>
          <w:rFonts w:eastAsia="Times New Roman" w:cstheme="minorHAnsi"/>
          <w:sz w:val="24"/>
          <w:szCs w:val="24"/>
          <w:shd w:val="clear" w:color="auto" w:fill="FFFFFF"/>
          <w:lang w:eastAsia="en-GB"/>
        </w:rPr>
        <w:t xml:space="preserve"> </w:t>
      </w:r>
      <w:r w:rsidR="003C180B" w:rsidRPr="00B5330C">
        <w:rPr>
          <w:rFonts w:eastAsia="Times New Roman" w:cstheme="minorHAnsi"/>
          <w:sz w:val="24"/>
          <w:szCs w:val="24"/>
          <w:shd w:val="clear" w:color="auto" w:fill="FFFFFF"/>
          <w:lang w:eastAsia="en-GB"/>
        </w:rPr>
        <w:t xml:space="preserve">Descartes’ idea </w:t>
      </w:r>
      <w:r w:rsidR="00A2574B" w:rsidRPr="00B5330C">
        <w:rPr>
          <w:rFonts w:eastAsia="Times New Roman" w:cstheme="minorHAnsi"/>
          <w:sz w:val="24"/>
          <w:szCs w:val="24"/>
          <w:shd w:val="clear" w:color="auto" w:fill="FFFFFF"/>
          <w:lang w:eastAsia="en-GB"/>
        </w:rPr>
        <w:t xml:space="preserve">of consciousness </w:t>
      </w:r>
      <w:r w:rsidR="00B5330C">
        <w:rPr>
          <w:rFonts w:eastAsia="Times New Roman" w:cstheme="minorHAnsi"/>
          <w:sz w:val="24"/>
          <w:szCs w:val="24"/>
          <w:shd w:val="clear" w:color="auto" w:fill="FFFFFF"/>
          <w:lang w:eastAsia="en-GB"/>
        </w:rPr>
        <w:t>by stating</w:t>
      </w:r>
      <w:r w:rsidR="003C180B" w:rsidRPr="00B5330C">
        <w:rPr>
          <w:rFonts w:eastAsia="Times New Roman" w:cstheme="minorHAnsi"/>
          <w:sz w:val="24"/>
          <w:szCs w:val="24"/>
          <w:shd w:val="clear" w:color="auto" w:fill="FFFFFF"/>
          <w:lang w:eastAsia="en-GB"/>
        </w:rPr>
        <w:t xml:space="preserve"> that the paradox of Cartesian consciousness is that by prioritising </w:t>
      </w:r>
      <w:r w:rsidR="00B5330C" w:rsidRPr="00B5330C">
        <w:rPr>
          <w:rFonts w:eastAsia="Times New Roman" w:cstheme="minorHAnsi"/>
          <w:sz w:val="24"/>
          <w:szCs w:val="24"/>
          <w:shd w:val="clear" w:color="auto" w:fill="FFFFFF"/>
          <w:lang w:eastAsia="en-GB"/>
        </w:rPr>
        <w:t>“</w:t>
      </w:r>
      <w:r w:rsidR="00B5330C" w:rsidRPr="00B5330C">
        <w:rPr>
          <w:sz w:val="24"/>
          <w:szCs w:val="24"/>
        </w:rPr>
        <w:t>the private sensation, the theory eliminates sensations</w:t>
      </w:r>
      <w:r w:rsidR="00B5330C">
        <w:rPr>
          <w:sz w:val="24"/>
          <w:szCs w:val="24"/>
        </w:rPr>
        <w:t>,</w:t>
      </w:r>
      <w:r w:rsidR="00B5330C" w:rsidRPr="00B5330C">
        <w:rPr>
          <w:sz w:val="24"/>
          <w:szCs w:val="24"/>
        </w:rPr>
        <w:t>”</w:t>
      </w:r>
      <w:r w:rsidR="00B5330C">
        <w:rPr>
          <w:rStyle w:val="FootnoteReference"/>
          <w:sz w:val="24"/>
          <w:szCs w:val="24"/>
        </w:rPr>
        <w:footnoteReference w:id="11"/>
      </w:r>
      <w:r w:rsidR="00B5330C">
        <w:rPr>
          <w:rStyle w:val="FootnoteReference"/>
          <w:sz w:val="24"/>
          <w:szCs w:val="24"/>
        </w:rPr>
        <w:footnoteReference w:id="12"/>
      </w:r>
      <w:r w:rsidR="00B5330C">
        <w:rPr>
          <w:sz w:val="24"/>
          <w:szCs w:val="24"/>
        </w:rPr>
        <w:br/>
        <w:t xml:space="preserve">However, while Wittgenstein criticises the Cartesian position, opposing the idea of a personal, inner idea of consciousness, he could not deny the </w:t>
      </w:r>
      <w:r w:rsidR="000864F2">
        <w:rPr>
          <w:sz w:val="24"/>
          <w:szCs w:val="24"/>
        </w:rPr>
        <w:t>fact</w:t>
      </w:r>
      <w:r w:rsidR="00B5330C">
        <w:rPr>
          <w:sz w:val="24"/>
          <w:szCs w:val="24"/>
        </w:rPr>
        <w:t xml:space="preserve"> that all people have a “private mental life”</w:t>
      </w:r>
      <w:r w:rsidR="00B5330C">
        <w:rPr>
          <w:rStyle w:val="FootnoteReference"/>
          <w:sz w:val="24"/>
          <w:szCs w:val="24"/>
        </w:rPr>
        <w:footnoteReference w:id="13"/>
      </w:r>
      <w:r w:rsidR="00B5330C">
        <w:rPr>
          <w:sz w:val="24"/>
          <w:szCs w:val="24"/>
        </w:rPr>
        <w:t>.</w:t>
      </w:r>
      <w:r w:rsidR="00106F49">
        <w:rPr>
          <w:sz w:val="24"/>
          <w:szCs w:val="24"/>
        </w:rPr>
        <w:t xml:space="preserve"> In fact, there are some similarities between Descartes idea of consciousness, and Wittgenstein’s idea of consciousness. Both philosophers agree that </w:t>
      </w:r>
      <w:r w:rsidR="000864F2">
        <w:rPr>
          <w:sz w:val="24"/>
          <w:szCs w:val="24"/>
        </w:rPr>
        <w:t>no matter</w:t>
      </w:r>
      <w:r w:rsidR="00106F49">
        <w:rPr>
          <w:sz w:val="24"/>
          <w:szCs w:val="24"/>
        </w:rPr>
        <w:t xml:space="preserve"> consciousness </w:t>
      </w:r>
      <w:r w:rsidR="000864F2">
        <w:rPr>
          <w:sz w:val="24"/>
          <w:szCs w:val="24"/>
        </w:rPr>
        <w:t>may</w:t>
      </w:r>
      <w:r w:rsidR="00106F49">
        <w:rPr>
          <w:sz w:val="24"/>
          <w:szCs w:val="24"/>
        </w:rPr>
        <w:t xml:space="preserve"> be defined, it is the central feature of our world.</w:t>
      </w:r>
      <w:r w:rsidR="003334F4">
        <w:rPr>
          <w:sz w:val="24"/>
          <w:szCs w:val="24"/>
        </w:rPr>
        <w:t xml:space="preserve"> As humans, our language and act</w:t>
      </w:r>
      <w:r w:rsidR="000864F2">
        <w:rPr>
          <w:sz w:val="24"/>
          <w:szCs w:val="24"/>
        </w:rPr>
        <w:t xml:space="preserve">ions are necessary to being able to </w:t>
      </w:r>
      <w:r w:rsidR="000864F2">
        <w:rPr>
          <w:sz w:val="24"/>
          <w:szCs w:val="24"/>
        </w:rPr>
        <w:lastRenderedPageBreak/>
        <w:t>understand</w:t>
      </w:r>
      <w:r w:rsidR="003334F4">
        <w:rPr>
          <w:sz w:val="24"/>
          <w:szCs w:val="24"/>
        </w:rPr>
        <w:t xml:space="preserve"> our world. Furthermore, both Wittgenstein and Descartes agree that only humans can truly be conscious, as humans are the only ones who can use language in such a way. Both philosophers state that mental and emotional processes should not be confused with physical processes. They also both agree that human minds are established using the idea of </w:t>
      </w:r>
      <w:r w:rsidR="003334F4">
        <w:rPr>
          <w:i/>
          <w:sz w:val="24"/>
          <w:szCs w:val="24"/>
        </w:rPr>
        <w:t xml:space="preserve">cogito ergo </w:t>
      </w:r>
      <w:r w:rsidR="003334F4" w:rsidRPr="003334F4">
        <w:rPr>
          <w:i/>
          <w:sz w:val="24"/>
          <w:szCs w:val="24"/>
        </w:rPr>
        <w:t>sum</w:t>
      </w:r>
      <w:r w:rsidR="003334F4">
        <w:rPr>
          <w:sz w:val="24"/>
          <w:szCs w:val="24"/>
        </w:rPr>
        <w:t>, Wittgenstein understands that while the mind is not a mental entity, it does still exist, and that human beings’ behaviour is connected with their mental states.</w:t>
      </w:r>
      <w:r w:rsidR="003334F4">
        <w:rPr>
          <w:rStyle w:val="FootnoteReference"/>
          <w:sz w:val="24"/>
          <w:szCs w:val="24"/>
        </w:rPr>
        <w:footnoteReference w:id="14"/>
      </w:r>
    </w:p>
    <w:p w:rsidR="00B5330C" w:rsidRDefault="000A7DDC" w:rsidP="00B5330C">
      <w:pPr>
        <w:spacing w:after="0" w:line="276" w:lineRule="auto"/>
        <w:ind w:firstLine="360"/>
        <w:textAlignment w:val="baseline"/>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t>Wittgenstein’s ‘beetle in a box’ example is the easiest way to convey his ideas of consciousness. The concept of ‘beetle in a box’ states that if everyone has a box with something inside of it, and everyone is only allowed to view the contents of their own box, then we might all refer to the contents of our boxes as beetles. There would be no way to confirm whether or not we all have the same thing inside of the box, it would be quite possible for everyone to have something different inside of their box.</w:t>
      </w:r>
      <w:r w:rsidR="00A2574B">
        <w:rPr>
          <w:rFonts w:eastAsia="Times New Roman" w:cstheme="minorHAnsi"/>
          <w:sz w:val="24"/>
          <w:szCs w:val="24"/>
          <w:shd w:val="clear" w:color="auto" w:fill="FFFFFF"/>
          <w:lang w:eastAsia="en-GB"/>
        </w:rPr>
        <w:t xml:space="preserve"> However, if the word ‘beetle’ already existed within language, it obviously would not be used to describe whatever is inside of the boxes. This goes to show that </w:t>
      </w:r>
      <w:r w:rsidR="003334F4">
        <w:rPr>
          <w:rFonts w:eastAsia="Times New Roman" w:cstheme="minorHAnsi"/>
          <w:sz w:val="24"/>
          <w:szCs w:val="24"/>
          <w:shd w:val="clear" w:color="auto" w:fill="FFFFFF"/>
          <w:lang w:eastAsia="en-GB"/>
        </w:rPr>
        <w:t>c</w:t>
      </w:r>
      <w:r w:rsidR="00A2574B">
        <w:rPr>
          <w:rFonts w:eastAsia="Times New Roman" w:cstheme="minorHAnsi"/>
          <w:sz w:val="24"/>
          <w:szCs w:val="24"/>
          <w:shd w:val="clear" w:color="auto" w:fill="FFFFFF"/>
          <w:lang w:eastAsia="en-GB"/>
        </w:rPr>
        <w:t>onsciousness exists as it does only due to its use within language.</w:t>
      </w:r>
      <w:r>
        <w:rPr>
          <w:rFonts w:eastAsia="Times New Roman" w:cstheme="minorHAnsi"/>
          <w:sz w:val="24"/>
          <w:szCs w:val="24"/>
          <w:shd w:val="clear" w:color="auto" w:fill="FFFFFF"/>
          <w:lang w:eastAsia="en-GB"/>
        </w:rPr>
        <w:t xml:space="preserve"> </w:t>
      </w:r>
      <w:r w:rsidR="00B5330C">
        <w:rPr>
          <w:rFonts w:eastAsia="Times New Roman" w:cstheme="minorHAnsi"/>
          <w:sz w:val="24"/>
          <w:szCs w:val="24"/>
          <w:shd w:val="clear" w:color="auto" w:fill="FFFFFF"/>
          <w:lang w:eastAsia="en-GB"/>
        </w:rPr>
        <w:t>The ‘beetle in a box’ idea is also referenced when criticising the Cartesian theory of consciousness, as it highlights how the Cartesian position is self-defeatist.</w:t>
      </w:r>
    </w:p>
    <w:p w:rsidR="005B34B6" w:rsidRDefault="00933D0C" w:rsidP="00B5330C">
      <w:pPr>
        <w:spacing w:after="0" w:line="276" w:lineRule="auto"/>
        <w:ind w:firstLine="360"/>
        <w:textAlignment w:val="baseline"/>
        <w:rPr>
          <w:rFonts w:eastAsia="Times New Roman" w:cstheme="minorHAnsi"/>
          <w:sz w:val="24"/>
          <w:szCs w:val="24"/>
          <w:shd w:val="clear" w:color="auto" w:fill="FFFFFF"/>
          <w:lang w:eastAsia="en-GB"/>
        </w:rPr>
      </w:pPr>
      <w:r w:rsidRPr="00B5330C">
        <w:rPr>
          <w:rFonts w:cstheme="minorHAnsi"/>
          <w:sz w:val="24"/>
          <w:szCs w:val="24"/>
        </w:rPr>
        <w:t>To conclude,</w:t>
      </w:r>
      <w:r w:rsidR="008D6308" w:rsidRPr="00B5330C">
        <w:rPr>
          <w:rFonts w:cstheme="minorHAnsi"/>
          <w:sz w:val="24"/>
          <w:szCs w:val="24"/>
        </w:rPr>
        <w:t xml:space="preserve"> the</w:t>
      </w:r>
      <w:r w:rsidR="00A2574B" w:rsidRPr="00B5330C">
        <w:rPr>
          <w:rFonts w:cstheme="minorHAnsi"/>
          <w:sz w:val="24"/>
          <w:szCs w:val="24"/>
        </w:rPr>
        <w:t xml:space="preserve"> Cartesian</w:t>
      </w:r>
      <w:r w:rsidR="008D6308" w:rsidRPr="00B5330C">
        <w:rPr>
          <w:rFonts w:cstheme="minorHAnsi"/>
          <w:sz w:val="24"/>
          <w:szCs w:val="24"/>
        </w:rPr>
        <w:t xml:space="preserve"> idea </w:t>
      </w:r>
      <w:r w:rsidR="003F0DC7" w:rsidRPr="00B5330C">
        <w:rPr>
          <w:rFonts w:cstheme="minorHAnsi"/>
          <w:sz w:val="24"/>
          <w:szCs w:val="24"/>
        </w:rPr>
        <w:t>that a person’s ‘I’</w:t>
      </w:r>
      <w:r w:rsidR="00EC77E6" w:rsidRPr="00B5330C">
        <w:rPr>
          <w:rFonts w:cstheme="minorHAnsi"/>
          <w:sz w:val="24"/>
          <w:szCs w:val="24"/>
        </w:rPr>
        <w:t>, and therefore their consciousness,</w:t>
      </w:r>
      <w:r w:rsidR="003F0DC7" w:rsidRPr="00B5330C">
        <w:rPr>
          <w:rFonts w:cstheme="minorHAnsi"/>
          <w:sz w:val="24"/>
          <w:szCs w:val="24"/>
        </w:rPr>
        <w:t xml:space="preserve"> is</w:t>
      </w:r>
      <w:r w:rsidR="006A2B59" w:rsidRPr="00B5330C">
        <w:rPr>
          <w:rFonts w:cstheme="minorHAnsi"/>
          <w:sz w:val="24"/>
          <w:szCs w:val="24"/>
        </w:rPr>
        <w:t xml:space="preserve"> an entity unrelated to the</w:t>
      </w:r>
      <w:r w:rsidRPr="00B5330C">
        <w:rPr>
          <w:rFonts w:cstheme="minorHAnsi"/>
          <w:sz w:val="24"/>
          <w:szCs w:val="24"/>
        </w:rPr>
        <w:t xml:space="preserve">ir physical body and </w:t>
      </w:r>
      <w:r w:rsidR="000864F2">
        <w:rPr>
          <w:rFonts w:cstheme="minorHAnsi"/>
          <w:sz w:val="24"/>
          <w:szCs w:val="24"/>
        </w:rPr>
        <w:t xml:space="preserve">is </w:t>
      </w:r>
      <w:r w:rsidR="006A2B59" w:rsidRPr="00B5330C">
        <w:rPr>
          <w:rFonts w:cstheme="minorHAnsi"/>
          <w:sz w:val="24"/>
          <w:szCs w:val="24"/>
        </w:rPr>
        <w:t xml:space="preserve">a </w:t>
      </w:r>
      <w:r w:rsidR="00102284" w:rsidRPr="00B5330C">
        <w:rPr>
          <w:rFonts w:cstheme="minorHAnsi"/>
          <w:sz w:val="24"/>
          <w:szCs w:val="24"/>
        </w:rPr>
        <w:t xml:space="preserve">unique </w:t>
      </w:r>
      <w:r w:rsidR="006A2B59" w:rsidRPr="00B5330C">
        <w:rPr>
          <w:rFonts w:cstheme="minorHAnsi"/>
          <w:sz w:val="24"/>
          <w:szCs w:val="24"/>
        </w:rPr>
        <w:t>representation of their truest and deepest self that lives within the physical form</w:t>
      </w:r>
      <w:r w:rsidRPr="00B5330C">
        <w:rPr>
          <w:rFonts w:cstheme="minorHAnsi"/>
          <w:sz w:val="24"/>
          <w:szCs w:val="24"/>
        </w:rPr>
        <w:t>, is rejected by Wittg</w:t>
      </w:r>
      <w:r w:rsidR="00102284" w:rsidRPr="00B5330C">
        <w:rPr>
          <w:rFonts w:cstheme="minorHAnsi"/>
          <w:sz w:val="24"/>
          <w:szCs w:val="24"/>
        </w:rPr>
        <w:t>enstein in favour of believing that consciousness, while still possibly unique, is defined by boundaries of language.</w:t>
      </w:r>
      <w:r w:rsidR="00106F49">
        <w:rPr>
          <w:rFonts w:cstheme="minorHAnsi"/>
          <w:sz w:val="24"/>
          <w:szCs w:val="24"/>
        </w:rPr>
        <w:br/>
      </w:r>
      <w:r w:rsidR="00106F49" w:rsidRPr="00106F49">
        <w:rPr>
          <w:rFonts w:eastAsia="Times New Roman" w:cstheme="minorHAnsi"/>
          <w:sz w:val="24"/>
          <w:szCs w:val="24"/>
          <w:shd w:val="clear" w:color="auto" w:fill="FFFFFF"/>
          <w:lang w:eastAsia="en-GB"/>
        </w:rPr>
        <w:t>It should be noted that while language is an important factor when discussing the idea of consciousness, due to the fact that all versions of ‘I’ refer to someone’s inner-self, their soul, there must be something that links all conscious beings together through their consciousness. If not, descriptions of consciousness would vary so much that the concept of “consciousness” would not exist.</w:t>
      </w:r>
    </w:p>
    <w:p w:rsidR="004C6E75" w:rsidRDefault="004C6E75" w:rsidP="00B5330C">
      <w:pPr>
        <w:spacing w:after="0" w:line="276" w:lineRule="auto"/>
        <w:ind w:firstLine="360"/>
        <w:textAlignment w:val="baseline"/>
        <w:rPr>
          <w:rFonts w:eastAsia="Times New Roman" w:cstheme="minorHAnsi"/>
          <w:sz w:val="24"/>
          <w:szCs w:val="24"/>
          <w:shd w:val="clear" w:color="auto" w:fill="FFFFFF"/>
          <w:lang w:eastAsia="en-GB"/>
        </w:rPr>
      </w:pPr>
    </w:p>
    <w:p w:rsidR="004C6E75" w:rsidRDefault="004C6E75" w:rsidP="004C6E75">
      <w:pPr>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br w:type="page"/>
      </w:r>
    </w:p>
    <w:p w:rsidR="004C6E75" w:rsidRPr="004C6E75" w:rsidRDefault="004C6E75" w:rsidP="00B5330C">
      <w:pPr>
        <w:spacing w:after="0" w:line="276" w:lineRule="auto"/>
        <w:ind w:firstLine="360"/>
        <w:textAlignment w:val="baseline"/>
        <w:rPr>
          <w:rFonts w:eastAsia="Times New Roman" w:cstheme="minorHAnsi"/>
          <w:i/>
          <w:sz w:val="28"/>
          <w:szCs w:val="24"/>
          <w:u w:val="single"/>
          <w:shd w:val="clear" w:color="auto" w:fill="FFFFFF"/>
          <w:lang w:eastAsia="en-GB"/>
        </w:rPr>
      </w:pPr>
      <w:r w:rsidRPr="004C6E75">
        <w:rPr>
          <w:rFonts w:eastAsia="Times New Roman" w:cstheme="minorHAnsi"/>
          <w:i/>
          <w:sz w:val="28"/>
          <w:szCs w:val="24"/>
          <w:u w:val="single"/>
          <w:shd w:val="clear" w:color="auto" w:fill="FFFFFF"/>
          <w:lang w:eastAsia="en-GB"/>
        </w:rPr>
        <w:lastRenderedPageBreak/>
        <w:t>Bibliography:</w:t>
      </w:r>
    </w:p>
    <w:p w:rsidR="004C6E75" w:rsidRPr="004C6E75" w:rsidRDefault="004C6E75" w:rsidP="004C6E75">
      <w:pPr>
        <w:pStyle w:val="ListParagraph"/>
        <w:numPr>
          <w:ilvl w:val="0"/>
          <w:numId w:val="7"/>
        </w:numPr>
        <w:spacing w:after="0"/>
        <w:textAlignment w:val="baseline"/>
        <w:rPr>
          <w:rFonts w:eastAsia="Times New Roman" w:cstheme="minorHAnsi"/>
          <w:sz w:val="24"/>
          <w:szCs w:val="24"/>
          <w:shd w:val="clear" w:color="auto" w:fill="FFFFFF"/>
          <w:lang w:eastAsia="en-GB"/>
        </w:rPr>
      </w:pPr>
      <w:r w:rsidRPr="004C6E75">
        <w:rPr>
          <w:rFonts w:eastAsia="Times New Roman" w:cstheme="minorHAnsi"/>
          <w:sz w:val="24"/>
          <w:szCs w:val="24"/>
          <w:shd w:val="clear" w:color="auto" w:fill="FFFFFF"/>
          <w:lang w:eastAsia="en-GB"/>
        </w:rPr>
        <w:t xml:space="preserve">Chandra </w:t>
      </w:r>
      <w:proofErr w:type="spellStart"/>
      <w:r w:rsidRPr="004C6E75">
        <w:rPr>
          <w:rFonts w:eastAsia="Times New Roman" w:cstheme="minorHAnsi"/>
          <w:sz w:val="24"/>
          <w:szCs w:val="24"/>
          <w:shd w:val="clear" w:color="auto" w:fill="FFFFFF"/>
          <w:lang w:eastAsia="en-GB"/>
        </w:rPr>
        <w:t>Gogoi</w:t>
      </w:r>
      <w:proofErr w:type="spellEnd"/>
      <w:r w:rsidRPr="004C6E75">
        <w:rPr>
          <w:rFonts w:eastAsia="Times New Roman" w:cstheme="minorHAnsi"/>
          <w:sz w:val="24"/>
          <w:szCs w:val="24"/>
          <w:shd w:val="clear" w:color="auto" w:fill="FFFFFF"/>
          <w:lang w:eastAsia="en-GB"/>
        </w:rPr>
        <w:t xml:space="preserve">, </w:t>
      </w:r>
      <w:proofErr w:type="spellStart"/>
      <w:r w:rsidRPr="004C6E75">
        <w:rPr>
          <w:rFonts w:eastAsia="Times New Roman" w:cstheme="minorHAnsi"/>
          <w:sz w:val="24"/>
          <w:szCs w:val="24"/>
          <w:shd w:val="clear" w:color="auto" w:fill="FFFFFF"/>
          <w:lang w:eastAsia="en-GB"/>
        </w:rPr>
        <w:t>Bimal</w:t>
      </w:r>
      <w:proofErr w:type="spellEnd"/>
      <w:r w:rsidRPr="004C6E75">
        <w:rPr>
          <w:rFonts w:eastAsia="Times New Roman" w:cstheme="minorHAnsi"/>
          <w:sz w:val="24"/>
          <w:szCs w:val="24"/>
          <w:shd w:val="clear" w:color="auto" w:fill="FFFFFF"/>
          <w:lang w:eastAsia="en-GB"/>
        </w:rPr>
        <w:t xml:space="preserve">. “Wittgenstein and Descartes on Consciousness.” International Journal of Humanities and Social Science Invention, vol. 3, no. 10, 2014, p. 4, </w:t>
      </w:r>
      <w:r w:rsidR="000864F2">
        <w:rPr>
          <w:rFonts w:eastAsia="Times New Roman" w:cstheme="minorHAnsi"/>
          <w:sz w:val="24"/>
          <w:szCs w:val="24"/>
          <w:shd w:val="clear" w:color="auto" w:fill="FFFFFF"/>
          <w:lang w:eastAsia="en-GB"/>
        </w:rPr>
        <w:t>&lt;</w:t>
      </w:r>
      <w:r w:rsidRPr="004C6E75">
        <w:rPr>
          <w:rFonts w:eastAsia="Times New Roman" w:cstheme="minorHAnsi"/>
          <w:sz w:val="24"/>
          <w:szCs w:val="24"/>
          <w:shd w:val="clear" w:color="auto" w:fill="FFFFFF"/>
          <w:lang w:eastAsia="en-GB"/>
        </w:rPr>
        <w:t>http://www.ijhssi.org/papers/v3</w:t>
      </w:r>
      <w:r w:rsidR="000864F2">
        <w:rPr>
          <w:rFonts w:eastAsia="Times New Roman" w:cstheme="minorHAnsi"/>
          <w:sz w:val="24"/>
          <w:szCs w:val="24"/>
          <w:shd w:val="clear" w:color="auto" w:fill="FFFFFF"/>
          <w:lang w:eastAsia="en-GB"/>
        </w:rPr>
        <w:t>(10)/Version-1/G03101027030.pdf&gt;</w:t>
      </w:r>
    </w:p>
    <w:p w:rsidR="004C6E75" w:rsidRPr="004C6E75" w:rsidRDefault="004C6E75" w:rsidP="004C6E75">
      <w:pPr>
        <w:pStyle w:val="ListParagraph"/>
        <w:numPr>
          <w:ilvl w:val="0"/>
          <w:numId w:val="7"/>
        </w:numPr>
        <w:spacing w:after="0"/>
        <w:textAlignment w:val="baseline"/>
        <w:rPr>
          <w:rFonts w:eastAsia="Times New Roman" w:cstheme="minorHAnsi"/>
          <w:sz w:val="24"/>
          <w:szCs w:val="24"/>
          <w:shd w:val="clear" w:color="auto" w:fill="FFFFFF"/>
          <w:lang w:eastAsia="en-GB"/>
        </w:rPr>
      </w:pPr>
      <w:r w:rsidRPr="004C6E75">
        <w:rPr>
          <w:rFonts w:eastAsia="Times New Roman" w:cstheme="minorHAnsi"/>
          <w:sz w:val="24"/>
          <w:szCs w:val="24"/>
          <w:shd w:val="clear" w:color="auto" w:fill="FFFFFF"/>
          <w:lang w:eastAsia="en-GB"/>
        </w:rPr>
        <w:t>“Consciousness.” Merriam-Webster Dictionary, 2022, https://www.merriam-webster.com/dictionary/consciousness.</w:t>
      </w:r>
    </w:p>
    <w:p w:rsidR="004C6E75" w:rsidRDefault="004C6E75" w:rsidP="004C6E75">
      <w:pPr>
        <w:pStyle w:val="ListParagraph"/>
        <w:numPr>
          <w:ilvl w:val="0"/>
          <w:numId w:val="7"/>
        </w:numPr>
        <w:spacing w:after="0"/>
        <w:textAlignment w:val="baseline"/>
        <w:rPr>
          <w:rFonts w:eastAsia="Times New Roman" w:cstheme="minorHAnsi"/>
          <w:sz w:val="24"/>
          <w:szCs w:val="24"/>
          <w:shd w:val="clear" w:color="auto" w:fill="FFFFFF"/>
          <w:lang w:eastAsia="en-GB"/>
        </w:rPr>
      </w:pPr>
      <w:r w:rsidRPr="004C6E75">
        <w:rPr>
          <w:rFonts w:eastAsia="Times New Roman" w:cstheme="minorHAnsi"/>
          <w:sz w:val="24"/>
          <w:szCs w:val="24"/>
          <w:shd w:val="clear" w:color="auto" w:fill="FFFFFF"/>
          <w:lang w:eastAsia="en-GB"/>
        </w:rPr>
        <w:t xml:space="preserve">Descartes, René. Discourse on Method. ReadHowYouWant.com, Limited, 2006, </w:t>
      </w:r>
      <w:r w:rsidR="000864F2">
        <w:rPr>
          <w:rFonts w:eastAsia="Times New Roman" w:cstheme="minorHAnsi"/>
          <w:sz w:val="24"/>
          <w:szCs w:val="24"/>
          <w:shd w:val="clear" w:color="auto" w:fill="FFFFFF"/>
          <w:lang w:eastAsia="en-GB"/>
        </w:rPr>
        <w:t>&lt;</w:t>
      </w:r>
      <w:r w:rsidR="000864F2" w:rsidRPr="000864F2">
        <w:rPr>
          <w:rFonts w:eastAsia="Times New Roman" w:cstheme="minorHAnsi"/>
          <w:sz w:val="24"/>
          <w:szCs w:val="24"/>
          <w:shd w:val="clear" w:color="auto" w:fill="FFFFFF"/>
          <w:lang w:eastAsia="en-GB"/>
        </w:rPr>
        <w:t>https://www.google.co.uk/books/edition/A_Discourse_on_Method/P4Wv1ypwURIC?hl=en&amp;gbpv=1</w:t>
      </w:r>
      <w:r w:rsidR="000864F2">
        <w:rPr>
          <w:rFonts w:eastAsia="Times New Roman" w:cstheme="minorHAnsi"/>
          <w:sz w:val="24"/>
          <w:szCs w:val="24"/>
          <w:shd w:val="clear" w:color="auto" w:fill="FFFFFF"/>
          <w:lang w:eastAsia="en-GB"/>
        </w:rPr>
        <w:t>&gt;</w:t>
      </w:r>
    </w:p>
    <w:p w:rsidR="000864F2" w:rsidRPr="000864F2" w:rsidRDefault="000864F2" w:rsidP="000864F2">
      <w:pPr>
        <w:pStyle w:val="ListParagraph"/>
        <w:numPr>
          <w:ilvl w:val="0"/>
          <w:numId w:val="7"/>
        </w:numPr>
        <w:spacing w:line="360" w:lineRule="auto"/>
        <w:rPr>
          <w:rFonts w:ascii="Calibri" w:eastAsia="Calibri" w:hAnsi="Calibri" w:cs="Times New Roman"/>
          <w:sz w:val="24"/>
          <w:szCs w:val="24"/>
        </w:rPr>
      </w:pPr>
      <w:r>
        <w:rPr>
          <w:rFonts w:ascii="Calibri" w:eastAsia="Calibri" w:hAnsi="Calibri" w:cs="Times New Roman"/>
          <w:sz w:val="24"/>
          <w:szCs w:val="24"/>
        </w:rPr>
        <w:t xml:space="preserve">Flynn, Thomas, ‘Jean-Paul Sartre’, in The Stanford </w:t>
      </w:r>
      <w:proofErr w:type="spellStart"/>
      <w:r>
        <w:rPr>
          <w:rFonts w:ascii="Calibri" w:eastAsia="Calibri" w:hAnsi="Calibri" w:cs="Times New Roman"/>
          <w:sz w:val="24"/>
          <w:szCs w:val="24"/>
        </w:rPr>
        <w:t>Encyclopedia</w:t>
      </w:r>
      <w:proofErr w:type="spellEnd"/>
      <w:r>
        <w:rPr>
          <w:rFonts w:ascii="Calibri" w:eastAsia="Calibri" w:hAnsi="Calibri" w:cs="Times New Roman"/>
          <w:sz w:val="24"/>
          <w:szCs w:val="24"/>
        </w:rPr>
        <w:t xml:space="preserve"> of Philosophy, ed. by Edward N. </w:t>
      </w:r>
      <w:proofErr w:type="spellStart"/>
      <w:r>
        <w:rPr>
          <w:rFonts w:ascii="Calibri" w:eastAsia="Calibri" w:hAnsi="Calibri" w:cs="Times New Roman"/>
          <w:sz w:val="24"/>
          <w:szCs w:val="24"/>
        </w:rPr>
        <w:t>Zalta</w:t>
      </w:r>
      <w:proofErr w:type="spellEnd"/>
      <w:r>
        <w:rPr>
          <w:rFonts w:ascii="Calibri" w:eastAsia="Calibri" w:hAnsi="Calibri" w:cs="Times New Roman"/>
          <w:sz w:val="24"/>
          <w:szCs w:val="24"/>
        </w:rPr>
        <w:t xml:space="preserve">, </w:t>
      </w:r>
      <w:proofErr w:type="gramStart"/>
      <w:r>
        <w:rPr>
          <w:rFonts w:ascii="Calibri" w:eastAsia="Calibri" w:hAnsi="Calibri" w:cs="Times New Roman"/>
          <w:sz w:val="24"/>
          <w:szCs w:val="24"/>
        </w:rPr>
        <w:t>Fall</w:t>
      </w:r>
      <w:proofErr w:type="gramEnd"/>
      <w:r>
        <w:rPr>
          <w:rFonts w:ascii="Calibri" w:eastAsia="Calibri" w:hAnsi="Calibri" w:cs="Times New Roman"/>
          <w:sz w:val="24"/>
          <w:szCs w:val="24"/>
        </w:rPr>
        <w:t xml:space="preserve"> 2013 (Metaphysics Research Lab, Stanford University, 2013) &lt;https://plato.stanford.edu/archives/fall2013/entries/sartre/&gt; [accessed 15 January 2022]</w:t>
      </w:r>
    </w:p>
    <w:p w:rsidR="004C6E75" w:rsidRPr="004C6E75" w:rsidRDefault="004C6E75" w:rsidP="004C6E75">
      <w:pPr>
        <w:pStyle w:val="ListParagraph"/>
        <w:numPr>
          <w:ilvl w:val="0"/>
          <w:numId w:val="7"/>
        </w:numPr>
        <w:spacing w:after="0"/>
        <w:textAlignment w:val="baseline"/>
        <w:rPr>
          <w:rFonts w:eastAsia="Times New Roman" w:cstheme="minorHAnsi"/>
          <w:sz w:val="24"/>
          <w:szCs w:val="24"/>
          <w:shd w:val="clear" w:color="auto" w:fill="FFFFFF"/>
          <w:lang w:eastAsia="en-GB"/>
        </w:rPr>
      </w:pPr>
      <w:r w:rsidRPr="004C6E75">
        <w:rPr>
          <w:rFonts w:eastAsia="Times New Roman" w:cstheme="minorHAnsi"/>
          <w:sz w:val="24"/>
          <w:szCs w:val="24"/>
          <w:shd w:val="clear" w:color="auto" w:fill="FFFFFF"/>
          <w:lang w:eastAsia="en-GB"/>
        </w:rPr>
        <w:t xml:space="preserve">Richter, Duncan. “Wittgenstein, Ludwig.” Internet </w:t>
      </w:r>
      <w:proofErr w:type="spellStart"/>
      <w:r w:rsidRPr="004C6E75">
        <w:rPr>
          <w:rFonts w:eastAsia="Times New Roman" w:cstheme="minorHAnsi"/>
          <w:sz w:val="24"/>
          <w:szCs w:val="24"/>
          <w:shd w:val="clear" w:color="auto" w:fill="FFFFFF"/>
          <w:lang w:eastAsia="en-GB"/>
        </w:rPr>
        <w:t>Encyclopedia</w:t>
      </w:r>
      <w:proofErr w:type="spellEnd"/>
      <w:r w:rsidRPr="004C6E75">
        <w:rPr>
          <w:rFonts w:eastAsia="Times New Roman" w:cstheme="minorHAnsi"/>
          <w:sz w:val="24"/>
          <w:szCs w:val="24"/>
          <w:shd w:val="clear" w:color="auto" w:fill="FFFFFF"/>
          <w:lang w:eastAsia="en-GB"/>
        </w:rPr>
        <w:t xml:space="preserve"> of Philosophy, </w:t>
      </w:r>
      <w:r w:rsidR="000864F2">
        <w:rPr>
          <w:rFonts w:eastAsia="Times New Roman" w:cstheme="minorHAnsi"/>
          <w:sz w:val="24"/>
          <w:szCs w:val="24"/>
          <w:shd w:val="clear" w:color="auto" w:fill="FFFFFF"/>
          <w:lang w:eastAsia="en-GB"/>
        </w:rPr>
        <w:t>&lt;https://iep.utm.edu/wittgens/&gt;</w:t>
      </w:r>
    </w:p>
    <w:p w:rsidR="004C6E75" w:rsidRPr="004C6E75" w:rsidRDefault="004C6E75" w:rsidP="004C6E75">
      <w:pPr>
        <w:pStyle w:val="ListParagraph"/>
        <w:numPr>
          <w:ilvl w:val="0"/>
          <w:numId w:val="7"/>
        </w:numPr>
        <w:spacing w:after="0"/>
        <w:textAlignment w:val="baseline"/>
        <w:rPr>
          <w:rFonts w:eastAsia="Times New Roman" w:cstheme="minorHAnsi"/>
          <w:sz w:val="24"/>
          <w:szCs w:val="24"/>
          <w:shd w:val="clear" w:color="auto" w:fill="FFFFFF"/>
          <w:lang w:eastAsia="en-GB"/>
        </w:rPr>
      </w:pPr>
      <w:r w:rsidRPr="004C6E75">
        <w:rPr>
          <w:rFonts w:eastAsia="Times New Roman" w:cstheme="minorHAnsi"/>
          <w:sz w:val="24"/>
          <w:szCs w:val="24"/>
          <w:shd w:val="clear" w:color="auto" w:fill="FFFFFF"/>
          <w:lang w:eastAsia="en-GB"/>
        </w:rPr>
        <w:t>Wittgenstein, Ludwig. Philosophical Investigations. 4th ed., John Wiley &amp; Sons, 2010.</w:t>
      </w:r>
    </w:p>
    <w:p w:rsidR="004C6E75" w:rsidRPr="004C6E75" w:rsidRDefault="004C6E75" w:rsidP="004C6E75">
      <w:pPr>
        <w:pStyle w:val="ListParagraph"/>
        <w:numPr>
          <w:ilvl w:val="0"/>
          <w:numId w:val="7"/>
        </w:numPr>
        <w:spacing w:after="0"/>
        <w:textAlignment w:val="baseline"/>
        <w:rPr>
          <w:rFonts w:eastAsia="Times New Roman" w:cstheme="minorHAnsi"/>
          <w:sz w:val="24"/>
          <w:szCs w:val="24"/>
          <w:shd w:val="clear" w:color="auto" w:fill="FFFFFF"/>
          <w:lang w:eastAsia="en-GB"/>
        </w:rPr>
      </w:pPr>
      <w:r w:rsidRPr="004C6E75">
        <w:rPr>
          <w:rFonts w:eastAsia="Times New Roman" w:cstheme="minorHAnsi"/>
          <w:sz w:val="24"/>
          <w:szCs w:val="24"/>
          <w:shd w:val="clear" w:color="auto" w:fill="FFFFFF"/>
          <w:lang w:eastAsia="en-GB"/>
        </w:rPr>
        <w:t>Wittgenstein, Ludwig</w:t>
      </w:r>
      <w:r w:rsidRPr="004C6E75">
        <w:rPr>
          <w:rFonts w:eastAsia="Times New Roman" w:cstheme="minorHAnsi"/>
          <w:sz w:val="24"/>
          <w:szCs w:val="24"/>
          <w:shd w:val="clear" w:color="auto" w:fill="FFFFFF"/>
          <w:lang w:eastAsia="en-GB"/>
        </w:rPr>
        <w:t>. The Blue and Brown Books. Reprint, Harper Collins, 1965. 0061312118, 9780061312113.</w:t>
      </w:r>
    </w:p>
    <w:p w:rsidR="004C6E75" w:rsidRPr="004C6E75" w:rsidRDefault="004C6E75" w:rsidP="004C6E75">
      <w:pPr>
        <w:pStyle w:val="ListParagraph"/>
        <w:numPr>
          <w:ilvl w:val="0"/>
          <w:numId w:val="7"/>
        </w:numPr>
        <w:spacing w:after="0"/>
        <w:textAlignment w:val="baseline"/>
        <w:rPr>
          <w:rFonts w:eastAsia="Times New Roman" w:cstheme="minorHAnsi"/>
          <w:sz w:val="24"/>
          <w:szCs w:val="24"/>
          <w:shd w:val="clear" w:color="auto" w:fill="FFFFFF"/>
          <w:lang w:eastAsia="en-GB"/>
        </w:rPr>
      </w:pPr>
      <w:r w:rsidRPr="004C6E75">
        <w:rPr>
          <w:rFonts w:eastAsia="Times New Roman" w:cstheme="minorHAnsi"/>
          <w:sz w:val="24"/>
          <w:szCs w:val="24"/>
          <w:shd w:val="clear" w:color="auto" w:fill="FFFFFF"/>
          <w:lang w:eastAsia="en-GB"/>
        </w:rPr>
        <w:t>Wittgenstein, Ludwig</w:t>
      </w:r>
      <w:r w:rsidRPr="004C6E75">
        <w:rPr>
          <w:rFonts w:eastAsia="Times New Roman" w:cstheme="minorHAnsi"/>
          <w:sz w:val="24"/>
          <w:szCs w:val="24"/>
          <w:shd w:val="clear" w:color="auto" w:fill="FFFFFF"/>
          <w:lang w:eastAsia="en-GB"/>
        </w:rPr>
        <w:t xml:space="preserve">. </w:t>
      </w:r>
      <w:proofErr w:type="spellStart"/>
      <w:r w:rsidRPr="004C6E75">
        <w:rPr>
          <w:rFonts w:eastAsia="Times New Roman" w:cstheme="minorHAnsi"/>
          <w:sz w:val="24"/>
          <w:szCs w:val="24"/>
          <w:shd w:val="clear" w:color="auto" w:fill="FFFFFF"/>
          <w:lang w:eastAsia="en-GB"/>
        </w:rPr>
        <w:t>Tractatus</w:t>
      </w:r>
      <w:proofErr w:type="spellEnd"/>
      <w:r w:rsidRPr="004C6E75">
        <w:rPr>
          <w:rFonts w:eastAsia="Times New Roman" w:cstheme="minorHAnsi"/>
          <w:sz w:val="24"/>
          <w:szCs w:val="24"/>
          <w:shd w:val="clear" w:color="auto" w:fill="FFFFFF"/>
          <w:lang w:eastAsia="en-GB"/>
        </w:rPr>
        <w:t xml:space="preserve"> </w:t>
      </w:r>
      <w:proofErr w:type="spellStart"/>
      <w:r w:rsidRPr="004C6E75">
        <w:rPr>
          <w:rFonts w:eastAsia="Times New Roman" w:cstheme="minorHAnsi"/>
          <w:sz w:val="24"/>
          <w:szCs w:val="24"/>
          <w:shd w:val="clear" w:color="auto" w:fill="FFFFFF"/>
          <w:lang w:eastAsia="en-GB"/>
        </w:rPr>
        <w:t>Logico-Philosophicus</w:t>
      </w:r>
      <w:proofErr w:type="spellEnd"/>
      <w:r w:rsidRPr="004C6E75">
        <w:rPr>
          <w:rFonts w:eastAsia="Times New Roman" w:cstheme="minorHAnsi"/>
          <w:sz w:val="24"/>
          <w:szCs w:val="24"/>
          <w:shd w:val="clear" w:color="auto" w:fill="FFFFFF"/>
          <w:lang w:eastAsia="en-GB"/>
        </w:rPr>
        <w:t>. Taylor &amp; Francis, 2013.</w:t>
      </w:r>
    </w:p>
    <w:p w:rsidR="004C6E75" w:rsidRPr="00B5330C" w:rsidRDefault="004C6E75" w:rsidP="00B5330C">
      <w:pPr>
        <w:spacing w:after="0" w:line="276" w:lineRule="auto"/>
        <w:ind w:firstLine="360"/>
        <w:textAlignment w:val="baseline"/>
        <w:rPr>
          <w:rFonts w:eastAsia="Times New Roman" w:cstheme="minorHAnsi"/>
          <w:sz w:val="24"/>
          <w:szCs w:val="24"/>
          <w:shd w:val="clear" w:color="auto" w:fill="FFFFFF"/>
          <w:lang w:eastAsia="en-GB"/>
        </w:rPr>
      </w:pPr>
    </w:p>
    <w:sectPr w:rsidR="004C6E75" w:rsidRPr="00B5330C" w:rsidSect="006A3D3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0BC7" w:rsidRDefault="000A0BC7" w:rsidP="000A0BC7">
      <w:pPr>
        <w:spacing w:after="0" w:line="240" w:lineRule="auto"/>
      </w:pPr>
      <w:r>
        <w:separator/>
      </w:r>
    </w:p>
  </w:endnote>
  <w:endnote w:type="continuationSeparator" w:id="0">
    <w:p w:rsidR="000A0BC7" w:rsidRDefault="000A0BC7" w:rsidP="000A0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0BC7" w:rsidRDefault="000A0BC7" w:rsidP="000A0BC7">
      <w:pPr>
        <w:spacing w:after="0" w:line="240" w:lineRule="auto"/>
      </w:pPr>
      <w:r>
        <w:separator/>
      </w:r>
    </w:p>
  </w:footnote>
  <w:footnote w:type="continuationSeparator" w:id="0">
    <w:p w:rsidR="000A0BC7" w:rsidRDefault="000A0BC7" w:rsidP="000A0BC7">
      <w:pPr>
        <w:spacing w:after="0" w:line="240" w:lineRule="auto"/>
      </w:pPr>
      <w:r>
        <w:continuationSeparator/>
      </w:r>
    </w:p>
  </w:footnote>
  <w:footnote w:id="1">
    <w:p w:rsidR="00173E48" w:rsidRPr="00173E48" w:rsidRDefault="00173E48" w:rsidP="00173E48">
      <w:pPr>
        <w:pStyle w:val="FootnoteText"/>
      </w:pPr>
      <w:r>
        <w:rPr>
          <w:rStyle w:val="FootnoteReference"/>
        </w:rPr>
        <w:footnoteRef/>
      </w:r>
      <w:r>
        <w:t xml:space="preserve"> Ludwig Wittgenstein, </w:t>
      </w:r>
      <w:proofErr w:type="spellStart"/>
      <w:r w:rsidRPr="00173E48">
        <w:t>Tractatus</w:t>
      </w:r>
      <w:proofErr w:type="spellEnd"/>
      <w:r w:rsidRPr="00173E48">
        <w:t xml:space="preserve"> </w:t>
      </w:r>
      <w:proofErr w:type="spellStart"/>
      <w:r w:rsidRPr="00173E48">
        <w:t>Logico-Philosophicus</w:t>
      </w:r>
      <w:proofErr w:type="spellEnd"/>
      <w:r>
        <w:t xml:space="preserve"> (</w:t>
      </w:r>
      <w:r w:rsidRPr="00173E48">
        <w:t>Taylor &amp; Francis</w:t>
      </w:r>
      <w:r>
        <w:t>, 2013)</w:t>
      </w:r>
    </w:p>
  </w:footnote>
  <w:footnote w:id="2">
    <w:p w:rsidR="004C6E75" w:rsidRDefault="004C6E75">
      <w:pPr>
        <w:pStyle w:val="FootnoteText"/>
      </w:pPr>
      <w:r>
        <w:rPr>
          <w:rStyle w:val="FootnoteReference"/>
        </w:rPr>
        <w:footnoteRef/>
      </w:r>
      <w:r>
        <w:t xml:space="preserve"> </w:t>
      </w:r>
      <w:r w:rsidRPr="004C6E75">
        <w:t xml:space="preserve">Ludwig Wittgenstein, </w:t>
      </w:r>
      <w:r>
        <w:t>Blue and Brown Books (Harper Collins, 1965</w:t>
      </w:r>
      <w:r w:rsidRPr="004C6E75">
        <w:t>)</w:t>
      </w:r>
    </w:p>
  </w:footnote>
  <w:footnote w:id="3">
    <w:p w:rsidR="004D53E3" w:rsidRDefault="004D53E3">
      <w:pPr>
        <w:pStyle w:val="FootnoteText"/>
      </w:pPr>
      <w:r>
        <w:rPr>
          <w:rStyle w:val="FootnoteReference"/>
        </w:rPr>
        <w:footnoteRef/>
      </w:r>
      <w:r>
        <w:t xml:space="preserve"> </w:t>
      </w:r>
      <w:r w:rsidRPr="004D53E3">
        <w:t xml:space="preserve">Chandra </w:t>
      </w:r>
      <w:proofErr w:type="spellStart"/>
      <w:r w:rsidRPr="004D53E3">
        <w:t>Gogoi</w:t>
      </w:r>
      <w:proofErr w:type="spellEnd"/>
      <w:r w:rsidRPr="004D53E3">
        <w:t>, Wittgenstein and Descartes on Consciousness (International Journal of Humanities and Social Science Invention, 2014) http://www.ijhssi.org/papers/v3(10)/Version-1/G03101027030.pdf [accessed 5 February 2022]</w:t>
      </w:r>
    </w:p>
  </w:footnote>
  <w:footnote w:id="4">
    <w:p w:rsidR="00872FE9" w:rsidRDefault="00872FE9">
      <w:pPr>
        <w:pStyle w:val="FootnoteText"/>
      </w:pPr>
      <w:r>
        <w:rPr>
          <w:rStyle w:val="FootnoteReference"/>
        </w:rPr>
        <w:footnoteRef/>
      </w:r>
      <w:r>
        <w:t xml:space="preserve"> </w:t>
      </w:r>
      <w:r w:rsidR="00E23E34">
        <w:t>Duncan Richter</w:t>
      </w:r>
      <w:r w:rsidRPr="00872FE9">
        <w:t>, ‘</w:t>
      </w:r>
      <w:r w:rsidR="00E23E34">
        <w:t>Ludwig, Wittgenstein</w:t>
      </w:r>
      <w:r w:rsidRPr="00872FE9">
        <w:t xml:space="preserve">, in The </w:t>
      </w:r>
      <w:r>
        <w:t>Internet</w:t>
      </w:r>
      <w:r w:rsidRPr="00872FE9">
        <w:t xml:space="preserve"> </w:t>
      </w:r>
      <w:proofErr w:type="spellStart"/>
      <w:r w:rsidRPr="00872FE9">
        <w:t>Encyclopedia</w:t>
      </w:r>
      <w:proofErr w:type="spellEnd"/>
      <w:r w:rsidRPr="00872FE9">
        <w:t xml:space="preserve"> of Philosophy (2013) &lt;</w:t>
      </w:r>
      <w:r w:rsidR="005454CD" w:rsidRPr="005454CD">
        <w:t>https://iep.utm.edu/wittgens/</w:t>
      </w:r>
      <w:r w:rsidR="00E23E34">
        <w:t>&gt;</w:t>
      </w:r>
      <w:r w:rsidR="005454CD" w:rsidRPr="005454CD">
        <w:t xml:space="preserve"> </w:t>
      </w:r>
      <w:r w:rsidR="005454CD">
        <w:t>[accessed 1</w:t>
      </w:r>
      <w:r w:rsidRPr="00872FE9">
        <w:t xml:space="preserve"> </w:t>
      </w:r>
      <w:r w:rsidR="005454CD">
        <w:t>February</w:t>
      </w:r>
      <w:r w:rsidRPr="00872FE9">
        <w:t xml:space="preserve"> 2022].</w:t>
      </w:r>
    </w:p>
  </w:footnote>
  <w:footnote w:id="5">
    <w:p w:rsidR="00E23E34" w:rsidRDefault="00E23E34" w:rsidP="00E23E34">
      <w:pPr>
        <w:pStyle w:val="FootnoteText"/>
      </w:pPr>
      <w:r>
        <w:rPr>
          <w:rStyle w:val="FootnoteReference"/>
        </w:rPr>
        <w:footnoteRef/>
      </w:r>
      <w:r>
        <w:t xml:space="preserve"> Thomas Flynn, ‘Jean-Paul Sartre’, in The Stanford </w:t>
      </w:r>
      <w:proofErr w:type="spellStart"/>
      <w:r>
        <w:t>Encyclopedia</w:t>
      </w:r>
      <w:proofErr w:type="spellEnd"/>
      <w:r>
        <w:t xml:space="preserve"> of Philosophy, ed. by Edward N. </w:t>
      </w:r>
      <w:proofErr w:type="spellStart"/>
      <w:r>
        <w:t>Zalta</w:t>
      </w:r>
      <w:proofErr w:type="spellEnd"/>
      <w:r>
        <w:t>, Fall 2013</w:t>
      </w:r>
    </w:p>
    <w:p w:rsidR="00E23E34" w:rsidRDefault="00E23E34" w:rsidP="00E23E34">
      <w:pPr>
        <w:pStyle w:val="FootnoteText"/>
      </w:pPr>
      <w:r>
        <w:t xml:space="preserve">(Metaphysics Research Lab, Stanford University, 2013) </w:t>
      </w:r>
      <w:r w:rsidR="00407D32">
        <w:t>&lt;</w:t>
      </w:r>
      <w:hyperlink r:id="rId1" w:history="1">
        <w:r w:rsidRPr="00D453CA">
          <w:rPr>
            <w:rStyle w:val="Hyperlink"/>
          </w:rPr>
          <w:t>https://plato.stanford.edu/archives/fall2013/entries/sartre/</w:t>
        </w:r>
      </w:hyperlink>
      <w:r w:rsidR="00407D32">
        <w:t>&gt;</w:t>
      </w:r>
      <w:r>
        <w:t xml:space="preserve"> </w:t>
      </w:r>
      <w:r w:rsidRPr="00E23E34">
        <w:t>[accessed 1 February 2022].</w:t>
      </w:r>
    </w:p>
  </w:footnote>
  <w:footnote w:id="6">
    <w:p w:rsidR="008D6308" w:rsidRDefault="008D6308">
      <w:pPr>
        <w:pStyle w:val="FootnoteText"/>
      </w:pPr>
      <w:r>
        <w:rPr>
          <w:rStyle w:val="FootnoteReference"/>
        </w:rPr>
        <w:footnoteRef/>
      </w:r>
      <w:r>
        <w:t xml:space="preserve"> ‘Consciousness.’, in the</w:t>
      </w:r>
      <w:r w:rsidRPr="008D6308">
        <w:t xml:space="preserve"> Merriam-Webster.com Dictionary, Merriam-Webster</w:t>
      </w:r>
      <w:r w:rsidR="00EC77E6">
        <w:t xml:space="preserve"> (2013)</w:t>
      </w:r>
      <w:r w:rsidRPr="008D6308">
        <w:t xml:space="preserve">, </w:t>
      </w:r>
      <w:r>
        <w:t>&lt;</w:t>
      </w:r>
      <w:hyperlink r:id="rId2" w:history="1">
        <w:r w:rsidRPr="00D453CA">
          <w:rPr>
            <w:rStyle w:val="Hyperlink"/>
          </w:rPr>
          <w:t>https://www.merriam-webster.com/dictionary/consciousness</w:t>
        </w:r>
      </w:hyperlink>
      <w:r>
        <w:t>&gt; [accessed 2 February 2022]</w:t>
      </w:r>
    </w:p>
  </w:footnote>
  <w:footnote w:id="7">
    <w:p w:rsidR="008D6308" w:rsidRDefault="008D6308">
      <w:pPr>
        <w:pStyle w:val="FootnoteText"/>
      </w:pPr>
      <w:r>
        <w:rPr>
          <w:rStyle w:val="FootnoteReference"/>
        </w:rPr>
        <w:footnoteRef/>
      </w:r>
      <w:r>
        <w:t xml:space="preserve"> (“Consciousness”</w:t>
      </w:r>
      <w:r w:rsidR="00EC77E6">
        <w:t>, 2013</w:t>
      </w:r>
      <w:r>
        <w:t>)</w:t>
      </w:r>
    </w:p>
  </w:footnote>
  <w:footnote w:id="8">
    <w:p w:rsidR="00EC77E6" w:rsidRDefault="00EC77E6">
      <w:pPr>
        <w:pStyle w:val="FootnoteText"/>
      </w:pPr>
      <w:r>
        <w:rPr>
          <w:rStyle w:val="FootnoteReference"/>
        </w:rPr>
        <w:footnoteRef/>
      </w:r>
      <w:r>
        <w:t xml:space="preserve"> </w:t>
      </w:r>
      <w:r w:rsidRPr="00EC77E6">
        <w:t>René</w:t>
      </w:r>
      <w:r>
        <w:t xml:space="preserve"> Descartes, Discourse on Method (ReadHowYouWant.com, 2006), &lt;</w:t>
      </w:r>
      <w:r w:rsidRPr="00EC77E6">
        <w:t>https://www.google.co.uk/books/edition/A_Discourse_on_Method/P4Wv1ypwURIC?hl=en&amp;gbpv=1</w:t>
      </w:r>
      <w:r>
        <w:t>&gt; [accessed 6 February 2022]</w:t>
      </w:r>
    </w:p>
  </w:footnote>
  <w:footnote w:id="9">
    <w:p w:rsidR="004A0C8A" w:rsidRDefault="004A0C8A">
      <w:pPr>
        <w:pStyle w:val="FootnoteText"/>
      </w:pPr>
      <w:r>
        <w:rPr>
          <w:rStyle w:val="FootnoteReference"/>
        </w:rPr>
        <w:footnoteRef/>
      </w:r>
      <w:r>
        <w:t xml:space="preserve"> </w:t>
      </w:r>
      <w:r w:rsidR="000864F2" w:rsidRPr="000864F2">
        <w:t xml:space="preserve">Chandra </w:t>
      </w:r>
      <w:proofErr w:type="spellStart"/>
      <w:r w:rsidR="000864F2" w:rsidRPr="000864F2">
        <w:t>Gogoi</w:t>
      </w:r>
      <w:proofErr w:type="spellEnd"/>
      <w:r w:rsidR="000864F2" w:rsidRPr="000864F2">
        <w:t>.</w:t>
      </w:r>
    </w:p>
  </w:footnote>
  <w:footnote w:id="10">
    <w:p w:rsidR="00EC77E6" w:rsidRDefault="00EC77E6">
      <w:pPr>
        <w:pStyle w:val="FootnoteText"/>
      </w:pPr>
      <w:r>
        <w:rPr>
          <w:rStyle w:val="FootnoteReference"/>
        </w:rPr>
        <w:footnoteRef/>
      </w:r>
      <w:r>
        <w:t xml:space="preserve"> </w:t>
      </w:r>
      <w:r w:rsidR="000864F2" w:rsidRPr="000864F2">
        <w:t xml:space="preserve">Chandra </w:t>
      </w:r>
      <w:proofErr w:type="spellStart"/>
      <w:r w:rsidR="000864F2" w:rsidRPr="000864F2">
        <w:t>Gogoi</w:t>
      </w:r>
      <w:proofErr w:type="spellEnd"/>
      <w:r w:rsidR="000864F2" w:rsidRPr="000864F2">
        <w:t>.</w:t>
      </w:r>
    </w:p>
  </w:footnote>
  <w:footnote w:id="11">
    <w:p w:rsidR="00B5330C" w:rsidRDefault="00B5330C">
      <w:pPr>
        <w:pStyle w:val="FootnoteText"/>
      </w:pPr>
      <w:r>
        <w:rPr>
          <w:rStyle w:val="FootnoteReference"/>
        </w:rPr>
        <w:footnoteRef/>
      </w:r>
      <w:r>
        <w:t xml:space="preserve"> </w:t>
      </w:r>
      <w:r w:rsidR="000864F2" w:rsidRPr="000864F2">
        <w:t xml:space="preserve">Chandra </w:t>
      </w:r>
      <w:proofErr w:type="spellStart"/>
      <w:r w:rsidR="000864F2" w:rsidRPr="000864F2">
        <w:t>Gogoi</w:t>
      </w:r>
      <w:proofErr w:type="spellEnd"/>
      <w:r w:rsidR="000864F2" w:rsidRPr="000864F2">
        <w:t>.</w:t>
      </w:r>
    </w:p>
  </w:footnote>
  <w:footnote w:id="12">
    <w:p w:rsidR="00B5330C" w:rsidRDefault="00B5330C">
      <w:pPr>
        <w:pStyle w:val="FootnoteText"/>
      </w:pPr>
      <w:r>
        <w:rPr>
          <w:rStyle w:val="FootnoteReference"/>
        </w:rPr>
        <w:footnoteRef/>
      </w:r>
      <w:r>
        <w:t xml:space="preserve"> Ludwig Wittgenstein, Philosophical Investigations (John Wiley &amp; Sons, 2010)</w:t>
      </w:r>
    </w:p>
  </w:footnote>
  <w:footnote w:id="13">
    <w:p w:rsidR="00B5330C" w:rsidRDefault="00B5330C">
      <w:pPr>
        <w:pStyle w:val="FootnoteText"/>
      </w:pPr>
      <w:r>
        <w:rPr>
          <w:rStyle w:val="FootnoteReference"/>
        </w:rPr>
        <w:footnoteRef/>
      </w:r>
      <w:r>
        <w:t xml:space="preserve"> </w:t>
      </w:r>
      <w:r w:rsidR="000864F2" w:rsidRPr="000864F2">
        <w:t xml:space="preserve">Chandra </w:t>
      </w:r>
      <w:proofErr w:type="spellStart"/>
      <w:r w:rsidR="000864F2" w:rsidRPr="000864F2">
        <w:t>Gogoi</w:t>
      </w:r>
      <w:proofErr w:type="spellEnd"/>
      <w:r w:rsidR="000864F2" w:rsidRPr="000864F2">
        <w:t>.</w:t>
      </w:r>
    </w:p>
  </w:footnote>
  <w:footnote w:id="14">
    <w:p w:rsidR="003334F4" w:rsidRDefault="003334F4">
      <w:pPr>
        <w:pStyle w:val="FootnoteText"/>
      </w:pPr>
      <w:r>
        <w:rPr>
          <w:rStyle w:val="FootnoteReference"/>
        </w:rPr>
        <w:footnoteRef/>
      </w:r>
      <w:r>
        <w:t xml:space="preserve"> </w:t>
      </w:r>
      <w:r w:rsidR="000864F2">
        <w:t>C</w:t>
      </w:r>
      <w:r w:rsidRPr="003334F4">
        <w:t xml:space="preserve">handra </w:t>
      </w:r>
      <w:proofErr w:type="spellStart"/>
      <w:r w:rsidRPr="003334F4">
        <w:t>Gogoi</w:t>
      </w:r>
      <w:proofErr w:type="spellEnd"/>
      <w:r w:rsidR="000864F2">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6531D"/>
    <w:multiLevelType w:val="multilevel"/>
    <w:tmpl w:val="B192E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4E5ECD"/>
    <w:multiLevelType w:val="hybridMultilevel"/>
    <w:tmpl w:val="6852AD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3E34EC3"/>
    <w:multiLevelType w:val="multilevel"/>
    <w:tmpl w:val="CAF4A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4343FC"/>
    <w:multiLevelType w:val="hybridMultilevel"/>
    <w:tmpl w:val="D30625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7830F69"/>
    <w:multiLevelType w:val="hybridMultilevel"/>
    <w:tmpl w:val="AC665D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2A753D"/>
    <w:multiLevelType w:val="hybridMultilevel"/>
    <w:tmpl w:val="0E820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BE254C"/>
    <w:multiLevelType w:val="hybridMultilevel"/>
    <w:tmpl w:val="DC66DA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787A6E"/>
    <w:multiLevelType w:val="hybridMultilevel"/>
    <w:tmpl w:val="38D6F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2"/>
  </w:num>
  <w:num w:numId="5">
    <w:abstractNumId w:val="0"/>
  </w:num>
  <w:num w:numId="6">
    <w:abstractNumId w:val="7"/>
  </w:num>
  <w:num w:numId="7">
    <w:abstractNumId w:val="1"/>
  </w:num>
  <w:num w:numId="8">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BC7"/>
    <w:rsid w:val="00042108"/>
    <w:rsid w:val="00043C63"/>
    <w:rsid w:val="00056710"/>
    <w:rsid w:val="000864F2"/>
    <w:rsid w:val="000908B7"/>
    <w:rsid w:val="000A0BC7"/>
    <w:rsid w:val="000A158A"/>
    <w:rsid w:val="000A7DDC"/>
    <w:rsid w:val="00102284"/>
    <w:rsid w:val="00106F49"/>
    <w:rsid w:val="00144123"/>
    <w:rsid w:val="00173E48"/>
    <w:rsid w:val="00234C9E"/>
    <w:rsid w:val="002B3EA7"/>
    <w:rsid w:val="002F75B5"/>
    <w:rsid w:val="003334F4"/>
    <w:rsid w:val="003C180B"/>
    <w:rsid w:val="003F0DC7"/>
    <w:rsid w:val="00407D32"/>
    <w:rsid w:val="00446675"/>
    <w:rsid w:val="004A0C8A"/>
    <w:rsid w:val="004C6E75"/>
    <w:rsid w:val="004D53E3"/>
    <w:rsid w:val="00530C4E"/>
    <w:rsid w:val="005454CD"/>
    <w:rsid w:val="005B34B6"/>
    <w:rsid w:val="0065725F"/>
    <w:rsid w:val="006A2B59"/>
    <w:rsid w:val="006A3D37"/>
    <w:rsid w:val="006C020F"/>
    <w:rsid w:val="007850BB"/>
    <w:rsid w:val="00785EB7"/>
    <w:rsid w:val="00804FAE"/>
    <w:rsid w:val="00872FE9"/>
    <w:rsid w:val="008D364A"/>
    <w:rsid w:val="008D6308"/>
    <w:rsid w:val="00903C76"/>
    <w:rsid w:val="00933D0C"/>
    <w:rsid w:val="009B5CED"/>
    <w:rsid w:val="00A2574B"/>
    <w:rsid w:val="00AE1183"/>
    <w:rsid w:val="00B33A31"/>
    <w:rsid w:val="00B5330C"/>
    <w:rsid w:val="00B85550"/>
    <w:rsid w:val="00BC1CDB"/>
    <w:rsid w:val="00C1655E"/>
    <w:rsid w:val="00C3563A"/>
    <w:rsid w:val="00C57CFD"/>
    <w:rsid w:val="00D64B34"/>
    <w:rsid w:val="00D91C33"/>
    <w:rsid w:val="00DB0588"/>
    <w:rsid w:val="00E23E34"/>
    <w:rsid w:val="00EB39E4"/>
    <w:rsid w:val="00EC77E6"/>
    <w:rsid w:val="00EE61B2"/>
    <w:rsid w:val="00F562A3"/>
    <w:rsid w:val="00FF3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A340C"/>
  <w15:chartTrackingRefBased/>
  <w15:docId w15:val="{A0923B3D-4020-4D77-8E3F-F1A57F35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C6E7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0B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BC7"/>
  </w:style>
  <w:style w:type="paragraph" w:styleId="Footer">
    <w:name w:val="footer"/>
    <w:basedOn w:val="Normal"/>
    <w:link w:val="FooterChar"/>
    <w:uiPriority w:val="99"/>
    <w:unhideWhenUsed/>
    <w:rsid w:val="000A0B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BC7"/>
  </w:style>
  <w:style w:type="paragraph" w:styleId="ListParagraph">
    <w:name w:val="List Paragraph"/>
    <w:basedOn w:val="Normal"/>
    <w:uiPriority w:val="34"/>
    <w:qFormat/>
    <w:rsid w:val="00FF348F"/>
    <w:pPr>
      <w:spacing w:after="200" w:line="276" w:lineRule="auto"/>
      <w:ind w:left="720"/>
      <w:contextualSpacing/>
    </w:pPr>
  </w:style>
  <w:style w:type="paragraph" w:styleId="FootnoteText">
    <w:name w:val="footnote text"/>
    <w:basedOn w:val="Normal"/>
    <w:link w:val="FootnoteTextChar"/>
    <w:uiPriority w:val="99"/>
    <w:semiHidden/>
    <w:unhideWhenUsed/>
    <w:rsid w:val="00AE11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1183"/>
    <w:rPr>
      <w:sz w:val="20"/>
      <w:szCs w:val="20"/>
    </w:rPr>
  </w:style>
  <w:style w:type="character" w:styleId="FootnoteReference">
    <w:name w:val="footnote reference"/>
    <w:basedOn w:val="DefaultParagraphFont"/>
    <w:uiPriority w:val="99"/>
    <w:semiHidden/>
    <w:unhideWhenUsed/>
    <w:rsid w:val="00AE1183"/>
    <w:rPr>
      <w:vertAlign w:val="superscript"/>
    </w:rPr>
  </w:style>
  <w:style w:type="paragraph" w:styleId="NormalWeb">
    <w:name w:val="Normal (Web)"/>
    <w:basedOn w:val="Normal"/>
    <w:uiPriority w:val="99"/>
    <w:semiHidden/>
    <w:unhideWhenUsed/>
    <w:rsid w:val="002F75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23E34"/>
    <w:rPr>
      <w:color w:val="0563C1" w:themeColor="hyperlink"/>
      <w:u w:val="single"/>
    </w:rPr>
  </w:style>
  <w:style w:type="character" w:customStyle="1" w:styleId="Heading1Char">
    <w:name w:val="Heading 1 Char"/>
    <w:basedOn w:val="DefaultParagraphFont"/>
    <w:link w:val="Heading1"/>
    <w:uiPriority w:val="9"/>
    <w:rsid w:val="004C6E75"/>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70355">
      <w:bodyDiv w:val="1"/>
      <w:marLeft w:val="0"/>
      <w:marRight w:val="0"/>
      <w:marTop w:val="0"/>
      <w:marBottom w:val="0"/>
      <w:divBdr>
        <w:top w:val="none" w:sz="0" w:space="0" w:color="auto"/>
        <w:left w:val="none" w:sz="0" w:space="0" w:color="auto"/>
        <w:bottom w:val="none" w:sz="0" w:space="0" w:color="auto"/>
        <w:right w:val="none" w:sz="0" w:space="0" w:color="auto"/>
      </w:divBdr>
    </w:div>
    <w:div w:id="499731557">
      <w:bodyDiv w:val="1"/>
      <w:marLeft w:val="0"/>
      <w:marRight w:val="0"/>
      <w:marTop w:val="0"/>
      <w:marBottom w:val="0"/>
      <w:divBdr>
        <w:top w:val="none" w:sz="0" w:space="0" w:color="auto"/>
        <w:left w:val="none" w:sz="0" w:space="0" w:color="auto"/>
        <w:bottom w:val="none" w:sz="0" w:space="0" w:color="auto"/>
        <w:right w:val="none" w:sz="0" w:space="0" w:color="auto"/>
      </w:divBdr>
    </w:div>
    <w:div w:id="663630910">
      <w:bodyDiv w:val="1"/>
      <w:marLeft w:val="0"/>
      <w:marRight w:val="0"/>
      <w:marTop w:val="0"/>
      <w:marBottom w:val="0"/>
      <w:divBdr>
        <w:top w:val="none" w:sz="0" w:space="0" w:color="auto"/>
        <w:left w:val="none" w:sz="0" w:space="0" w:color="auto"/>
        <w:bottom w:val="none" w:sz="0" w:space="0" w:color="auto"/>
        <w:right w:val="none" w:sz="0" w:space="0" w:color="auto"/>
      </w:divBdr>
      <w:divsChild>
        <w:div w:id="725880227">
          <w:marLeft w:val="0"/>
          <w:marRight w:val="0"/>
          <w:marTop w:val="0"/>
          <w:marBottom w:val="0"/>
          <w:divBdr>
            <w:top w:val="none" w:sz="0" w:space="0" w:color="auto"/>
            <w:left w:val="none" w:sz="0" w:space="0" w:color="auto"/>
            <w:bottom w:val="none" w:sz="0" w:space="0" w:color="auto"/>
            <w:right w:val="none" w:sz="0" w:space="0" w:color="auto"/>
          </w:divBdr>
          <w:divsChild>
            <w:div w:id="763041011">
              <w:marLeft w:val="0"/>
              <w:marRight w:val="0"/>
              <w:marTop w:val="0"/>
              <w:marBottom w:val="0"/>
              <w:divBdr>
                <w:top w:val="none" w:sz="0" w:space="0" w:color="auto"/>
                <w:left w:val="none" w:sz="0" w:space="0" w:color="auto"/>
                <w:bottom w:val="none" w:sz="0" w:space="0" w:color="auto"/>
                <w:right w:val="none" w:sz="0" w:space="0" w:color="auto"/>
              </w:divBdr>
            </w:div>
            <w:div w:id="962731464">
              <w:marLeft w:val="0"/>
              <w:marRight w:val="0"/>
              <w:marTop w:val="0"/>
              <w:marBottom w:val="0"/>
              <w:divBdr>
                <w:top w:val="none" w:sz="0" w:space="0" w:color="auto"/>
                <w:left w:val="none" w:sz="0" w:space="0" w:color="auto"/>
                <w:bottom w:val="none" w:sz="0" w:space="0" w:color="auto"/>
                <w:right w:val="none" w:sz="0" w:space="0" w:color="auto"/>
              </w:divBdr>
            </w:div>
            <w:div w:id="494613346">
              <w:marLeft w:val="0"/>
              <w:marRight w:val="0"/>
              <w:marTop w:val="0"/>
              <w:marBottom w:val="0"/>
              <w:divBdr>
                <w:top w:val="none" w:sz="0" w:space="0" w:color="auto"/>
                <w:left w:val="none" w:sz="0" w:space="0" w:color="auto"/>
                <w:bottom w:val="none" w:sz="0" w:space="0" w:color="auto"/>
                <w:right w:val="none" w:sz="0" w:space="0" w:color="auto"/>
              </w:divBdr>
            </w:div>
            <w:div w:id="1625237163">
              <w:marLeft w:val="0"/>
              <w:marRight w:val="0"/>
              <w:marTop w:val="0"/>
              <w:marBottom w:val="0"/>
              <w:divBdr>
                <w:top w:val="none" w:sz="0" w:space="0" w:color="auto"/>
                <w:left w:val="none" w:sz="0" w:space="0" w:color="auto"/>
                <w:bottom w:val="none" w:sz="0" w:space="0" w:color="auto"/>
                <w:right w:val="none" w:sz="0" w:space="0" w:color="auto"/>
              </w:divBdr>
            </w:div>
            <w:div w:id="140005701">
              <w:marLeft w:val="0"/>
              <w:marRight w:val="0"/>
              <w:marTop w:val="0"/>
              <w:marBottom w:val="0"/>
              <w:divBdr>
                <w:top w:val="none" w:sz="0" w:space="0" w:color="auto"/>
                <w:left w:val="none" w:sz="0" w:space="0" w:color="auto"/>
                <w:bottom w:val="none" w:sz="0" w:space="0" w:color="auto"/>
                <w:right w:val="none" w:sz="0" w:space="0" w:color="auto"/>
              </w:divBdr>
            </w:div>
            <w:div w:id="1378819742">
              <w:marLeft w:val="0"/>
              <w:marRight w:val="0"/>
              <w:marTop w:val="0"/>
              <w:marBottom w:val="0"/>
              <w:divBdr>
                <w:top w:val="none" w:sz="0" w:space="0" w:color="auto"/>
                <w:left w:val="none" w:sz="0" w:space="0" w:color="auto"/>
                <w:bottom w:val="none" w:sz="0" w:space="0" w:color="auto"/>
                <w:right w:val="none" w:sz="0" w:space="0" w:color="auto"/>
              </w:divBdr>
            </w:div>
            <w:div w:id="48431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46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merriam-webster.com/dictionary/consciousness" TargetMode="External"/><Relationship Id="rId1" Type="http://schemas.openxmlformats.org/officeDocument/2006/relationships/hyperlink" Target="https://plato.stanford.edu/archives/fall2013/entries/sar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95CD0-CC16-4C40-B486-B5B6CC148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4</Pages>
  <Words>1381</Words>
  <Characters>7875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 Howell-Morgan</dc:creator>
  <cp:keywords/>
  <dc:description/>
  <cp:lastModifiedBy>Faith Howell-Morgan</cp:lastModifiedBy>
  <cp:revision>6</cp:revision>
  <dcterms:created xsi:type="dcterms:W3CDTF">2022-02-06T03:38:00Z</dcterms:created>
  <dcterms:modified xsi:type="dcterms:W3CDTF">2022-02-06T22:49:00Z</dcterms:modified>
</cp:coreProperties>
</file>