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rFonts w:ascii="Calibri" w:cs="Calibri" w:hAnsi="Calibri" w:eastAsia="Calibri"/>
          <w:sz w:val="24"/>
          <w:szCs w:val="24"/>
          <w:u w:val="single"/>
        </w:rPr>
      </w:pPr>
      <w:r>
        <w:rPr>
          <w:rFonts w:ascii="Calibri" w:hAnsi="Calibri"/>
          <w:sz w:val="24"/>
          <w:szCs w:val="24"/>
          <w:u w:val="single"/>
          <w:rtl w:val="0"/>
          <w:lang w:val="en-US"/>
        </w:rPr>
        <w:t>Owen Harry 1704282</w:t>
      </w:r>
    </w:p>
    <w:p>
      <w:pPr>
        <w:pStyle w:val="Body"/>
        <w:spacing w:line="360" w:lineRule="auto"/>
        <w:jc w:val="center"/>
        <w:rPr>
          <w:rFonts w:ascii="Calibri" w:cs="Calibri" w:hAnsi="Calibri" w:eastAsia="Calibri"/>
          <w:sz w:val="24"/>
          <w:szCs w:val="24"/>
          <w:u w:val="single"/>
        </w:rPr>
      </w:pPr>
      <w:r>
        <w:rPr>
          <w:rFonts w:ascii="Calibri" w:hAnsi="Calibri"/>
          <w:sz w:val="24"/>
          <w:szCs w:val="24"/>
          <w:u w:val="single"/>
          <w:rtl w:val="0"/>
          <w:lang w:val="en-US"/>
        </w:rPr>
        <w:t xml:space="preserve"> </w:t>
      </w:r>
      <w:r>
        <w:rPr>
          <w:rFonts w:ascii="Calibri" w:hAnsi="Calibri"/>
          <w:sz w:val="24"/>
          <w:szCs w:val="24"/>
          <w:u w:val="single"/>
          <w:rtl w:val="0"/>
          <w:lang w:val="pt-PT"/>
        </w:rPr>
        <w:t>ECPT</w:t>
      </w:r>
      <w:r>
        <w:rPr>
          <w:rFonts w:ascii="Calibri" w:hAnsi="Calibri"/>
          <w:sz w:val="24"/>
          <w:szCs w:val="24"/>
          <w:u w:val="single"/>
          <w:rtl w:val="0"/>
          <w:lang w:val="en-US"/>
        </w:rPr>
        <w:t>6003</w:t>
      </w:r>
    </w:p>
    <w:p>
      <w:pPr>
        <w:pStyle w:val="Body"/>
        <w:spacing w:line="360" w:lineRule="auto"/>
        <w:jc w:val="center"/>
        <w:rPr>
          <w:rFonts w:ascii="Calibri" w:cs="Calibri" w:hAnsi="Calibri" w:eastAsia="Calibri"/>
          <w:sz w:val="24"/>
          <w:szCs w:val="24"/>
          <w:u w:val="single"/>
        </w:rPr>
      </w:pPr>
      <w:r>
        <w:rPr>
          <w:rFonts w:ascii="Calibri" w:hAnsi="Calibri"/>
          <w:sz w:val="24"/>
          <w:szCs w:val="24"/>
          <w:u w:val="single"/>
          <w:rtl w:val="0"/>
          <w:lang w:val="en-US"/>
        </w:rPr>
        <w:t>Reflective Account</w:t>
      </w:r>
    </w:p>
    <w:p>
      <w:pPr>
        <w:pStyle w:val="Body"/>
        <w:spacing w:line="360" w:lineRule="auto"/>
        <w:jc w:val="left"/>
        <w:rPr>
          <w:rFonts w:ascii="Calibri" w:cs="Calibri" w:hAnsi="Calibri" w:eastAsia="Calibri"/>
          <w:sz w:val="24"/>
          <w:szCs w:val="24"/>
          <w:u w:val="single"/>
        </w:rPr>
      </w:pP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As part of the PCET program, we are tasked with presenting a 30 minute </w:t>
      </w:r>
      <w:r>
        <w:rPr>
          <w:rFonts w:ascii="Calibri" w:hAnsi="Calibri" w:hint="default"/>
          <w:sz w:val="24"/>
          <w:szCs w:val="24"/>
          <w:rtl w:val="0"/>
          <w:lang w:val="en-US"/>
        </w:rPr>
        <w:t>‘</w:t>
      </w:r>
      <w:r>
        <w:rPr>
          <w:rFonts w:ascii="Calibri" w:hAnsi="Calibri"/>
          <w:sz w:val="24"/>
          <w:szCs w:val="24"/>
          <w:rtl w:val="0"/>
          <w:lang w:val="en-US"/>
        </w:rPr>
        <w:t>micro-teach</w:t>
      </w:r>
      <w:r>
        <w:rPr>
          <w:rFonts w:ascii="Calibri" w:hAnsi="Calibri" w:hint="default"/>
          <w:sz w:val="24"/>
          <w:szCs w:val="24"/>
          <w:rtl w:val="0"/>
          <w:lang w:val="en-US"/>
        </w:rPr>
        <w:t xml:space="preserve">’ </w:t>
      </w:r>
      <w:r>
        <w:rPr>
          <w:rFonts w:ascii="Calibri" w:hAnsi="Calibri"/>
          <w:sz w:val="24"/>
          <w:szCs w:val="24"/>
          <w:rtl w:val="0"/>
          <w:lang w:val="en-US"/>
        </w:rPr>
        <w:t>to our peers, applying the skills learned so far. This reflective account will not only fulfil the module</w:t>
      </w:r>
      <w:r>
        <w:rPr>
          <w:rFonts w:ascii="Calibri" w:hAnsi="Calibri" w:hint="default"/>
          <w:sz w:val="24"/>
          <w:szCs w:val="24"/>
          <w:rtl w:val="0"/>
          <w:lang w:val="en-US"/>
        </w:rPr>
        <w:t>’</w:t>
      </w:r>
      <w:r>
        <w:rPr>
          <w:rFonts w:ascii="Calibri" w:hAnsi="Calibri"/>
          <w:sz w:val="24"/>
          <w:szCs w:val="24"/>
          <w:rtl w:val="0"/>
          <w:lang w:val="en-US"/>
        </w:rPr>
        <w:t xml:space="preserve">s requirements, but also contribute to my development as an educator. As this was my first experience leading a classroom, I plan to revisit on this reflection to gage my own growth as someone aiming to work in higher education. I chose to speak about </w:t>
      </w:r>
      <w:r>
        <w:rPr>
          <w:rFonts w:ascii="Calibri" w:hAnsi="Calibri" w:hint="default"/>
          <w:sz w:val="24"/>
          <w:szCs w:val="24"/>
          <w:rtl w:val="0"/>
          <w:lang w:val="en-US"/>
        </w:rPr>
        <w:t>‘</w:t>
      </w:r>
      <w:r>
        <w:rPr>
          <w:rFonts w:ascii="Calibri" w:hAnsi="Calibri"/>
          <w:sz w:val="24"/>
          <w:szCs w:val="24"/>
          <w:rtl w:val="0"/>
          <w:lang w:val="en-US"/>
        </w:rPr>
        <w:t>fashion as communication</w:t>
      </w:r>
      <w:r>
        <w:rPr>
          <w:rFonts w:ascii="Calibri" w:hAnsi="Calibri" w:hint="default"/>
          <w:sz w:val="24"/>
          <w:szCs w:val="24"/>
          <w:rtl w:val="0"/>
          <w:lang w:val="en-US"/>
        </w:rPr>
        <w:t>’</w:t>
      </w:r>
      <w:r>
        <w:rPr>
          <w:rFonts w:ascii="Calibri" w:hAnsi="Calibri"/>
          <w:sz w:val="24"/>
          <w:szCs w:val="24"/>
          <w:rtl w:val="0"/>
          <w:lang w:val="en-US"/>
        </w:rPr>
        <w:t>, focusing on its relationship with gender and the body- topics linked to my practice as an illustrator. Using Driscoll</w:t>
      </w:r>
      <w:r>
        <w:rPr>
          <w:rFonts w:ascii="Calibri" w:hAnsi="Calibri" w:hint="default"/>
          <w:sz w:val="24"/>
          <w:szCs w:val="24"/>
          <w:rtl w:val="0"/>
          <w:lang w:val="en-US"/>
        </w:rPr>
        <w:t>’</w:t>
      </w:r>
      <w:r>
        <w:rPr>
          <w:rFonts w:ascii="Calibri" w:hAnsi="Calibri"/>
          <w:sz w:val="24"/>
          <w:szCs w:val="24"/>
          <w:rtl w:val="0"/>
          <w:lang w:val="en-US"/>
        </w:rPr>
        <w:t>s (2007) reflective model to aid in the structure of my reflection, I will my evaluate my strengths and areas for improvement.</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To start, I provided each peer a marker and two pieces of card as part of an introductory task, as mentioned in my lesson plan- this helped save time and also gain engagement. While there were no sensitive issues requiring trigger warnings, I did preface my micro-teach by acknowledging fashion may not be relevant to everyone</w:t>
      </w:r>
      <w:r>
        <w:rPr>
          <w:rFonts w:ascii="Calibri" w:hAnsi="Calibri" w:hint="default"/>
          <w:sz w:val="24"/>
          <w:szCs w:val="24"/>
          <w:rtl w:val="0"/>
          <w:lang w:val="en-US"/>
        </w:rPr>
        <w:t>’</w:t>
      </w:r>
      <w:r>
        <w:rPr>
          <w:rFonts w:ascii="Calibri" w:hAnsi="Calibri"/>
          <w:sz w:val="24"/>
          <w:szCs w:val="24"/>
          <w:rtl w:val="0"/>
          <w:lang w:val="en-US"/>
        </w:rPr>
        <w:t xml:space="preserve">s practices. However, I reassured the group that the analytical skills discussed were transferable, regardless of personal practice. </w:t>
      </w:r>
      <w:r>
        <w:rPr>
          <w:rFonts w:ascii="Calibri" w:hAnsi="Calibri"/>
          <w:sz w:val="24"/>
          <w:szCs w:val="24"/>
          <w:rtl w:val="0"/>
          <w:lang w:val="en-US"/>
        </w:rPr>
        <w:t>Avish, Fisher and Thompson (2019, p.157) suggest preventative measures such as these can establish</w:t>
      </w:r>
      <w:r>
        <w:rPr>
          <w:rFonts w:ascii="Calibri" w:hAnsi="Calibri"/>
          <w:sz w:val="24"/>
          <w:szCs w:val="24"/>
          <w:rtl w:val="0"/>
          <w:lang w:val="en-US"/>
        </w:rPr>
        <w:t xml:space="preserve"> positive relationships between the students and educator.</w:t>
      </w:r>
    </w:p>
    <w:p>
      <w:pPr>
        <w:pStyle w:val="Body"/>
        <w:spacing w:line="360" w:lineRule="auto"/>
        <w:jc w:val="left"/>
        <w:rPr>
          <w:rFonts w:ascii="Calibri" w:cs="Calibri" w:hAnsi="Calibri" w:eastAsia="Calibri"/>
          <w:sz w:val="24"/>
          <w:szCs w:val="24"/>
        </w:rPr>
      </w:pP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I opened with a discussion on </w:t>
      </w:r>
      <w:r>
        <w:rPr>
          <w:rFonts w:ascii="Calibri" w:hAnsi="Calibri" w:hint="default"/>
          <w:sz w:val="24"/>
          <w:szCs w:val="24"/>
          <w:rtl w:val="0"/>
          <w:lang w:val="en-US"/>
        </w:rPr>
        <w:t>‘</w:t>
      </w:r>
      <w:r>
        <w:rPr>
          <w:rFonts w:ascii="Calibri" w:hAnsi="Calibri"/>
          <w:sz w:val="24"/>
          <w:szCs w:val="24"/>
          <w:rtl w:val="0"/>
          <w:lang w:val="en-US"/>
        </w:rPr>
        <w:t>fashion as communication</w:t>
      </w:r>
      <w:r>
        <w:rPr>
          <w:rFonts w:ascii="Calibri" w:hAnsi="Calibri" w:hint="default"/>
          <w:sz w:val="24"/>
          <w:szCs w:val="24"/>
          <w:rtl w:val="0"/>
          <w:lang w:val="en-US"/>
        </w:rPr>
        <w:t>’</w:t>
      </w:r>
      <w:r>
        <w:rPr>
          <w:rFonts w:ascii="Calibri" w:hAnsi="Calibri"/>
          <w:sz w:val="24"/>
          <w:szCs w:val="24"/>
          <w:rtl w:val="0"/>
          <w:lang w:val="en-US"/>
        </w:rPr>
        <w:t xml:space="preserve">, aiming to assess prior knowledge and spark early engagement. </w:t>
      </w:r>
      <w:r>
        <w:rPr>
          <w:rFonts w:ascii="Calibri" w:hAnsi="Calibri"/>
          <w:sz w:val="24"/>
          <w:szCs w:val="24"/>
          <w:rtl w:val="0"/>
          <w:lang w:val="en-US"/>
        </w:rPr>
        <w:t>In terms of Bloom</w:t>
      </w:r>
      <w:r>
        <w:rPr>
          <w:rFonts w:ascii="Calibri" w:hAnsi="Calibri" w:hint="default"/>
          <w:sz w:val="24"/>
          <w:szCs w:val="24"/>
          <w:rtl w:val="1"/>
        </w:rPr>
        <w:t>’</w:t>
      </w:r>
      <w:r>
        <w:rPr>
          <w:rFonts w:ascii="Calibri" w:hAnsi="Calibri"/>
          <w:sz w:val="24"/>
          <w:szCs w:val="24"/>
          <w:rtl w:val="0"/>
          <w:lang w:val="en-US"/>
        </w:rPr>
        <w:t xml:space="preserve">s Taxonomy (1956) within the affective domain, students were in the </w:t>
      </w:r>
      <w:r>
        <w:rPr>
          <w:rFonts w:ascii="Calibri" w:hAnsi="Calibri" w:hint="default"/>
          <w:sz w:val="24"/>
          <w:szCs w:val="24"/>
          <w:rtl w:val="1"/>
        </w:rPr>
        <w:t>‘</w:t>
      </w:r>
      <w:r>
        <w:rPr>
          <w:rFonts w:ascii="Calibri" w:hAnsi="Calibri"/>
          <w:sz w:val="24"/>
          <w:szCs w:val="24"/>
          <w:rtl w:val="0"/>
          <w:lang w:val="en-US"/>
        </w:rPr>
        <w:t>receiving</w:t>
      </w:r>
      <w:r>
        <w:rPr>
          <w:rFonts w:ascii="Calibri" w:hAnsi="Calibri" w:hint="default"/>
          <w:sz w:val="24"/>
          <w:szCs w:val="24"/>
          <w:rtl w:val="1"/>
        </w:rPr>
        <w:t xml:space="preserve">’ </w:t>
      </w:r>
      <w:r>
        <w:rPr>
          <w:rFonts w:ascii="Calibri" w:hAnsi="Calibri"/>
          <w:sz w:val="24"/>
          <w:szCs w:val="24"/>
          <w:rtl w:val="0"/>
          <w:lang w:val="da-DK"/>
        </w:rPr>
        <w:t>stage</w:t>
      </w:r>
      <w:r>
        <w:rPr>
          <w:rFonts w:ascii="Calibri" w:hAnsi="Calibri"/>
          <w:sz w:val="24"/>
          <w:szCs w:val="24"/>
          <w:rtl w:val="0"/>
          <w:lang w:val="en-US"/>
        </w:rPr>
        <w:t xml:space="preserve">, showing </w:t>
      </w:r>
      <w:r>
        <w:rPr>
          <w:rFonts w:ascii="Calibri" w:hAnsi="Calibri"/>
          <w:sz w:val="24"/>
          <w:szCs w:val="24"/>
          <w:rtl w:val="0"/>
          <w:lang w:val="en-US"/>
        </w:rPr>
        <w:t>willingness to engage</w:t>
      </w:r>
      <w:r>
        <w:rPr>
          <w:rFonts w:ascii="Calibri" w:hAnsi="Calibri"/>
          <w:sz w:val="24"/>
          <w:szCs w:val="24"/>
          <w:rtl w:val="0"/>
          <w:lang w:val="en-US"/>
        </w:rPr>
        <w:t>. Preferring a more humanist approach, I encouraged peer learning through discussion, creating a relaxed environment where it felt safe to share thoughts and opinions. My use of humour helped ease tension and prompted more participation, as noted by the lecturer and peers in my feedback. By employing a combination of discussion, presentation and a task- and by reassuring students who might have been initially unenthusiastic about the topic- I demonstrated a commitment to learners, their learning, safety and wellbeing, ensuring I was working to professional standards. Reece and Walker write:</w:t>
      </w:r>
    </w:p>
    <w:p>
      <w:pPr>
        <w:pStyle w:val="Body"/>
        <w:spacing w:line="360" w:lineRule="auto"/>
        <w:jc w:val="right"/>
        <w:rPr>
          <w:rFonts w:ascii="Calibri" w:cs="Calibri" w:hAnsi="Calibri" w:eastAsia="Calibri"/>
          <w:sz w:val="24"/>
          <w:szCs w:val="24"/>
        </w:rPr>
      </w:pPr>
    </w:p>
    <w:p>
      <w:pPr>
        <w:pStyle w:val="Body"/>
        <w:spacing w:line="360" w:lineRule="auto"/>
        <w:jc w:val="right"/>
        <w:rPr>
          <w:rFonts w:ascii="Calibri" w:cs="Calibri" w:hAnsi="Calibri" w:eastAsia="Calibri"/>
          <w:sz w:val="24"/>
          <w:szCs w:val="24"/>
        </w:rPr>
      </w:pPr>
    </w:p>
    <w:p>
      <w:pPr>
        <w:pStyle w:val="Body"/>
        <w:spacing w:line="360" w:lineRule="auto"/>
        <w:jc w:val="right"/>
        <w:rPr>
          <w:rFonts w:ascii="Calibri" w:cs="Calibri" w:hAnsi="Calibri" w:eastAsia="Calibri"/>
          <w:sz w:val="24"/>
          <w:szCs w:val="24"/>
        </w:rPr>
      </w:pPr>
    </w:p>
    <w:p>
      <w:pPr>
        <w:pStyle w:val="Body"/>
        <w:spacing w:line="360" w:lineRule="auto"/>
        <w:jc w:val="right"/>
        <w:rPr>
          <w:rFonts w:ascii="Calibri" w:cs="Calibri" w:hAnsi="Calibri" w:eastAsia="Calibri"/>
          <w:sz w:val="24"/>
          <w:szCs w:val="24"/>
        </w:rPr>
      </w:pPr>
      <w:r>
        <w:rPr>
          <w:rFonts w:ascii="Calibri" w:hAnsi="Calibri"/>
          <w:sz w:val="24"/>
          <w:szCs w:val="24"/>
          <w:rtl w:val="0"/>
          <w:lang w:val="en-US"/>
        </w:rPr>
        <w:t>The materials, humanists argue, on which students exercise their learning skills are less important than the goals that they have set themselves. This means that the role of the teacher is to increase the range of experiences so that the students choose how to achieve their own learning changes. (Reece and Walker,  2007, p.87)</w:t>
      </w:r>
    </w:p>
    <w:p>
      <w:pPr>
        <w:pStyle w:val="Body"/>
        <w:spacing w:line="360" w:lineRule="auto"/>
        <w:jc w:val="right"/>
        <w:rPr>
          <w:rFonts w:ascii="Calibri" w:cs="Calibri" w:hAnsi="Calibri" w:eastAsia="Calibri"/>
          <w:sz w:val="24"/>
          <w:szCs w:val="24"/>
        </w:rPr>
      </w:pP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This humanist argument aligns with my style of teaching, as I felt I was able to give my peers space to reflect on their contributions and assess whether they met the sessions objectives, which was noted in my peers</w:t>
      </w:r>
      <w:r>
        <w:rPr>
          <w:rFonts w:ascii="Calibri" w:hAnsi="Calibri" w:hint="default"/>
          <w:sz w:val="24"/>
          <w:szCs w:val="24"/>
          <w:rtl w:val="0"/>
          <w:lang w:val="en-US"/>
        </w:rPr>
        <w:t xml:space="preserve">’ </w:t>
      </w:r>
      <w:r>
        <w:rPr>
          <w:rFonts w:ascii="Calibri" w:hAnsi="Calibri"/>
          <w:sz w:val="24"/>
          <w:szCs w:val="24"/>
          <w:rtl w:val="0"/>
          <w:lang w:val="en-US"/>
        </w:rPr>
        <w:t>feedback. Also in my feedback, the lecturer noted it would have been helpful to introduce my background and expertise in illustration and gender theories to provide more context. I can see how this would have been beneficial, as it assures students that I had both knowledge and experience in the subject matter.</w:t>
      </w:r>
    </w:p>
    <w:p>
      <w:pPr>
        <w:pStyle w:val="Body"/>
        <w:spacing w:line="360" w:lineRule="auto"/>
        <w:jc w:val="left"/>
        <w:rPr>
          <w:rFonts w:ascii="Calibri" w:cs="Calibri" w:hAnsi="Calibri" w:eastAsia="Calibri"/>
          <w:sz w:val="24"/>
          <w:szCs w:val="24"/>
        </w:rPr>
      </w:pPr>
    </w:p>
    <w:p>
      <w:pPr>
        <w:pStyle w:val="Body"/>
        <w:spacing w:line="360" w:lineRule="auto"/>
        <w:jc w:val="left"/>
        <w:rPr>
          <w:rFonts w:ascii="Calibri" w:cs="Calibri" w:hAnsi="Calibri" w:eastAsia="Calibri"/>
          <w:sz w:val="24"/>
          <w:szCs w:val="24"/>
          <w:u w:val="single"/>
        </w:rPr>
      </w:pPr>
      <w:r>
        <w:rPr>
          <w:rFonts w:ascii="Calibri" w:hAnsi="Calibri"/>
          <w:sz w:val="24"/>
          <w:szCs w:val="24"/>
          <w:u w:val="single"/>
          <w:rtl w:val="0"/>
          <w:lang w:val="en-US"/>
        </w:rPr>
        <w:t>What?</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At the beginning of my micro-teach session, I didn</w:t>
      </w:r>
      <w:r>
        <w:rPr>
          <w:rFonts w:ascii="Calibri" w:hAnsi="Calibri" w:hint="default"/>
          <w:sz w:val="24"/>
          <w:szCs w:val="24"/>
          <w:rtl w:val="0"/>
          <w:lang w:val="en-US"/>
        </w:rPr>
        <w:t>’</w:t>
      </w:r>
      <w:r>
        <w:rPr>
          <w:rFonts w:ascii="Calibri" w:hAnsi="Calibri"/>
          <w:sz w:val="24"/>
          <w:szCs w:val="24"/>
          <w:rtl w:val="0"/>
          <w:lang w:val="en-US"/>
        </w:rPr>
        <w:t>t provide enough context for why I was discussing fashion as communication, or how it relates to my own artistic practice.</w:t>
      </w:r>
    </w:p>
    <w:p>
      <w:pPr>
        <w:pStyle w:val="Body"/>
        <w:spacing w:line="360" w:lineRule="auto"/>
        <w:jc w:val="left"/>
        <w:rPr>
          <w:rFonts w:ascii="Calibri" w:cs="Calibri" w:hAnsi="Calibri" w:eastAsia="Calibri"/>
          <w:sz w:val="24"/>
          <w:szCs w:val="24"/>
        </w:rPr>
      </w:pPr>
    </w:p>
    <w:p>
      <w:pPr>
        <w:pStyle w:val="Body"/>
        <w:spacing w:line="360" w:lineRule="auto"/>
        <w:jc w:val="left"/>
        <w:rPr>
          <w:rFonts w:ascii="Calibri" w:cs="Calibri" w:hAnsi="Calibri" w:eastAsia="Calibri"/>
          <w:sz w:val="24"/>
          <w:szCs w:val="24"/>
          <w:u w:val="single"/>
        </w:rPr>
      </w:pPr>
      <w:r>
        <w:rPr>
          <w:rFonts w:ascii="Calibri" w:hAnsi="Calibri"/>
          <w:sz w:val="24"/>
          <w:szCs w:val="24"/>
          <w:u w:val="single"/>
          <w:rtl w:val="0"/>
          <w:lang w:val="en-US"/>
        </w:rPr>
        <w:t>So what?</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As a result, the students may have had less confidence in my expertise. If they had been more aware of my background in fashion and illustration, it would have provided more context and they may have engaged with the material more readily from the start.</w:t>
      </w:r>
    </w:p>
    <w:p>
      <w:pPr>
        <w:pStyle w:val="Body"/>
        <w:spacing w:line="360" w:lineRule="auto"/>
        <w:jc w:val="left"/>
        <w:rPr>
          <w:rFonts w:ascii="Calibri" w:cs="Calibri" w:hAnsi="Calibri" w:eastAsia="Calibri"/>
          <w:sz w:val="24"/>
          <w:szCs w:val="24"/>
        </w:rPr>
      </w:pPr>
    </w:p>
    <w:p>
      <w:pPr>
        <w:pStyle w:val="Body"/>
        <w:spacing w:line="360" w:lineRule="auto"/>
        <w:jc w:val="left"/>
        <w:rPr>
          <w:rFonts w:ascii="Calibri" w:cs="Calibri" w:hAnsi="Calibri" w:eastAsia="Calibri"/>
          <w:sz w:val="24"/>
          <w:szCs w:val="24"/>
          <w:u w:val="single"/>
        </w:rPr>
      </w:pPr>
      <w:r>
        <w:rPr>
          <w:rFonts w:ascii="Calibri" w:hAnsi="Calibri"/>
          <w:sz w:val="24"/>
          <w:szCs w:val="24"/>
          <w:u w:val="single"/>
          <w:rtl w:val="0"/>
          <w:lang w:val="en-US"/>
        </w:rPr>
        <w:t>Now what?</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In the future, I will introduce my background and use examples of my work to help establish credibility and give the lesson more context. </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During the developmental stage, I discussed how fashion communicates identity, referencing feminist theorists such as Judith Butler and Simone de Beauvoir, as well as artists like Claude Cahun. This helped give the lesson a theoretical underpinning, as detailed in my lesson plan, ensuring I was able to best work to professional standards. After presenting each point, I facilitated discussions to gauge my peers</w:t>
      </w:r>
      <w:r>
        <w:rPr>
          <w:rFonts w:ascii="Calibri" w:hAnsi="Calibri" w:hint="default"/>
          <w:sz w:val="24"/>
          <w:szCs w:val="24"/>
          <w:rtl w:val="0"/>
          <w:lang w:val="en-US"/>
        </w:rPr>
        <w:t xml:space="preserve">’ </w:t>
      </w:r>
      <w:r>
        <w:rPr>
          <w:rFonts w:ascii="Calibri" w:hAnsi="Calibri"/>
          <w:sz w:val="24"/>
          <w:szCs w:val="24"/>
          <w:rtl w:val="0"/>
          <w:lang w:val="en-US"/>
        </w:rPr>
        <w:t>understanding. At this stage, according to Bloom</w:t>
      </w:r>
      <w:r>
        <w:rPr>
          <w:rFonts w:ascii="Calibri" w:hAnsi="Calibri" w:hint="default"/>
          <w:sz w:val="24"/>
          <w:szCs w:val="24"/>
          <w:rtl w:val="0"/>
          <w:lang w:val="en-US"/>
        </w:rPr>
        <w:t>’</w:t>
      </w:r>
      <w:r>
        <w:rPr>
          <w:rFonts w:ascii="Calibri" w:hAnsi="Calibri"/>
          <w:sz w:val="24"/>
          <w:szCs w:val="24"/>
          <w:rtl w:val="0"/>
          <w:lang w:val="en-US"/>
        </w:rPr>
        <w:t xml:space="preserve">s Taxonomy, my peers had moved into the </w:t>
      </w:r>
      <w:r>
        <w:rPr>
          <w:rFonts w:ascii="Calibri" w:hAnsi="Calibri" w:hint="default"/>
          <w:sz w:val="24"/>
          <w:szCs w:val="24"/>
          <w:rtl w:val="0"/>
          <w:lang w:val="en-US"/>
        </w:rPr>
        <w:t>‘</w:t>
      </w:r>
      <w:r>
        <w:rPr>
          <w:rFonts w:ascii="Calibri" w:hAnsi="Calibri"/>
          <w:sz w:val="24"/>
          <w:szCs w:val="24"/>
          <w:rtl w:val="0"/>
          <w:lang w:val="en-US"/>
        </w:rPr>
        <w:t>responding</w:t>
      </w:r>
      <w:r>
        <w:rPr>
          <w:rFonts w:ascii="Calibri" w:hAnsi="Calibri" w:hint="default"/>
          <w:sz w:val="24"/>
          <w:szCs w:val="24"/>
          <w:rtl w:val="0"/>
          <w:lang w:val="en-US"/>
        </w:rPr>
        <w:t xml:space="preserve">’ </w:t>
      </w:r>
      <w:r>
        <w:rPr>
          <w:rFonts w:ascii="Calibri" w:hAnsi="Calibri"/>
          <w:sz w:val="24"/>
          <w:szCs w:val="24"/>
          <w:rtl w:val="0"/>
          <w:lang w:val="en-US"/>
        </w:rPr>
        <w:t>stage, taking new ideas and contributing their own. I received positive feedback for this specifically, and I felt it was one of the stronger points of the session, and would use this method of assessing knowledge gained in the future. Further reinforcing the importance of discussion, Gregson and Hillier (2014) write:</w:t>
      </w:r>
    </w:p>
    <w:p>
      <w:pPr>
        <w:pStyle w:val="Body"/>
        <w:spacing w:line="360" w:lineRule="auto"/>
        <w:jc w:val="left"/>
        <w:rPr>
          <w:rFonts w:ascii="Calibri" w:cs="Calibri" w:hAnsi="Calibri" w:eastAsia="Calibri"/>
          <w:sz w:val="24"/>
          <w:szCs w:val="24"/>
        </w:rPr>
      </w:pPr>
    </w:p>
    <w:p>
      <w:pPr>
        <w:pStyle w:val="Body"/>
        <w:spacing w:line="360" w:lineRule="auto"/>
        <w:jc w:val="right"/>
        <w:rPr>
          <w:rFonts w:ascii="Calibri" w:cs="Calibri" w:hAnsi="Calibri" w:eastAsia="Calibri"/>
          <w:sz w:val="24"/>
          <w:szCs w:val="24"/>
        </w:rPr>
      </w:pPr>
      <w:r>
        <w:rPr>
          <w:rFonts w:ascii="Calibri" w:hAnsi="Calibri"/>
          <w:sz w:val="24"/>
          <w:szCs w:val="24"/>
          <w:rtl w:val="0"/>
          <w:lang w:val="en-US"/>
        </w:rPr>
        <w:t>Education can be seen, at its simplest, as the product of interaction between socially valued knowledge and individual development.</w:t>
      </w:r>
    </w:p>
    <w:p>
      <w:pPr>
        <w:pStyle w:val="Body"/>
        <w:spacing w:line="360" w:lineRule="auto"/>
        <w:jc w:val="right"/>
        <w:rPr>
          <w:rFonts w:ascii="Calibri" w:cs="Calibri" w:hAnsi="Calibri" w:eastAsia="Calibri"/>
          <w:sz w:val="24"/>
          <w:szCs w:val="24"/>
        </w:rPr>
      </w:pPr>
      <w:r>
        <w:rPr>
          <w:rFonts w:ascii="Calibri" w:hAnsi="Calibri"/>
          <w:sz w:val="24"/>
          <w:szCs w:val="24"/>
          <w:rtl w:val="0"/>
          <w:lang w:val="en-US"/>
        </w:rPr>
        <w:t>(Grayson and Hillier, 2014,  p.234)</w:t>
      </w:r>
    </w:p>
    <w:p>
      <w:pPr>
        <w:pStyle w:val="Body"/>
        <w:spacing w:line="360" w:lineRule="auto"/>
        <w:jc w:val="right"/>
        <w:rPr>
          <w:rFonts w:ascii="Calibri" w:cs="Calibri" w:hAnsi="Calibri" w:eastAsia="Calibri"/>
          <w:sz w:val="24"/>
          <w:szCs w:val="24"/>
        </w:rPr>
      </w:pP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However, due to the amount of discussion held, I did have some issues with my timing towards the end of the session.</w:t>
      </w:r>
    </w:p>
    <w:p>
      <w:pPr>
        <w:pStyle w:val="Body"/>
        <w:spacing w:line="360" w:lineRule="auto"/>
        <w:jc w:val="left"/>
        <w:rPr>
          <w:rFonts w:ascii="Calibri" w:cs="Calibri" w:hAnsi="Calibri" w:eastAsia="Calibri"/>
          <w:sz w:val="24"/>
          <w:szCs w:val="24"/>
          <w:u w:val="single"/>
        </w:rPr>
      </w:pPr>
    </w:p>
    <w:p>
      <w:pPr>
        <w:pStyle w:val="Body"/>
        <w:spacing w:line="360" w:lineRule="auto"/>
        <w:jc w:val="left"/>
        <w:rPr>
          <w:rFonts w:ascii="Calibri" w:cs="Calibri" w:hAnsi="Calibri" w:eastAsia="Calibri"/>
          <w:sz w:val="24"/>
          <w:szCs w:val="24"/>
          <w:u w:val="single"/>
        </w:rPr>
      </w:pPr>
      <w:r>
        <w:rPr>
          <w:rFonts w:ascii="Calibri" w:hAnsi="Calibri"/>
          <w:sz w:val="24"/>
          <w:szCs w:val="24"/>
          <w:u w:val="single"/>
          <w:rtl w:val="0"/>
          <w:lang w:val="en-US"/>
        </w:rPr>
        <w:t>What?</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During the session, I asked the thoughts and opinions of the students to encourage engagement with the material I provided. I was so engrossed in discussion that it caused me to lose track of time, which threw off the detailed timings of my lesson plan.</w:t>
      </w:r>
    </w:p>
    <w:p>
      <w:pPr>
        <w:pStyle w:val="Body"/>
        <w:spacing w:line="360" w:lineRule="auto"/>
        <w:jc w:val="left"/>
        <w:rPr>
          <w:rFonts w:ascii="Calibri" w:cs="Calibri" w:hAnsi="Calibri" w:eastAsia="Calibri"/>
          <w:sz w:val="24"/>
          <w:szCs w:val="24"/>
        </w:rPr>
      </w:pPr>
    </w:p>
    <w:p>
      <w:pPr>
        <w:pStyle w:val="Body"/>
        <w:spacing w:line="360" w:lineRule="auto"/>
        <w:jc w:val="left"/>
        <w:rPr>
          <w:rFonts w:ascii="Calibri" w:cs="Calibri" w:hAnsi="Calibri" w:eastAsia="Calibri"/>
          <w:sz w:val="24"/>
          <w:szCs w:val="24"/>
          <w:u w:val="single"/>
        </w:rPr>
      </w:pPr>
      <w:r>
        <w:rPr>
          <w:rFonts w:ascii="Calibri" w:hAnsi="Calibri"/>
          <w:sz w:val="24"/>
          <w:szCs w:val="24"/>
          <w:u w:val="single"/>
          <w:rtl w:val="0"/>
          <w:lang w:val="en-US"/>
        </w:rPr>
        <w:t>So what?</w:t>
      </w: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Because of my timing issues, I was unable to cover every aspect of my developmental section in as much detail as I had originally planned. This had further repercussions as I was not able to complete the conclusion or a final assessment of engagement. </w:t>
      </w:r>
    </w:p>
    <w:p>
      <w:pPr>
        <w:pStyle w:val="Body"/>
        <w:spacing w:line="360" w:lineRule="auto"/>
        <w:jc w:val="left"/>
        <w:rPr>
          <w:rFonts w:ascii="Calibri" w:cs="Calibri" w:hAnsi="Calibri" w:eastAsia="Calibri"/>
          <w:sz w:val="24"/>
          <w:szCs w:val="24"/>
        </w:rPr>
      </w:pPr>
    </w:p>
    <w:p>
      <w:pPr>
        <w:pStyle w:val="Body"/>
        <w:spacing w:line="360" w:lineRule="auto"/>
        <w:jc w:val="left"/>
        <w:rPr>
          <w:rFonts w:ascii="Calibri" w:cs="Calibri" w:hAnsi="Calibri" w:eastAsia="Calibri"/>
          <w:sz w:val="24"/>
          <w:szCs w:val="24"/>
          <w:u w:val="single"/>
        </w:rPr>
      </w:pPr>
      <w:r>
        <w:rPr>
          <w:rFonts w:ascii="Calibri" w:hAnsi="Calibri"/>
          <w:sz w:val="24"/>
          <w:szCs w:val="24"/>
          <w:u w:val="single"/>
          <w:rtl w:val="0"/>
          <w:lang w:val="en-US"/>
        </w:rPr>
        <w:t>Now what?</w:t>
      </w:r>
    </w:p>
    <w:p>
      <w:pPr>
        <w:pStyle w:val="Body"/>
        <w:spacing w:line="360" w:lineRule="auto"/>
        <w:jc w:val="left"/>
        <w:rPr>
          <w:rFonts w:ascii="Calibri" w:cs="Calibri" w:hAnsi="Calibri" w:eastAsia="Calibri"/>
          <w:sz w:val="24"/>
          <w:szCs w:val="24"/>
        </w:rPr>
      </w:pPr>
    </w:p>
    <w:p>
      <w:pPr>
        <w:pStyle w:val="Body"/>
        <w:spacing w:line="360" w:lineRule="auto"/>
        <w:jc w:val="left"/>
        <w:rPr>
          <w:rFonts w:ascii="Calibri" w:cs="Calibri" w:hAnsi="Calibri" w:eastAsia="Calibri"/>
          <w:sz w:val="24"/>
          <w:szCs w:val="24"/>
        </w:rPr>
      </w:pPr>
      <w:r>
        <w:rPr>
          <w:rFonts w:ascii="Calibri" w:hAnsi="Calibri"/>
          <w:sz w:val="24"/>
          <w:szCs w:val="24"/>
          <w:rtl w:val="0"/>
          <w:lang w:val="en-US"/>
        </w:rPr>
        <w:t xml:space="preserve"> In the future, I will allow some time for discussion but also recognise when it is time to refocus on the task at hand and regroup the students, especially as smaller discussions between individuals can sometimes occur and divide attention. Race (2020) writes:</w:t>
      </w:r>
    </w:p>
    <w:p>
      <w:pPr>
        <w:pStyle w:val="Body"/>
        <w:spacing w:line="360" w:lineRule="auto"/>
        <w:jc w:val="left"/>
        <w:rPr>
          <w:rFonts w:ascii="Calibri" w:cs="Calibri" w:hAnsi="Calibri" w:eastAsia="Calib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right"/>
        <w:rPr>
          <w:rFonts w:ascii="Calibri" w:cs="Calibri" w:hAnsi="Calibri" w:eastAsia="Calibri"/>
          <w:rtl w:val="0"/>
        </w:rPr>
      </w:pPr>
      <w:r>
        <w:rPr>
          <w:rFonts w:ascii="Calibri" w:hAnsi="Calibri"/>
          <w:rtl w:val="0"/>
          <w:lang w:val="en-US"/>
        </w:rPr>
        <w:t>Even when time does run out, it's far more important to have a good ending than to 'get through' all of the agenda that has been presented.</w:t>
      </w:r>
      <w:r>
        <w:rPr>
          <w:rFonts w:ascii="Calibri" w:hAnsi="Calibri"/>
          <w:rtl w:val="0"/>
          <w:lang w:val="en-US"/>
        </w:rPr>
        <w:t xml:space="preserve"> </w:t>
      </w:r>
      <w:r>
        <w:rPr>
          <w:rFonts w:ascii="Calibri" w:hAnsi="Calibri"/>
          <w:rtl w:val="0"/>
          <w:lang w:val="en-US"/>
        </w:rPr>
        <w:t>In other words, cut short some of the middle and leave</w:t>
      </w:r>
      <w:r>
        <w:rPr>
          <w:rFonts w:ascii="Calibri" w:hAnsi="Calibri"/>
          <w:rtl w:val="0"/>
          <w:lang w:val="en-US"/>
        </w:rPr>
        <w:t xml:space="preserve"> </w:t>
      </w:r>
      <w:r>
        <w:rPr>
          <w:rFonts w:ascii="Calibri" w:hAnsi="Calibri"/>
          <w:rtl w:val="0"/>
          <w:lang w:val="en-US"/>
        </w:rPr>
        <w:t>room for the ending.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right"/>
        <w:rPr>
          <w:rFonts w:ascii="Calibri" w:cs="Calibri" w:hAnsi="Calibri" w:eastAsia="Calibri"/>
          <w:rtl w:val="0"/>
        </w:rPr>
      </w:pPr>
      <w:r>
        <w:rPr>
          <w:rFonts w:ascii="Calibri" w:hAnsi="Calibri"/>
          <w:rtl w:val="0"/>
          <w:lang w:val="en-US"/>
        </w:rPr>
        <w:t>(Race, 2020, p.186)</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rtl w:val="0"/>
        </w:rPr>
      </w:pPr>
      <w:r>
        <w:rPr>
          <w:rFonts w:ascii="Calibri" w:hAnsi="Calibri"/>
          <w:rtl w:val="0"/>
          <w:lang w:val="en-US"/>
        </w:rPr>
        <w:t>On reflection, I could have improved my timing by editing the developmental area, providing time for the conclusion and assessment of knowledge gained. I know that timing is something I will improve on with more opportunities to teach, but also recognise that I was able to adapt to the situation once I realised time was running out, and that I should be pleased with that aspect. Thankfully, I was able to briefly recap what we had discussed while also reiterating the aims and objectives, providing students the opportunity to reflect.  While I feel as though my first time leading a lesson had more strengths than weaknesses and I feel more confident in my teaching abilities than I did previously, I will still reflect on this micro-teach session throughout the PCET. Doing so will allow me to take action where I feel I have weaknesses, but also celebrate my accomplishments.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r>
        <w:rPr>
          <w:rFonts w:ascii="Calibri" w:hAnsi="Calibri"/>
          <w:u w:val="single"/>
          <w:rtl w:val="0"/>
          <w:lang w:val="en-US"/>
        </w:rPr>
        <w:t>Word Count - 1100 words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r>
        <w:rPr>
          <w:rFonts w:ascii="Calibri" w:hAnsi="Calibri"/>
          <w:u w:val="single"/>
          <w:rtl w:val="0"/>
          <w:lang w:val="en-US"/>
        </w:rPr>
        <w:t>Reference List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u w:val="single"/>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rtl w:val="0"/>
        </w:rPr>
      </w:pPr>
      <w:r>
        <w:rPr>
          <w:rFonts w:ascii="Calibri" w:hAnsi="Calibri"/>
          <w:rtl w:val="0"/>
          <w:lang w:val="en-US"/>
        </w:rPr>
        <w:t xml:space="preserve">Avis. J, Fisher, R. and Thompson,R. (2019) </w:t>
      </w:r>
      <w:r>
        <w:rPr>
          <w:rFonts w:ascii="Calibri" w:hAnsi="Calibri"/>
          <w:i w:val="1"/>
          <w:iCs w:val="1"/>
          <w:rtl w:val="0"/>
          <w:lang w:val="en-US"/>
        </w:rPr>
        <w:t>Teaching in Lifelong Learning: A Guide to Theory and Practice</w:t>
      </w:r>
      <w:r>
        <w:rPr>
          <w:rFonts w:ascii="Calibri" w:hAnsi="Calibri"/>
          <w:rtl w:val="0"/>
          <w:lang w:val="en-US"/>
        </w:rPr>
        <w:t>. London: Open University Press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rtl w:val="0"/>
        </w:rPr>
      </w:pPr>
    </w:p>
    <w:p>
      <w:pPr>
        <w:pStyle w:val="Body"/>
        <w:spacing w:line="360" w:lineRule="auto"/>
        <w:jc w:val="left"/>
        <w:rPr>
          <w:rFonts w:ascii="Calibri" w:cs="Calibri" w:hAnsi="Calibri" w:eastAsia="Calibri"/>
          <w:sz w:val="24"/>
          <w:szCs w:val="24"/>
        </w:rPr>
      </w:pPr>
      <w:r>
        <w:rPr>
          <w:rFonts w:ascii="Calibri" w:hAnsi="Calibri"/>
          <w:sz w:val="24"/>
          <w:szCs w:val="24"/>
          <w:rtl w:val="0"/>
        </w:rPr>
        <w:t xml:space="preserve">Bloom, B.S., 1956. </w:t>
      </w:r>
      <w:r>
        <w:rPr>
          <w:rFonts w:ascii="Calibri" w:hAnsi="Calibri"/>
          <w:i w:val="1"/>
          <w:iCs w:val="1"/>
          <w:sz w:val="24"/>
          <w:szCs w:val="24"/>
          <w:rtl w:val="0"/>
          <w:lang w:val="en-US"/>
        </w:rPr>
        <w:t xml:space="preserve">Taxonomy of Educational Objectives: The Classification of Educational Goals. </w:t>
      </w:r>
      <w:r>
        <w:rPr>
          <w:rFonts w:ascii="Calibri" w:hAnsi="Calibri"/>
          <w:sz w:val="24"/>
          <w:szCs w:val="24"/>
          <w:rtl w:val="0"/>
        </w:rPr>
        <w:t>New York: David McKay.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60" w:lineRule="auto"/>
        <w:ind w:left="0" w:right="0" w:firstLine="0"/>
        <w:jc w:val="left"/>
        <w:rPr>
          <w:rFonts w:ascii="Calibri" w:cs="Calibri" w:hAnsi="Calibri" w:eastAsia="Calibri"/>
          <w:rtl w:val="0"/>
        </w:rPr>
      </w:pPr>
      <w:r>
        <w:rPr>
          <w:rFonts w:ascii="Calibri" w:hAnsi="Calibri"/>
          <w:rtl w:val="0"/>
        </w:rPr>
        <w:t xml:space="preserve">Driscoll, J. (ed.) (2007) </w:t>
      </w:r>
      <w:r>
        <w:rPr>
          <w:rFonts w:ascii="Calibri" w:hAnsi="Calibri"/>
          <w:i w:val="1"/>
          <w:iCs w:val="1"/>
          <w:rtl w:val="0"/>
          <w:lang w:val="en-US"/>
        </w:rPr>
        <w:t>Practicing Clinical Supervision: A Reflective Approach for Healthcare Professionals</w:t>
      </w:r>
      <w:r>
        <w:rPr>
          <w:rFonts w:ascii="Calibri" w:hAnsi="Calibri"/>
          <w:rtl w:val="0"/>
        </w:rPr>
        <w:t>. Edinburgh: Elsevier.</w:t>
      </w:r>
    </w:p>
    <w:p>
      <w:pPr>
        <w:pStyle w:val="Body"/>
        <w:spacing w:line="360" w:lineRule="auto"/>
        <w:jc w:val="left"/>
        <w:rPr>
          <w:rFonts w:ascii="Calibri" w:cs="Calibri" w:hAnsi="Calibri" w:eastAsia="Calibri"/>
          <w:sz w:val="24"/>
          <w:szCs w:val="24"/>
        </w:rPr>
      </w:pPr>
    </w:p>
    <w:p>
      <w:pPr>
        <w:pStyle w:val="Body"/>
        <w:spacing w:line="360" w:lineRule="auto"/>
        <w:jc w:val="left"/>
        <w:rPr>
          <w:rFonts w:ascii="Calibri" w:cs="Calibri" w:hAnsi="Calibri" w:eastAsia="Calibri"/>
          <w:sz w:val="24"/>
          <w:szCs w:val="24"/>
        </w:rPr>
      </w:pPr>
      <w:r>
        <w:rPr>
          <w:rFonts w:ascii="Calibri" w:hAnsi="Calibri"/>
          <w:sz w:val="24"/>
          <w:szCs w:val="24"/>
          <w:rtl w:val="0"/>
          <w:lang w:val="en-US"/>
        </w:rPr>
        <w:t>Grayson, D. and Hillier, Y., 2014.</w:t>
      </w:r>
      <w:r>
        <w:rPr>
          <w:rFonts w:ascii="Calibri" w:hAnsi="Calibri"/>
          <w:i w:val="1"/>
          <w:iCs w:val="1"/>
          <w:sz w:val="24"/>
          <w:szCs w:val="24"/>
          <w:rtl w:val="0"/>
          <w:lang w:val="en-US"/>
        </w:rPr>
        <w:t xml:space="preserve"> Reflective Teaching in Higher Education</w:t>
      </w:r>
      <w:r>
        <w:rPr>
          <w:rFonts w:ascii="Calibri" w:hAnsi="Calibri"/>
          <w:sz w:val="24"/>
          <w:szCs w:val="24"/>
          <w:rtl w:val="0"/>
        </w:rPr>
        <w:t>. London: Bloomsbury.</w:t>
      </w:r>
    </w:p>
    <w:p>
      <w:pPr>
        <w:pStyle w:val="Body"/>
        <w:spacing w:line="360" w:lineRule="auto"/>
        <w:jc w:val="left"/>
        <w:rPr>
          <w:rFonts w:ascii="Calibri" w:cs="Calibri" w:hAnsi="Calibri" w:eastAsia="Calibri"/>
          <w:sz w:val="24"/>
          <w:szCs w:val="24"/>
        </w:rPr>
      </w:pPr>
    </w:p>
    <w:p>
      <w:pPr>
        <w:pStyle w:val="Body"/>
        <w:spacing w:line="360" w:lineRule="auto"/>
        <w:jc w:val="left"/>
      </w:pPr>
      <w:r>
        <w:rPr>
          <w:rFonts w:ascii="Calibri" w:hAnsi="Calibri"/>
          <w:sz w:val="24"/>
          <w:szCs w:val="24"/>
          <w:rtl w:val="0"/>
          <w:lang w:val="de-DE"/>
        </w:rPr>
        <w:t>Race, P., 2020</w:t>
      </w:r>
      <w:r>
        <w:rPr>
          <w:rFonts w:ascii="Calibri" w:hAnsi="Calibri"/>
          <w:sz w:val="24"/>
          <w:szCs w:val="24"/>
          <w:u w:val="single"/>
          <w:rtl w:val="0"/>
        </w:rPr>
        <w:t>.</w:t>
      </w:r>
      <w:r>
        <w:rPr>
          <w:rFonts w:ascii="Calibri" w:hAnsi="Calibri"/>
          <w:i w:val="1"/>
          <w:iCs w:val="1"/>
          <w:sz w:val="24"/>
          <w:szCs w:val="24"/>
          <w:rtl w:val="0"/>
          <w:lang w:val="en-US"/>
        </w:rPr>
        <w:t xml:space="preserve"> The Lecturer</w:t>
      </w:r>
      <w:r>
        <w:rPr>
          <w:rFonts w:ascii="Calibri" w:hAnsi="Calibri" w:hint="default"/>
          <w:i w:val="1"/>
          <w:iCs w:val="1"/>
          <w:sz w:val="24"/>
          <w:szCs w:val="24"/>
          <w:rtl w:val="1"/>
        </w:rPr>
        <w:t>’</w:t>
      </w:r>
      <w:r>
        <w:rPr>
          <w:rFonts w:ascii="Calibri" w:hAnsi="Calibri"/>
          <w:i w:val="1"/>
          <w:iCs w:val="1"/>
          <w:sz w:val="24"/>
          <w:szCs w:val="24"/>
          <w:rtl w:val="0"/>
          <w:lang w:val="en-US"/>
        </w:rPr>
        <w:t>s Toolkit: A Practical Guide to Assessment, Learning and Teaching. 5th ed</w:t>
      </w:r>
      <w:r>
        <w:rPr>
          <w:rFonts w:ascii="Calibri" w:hAnsi="Calibri"/>
          <w:sz w:val="24"/>
          <w:szCs w:val="24"/>
          <w:rtl w:val="0"/>
          <w:lang w:val="en-US"/>
        </w:rPr>
        <w:t>. London: Routledge.</w:t>
      </w:r>
    </w:p>
    <w:sectPr>
      <w:headerReference w:type="default" r:id="rId4"/>
      <w:footerReference w:type="default" r:id="rId5"/>
      <w:pgSz w:w="11906" w:h="16838" w:orient="portrait"/>
      <w:pgMar w:top="1134" w:right="1134" w:bottom="1276"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b w:val="1"/>
        <w:bCs w:val="1"/>
      </w:rPr>
      <w:tab/>
    </w:r>
    <w:r>
      <w:rPr>
        <w:b w:val="1"/>
        <w:bCs w:val="1"/>
      </w:rPr>
      <w:fldChar w:fldCharType="begin" w:fldLock="0"/>
    </w:r>
    <w:r>
      <w:rPr>
        <w:b w:val="1"/>
        <w:bCs w:val="1"/>
      </w:rPr>
      <w:instrText xml:space="preserve"> PAGE </w:instrText>
    </w:r>
    <w:r>
      <w:rPr>
        <w:b w:val="1"/>
        <w:bCs w:val="1"/>
      </w:rPr>
      <w:fldChar w:fldCharType="separate" w:fldLock="0"/>
    </w:r>
    <w:r>
      <w:rPr>
        <w:b w:val="1"/>
        <w:bCs w:val="1"/>
      </w:rPr>
    </w:r>
    <w:r>
      <w:rPr>
        <w:b w:val="1"/>
        <w:bCs w:val="1"/>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