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A37CE2" w14:textId="0E796529" w:rsidR="008543FC" w:rsidRDefault="00FA1404" w:rsidP="00FA1404">
      <w:pPr>
        <w:jc w:val="both"/>
        <w:rPr>
          <w:rFonts w:ascii="Arial" w:hAnsi="Arial" w:cs="Arial"/>
        </w:rPr>
      </w:pPr>
      <w:r>
        <w:rPr>
          <w:rFonts w:ascii="Arial" w:hAnsi="Arial" w:cs="Arial"/>
        </w:rPr>
        <w:t>Implementation and control</w:t>
      </w:r>
    </w:p>
    <w:p w14:paraId="4E579E04" w14:textId="77777777" w:rsidR="00F44488" w:rsidRPr="00F44488" w:rsidRDefault="00F44488" w:rsidP="00F44488">
      <w:pPr>
        <w:jc w:val="both"/>
        <w:rPr>
          <w:rFonts w:ascii="Arial" w:hAnsi="Arial" w:cs="Arial"/>
          <w:b/>
          <w:bCs/>
        </w:rPr>
      </w:pPr>
      <w:r w:rsidRPr="00F44488">
        <w:rPr>
          <w:rFonts w:ascii="Arial" w:hAnsi="Arial" w:cs="Arial"/>
          <w:b/>
          <w:bCs/>
        </w:rPr>
        <w:t>Implementation and Control</w:t>
      </w:r>
    </w:p>
    <w:p w14:paraId="1255DB8B" w14:textId="77777777" w:rsidR="00F44488" w:rsidRPr="00F44488" w:rsidRDefault="00F44488" w:rsidP="00F44488">
      <w:pPr>
        <w:jc w:val="both"/>
        <w:rPr>
          <w:rFonts w:ascii="Arial" w:hAnsi="Arial" w:cs="Arial"/>
        </w:rPr>
      </w:pPr>
      <w:r w:rsidRPr="00F44488">
        <w:rPr>
          <w:rFonts w:ascii="Arial" w:hAnsi="Arial" w:cs="Arial"/>
        </w:rPr>
        <w:t xml:space="preserve">Sainsbury’s implementation plan should be delivered over 12 months and should focus on increasing sales through value, quality, loyalty and convenience. This fits with Sainsbury’s wider “Next Level Sainsbury’s” strategy, which prioritises food leadership, stronger loyalty, growth through Argos, and reinvestment into the customer offer (J Sainsbury plc, 2025). </w:t>
      </w:r>
    </w:p>
    <w:p w14:paraId="02D4200B" w14:textId="77777777" w:rsidR="00F44488" w:rsidRPr="00F44488" w:rsidRDefault="00F44488" w:rsidP="00F44488">
      <w:pPr>
        <w:jc w:val="both"/>
        <w:rPr>
          <w:rFonts w:ascii="Arial" w:hAnsi="Arial" w:cs="Arial"/>
        </w:rPr>
      </w:pPr>
      <w:r w:rsidRPr="00F44488">
        <w:rPr>
          <w:rFonts w:ascii="Arial" w:hAnsi="Arial" w:cs="Arial"/>
        </w:rPr>
        <w:t xml:space="preserve">During months 1–3, Sainsbury’s should focus on campaign planning and customer targeting. The main target groups should be value-conscious families, regular Nectar users, health-focused shoppers and convenience-led online customers. Marketing messages should be consistent across stores, the Nectar app, email marketing, social media, online grocery pages and in-store point-of-sale displays. Nectar should be central to implementation because loyalty pricing and personalised offers have become important tools for encouraging repeat purchasing and improving customer value perception (J Sainsbury plc, 2026). </w:t>
      </w:r>
    </w:p>
    <w:p w14:paraId="1EDDF07C" w14:textId="77777777" w:rsidR="00F44488" w:rsidRPr="00F44488" w:rsidRDefault="00F44488" w:rsidP="00F44488">
      <w:pPr>
        <w:jc w:val="both"/>
        <w:rPr>
          <w:rFonts w:ascii="Arial" w:hAnsi="Arial" w:cs="Arial"/>
        </w:rPr>
      </w:pPr>
      <w:r w:rsidRPr="00F44488">
        <w:rPr>
          <w:rFonts w:ascii="Arial" w:hAnsi="Arial" w:cs="Arial"/>
        </w:rPr>
        <w:t>During months 4–8, Sainsbury’s should implement the campaign across stores and digital channels. In-store activity should promote fresh food, own-brand ranges, Taste the Difference products, meal deals and Aldi Price Match items. Online activity should include personalised product recommendations, recipe-based bundles and targeted Nectar offers. Store managers should ensure that promotional displays, product availability and staff knowledge are consistent, as poor execution could weaken the effectiveness of the campaign. This is particularly important in grocery retailing because customer satisfaction depends not only on price, but also on availability, convenience and service quality.</w:t>
      </w:r>
    </w:p>
    <w:p w14:paraId="435F7827" w14:textId="77777777" w:rsidR="00F44488" w:rsidRDefault="00F44488" w:rsidP="00F44488">
      <w:pPr>
        <w:jc w:val="both"/>
        <w:rPr>
          <w:rFonts w:ascii="Arial" w:hAnsi="Arial" w:cs="Arial"/>
        </w:rPr>
      </w:pPr>
      <w:r w:rsidRPr="00F44488">
        <w:rPr>
          <w:rFonts w:ascii="Arial" w:hAnsi="Arial" w:cs="Arial"/>
        </w:rPr>
        <w:t xml:space="preserve">During months 9–12, Sainsbury’s should review performance and adjust the campaign based on sales data, Nectar engagement, customer feedback and online behaviour. Control should be based on a balanced scorecard approach, as this allows the business to measure both financial and non-financial performance, including customer, internal process, and learning and growth outcomes (Kaplan and Norton, 1992; Kaplan, 2010). </w:t>
      </w:r>
    </w:p>
    <w:p w14:paraId="42F939C2" w14:textId="77777777" w:rsidR="00F44488" w:rsidRDefault="00F44488" w:rsidP="00F44488">
      <w:pPr>
        <w:jc w:val="both"/>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F44488" w14:paraId="50E1A613" w14:textId="77777777" w:rsidTr="00F44488">
        <w:tc>
          <w:tcPr>
            <w:tcW w:w="3005" w:type="dxa"/>
          </w:tcPr>
          <w:p w14:paraId="40BB455C" w14:textId="74888579" w:rsidR="00F44488" w:rsidRPr="00F44488" w:rsidRDefault="00F44488" w:rsidP="00F44488">
            <w:pPr>
              <w:jc w:val="center"/>
              <w:rPr>
                <w:rFonts w:ascii="Arial" w:hAnsi="Arial" w:cs="Arial"/>
                <w:b/>
                <w:bCs/>
                <w:sz w:val="22"/>
                <w:szCs w:val="22"/>
              </w:rPr>
            </w:pPr>
            <w:r w:rsidRPr="00F44488">
              <w:rPr>
                <w:rFonts w:ascii="Arial" w:hAnsi="Arial" w:cs="Arial"/>
                <w:b/>
                <w:bCs/>
                <w:sz w:val="22"/>
                <w:szCs w:val="22"/>
              </w:rPr>
              <w:t xml:space="preserve">Perspective </w:t>
            </w:r>
          </w:p>
        </w:tc>
        <w:tc>
          <w:tcPr>
            <w:tcW w:w="3005" w:type="dxa"/>
          </w:tcPr>
          <w:p w14:paraId="6B60B5E8" w14:textId="63738166" w:rsidR="00F44488" w:rsidRPr="00F44488" w:rsidRDefault="00F44488" w:rsidP="00F44488">
            <w:pPr>
              <w:jc w:val="center"/>
              <w:rPr>
                <w:rFonts w:ascii="Arial" w:hAnsi="Arial" w:cs="Arial"/>
                <w:b/>
                <w:bCs/>
                <w:sz w:val="22"/>
                <w:szCs w:val="22"/>
              </w:rPr>
            </w:pPr>
            <w:r w:rsidRPr="00F44488">
              <w:rPr>
                <w:rFonts w:ascii="Arial" w:hAnsi="Arial" w:cs="Arial"/>
                <w:b/>
                <w:bCs/>
                <w:sz w:val="22"/>
                <w:szCs w:val="22"/>
              </w:rPr>
              <w:t>KPI</w:t>
            </w:r>
          </w:p>
        </w:tc>
        <w:tc>
          <w:tcPr>
            <w:tcW w:w="3006" w:type="dxa"/>
          </w:tcPr>
          <w:p w14:paraId="782F7D2A" w14:textId="35FDE440" w:rsidR="00F44488" w:rsidRPr="00F44488" w:rsidRDefault="00F44488" w:rsidP="00F44488">
            <w:pPr>
              <w:jc w:val="center"/>
              <w:rPr>
                <w:rFonts w:ascii="Arial" w:hAnsi="Arial" w:cs="Arial"/>
                <w:b/>
                <w:bCs/>
                <w:sz w:val="22"/>
                <w:szCs w:val="22"/>
              </w:rPr>
            </w:pPr>
            <w:r w:rsidRPr="00F44488">
              <w:rPr>
                <w:rFonts w:ascii="Arial" w:hAnsi="Arial" w:cs="Arial"/>
                <w:b/>
                <w:bCs/>
                <w:sz w:val="22"/>
                <w:szCs w:val="22"/>
              </w:rPr>
              <w:t>Control method</w:t>
            </w:r>
          </w:p>
        </w:tc>
      </w:tr>
      <w:tr w:rsidR="00F44488" w14:paraId="5CA4A621" w14:textId="77777777" w:rsidTr="00F44488">
        <w:tc>
          <w:tcPr>
            <w:tcW w:w="3005" w:type="dxa"/>
          </w:tcPr>
          <w:p w14:paraId="7BACFD71" w14:textId="7C3A4CEE" w:rsidR="00F44488" w:rsidRPr="00F44488" w:rsidRDefault="00F44488" w:rsidP="00F44488">
            <w:pPr>
              <w:jc w:val="center"/>
              <w:rPr>
                <w:rFonts w:ascii="Arial" w:hAnsi="Arial" w:cs="Arial"/>
                <w:sz w:val="22"/>
                <w:szCs w:val="22"/>
              </w:rPr>
            </w:pPr>
            <w:r>
              <w:rPr>
                <w:rFonts w:ascii="Arial" w:hAnsi="Arial" w:cs="Arial"/>
                <w:sz w:val="22"/>
                <w:szCs w:val="22"/>
              </w:rPr>
              <w:t xml:space="preserve">Financial </w:t>
            </w:r>
          </w:p>
        </w:tc>
        <w:tc>
          <w:tcPr>
            <w:tcW w:w="3005" w:type="dxa"/>
          </w:tcPr>
          <w:p w14:paraId="3683D063" w14:textId="392F60FE" w:rsidR="00F44488" w:rsidRPr="00F44488" w:rsidRDefault="00F44488" w:rsidP="00F44488">
            <w:pPr>
              <w:jc w:val="center"/>
              <w:rPr>
                <w:rFonts w:ascii="Arial" w:hAnsi="Arial" w:cs="Arial"/>
                <w:sz w:val="22"/>
                <w:szCs w:val="22"/>
              </w:rPr>
            </w:pPr>
            <w:r>
              <w:rPr>
                <w:rFonts w:ascii="Arial" w:hAnsi="Arial" w:cs="Arial"/>
                <w:sz w:val="22"/>
                <w:szCs w:val="22"/>
              </w:rPr>
              <w:t>Sales growth, average basket value, marketing ROI</w:t>
            </w:r>
          </w:p>
        </w:tc>
        <w:tc>
          <w:tcPr>
            <w:tcW w:w="3006" w:type="dxa"/>
          </w:tcPr>
          <w:p w14:paraId="79DE3503" w14:textId="38EFF3DA" w:rsidR="00F44488" w:rsidRPr="00F44488" w:rsidRDefault="00F44488" w:rsidP="00F44488">
            <w:pPr>
              <w:jc w:val="center"/>
              <w:rPr>
                <w:rFonts w:ascii="Arial" w:hAnsi="Arial" w:cs="Arial"/>
                <w:sz w:val="22"/>
                <w:szCs w:val="22"/>
              </w:rPr>
            </w:pPr>
            <w:r>
              <w:rPr>
                <w:rFonts w:ascii="Arial" w:hAnsi="Arial" w:cs="Arial"/>
                <w:sz w:val="22"/>
                <w:szCs w:val="22"/>
              </w:rPr>
              <w:t>Monthly campaign performance review</w:t>
            </w:r>
          </w:p>
        </w:tc>
      </w:tr>
      <w:tr w:rsidR="00F44488" w14:paraId="600F4C98" w14:textId="77777777" w:rsidTr="00F44488">
        <w:tc>
          <w:tcPr>
            <w:tcW w:w="3005" w:type="dxa"/>
          </w:tcPr>
          <w:p w14:paraId="33862B83" w14:textId="55022F70" w:rsidR="00F44488" w:rsidRPr="00F44488" w:rsidRDefault="00F44488" w:rsidP="00F44488">
            <w:pPr>
              <w:jc w:val="center"/>
              <w:rPr>
                <w:rFonts w:ascii="Arial" w:hAnsi="Arial" w:cs="Arial"/>
                <w:sz w:val="22"/>
                <w:szCs w:val="22"/>
              </w:rPr>
            </w:pPr>
            <w:r>
              <w:rPr>
                <w:rFonts w:ascii="Arial" w:hAnsi="Arial" w:cs="Arial"/>
                <w:sz w:val="22"/>
                <w:szCs w:val="22"/>
              </w:rPr>
              <w:t>Customer</w:t>
            </w:r>
          </w:p>
        </w:tc>
        <w:tc>
          <w:tcPr>
            <w:tcW w:w="3005" w:type="dxa"/>
          </w:tcPr>
          <w:p w14:paraId="3D400D2B" w14:textId="73982C9A" w:rsidR="00F44488" w:rsidRPr="00F44488" w:rsidRDefault="00F44488" w:rsidP="00F44488">
            <w:pPr>
              <w:jc w:val="center"/>
              <w:rPr>
                <w:rFonts w:ascii="Arial" w:hAnsi="Arial" w:cs="Arial"/>
                <w:sz w:val="22"/>
                <w:szCs w:val="22"/>
              </w:rPr>
            </w:pPr>
            <w:r>
              <w:rPr>
                <w:rFonts w:ascii="Arial" w:hAnsi="Arial" w:cs="Arial"/>
                <w:sz w:val="22"/>
                <w:szCs w:val="22"/>
              </w:rPr>
              <w:t>Nectar engagement, repeat purchases, customer satisfaction</w:t>
            </w:r>
          </w:p>
        </w:tc>
        <w:tc>
          <w:tcPr>
            <w:tcW w:w="3006" w:type="dxa"/>
          </w:tcPr>
          <w:p w14:paraId="5D45F686" w14:textId="6B0716CD" w:rsidR="00F44488" w:rsidRPr="00F44488" w:rsidRDefault="00F44488" w:rsidP="00F44488">
            <w:pPr>
              <w:jc w:val="center"/>
              <w:rPr>
                <w:rFonts w:ascii="Arial" w:hAnsi="Arial" w:cs="Arial"/>
                <w:sz w:val="22"/>
                <w:szCs w:val="22"/>
              </w:rPr>
            </w:pPr>
            <w:r>
              <w:rPr>
                <w:rFonts w:ascii="Arial" w:hAnsi="Arial" w:cs="Arial"/>
                <w:sz w:val="22"/>
                <w:szCs w:val="22"/>
              </w:rPr>
              <w:t>Loyalty data and customer surveys</w:t>
            </w:r>
          </w:p>
        </w:tc>
      </w:tr>
      <w:tr w:rsidR="00F44488" w14:paraId="065C21A7" w14:textId="77777777" w:rsidTr="00F44488">
        <w:tc>
          <w:tcPr>
            <w:tcW w:w="3005" w:type="dxa"/>
          </w:tcPr>
          <w:p w14:paraId="45FA3BDC" w14:textId="761EA8FF" w:rsidR="00F44488" w:rsidRPr="00F44488" w:rsidRDefault="00F44488" w:rsidP="00F44488">
            <w:pPr>
              <w:jc w:val="center"/>
              <w:rPr>
                <w:rFonts w:ascii="Arial" w:hAnsi="Arial" w:cs="Arial"/>
                <w:sz w:val="22"/>
                <w:szCs w:val="22"/>
              </w:rPr>
            </w:pPr>
            <w:r>
              <w:rPr>
                <w:rFonts w:ascii="Arial" w:hAnsi="Arial" w:cs="Arial"/>
                <w:sz w:val="22"/>
                <w:szCs w:val="22"/>
              </w:rPr>
              <w:t>Internal process</w:t>
            </w:r>
          </w:p>
        </w:tc>
        <w:tc>
          <w:tcPr>
            <w:tcW w:w="3005" w:type="dxa"/>
          </w:tcPr>
          <w:p w14:paraId="2BD73C31" w14:textId="000CDFC7" w:rsidR="00F44488" w:rsidRPr="00F44488" w:rsidRDefault="00F44488" w:rsidP="00F44488">
            <w:pPr>
              <w:jc w:val="center"/>
              <w:rPr>
                <w:rFonts w:ascii="Arial" w:hAnsi="Arial" w:cs="Arial"/>
                <w:sz w:val="22"/>
                <w:szCs w:val="22"/>
              </w:rPr>
            </w:pPr>
            <w:r>
              <w:rPr>
                <w:rFonts w:ascii="Arial" w:hAnsi="Arial" w:cs="Arial"/>
                <w:sz w:val="22"/>
                <w:szCs w:val="22"/>
              </w:rPr>
              <w:t>Stock availability, online conversion, delivery reliability</w:t>
            </w:r>
          </w:p>
        </w:tc>
        <w:tc>
          <w:tcPr>
            <w:tcW w:w="3006" w:type="dxa"/>
          </w:tcPr>
          <w:p w14:paraId="7B2CF266" w14:textId="5A7BEF0A" w:rsidR="00F44488" w:rsidRPr="00F44488" w:rsidRDefault="00F44488" w:rsidP="00F44488">
            <w:pPr>
              <w:jc w:val="center"/>
              <w:rPr>
                <w:rFonts w:ascii="Arial" w:hAnsi="Arial" w:cs="Arial"/>
                <w:sz w:val="22"/>
                <w:szCs w:val="22"/>
              </w:rPr>
            </w:pPr>
            <w:r>
              <w:rPr>
                <w:rFonts w:ascii="Arial" w:hAnsi="Arial" w:cs="Arial"/>
                <w:sz w:val="22"/>
                <w:szCs w:val="22"/>
              </w:rPr>
              <w:t>Weekly store and online performance checks</w:t>
            </w:r>
          </w:p>
        </w:tc>
      </w:tr>
      <w:tr w:rsidR="00F44488" w14:paraId="0DD401DF" w14:textId="77777777" w:rsidTr="00F44488">
        <w:tc>
          <w:tcPr>
            <w:tcW w:w="3005" w:type="dxa"/>
          </w:tcPr>
          <w:p w14:paraId="1783BB0B" w14:textId="14369F52" w:rsidR="00F44488" w:rsidRPr="00F44488" w:rsidRDefault="00F44488" w:rsidP="00F44488">
            <w:pPr>
              <w:jc w:val="center"/>
              <w:rPr>
                <w:rFonts w:ascii="Arial" w:hAnsi="Arial" w:cs="Arial"/>
                <w:sz w:val="22"/>
                <w:szCs w:val="22"/>
              </w:rPr>
            </w:pPr>
            <w:r>
              <w:rPr>
                <w:rFonts w:ascii="Arial" w:hAnsi="Arial" w:cs="Arial"/>
                <w:sz w:val="22"/>
                <w:szCs w:val="22"/>
              </w:rPr>
              <w:t>Learning and growth</w:t>
            </w:r>
          </w:p>
        </w:tc>
        <w:tc>
          <w:tcPr>
            <w:tcW w:w="3005" w:type="dxa"/>
          </w:tcPr>
          <w:p w14:paraId="33AB5164" w14:textId="2F852480" w:rsidR="00F44488" w:rsidRPr="00F44488" w:rsidRDefault="00F44488" w:rsidP="00F44488">
            <w:pPr>
              <w:jc w:val="center"/>
              <w:rPr>
                <w:rFonts w:ascii="Arial" w:hAnsi="Arial" w:cs="Arial"/>
                <w:sz w:val="22"/>
                <w:szCs w:val="22"/>
              </w:rPr>
            </w:pPr>
            <w:r>
              <w:rPr>
                <w:rFonts w:ascii="Arial" w:hAnsi="Arial" w:cs="Arial"/>
                <w:sz w:val="22"/>
                <w:szCs w:val="22"/>
              </w:rPr>
              <w:t>Staff training, service quality</w:t>
            </w:r>
          </w:p>
        </w:tc>
        <w:tc>
          <w:tcPr>
            <w:tcW w:w="3006" w:type="dxa"/>
          </w:tcPr>
          <w:p w14:paraId="4E5E2C3D" w14:textId="1799AD19" w:rsidR="00F44488" w:rsidRPr="00F44488" w:rsidRDefault="00F44488" w:rsidP="00F44488">
            <w:pPr>
              <w:jc w:val="center"/>
              <w:rPr>
                <w:rFonts w:ascii="Arial" w:hAnsi="Arial" w:cs="Arial"/>
                <w:sz w:val="22"/>
                <w:szCs w:val="22"/>
              </w:rPr>
            </w:pPr>
            <w:r>
              <w:rPr>
                <w:rFonts w:ascii="Arial" w:hAnsi="Arial" w:cs="Arial"/>
                <w:sz w:val="22"/>
                <w:szCs w:val="22"/>
              </w:rPr>
              <w:t>Training records and service feedback</w:t>
            </w:r>
          </w:p>
        </w:tc>
      </w:tr>
      <w:tr w:rsidR="00F44488" w14:paraId="2BF1BE85" w14:textId="77777777" w:rsidTr="00F44488">
        <w:tc>
          <w:tcPr>
            <w:tcW w:w="3005" w:type="dxa"/>
          </w:tcPr>
          <w:p w14:paraId="19587618" w14:textId="40CEF7F3" w:rsidR="00F44488" w:rsidRPr="00F44488" w:rsidRDefault="00F44488" w:rsidP="00F44488">
            <w:pPr>
              <w:jc w:val="center"/>
              <w:rPr>
                <w:rFonts w:ascii="Arial" w:hAnsi="Arial" w:cs="Arial"/>
                <w:sz w:val="22"/>
                <w:szCs w:val="22"/>
              </w:rPr>
            </w:pPr>
            <w:r>
              <w:rPr>
                <w:rFonts w:ascii="Arial" w:hAnsi="Arial" w:cs="Arial"/>
                <w:sz w:val="22"/>
                <w:szCs w:val="22"/>
              </w:rPr>
              <w:lastRenderedPageBreak/>
              <w:t xml:space="preserve">Sustainability </w:t>
            </w:r>
          </w:p>
        </w:tc>
        <w:tc>
          <w:tcPr>
            <w:tcW w:w="3005" w:type="dxa"/>
          </w:tcPr>
          <w:p w14:paraId="71B74564" w14:textId="7C2FB427" w:rsidR="00F44488" w:rsidRPr="00F44488" w:rsidRDefault="00F44488" w:rsidP="00F44488">
            <w:pPr>
              <w:jc w:val="center"/>
              <w:rPr>
                <w:rFonts w:ascii="Arial" w:hAnsi="Arial" w:cs="Arial"/>
                <w:sz w:val="22"/>
                <w:szCs w:val="22"/>
              </w:rPr>
            </w:pPr>
            <w:r>
              <w:rPr>
                <w:rFonts w:ascii="Arial" w:hAnsi="Arial" w:cs="Arial"/>
                <w:sz w:val="22"/>
                <w:szCs w:val="22"/>
              </w:rPr>
              <w:t>Food waste reduction, healthier product sales</w:t>
            </w:r>
          </w:p>
        </w:tc>
        <w:tc>
          <w:tcPr>
            <w:tcW w:w="3006" w:type="dxa"/>
          </w:tcPr>
          <w:p w14:paraId="1EEE02E5" w14:textId="028E39AE" w:rsidR="00F44488" w:rsidRPr="00F44488" w:rsidRDefault="00F44488" w:rsidP="00F44488">
            <w:pPr>
              <w:jc w:val="center"/>
              <w:rPr>
                <w:rFonts w:ascii="Arial" w:hAnsi="Arial" w:cs="Arial"/>
                <w:sz w:val="22"/>
                <w:szCs w:val="22"/>
              </w:rPr>
            </w:pPr>
            <w:r>
              <w:rPr>
                <w:rFonts w:ascii="Arial" w:hAnsi="Arial" w:cs="Arial"/>
                <w:sz w:val="22"/>
                <w:szCs w:val="22"/>
              </w:rPr>
              <w:t>Review against Plan for Better targets</w:t>
            </w:r>
          </w:p>
        </w:tc>
      </w:tr>
    </w:tbl>
    <w:p w14:paraId="318AF594" w14:textId="77777777" w:rsidR="00F44488" w:rsidRPr="00F44488" w:rsidRDefault="00F44488" w:rsidP="00F44488">
      <w:pPr>
        <w:jc w:val="both"/>
        <w:rPr>
          <w:rFonts w:ascii="Arial" w:hAnsi="Arial" w:cs="Arial"/>
        </w:rPr>
      </w:pPr>
    </w:p>
    <w:p w14:paraId="69385551" w14:textId="77777777" w:rsidR="00F44488" w:rsidRPr="00F44488" w:rsidRDefault="00F44488" w:rsidP="00F44488">
      <w:pPr>
        <w:jc w:val="both"/>
        <w:rPr>
          <w:rFonts w:ascii="Arial" w:hAnsi="Arial" w:cs="Arial"/>
        </w:rPr>
      </w:pPr>
      <w:r w:rsidRPr="00F44488">
        <w:rPr>
          <w:rFonts w:ascii="Arial" w:hAnsi="Arial" w:cs="Arial"/>
        </w:rPr>
        <w:t>Corrective action should be taken if KPIs are not achieved. For example, weak Nectar engagement would require simpler and more visible offers, while low stock availability would require improved forecasting and store-level monitoring. Overall, this implementation and control plan would help Sainsbury’s increase sales while maintaining its positioning around value, quality, convenience and customer loyalty.</w:t>
      </w:r>
    </w:p>
    <w:p w14:paraId="312DF33F" w14:textId="77777777" w:rsidR="00F44488" w:rsidRPr="00F44488" w:rsidRDefault="00F44488" w:rsidP="00F44488">
      <w:pPr>
        <w:jc w:val="both"/>
        <w:rPr>
          <w:rFonts w:ascii="Arial" w:hAnsi="Arial" w:cs="Arial"/>
          <w:b/>
          <w:bCs/>
        </w:rPr>
      </w:pPr>
      <w:r w:rsidRPr="00F44488">
        <w:rPr>
          <w:rFonts w:ascii="Arial" w:hAnsi="Arial" w:cs="Arial"/>
          <w:b/>
          <w:bCs/>
        </w:rPr>
        <w:t>Reference List</w:t>
      </w:r>
    </w:p>
    <w:p w14:paraId="4AD9842A" w14:textId="77777777" w:rsidR="00F44488" w:rsidRPr="00F44488" w:rsidRDefault="00F44488" w:rsidP="00F44488">
      <w:pPr>
        <w:jc w:val="both"/>
        <w:rPr>
          <w:rFonts w:ascii="Arial" w:hAnsi="Arial" w:cs="Arial"/>
        </w:rPr>
      </w:pPr>
      <w:r w:rsidRPr="00F44488">
        <w:rPr>
          <w:rFonts w:ascii="Arial" w:hAnsi="Arial" w:cs="Arial"/>
        </w:rPr>
        <w:t xml:space="preserve">J Sainsbury plc (2025) </w:t>
      </w:r>
      <w:r w:rsidRPr="00F44488">
        <w:rPr>
          <w:rFonts w:ascii="Arial" w:hAnsi="Arial" w:cs="Arial"/>
          <w:i/>
          <w:iCs/>
        </w:rPr>
        <w:t>Annual Report and Financial Statements 2025</w:t>
      </w:r>
      <w:r w:rsidRPr="00F44488">
        <w:rPr>
          <w:rFonts w:ascii="Arial" w:hAnsi="Arial" w:cs="Arial"/>
        </w:rPr>
        <w:t>. J Sainsbury plc.</w:t>
      </w:r>
    </w:p>
    <w:p w14:paraId="15B015A7" w14:textId="77777777" w:rsidR="00F44488" w:rsidRPr="00F44488" w:rsidRDefault="00F44488" w:rsidP="00F44488">
      <w:pPr>
        <w:jc w:val="both"/>
        <w:rPr>
          <w:rFonts w:ascii="Arial" w:hAnsi="Arial" w:cs="Arial"/>
        </w:rPr>
      </w:pPr>
      <w:r w:rsidRPr="00F44488">
        <w:rPr>
          <w:rFonts w:ascii="Arial" w:hAnsi="Arial" w:cs="Arial"/>
        </w:rPr>
        <w:t xml:space="preserve">J Sainsbury plc (2026) </w:t>
      </w:r>
      <w:r w:rsidRPr="00F44488">
        <w:rPr>
          <w:rFonts w:ascii="Arial" w:hAnsi="Arial" w:cs="Arial"/>
          <w:i/>
          <w:iCs/>
        </w:rPr>
        <w:t>Preliminary Results for the 52 weeks ended 28 February 2026</w:t>
      </w:r>
      <w:r w:rsidRPr="00F44488">
        <w:rPr>
          <w:rFonts w:ascii="Arial" w:hAnsi="Arial" w:cs="Arial"/>
        </w:rPr>
        <w:t>. J Sainsbury plc.</w:t>
      </w:r>
    </w:p>
    <w:p w14:paraId="1F3B6BB5" w14:textId="77777777" w:rsidR="00F44488" w:rsidRPr="00F44488" w:rsidRDefault="00F44488" w:rsidP="00F44488">
      <w:pPr>
        <w:jc w:val="both"/>
        <w:rPr>
          <w:rFonts w:ascii="Arial" w:hAnsi="Arial" w:cs="Arial"/>
        </w:rPr>
      </w:pPr>
      <w:r w:rsidRPr="00F44488">
        <w:rPr>
          <w:rFonts w:ascii="Arial" w:hAnsi="Arial" w:cs="Arial"/>
        </w:rPr>
        <w:t xml:space="preserve">Kaplan, R.S. (2010) </w:t>
      </w:r>
      <w:r w:rsidRPr="00F44488">
        <w:rPr>
          <w:rFonts w:ascii="Arial" w:hAnsi="Arial" w:cs="Arial"/>
          <w:i/>
          <w:iCs/>
        </w:rPr>
        <w:t>Conceptual Foundations of the Balanced Scorecard</w:t>
      </w:r>
      <w:r w:rsidRPr="00F44488">
        <w:rPr>
          <w:rFonts w:ascii="Arial" w:hAnsi="Arial" w:cs="Arial"/>
        </w:rPr>
        <w:t>. Harvard Business School Working Paper No. 10-074.</w:t>
      </w:r>
    </w:p>
    <w:p w14:paraId="459FAF88" w14:textId="77777777" w:rsidR="00F44488" w:rsidRPr="00F44488" w:rsidRDefault="00F44488" w:rsidP="00F44488">
      <w:pPr>
        <w:jc w:val="both"/>
        <w:rPr>
          <w:rFonts w:ascii="Arial" w:hAnsi="Arial" w:cs="Arial"/>
        </w:rPr>
      </w:pPr>
      <w:r w:rsidRPr="00F44488">
        <w:rPr>
          <w:rFonts w:ascii="Arial" w:hAnsi="Arial" w:cs="Arial"/>
        </w:rPr>
        <w:t xml:space="preserve">Kaplan, R.S. and Norton, D.P. (1992) ‘The Balanced Scorecard: Measures that Drive Performance’, </w:t>
      </w:r>
      <w:r w:rsidRPr="00F44488">
        <w:rPr>
          <w:rFonts w:ascii="Arial" w:hAnsi="Arial" w:cs="Arial"/>
          <w:i/>
          <w:iCs/>
        </w:rPr>
        <w:t>Harvard Business Review</w:t>
      </w:r>
      <w:r w:rsidRPr="00F44488">
        <w:rPr>
          <w:rFonts w:ascii="Arial" w:hAnsi="Arial" w:cs="Arial"/>
        </w:rPr>
        <w:t>, January–February.</w:t>
      </w:r>
    </w:p>
    <w:p w14:paraId="2C8677A2" w14:textId="49355D0E" w:rsidR="00FA1404" w:rsidRDefault="00FA1404" w:rsidP="00FA1404">
      <w:pPr>
        <w:jc w:val="both"/>
        <w:rPr>
          <w:rFonts w:ascii="Arial" w:hAnsi="Arial" w:cs="Arial"/>
        </w:rPr>
      </w:pPr>
    </w:p>
    <w:p w14:paraId="4D84DBD2" w14:textId="77777777" w:rsidR="00FA1404" w:rsidRPr="00FA1404" w:rsidRDefault="00FA1404" w:rsidP="00FA1404">
      <w:pPr>
        <w:jc w:val="both"/>
        <w:rPr>
          <w:rFonts w:ascii="Arial" w:hAnsi="Arial" w:cs="Arial"/>
        </w:rPr>
      </w:pPr>
    </w:p>
    <w:sectPr w:rsidR="00FA1404" w:rsidRPr="00FA14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3FC"/>
    <w:rsid w:val="004F5E5B"/>
    <w:rsid w:val="008543FC"/>
    <w:rsid w:val="00F44488"/>
    <w:rsid w:val="00FA1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6ACD6"/>
  <w15:chartTrackingRefBased/>
  <w15:docId w15:val="{B0846B93-8655-4BF5-B788-35BC77B48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3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43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43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43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43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43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43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43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43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3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43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43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43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43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43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43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43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43FC"/>
    <w:rPr>
      <w:rFonts w:eastAsiaTheme="majorEastAsia" w:cstheme="majorBidi"/>
      <w:color w:val="272727" w:themeColor="text1" w:themeTint="D8"/>
    </w:rPr>
  </w:style>
  <w:style w:type="paragraph" w:styleId="Title">
    <w:name w:val="Title"/>
    <w:basedOn w:val="Normal"/>
    <w:next w:val="Normal"/>
    <w:link w:val="TitleChar"/>
    <w:uiPriority w:val="10"/>
    <w:qFormat/>
    <w:rsid w:val="008543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43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43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43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43FC"/>
    <w:pPr>
      <w:spacing w:before="160"/>
      <w:jc w:val="center"/>
    </w:pPr>
    <w:rPr>
      <w:i/>
      <w:iCs/>
      <w:color w:val="404040" w:themeColor="text1" w:themeTint="BF"/>
    </w:rPr>
  </w:style>
  <w:style w:type="character" w:customStyle="1" w:styleId="QuoteChar">
    <w:name w:val="Quote Char"/>
    <w:basedOn w:val="DefaultParagraphFont"/>
    <w:link w:val="Quote"/>
    <w:uiPriority w:val="29"/>
    <w:rsid w:val="008543FC"/>
    <w:rPr>
      <w:i/>
      <w:iCs/>
      <w:color w:val="404040" w:themeColor="text1" w:themeTint="BF"/>
    </w:rPr>
  </w:style>
  <w:style w:type="paragraph" w:styleId="ListParagraph">
    <w:name w:val="List Paragraph"/>
    <w:basedOn w:val="Normal"/>
    <w:uiPriority w:val="34"/>
    <w:qFormat/>
    <w:rsid w:val="008543FC"/>
    <w:pPr>
      <w:ind w:left="720"/>
      <w:contextualSpacing/>
    </w:pPr>
  </w:style>
  <w:style w:type="character" w:styleId="IntenseEmphasis">
    <w:name w:val="Intense Emphasis"/>
    <w:basedOn w:val="DefaultParagraphFont"/>
    <w:uiPriority w:val="21"/>
    <w:qFormat/>
    <w:rsid w:val="008543FC"/>
    <w:rPr>
      <w:i/>
      <w:iCs/>
      <w:color w:val="0F4761" w:themeColor="accent1" w:themeShade="BF"/>
    </w:rPr>
  </w:style>
  <w:style w:type="paragraph" w:styleId="IntenseQuote">
    <w:name w:val="Intense Quote"/>
    <w:basedOn w:val="Normal"/>
    <w:next w:val="Normal"/>
    <w:link w:val="IntenseQuoteChar"/>
    <w:uiPriority w:val="30"/>
    <w:qFormat/>
    <w:rsid w:val="008543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43FC"/>
    <w:rPr>
      <w:i/>
      <w:iCs/>
      <w:color w:val="0F4761" w:themeColor="accent1" w:themeShade="BF"/>
    </w:rPr>
  </w:style>
  <w:style w:type="character" w:styleId="IntenseReference">
    <w:name w:val="Intense Reference"/>
    <w:basedOn w:val="DefaultParagraphFont"/>
    <w:uiPriority w:val="32"/>
    <w:qFormat/>
    <w:rsid w:val="008543FC"/>
    <w:rPr>
      <w:b/>
      <w:bCs/>
      <w:smallCaps/>
      <w:color w:val="0F4761" w:themeColor="accent1" w:themeShade="BF"/>
      <w:spacing w:val="5"/>
    </w:rPr>
  </w:style>
  <w:style w:type="table" w:styleId="TableGrid">
    <w:name w:val="Table Grid"/>
    <w:basedOn w:val="TableNormal"/>
    <w:uiPriority w:val="39"/>
    <w:rsid w:val="00F444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531</Words>
  <Characters>3032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2</cp:revision>
  <dcterms:created xsi:type="dcterms:W3CDTF">2026-07-09T11:23:00Z</dcterms:created>
  <dcterms:modified xsi:type="dcterms:W3CDTF">2026-07-09T11:44:00Z</dcterms:modified>
</cp:coreProperties>
</file>