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E3131C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73E7E">
              <w:rPr>
                <w:rFonts w:ascii="Times New Roman" w:hAnsi="Times New Roman" w:cs="Times New Roman"/>
                <w:b/>
                <w:color w:val="auto"/>
                <w:sz w:val="48"/>
              </w:rPr>
              <w:t>Andrea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D8A47C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73E7E">
              <w:rPr>
                <w:rFonts w:ascii="Times New Roman" w:hAnsi="Times New Roman" w:cs="Times New Roman"/>
                <w:b/>
                <w:color w:val="auto"/>
                <w:sz w:val="48"/>
              </w:rPr>
              <w:t>andrealouise4@aol.com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86E5CB9" w:rsidR="00F927A1" w:rsidRPr="00E73E7E"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E73E7E">
              <w:rPr>
                <w:rFonts w:ascii="Times New Roman" w:hAnsi="Times New Roman" w:cs="Times New Roman"/>
                <w:b/>
                <w:color w:val="auto"/>
                <w:sz w:val="44"/>
                <w:szCs w:val="44"/>
              </w:rPr>
              <w:t>Learner’s University Registration</w:t>
            </w:r>
            <w:r w:rsidR="00F927A1" w:rsidRPr="00E73E7E">
              <w:rPr>
                <w:rFonts w:ascii="Times New Roman" w:hAnsi="Times New Roman" w:cs="Times New Roman"/>
                <w:b/>
                <w:color w:val="auto"/>
                <w:sz w:val="44"/>
                <w:szCs w:val="44"/>
              </w:rPr>
              <w:t xml:space="preserve"> Number:</w:t>
            </w:r>
            <w:r w:rsidR="00E73E7E">
              <w:rPr>
                <w:rFonts w:ascii="Times New Roman" w:hAnsi="Times New Roman" w:cs="Times New Roman"/>
                <w:b/>
                <w:color w:val="auto"/>
                <w:sz w:val="44"/>
                <w:szCs w:val="44"/>
              </w:rPr>
              <w:t xml:space="preserve"> 2126242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w:t>
            </w:r>
            <w:bookmarkStart w:id="0" w:name="_GoBack"/>
            <w:r w:rsidR="0F77E214">
              <w:rPr>
                <w:sz w:val="24"/>
                <w:szCs w:val="24"/>
              </w:rPr>
              <w:t>t</w:t>
            </w:r>
            <w:bookmarkEnd w:id="0"/>
            <w:r w:rsidR="0F77E214">
              <w:rPr>
                <w:sz w:val="24"/>
                <w:szCs w:val="24"/>
              </w:rPr>
              <w: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4026929C" w14:textId="77777777" w:rsidR="00BB697F" w:rsidRPr="00EA2AB4" w:rsidRDefault="00BB697F" w:rsidP="00BB697F">
            <w:pPr>
              <w:jc w:val="both"/>
              <w:rPr>
                <w:sz w:val="24"/>
                <w:szCs w:val="24"/>
              </w:rPr>
            </w:pPr>
            <w:r w:rsidRPr="00EA2AB4">
              <w:rPr>
                <w:sz w:val="24"/>
                <w:szCs w:val="24"/>
              </w:rPr>
              <w:t xml:space="preserve">For this task, I will be critically reflecting on a case study based on the involvement I had in relation to the safeguarding concern of an adult. I will begin by giving a brief outline of the case. I will demonstrate how this case relates to safeguarding legislation as well as my understanding of the required legislative frameworks, such as Social Services Wellbeing (Wales) Act 2014, which, for the purpose of this task will be referred to as SSWBA (2014), and underpins my area of practice along with other legislative frameworks, policies and procedures together with relevant standards, theories and guidance used to inform assessment during this intervention. </w:t>
            </w:r>
          </w:p>
          <w:p w14:paraId="1D4F5841" w14:textId="77777777" w:rsidR="00BB697F" w:rsidRPr="00EA2AB4" w:rsidRDefault="00BB697F" w:rsidP="00BB697F">
            <w:pPr>
              <w:jc w:val="both"/>
              <w:rPr>
                <w:sz w:val="24"/>
                <w:szCs w:val="24"/>
              </w:rPr>
            </w:pPr>
          </w:p>
          <w:p w14:paraId="22D3476F" w14:textId="77777777" w:rsidR="00BB697F" w:rsidRPr="00EA2AB4" w:rsidRDefault="00BB697F" w:rsidP="00BB697F">
            <w:pPr>
              <w:jc w:val="both"/>
              <w:rPr>
                <w:sz w:val="24"/>
                <w:szCs w:val="24"/>
              </w:rPr>
            </w:pPr>
            <w:r w:rsidRPr="00EA2AB4">
              <w:rPr>
                <w:sz w:val="24"/>
                <w:szCs w:val="24"/>
              </w:rPr>
              <w:t>The adult discussed in this case study will be referred to as 3, thus ensuring anonymity while also adhering to the code of professional practice and policies in terms of respecting confidentiality (Social Care Wales, 2017).</w:t>
            </w:r>
          </w:p>
          <w:p w14:paraId="07F9711C" w14:textId="77777777" w:rsidR="00BB697F" w:rsidRPr="00EA2AB4" w:rsidRDefault="00BB697F" w:rsidP="00BB697F">
            <w:pPr>
              <w:jc w:val="both"/>
              <w:rPr>
                <w:sz w:val="24"/>
                <w:szCs w:val="24"/>
              </w:rPr>
            </w:pPr>
          </w:p>
          <w:p w14:paraId="1E684238" w14:textId="77777777" w:rsidR="00BB697F" w:rsidRPr="00EA2AB4" w:rsidRDefault="00BB697F" w:rsidP="00BB697F">
            <w:pPr>
              <w:jc w:val="both"/>
              <w:rPr>
                <w:sz w:val="24"/>
                <w:szCs w:val="24"/>
              </w:rPr>
            </w:pPr>
            <w:r w:rsidRPr="00EA2AB4">
              <w:rPr>
                <w:sz w:val="24"/>
                <w:szCs w:val="24"/>
              </w:rPr>
              <w:t xml:space="preserve">3 is a Welsh speaking adult male in his nineties. He lives in a small village in rural Wales where majority of people in his age group speak Welsh.  He lives with his wife and grandson, whom they had brought up as their own since he was a toddler. 3 had some physical health needs, appeared frail and there were slight concerns about his memory. Although 3 did have care and support needs, which according to the SSWBA (2014) relates to any wellbeing outcomes identified by the individual they are unable to do without care, support or both, 3’s were currently being met by his family. 3 was known to social services due to being a carer </w:t>
            </w:r>
            <w:r w:rsidRPr="00EA2AB4">
              <w:rPr>
                <w:sz w:val="24"/>
                <w:szCs w:val="24"/>
              </w:rPr>
              <w:lastRenderedPageBreak/>
              <w:t xml:space="preserve">for his wife for several years. The SSWBA (2014) defines a </w:t>
            </w:r>
            <w:proofErr w:type="spellStart"/>
            <w:r w:rsidRPr="00EA2AB4">
              <w:rPr>
                <w:sz w:val="24"/>
                <w:szCs w:val="24"/>
              </w:rPr>
              <w:t>carer</w:t>
            </w:r>
            <w:proofErr w:type="spellEnd"/>
            <w:r w:rsidRPr="00EA2AB4">
              <w:rPr>
                <w:sz w:val="24"/>
                <w:szCs w:val="24"/>
              </w:rPr>
              <w:t xml:space="preserve"> as a ‘person who provides or intends to provide care for an adult, or disabled child. </w:t>
            </w:r>
          </w:p>
          <w:p w14:paraId="0774FB31" w14:textId="77777777" w:rsidR="00BB697F" w:rsidRPr="00EA2AB4" w:rsidRDefault="00BB697F" w:rsidP="00BB697F">
            <w:pPr>
              <w:jc w:val="both"/>
              <w:rPr>
                <w:sz w:val="24"/>
                <w:szCs w:val="24"/>
              </w:rPr>
            </w:pPr>
          </w:p>
          <w:p w14:paraId="20C13078" w14:textId="77777777" w:rsidR="00BB697F" w:rsidRPr="00EA2AB4" w:rsidRDefault="00BB697F" w:rsidP="00BB697F">
            <w:pPr>
              <w:jc w:val="both"/>
              <w:rPr>
                <w:sz w:val="24"/>
                <w:szCs w:val="24"/>
              </w:rPr>
            </w:pPr>
            <w:r w:rsidRPr="00EA2AB4">
              <w:rPr>
                <w:sz w:val="24"/>
                <w:szCs w:val="24"/>
              </w:rPr>
              <w:t xml:space="preserve">The family raised concerns that the grandson was financially abusing 3 by coercing him into giving him money and had done for many years. They shared the grandson had physically attacked a family member and was sending threatening messages. The family reported 3 was afraid but would not speak against his grandson. The grandson was currently on probation, however had fled the home after assaulting family member the previous day. Police were searching for him and found a dangerous weapon in 3’s home. Concerns were raised for 3’s safety should grandson return home. Family agreed to stay with 3 in the interim and requested an injunction. Following this disclosure 3 was identified as being an adult at risk and safeguarding report was completed by practitioner. 3 was aware of the report. </w:t>
            </w:r>
          </w:p>
          <w:p w14:paraId="2DD54D3C" w14:textId="77777777" w:rsidR="00BB697F" w:rsidRPr="00EA2AB4" w:rsidRDefault="00BB697F" w:rsidP="00BB697F">
            <w:pPr>
              <w:jc w:val="both"/>
              <w:rPr>
                <w:sz w:val="24"/>
                <w:szCs w:val="24"/>
              </w:rPr>
            </w:pPr>
          </w:p>
          <w:p w14:paraId="2E6D2211" w14:textId="77777777" w:rsidR="00BB697F" w:rsidRPr="00EA2AB4" w:rsidRDefault="00BB697F" w:rsidP="00BB697F">
            <w:pPr>
              <w:pStyle w:val="CommentText"/>
              <w:jc w:val="both"/>
              <w:rPr>
                <w:rFonts w:cs="Arial"/>
                <w:sz w:val="24"/>
                <w:szCs w:val="24"/>
              </w:rPr>
            </w:pPr>
            <w:r w:rsidRPr="00EA2AB4">
              <w:rPr>
                <w:rFonts w:cs="Arial"/>
                <w:sz w:val="24"/>
                <w:szCs w:val="24"/>
              </w:rPr>
              <w:t xml:space="preserve">The SSWBA (2014) is a significant piece of legislation that came into force in Wales by the Welsh Government relating to the delivery of social welfare services, following devolution. As a devolved country the Welsh Government now have powers to pass their own legislation. The SSWBA (2014) was introduced in April 2016 to reform and simplify law. It provides a legal framework for delivering social services in Wales with its purpose on focusing on improving wellbeing of individuals needing care and support and their </w:t>
            </w:r>
            <w:proofErr w:type="spellStart"/>
            <w:r w:rsidRPr="00EA2AB4">
              <w:rPr>
                <w:rFonts w:cs="Arial"/>
                <w:sz w:val="24"/>
                <w:szCs w:val="24"/>
              </w:rPr>
              <w:t>carers</w:t>
            </w:r>
            <w:proofErr w:type="spellEnd"/>
            <w:r w:rsidRPr="00EA2AB4">
              <w:rPr>
                <w:rFonts w:cs="Arial"/>
                <w:sz w:val="24"/>
                <w:szCs w:val="24"/>
              </w:rPr>
              <w:t xml:space="preserve"> and is a key piece of legislation that underpins social work practice in Wales.  The Act revoked previous law and guidance relating to social care, building on the White Paper: ‘Sustainable Social Services for Wales: A Framework for Action’. It aims to support wellbeing outcomes, while giving individuals autonomy to make decisions about their own lives and promote independence. There are five key principles forming the basis of the Act; voice and control, prevention and early intervention, wellbeing, co-production and multiagency working (Seddon, Toms, Verity, 2021).</w:t>
            </w:r>
          </w:p>
          <w:p w14:paraId="6B00C6BE" w14:textId="77777777" w:rsidR="00BB697F" w:rsidRPr="00EA2AB4" w:rsidRDefault="00BB697F" w:rsidP="00BB697F">
            <w:pPr>
              <w:pStyle w:val="CommentText"/>
              <w:jc w:val="both"/>
              <w:rPr>
                <w:rFonts w:cs="Arial"/>
                <w:sz w:val="24"/>
                <w:szCs w:val="24"/>
              </w:rPr>
            </w:pPr>
          </w:p>
          <w:p w14:paraId="2BC0C20A" w14:textId="77777777" w:rsidR="00BB697F" w:rsidRPr="00EA2AB4" w:rsidRDefault="00BB697F" w:rsidP="00BB697F">
            <w:pPr>
              <w:jc w:val="both"/>
              <w:rPr>
                <w:sz w:val="24"/>
                <w:szCs w:val="24"/>
              </w:rPr>
            </w:pPr>
            <w:r w:rsidRPr="00EA2AB4">
              <w:rPr>
                <w:sz w:val="24"/>
                <w:szCs w:val="24"/>
              </w:rPr>
              <w:t xml:space="preserve">The SSWBA (2014) has eleven parts, for example, Part 2, which refers to general functions. This part states the overarching duties that must be adhered to by individuals exercising functions under the Act. Section 5 requires ”any person exercising functions under the Act to seek to promote the wellbeing of individuals who have care and support needs, and carers requiring support”. One aspect of wellbeing outcome as stated in Part 2’s Code of Practice is ‘protection from abuse and neglect’. When exercising function, a person must comply with overarching duties of having regard for individual’s views, wishes, feelings, culture and beliefs, the importance of promoting and respecting their dignity and provide support in decisions that affect them. Due regard must also be given to the United Nations Principles for Older People.  There are eighteen principles grouped under the following headings: Independence, Participation, Care, Self-fulfilment and Dignity.  This framework promotes and safeguards rights relating to areas such as healthcare, social protection and involvement in decision making. It underpins assessment practice in social work and should be regarded when working with older people. (United Nations, 1991). </w:t>
            </w:r>
          </w:p>
          <w:p w14:paraId="17D55FF6" w14:textId="77777777" w:rsidR="00BB697F" w:rsidRPr="00EA2AB4" w:rsidRDefault="00BB697F" w:rsidP="00BB697F">
            <w:pPr>
              <w:jc w:val="both"/>
              <w:rPr>
                <w:sz w:val="24"/>
                <w:szCs w:val="24"/>
              </w:rPr>
            </w:pPr>
          </w:p>
          <w:p w14:paraId="1CE0C7A3" w14:textId="77777777" w:rsidR="00BB697F" w:rsidRPr="00EA2AB4" w:rsidRDefault="00BB697F" w:rsidP="00BB697F">
            <w:pPr>
              <w:jc w:val="both"/>
              <w:rPr>
                <w:sz w:val="24"/>
                <w:szCs w:val="24"/>
              </w:rPr>
            </w:pPr>
            <w:r w:rsidRPr="00EA2AB4">
              <w:rPr>
                <w:sz w:val="24"/>
                <w:szCs w:val="24"/>
              </w:rPr>
              <w:t xml:space="preserve">Our human rights, under the European Convention on Human Rights (ECHR) are protected by the Human Rights Act 1998.  This Act is law in the United Kingdom including devolved countries such as, Wales, Scotland and Northern Ireland. The Act sets out fundamental rights and freedoms that everybody is entitled, called Articles. Each Article deals with different rights, </w:t>
            </w:r>
            <w:r w:rsidRPr="00EA2AB4">
              <w:rPr>
                <w:sz w:val="24"/>
                <w:szCs w:val="24"/>
              </w:rPr>
              <w:lastRenderedPageBreak/>
              <w:t xml:space="preserve">and are known as “the Convention rights” For example, Article 3 prohibition of torture, A (GOV.UK, 2022). These rights need to be understood as some are ‘absolute rights’ meaning they can never be breeched, for example, the right not to be tortured. ‘Limited rights’, for example, your right to freedom can be restricted if detained by law for criminal convictions or under the mental health legislation. ‘Qualified rights’ which can be interfered with by public authorities in accordance with the law when in the interest of wider community or to protect others rights (Equality and Human Rights Commission, 2016). All public authorities must respect and protect people’s human rights when making decisions about them during any intervention, such as assessing needs or safeguarding of adults, and any legislations made must be compatible with ECHR rights. </w:t>
            </w:r>
          </w:p>
          <w:p w14:paraId="6FCF1A6F" w14:textId="77777777" w:rsidR="00BB697F" w:rsidRPr="00EA2AB4" w:rsidRDefault="00BB697F" w:rsidP="00BB697F">
            <w:pPr>
              <w:jc w:val="both"/>
              <w:rPr>
                <w:sz w:val="24"/>
                <w:szCs w:val="24"/>
              </w:rPr>
            </w:pPr>
          </w:p>
          <w:p w14:paraId="76576F0F" w14:textId="77777777" w:rsidR="00BB697F" w:rsidRPr="00EA2AB4" w:rsidRDefault="00BB697F" w:rsidP="00BB697F">
            <w:pPr>
              <w:jc w:val="both"/>
              <w:rPr>
                <w:sz w:val="24"/>
                <w:szCs w:val="24"/>
              </w:rPr>
            </w:pPr>
            <w:r w:rsidRPr="00EA2AB4">
              <w:rPr>
                <w:sz w:val="24"/>
                <w:szCs w:val="24"/>
              </w:rPr>
              <w:t xml:space="preserve">However, possible tension and conflict can arise within legislations when working with adults. For example Article 8 gives 3 the right to private and family life while the SSWBA (2014) has a duty to ensure adults at risk are protected from others. </w:t>
            </w:r>
            <w:proofErr w:type="spellStart"/>
            <w:r w:rsidRPr="00EA2AB4">
              <w:rPr>
                <w:sz w:val="24"/>
                <w:szCs w:val="24"/>
              </w:rPr>
              <w:t>Koubel</w:t>
            </w:r>
            <w:proofErr w:type="spellEnd"/>
            <w:r w:rsidRPr="00EA2AB4">
              <w:rPr>
                <w:sz w:val="24"/>
                <w:szCs w:val="24"/>
              </w:rPr>
              <w:t xml:space="preserve"> (2016) refers to the difficult challenges social workers have in balancing risks, rights and responsibilities in day to day practice and the implication of any mistakes could have negative consequences for their career and reputation. </w:t>
            </w:r>
          </w:p>
          <w:p w14:paraId="77360BC2" w14:textId="77777777" w:rsidR="00BB697F" w:rsidRPr="00EA2AB4" w:rsidRDefault="00BB697F" w:rsidP="00BB697F">
            <w:pPr>
              <w:jc w:val="both"/>
              <w:rPr>
                <w:sz w:val="24"/>
                <w:szCs w:val="24"/>
              </w:rPr>
            </w:pPr>
          </w:p>
          <w:p w14:paraId="134C9128" w14:textId="77777777" w:rsidR="00BB697F" w:rsidRPr="00EA2AB4" w:rsidRDefault="00BB697F" w:rsidP="00BB697F">
            <w:pPr>
              <w:jc w:val="both"/>
              <w:rPr>
                <w:sz w:val="24"/>
                <w:szCs w:val="24"/>
              </w:rPr>
            </w:pPr>
            <w:r w:rsidRPr="00EA2AB4">
              <w:rPr>
                <w:sz w:val="24"/>
                <w:szCs w:val="24"/>
              </w:rPr>
              <w:t xml:space="preserve">On reflection it was very complex to balance the risks, rights and responsibilities.  Other agencies were involved, I had to consider different and conflicting legislation and professional values.  It was crucial that I understood my duty and 3's views, rights, wishes and feelings.  Discussions during supervision and knowledge of the law supported my decision making when exercising my professional judgement. </w:t>
            </w:r>
          </w:p>
          <w:p w14:paraId="6F6DFFFE" w14:textId="77777777" w:rsidR="00BB697F" w:rsidRPr="00EA2AB4" w:rsidRDefault="00BB697F" w:rsidP="00BB697F">
            <w:pPr>
              <w:jc w:val="both"/>
              <w:rPr>
                <w:sz w:val="24"/>
                <w:szCs w:val="24"/>
              </w:rPr>
            </w:pPr>
          </w:p>
          <w:p w14:paraId="7B6964FF" w14:textId="77777777" w:rsidR="00BB697F" w:rsidRPr="00EA2AB4" w:rsidRDefault="00BB697F" w:rsidP="00BB697F">
            <w:pPr>
              <w:jc w:val="both"/>
              <w:rPr>
                <w:sz w:val="24"/>
                <w:szCs w:val="24"/>
              </w:rPr>
            </w:pPr>
            <w:r w:rsidRPr="00EA2AB4">
              <w:rPr>
                <w:sz w:val="24"/>
                <w:szCs w:val="24"/>
              </w:rPr>
              <w:t>Knowledge of the law informs practitioners of their duties and powers.  The law gives a framework for practice, and in some areas tells practitioners what to do, what they have discretion to do and what they cannot do. The law sets clear guidelines of accountability, and decisions made when working with individuals are ethically fair and just (Johns, 2005).  Long et al (2010), however, argues that although the law gives a legal framework, it cannot give answers in complex situations. For example, the law cannot always resolve dilemmas and tensions that face social workers in daily practice, but can give “authority and structure in decision-making”. Additionally, as a social worker in Wales I am registered with the regulatory body, Care Council for Wales which I have legal obligation in line with The Code of Professional Practice (2017) to uphold professional conduct and standards. Furthermore, the British Association of Social Workers (BASW, 2002) gives guidance on ethical practice in line with values and principles integral to social work practice. (</w:t>
            </w:r>
            <w:proofErr w:type="spellStart"/>
            <w:r w:rsidRPr="00EA2AB4">
              <w:rPr>
                <w:sz w:val="24"/>
                <w:szCs w:val="24"/>
              </w:rPr>
              <w:t>Oko</w:t>
            </w:r>
            <w:proofErr w:type="spellEnd"/>
            <w:r w:rsidRPr="00EA2AB4">
              <w:rPr>
                <w:sz w:val="24"/>
                <w:szCs w:val="24"/>
              </w:rPr>
              <w:t xml:space="preserve">, 2008) </w:t>
            </w:r>
          </w:p>
          <w:p w14:paraId="6A02B07A" w14:textId="77777777" w:rsidR="00BB697F" w:rsidRPr="00EA2AB4" w:rsidRDefault="00BB697F" w:rsidP="00BB697F">
            <w:pPr>
              <w:jc w:val="both"/>
              <w:rPr>
                <w:sz w:val="24"/>
                <w:szCs w:val="24"/>
              </w:rPr>
            </w:pPr>
          </w:p>
          <w:p w14:paraId="1554970E" w14:textId="77777777" w:rsidR="00BB697F" w:rsidRPr="00EA2AB4" w:rsidRDefault="00BB697F" w:rsidP="00BB697F">
            <w:pPr>
              <w:jc w:val="both"/>
              <w:rPr>
                <w:sz w:val="24"/>
                <w:szCs w:val="24"/>
              </w:rPr>
            </w:pPr>
            <w:r w:rsidRPr="00EA2AB4">
              <w:rPr>
                <w:sz w:val="24"/>
                <w:szCs w:val="24"/>
              </w:rPr>
              <w:t xml:space="preserve">Part 7 of the SSWBA (2014) refers specifically to the legal framework relating to the safeguarding of adults. The National Institute for Health and Care Excellence (2022), defines safeguarding “as the protection of a person’s heath, wellbeing, and right to live in safety, free from harm, abuse, and neglect”.  To support the safeguarding framework, the Working Together to Safeguard People guidance provides a framework that key agencies and organisations must follow, and do what the law tells them to do, in relation to safeguarding adults when exercising function under section 126 to 128 and 130 of the Act. </w:t>
            </w:r>
          </w:p>
          <w:p w14:paraId="0439263E" w14:textId="77777777" w:rsidR="00BB697F" w:rsidRPr="00EA2AB4" w:rsidRDefault="00BB697F" w:rsidP="00BB697F">
            <w:pPr>
              <w:jc w:val="both"/>
              <w:rPr>
                <w:sz w:val="24"/>
                <w:szCs w:val="24"/>
              </w:rPr>
            </w:pPr>
          </w:p>
          <w:p w14:paraId="6933B6D8" w14:textId="77777777" w:rsidR="00BB697F" w:rsidRDefault="00BB697F" w:rsidP="00BB697F">
            <w:pPr>
              <w:jc w:val="both"/>
              <w:rPr>
                <w:sz w:val="24"/>
                <w:szCs w:val="24"/>
              </w:rPr>
            </w:pPr>
            <w:r w:rsidRPr="00EA2AB4">
              <w:rPr>
                <w:sz w:val="24"/>
                <w:szCs w:val="24"/>
              </w:rPr>
              <w:lastRenderedPageBreak/>
              <w:t>In addition, the national Wales Safeguarding Procedures 2019, were developed to aid practitioners in applying the SSWBA (2014) legislation and accompanying statutory guidance relating to safeguarding. These procedures explain thoroughly the roles and responsibilities of practitioners involved in safeguarding, ensuring they understand, and able to meet these responsibilities when working with adults at risk of abuse and neglect</w:t>
            </w:r>
            <w:r w:rsidRPr="00EA2AB4">
              <w:rPr>
                <w:strike/>
                <w:sz w:val="24"/>
                <w:szCs w:val="24"/>
              </w:rPr>
              <w:t>.</w:t>
            </w:r>
            <w:r w:rsidRPr="00EA2AB4">
              <w:rPr>
                <w:sz w:val="24"/>
                <w:szCs w:val="24"/>
              </w:rPr>
              <w:t xml:space="preserve"> Training was given prior to implementation, and the procedures</w:t>
            </w:r>
            <w:r w:rsidRPr="006047D8">
              <w:rPr>
                <w:sz w:val="24"/>
                <w:szCs w:val="24"/>
              </w:rPr>
              <w:t xml:space="preserve"> are easily accessible online or on phone app. The Safeguarding Boards are a statutory body consisting of multi-agency members who co-ordinates, monitors and oversees safeguarding across Wales.  </w:t>
            </w:r>
          </w:p>
          <w:p w14:paraId="1F7CDDE9" w14:textId="77777777" w:rsidR="00BB697F" w:rsidRPr="006047D8" w:rsidRDefault="00BB697F" w:rsidP="00BB697F">
            <w:pPr>
              <w:jc w:val="both"/>
              <w:rPr>
                <w:sz w:val="24"/>
                <w:szCs w:val="24"/>
              </w:rPr>
            </w:pPr>
          </w:p>
          <w:p w14:paraId="7FFA7699" w14:textId="77777777" w:rsidR="00BB697F" w:rsidRDefault="00BB697F" w:rsidP="00BB697F">
            <w:pPr>
              <w:jc w:val="both"/>
              <w:rPr>
                <w:sz w:val="24"/>
                <w:szCs w:val="24"/>
              </w:rPr>
            </w:pPr>
            <w:r w:rsidRPr="006047D8">
              <w:rPr>
                <w:sz w:val="24"/>
                <w:szCs w:val="24"/>
              </w:rPr>
              <w:t xml:space="preserve">Section 126 of the SSSWBA (2014) defines adult at risk as being “an adult who is experiencing or is at risk of abuse or neglect, has needs for care and support, and as a result of those needs is unable to protect himself or herself against the abuse of neglect or the risk of it” . This case study relates to safeguarding as 3 was deemed to be an adult at risk. There are different categories of abuse that ‘adults at risk’ can encounter, for example; physical, sexual, financial, psychological, and neglect which relates to an omission to meet and individual’s basic needs. Some forms of abuse are criminal offences and should be treated in that manner by contacting the Police. The abuse or neglect can occur anywhere, such as own home or institutions. In relation to this legislation, 3 was an adult at risk due to possible financial, physical and psychological abuse. </w:t>
            </w:r>
          </w:p>
          <w:p w14:paraId="1459EEC4" w14:textId="77777777" w:rsidR="00BB697F" w:rsidRPr="006047D8" w:rsidRDefault="00BB697F" w:rsidP="00BB697F">
            <w:pPr>
              <w:jc w:val="both"/>
              <w:rPr>
                <w:strike/>
                <w:sz w:val="24"/>
                <w:szCs w:val="24"/>
              </w:rPr>
            </w:pPr>
          </w:p>
          <w:p w14:paraId="46A4CEA2" w14:textId="77777777" w:rsidR="00BB697F" w:rsidRDefault="00BB697F" w:rsidP="00BB697F">
            <w:pPr>
              <w:jc w:val="both"/>
              <w:rPr>
                <w:sz w:val="24"/>
                <w:szCs w:val="24"/>
              </w:rPr>
            </w:pPr>
            <w:r w:rsidRPr="006047D8">
              <w:rPr>
                <w:sz w:val="24"/>
                <w:szCs w:val="24"/>
              </w:rPr>
              <w:t>According to World Health Organisation (2022) there is approximately 1 in 6 adults aged sixty years and over who have experienced a form of abuse in their community. In Wales statistics show that 21,468 reports have been received of individuals suspected of being at risk during the year 2021-2022 (Stats Wales, 2022).  These statistics have increased continuously since 2016 with 15,754 reports received (Stats Wales, 2019). Factors such as vulnerability, mental health, frailty, age and disability can make adults more prone to risk of abuse (</w:t>
            </w:r>
            <w:proofErr w:type="spellStart"/>
            <w:r w:rsidRPr="006047D8">
              <w:rPr>
                <w:sz w:val="24"/>
                <w:szCs w:val="24"/>
              </w:rPr>
              <w:t>Dewis</w:t>
            </w:r>
            <w:proofErr w:type="spellEnd"/>
            <w:r w:rsidRPr="006047D8">
              <w:rPr>
                <w:sz w:val="24"/>
                <w:szCs w:val="24"/>
              </w:rPr>
              <w:t xml:space="preserve"> </w:t>
            </w:r>
            <w:proofErr w:type="spellStart"/>
            <w:r w:rsidRPr="006047D8">
              <w:rPr>
                <w:sz w:val="24"/>
                <w:szCs w:val="24"/>
              </w:rPr>
              <w:t>Cymru</w:t>
            </w:r>
            <w:proofErr w:type="spellEnd"/>
            <w:r w:rsidRPr="006047D8">
              <w:rPr>
                <w:sz w:val="24"/>
                <w:szCs w:val="24"/>
              </w:rPr>
              <w:t xml:space="preserve">, 2023). The Older People Commissioner for Wales (no date) announced in her Work Programme for 2023 -2024, one of her key priorities is to “stop the abuse of older people” in Wales. As this is a welcoming statement fully stopping elder abuse may be difficult due to barriers preventing adults reporting. The reported abuse of 3 can be linked closely to domestic abuse and as reported by Gill (2019) barriers such as fear, shame, culture, and abuser being a family member as in 3’s situation can be significant factors for not seeking help.  It is therefore, imperative practitioners are alert to indicators of abuse, such as, frequent injuries, low self-esteem, so they can communicate and address concerns with the individual and also report the abuse.  </w:t>
            </w:r>
          </w:p>
          <w:p w14:paraId="592994BE" w14:textId="77777777" w:rsidR="00BB697F" w:rsidRPr="006047D8" w:rsidRDefault="00BB697F" w:rsidP="00BB697F">
            <w:pPr>
              <w:jc w:val="both"/>
              <w:rPr>
                <w:sz w:val="24"/>
                <w:szCs w:val="24"/>
              </w:rPr>
            </w:pPr>
          </w:p>
          <w:p w14:paraId="3B97EADA" w14:textId="77777777" w:rsidR="00BB697F" w:rsidRDefault="00BB697F" w:rsidP="00BB697F">
            <w:pPr>
              <w:jc w:val="both"/>
              <w:rPr>
                <w:sz w:val="24"/>
                <w:szCs w:val="24"/>
              </w:rPr>
            </w:pPr>
            <w:r w:rsidRPr="006047D8">
              <w:rPr>
                <w:sz w:val="24"/>
                <w:szCs w:val="24"/>
              </w:rPr>
              <w:t xml:space="preserve">The SSWBA (2014) places a duty under section 128 on the local authority and relevant partners to report if they suspect that an adult may be at risk. When making a report it is always best to seek consent of individual to enable effective partnership working with the adult, it may also lead to the adult engaging better in the process, resulting in positive outcomes. Practitioners at times may need to report without having consent for reasons such as, adult may be put at further risk or alleged abuser may be a family member. Additionally even when the adult’s wishes have been considered and practitioners feel they need to report the adult’s wishes can be over-ridden. The Data Protection Act (2018), along with General Data Protection Regulations are in place to protect sensitive information such as race, as well as people’s personal information and ensure it is used lawfully. Although GDPR protects </w:t>
            </w:r>
            <w:r w:rsidRPr="006047D8">
              <w:rPr>
                <w:sz w:val="24"/>
                <w:szCs w:val="24"/>
              </w:rPr>
              <w:lastRenderedPageBreak/>
              <w:t xml:space="preserve">personal data this may be counterintuitive as safeguarding procedures tells us to report anyway.  Any decision therefore made in line with the safeguarding process must be recorded accurately in line with legislation, policies and procedures. </w:t>
            </w:r>
          </w:p>
          <w:p w14:paraId="2B3C1810" w14:textId="77777777" w:rsidR="00BB697F" w:rsidRPr="006047D8" w:rsidRDefault="00BB697F" w:rsidP="00BB697F">
            <w:pPr>
              <w:jc w:val="both"/>
              <w:rPr>
                <w:sz w:val="24"/>
                <w:szCs w:val="24"/>
              </w:rPr>
            </w:pPr>
          </w:p>
          <w:p w14:paraId="4E198A68" w14:textId="77777777" w:rsidR="00BB697F" w:rsidRDefault="00BB697F" w:rsidP="00BB697F">
            <w:pPr>
              <w:jc w:val="both"/>
              <w:rPr>
                <w:sz w:val="24"/>
                <w:szCs w:val="24"/>
              </w:rPr>
            </w:pPr>
            <w:r w:rsidRPr="006047D8">
              <w:rPr>
                <w:sz w:val="24"/>
                <w:szCs w:val="24"/>
              </w:rPr>
              <w:t>Duty to report is closely linked to section 126 of the SSWBA (2014) which places a duty on the local authority to make enquiries once informed an adult may be at risk in its area. An enquiry is means of information- gathering by local authority in response to concern. The decision to initiate enquires should be recorded to identify the point duty is initiated, and that enquires are completed according to time scale. The initial stage of the safeguarding process can be a strategy discussion which consists of the Designated Lead Manager (DLM) and the Police. Other professionals can attend if deemed necessary. In the strategy discussion, information is shared and course of action decided for example, no further action under safeguarding, enquiries required, or adult has care and support needs and assessment under Part 3 of the Act is carried out. Police present in strategy discussions determine whether any criminal offence is present. Based on the information from 3’s report and information shared by Police there was enough information to make an informed decision which suggest that grandson posed risk to 3 both physically and financially and enquiries should be the next step and if necessary for a strategy meeting to be held. The Police were also holding their own enquiries as grandson had committed assault on other family member. Some reports may indicate immediate protection and urgent action, to ensure safety of individual. Relevant agencies such as social services and Police have protection powers to act swiftly to protect individuals (Wales Safeguarding Procedures, 2019).  During the strategy discussion Police informed the grandson had been remanded by the Police and awaiting sentencing due to breeching probation order. The immediate risk to 3’s safety was reduced.</w:t>
            </w:r>
          </w:p>
          <w:p w14:paraId="3B73EBE3" w14:textId="77777777" w:rsidR="00BB697F" w:rsidRPr="006047D8" w:rsidRDefault="00BB697F" w:rsidP="00BB697F">
            <w:pPr>
              <w:jc w:val="both"/>
              <w:rPr>
                <w:sz w:val="24"/>
                <w:szCs w:val="24"/>
              </w:rPr>
            </w:pPr>
          </w:p>
          <w:p w14:paraId="44DF901F" w14:textId="77777777" w:rsidR="00BB697F" w:rsidRDefault="00BB697F" w:rsidP="00BB697F">
            <w:pPr>
              <w:jc w:val="both"/>
              <w:rPr>
                <w:sz w:val="24"/>
                <w:szCs w:val="24"/>
              </w:rPr>
            </w:pPr>
            <w:r w:rsidRPr="006047D8">
              <w:rPr>
                <w:sz w:val="24"/>
                <w:szCs w:val="24"/>
              </w:rPr>
              <w:t xml:space="preserve">Safeguarding procedures and guidelines state that during safeguarding process the involvement of the adult at risk is essential throughout. During the enquiry process it is essential the account of the adult at risk is gained and their views, wishes and feelings are considered. Although participation of adult is paramount consideration needs to be given to individual’s capacity to consent or participate in the process. The Mental Capacity Act (2005) is law protecting vulnerable adults regarding decision-making. If a person is deemed to lack capacity it means they lack capacity to make a particular decision or take a particular action for themselves at the time the decision or action is required. The first principle of the Act states there must be presumption of capacity unless there is evidence to state otherwise. It was reported by family that 3 did have some memory problems but no medical diagnosis noted. From the information received I had to presume 3 had capacity until evidence suggested otherwise.  </w:t>
            </w:r>
          </w:p>
          <w:p w14:paraId="692D47A4" w14:textId="77777777" w:rsidR="00BB697F" w:rsidRPr="006047D8" w:rsidRDefault="00BB697F" w:rsidP="00BB697F">
            <w:pPr>
              <w:jc w:val="both"/>
              <w:rPr>
                <w:sz w:val="24"/>
                <w:szCs w:val="24"/>
              </w:rPr>
            </w:pPr>
          </w:p>
          <w:p w14:paraId="4FA8D505" w14:textId="77777777" w:rsidR="00BB697F" w:rsidRPr="006047D8" w:rsidRDefault="00BB697F" w:rsidP="00BB697F">
            <w:pPr>
              <w:jc w:val="both"/>
              <w:rPr>
                <w:sz w:val="24"/>
                <w:szCs w:val="24"/>
              </w:rPr>
            </w:pPr>
            <w:r w:rsidRPr="006047D8">
              <w:rPr>
                <w:sz w:val="24"/>
                <w:szCs w:val="24"/>
              </w:rPr>
              <w:t xml:space="preserve">If an adult is unable to participate in safeguarding process, consideration for advocacy support must be made to represent individual.  Section 181 of the SSWBA (2014) places duty on local authorities for advocacy services to be made available to individuals in need of care and support. Part 10 Code of Practice 2014 (Advocacy) states advocacy supports individuals to express their views, rights and support to make informed choices in situations where the individual is unable to speak for themselves including safeguarding process. 3 was able to speak on his own behalf however did want his daughter present during visit. </w:t>
            </w:r>
          </w:p>
          <w:p w14:paraId="1B00FFE7" w14:textId="77777777" w:rsidR="00BB697F" w:rsidRDefault="00BB697F" w:rsidP="00BB697F">
            <w:pPr>
              <w:jc w:val="both"/>
              <w:rPr>
                <w:sz w:val="24"/>
                <w:szCs w:val="24"/>
              </w:rPr>
            </w:pPr>
            <w:r w:rsidRPr="006047D8">
              <w:rPr>
                <w:sz w:val="24"/>
                <w:szCs w:val="24"/>
              </w:rPr>
              <w:lastRenderedPageBreak/>
              <w:t>My role as a social worker in the process was to make enquiries under section 126</w:t>
            </w:r>
            <w:r w:rsidRPr="006047D8">
              <w:rPr>
                <w:strike/>
                <w:sz w:val="24"/>
                <w:szCs w:val="24"/>
              </w:rPr>
              <w:t>.</w:t>
            </w:r>
            <w:r w:rsidRPr="006047D8">
              <w:rPr>
                <w:sz w:val="24"/>
                <w:szCs w:val="24"/>
              </w:rPr>
              <w:t xml:space="preserve">  Understanding my professional social work role as well as understanding the legislative frameworks and guidance in relation to adults at risk is essential. It ensures I am acting lawfully and ethically when intervening in individual’s lives, it also enables me to explain accurately to 3, why I was there and what my duty and responsibilities were.</w:t>
            </w:r>
          </w:p>
          <w:p w14:paraId="0922592A" w14:textId="77777777" w:rsidR="00BB697F" w:rsidRPr="006047D8" w:rsidRDefault="00BB697F" w:rsidP="00BB697F">
            <w:pPr>
              <w:jc w:val="both"/>
              <w:rPr>
                <w:sz w:val="24"/>
                <w:szCs w:val="24"/>
              </w:rPr>
            </w:pPr>
          </w:p>
          <w:p w14:paraId="106607A7" w14:textId="77777777" w:rsidR="00BB697F" w:rsidRDefault="00BB697F" w:rsidP="00BB697F">
            <w:pPr>
              <w:jc w:val="both"/>
              <w:rPr>
                <w:sz w:val="24"/>
                <w:szCs w:val="24"/>
              </w:rPr>
            </w:pPr>
            <w:r w:rsidRPr="006047D8">
              <w:rPr>
                <w:sz w:val="24"/>
                <w:szCs w:val="24"/>
              </w:rPr>
              <w:t xml:space="preserve">I was aware that 3 was a Welsh speaker from the report received. I was able to conduct my enquiries through the medium of Welsh with 3, thus ensuring my practice was anti-oppressive and in line with ‘More than just words’ (2012) framework developed by the Welsh Government to strengthen Welsh language and culture. The ‘active offer’ means individuals who want a service in Welsh can, without having to ask for it. Receiving service in Welsh is crucial for ‘high quality, rights-based, person centred care (Care Inspectorate Wales). 3’s family were all Welsh speaking and he lived in a village where Welsh culture was important. Therefore, being able to communicate effectively with 3 during the process enabled 3 to participate fully, expressing his views, wishes and feelings in his mother tongue which was important to him.  I was satisfied 3 had been given a choice and I could facilitate his request. </w:t>
            </w:r>
          </w:p>
          <w:p w14:paraId="05C35A08" w14:textId="77777777" w:rsidR="00BB697F" w:rsidRPr="006047D8" w:rsidRDefault="00BB697F" w:rsidP="00BB697F">
            <w:pPr>
              <w:jc w:val="both"/>
              <w:rPr>
                <w:sz w:val="24"/>
                <w:szCs w:val="24"/>
              </w:rPr>
            </w:pPr>
          </w:p>
          <w:p w14:paraId="35405721" w14:textId="77777777" w:rsidR="00BB697F" w:rsidRDefault="00BB697F" w:rsidP="00BB697F">
            <w:pPr>
              <w:jc w:val="both"/>
              <w:rPr>
                <w:sz w:val="24"/>
                <w:szCs w:val="24"/>
              </w:rPr>
            </w:pPr>
            <w:r w:rsidRPr="006047D8">
              <w:rPr>
                <w:sz w:val="24"/>
                <w:szCs w:val="24"/>
              </w:rPr>
              <w:t>During my intervention it was imperative that I maintained focus on 3 as he was best placed to judge his own well-being while I also keeping focus on the concerns raised and potential risks.  One key element of an adult safeguarding enquiry is to establish facts as well as supporting adult to achieve a resolution through making informed decisions on what actions are taken. The decision should include the individual’s views and wishes and should be seen as an empowering process. Consideration was given to any potential risk of harm and protective factors. The risk had been removed for 3 as grandson was detained and his family were a protective factor.</w:t>
            </w:r>
          </w:p>
          <w:p w14:paraId="32619A1B" w14:textId="77777777" w:rsidR="00BB697F" w:rsidRPr="006047D8" w:rsidRDefault="00BB697F" w:rsidP="00BB697F">
            <w:pPr>
              <w:jc w:val="both"/>
              <w:rPr>
                <w:sz w:val="24"/>
                <w:szCs w:val="24"/>
              </w:rPr>
            </w:pPr>
          </w:p>
          <w:p w14:paraId="005B4F14" w14:textId="77777777" w:rsidR="00BB697F" w:rsidRDefault="00BB697F" w:rsidP="00BB697F">
            <w:pPr>
              <w:jc w:val="both"/>
              <w:rPr>
                <w:sz w:val="24"/>
                <w:szCs w:val="24"/>
              </w:rPr>
            </w:pPr>
            <w:r w:rsidRPr="006047D8">
              <w:rPr>
                <w:sz w:val="24"/>
                <w:szCs w:val="24"/>
              </w:rPr>
              <w:t>3 wanted his grandson to return home from prison, he had capacity and didn’t want the safeguarding referral to progress. During my enquiries I needed to discuss with 3 what further action was needed. Due to complexity of the case, and considering analysis of information gathered, in this instance my professional judgment would be to recommend a strategy meeting due to potential risk to 3 when grandson was released. For full participation and collaboration I informed 3 a strategy meeting was required. I explained without jargon the purpose of the strategy meeting and checked he understood by using reflection and active listening. These situations can cause conflict and tension between adult and practitioner, therefore ensuring such information is communicated effectively and sensitively, being careful of tone of voice, so as not to assert power, being honest about your responsibility while also respecting rights and dignity of the adult is important when building professional relationship.  These also relate to Section 1, Code of Professional Practice (2017), in establishing trust and confidence</w:t>
            </w:r>
          </w:p>
          <w:p w14:paraId="6561D64C" w14:textId="77777777" w:rsidR="00BB697F" w:rsidRPr="006047D8" w:rsidRDefault="00BB697F" w:rsidP="00BB697F">
            <w:pPr>
              <w:jc w:val="both"/>
              <w:rPr>
                <w:sz w:val="24"/>
                <w:szCs w:val="24"/>
              </w:rPr>
            </w:pPr>
          </w:p>
          <w:p w14:paraId="49F56DAF" w14:textId="77777777" w:rsidR="00BB697F" w:rsidRDefault="00BB697F" w:rsidP="00BB697F">
            <w:pPr>
              <w:jc w:val="both"/>
              <w:rPr>
                <w:sz w:val="24"/>
                <w:szCs w:val="24"/>
              </w:rPr>
            </w:pPr>
            <w:r w:rsidRPr="006047D8">
              <w:rPr>
                <w:sz w:val="24"/>
                <w:szCs w:val="24"/>
              </w:rPr>
              <w:t xml:space="preserve">A strategy meeting can be held even if adult at risk does not consent. In this instance the overriding principle was applied and strategy meeting was held to share information because of the significant level of potential harm to 3.  The strategy meeting was attended by Police the DLM, myself and Probation Service. My role here was to share information gathered during enquiry and relay 3’s views, wishes and feelings. There is an allocated chairperson and a formal agenda to follow with all discussion and actions formally recorded. The probation </w:t>
            </w:r>
            <w:r w:rsidRPr="006047D8">
              <w:rPr>
                <w:sz w:val="24"/>
                <w:szCs w:val="24"/>
              </w:rPr>
              <w:lastRenderedPageBreak/>
              <w:t xml:space="preserve">service shared that the grandson would be detained for several years due to a recent assault and would contact the Local Authority of any risks before his release. I was tasked with sharing the outcome of the meeting with 3. The Police would continue with their enquiry regarding the grandson and my involvement would end. </w:t>
            </w:r>
          </w:p>
          <w:p w14:paraId="75670F4D" w14:textId="77777777" w:rsidR="00BB697F" w:rsidRPr="006047D8" w:rsidRDefault="00BB697F" w:rsidP="00BB697F">
            <w:pPr>
              <w:jc w:val="both"/>
              <w:rPr>
                <w:sz w:val="24"/>
                <w:szCs w:val="24"/>
              </w:rPr>
            </w:pPr>
          </w:p>
          <w:p w14:paraId="677DADFC" w14:textId="77777777" w:rsidR="00BB697F" w:rsidRDefault="00BB697F" w:rsidP="00BB697F">
            <w:pPr>
              <w:jc w:val="both"/>
              <w:rPr>
                <w:sz w:val="24"/>
                <w:szCs w:val="24"/>
              </w:rPr>
            </w:pPr>
            <w:r w:rsidRPr="006047D8">
              <w:rPr>
                <w:sz w:val="24"/>
                <w:szCs w:val="24"/>
              </w:rPr>
              <w:t>All intervention from myself was recorded accurately on electronic system in line with legislation, policies and procedures. The information supports analysis of the assessment and establishes facts from hearsay, thus contributing to professional judgement and decision making while ensuring accountability.</w:t>
            </w:r>
          </w:p>
          <w:p w14:paraId="0DC2FA2E" w14:textId="77777777" w:rsidR="00BB697F" w:rsidRPr="006047D8" w:rsidRDefault="00BB697F" w:rsidP="00BB697F">
            <w:pPr>
              <w:jc w:val="both"/>
              <w:rPr>
                <w:sz w:val="24"/>
                <w:szCs w:val="24"/>
              </w:rPr>
            </w:pPr>
          </w:p>
          <w:p w14:paraId="5B889BD9" w14:textId="77777777" w:rsidR="00BB697F" w:rsidRPr="006047D8" w:rsidRDefault="00BB697F" w:rsidP="00BB697F">
            <w:pPr>
              <w:jc w:val="both"/>
              <w:rPr>
                <w:sz w:val="24"/>
                <w:szCs w:val="24"/>
              </w:rPr>
            </w:pPr>
            <w:r w:rsidRPr="006047D8">
              <w:rPr>
                <w:sz w:val="24"/>
                <w:szCs w:val="24"/>
              </w:rPr>
              <w:t>Howe (2013) states that theory is important in social work as it enables you to ‘make sense’ of difficult situations and people’s behaviour. There are a vast amount of theories in social work that give different understanding of why people behave in certain social situations</w:t>
            </w:r>
            <w:r w:rsidRPr="006047D8">
              <w:rPr>
                <w:strike/>
                <w:sz w:val="24"/>
                <w:szCs w:val="24"/>
              </w:rPr>
              <w:t>.</w:t>
            </w:r>
            <w:r w:rsidRPr="006047D8">
              <w:rPr>
                <w:sz w:val="24"/>
                <w:szCs w:val="24"/>
              </w:rPr>
              <w:t xml:space="preserve"> For this case study I applied person centred practice, grief and loss and attachment theory.</w:t>
            </w:r>
          </w:p>
          <w:p w14:paraId="22CFC4FA" w14:textId="77777777" w:rsidR="00BB697F" w:rsidRDefault="00BB697F" w:rsidP="00BB697F">
            <w:pPr>
              <w:jc w:val="both"/>
              <w:rPr>
                <w:sz w:val="24"/>
                <w:szCs w:val="24"/>
              </w:rPr>
            </w:pPr>
            <w:r w:rsidRPr="006047D8">
              <w:rPr>
                <w:sz w:val="24"/>
                <w:szCs w:val="24"/>
              </w:rPr>
              <w:t xml:space="preserve">Gardner (2013) stated that person centred practice (PCP) is relevant to social work because it places the individual at the forefront of intervention giving individuals more choice and control during any intervention.   PCP focuses on working collaboratively with people in need of care and support with their core principles being, listening; sharing power; responsive action and connection. PCP and its principles are in line with the principles of the SSWBA (2014) as well as guidance in the Wales Safeguarding Procedures to maintain a person centred approach when working with individuals at risk of abuse and neglect. Although I need to focus on the safeguarding concerns it was also important for me to listen to what 3 had to say about his life, his circumstances and what his wishes, feelings, values and beliefs were, which resulted in me finding out his strengths, his needs and any risks and its potential management and support any wellbeing outcomes identified.  </w:t>
            </w:r>
          </w:p>
          <w:p w14:paraId="0C047E45" w14:textId="77777777" w:rsidR="00BB697F" w:rsidRPr="006047D8" w:rsidRDefault="00BB697F" w:rsidP="00BB697F">
            <w:pPr>
              <w:jc w:val="both"/>
              <w:rPr>
                <w:sz w:val="24"/>
                <w:szCs w:val="24"/>
              </w:rPr>
            </w:pPr>
          </w:p>
          <w:p w14:paraId="17C468F0" w14:textId="77777777" w:rsidR="00BB697F" w:rsidRDefault="00BB697F" w:rsidP="00BB697F">
            <w:pPr>
              <w:jc w:val="both"/>
              <w:rPr>
                <w:sz w:val="24"/>
                <w:szCs w:val="24"/>
              </w:rPr>
            </w:pPr>
            <w:r w:rsidRPr="006047D8">
              <w:rPr>
                <w:sz w:val="24"/>
                <w:szCs w:val="24"/>
              </w:rPr>
              <w:t>3 was able to define his own wellbeing and identify that his family was very important to him. His grandson helped him a lot around the home and 3 said he missed his company and he would never him. I felt 3 was very protective of grandson and was loyal to him, however this did not exclude that grandson probably did have a temper and 3 may have given him money to avoid any confrontation. Balancing rights and risk and protection can be complex. Cree and Wallace (2009) argue it is full or moral and ethical dilemmas for practitioners mostly due to unpredictability of outcomes with no right or wrong answers, however a wrong decision can have serious consequences. Good social work practice therefore consists of sound knowledge of legislation, values, rights and responsibilities, and at best to reach a solution working alongside other professionals and the adult concerned.  Collaboration, respect, empowerment and empathy are essential to this approach and in adopting them practitioners will improve on practice as well as uphold autonomy and dignity of individual (Social Work Skills, 2023)</w:t>
            </w:r>
          </w:p>
          <w:p w14:paraId="236CE274" w14:textId="77777777" w:rsidR="00BB697F" w:rsidRPr="006047D8" w:rsidRDefault="00BB697F" w:rsidP="00BB697F">
            <w:pPr>
              <w:jc w:val="both"/>
              <w:rPr>
                <w:sz w:val="24"/>
                <w:szCs w:val="24"/>
              </w:rPr>
            </w:pPr>
          </w:p>
          <w:p w14:paraId="64FA88EA" w14:textId="77777777" w:rsidR="00BB697F" w:rsidRDefault="00BB697F" w:rsidP="00BB697F">
            <w:pPr>
              <w:jc w:val="both"/>
              <w:rPr>
                <w:sz w:val="24"/>
                <w:szCs w:val="24"/>
              </w:rPr>
            </w:pPr>
            <w:r w:rsidRPr="006047D8">
              <w:rPr>
                <w:sz w:val="24"/>
                <w:szCs w:val="24"/>
              </w:rPr>
              <w:t xml:space="preserve">Grief and loss theory was relevant in this case. According to Maclean (2015) grief and loss indicates the experience people go through when they are faced with loss. Although mostly associated when someone who suffered a bereavement, the grieving process is also relevant when someone has suffered a loss. 3’s wife had recently been admitted to a care home and at the same time his grandson had been imprisoned. 3 was having to work through his loss and the five stages of model of grief, denial, anger, bargaining, depression, acceptance is </w:t>
            </w:r>
            <w:r w:rsidRPr="006047D8">
              <w:rPr>
                <w:sz w:val="24"/>
                <w:szCs w:val="24"/>
              </w:rPr>
              <w:lastRenderedPageBreak/>
              <w:t xml:space="preserve">something 3 may need to process due to his sudden loss. 3 had lost is family as he knew it, his support network and companionships, the grief process may support 3 in building resilience to respond to the unwanted change. </w:t>
            </w:r>
          </w:p>
          <w:p w14:paraId="23383743" w14:textId="77777777" w:rsidR="00BB697F" w:rsidRPr="006047D8" w:rsidRDefault="00BB697F" w:rsidP="00BB697F">
            <w:pPr>
              <w:jc w:val="both"/>
              <w:rPr>
                <w:sz w:val="24"/>
                <w:szCs w:val="24"/>
              </w:rPr>
            </w:pPr>
          </w:p>
          <w:p w14:paraId="7A636F04" w14:textId="77777777" w:rsidR="00BB697F" w:rsidRDefault="00BB697F" w:rsidP="00BB697F">
            <w:pPr>
              <w:jc w:val="both"/>
              <w:rPr>
                <w:sz w:val="24"/>
                <w:szCs w:val="24"/>
              </w:rPr>
            </w:pPr>
            <w:r w:rsidRPr="006047D8">
              <w:rPr>
                <w:strike/>
                <w:sz w:val="24"/>
                <w:szCs w:val="24"/>
              </w:rPr>
              <w:t>A</w:t>
            </w:r>
            <w:r w:rsidRPr="006047D8">
              <w:rPr>
                <w:sz w:val="24"/>
                <w:szCs w:val="24"/>
              </w:rPr>
              <w:t>ttachment theory was relevant in this case due to the attachment 3 had with grandson and also vice versa due to grandson’s early childhood experience. 3 had become dependent on his grandson for his care needs and company. His grandson leaving may have left 3 with adult attachment anxiety, 3 reported he was lonely but showed no interest in attending any social clubs. Maclean (2015) argues that attachment based practice aids practitioners to understand people’s behaviour and how they may rely on their coping strategies during times of stress or loss.</w:t>
            </w:r>
          </w:p>
          <w:p w14:paraId="3EACC4E1" w14:textId="77777777" w:rsidR="00BB697F" w:rsidRPr="006047D8" w:rsidRDefault="00BB697F" w:rsidP="00BB697F">
            <w:pPr>
              <w:jc w:val="both"/>
              <w:rPr>
                <w:sz w:val="24"/>
                <w:szCs w:val="24"/>
              </w:rPr>
            </w:pPr>
          </w:p>
          <w:p w14:paraId="53A6EFE0" w14:textId="77777777" w:rsidR="00BB697F" w:rsidRDefault="00BB697F" w:rsidP="00BB697F">
            <w:pPr>
              <w:jc w:val="both"/>
              <w:rPr>
                <w:sz w:val="24"/>
                <w:szCs w:val="24"/>
              </w:rPr>
            </w:pPr>
            <w:r w:rsidRPr="006047D8">
              <w:rPr>
                <w:sz w:val="24"/>
                <w:szCs w:val="24"/>
              </w:rPr>
              <w:t xml:space="preserve">In reflecting on this case study I adopted </w:t>
            </w:r>
            <w:proofErr w:type="spellStart"/>
            <w:r w:rsidRPr="006047D8">
              <w:rPr>
                <w:sz w:val="24"/>
                <w:szCs w:val="24"/>
              </w:rPr>
              <w:t>Boud</w:t>
            </w:r>
            <w:proofErr w:type="spellEnd"/>
            <w:r w:rsidRPr="006047D8">
              <w:rPr>
                <w:sz w:val="24"/>
                <w:szCs w:val="24"/>
              </w:rPr>
              <w:t>, Keogh and Walker’s model of reflection. Maclean (2010) describes how the model can be used by practitioners when ‘attending to feelings’. Maclean argues that in practice social worker’s feelings are important. With this model practitioners are able to discuss their experience, how you are feeling, then reflect by discussing any negative or positive feelings and then outcomes, where new knowledge is identified and acted on in future.</w:t>
            </w:r>
          </w:p>
          <w:p w14:paraId="0509C6C8" w14:textId="77777777" w:rsidR="00BB697F" w:rsidRPr="006047D8" w:rsidRDefault="00BB697F" w:rsidP="00BB697F">
            <w:pPr>
              <w:jc w:val="both"/>
              <w:rPr>
                <w:sz w:val="24"/>
                <w:szCs w:val="24"/>
              </w:rPr>
            </w:pPr>
          </w:p>
          <w:p w14:paraId="464D554B" w14:textId="77777777" w:rsidR="00BB697F" w:rsidRDefault="00BB697F" w:rsidP="00BB697F">
            <w:pPr>
              <w:jc w:val="both"/>
              <w:rPr>
                <w:sz w:val="24"/>
                <w:szCs w:val="24"/>
              </w:rPr>
            </w:pPr>
            <w:r w:rsidRPr="006047D8">
              <w:rPr>
                <w:sz w:val="24"/>
                <w:szCs w:val="24"/>
              </w:rPr>
              <w:t>As a relatively new social worker I felt this model enabled me to reflect on my feelings in many ways, helping me make sense of them. Reflecting on my feelings when applying analysis in assessment to inform interventions, I did not feel I had much experience in safeguarding, and I wanted to be sure I knew my duties, responsibilities and 3’s rights.  However, in reflecting I did feel it was a sad situation, although 3 was safe and it was a good outcome for me, it was not necessarily a good outcome for him. Having a ‘what matters’ conversation with 3 in line with the SSWBA (2014) enables practitioners and individuals to have a conversation as equal partners about what matters to the individual as part of the assessment process, for example, how they want to live their life, and any barriers preventing this and ways of overcoming these barriers (Social Care Wales, 2022). In moving forward, I feel I have understood that not all interventions will have a positive outcome in social work as factors beyond someone’s control can have a negative effect, such as with 3. Being able to discuss in supervision will help me manage my emotions and feelings.</w:t>
            </w:r>
          </w:p>
          <w:p w14:paraId="631B8E5E" w14:textId="77777777" w:rsidR="00BB697F" w:rsidRPr="006047D8" w:rsidRDefault="00BB697F" w:rsidP="00BB697F">
            <w:pPr>
              <w:jc w:val="both"/>
              <w:rPr>
                <w:sz w:val="24"/>
                <w:szCs w:val="24"/>
              </w:rPr>
            </w:pPr>
          </w:p>
          <w:p w14:paraId="1FCDEDD2" w14:textId="77777777" w:rsidR="00BB697F" w:rsidRDefault="00BB697F" w:rsidP="00BB697F">
            <w:pPr>
              <w:jc w:val="both"/>
              <w:rPr>
                <w:sz w:val="24"/>
                <w:szCs w:val="24"/>
              </w:rPr>
            </w:pPr>
            <w:r w:rsidRPr="006047D8">
              <w:rPr>
                <w:sz w:val="24"/>
                <w:szCs w:val="24"/>
              </w:rPr>
              <w:t xml:space="preserve">Reflecting on working collaboratively with people and professionals. During this intervention I did feel quite nervous and felt some power imbalance working with the Police, which made me think how 3 might have felt when I visited him. It made me look at my own behaviour and the importance of being able to engage with individuals, working collaboratively resulting in positive outcomes for people. Police officers can come across quite authoritative and although there are times when practitioners have to be assertive I feel being pleasant and kind and respecting people, is a positive factor I have when working with people carers, and professionals. </w:t>
            </w:r>
          </w:p>
          <w:p w14:paraId="33319054" w14:textId="77777777" w:rsidR="00BB697F" w:rsidRPr="006047D8" w:rsidRDefault="00BB697F" w:rsidP="00BB697F">
            <w:pPr>
              <w:jc w:val="both"/>
              <w:rPr>
                <w:sz w:val="24"/>
                <w:szCs w:val="24"/>
              </w:rPr>
            </w:pPr>
          </w:p>
          <w:p w14:paraId="3A296762" w14:textId="77777777" w:rsidR="00BB697F" w:rsidRDefault="00BB697F" w:rsidP="00BB697F">
            <w:pPr>
              <w:jc w:val="both"/>
              <w:rPr>
                <w:sz w:val="24"/>
                <w:szCs w:val="24"/>
              </w:rPr>
            </w:pPr>
            <w:r w:rsidRPr="006047D8">
              <w:rPr>
                <w:sz w:val="24"/>
                <w:szCs w:val="24"/>
              </w:rPr>
              <w:t xml:space="preserve">Reflecting on intervention and application of professional judgement increasing complex situations I feel I do need further experience in this field, however with each experience I learn more.  I feel as practitioners we do make decisions on people’s lives, especially some who do not have capacity in their best interest which I feel can be an enormous responsibility. I use </w:t>
            </w:r>
            <w:r w:rsidRPr="006047D8">
              <w:rPr>
                <w:sz w:val="24"/>
                <w:szCs w:val="24"/>
              </w:rPr>
              <w:lastRenderedPageBreak/>
              <w:t xml:space="preserve">supervision to discuss and manage professional judgements in complex situations and learned that a good judgement is not about my opinion, what I think is best does not necessarily mean that’s what the individual wants. Taking responsibility for your actions and being accountable for your work and by listening to other professional’s views contributes to making a decision. It’s also considering people’s rights and doing what is morally right which is what inspired me to be a social worker. </w:t>
            </w:r>
          </w:p>
          <w:p w14:paraId="0F7ABABD" w14:textId="77777777" w:rsidR="00BB697F" w:rsidRPr="006047D8" w:rsidRDefault="00BB697F" w:rsidP="00BB697F">
            <w:pPr>
              <w:jc w:val="both"/>
              <w:rPr>
                <w:sz w:val="24"/>
                <w:szCs w:val="24"/>
              </w:rPr>
            </w:pPr>
          </w:p>
          <w:p w14:paraId="616FE920" w14:textId="77777777" w:rsidR="00BB697F" w:rsidRPr="006047D8" w:rsidRDefault="00BB697F" w:rsidP="00BB697F">
            <w:pPr>
              <w:jc w:val="both"/>
              <w:rPr>
                <w:sz w:val="24"/>
                <w:szCs w:val="24"/>
              </w:rPr>
            </w:pPr>
            <w:r w:rsidRPr="006047D8">
              <w:rPr>
                <w:sz w:val="24"/>
                <w:szCs w:val="24"/>
              </w:rPr>
              <w:t>Total = 4398</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044227" w14:textId="77777777" w:rsidR="00AA0905" w:rsidRDefault="00AA0905">
      <w:r>
        <w:separator/>
      </w:r>
    </w:p>
  </w:endnote>
  <w:endnote w:type="continuationSeparator" w:id="0">
    <w:p w14:paraId="4CFCA9EB" w14:textId="77777777" w:rsidR="00AA0905" w:rsidRDefault="00AA09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Arial Unicode MS"/>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A5656A" w:rsidRDefault="00A5656A">
    <w:pPr>
      <w:pStyle w:val="Footer"/>
      <w:jc w:val="right"/>
    </w:pPr>
    <w:r>
      <w:fldChar w:fldCharType="begin"/>
    </w:r>
    <w:r>
      <w:instrText xml:space="preserve"> PAGE   \* MERGEFORMAT </w:instrText>
    </w:r>
    <w:r>
      <w:fldChar w:fldCharType="separate"/>
    </w:r>
    <w:r w:rsidR="00EA2AB4">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A047D9" w14:textId="77777777" w:rsidR="00AA0905" w:rsidRDefault="00AA0905">
      <w:r>
        <w:separator/>
      </w:r>
    </w:p>
  </w:footnote>
  <w:footnote w:type="continuationSeparator" w:id="0">
    <w:p w14:paraId="78CCFDAC" w14:textId="77777777" w:rsidR="00AA0905" w:rsidRDefault="00AA090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3F4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0905"/>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55E4"/>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697F"/>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3E7E"/>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AB4"/>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439603F-CBA5-491D-9951-033EB11D0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4299</Words>
  <Characters>24509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 hughes</cp:lastModifiedBy>
  <cp:revision>4</cp:revision>
  <cp:lastPrinted>2020-02-11T19:20:00Z</cp:lastPrinted>
  <dcterms:created xsi:type="dcterms:W3CDTF">2024-02-19T10:50:00Z</dcterms:created>
  <dcterms:modified xsi:type="dcterms:W3CDTF">2024-02-21T08:01:00Z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