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A97EC" w14:textId="77777777" w:rsidR="001649C4" w:rsidRPr="001649C4" w:rsidRDefault="001649C4" w:rsidP="001649C4">
      <w:pPr>
        <w:spacing w:before="100" w:beforeAutospacing="1" w:after="100" w:afterAutospacing="1" w:line="360" w:lineRule="auto"/>
        <w:jc w:val="center"/>
        <w:outlineLvl w:val="0"/>
        <w:rPr>
          <w:rFonts w:ascii="Arial" w:eastAsia="Times New Roman" w:hAnsi="Arial" w:cs="Arial"/>
          <w:b/>
          <w:bCs/>
          <w:kern w:val="36"/>
          <w:sz w:val="36"/>
          <w:szCs w:val="36"/>
          <w:lang w:eastAsia="en-GB"/>
          <w14:ligatures w14:val="none"/>
        </w:rPr>
      </w:pPr>
      <w:r w:rsidRPr="001649C4">
        <w:rPr>
          <w:rFonts w:ascii="Arial" w:eastAsia="Times New Roman" w:hAnsi="Arial" w:cs="Arial"/>
          <w:b/>
          <w:bCs/>
          <w:kern w:val="36"/>
          <w:sz w:val="36"/>
          <w:szCs w:val="36"/>
          <w:lang w:eastAsia="en-GB"/>
          <w14:ligatures w14:val="none"/>
        </w:rPr>
        <w:t>University of Wales Trinity Saint David (UWTSD)</w:t>
      </w:r>
    </w:p>
    <w:p w14:paraId="39B03C0D" w14:textId="718736CD" w:rsidR="001649C4" w:rsidRDefault="001649C4" w:rsidP="001649C4">
      <w:pPr>
        <w:spacing w:after="0" w:line="360" w:lineRule="auto"/>
        <w:rPr>
          <w:rFonts w:ascii="Arial" w:eastAsia="Times New Roman" w:hAnsi="Arial" w:cs="Arial"/>
          <w:kern w:val="0"/>
          <w:lang w:eastAsia="en-GB"/>
          <w14:ligatures w14:val="none"/>
        </w:rPr>
      </w:pPr>
    </w:p>
    <w:p w14:paraId="3A4B762E" w14:textId="77777777" w:rsidR="001649C4" w:rsidRDefault="001649C4" w:rsidP="001649C4">
      <w:pPr>
        <w:spacing w:after="0" w:line="360" w:lineRule="auto"/>
        <w:rPr>
          <w:rFonts w:ascii="Arial" w:eastAsia="Times New Roman" w:hAnsi="Arial" w:cs="Arial"/>
          <w:kern w:val="0"/>
          <w:lang w:eastAsia="en-GB"/>
          <w14:ligatures w14:val="none"/>
        </w:rPr>
      </w:pPr>
    </w:p>
    <w:p w14:paraId="62EB7565" w14:textId="77777777" w:rsidR="001649C4" w:rsidRDefault="001649C4" w:rsidP="001649C4">
      <w:pPr>
        <w:spacing w:after="0" w:line="360" w:lineRule="auto"/>
        <w:rPr>
          <w:rFonts w:ascii="Arial" w:eastAsia="Times New Roman" w:hAnsi="Arial" w:cs="Arial"/>
          <w:kern w:val="0"/>
          <w:lang w:eastAsia="en-GB"/>
          <w14:ligatures w14:val="none"/>
        </w:rPr>
      </w:pPr>
    </w:p>
    <w:p w14:paraId="12F51EE9" w14:textId="77777777" w:rsidR="001649C4" w:rsidRDefault="001649C4" w:rsidP="001649C4">
      <w:pPr>
        <w:spacing w:after="0" w:line="360" w:lineRule="auto"/>
        <w:rPr>
          <w:rFonts w:ascii="Arial" w:eastAsia="Times New Roman" w:hAnsi="Arial" w:cs="Arial"/>
          <w:kern w:val="0"/>
          <w:lang w:eastAsia="en-GB"/>
          <w14:ligatures w14:val="none"/>
        </w:rPr>
      </w:pPr>
    </w:p>
    <w:p w14:paraId="4C493E72" w14:textId="77777777" w:rsidR="001649C4" w:rsidRDefault="001649C4" w:rsidP="001649C4">
      <w:pPr>
        <w:spacing w:after="0" w:line="360" w:lineRule="auto"/>
        <w:rPr>
          <w:rFonts w:ascii="Arial" w:eastAsia="Times New Roman" w:hAnsi="Arial" w:cs="Arial"/>
          <w:kern w:val="0"/>
          <w:lang w:eastAsia="en-GB"/>
          <w14:ligatures w14:val="none"/>
        </w:rPr>
      </w:pPr>
    </w:p>
    <w:p w14:paraId="6ADBEF12" w14:textId="77777777" w:rsidR="001649C4" w:rsidRDefault="001649C4" w:rsidP="001649C4">
      <w:pPr>
        <w:spacing w:after="0" w:line="360" w:lineRule="auto"/>
        <w:rPr>
          <w:rFonts w:ascii="Arial" w:eastAsia="Times New Roman" w:hAnsi="Arial" w:cs="Arial"/>
          <w:kern w:val="0"/>
          <w:lang w:eastAsia="en-GB"/>
          <w14:ligatures w14:val="none"/>
        </w:rPr>
      </w:pPr>
    </w:p>
    <w:p w14:paraId="592BB5A2" w14:textId="77777777" w:rsidR="001649C4" w:rsidRDefault="001649C4" w:rsidP="001649C4">
      <w:pPr>
        <w:spacing w:after="0" w:line="360" w:lineRule="auto"/>
        <w:rPr>
          <w:rFonts w:ascii="Arial" w:eastAsia="Times New Roman" w:hAnsi="Arial" w:cs="Arial"/>
          <w:kern w:val="0"/>
          <w:lang w:eastAsia="en-GB"/>
          <w14:ligatures w14:val="none"/>
        </w:rPr>
      </w:pPr>
    </w:p>
    <w:p w14:paraId="1FD0AE18" w14:textId="77777777" w:rsidR="001649C4" w:rsidRPr="001649C4" w:rsidRDefault="001649C4" w:rsidP="001649C4">
      <w:pPr>
        <w:spacing w:before="100" w:beforeAutospacing="1" w:after="100" w:afterAutospacing="1" w:line="360" w:lineRule="auto"/>
        <w:jc w:val="center"/>
        <w:rPr>
          <w:rFonts w:ascii="Arial" w:eastAsia="Times New Roman" w:hAnsi="Arial" w:cs="Arial"/>
          <w:kern w:val="0"/>
          <w:lang w:eastAsia="en-GB"/>
          <w14:ligatures w14:val="none"/>
        </w:rPr>
      </w:pPr>
      <w:r w:rsidRPr="001649C4">
        <w:rPr>
          <w:rFonts w:ascii="Arial" w:eastAsia="Times New Roman" w:hAnsi="Arial" w:cs="Arial"/>
          <w:b/>
          <w:bCs/>
          <w:kern w:val="0"/>
          <w:lang w:eastAsia="en-GB"/>
          <w14:ligatures w14:val="none"/>
        </w:rPr>
        <w:t>Human Resource Challenges and Contemporary HR Practices: A Critical Evaluation of Ocado Group plc</w:t>
      </w:r>
    </w:p>
    <w:p w14:paraId="54ADA62B" w14:textId="77777777" w:rsidR="001649C4" w:rsidRDefault="001649C4" w:rsidP="001649C4">
      <w:pPr>
        <w:spacing w:after="0" w:line="360" w:lineRule="auto"/>
        <w:rPr>
          <w:rFonts w:ascii="Arial" w:eastAsia="Times New Roman" w:hAnsi="Arial" w:cs="Arial"/>
          <w:kern w:val="0"/>
          <w:lang w:eastAsia="en-GB"/>
          <w14:ligatures w14:val="none"/>
        </w:rPr>
      </w:pPr>
    </w:p>
    <w:p w14:paraId="511909A6" w14:textId="77777777" w:rsidR="001649C4" w:rsidRDefault="001649C4" w:rsidP="001649C4">
      <w:pPr>
        <w:spacing w:after="0" w:line="360" w:lineRule="auto"/>
        <w:rPr>
          <w:rFonts w:ascii="Arial" w:eastAsia="Times New Roman" w:hAnsi="Arial" w:cs="Arial"/>
          <w:kern w:val="0"/>
          <w:lang w:eastAsia="en-GB"/>
          <w14:ligatures w14:val="none"/>
        </w:rPr>
      </w:pPr>
    </w:p>
    <w:p w14:paraId="70B5BFDA" w14:textId="77777777" w:rsidR="001649C4" w:rsidRDefault="001649C4" w:rsidP="001649C4">
      <w:pPr>
        <w:spacing w:after="0" w:line="360" w:lineRule="auto"/>
        <w:rPr>
          <w:rFonts w:ascii="Arial" w:eastAsia="Times New Roman" w:hAnsi="Arial" w:cs="Arial"/>
          <w:kern w:val="0"/>
          <w:lang w:eastAsia="en-GB"/>
          <w14:ligatures w14:val="none"/>
        </w:rPr>
      </w:pPr>
    </w:p>
    <w:p w14:paraId="6E7DBFCD" w14:textId="77777777" w:rsidR="001649C4" w:rsidRDefault="001649C4" w:rsidP="001649C4">
      <w:pPr>
        <w:spacing w:after="0" w:line="360" w:lineRule="auto"/>
        <w:rPr>
          <w:rFonts w:ascii="Arial" w:eastAsia="Times New Roman" w:hAnsi="Arial" w:cs="Arial"/>
          <w:kern w:val="0"/>
          <w:lang w:eastAsia="en-GB"/>
          <w14:ligatures w14:val="none"/>
        </w:rPr>
      </w:pPr>
    </w:p>
    <w:p w14:paraId="5A7DFAA3" w14:textId="77777777" w:rsidR="001649C4" w:rsidRDefault="001649C4" w:rsidP="001649C4">
      <w:pPr>
        <w:spacing w:after="0" w:line="360" w:lineRule="auto"/>
        <w:rPr>
          <w:rFonts w:ascii="Arial" w:eastAsia="Times New Roman" w:hAnsi="Arial" w:cs="Arial"/>
          <w:kern w:val="0"/>
          <w:lang w:eastAsia="en-GB"/>
          <w14:ligatures w14:val="none"/>
        </w:rPr>
      </w:pPr>
    </w:p>
    <w:p w14:paraId="18539515" w14:textId="77777777" w:rsidR="001649C4" w:rsidRPr="001649C4" w:rsidRDefault="001649C4" w:rsidP="001649C4">
      <w:pPr>
        <w:spacing w:after="0" w:line="360" w:lineRule="auto"/>
        <w:rPr>
          <w:rFonts w:ascii="Arial" w:eastAsia="Times New Roman" w:hAnsi="Arial" w:cs="Arial"/>
          <w:kern w:val="0"/>
          <w:lang w:eastAsia="en-GB"/>
          <w14:ligatures w14:val="none"/>
        </w:rPr>
      </w:pPr>
    </w:p>
    <w:p w14:paraId="38FC9C16" w14:textId="77777777" w:rsidR="001649C4" w:rsidRPr="001649C4" w:rsidRDefault="001649C4" w:rsidP="001649C4">
      <w:pPr>
        <w:spacing w:before="100" w:beforeAutospacing="1" w:after="100" w:afterAutospacing="1" w:line="360" w:lineRule="auto"/>
        <w:jc w:val="center"/>
        <w:rPr>
          <w:rFonts w:ascii="Arial" w:eastAsia="Times New Roman" w:hAnsi="Arial" w:cs="Arial"/>
          <w:kern w:val="0"/>
          <w:lang w:eastAsia="en-GB"/>
          <w14:ligatures w14:val="none"/>
        </w:rPr>
      </w:pPr>
      <w:r w:rsidRPr="001649C4">
        <w:rPr>
          <w:rFonts w:ascii="Arial" w:eastAsia="Times New Roman" w:hAnsi="Arial" w:cs="Arial"/>
          <w:b/>
          <w:bCs/>
          <w:kern w:val="0"/>
          <w:lang w:eastAsia="en-GB"/>
          <w14:ligatures w14:val="none"/>
        </w:rPr>
        <w:t>Module:</w:t>
      </w:r>
      <w:r w:rsidRPr="001649C4">
        <w:rPr>
          <w:rFonts w:ascii="Arial" w:eastAsia="Times New Roman" w:hAnsi="Arial" w:cs="Arial"/>
          <w:kern w:val="0"/>
          <w:lang w:eastAsia="en-GB"/>
          <w14:ligatures w14:val="none"/>
        </w:rPr>
        <w:br/>
        <w:t>Developing and Managing Individuals and Teams</w:t>
      </w:r>
    </w:p>
    <w:p w14:paraId="511A0853" w14:textId="3A5BF185" w:rsidR="001649C4" w:rsidRDefault="001649C4"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b/>
          <w:bCs/>
          <w:kern w:val="0"/>
          <w:lang w:eastAsia="en-GB"/>
          <w14:ligatures w14:val="none"/>
        </w:rPr>
        <w:t>Student Name:</w:t>
      </w:r>
      <w:r w:rsidRPr="001649C4">
        <w:rPr>
          <w:rFonts w:ascii="Arial" w:eastAsia="Times New Roman" w:hAnsi="Arial" w:cs="Arial"/>
          <w:kern w:val="0"/>
          <w:lang w:eastAsia="en-GB"/>
          <w14:ligatures w14:val="none"/>
        </w:rPr>
        <w:br/>
      </w:r>
      <w:r w:rsidRPr="001649C4">
        <w:rPr>
          <w:rFonts w:ascii="Arial" w:eastAsia="Times New Roman" w:hAnsi="Arial" w:cs="Arial"/>
          <w:b/>
          <w:bCs/>
          <w:kern w:val="0"/>
          <w:lang w:eastAsia="en-GB"/>
          <w14:ligatures w14:val="none"/>
        </w:rPr>
        <w:t>Ihor Vynnychuk</w:t>
      </w:r>
    </w:p>
    <w:p w14:paraId="63FF6FF1" w14:textId="2BE6D22E" w:rsidR="001649C4" w:rsidRPr="001649C4" w:rsidRDefault="001649C4"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b/>
          <w:bCs/>
          <w:kern w:val="0"/>
          <w:lang w:eastAsia="en-GB"/>
          <w14:ligatures w14:val="none"/>
        </w:rPr>
        <w:t>Student Number:</w:t>
      </w:r>
      <w:r w:rsidRPr="001649C4">
        <w:rPr>
          <w:rFonts w:ascii="Arial" w:eastAsia="Times New Roman" w:hAnsi="Arial" w:cs="Arial"/>
          <w:kern w:val="0"/>
          <w:lang w:eastAsia="en-GB"/>
          <w14:ligatures w14:val="none"/>
        </w:rPr>
        <w:br/>
      </w:r>
      <w:r w:rsidRPr="001649C4">
        <w:rPr>
          <w:rFonts w:ascii="Arial" w:eastAsia="Times New Roman" w:hAnsi="Arial" w:cs="Arial"/>
          <w:b/>
          <w:bCs/>
          <w:kern w:val="0"/>
          <w:lang w:eastAsia="en-GB"/>
          <w14:ligatures w14:val="none"/>
        </w:rPr>
        <w:t>2440578</w:t>
      </w:r>
    </w:p>
    <w:p w14:paraId="597656AD" w14:textId="77777777" w:rsidR="001649C4" w:rsidRDefault="001649C4" w:rsidP="001649C4">
      <w:pPr>
        <w:spacing w:before="100" w:beforeAutospacing="1" w:after="100" w:afterAutospacing="1" w:line="360" w:lineRule="auto"/>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t>Module Lecturer:</w:t>
      </w:r>
      <w:r w:rsidRPr="001649C4">
        <w:rPr>
          <w:rFonts w:ascii="Arial" w:eastAsia="Times New Roman" w:hAnsi="Arial" w:cs="Arial"/>
          <w:kern w:val="0"/>
          <w:lang w:eastAsia="en-GB"/>
          <w14:ligatures w14:val="none"/>
        </w:rPr>
        <w:br/>
      </w:r>
      <w:r w:rsidRPr="001649C4">
        <w:rPr>
          <w:rFonts w:ascii="Arial" w:eastAsia="Times New Roman" w:hAnsi="Arial" w:cs="Arial"/>
          <w:b/>
          <w:bCs/>
          <w:kern w:val="0"/>
          <w:lang w:eastAsia="en-GB"/>
          <w14:ligatures w14:val="none"/>
        </w:rPr>
        <w:t>Amer Kareem</w:t>
      </w:r>
    </w:p>
    <w:p w14:paraId="5D44E996" w14:textId="77777777" w:rsidR="001649C4" w:rsidRDefault="001649C4" w:rsidP="001649C4">
      <w:pPr>
        <w:spacing w:before="100" w:beforeAutospacing="1" w:after="100" w:afterAutospacing="1" w:line="360" w:lineRule="auto"/>
        <w:rPr>
          <w:rFonts w:ascii="Arial" w:eastAsia="Times New Roman" w:hAnsi="Arial" w:cs="Arial"/>
          <w:b/>
          <w:bCs/>
          <w:kern w:val="0"/>
          <w:lang w:eastAsia="en-GB"/>
          <w14:ligatures w14:val="none"/>
        </w:rPr>
      </w:pPr>
    </w:p>
    <w:p w14:paraId="3B724367" w14:textId="77777777" w:rsidR="001649C4" w:rsidRPr="001649C4" w:rsidRDefault="001649C4" w:rsidP="001649C4">
      <w:pPr>
        <w:spacing w:before="100" w:beforeAutospacing="1" w:after="100" w:afterAutospacing="1" w:line="360" w:lineRule="auto"/>
        <w:rPr>
          <w:rFonts w:ascii="Arial" w:eastAsia="Times New Roman" w:hAnsi="Arial" w:cs="Arial"/>
          <w:kern w:val="0"/>
          <w:lang w:eastAsia="en-GB"/>
          <w14:ligatures w14:val="none"/>
        </w:rPr>
      </w:pPr>
    </w:p>
    <w:p w14:paraId="4E754CD2" w14:textId="77777777" w:rsidR="001649C4" w:rsidRPr="001649C4" w:rsidRDefault="001649C4" w:rsidP="001649C4">
      <w:pPr>
        <w:spacing w:before="100" w:beforeAutospacing="1" w:after="100" w:afterAutospacing="1" w:line="360" w:lineRule="auto"/>
        <w:outlineLvl w:val="2"/>
        <w:rPr>
          <w:rFonts w:ascii="Arial" w:eastAsia="Times New Roman" w:hAnsi="Arial" w:cs="Arial"/>
          <w:b/>
          <w:bCs/>
          <w:kern w:val="0"/>
          <w:lang w:eastAsia="en-GB"/>
          <w14:ligatures w14:val="none"/>
        </w:rPr>
      </w:pPr>
    </w:p>
    <w:p w14:paraId="55ABF27F" w14:textId="77777777" w:rsidR="001649C4" w:rsidRDefault="001649C4" w:rsidP="001649C4">
      <w:pPr>
        <w:spacing w:before="100" w:beforeAutospacing="1" w:after="100" w:afterAutospacing="1" w:line="360" w:lineRule="auto"/>
        <w:outlineLvl w:val="2"/>
        <w:rPr>
          <w:rFonts w:ascii="Arial" w:eastAsia="Times New Roman" w:hAnsi="Arial" w:cs="Arial"/>
          <w:b/>
          <w:bCs/>
          <w:kern w:val="0"/>
          <w:lang w:eastAsia="en-GB"/>
          <w14:ligatures w14:val="none"/>
        </w:rPr>
      </w:pPr>
    </w:p>
    <w:p w14:paraId="371868A8" w14:textId="744D5467" w:rsidR="00133D12" w:rsidRPr="001649C4" w:rsidRDefault="00133D12" w:rsidP="001649C4">
      <w:pPr>
        <w:spacing w:before="100" w:beforeAutospacing="1" w:after="100" w:afterAutospacing="1" w:line="360" w:lineRule="auto"/>
        <w:outlineLvl w:val="2"/>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lastRenderedPageBreak/>
        <w:t>Table of Contents</w:t>
      </w:r>
    </w:p>
    <w:p w14:paraId="3E73BA1E" w14:textId="11E0A429" w:rsidR="00133D12" w:rsidRPr="001649C4" w:rsidRDefault="00133D12" w:rsidP="001649C4">
      <w:pPr>
        <w:spacing w:before="100" w:beforeAutospacing="1" w:after="100" w:afterAutospacing="1" w:line="360" w:lineRule="auto"/>
        <w:ind w:left="36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Introduction </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3</w:t>
      </w:r>
    </w:p>
    <w:p w14:paraId="78B7D681" w14:textId="720684DE" w:rsidR="00133D12" w:rsidRPr="001649C4" w:rsidRDefault="00133D12" w:rsidP="001649C4">
      <w:pPr>
        <w:pStyle w:val="ListParagraph"/>
        <w:numPr>
          <w:ilvl w:val="0"/>
          <w:numId w:val="8"/>
        </w:numPr>
        <w:spacing w:before="100" w:beforeAutospacing="1" w:after="100" w:afterAutospacing="1" w:line="360" w:lineRule="auto"/>
        <w:rPr>
          <w:rFonts w:ascii="Arial" w:eastAsia="Times New Roman" w:hAnsi="Arial" w:cs="Arial"/>
          <w:kern w:val="0"/>
          <w:lang w:eastAsia="en-GB"/>
          <w14:ligatures w14:val="none"/>
        </w:rPr>
      </w:pPr>
      <w:bookmarkStart w:id="0" w:name="_Hlk236397379"/>
      <w:r w:rsidRPr="001649C4">
        <w:rPr>
          <w:rFonts w:ascii="Arial" w:eastAsia="Times New Roman" w:hAnsi="Arial" w:cs="Arial"/>
          <w:kern w:val="0"/>
          <w:lang w:eastAsia="en-GB"/>
          <w14:ligatures w14:val="none"/>
        </w:rPr>
        <w:t xml:space="preserve">Explanation of Key Factors </w:t>
      </w:r>
      <w:r w:rsidR="0074048D">
        <w:rPr>
          <w:rFonts w:ascii="Arial" w:eastAsia="Times New Roman" w:hAnsi="Arial" w:cs="Arial"/>
          <w:kern w:val="0"/>
          <w:lang w:eastAsia="en-GB"/>
          <w14:ligatures w14:val="none"/>
        </w:rPr>
        <w:t>……………………………………………………</w:t>
      </w:r>
      <w:proofErr w:type="gramStart"/>
      <w:r w:rsidR="0074048D">
        <w:rPr>
          <w:rFonts w:ascii="Arial" w:eastAsia="Times New Roman" w:hAnsi="Arial" w:cs="Arial"/>
          <w:kern w:val="0"/>
          <w:lang w:eastAsia="en-GB"/>
          <w14:ligatures w14:val="none"/>
        </w:rPr>
        <w:t>…..</w:t>
      </w:r>
      <w:proofErr w:type="gramEnd"/>
      <w:r w:rsidR="00B868F5">
        <w:rPr>
          <w:rFonts w:ascii="Arial" w:eastAsia="Times New Roman" w:hAnsi="Arial" w:cs="Arial"/>
          <w:kern w:val="0"/>
          <w:lang w:eastAsia="en-GB"/>
          <w14:ligatures w14:val="none"/>
        </w:rPr>
        <w:t>4</w:t>
      </w:r>
    </w:p>
    <w:bookmarkEnd w:id="0"/>
    <w:p w14:paraId="3FAD0940" w14:textId="29A17DA4" w:rsidR="00133D12" w:rsidRPr="001649C4" w:rsidRDefault="00E164D3" w:rsidP="001649C4">
      <w:pPr>
        <w:spacing w:before="100" w:beforeAutospacing="1" w:after="100" w:afterAutospacing="1" w:line="360" w:lineRule="auto"/>
        <w:ind w:left="108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1.1 </w:t>
      </w:r>
      <w:r w:rsidR="00133D12" w:rsidRPr="001649C4">
        <w:rPr>
          <w:rFonts w:ascii="Arial" w:eastAsia="Times New Roman" w:hAnsi="Arial" w:cs="Arial"/>
          <w:kern w:val="0"/>
          <w:lang w:eastAsia="en-GB"/>
          <w14:ligatures w14:val="none"/>
        </w:rPr>
        <w:t xml:space="preserve">Adapting to Technological Advancements </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w:t>
      </w:r>
      <w:r w:rsidR="0074048D">
        <w:rPr>
          <w:rFonts w:ascii="Arial" w:eastAsia="Times New Roman" w:hAnsi="Arial" w:cs="Arial"/>
          <w:kern w:val="0"/>
          <w:lang w:eastAsia="en-GB"/>
          <w14:ligatures w14:val="none"/>
        </w:rPr>
        <w:t>…</w:t>
      </w:r>
      <w:proofErr w:type="gramStart"/>
      <w:r w:rsidR="0074048D">
        <w:rPr>
          <w:rFonts w:ascii="Arial" w:eastAsia="Times New Roman" w:hAnsi="Arial" w:cs="Arial"/>
          <w:kern w:val="0"/>
          <w:lang w:eastAsia="en-GB"/>
          <w14:ligatures w14:val="none"/>
        </w:rPr>
        <w:t>…..</w:t>
      </w:r>
      <w:proofErr w:type="gramEnd"/>
      <w:r w:rsidR="00B868F5">
        <w:rPr>
          <w:rFonts w:ascii="Arial" w:eastAsia="Times New Roman" w:hAnsi="Arial" w:cs="Arial"/>
          <w:kern w:val="0"/>
          <w:lang w:eastAsia="en-GB"/>
          <w14:ligatures w14:val="none"/>
        </w:rPr>
        <w:t>4</w:t>
      </w:r>
    </w:p>
    <w:p w14:paraId="6C48B5C9" w14:textId="2CB408C9" w:rsidR="00133D12" w:rsidRPr="001649C4" w:rsidRDefault="00E164D3" w:rsidP="001649C4">
      <w:pPr>
        <w:spacing w:before="100" w:beforeAutospacing="1" w:after="100" w:afterAutospacing="1" w:line="360" w:lineRule="auto"/>
        <w:ind w:left="108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1.2 </w:t>
      </w:r>
      <w:r w:rsidR="00133D12" w:rsidRPr="001649C4">
        <w:rPr>
          <w:rFonts w:ascii="Arial" w:eastAsia="Times New Roman" w:hAnsi="Arial" w:cs="Arial"/>
          <w:kern w:val="0"/>
          <w:lang w:eastAsia="en-GB"/>
          <w14:ligatures w14:val="none"/>
        </w:rPr>
        <w:t xml:space="preserve">Talent Acquisition and Retention </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4</w:t>
      </w:r>
    </w:p>
    <w:p w14:paraId="3C72E28C" w14:textId="2F5CB68C" w:rsidR="00133D12" w:rsidRPr="001649C4" w:rsidRDefault="00E164D3" w:rsidP="001649C4">
      <w:pPr>
        <w:spacing w:before="100" w:beforeAutospacing="1" w:after="100" w:afterAutospacing="1" w:line="360" w:lineRule="auto"/>
        <w:ind w:left="108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1.3 </w:t>
      </w:r>
      <w:r w:rsidR="00133D12" w:rsidRPr="001649C4">
        <w:rPr>
          <w:rFonts w:ascii="Arial" w:eastAsia="Times New Roman" w:hAnsi="Arial" w:cs="Arial"/>
          <w:kern w:val="0"/>
          <w:lang w:eastAsia="en-GB"/>
          <w14:ligatures w14:val="none"/>
        </w:rPr>
        <w:t xml:space="preserve">Diversity, Equity and Inclusion (DEI) </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5</w:t>
      </w:r>
    </w:p>
    <w:p w14:paraId="1E69D886" w14:textId="5A523B72" w:rsidR="00133D12" w:rsidRPr="001649C4" w:rsidRDefault="00E164D3" w:rsidP="001649C4">
      <w:pPr>
        <w:spacing w:before="100" w:beforeAutospacing="1" w:after="100" w:afterAutospacing="1" w:line="360" w:lineRule="auto"/>
        <w:ind w:left="36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2. </w:t>
      </w:r>
      <w:bookmarkStart w:id="1" w:name="_Hlk236397437"/>
      <w:r w:rsidR="00133D12" w:rsidRPr="001649C4">
        <w:rPr>
          <w:rFonts w:ascii="Arial" w:eastAsia="Times New Roman" w:hAnsi="Arial" w:cs="Arial"/>
          <w:kern w:val="0"/>
          <w:lang w:eastAsia="en-GB"/>
          <w14:ligatures w14:val="none"/>
        </w:rPr>
        <w:t xml:space="preserve">Evaluation of Contemporary HR Practices </w:t>
      </w:r>
      <w:bookmarkEnd w:id="1"/>
      <w:r w:rsidR="0074048D">
        <w:rPr>
          <w:rFonts w:ascii="Arial" w:eastAsia="Times New Roman" w:hAnsi="Arial" w:cs="Arial"/>
          <w:kern w:val="0"/>
          <w:lang w:eastAsia="en-GB"/>
          <w14:ligatures w14:val="none"/>
        </w:rPr>
        <w:t>…………………………………</w:t>
      </w:r>
      <w:proofErr w:type="gramStart"/>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w:t>
      </w:r>
      <w:proofErr w:type="gramEnd"/>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6</w:t>
      </w:r>
    </w:p>
    <w:p w14:paraId="5DA440FA" w14:textId="1FBF67C5" w:rsidR="00133D12" w:rsidRPr="001649C4" w:rsidRDefault="00133D12" w:rsidP="001649C4">
      <w:pPr>
        <w:spacing w:before="100" w:beforeAutospacing="1" w:after="100" w:afterAutospacing="1" w:line="360" w:lineRule="auto"/>
        <w:ind w:left="108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2.1 Technology-focused HR Practices </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6</w:t>
      </w:r>
    </w:p>
    <w:p w14:paraId="015DAEC9" w14:textId="1FB09F20" w:rsidR="00133D12" w:rsidRPr="001649C4" w:rsidRDefault="00E164D3" w:rsidP="001649C4">
      <w:pPr>
        <w:spacing w:before="100" w:beforeAutospacing="1" w:after="100" w:afterAutospacing="1" w:line="360" w:lineRule="auto"/>
        <w:ind w:left="108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2.2 </w:t>
      </w:r>
      <w:r w:rsidR="00133D12" w:rsidRPr="001649C4">
        <w:rPr>
          <w:rFonts w:ascii="Arial" w:eastAsia="Times New Roman" w:hAnsi="Arial" w:cs="Arial"/>
          <w:kern w:val="0"/>
          <w:lang w:eastAsia="en-GB"/>
          <w14:ligatures w14:val="none"/>
        </w:rPr>
        <w:t xml:space="preserve">Talent Management Practices </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6</w:t>
      </w:r>
    </w:p>
    <w:p w14:paraId="02070115" w14:textId="55D54399" w:rsidR="00133D12" w:rsidRPr="001649C4" w:rsidRDefault="00E164D3" w:rsidP="001649C4">
      <w:pPr>
        <w:spacing w:before="100" w:beforeAutospacing="1" w:after="100" w:afterAutospacing="1" w:line="360" w:lineRule="auto"/>
        <w:ind w:left="108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2.3 </w:t>
      </w:r>
      <w:r w:rsidR="00133D12" w:rsidRPr="001649C4">
        <w:rPr>
          <w:rFonts w:ascii="Arial" w:eastAsia="Times New Roman" w:hAnsi="Arial" w:cs="Arial"/>
          <w:kern w:val="0"/>
          <w:lang w:eastAsia="en-GB"/>
          <w14:ligatures w14:val="none"/>
        </w:rPr>
        <w:t xml:space="preserve">DEI Practices </w:t>
      </w:r>
      <w:r w:rsidR="0074048D">
        <w:rPr>
          <w:rFonts w:ascii="Arial" w:eastAsia="Times New Roman" w:hAnsi="Arial" w:cs="Arial"/>
          <w:kern w:val="0"/>
          <w:lang w:eastAsia="en-GB"/>
          <w14:ligatures w14:val="none"/>
        </w:rPr>
        <w:t>……………………………………………………………</w:t>
      </w:r>
      <w:proofErr w:type="gramStart"/>
      <w:r w:rsidR="0074048D">
        <w:rPr>
          <w:rFonts w:ascii="Arial" w:eastAsia="Times New Roman" w:hAnsi="Arial" w:cs="Arial"/>
          <w:kern w:val="0"/>
          <w:lang w:eastAsia="en-GB"/>
          <w14:ligatures w14:val="none"/>
        </w:rPr>
        <w:t>…..</w:t>
      </w:r>
      <w:proofErr w:type="gramEnd"/>
      <w:r w:rsidR="00B868F5">
        <w:rPr>
          <w:rFonts w:ascii="Arial" w:eastAsia="Times New Roman" w:hAnsi="Arial" w:cs="Arial"/>
          <w:kern w:val="0"/>
          <w:lang w:eastAsia="en-GB"/>
          <w14:ligatures w14:val="none"/>
        </w:rPr>
        <w:t>7</w:t>
      </w:r>
    </w:p>
    <w:p w14:paraId="61C12E9C" w14:textId="58191306" w:rsidR="00133D12" w:rsidRPr="001649C4" w:rsidRDefault="00E164D3" w:rsidP="001649C4">
      <w:pPr>
        <w:spacing w:before="100" w:beforeAutospacing="1" w:after="100" w:afterAutospacing="1" w:line="360" w:lineRule="auto"/>
        <w:ind w:left="36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3. </w:t>
      </w:r>
      <w:r w:rsidR="00133D12" w:rsidRPr="001649C4">
        <w:rPr>
          <w:rFonts w:ascii="Arial" w:eastAsia="Times New Roman" w:hAnsi="Arial" w:cs="Arial"/>
          <w:kern w:val="0"/>
          <w:lang w:eastAsia="en-GB"/>
          <w14:ligatures w14:val="none"/>
        </w:rPr>
        <w:t xml:space="preserve">Critical Evaluation of Managerial Implementation </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8</w:t>
      </w:r>
    </w:p>
    <w:p w14:paraId="54B8940D" w14:textId="54FBA49F" w:rsidR="00E164D3" w:rsidRPr="001649C4" w:rsidRDefault="00E164D3" w:rsidP="001649C4">
      <w:pPr>
        <w:spacing w:before="100" w:beforeAutospacing="1" w:after="100" w:afterAutospacing="1" w:line="360" w:lineRule="auto"/>
        <w:ind w:left="36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 </w:t>
      </w:r>
      <w:r w:rsidR="00133D12" w:rsidRPr="001649C4">
        <w:rPr>
          <w:rFonts w:ascii="Arial" w:eastAsia="Times New Roman" w:hAnsi="Arial" w:cs="Arial"/>
          <w:kern w:val="0"/>
          <w:lang w:eastAsia="en-GB"/>
          <w14:ligatures w14:val="none"/>
        </w:rPr>
        <w:t xml:space="preserve">Conclusion </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10</w:t>
      </w:r>
    </w:p>
    <w:p w14:paraId="4B2613E9" w14:textId="46A7244C" w:rsidR="00133D12" w:rsidRPr="001649C4" w:rsidRDefault="00E164D3" w:rsidP="001649C4">
      <w:pPr>
        <w:spacing w:before="100" w:beforeAutospacing="1" w:after="100" w:afterAutospacing="1" w:line="360" w:lineRule="auto"/>
        <w:ind w:left="36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 </w:t>
      </w:r>
      <w:r w:rsidR="00133D12" w:rsidRPr="001649C4">
        <w:rPr>
          <w:rFonts w:ascii="Arial" w:eastAsia="Times New Roman" w:hAnsi="Arial" w:cs="Arial"/>
          <w:kern w:val="0"/>
          <w:lang w:eastAsia="en-GB"/>
          <w14:ligatures w14:val="none"/>
        </w:rPr>
        <w:t xml:space="preserve">Recommendations </w:t>
      </w:r>
      <w:r w:rsidR="0074048D">
        <w:rPr>
          <w:rFonts w:ascii="Arial" w:eastAsia="Times New Roman" w:hAnsi="Arial" w:cs="Arial"/>
          <w:kern w:val="0"/>
          <w:lang w:eastAsia="en-GB"/>
          <w14:ligatures w14:val="none"/>
        </w:rPr>
        <w:t>…………………………………………………………</w:t>
      </w:r>
      <w:r w:rsidR="00B868F5">
        <w:rPr>
          <w:rFonts w:ascii="Arial" w:eastAsia="Times New Roman" w:hAnsi="Arial" w:cs="Arial"/>
          <w:kern w:val="0"/>
          <w:lang w:eastAsia="en-GB"/>
          <w14:ligatures w14:val="none"/>
        </w:rPr>
        <w:t>.</w:t>
      </w:r>
      <w:r w:rsidR="0074048D">
        <w:rPr>
          <w:rFonts w:ascii="Arial" w:eastAsia="Times New Roman" w:hAnsi="Arial" w:cs="Arial"/>
          <w:kern w:val="0"/>
          <w:lang w:eastAsia="en-GB"/>
          <w14:ligatures w14:val="none"/>
        </w:rPr>
        <w:t>……</w:t>
      </w:r>
      <w:proofErr w:type="gramStart"/>
      <w:r w:rsidR="0074048D">
        <w:rPr>
          <w:rFonts w:ascii="Arial" w:eastAsia="Times New Roman" w:hAnsi="Arial" w:cs="Arial"/>
          <w:kern w:val="0"/>
          <w:lang w:eastAsia="en-GB"/>
          <w14:ligatures w14:val="none"/>
        </w:rPr>
        <w:t>…..</w:t>
      </w:r>
      <w:proofErr w:type="gramEnd"/>
      <w:r w:rsidR="00B868F5">
        <w:rPr>
          <w:rFonts w:ascii="Arial" w:eastAsia="Times New Roman" w:hAnsi="Arial" w:cs="Arial"/>
          <w:kern w:val="0"/>
          <w:lang w:eastAsia="en-GB"/>
          <w14:ligatures w14:val="none"/>
        </w:rPr>
        <w:t>11</w:t>
      </w:r>
    </w:p>
    <w:p w14:paraId="0ED6BF31" w14:textId="4EAEF95E" w:rsidR="00133D12" w:rsidRPr="001649C4" w:rsidRDefault="00133D12" w:rsidP="001649C4">
      <w:pPr>
        <w:spacing w:before="100" w:beforeAutospacing="1" w:after="100" w:afterAutospacing="1" w:line="360" w:lineRule="auto"/>
        <w:ind w:left="36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References </w:t>
      </w:r>
      <w:r w:rsidR="0074048D">
        <w:rPr>
          <w:rFonts w:ascii="Arial" w:eastAsia="Times New Roman" w:hAnsi="Arial" w:cs="Arial"/>
          <w:kern w:val="0"/>
          <w:lang w:eastAsia="en-GB"/>
          <w14:ligatures w14:val="none"/>
        </w:rPr>
        <w:t>…………………………………………………………………………</w:t>
      </w:r>
      <w:proofErr w:type="gramStart"/>
      <w:r w:rsidR="0074048D">
        <w:rPr>
          <w:rFonts w:ascii="Arial" w:eastAsia="Times New Roman" w:hAnsi="Arial" w:cs="Arial"/>
          <w:kern w:val="0"/>
          <w:lang w:eastAsia="en-GB"/>
          <w14:ligatures w14:val="none"/>
        </w:rPr>
        <w:t>…..</w:t>
      </w:r>
      <w:proofErr w:type="gramEnd"/>
      <w:r w:rsidR="00B868F5">
        <w:rPr>
          <w:rFonts w:ascii="Arial" w:eastAsia="Times New Roman" w:hAnsi="Arial" w:cs="Arial"/>
          <w:kern w:val="0"/>
          <w:lang w:eastAsia="en-GB"/>
          <w14:ligatures w14:val="none"/>
        </w:rPr>
        <w:t>12</w:t>
      </w:r>
    </w:p>
    <w:p w14:paraId="21B9F7A8" w14:textId="77777777" w:rsidR="00133D12" w:rsidRPr="001649C4" w:rsidRDefault="00133D12" w:rsidP="001649C4">
      <w:pPr>
        <w:spacing w:before="100" w:beforeAutospacing="1" w:after="100" w:afterAutospacing="1" w:line="360" w:lineRule="auto"/>
        <w:outlineLvl w:val="1"/>
        <w:rPr>
          <w:rFonts w:ascii="Arial" w:eastAsia="Times New Roman" w:hAnsi="Arial" w:cs="Arial"/>
          <w:b/>
          <w:bCs/>
          <w:kern w:val="36"/>
          <w:lang w:eastAsia="en-GB"/>
          <w14:ligatures w14:val="none"/>
        </w:rPr>
      </w:pPr>
    </w:p>
    <w:p w14:paraId="3A906E20" w14:textId="77777777" w:rsidR="00E164D3" w:rsidRPr="001649C4" w:rsidRDefault="00E164D3" w:rsidP="001649C4">
      <w:pPr>
        <w:spacing w:before="100" w:beforeAutospacing="1" w:after="100" w:afterAutospacing="1" w:line="360" w:lineRule="auto"/>
        <w:outlineLvl w:val="1"/>
        <w:rPr>
          <w:rFonts w:ascii="Arial" w:eastAsia="Times New Roman" w:hAnsi="Arial" w:cs="Arial"/>
          <w:b/>
          <w:bCs/>
          <w:kern w:val="36"/>
          <w:lang w:eastAsia="en-GB"/>
          <w14:ligatures w14:val="none"/>
        </w:rPr>
      </w:pPr>
    </w:p>
    <w:p w14:paraId="3D8DD6CF" w14:textId="77777777" w:rsidR="00E164D3" w:rsidRPr="001649C4" w:rsidRDefault="00E164D3" w:rsidP="001649C4">
      <w:pPr>
        <w:spacing w:before="100" w:beforeAutospacing="1" w:after="100" w:afterAutospacing="1" w:line="360" w:lineRule="auto"/>
        <w:outlineLvl w:val="1"/>
        <w:rPr>
          <w:rFonts w:ascii="Arial" w:eastAsia="Times New Roman" w:hAnsi="Arial" w:cs="Arial"/>
          <w:b/>
          <w:bCs/>
          <w:kern w:val="36"/>
          <w:lang w:eastAsia="en-GB"/>
          <w14:ligatures w14:val="none"/>
        </w:rPr>
      </w:pPr>
    </w:p>
    <w:p w14:paraId="30F50B82" w14:textId="77777777" w:rsidR="00E164D3" w:rsidRPr="001649C4" w:rsidRDefault="00E164D3" w:rsidP="001649C4">
      <w:pPr>
        <w:spacing w:before="100" w:beforeAutospacing="1" w:after="100" w:afterAutospacing="1" w:line="360" w:lineRule="auto"/>
        <w:outlineLvl w:val="1"/>
        <w:rPr>
          <w:rFonts w:ascii="Arial" w:eastAsia="Times New Roman" w:hAnsi="Arial" w:cs="Arial"/>
          <w:b/>
          <w:bCs/>
          <w:kern w:val="36"/>
          <w:lang w:eastAsia="en-GB"/>
          <w14:ligatures w14:val="none"/>
        </w:rPr>
      </w:pPr>
    </w:p>
    <w:p w14:paraId="4CC671D4" w14:textId="77777777" w:rsidR="00E164D3" w:rsidRPr="001649C4" w:rsidRDefault="00E164D3" w:rsidP="001649C4">
      <w:pPr>
        <w:spacing w:before="100" w:beforeAutospacing="1" w:after="100" w:afterAutospacing="1" w:line="360" w:lineRule="auto"/>
        <w:outlineLvl w:val="1"/>
        <w:rPr>
          <w:rFonts w:ascii="Arial" w:eastAsia="Times New Roman" w:hAnsi="Arial" w:cs="Arial"/>
          <w:b/>
          <w:bCs/>
          <w:kern w:val="36"/>
          <w:lang w:eastAsia="en-GB"/>
          <w14:ligatures w14:val="none"/>
        </w:rPr>
      </w:pPr>
    </w:p>
    <w:p w14:paraId="3129ECB5" w14:textId="77777777" w:rsidR="00E164D3" w:rsidRPr="001649C4" w:rsidRDefault="00E164D3" w:rsidP="001649C4">
      <w:pPr>
        <w:spacing w:before="100" w:beforeAutospacing="1" w:after="100" w:afterAutospacing="1" w:line="360" w:lineRule="auto"/>
        <w:outlineLvl w:val="1"/>
        <w:rPr>
          <w:rFonts w:ascii="Arial" w:eastAsia="Times New Roman" w:hAnsi="Arial" w:cs="Arial"/>
          <w:b/>
          <w:bCs/>
          <w:kern w:val="36"/>
          <w:lang w:eastAsia="en-GB"/>
          <w14:ligatures w14:val="none"/>
        </w:rPr>
      </w:pPr>
    </w:p>
    <w:p w14:paraId="06FF2E54" w14:textId="77777777" w:rsidR="00E164D3" w:rsidRPr="001649C4" w:rsidRDefault="00E164D3" w:rsidP="001649C4">
      <w:pPr>
        <w:spacing w:before="100" w:beforeAutospacing="1" w:after="100" w:afterAutospacing="1" w:line="360" w:lineRule="auto"/>
        <w:outlineLvl w:val="1"/>
        <w:rPr>
          <w:rFonts w:ascii="Arial" w:eastAsia="Times New Roman" w:hAnsi="Arial" w:cs="Arial"/>
          <w:b/>
          <w:bCs/>
          <w:kern w:val="36"/>
          <w:lang w:eastAsia="en-GB"/>
          <w14:ligatures w14:val="none"/>
        </w:rPr>
      </w:pPr>
    </w:p>
    <w:p w14:paraId="62BF41EE" w14:textId="4082CE60" w:rsidR="00061A84" w:rsidRPr="001649C4" w:rsidRDefault="00061A8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lastRenderedPageBreak/>
        <w:t>Introduction</w:t>
      </w:r>
    </w:p>
    <w:p w14:paraId="5E51257F" w14:textId="449909AB" w:rsidR="00061A84" w:rsidRPr="001649C4" w:rsidRDefault="006D330D"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6D330D">
        <w:rPr>
          <w:rFonts w:ascii="Arial" w:hAnsi="Arial" w:cs="Arial"/>
        </w:rPr>
        <w:t>Ocado Group plc is a UK technology business that develops e-commerce, automated fulfilment and logistics solutions for grocery retailers. Its operations are built around the Ocado Smart Platform, which integrates robotics, artificial intelligence and software to improve retail operations across domestic and international markets</w:t>
      </w:r>
      <w:r w:rsidRPr="006D330D">
        <w:rPr>
          <w:rFonts w:ascii="Arial" w:hAnsi="Arial" w:cs="Arial"/>
        </w:rPr>
        <w:t xml:space="preserve">. </w:t>
      </w:r>
      <w:r w:rsidRPr="006D330D">
        <w:rPr>
          <w:rFonts w:ascii="Arial" w:hAnsi="Arial" w:cs="Arial"/>
        </w:rPr>
        <w:t>In FY2025, Ocado further developed its technological capabilities while completing the migration of Ocado Retail to the platform. These developments demonstrate how technological innovation increasingly depends on a workforce with the skills required to support digital transformation</w:t>
      </w:r>
      <w:r>
        <w:t>.</w:t>
      </w:r>
      <w:r w:rsidR="00061A84" w:rsidRPr="001649C4">
        <w:rPr>
          <w:rFonts w:ascii="Arial" w:eastAsia="Times New Roman" w:hAnsi="Arial" w:cs="Arial"/>
          <w:kern w:val="0"/>
          <w:lang w:eastAsia="en-GB"/>
          <w14:ligatures w14:val="none"/>
        </w:rPr>
        <w:t xml:space="preserve"> (Ocado Group plc, 2026).</w:t>
      </w:r>
    </w:p>
    <w:p w14:paraId="6A185166" w14:textId="59DE53B8" w:rsidR="00061A84" w:rsidRPr="001649C4" w:rsidRDefault="006D330D"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6D330D">
        <w:rPr>
          <w:rFonts w:ascii="Arial" w:hAnsi="Arial" w:cs="Arial"/>
        </w:rPr>
        <w:t>In response to these developments, this report explores</w:t>
      </w:r>
      <w:r>
        <w:t xml:space="preserve"> </w:t>
      </w:r>
      <w:r w:rsidR="00061A84" w:rsidRPr="001649C4">
        <w:rPr>
          <w:rFonts w:ascii="Arial" w:eastAsia="Times New Roman" w:hAnsi="Arial" w:cs="Arial"/>
          <w:kern w:val="0"/>
          <w:lang w:eastAsia="en-GB"/>
          <w14:ligatures w14:val="none"/>
        </w:rPr>
        <w:t xml:space="preserve">three interconnected HR challenges: technological change, talent acquisition and retention, and diversity, equity and inclusion (DEI). </w:t>
      </w:r>
      <w:r w:rsidRPr="006D330D">
        <w:rPr>
          <w:rFonts w:ascii="Arial" w:hAnsi="Arial" w:cs="Arial"/>
        </w:rPr>
        <w:t>The discussion evaluates</w:t>
      </w:r>
      <w:r>
        <w:t xml:space="preserve"> </w:t>
      </w:r>
      <w:r w:rsidR="00061A84" w:rsidRPr="001649C4">
        <w:rPr>
          <w:rFonts w:ascii="Arial" w:eastAsia="Times New Roman" w:hAnsi="Arial" w:cs="Arial"/>
          <w:kern w:val="0"/>
          <w:lang w:eastAsia="en-GB"/>
          <w14:ligatures w14:val="none"/>
        </w:rPr>
        <w:t>HR practices that address these issues before considering how departmental managers can implement them effectively to support both employee performance and Ocado's long-term strategic objectives.</w:t>
      </w:r>
    </w:p>
    <w:p w14:paraId="209F4F20"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3496E227"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03B5047D"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2B1E57D3"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3CF3E828"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3F34D791"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26FC9450"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235CAF4D"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501A849E"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59C14CC7"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31069182"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46177513"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6A9BC01B" w14:textId="77777777" w:rsidR="003E481A" w:rsidRPr="001649C4" w:rsidRDefault="003E481A" w:rsidP="001649C4">
      <w:pPr>
        <w:spacing w:before="100" w:beforeAutospacing="1" w:after="100" w:afterAutospacing="1" w:line="360" w:lineRule="auto"/>
        <w:rPr>
          <w:rFonts w:ascii="Arial" w:eastAsia="Times New Roman" w:hAnsi="Arial" w:cs="Arial"/>
          <w:kern w:val="0"/>
          <w:lang w:eastAsia="en-GB"/>
          <w14:ligatures w14:val="none"/>
        </w:rPr>
      </w:pPr>
    </w:p>
    <w:p w14:paraId="5473335F" w14:textId="78539F39" w:rsidR="003E481A" w:rsidRPr="001649C4" w:rsidRDefault="003E481A" w:rsidP="001649C4">
      <w:pPr>
        <w:spacing w:before="100" w:beforeAutospacing="1" w:after="100" w:afterAutospacing="1" w:line="360" w:lineRule="auto"/>
        <w:jc w:val="center"/>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t>1. Explanation of Key Factors</w:t>
      </w:r>
    </w:p>
    <w:p w14:paraId="3E886089" w14:textId="498D7FF8"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b/>
          <w:bCs/>
          <w:kern w:val="0"/>
          <w:lang w:eastAsia="en-GB"/>
          <w14:ligatures w14:val="none"/>
        </w:rPr>
        <w:t xml:space="preserve">1.1 Adapting to Technological Advancements </w:t>
      </w:r>
    </w:p>
    <w:p w14:paraId="10EC4F8C"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Rapid advances in artificial intelligence (AI), robotics and automation have significantly reshaped the role of Human Resource Management (HRM). Rather than focusing primarily on administrative activities, HR is increasingly responsible for developing workforce capabilities, supporting organisational change and preparing employees to work effectively with emerging technologies (Armstrong and Taylor, 2023; CIPD, 2024).</w:t>
      </w:r>
    </w:p>
    <w:p w14:paraId="54B4774A"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Ocado Group plc illustrates this challenge through its continued investment in the Ocado Smart Platform (OSP), automation and robotics. The Annual Report 2025 highlights the expansion of technology across international partnerships and greater use of robotics within customer fulfilment centres, increasing demand for employees with advanced digital skills and a commitment to continuous learning (Ocado Group plc, 2026).</w:t>
      </w:r>
    </w:p>
    <w:p w14:paraId="2A512C06"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According to the Resource-Based View (RBV), sustainable competitive advantage depends not only on technological assets but also on the knowledge and capabilities of employees (Barney, 1991). This perspective highlights that workforce development should progress alongside technological investment. While traditional training equips employees with specific skills at a particular point in time, continuous learning enables them to adapt as technology evolves (Noe </w:t>
      </w:r>
      <w:r w:rsidRPr="001649C4">
        <w:rPr>
          <w:rFonts w:ascii="Arial" w:eastAsia="Times New Roman" w:hAnsi="Arial" w:cs="Arial"/>
          <w:i/>
          <w:iCs/>
          <w:kern w:val="0"/>
          <w:lang w:eastAsia="en-GB"/>
          <w14:ligatures w14:val="none"/>
        </w:rPr>
        <w:t>et al</w:t>
      </w:r>
      <w:r w:rsidRPr="001649C4">
        <w:rPr>
          <w:rFonts w:ascii="Arial" w:eastAsia="Times New Roman" w:hAnsi="Arial" w:cs="Arial"/>
          <w:kern w:val="0"/>
          <w:lang w:eastAsia="en-GB"/>
          <w14:ligatures w14:val="none"/>
        </w:rPr>
        <w:t>., 2023). Combining ongoing learning with effective managerial support is therefore likely to strengthen workforce capability and reinforce Ocado's long-term competitive advantage.</w:t>
      </w:r>
    </w:p>
    <w:p w14:paraId="71DFABC9" w14:textId="579D7D60" w:rsidR="004820B3" w:rsidRPr="001649C4" w:rsidRDefault="004820B3" w:rsidP="001649C4">
      <w:pPr>
        <w:spacing w:before="100" w:beforeAutospacing="1" w:after="100" w:afterAutospacing="1" w:line="360" w:lineRule="auto"/>
        <w:outlineLvl w:val="2"/>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t xml:space="preserve">1.2 Talent Acquisition and Retention </w:t>
      </w:r>
    </w:p>
    <w:p w14:paraId="2CCE3B73"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Attracting and retaining skilled employees has become a strategic priority for organisations operating in technology-driven industries. Modern Human Resource Management (HRM) extends beyond filling vacancies by identifying individuals whose knowledge and potential contribute to long-term organisational success while creating an environment that encourages them to remain with the business (Armstrong and Taylor, 2023; CIPD, 2024).</w:t>
      </w:r>
    </w:p>
    <w:p w14:paraId="7ECB874F"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As a technology-led organisation, Ocado Group plc depends on software engineers, robotics specialists and data scientists to support the continued development of the Ocado Smart Platform and its expanding international partnerships. The company's growth has </w:t>
      </w:r>
      <w:r w:rsidRPr="001649C4">
        <w:rPr>
          <w:rFonts w:ascii="Arial" w:eastAsia="Times New Roman" w:hAnsi="Arial" w:cs="Arial"/>
          <w:kern w:val="0"/>
          <w:lang w:eastAsia="en-GB"/>
          <w14:ligatures w14:val="none"/>
        </w:rPr>
        <w:lastRenderedPageBreak/>
        <w:t>increased competition for highly skilled technical professionals, making employee retention just as important as recruitment (Ocado Group plc, 2026).</w:t>
      </w:r>
    </w:p>
    <w:p w14:paraId="6112EE6A"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Different HR strategies influence retention in different ways. Traditional recruitment often relies on competitive pay and benefits, whereas contemporary talent management places greater emphasis on career progression, continuous learning and a positive organisational culture (Collings, Scullion and </w:t>
      </w:r>
      <w:proofErr w:type="spellStart"/>
      <w:r w:rsidRPr="001649C4">
        <w:rPr>
          <w:rFonts w:ascii="Arial" w:eastAsia="Times New Roman" w:hAnsi="Arial" w:cs="Arial"/>
          <w:kern w:val="0"/>
          <w:lang w:eastAsia="en-GB"/>
          <w14:ligatures w14:val="none"/>
        </w:rPr>
        <w:t>Vaiman</w:t>
      </w:r>
      <w:proofErr w:type="spellEnd"/>
      <w:r w:rsidRPr="001649C4">
        <w:rPr>
          <w:rFonts w:ascii="Arial" w:eastAsia="Times New Roman" w:hAnsi="Arial" w:cs="Arial"/>
          <w:kern w:val="0"/>
          <w:lang w:eastAsia="en-GB"/>
          <w14:ligatures w14:val="none"/>
        </w:rPr>
        <w:t>, 2015). Although financial rewards remain an important factor, many skilled employees also seek opportunities to develop professionally and contribute to meaningful work (CIPD, 2024). Taken together, these factors indicate that combining structured recruitment with career development and clear progression pathways offers Ocado a more sustainable approach to retaining specialist talent than relying primarily on financial incentives.</w:t>
      </w:r>
    </w:p>
    <w:p w14:paraId="3330F8DB" w14:textId="03971F6E" w:rsidR="004820B3" w:rsidRPr="001649C4" w:rsidRDefault="004820B3" w:rsidP="001649C4">
      <w:pPr>
        <w:spacing w:before="100" w:beforeAutospacing="1" w:after="100" w:afterAutospacing="1" w:line="360" w:lineRule="auto"/>
        <w:outlineLvl w:val="2"/>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t xml:space="preserve">1.3 Diversity, Equity and Inclusion (DEI) </w:t>
      </w:r>
    </w:p>
    <w:p w14:paraId="78C7B6F5"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Diversity, Equity and Inclusion (DEI) have become central priorities within Human Resource Management as organisations increasingly recognise that inclusive workplaces encourage innovation, collaboration and more effective decision-making. Diversity relates to workforce representation, equity focuses on providing fair access to opportunities, and inclusion ensures employees feel valued, respected and able to contribute fully (CIPD, 2024).</w:t>
      </w:r>
    </w:p>
    <w:p w14:paraId="20C2C732"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Operating across international markets, Ocado Group plc relies on collaboration between employees with diverse technical expertise, professional experience and cultural backgrounds. The </w:t>
      </w:r>
      <w:r w:rsidRPr="001649C4">
        <w:rPr>
          <w:rFonts w:ascii="Arial" w:eastAsia="Times New Roman" w:hAnsi="Arial" w:cs="Arial"/>
          <w:b/>
          <w:bCs/>
          <w:kern w:val="0"/>
          <w:lang w:eastAsia="en-GB"/>
          <w14:ligatures w14:val="none"/>
        </w:rPr>
        <w:t>Annual Report 2025</w:t>
      </w:r>
      <w:r w:rsidRPr="001649C4">
        <w:rPr>
          <w:rFonts w:ascii="Arial" w:eastAsia="Times New Roman" w:hAnsi="Arial" w:cs="Arial"/>
          <w:kern w:val="0"/>
          <w:lang w:eastAsia="en-GB"/>
          <w14:ligatures w14:val="none"/>
        </w:rPr>
        <w:t xml:space="preserve"> emphasises the company's commitment to employee development and responsible business practices, reinforcing the importance of its people in achieving long-term organisational success (Ocado Group plc, 2026).</w:t>
      </w:r>
    </w:p>
    <w:p w14:paraId="6B609C1B"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Although improving workforce diversity is important, representation alone does not create an inclusive organisational culture. While Shore </w:t>
      </w:r>
      <w:r w:rsidRPr="001649C4">
        <w:rPr>
          <w:rFonts w:ascii="Arial" w:eastAsia="Times New Roman" w:hAnsi="Arial" w:cs="Arial"/>
          <w:i/>
          <w:iCs/>
          <w:kern w:val="0"/>
          <w:lang w:eastAsia="en-GB"/>
          <w14:ligatures w14:val="none"/>
        </w:rPr>
        <w:t>et al.</w:t>
      </w:r>
      <w:r w:rsidRPr="001649C4">
        <w:rPr>
          <w:rFonts w:ascii="Arial" w:eastAsia="Times New Roman" w:hAnsi="Arial" w:cs="Arial"/>
          <w:kern w:val="0"/>
          <w:lang w:eastAsia="en-GB"/>
          <w14:ligatures w14:val="none"/>
        </w:rPr>
        <w:t xml:space="preserve"> (2018) emphasise the role of inclusive leadership and psychological safety in improving employee engagement, CIPD (2024) highlights the need to embed inclusive practices throughout recruitment, career development and performance management. Together, these perspectives demonstrate that DEI requires both supportive leadership and consistent organisational policies. By integrating these principles into everyday HR practices, Ocado can strengthen employee commitment, encourage innovation and reinforce its long-term organisational capability.</w:t>
      </w:r>
    </w:p>
    <w:p w14:paraId="6AE554CA"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p>
    <w:p w14:paraId="6A1A76B4" w14:textId="23AB4363" w:rsidR="00061A84" w:rsidRPr="001649C4" w:rsidRDefault="003E481A" w:rsidP="001649C4">
      <w:pPr>
        <w:spacing w:before="100" w:beforeAutospacing="1" w:after="100" w:afterAutospacing="1" w:line="360" w:lineRule="auto"/>
        <w:jc w:val="center"/>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lastRenderedPageBreak/>
        <w:t>2. Evaluation of Contemporary HR Practices</w:t>
      </w:r>
    </w:p>
    <w:p w14:paraId="42BDB590" w14:textId="3C04149A" w:rsidR="00061A84" w:rsidRPr="001649C4" w:rsidRDefault="00061A84" w:rsidP="001649C4">
      <w:pPr>
        <w:spacing w:before="100" w:beforeAutospacing="1" w:after="100" w:afterAutospacing="1" w:line="360" w:lineRule="auto"/>
        <w:outlineLvl w:val="0"/>
        <w:rPr>
          <w:rFonts w:ascii="Arial" w:eastAsia="Times New Roman" w:hAnsi="Arial" w:cs="Arial"/>
          <w:b/>
          <w:bCs/>
          <w:kern w:val="36"/>
          <w:lang w:eastAsia="en-GB"/>
          <w14:ligatures w14:val="none"/>
        </w:rPr>
      </w:pPr>
      <w:r w:rsidRPr="001649C4">
        <w:rPr>
          <w:rFonts w:ascii="Arial" w:eastAsia="Times New Roman" w:hAnsi="Arial" w:cs="Arial"/>
          <w:b/>
          <w:bCs/>
          <w:kern w:val="36"/>
          <w:lang w:eastAsia="en-GB"/>
          <w14:ligatures w14:val="none"/>
        </w:rPr>
        <w:t>2.1 Technology-focused HR Practices</w:t>
      </w:r>
    </w:p>
    <w:p w14:paraId="02EB3633"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Technology-focused HR practices enable organisations to improve workforce planning, employee development and decision-making through digital tools such as Human Resource Information Systems (HRIS), workforce analytics and online learning platforms (Stone et al., 2020). These practices allow HR professionals to move beyond administrative tasks and contribute more directly to organisational strategy.</w:t>
      </w:r>
    </w:p>
    <w:p w14:paraId="148AF0B0"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For </w:t>
      </w:r>
      <w:r w:rsidRPr="001649C4">
        <w:rPr>
          <w:rFonts w:ascii="Arial" w:eastAsia="Times New Roman" w:hAnsi="Arial" w:cs="Arial"/>
          <w:b/>
          <w:bCs/>
          <w:kern w:val="0"/>
          <w:lang w:eastAsia="en-GB"/>
          <w14:ligatures w14:val="none"/>
        </w:rPr>
        <w:t>Ocado Group plc</w:t>
      </w:r>
      <w:r w:rsidRPr="001649C4">
        <w:rPr>
          <w:rFonts w:ascii="Arial" w:eastAsia="Times New Roman" w:hAnsi="Arial" w:cs="Arial"/>
          <w:kern w:val="0"/>
          <w:lang w:eastAsia="en-GB"/>
          <w14:ligatures w14:val="none"/>
        </w:rPr>
        <w:t xml:space="preserve">, digital HR practices support a business model built on automation, robotics and the </w:t>
      </w:r>
      <w:r w:rsidRPr="001649C4">
        <w:rPr>
          <w:rFonts w:ascii="Arial" w:eastAsia="Times New Roman" w:hAnsi="Arial" w:cs="Arial"/>
          <w:b/>
          <w:bCs/>
          <w:kern w:val="0"/>
          <w:lang w:eastAsia="en-GB"/>
          <w14:ligatures w14:val="none"/>
        </w:rPr>
        <w:t>Ocado Smart Platform</w:t>
      </w:r>
      <w:r w:rsidRPr="001649C4">
        <w:rPr>
          <w:rFonts w:ascii="Arial" w:eastAsia="Times New Roman" w:hAnsi="Arial" w:cs="Arial"/>
          <w:kern w:val="0"/>
          <w:lang w:eastAsia="en-GB"/>
          <w14:ligatures w14:val="none"/>
        </w:rPr>
        <w:t>. As technological capabilities continue to expand, employees must regularly update their skills to work effectively in highly automated environments (Ocado Group plc, 2026). Digital learning platforms can help identify skill gaps and provide targeted training, enabling the organisation to respond more quickly to changing business needs.</w:t>
      </w:r>
    </w:p>
    <w:p w14:paraId="31403F39"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However, technology should not replace managerial judgement. Workforce analytics provide valuable data on recruitment, performance and employee turnover, but they cannot fully capture motivation, collaboration or organisational culture (Marler and Boudreau, 2017). Combining data-driven insights with managers' experience is therefore likely to produce more balanced HR decisions. For Ocado, integrating digital HR systems with continuous learning and effective leadership offers a practical way to strengthen workforce capability while supporting long-term technological innovation.</w:t>
      </w:r>
    </w:p>
    <w:p w14:paraId="1BA1A97E" w14:textId="168D4F51" w:rsidR="004820B3" w:rsidRPr="001649C4" w:rsidRDefault="004820B3" w:rsidP="001649C4">
      <w:pPr>
        <w:spacing w:before="100" w:beforeAutospacing="1" w:after="100" w:afterAutospacing="1" w:line="360" w:lineRule="auto"/>
        <w:outlineLvl w:val="2"/>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t xml:space="preserve">2.2 Talent Management Practices </w:t>
      </w:r>
    </w:p>
    <w:p w14:paraId="23EFF708"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Talent management enables organisations to attract, develop and retain employees whose knowledge and skills support long-term strategic objectives. Unlike traditional recruitment, which concentrates primarily on filling vacancies, talent management combines workforce planning, career development, succession planning and retention into a more integrated and proactive HR strategy (Collings, Scullion and </w:t>
      </w:r>
      <w:proofErr w:type="spellStart"/>
      <w:r w:rsidRPr="001649C4">
        <w:rPr>
          <w:rFonts w:ascii="Arial" w:eastAsia="Times New Roman" w:hAnsi="Arial" w:cs="Arial"/>
          <w:kern w:val="0"/>
          <w:lang w:eastAsia="en-GB"/>
          <w14:ligatures w14:val="none"/>
        </w:rPr>
        <w:t>Vaiman</w:t>
      </w:r>
      <w:proofErr w:type="spellEnd"/>
      <w:r w:rsidRPr="001649C4">
        <w:rPr>
          <w:rFonts w:ascii="Arial" w:eastAsia="Times New Roman" w:hAnsi="Arial" w:cs="Arial"/>
          <w:kern w:val="0"/>
          <w:lang w:eastAsia="en-GB"/>
          <w14:ligatures w14:val="none"/>
        </w:rPr>
        <w:t>, 2015).</w:t>
      </w:r>
    </w:p>
    <w:p w14:paraId="47E4A07C"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Operating in a highly competitive technology sector, Ocado Group plc relies on software engineers, robotics specialists and data scientists to support the continued expansion of the Ocado Smart Platform. As the company extends its international operations, maintaining a strong pipeline of skilled employees has become increasingly important for sustaining innovation and business growth (Ocado Group plc, 2026).</w:t>
      </w:r>
    </w:p>
    <w:p w14:paraId="28ED7FD4" w14:textId="77777777" w:rsidR="004820B3" w:rsidRPr="001649C4" w:rsidRDefault="004820B3"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lastRenderedPageBreak/>
        <w:t>Employer branding can improve recruitment by strengthening the organisation's reputation among potential candidates. Nevertheless, attracting talented employees represents only one stage of the talent management process. CIPD (2024) highlights that opportunities for career progression, continuous learning and supportive leadership play a significant role in encouraging employees to remain with an organisation. These factors indicate that long-term retention depends on the overall employee experience rather than financial rewards alone. By integrating workforce planning with structured career development and ongoing learning opportunities, Ocado can strengthen employee commitment, enhance organisational capability and reinforce its long-term competitive advantage.</w:t>
      </w:r>
    </w:p>
    <w:p w14:paraId="03CAC997" w14:textId="38BF1B76" w:rsidR="003E481A" w:rsidRPr="001649C4" w:rsidRDefault="003E481A" w:rsidP="001649C4">
      <w:pPr>
        <w:spacing w:before="100" w:beforeAutospacing="1" w:after="100" w:afterAutospacing="1" w:line="360" w:lineRule="auto"/>
        <w:outlineLvl w:val="2"/>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t xml:space="preserve">2.3 DEI Practices </w:t>
      </w:r>
    </w:p>
    <w:p w14:paraId="15A44F38" w14:textId="77777777" w:rsidR="003E481A" w:rsidRPr="001649C4" w:rsidRDefault="003E481A"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Diversity, Equity and Inclusion (DEI) practices aim to create workplaces where employees have equal opportunities to contribute, develop and progress. Contemporary Human Resource Management extends beyond legal compliance by embedding inclusive recruitment, equitable career development and transparent performance management throughout the employee lifecycle (CIPD, 2024).</w:t>
      </w:r>
    </w:p>
    <w:p w14:paraId="5B7FD502" w14:textId="77777777" w:rsidR="003E481A" w:rsidRPr="001649C4" w:rsidRDefault="003E481A"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As an organisation operating across international markets, Ocado Group plc benefits from bringing together employees with different technical expertise, professional experience and cultural perspectives. The </w:t>
      </w:r>
      <w:r w:rsidRPr="001649C4">
        <w:rPr>
          <w:rFonts w:ascii="Arial" w:eastAsia="Times New Roman" w:hAnsi="Arial" w:cs="Arial"/>
          <w:b/>
          <w:bCs/>
          <w:kern w:val="0"/>
          <w:lang w:eastAsia="en-GB"/>
          <w14:ligatures w14:val="none"/>
        </w:rPr>
        <w:t>Annual Report 2025</w:t>
      </w:r>
      <w:r w:rsidRPr="001649C4">
        <w:rPr>
          <w:rFonts w:ascii="Arial" w:eastAsia="Times New Roman" w:hAnsi="Arial" w:cs="Arial"/>
          <w:kern w:val="0"/>
          <w:lang w:eastAsia="en-GB"/>
          <w14:ligatures w14:val="none"/>
        </w:rPr>
        <w:t xml:space="preserve"> highlights the company's continued focus on responsible business practices and employee development, reflecting the importance of an inclusive working environment in supporting collaboration and innovation (Ocado Group plc, 2026).</w:t>
      </w:r>
    </w:p>
    <w:p w14:paraId="521B9A5F" w14:textId="77777777" w:rsidR="003E481A" w:rsidRPr="001649C4" w:rsidRDefault="003E481A"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Structured recruitment processes, including objective selection criteria and competency-based interviews, can help reduce bias during hiring (Taylor, 2022). Nevertheless, recruitment alone cannot create an inclusive workplace if employees experience unequal opportunities for progression or inconsistent leadership. While Shore </w:t>
      </w:r>
      <w:r w:rsidRPr="001649C4">
        <w:rPr>
          <w:rFonts w:ascii="Arial" w:eastAsia="Times New Roman" w:hAnsi="Arial" w:cs="Arial"/>
          <w:i/>
          <w:iCs/>
          <w:kern w:val="0"/>
          <w:lang w:eastAsia="en-GB"/>
          <w14:ligatures w14:val="none"/>
        </w:rPr>
        <w:t>et al.</w:t>
      </w:r>
      <w:r w:rsidRPr="001649C4">
        <w:rPr>
          <w:rFonts w:ascii="Arial" w:eastAsia="Times New Roman" w:hAnsi="Arial" w:cs="Arial"/>
          <w:kern w:val="0"/>
          <w:lang w:eastAsia="en-GB"/>
          <w14:ligatures w14:val="none"/>
        </w:rPr>
        <w:t xml:space="preserve"> (2018) emphasise the importance of inclusive leadership and psychological safety, CIPD (2024) highlights the need to embed DEI throughout organisational policies and people management practices. Together, these perspectives indicate that sustainable inclusion depends on both effective leadership and consistent HR processes. Adopting this integrated approach would enable Ocado to strengthen employee commitment, encourage innovation and reinforce its long-term organisational capability.</w:t>
      </w:r>
    </w:p>
    <w:p w14:paraId="1A424C97" w14:textId="77777777" w:rsidR="003E481A" w:rsidRPr="001649C4" w:rsidRDefault="003E481A" w:rsidP="001649C4">
      <w:pPr>
        <w:spacing w:before="100" w:beforeAutospacing="1" w:after="100" w:afterAutospacing="1" w:line="360" w:lineRule="auto"/>
        <w:outlineLvl w:val="0"/>
        <w:rPr>
          <w:rFonts w:ascii="Arial" w:eastAsia="Times New Roman" w:hAnsi="Arial" w:cs="Arial"/>
          <w:kern w:val="0"/>
          <w:lang w:eastAsia="en-GB"/>
          <w14:ligatures w14:val="none"/>
        </w:rPr>
      </w:pPr>
    </w:p>
    <w:p w14:paraId="3CA4649F" w14:textId="7534035A" w:rsidR="00061A84" w:rsidRPr="001649C4" w:rsidRDefault="00061A84" w:rsidP="001649C4">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1649C4">
        <w:rPr>
          <w:rFonts w:ascii="Arial" w:eastAsia="Times New Roman" w:hAnsi="Arial" w:cs="Arial"/>
          <w:b/>
          <w:bCs/>
          <w:kern w:val="36"/>
          <w:lang w:eastAsia="en-GB"/>
          <w14:ligatures w14:val="none"/>
        </w:rPr>
        <w:lastRenderedPageBreak/>
        <w:t>3. Critical Evaluation of Managerial Implementation</w:t>
      </w:r>
    </w:p>
    <w:p w14:paraId="09B50859"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The success of contemporary Human Resource (HR) practices depends not only on well-designed organisational policies but also on how effectively they are implemented by departmental managers. While HR professionals develop recruitment, learning, reward and diversity strategies, managers are responsible for translating these policies into everyday practice. Their ability to communicate change, support employees and make consistent decisions has a direct influence on organisational performance and employee engagement (Armstrong and Taylor, 2023).</w:t>
      </w:r>
    </w:p>
    <w:p w14:paraId="010DF6FB"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This responsibility is particularly significant within </w:t>
      </w:r>
      <w:r w:rsidRPr="001649C4">
        <w:rPr>
          <w:rFonts w:ascii="Arial" w:eastAsia="Times New Roman" w:hAnsi="Arial" w:cs="Arial"/>
          <w:b/>
          <w:bCs/>
          <w:kern w:val="0"/>
          <w:lang w:eastAsia="en-GB"/>
          <w14:ligatures w14:val="none"/>
        </w:rPr>
        <w:t>Ocado Group plc</w:t>
      </w:r>
      <w:r w:rsidRPr="001649C4">
        <w:rPr>
          <w:rFonts w:ascii="Arial" w:eastAsia="Times New Roman" w:hAnsi="Arial" w:cs="Arial"/>
          <w:kern w:val="0"/>
          <w:lang w:eastAsia="en-GB"/>
          <w14:ligatures w14:val="none"/>
        </w:rPr>
        <w:t xml:space="preserve">, where continuous technological innovation requires employees to adapt to new systems, processes and ways of working. The </w:t>
      </w:r>
      <w:r w:rsidRPr="001649C4">
        <w:rPr>
          <w:rFonts w:ascii="Arial" w:eastAsia="Times New Roman" w:hAnsi="Arial" w:cs="Arial"/>
          <w:b/>
          <w:bCs/>
          <w:kern w:val="0"/>
          <w:lang w:eastAsia="en-GB"/>
          <w14:ligatures w14:val="none"/>
        </w:rPr>
        <w:t>Annual Report 2025</w:t>
      </w:r>
      <w:r w:rsidRPr="001649C4">
        <w:rPr>
          <w:rFonts w:ascii="Arial" w:eastAsia="Times New Roman" w:hAnsi="Arial" w:cs="Arial"/>
          <w:kern w:val="0"/>
          <w:lang w:eastAsia="en-GB"/>
          <w14:ligatures w14:val="none"/>
        </w:rPr>
        <w:t xml:space="preserve"> highlights the company's ongoing investment in automation, robotics and international expansion, increasing the need for managers who can balance operational efficiency with workforce development (Ocado Group plc, 2026). Successfully implementing HR practices therefore requires managers to focus on both business performance and employee capability.</w:t>
      </w:r>
    </w:p>
    <w:p w14:paraId="0FC8BAF3"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One of the main responsibilities of departmental managers is leading organisational change. Employees often experience uncertainty when new technologies or working practices are introduced, making effective leadership essential. </w:t>
      </w:r>
      <w:r w:rsidRPr="001649C4">
        <w:rPr>
          <w:rFonts w:ascii="Arial" w:eastAsia="Times New Roman" w:hAnsi="Arial" w:cs="Arial"/>
          <w:b/>
          <w:bCs/>
          <w:kern w:val="0"/>
          <w:lang w:eastAsia="en-GB"/>
          <w14:ligatures w14:val="none"/>
        </w:rPr>
        <w:t>Transformational leadership</w:t>
      </w:r>
      <w:r w:rsidRPr="001649C4">
        <w:rPr>
          <w:rFonts w:ascii="Arial" w:eastAsia="Times New Roman" w:hAnsi="Arial" w:cs="Arial"/>
          <w:kern w:val="0"/>
          <w:lang w:eastAsia="en-GB"/>
          <w14:ligatures w14:val="none"/>
        </w:rPr>
        <w:t xml:space="preserve">, which encourages employees through a shared vision, continuous development and open communication, is generally considered more effective during periods of change than a purely </w:t>
      </w:r>
      <w:r w:rsidRPr="001649C4">
        <w:rPr>
          <w:rFonts w:ascii="Arial" w:eastAsia="Times New Roman" w:hAnsi="Arial" w:cs="Arial"/>
          <w:b/>
          <w:bCs/>
          <w:kern w:val="0"/>
          <w:lang w:eastAsia="en-GB"/>
          <w14:ligatures w14:val="none"/>
        </w:rPr>
        <w:t>transactional</w:t>
      </w:r>
      <w:r w:rsidRPr="001649C4">
        <w:rPr>
          <w:rFonts w:ascii="Arial" w:eastAsia="Times New Roman" w:hAnsi="Arial" w:cs="Arial"/>
          <w:kern w:val="0"/>
          <w:lang w:eastAsia="en-GB"/>
          <w14:ligatures w14:val="none"/>
        </w:rPr>
        <w:t xml:space="preserve"> approach based on supervision and performance targets (Bass and Riggio, 2006). Nevertheless, transactional leadership still plays an important role in highly automated environments because clear expectations and performance standards help maintain operational consistency. Rather than relying exclusively on one style, Ocado's managers would benefit from combining both approaches according to operational requirements.</w:t>
      </w:r>
    </w:p>
    <w:p w14:paraId="22B8C5DC"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Managers are also responsible for ensuring that HR policies are applied fairly and consistently. Recruitment, promotion, performance management and reward should be based on objective criteria rather than personal judgement or unconscious bias. Consistent implementation strengthens employee trust, supports equal opportunities and reduces the risk of discrimination claims (CIPD, 2024). However, even well-designed policies can lose credibility if they are applied differently across departments. Regular management training and clear organisational guidance are therefore essential to maintain consistency throughout the business.</w:t>
      </w:r>
    </w:p>
    <w:p w14:paraId="258B5623"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lastRenderedPageBreak/>
        <w:t>Evidence-based decision-making further strengthens managerial effectiveness. Workforce analytics provide valuable information on employee turnover, engagement, diversity and training outcomes, helping managers identify emerging workforce issues before they affect organisational performance (Marler and Boudreau, 2017). However, quantitative data alone cannot explain why employees disengage or resist change. Managers must also use qualitative evidence, including one-to-one meetings, employee feedback and team discussions, to understand workplace challenges more fully. Combining both forms of evidence enables more balanced and informed decision-making.</w:t>
      </w:r>
    </w:p>
    <w:p w14:paraId="6D744A4D"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Overall, effective HR implementation depends on managers who can combine leadership, communication and evidence-based decision-making with a consistent application of organisational policies. For Ocado, investing in managerial capability is likely to improve employee engagement, strengthen workforce resilience and support the successful adoption of new technologies. As the organisation continues to expand internationally, managers who can balance operational priorities with employee development will play a critical role in sustaining innovation and maintaining long-term competitive advantage.</w:t>
      </w:r>
    </w:p>
    <w:p w14:paraId="3D392A59"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713383D2"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36E4AD1D"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7EA94C6E"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79B28F92"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33F616D4"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7D12FD53"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33EC54DB"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2A42E946"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54491D67"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7315135C"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64CC4AEB" w14:textId="13F9D961" w:rsidR="00061A84" w:rsidRPr="001649C4" w:rsidRDefault="00061A8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lastRenderedPageBreak/>
        <w:t>Conclusion</w:t>
      </w:r>
    </w:p>
    <w:p w14:paraId="0C62F490"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This report examined three key Human Resource challenges facing </w:t>
      </w:r>
      <w:r w:rsidRPr="001649C4">
        <w:rPr>
          <w:rFonts w:ascii="Arial" w:eastAsia="Times New Roman" w:hAnsi="Arial" w:cs="Arial"/>
          <w:b/>
          <w:bCs/>
          <w:kern w:val="0"/>
          <w:lang w:eastAsia="en-GB"/>
          <w14:ligatures w14:val="none"/>
        </w:rPr>
        <w:t>Ocado Group plc</w:t>
      </w:r>
      <w:r w:rsidRPr="001649C4">
        <w:rPr>
          <w:rFonts w:ascii="Arial" w:eastAsia="Times New Roman" w:hAnsi="Arial" w:cs="Arial"/>
          <w:kern w:val="0"/>
          <w:lang w:eastAsia="en-GB"/>
          <w14:ligatures w14:val="none"/>
        </w:rPr>
        <w:t>: adapting to technological change, attracting and retaining skilled employees, and promoting diversity, equity and inclusion (DEI). The analysis showed that these challenges are closely connected and require an integrated HR strategy rather than separate initiatives. Contemporary practices, including digital learning, talent management and inclusive leadership, were identified as important contributors to workforce capability and organisational performance.</w:t>
      </w:r>
    </w:p>
    <w:p w14:paraId="4B4CEDF6"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The report also demonstrated that the success of these practices depends largely on departmental managers. By communicating change effectively, applying HR policies consistently and using evidence-based decision-making, managers can improve employee engagement while supporting organisational objectives. As Ocado continues expanding its technology capabilities and international operations, developing both workforce skills and managerial capability will remain essential. Adopting a strategic and people-focused approach to HR will help the organisation sustain innovation, strengthen competitiveness and achieve long-term business success.</w:t>
      </w:r>
    </w:p>
    <w:p w14:paraId="7A90930A" w14:textId="77777777" w:rsidR="003E481A" w:rsidRPr="001649C4" w:rsidRDefault="003E481A" w:rsidP="001649C4">
      <w:pPr>
        <w:spacing w:before="100" w:beforeAutospacing="1" w:after="100" w:afterAutospacing="1" w:line="360" w:lineRule="auto"/>
        <w:outlineLvl w:val="1"/>
        <w:rPr>
          <w:rFonts w:ascii="Arial" w:eastAsia="Times New Roman" w:hAnsi="Arial" w:cs="Arial"/>
          <w:b/>
          <w:bCs/>
          <w:kern w:val="0"/>
          <w:lang w:eastAsia="en-GB"/>
          <w14:ligatures w14:val="none"/>
        </w:rPr>
      </w:pPr>
    </w:p>
    <w:p w14:paraId="5ADAE837"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23220D85"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3D490C80"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370C3050"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2A1AA7AE"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10F5A64D"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1136DA29"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682E975A"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399CDCC6"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7742EBFF" w14:textId="77777777" w:rsidR="001649C4" w:rsidRDefault="001649C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5458E3E2" w14:textId="51CE6D46" w:rsidR="00061A84" w:rsidRPr="001649C4" w:rsidRDefault="00061A84" w:rsidP="001649C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1649C4">
        <w:rPr>
          <w:rFonts w:ascii="Arial" w:eastAsia="Times New Roman" w:hAnsi="Arial" w:cs="Arial"/>
          <w:b/>
          <w:bCs/>
          <w:kern w:val="0"/>
          <w:lang w:eastAsia="en-GB"/>
          <w14:ligatures w14:val="none"/>
        </w:rPr>
        <w:lastRenderedPageBreak/>
        <w:t>Recommendations</w:t>
      </w:r>
    </w:p>
    <w:p w14:paraId="712B2592" w14:textId="77777777" w:rsidR="00061A84" w:rsidRPr="001649C4" w:rsidRDefault="00061A84" w:rsidP="001649C4">
      <w:pPr>
        <w:spacing w:before="100" w:beforeAutospacing="1" w:after="100" w:afterAutospacing="1" w:line="360" w:lineRule="auto"/>
        <w:ind w:firstLine="720"/>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Based on the findings of this report, four recommendations are proposed for </w:t>
      </w:r>
      <w:r w:rsidRPr="001649C4">
        <w:rPr>
          <w:rFonts w:ascii="Arial" w:eastAsia="Times New Roman" w:hAnsi="Arial" w:cs="Arial"/>
          <w:b/>
          <w:bCs/>
          <w:kern w:val="0"/>
          <w:lang w:eastAsia="en-GB"/>
          <w14:ligatures w14:val="none"/>
        </w:rPr>
        <w:t>Ocado Group plc</w:t>
      </w:r>
      <w:r w:rsidRPr="001649C4">
        <w:rPr>
          <w:rFonts w:ascii="Arial" w:eastAsia="Times New Roman" w:hAnsi="Arial" w:cs="Arial"/>
          <w:kern w:val="0"/>
          <w:lang w:eastAsia="en-GB"/>
          <w14:ligatures w14:val="none"/>
        </w:rPr>
        <w:t>. First, the company should strengthen continuous learning by expanding digital training and upskilling programmes to ensure employees can adapt to emerging technologies. Second, talent management should be supported through proactive workforce planning, structured career development and succession planning to improve retention of specialist employees. Third, DEI principles should be embedded across recruitment, promotion and performance management to promote equal opportunities and strengthen employee engagement. Finally, departmental managers should receive regular training in change management, inclusive leadership and evidence-based decision-making to improve the consistent implementation of HR practices. Collectively, these actions would help Ocado develop a skilled and engaged workforce while supporting innovation, operational performance and sustainable business growth in an increasingly competitive technology sector.</w:t>
      </w:r>
    </w:p>
    <w:p w14:paraId="380E1741"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5D1EDC76"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09A857D0"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45BBA992"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7F48C624"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122F4ACC"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4E6085B4"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6BA47CE7"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00250B65"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41F4BB1D"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78782301"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44C99740" w14:textId="77777777" w:rsidR="003E481A" w:rsidRPr="001649C4" w:rsidRDefault="003E481A" w:rsidP="001649C4">
      <w:pPr>
        <w:spacing w:before="100" w:beforeAutospacing="1" w:after="100" w:afterAutospacing="1" w:line="360" w:lineRule="auto"/>
        <w:outlineLvl w:val="0"/>
        <w:rPr>
          <w:rFonts w:ascii="Arial" w:eastAsia="Times New Roman" w:hAnsi="Arial" w:cs="Arial"/>
          <w:b/>
          <w:bCs/>
          <w:kern w:val="36"/>
          <w:lang w:eastAsia="en-GB"/>
          <w14:ligatures w14:val="none"/>
        </w:rPr>
      </w:pPr>
    </w:p>
    <w:p w14:paraId="0922A04D" w14:textId="5D64801C" w:rsidR="004820B3" w:rsidRPr="001649C4" w:rsidRDefault="004820B3" w:rsidP="001649C4">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1649C4">
        <w:rPr>
          <w:rFonts w:ascii="Arial" w:eastAsia="Times New Roman" w:hAnsi="Arial" w:cs="Arial"/>
          <w:b/>
          <w:bCs/>
          <w:kern w:val="36"/>
          <w:lang w:eastAsia="en-GB"/>
          <w14:ligatures w14:val="none"/>
        </w:rPr>
        <w:lastRenderedPageBreak/>
        <w:t>References</w:t>
      </w:r>
    </w:p>
    <w:p w14:paraId="106C6CA9"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Armstrong, M. and Taylor, S. (2023) </w:t>
      </w:r>
      <w:r w:rsidRPr="001649C4">
        <w:rPr>
          <w:rFonts w:ascii="Arial" w:eastAsia="Times New Roman" w:hAnsi="Arial" w:cs="Arial"/>
          <w:i/>
          <w:iCs/>
          <w:kern w:val="0"/>
          <w:lang w:eastAsia="en-GB"/>
          <w14:ligatures w14:val="none"/>
        </w:rPr>
        <w:t>Armstrong's Handbook of Human Resource Management Practice</w:t>
      </w:r>
      <w:r w:rsidRPr="001649C4">
        <w:rPr>
          <w:rFonts w:ascii="Arial" w:eastAsia="Times New Roman" w:hAnsi="Arial" w:cs="Arial"/>
          <w:kern w:val="0"/>
          <w:lang w:eastAsia="en-GB"/>
          <w14:ligatures w14:val="none"/>
        </w:rPr>
        <w:t xml:space="preserve">. 16th </w:t>
      </w:r>
      <w:proofErr w:type="spellStart"/>
      <w:r w:rsidRPr="001649C4">
        <w:rPr>
          <w:rFonts w:ascii="Arial" w:eastAsia="Times New Roman" w:hAnsi="Arial" w:cs="Arial"/>
          <w:kern w:val="0"/>
          <w:lang w:eastAsia="en-GB"/>
          <w14:ligatures w14:val="none"/>
        </w:rPr>
        <w:t>edn</w:t>
      </w:r>
      <w:proofErr w:type="spellEnd"/>
      <w:r w:rsidRPr="001649C4">
        <w:rPr>
          <w:rFonts w:ascii="Arial" w:eastAsia="Times New Roman" w:hAnsi="Arial" w:cs="Arial"/>
          <w:kern w:val="0"/>
          <w:lang w:eastAsia="en-GB"/>
          <w14:ligatures w14:val="none"/>
        </w:rPr>
        <w:t>. London: Kogan Page.</w:t>
      </w:r>
    </w:p>
    <w:p w14:paraId="2A915C33"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Barney, J. (1991) 'Firm resources and sustained competitive advantage', </w:t>
      </w:r>
      <w:r w:rsidRPr="001649C4">
        <w:rPr>
          <w:rFonts w:ascii="Arial" w:eastAsia="Times New Roman" w:hAnsi="Arial" w:cs="Arial"/>
          <w:i/>
          <w:iCs/>
          <w:kern w:val="0"/>
          <w:lang w:eastAsia="en-GB"/>
          <w14:ligatures w14:val="none"/>
        </w:rPr>
        <w:t>Journal of Management</w:t>
      </w:r>
      <w:r w:rsidRPr="001649C4">
        <w:rPr>
          <w:rFonts w:ascii="Arial" w:eastAsia="Times New Roman" w:hAnsi="Arial" w:cs="Arial"/>
          <w:kern w:val="0"/>
          <w:lang w:eastAsia="en-GB"/>
          <w14:ligatures w14:val="none"/>
        </w:rPr>
        <w:t>, 17(1), pp. 99–120.</w:t>
      </w:r>
    </w:p>
    <w:p w14:paraId="258ACAF9"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Bass, B.M. and Riggio, R.E. (2006) </w:t>
      </w:r>
      <w:r w:rsidRPr="001649C4">
        <w:rPr>
          <w:rFonts w:ascii="Arial" w:eastAsia="Times New Roman" w:hAnsi="Arial" w:cs="Arial"/>
          <w:i/>
          <w:iCs/>
          <w:kern w:val="0"/>
          <w:lang w:eastAsia="en-GB"/>
          <w14:ligatures w14:val="none"/>
        </w:rPr>
        <w:t>Transformational Leadership</w:t>
      </w:r>
      <w:r w:rsidRPr="001649C4">
        <w:rPr>
          <w:rFonts w:ascii="Arial" w:eastAsia="Times New Roman" w:hAnsi="Arial" w:cs="Arial"/>
          <w:kern w:val="0"/>
          <w:lang w:eastAsia="en-GB"/>
          <w14:ligatures w14:val="none"/>
        </w:rPr>
        <w:t xml:space="preserve">. 2nd </w:t>
      </w:r>
      <w:proofErr w:type="spellStart"/>
      <w:r w:rsidRPr="001649C4">
        <w:rPr>
          <w:rFonts w:ascii="Arial" w:eastAsia="Times New Roman" w:hAnsi="Arial" w:cs="Arial"/>
          <w:kern w:val="0"/>
          <w:lang w:eastAsia="en-GB"/>
          <w14:ligatures w14:val="none"/>
        </w:rPr>
        <w:t>edn</w:t>
      </w:r>
      <w:proofErr w:type="spellEnd"/>
      <w:r w:rsidRPr="001649C4">
        <w:rPr>
          <w:rFonts w:ascii="Arial" w:eastAsia="Times New Roman" w:hAnsi="Arial" w:cs="Arial"/>
          <w:kern w:val="0"/>
          <w:lang w:eastAsia="en-GB"/>
          <w14:ligatures w14:val="none"/>
        </w:rPr>
        <w:t>. Mahwah, NJ: Lawrence Erlbaum Associates.</w:t>
      </w:r>
    </w:p>
    <w:p w14:paraId="58998002"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CIPD (2024) </w:t>
      </w:r>
      <w:r w:rsidRPr="001649C4">
        <w:rPr>
          <w:rFonts w:ascii="Arial" w:eastAsia="Times New Roman" w:hAnsi="Arial" w:cs="Arial"/>
          <w:i/>
          <w:iCs/>
          <w:kern w:val="0"/>
          <w:lang w:eastAsia="en-GB"/>
          <w14:ligatures w14:val="none"/>
        </w:rPr>
        <w:t>People Profession Survey 2024</w:t>
      </w:r>
      <w:r w:rsidRPr="001649C4">
        <w:rPr>
          <w:rFonts w:ascii="Arial" w:eastAsia="Times New Roman" w:hAnsi="Arial" w:cs="Arial"/>
          <w:kern w:val="0"/>
          <w:lang w:eastAsia="en-GB"/>
          <w14:ligatures w14:val="none"/>
        </w:rPr>
        <w:t>. London: Chartered Institute of Personnel and Development.</w:t>
      </w:r>
    </w:p>
    <w:p w14:paraId="13D0A67E"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Collings, D.G., Scullion, H. and </w:t>
      </w:r>
      <w:proofErr w:type="spellStart"/>
      <w:r w:rsidRPr="001649C4">
        <w:rPr>
          <w:rFonts w:ascii="Arial" w:eastAsia="Times New Roman" w:hAnsi="Arial" w:cs="Arial"/>
          <w:kern w:val="0"/>
          <w:lang w:eastAsia="en-GB"/>
          <w14:ligatures w14:val="none"/>
        </w:rPr>
        <w:t>Vaiman</w:t>
      </w:r>
      <w:proofErr w:type="spellEnd"/>
      <w:r w:rsidRPr="001649C4">
        <w:rPr>
          <w:rFonts w:ascii="Arial" w:eastAsia="Times New Roman" w:hAnsi="Arial" w:cs="Arial"/>
          <w:kern w:val="0"/>
          <w:lang w:eastAsia="en-GB"/>
          <w14:ligatures w14:val="none"/>
        </w:rPr>
        <w:t xml:space="preserve">, V. (2015) 'Talent management: Progress and prospects', </w:t>
      </w:r>
      <w:r w:rsidRPr="001649C4">
        <w:rPr>
          <w:rFonts w:ascii="Arial" w:eastAsia="Times New Roman" w:hAnsi="Arial" w:cs="Arial"/>
          <w:i/>
          <w:iCs/>
          <w:kern w:val="0"/>
          <w:lang w:eastAsia="en-GB"/>
          <w14:ligatures w14:val="none"/>
        </w:rPr>
        <w:t>Human Resource Management Review</w:t>
      </w:r>
      <w:r w:rsidRPr="001649C4">
        <w:rPr>
          <w:rFonts w:ascii="Arial" w:eastAsia="Times New Roman" w:hAnsi="Arial" w:cs="Arial"/>
          <w:kern w:val="0"/>
          <w:lang w:eastAsia="en-GB"/>
          <w14:ligatures w14:val="none"/>
        </w:rPr>
        <w:t>, 25(3), pp. 233–235.</w:t>
      </w:r>
    </w:p>
    <w:p w14:paraId="468FFA7A"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Marler, J.H. and Boudreau, J.W. (2017) 'An evidence-based review of HR Analytics', </w:t>
      </w:r>
      <w:r w:rsidRPr="001649C4">
        <w:rPr>
          <w:rFonts w:ascii="Arial" w:eastAsia="Times New Roman" w:hAnsi="Arial" w:cs="Arial"/>
          <w:i/>
          <w:iCs/>
          <w:kern w:val="0"/>
          <w:lang w:eastAsia="en-GB"/>
          <w14:ligatures w14:val="none"/>
        </w:rPr>
        <w:t>International Journal of Human Resource Management</w:t>
      </w:r>
      <w:r w:rsidRPr="001649C4">
        <w:rPr>
          <w:rFonts w:ascii="Arial" w:eastAsia="Times New Roman" w:hAnsi="Arial" w:cs="Arial"/>
          <w:kern w:val="0"/>
          <w:lang w:eastAsia="en-GB"/>
          <w14:ligatures w14:val="none"/>
        </w:rPr>
        <w:t>, 28(1), pp. 3–26.</w:t>
      </w:r>
    </w:p>
    <w:p w14:paraId="1C88F7D5"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Noe, R.A., Hollenbeck, J.R., Gerhart, B. and Wright, P.M. (2023) </w:t>
      </w:r>
      <w:r w:rsidRPr="001649C4">
        <w:rPr>
          <w:rFonts w:ascii="Arial" w:eastAsia="Times New Roman" w:hAnsi="Arial" w:cs="Arial"/>
          <w:i/>
          <w:iCs/>
          <w:kern w:val="0"/>
          <w:lang w:eastAsia="en-GB"/>
          <w14:ligatures w14:val="none"/>
        </w:rPr>
        <w:t>Fundamentals of Human Resource Management</w:t>
      </w:r>
      <w:r w:rsidRPr="001649C4">
        <w:rPr>
          <w:rFonts w:ascii="Arial" w:eastAsia="Times New Roman" w:hAnsi="Arial" w:cs="Arial"/>
          <w:kern w:val="0"/>
          <w:lang w:eastAsia="en-GB"/>
          <w14:ligatures w14:val="none"/>
        </w:rPr>
        <w:t xml:space="preserve">. 10th </w:t>
      </w:r>
      <w:proofErr w:type="spellStart"/>
      <w:r w:rsidRPr="001649C4">
        <w:rPr>
          <w:rFonts w:ascii="Arial" w:eastAsia="Times New Roman" w:hAnsi="Arial" w:cs="Arial"/>
          <w:kern w:val="0"/>
          <w:lang w:eastAsia="en-GB"/>
          <w14:ligatures w14:val="none"/>
        </w:rPr>
        <w:t>edn</w:t>
      </w:r>
      <w:proofErr w:type="spellEnd"/>
      <w:r w:rsidRPr="001649C4">
        <w:rPr>
          <w:rFonts w:ascii="Arial" w:eastAsia="Times New Roman" w:hAnsi="Arial" w:cs="Arial"/>
          <w:kern w:val="0"/>
          <w:lang w:eastAsia="en-GB"/>
          <w14:ligatures w14:val="none"/>
        </w:rPr>
        <w:t>. New York: McGraw-Hill Education.</w:t>
      </w:r>
    </w:p>
    <w:p w14:paraId="4D98743B"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Ocado Group plc (2026) </w:t>
      </w:r>
      <w:r w:rsidRPr="001649C4">
        <w:rPr>
          <w:rFonts w:ascii="Arial" w:eastAsia="Times New Roman" w:hAnsi="Arial" w:cs="Arial"/>
          <w:i/>
          <w:iCs/>
          <w:kern w:val="0"/>
          <w:lang w:eastAsia="en-GB"/>
          <w14:ligatures w14:val="none"/>
        </w:rPr>
        <w:t>Annual Report and Accounts 2025</w:t>
      </w:r>
      <w:r w:rsidRPr="001649C4">
        <w:rPr>
          <w:rFonts w:ascii="Arial" w:eastAsia="Times New Roman" w:hAnsi="Arial" w:cs="Arial"/>
          <w:kern w:val="0"/>
          <w:lang w:eastAsia="en-GB"/>
          <w14:ligatures w14:val="none"/>
        </w:rPr>
        <w:t>. Hatfield: Ocado Group plc.</w:t>
      </w:r>
    </w:p>
    <w:p w14:paraId="6CAFCAB5"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Shore, L.M., Cleveland, J.N. and Sanchez, D. (2018) 'Inclusive workplaces: A review and model', </w:t>
      </w:r>
      <w:r w:rsidRPr="001649C4">
        <w:rPr>
          <w:rFonts w:ascii="Arial" w:eastAsia="Times New Roman" w:hAnsi="Arial" w:cs="Arial"/>
          <w:i/>
          <w:iCs/>
          <w:kern w:val="0"/>
          <w:lang w:eastAsia="en-GB"/>
          <w14:ligatures w14:val="none"/>
        </w:rPr>
        <w:t>Human Resource Management Review</w:t>
      </w:r>
      <w:r w:rsidRPr="001649C4">
        <w:rPr>
          <w:rFonts w:ascii="Arial" w:eastAsia="Times New Roman" w:hAnsi="Arial" w:cs="Arial"/>
          <w:kern w:val="0"/>
          <w:lang w:eastAsia="en-GB"/>
          <w14:ligatures w14:val="none"/>
        </w:rPr>
        <w:t>, 28(2), pp. 176–189.</w:t>
      </w:r>
    </w:p>
    <w:p w14:paraId="2F006256"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Stone, D.L., Deadrick, D.L., Lukaszewski, K.M. and Johnson, R. (2020) 'The influence of technology on the future of human resource management', </w:t>
      </w:r>
      <w:r w:rsidRPr="001649C4">
        <w:rPr>
          <w:rFonts w:ascii="Arial" w:eastAsia="Times New Roman" w:hAnsi="Arial" w:cs="Arial"/>
          <w:i/>
          <w:iCs/>
          <w:kern w:val="0"/>
          <w:lang w:eastAsia="en-GB"/>
          <w14:ligatures w14:val="none"/>
        </w:rPr>
        <w:t>Human Resource Management Review</w:t>
      </w:r>
      <w:r w:rsidRPr="001649C4">
        <w:rPr>
          <w:rFonts w:ascii="Arial" w:eastAsia="Times New Roman" w:hAnsi="Arial" w:cs="Arial"/>
          <w:kern w:val="0"/>
          <w:lang w:eastAsia="en-GB"/>
          <w14:ligatures w14:val="none"/>
        </w:rPr>
        <w:t>, 30(1), Article 100679.</w:t>
      </w:r>
    </w:p>
    <w:p w14:paraId="3CC95C54" w14:textId="77777777" w:rsidR="004820B3" w:rsidRPr="001649C4" w:rsidRDefault="004820B3" w:rsidP="001649C4">
      <w:pPr>
        <w:spacing w:before="100" w:beforeAutospacing="1" w:after="100" w:afterAutospacing="1" w:line="360" w:lineRule="auto"/>
        <w:rPr>
          <w:rFonts w:ascii="Arial" w:eastAsia="Times New Roman" w:hAnsi="Arial" w:cs="Arial"/>
          <w:kern w:val="0"/>
          <w:lang w:eastAsia="en-GB"/>
          <w14:ligatures w14:val="none"/>
        </w:rPr>
      </w:pPr>
      <w:r w:rsidRPr="001649C4">
        <w:rPr>
          <w:rFonts w:ascii="Arial" w:eastAsia="Times New Roman" w:hAnsi="Arial" w:cs="Arial"/>
          <w:kern w:val="0"/>
          <w:lang w:eastAsia="en-GB"/>
          <w14:ligatures w14:val="none"/>
        </w:rPr>
        <w:t xml:space="preserve">Taylor, S. (2022) </w:t>
      </w:r>
      <w:r w:rsidRPr="001649C4">
        <w:rPr>
          <w:rFonts w:ascii="Arial" w:eastAsia="Times New Roman" w:hAnsi="Arial" w:cs="Arial"/>
          <w:i/>
          <w:iCs/>
          <w:kern w:val="0"/>
          <w:lang w:eastAsia="en-GB"/>
          <w14:ligatures w14:val="none"/>
        </w:rPr>
        <w:t>Resourcing and Talent Management</w:t>
      </w:r>
      <w:r w:rsidRPr="001649C4">
        <w:rPr>
          <w:rFonts w:ascii="Arial" w:eastAsia="Times New Roman" w:hAnsi="Arial" w:cs="Arial"/>
          <w:kern w:val="0"/>
          <w:lang w:eastAsia="en-GB"/>
          <w14:ligatures w14:val="none"/>
        </w:rPr>
        <w:t xml:space="preserve">. 9th </w:t>
      </w:r>
      <w:proofErr w:type="spellStart"/>
      <w:r w:rsidRPr="001649C4">
        <w:rPr>
          <w:rFonts w:ascii="Arial" w:eastAsia="Times New Roman" w:hAnsi="Arial" w:cs="Arial"/>
          <w:kern w:val="0"/>
          <w:lang w:eastAsia="en-GB"/>
          <w14:ligatures w14:val="none"/>
        </w:rPr>
        <w:t>edn</w:t>
      </w:r>
      <w:proofErr w:type="spellEnd"/>
      <w:r w:rsidRPr="001649C4">
        <w:rPr>
          <w:rFonts w:ascii="Arial" w:eastAsia="Times New Roman" w:hAnsi="Arial" w:cs="Arial"/>
          <w:kern w:val="0"/>
          <w:lang w:eastAsia="en-GB"/>
          <w14:ligatures w14:val="none"/>
        </w:rPr>
        <w:t>. London: Kogan Page.</w:t>
      </w:r>
    </w:p>
    <w:p w14:paraId="69500788" w14:textId="77777777" w:rsidR="00E164D3" w:rsidRPr="001649C4" w:rsidRDefault="00E164D3" w:rsidP="001649C4">
      <w:pPr>
        <w:spacing w:before="100" w:beforeAutospacing="1" w:after="100" w:afterAutospacing="1" w:line="360" w:lineRule="auto"/>
        <w:outlineLvl w:val="1"/>
        <w:rPr>
          <w:rFonts w:ascii="Arial" w:eastAsia="Times New Roman" w:hAnsi="Arial" w:cs="Arial"/>
          <w:b/>
          <w:bCs/>
          <w:kern w:val="36"/>
          <w:lang w:eastAsia="en-GB"/>
          <w14:ligatures w14:val="none"/>
        </w:rPr>
      </w:pPr>
    </w:p>
    <w:p w14:paraId="287E3A7E" w14:textId="77777777" w:rsidR="00305503" w:rsidRPr="001649C4" w:rsidRDefault="00305503" w:rsidP="001649C4">
      <w:pPr>
        <w:spacing w:line="360" w:lineRule="auto"/>
        <w:rPr>
          <w:rFonts w:ascii="Arial" w:hAnsi="Arial" w:cs="Arial"/>
        </w:rPr>
      </w:pPr>
    </w:p>
    <w:sectPr w:rsidR="00305503" w:rsidRPr="001649C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15A3E" w14:textId="77777777" w:rsidR="00B868F5" w:rsidRDefault="00B868F5" w:rsidP="00B868F5">
      <w:pPr>
        <w:spacing w:after="0" w:line="240" w:lineRule="auto"/>
      </w:pPr>
      <w:r>
        <w:separator/>
      </w:r>
    </w:p>
  </w:endnote>
  <w:endnote w:type="continuationSeparator" w:id="0">
    <w:p w14:paraId="186B7A55" w14:textId="77777777" w:rsidR="00B868F5" w:rsidRDefault="00B868F5" w:rsidP="00B86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996509"/>
      <w:docPartObj>
        <w:docPartGallery w:val="Page Numbers (Bottom of Page)"/>
        <w:docPartUnique/>
      </w:docPartObj>
    </w:sdtPr>
    <w:sdtEndPr>
      <w:rPr>
        <w:noProof/>
      </w:rPr>
    </w:sdtEndPr>
    <w:sdtContent>
      <w:p w14:paraId="6D8DDB91" w14:textId="106B5D86" w:rsidR="00B868F5" w:rsidRDefault="00B868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EEB790" w14:textId="77777777" w:rsidR="00B868F5" w:rsidRDefault="00B86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60815" w14:textId="77777777" w:rsidR="00B868F5" w:rsidRDefault="00B868F5" w:rsidP="00B868F5">
      <w:pPr>
        <w:spacing w:after="0" w:line="240" w:lineRule="auto"/>
      </w:pPr>
      <w:r>
        <w:separator/>
      </w:r>
    </w:p>
  </w:footnote>
  <w:footnote w:type="continuationSeparator" w:id="0">
    <w:p w14:paraId="6CBE1EDC" w14:textId="77777777" w:rsidR="00B868F5" w:rsidRDefault="00B868F5" w:rsidP="00B868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F3CE7"/>
    <w:multiLevelType w:val="hybridMultilevel"/>
    <w:tmpl w:val="8244D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0A1D4D"/>
    <w:multiLevelType w:val="hybridMultilevel"/>
    <w:tmpl w:val="80C6B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4A1F78"/>
    <w:multiLevelType w:val="multilevel"/>
    <w:tmpl w:val="F2DC7F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140EF9"/>
    <w:multiLevelType w:val="hybridMultilevel"/>
    <w:tmpl w:val="E1BC653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05F45F1"/>
    <w:multiLevelType w:val="multilevel"/>
    <w:tmpl w:val="D7B4B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184F16"/>
    <w:multiLevelType w:val="multilevel"/>
    <w:tmpl w:val="86B2F8EC"/>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6" w15:restartNumberingAfterBreak="0">
    <w:nsid w:val="4C6F12D7"/>
    <w:multiLevelType w:val="multilevel"/>
    <w:tmpl w:val="F2DC7F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6E22FA"/>
    <w:multiLevelType w:val="multilevel"/>
    <w:tmpl w:val="4A005510"/>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776B0686"/>
    <w:multiLevelType w:val="multilevel"/>
    <w:tmpl w:val="F2DC7F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8375894">
    <w:abstractNumId w:val="8"/>
  </w:num>
  <w:num w:numId="2" w16cid:durableId="1892496119">
    <w:abstractNumId w:val="6"/>
  </w:num>
  <w:num w:numId="3" w16cid:durableId="1837921028">
    <w:abstractNumId w:val="4"/>
  </w:num>
  <w:num w:numId="4" w16cid:durableId="293757458">
    <w:abstractNumId w:val="1"/>
  </w:num>
  <w:num w:numId="5" w16cid:durableId="386992566">
    <w:abstractNumId w:val="2"/>
  </w:num>
  <w:num w:numId="6" w16cid:durableId="691881353">
    <w:abstractNumId w:val="7"/>
  </w:num>
  <w:num w:numId="7" w16cid:durableId="320620540">
    <w:abstractNumId w:val="5"/>
  </w:num>
  <w:num w:numId="8" w16cid:durableId="1475179036">
    <w:abstractNumId w:val="0"/>
  </w:num>
  <w:num w:numId="9" w16cid:durableId="4517057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A91"/>
    <w:rsid w:val="00061A84"/>
    <w:rsid w:val="000F5A11"/>
    <w:rsid w:val="00104477"/>
    <w:rsid w:val="00133D12"/>
    <w:rsid w:val="001649C4"/>
    <w:rsid w:val="00265557"/>
    <w:rsid w:val="00305503"/>
    <w:rsid w:val="003E481A"/>
    <w:rsid w:val="004558DA"/>
    <w:rsid w:val="00456B60"/>
    <w:rsid w:val="004820B3"/>
    <w:rsid w:val="004B727F"/>
    <w:rsid w:val="004F416D"/>
    <w:rsid w:val="006D330D"/>
    <w:rsid w:val="0074048D"/>
    <w:rsid w:val="008841FF"/>
    <w:rsid w:val="00966A91"/>
    <w:rsid w:val="00B3454A"/>
    <w:rsid w:val="00B868F5"/>
    <w:rsid w:val="00C656D2"/>
    <w:rsid w:val="00D36AB6"/>
    <w:rsid w:val="00E16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4EE4E"/>
  <w15:chartTrackingRefBased/>
  <w15:docId w15:val="{2B9C0064-418E-44C8-A938-B04C94E74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A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66A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66A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66A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66A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66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6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6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6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A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66A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66A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66A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66A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66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6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6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6A91"/>
    <w:rPr>
      <w:rFonts w:eastAsiaTheme="majorEastAsia" w:cstheme="majorBidi"/>
      <w:color w:val="272727" w:themeColor="text1" w:themeTint="D8"/>
    </w:rPr>
  </w:style>
  <w:style w:type="paragraph" w:styleId="Title">
    <w:name w:val="Title"/>
    <w:basedOn w:val="Normal"/>
    <w:next w:val="Normal"/>
    <w:link w:val="TitleChar"/>
    <w:uiPriority w:val="10"/>
    <w:qFormat/>
    <w:rsid w:val="00966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6A91"/>
    <w:pPr>
      <w:spacing w:before="160"/>
      <w:jc w:val="center"/>
    </w:pPr>
    <w:rPr>
      <w:i/>
      <w:iCs/>
      <w:color w:val="404040" w:themeColor="text1" w:themeTint="BF"/>
    </w:rPr>
  </w:style>
  <w:style w:type="character" w:customStyle="1" w:styleId="QuoteChar">
    <w:name w:val="Quote Char"/>
    <w:basedOn w:val="DefaultParagraphFont"/>
    <w:link w:val="Quote"/>
    <w:uiPriority w:val="29"/>
    <w:rsid w:val="00966A91"/>
    <w:rPr>
      <w:i/>
      <w:iCs/>
      <w:color w:val="404040" w:themeColor="text1" w:themeTint="BF"/>
    </w:rPr>
  </w:style>
  <w:style w:type="paragraph" w:styleId="ListParagraph">
    <w:name w:val="List Paragraph"/>
    <w:basedOn w:val="Normal"/>
    <w:uiPriority w:val="34"/>
    <w:qFormat/>
    <w:rsid w:val="00966A91"/>
    <w:pPr>
      <w:ind w:left="720"/>
      <w:contextualSpacing/>
    </w:pPr>
  </w:style>
  <w:style w:type="character" w:styleId="IntenseEmphasis">
    <w:name w:val="Intense Emphasis"/>
    <w:basedOn w:val="DefaultParagraphFont"/>
    <w:uiPriority w:val="21"/>
    <w:qFormat/>
    <w:rsid w:val="00966A91"/>
    <w:rPr>
      <w:i/>
      <w:iCs/>
      <w:color w:val="2F5496" w:themeColor="accent1" w:themeShade="BF"/>
    </w:rPr>
  </w:style>
  <w:style w:type="paragraph" w:styleId="IntenseQuote">
    <w:name w:val="Intense Quote"/>
    <w:basedOn w:val="Normal"/>
    <w:next w:val="Normal"/>
    <w:link w:val="IntenseQuoteChar"/>
    <w:uiPriority w:val="30"/>
    <w:qFormat/>
    <w:rsid w:val="00966A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66A91"/>
    <w:rPr>
      <w:i/>
      <w:iCs/>
      <w:color w:val="2F5496" w:themeColor="accent1" w:themeShade="BF"/>
    </w:rPr>
  </w:style>
  <w:style w:type="character" w:styleId="IntenseReference">
    <w:name w:val="Intense Reference"/>
    <w:basedOn w:val="DefaultParagraphFont"/>
    <w:uiPriority w:val="32"/>
    <w:qFormat/>
    <w:rsid w:val="00966A91"/>
    <w:rPr>
      <w:b/>
      <w:bCs/>
      <w:smallCaps/>
      <w:color w:val="2F5496" w:themeColor="accent1" w:themeShade="BF"/>
      <w:spacing w:val="5"/>
    </w:rPr>
  </w:style>
  <w:style w:type="paragraph" w:styleId="Header">
    <w:name w:val="header"/>
    <w:basedOn w:val="Normal"/>
    <w:link w:val="HeaderChar"/>
    <w:uiPriority w:val="99"/>
    <w:unhideWhenUsed/>
    <w:rsid w:val="00B86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8F5"/>
  </w:style>
  <w:style w:type="paragraph" w:styleId="Footer">
    <w:name w:val="footer"/>
    <w:basedOn w:val="Normal"/>
    <w:link w:val="FooterChar"/>
    <w:uiPriority w:val="99"/>
    <w:unhideWhenUsed/>
    <w:rsid w:val="00B86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12</Pages>
  <Words>2889</Words>
  <Characters>16472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Ihor Vynnychuk</dc:creator>
  <cp:keywords/>
  <dc:description/>
  <cp:lastModifiedBy>Ihor Vynnychuk</cp:lastModifiedBy>
  <cp:revision>10</cp:revision>
  <dcterms:created xsi:type="dcterms:W3CDTF">2026-07-31T11:20:00Z</dcterms:created>
  <dcterms:modified xsi:type="dcterms:W3CDTF">2026-07-31T13:03:00Z</dcterms:modified>
</cp:coreProperties>
</file>