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7C6C1C35" w:rsidR="007E7745" w:rsidRDefault="00E305F0" w:rsidP="00C03A91">
      <w:pPr>
        <w:spacing w:line="360" w:lineRule="auto"/>
        <w:rPr>
          <w:rFonts w:ascii="Arial" w:hAnsi="Arial" w:cs="Arial"/>
          <w:b/>
          <w:bCs/>
          <w:sz w:val="48"/>
          <w:szCs w:val="48"/>
        </w:rPr>
      </w:pPr>
      <w:r>
        <w:rPr>
          <w:rFonts w:ascii="Arial" w:hAnsi="Arial" w:cs="Arial"/>
          <w:b/>
          <w:bCs/>
          <w:sz w:val="48"/>
          <w:szCs w:val="48"/>
        </w:rPr>
        <w:t>BMHP5023</w:t>
      </w:r>
    </w:p>
    <w:p w14:paraId="731962BB" w14:textId="24D5F0E9" w:rsidR="00E305F0" w:rsidRDefault="00E305F0" w:rsidP="00C03A91">
      <w:pPr>
        <w:spacing w:line="360" w:lineRule="auto"/>
        <w:rPr>
          <w:rFonts w:ascii="Arial" w:hAnsi="Arial" w:cs="Arial"/>
          <w:b/>
          <w:bCs/>
          <w:sz w:val="48"/>
          <w:szCs w:val="48"/>
        </w:rPr>
      </w:pPr>
      <w:r>
        <w:rPr>
          <w:rFonts w:ascii="Arial" w:hAnsi="Arial" w:cs="Arial"/>
          <w:b/>
          <w:bCs/>
          <w:sz w:val="48"/>
          <w:szCs w:val="48"/>
        </w:rPr>
        <w:t>INTRODUCTION TO PHYSIOLOGY</w:t>
      </w:r>
    </w:p>
    <w:p w14:paraId="7EA182E6" w14:textId="77777777" w:rsidR="00E305F0" w:rsidRDefault="00E305F0" w:rsidP="00C03A91">
      <w:pPr>
        <w:spacing w:line="360" w:lineRule="auto"/>
        <w:rPr>
          <w:rFonts w:ascii="Arial" w:hAnsi="Arial" w:cs="Arial"/>
          <w:b/>
          <w:bCs/>
          <w:sz w:val="48"/>
          <w:szCs w:val="48"/>
        </w:rPr>
      </w:pPr>
    </w:p>
    <w:p w14:paraId="2F4B4C1B" w14:textId="64411B81" w:rsidR="00E305F0" w:rsidRDefault="00E305F0" w:rsidP="00C03A91">
      <w:pPr>
        <w:spacing w:line="360" w:lineRule="auto"/>
        <w:rPr>
          <w:rFonts w:ascii="Arial" w:hAnsi="Arial" w:cs="Arial"/>
          <w:sz w:val="48"/>
          <w:szCs w:val="48"/>
        </w:rPr>
      </w:pPr>
      <w:r>
        <w:rPr>
          <w:rFonts w:ascii="Arial" w:hAnsi="Arial" w:cs="Arial"/>
          <w:b/>
          <w:bCs/>
          <w:sz w:val="48"/>
          <w:szCs w:val="48"/>
        </w:rPr>
        <w:t>LECTURER:</w:t>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sz w:val="48"/>
          <w:szCs w:val="48"/>
        </w:rPr>
        <w:t>SHAILA HUSSAIN</w:t>
      </w:r>
    </w:p>
    <w:p w14:paraId="2E909C53" w14:textId="77777777" w:rsidR="00E305F0" w:rsidRDefault="00E305F0" w:rsidP="00C03A91">
      <w:pPr>
        <w:spacing w:line="360" w:lineRule="auto"/>
        <w:rPr>
          <w:rFonts w:ascii="Arial" w:hAnsi="Arial" w:cs="Arial"/>
          <w:sz w:val="48"/>
          <w:szCs w:val="48"/>
        </w:rPr>
      </w:pPr>
    </w:p>
    <w:p w14:paraId="3EA5D2B0" w14:textId="77777777" w:rsidR="00E305F0" w:rsidRDefault="00E305F0" w:rsidP="00C03A91">
      <w:pPr>
        <w:spacing w:line="360" w:lineRule="auto"/>
        <w:rPr>
          <w:rFonts w:ascii="Arial" w:hAnsi="Arial" w:cs="Arial"/>
          <w:sz w:val="48"/>
          <w:szCs w:val="48"/>
        </w:rPr>
      </w:pPr>
      <w:r>
        <w:rPr>
          <w:rFonts w:ascii="Arial" w:hAnsi="Arial" w:cs="Arial"/>
          <w:b/>
          <w:bCs/>
          <w:sz w:val="48"/>
          <w:szCs w:val="48"/>
        </w:rPr>
        <w:t>STUDENT:</w:t>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sz w:val="48"/>
          <w:szCs w:val="48"/>
        </w:rPr>
        <w:t>SOBIA HUSSAIN</w:t>
      </w:r>
    </w:p>
    <w:p w14:paraId="3DACE9B2" w14:textId="03689E47" w:rsidR="00E305F0" w:rsidRDefault="00E305F0" w:rsidP="00C03A91">
      <w:pPr>
        <w:spacing w:line="360" w:lineRule="auto"/>
        <w:rPr>
          <w:rFonts w:ascii="Arial" w:hAnsi="Arial" w:cs="Arial"/>
          <w:sz w:val="48"/>
          <w:szCs w:val="48"/>
        </w:rPr>
      </w:pPr>
      <w:r>
        <w:rPr>
          <w:rFonts w:ascii="Arial" w:hAnsi="Arial" w:cs="Arial"/>
          <w:b/>
          <w:bCs/>
          <w:sz w:val="48"/>
          <w:szCs w:val="48"/>
        </w:rPr>
        <w:t>ID:</w:t>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sz w:val="48"/>
          <w:szCs w:val="48"/>
        </w:rPr>
        <w:t>2409460</w:t>
      </w:r>
    </w:p>
    <w:p w14:paraId="1205BE95" w14:textId="77777777" w:rsidR="00E305F0" w:rsidRDefault="00E305F0" w:rsidP="00C03A91">
      <w:pPr>
        <w:spacing w:line="360" w:lineRule="auto"/>
        <w:rPr>
          <w:rFonts w:ascii="Arial" w:hAnsi="Arial" w:cs="Arial"/>
          <w:sz w:val="48"/>
          <w:szCs w:val="48"/>
        </w:rPr>
      </w:pPr>
    </w:p>
    <w:p w14:paraId="4E6DD377" w14:textId="77777777" w:rsidR="00E305F0" w:rsidRDefault="00E305F0" w:rsidP="00C03A91">
      <w:pPr>
        <w:spacing w:line="360" w:lineRule="auto"/>
        <w:rPr>
          <w:rFonts w:ascii="Arial" w:hAnsi="Arial" w:cs="Arial"/>
          <w:sz w:val="48"/>
          <w:szCs w:val="48"/>
        </w:rPr>
      </w:pPr>
    </w:p>
    <w:p w14:paraId="194D8C62" w14:textId="77777777" w:rsidR="00E305F0" w:rsidRDefault="00E305F0" w:rsidP="00C03A91">
      <w:pPr>
        <w:spacing w:line="360" w:lineRule="auto"/>
        <w:rPr>
          <w:rFonts w:ascii="Arial" w:hAnsi="Arial" w:cs="Arial"/>
          <w:sz w:val="48"/>
          <w:szCs w:val="48"/>
        </w:rPr>
      </w:pPr>
    </w:p>
    <w:p w14:paraId="1B016541" w14:textId="77777777" w:rsidR="00E305F0" w:rsidRDefault="00E305F0" w:rsidP="00C03A91">
      <w:pPr>
        <w:spacing w:line="360" w:lineRule="auto"/>
        <w:rPr>
          <w:rFonts w:ascii="Arial" w:hAnsi="Arial" w:cs="Arial"/>
          <w:sz w:val="48"/>
          <w:szCs w:val="48"/>
        </w:rPr>
      </w:pPr>
    </w:p>
    <w:p w14:paraId="3EECCE69" w14:textId="16136119" w:rsidR="00E305F0" w:rsidRDefault="00E305F0" w:rsidP="00C03A91">
      <w:pPr>
        <w:spacing w:line="360" w:lineRule="auto"/>
        <w:rPr>
          <w:rFonts w:ascii="Arial" w:hAnsi="Arial" w:cs="Arial"/>
          <w:b/>
          <w:bCs/>
          <w:sz w:val="48"/>
          <w:szCs w:val="48"/>
        </w:rPr>
      </w:pPr>
      <w:r>
        <w:rPr>
          <w:rFonts w:ascii="Arial" w:hAnsi="Arial" w:cs="Arial"/>
          <w:b/>
          <w:bCs/>
          <w:sz w:val="48"/>
          <w:szCs w:val="48"/>
        </w:rPr>
        <w:t>COMPONENT 1</w:t>
      </w:r>
    </w:p>
    <w:p w14:paraId="1C24127C" w14:textId="77777777" w:rsidR="00E305F0" w:rsidRDefault="00E305F0" w:rsidP="00C03A91">
      <w:pPr>
        <w:spacing w:line="360" w:lineRule="auto"/>
        <w:rPr>
          <w:rFonts w:ascii="Arial" w:hAnsi="Arial" w:cs="Arial"/>
          <w:sz w:val="48"/>
          <w:szCs w:val="48"/>
        </w:rPr>
      </w:pPr>
      <w:r>
        <w:rPr>
          <w:rFonts w:ascii="Arial" w:hAnsi="Arial" w:cs="Arial"/>
          <w:sz w:val="48"/>
          <w:szCs w:val="48"/>
        </w:rPr>
        <w:t xml:space="preserve">WRITTEN ASSIGNMENT: </w:t>
      </w:r>
    </w:p>
    <w:p w14:paraId="63EFF1B7" w14:textId="1D3F0014" w:rsidR="00E305F0" w:rsidRPr="00E305F0" w:rsidRDefault="00E305F0" w:rsidP="00C03A91">
      <w:pPr>
        <w:spacing w:line="360" w:lineRule="auto"/>
        <w:rPr>
          <w:rFonts w:ascii="Arial" w:hAnsi="Arial" w:cs="Arial"/>
          <w:sz w:val="48"/>
          <w:szCs w:val="48"/>
        </w:rPr>
      </w:pPr>
      <w:r>
        <w:rPr>
          <w:rFonts w:ascii="Arial" w:hAnsi="Arial" w:cs="Arial"/>
          <w:sz w:val="48"/>
          <w:szCs w:val="48"/>
        </w:rPr>
        <w:t>CASE STUDY</w:t>
      </w:r>
      <w:r w:rsidR="00212F9D">
        <w:rPr>
          <w:rFonts w:ascii="Arial" w:hAnsi="Arial" w:cs="Arial"/>
          <w:sz w:val="48"/>
          <w:szCs w:val="48"/>
        </w:rPr>
        <w:t xml:space="preserve"> 1</w:t>
      </w:r>
    </w:p>
    <w:p w14:paraId="365DE405" w14:textId="777CB1BB" w:rsidR="00EB12BC" w:rsidRPr="00D11D8D" w:rsidRDefault="00E305F0" w:rsidP="00E305F0">
      <w:pPr>
        <w:spacing w:line="360" w:lineRule="auto"/>
        <w:jc w:val="center"/>
        <w:rPr>
          <w:rFonts w:ascii="Arial" w:hAnsi="Arial" w:cs="Arial"/>
          <w:sz w:val="28"/>
          <w:szCs w:val="28"/>
        </w:rPr>
      </w:pPr>
      <w:r w:rsidRPr="00D11D8D">
        <w:rPr>
          <w:rFonts w:ascii="Arial" w:hAnsi="Arial" w:cs="Arial"/>
          <w:sz w:val="28"/>
          <w:szCs w:val="28"/>
        </w:rPr>
        <w:lastRenderedPageBreak/>
        <w:t>Table of Contents</w:t>
      </w:r>
    </w:p>
    <w:p w14:paraId="19EC8249" w14:textId="77777777" w:rsidR="00212F9D" w:rsidRPr="00D11D8D" w:rsidRDefault="00212F9D" w:rsidP="00E305F0">
      <w:pPr>
        <w:spacing w:line="360" w:lineRule="auto"/>
        <w:jc w:val="center"/>
        <w:rPr>
          <w:rFonts w:ascii="Arial" w:hAnsi="Arial" w:cs="Arial"/>
          <w:sz w:val="28"/>
          <w:szCs w:val="28"/>
        </w:rPr>
      </w:pPr>
    </w:p>
    <w:p w14:paraId="7EAAB4DF" w14:textId="7FD7E42C" w:rsidR="00E305F0" w:rsidRPr="00D11D8D" w:rsidRDefault="003E3EED" w:rsidP="00E305F0">
      <w:pPr>
        <w:spacing w:line="360" w:lineRule="auto"/>
        <w:rPr>
          <w:rFonts w:ascii="Arial" w:hAnsi="Arial" w:cs="Arial"/>
          <w:szCs w:val="24"/>
        </w:rPr>
      </w:pPr>
      <w:r w:rsidRPr="00D11D8D">
        <w:rPr>
          <w:rFonts w:ascii="Arial" w:hAnsi="Arial" w:cs="Arial"/>
          <w:szCs w:val="24"/>
        </w:rPr>
        <w:t>Introd</w:t>
      </w:r>
      <w:r w:rsidR="00342692" w:rsidRPr="00D11D8D">
        <w:rPr>
          <w:rFonts w:ascii="Arial" w:hAnsi="Arial" w:cs="Arial"/>
          <w:szCs w:val="24"/>
        </w:rPr>
        <w:t>uc</w:t>
      </w:r>
      <w:r w:rsidRPr="00D11D8D">
        <w:rPr>
          <w:rFonts w:ascii="Arial" w:hAnsi="Arial" w:cs="Arial"/>
          <w:szCs w:val="24"/>
        </w:rPr>
        <w:t>tion…………………………………………………………………</w:t>
      </w:r>
      <w:r w:rsidR="00342692" w:rsidRPr="00D11D8D">
        <w:rPr>
          <w:rFonts w:ascii="Arial" w:hAnsi="Arial" w:cs="Arial"/>
          <w:szCs w:val="24"/>
        </w:rPr>
        <w:t>………</w:t>
      </w:r>
      <w:r w:rsidRPr="00D11D8D">
        <w:rPr>
          <w:rFonts w:ascii="Arial" w:hAnsi="Arial" w:cs="Arial"/>
          <w:szCs w:val="24"/>
        </w:rPr>
        <w:t>Page 3</w:t>
      </w:r>
    </w:p>
    <w:p w14:paraId="0C1FFECD" w14:textId="01B89BD2" w:rsidR="003E3EED" w:rsidRPr="00D11D8D" w:rsidRDefault="003E3EED" w:rsidP="003E3EED">
      <w:pPr>
        <w:spacing w:line="360" w:lineRule="auto"/>
        <w:rPr>
          <w:rFonts w:ascii="Arial" w:hAnsi="Arial" w:cs="Arial"/>
          <w:szCs w:val="24"/>
        </w:rPr>
      </w:pPr>
      <w:r w:rsidRPr="00D11D8D">
        <w:rPr>
          <w:rFonts w:ascii="Arial" w:hAnsi="Arial" w:cs="Arial"/>
          <w:szCs w:val="24"/>
        </w:rPr>
        <w:t>Regu</w:t>
      </w:r>
      <w:r w:rsidR="00342692" w:rsidRPr="00D11D8D">
        <w:rPr>
          <w:rFonts w:ascii="Arial" w:hAnsi="Arial" w:cs="Arial"/>
          <w:szCs w:val="24"/>
        </w:rPr>
        <w:t>la</w:t>
      </w:r>
      <w:r w:rsidRPr="00D11D8D">
        <w:rPr>
          <w:rFonts w:ascii="Arial" w:hAnsi="Arial" w:cs="Arial"/>
          <w:szCs w:val="24"/>
        </w:rPr>
        <w:t xml:space="preserve">tion of Blood Glucose: </w:t>
      </w:r>
      <w:r w:rsidRPr="00D11D8D">
        <w:rPr>
          <w:rFonts w:ascii="Arial" w:hAnsi="Arial" w:cs="Arial"/>
          <w:szCs w:val="24"/>
        </w:rPr>
        <w:tab/>
      </w:r>
    </w:p>
    <w:p w14:paraId="14875126" w14:textId="1859740F" w:rsidR="003E3EED" w:rsidRPr="00D11D8D" w:rsidRDefault="003E3EED" w:rsidP="003E3EED">
      <w:pPr>
        <w:spacing w:line="360" w:lineRule="auto"/>
        <w:rPr>
          <w:rFonts w:ascii="Arial" w:hAnsi="Arial" w:cs="Arial"/>
          <w:i/>
          <w:iCs/>
          <w:szCs w:val="24"/>
        </w:rPr>
      </w:pPr>
      <w:r>
        <w:rPr>
          <w:rFonts w:ascii="Arial" w:hAnsi="Arial" w:cs="Arial"/>
          <w:szCs w:val="24"/>
        </w:rPr>
        <w:tab/>
      </w:r>
      <w:r w:rsidRPr="00D11D8D">
        <w:rPr>
          <w:rFonts w:ascii="Arial" w:hAnsi="Arial" w:cs="Arial"/>
          <w:i/>
          <w:iCs/>
          <w:szCs w:val="24"/>
        </w:rPr>
        <w:t>Hormonal Control……………………</w:t>
      </w:r>
      <w:r w:rsidRPr="00D11D8D">
        <w:rPr>
          <w:rFonts w:ascii="Arial" w:hAnsi="Arial" w:cs="Arial"/>
          <w:i/>
          <w:iCs/>
          <w:szCs w:val="24"/>
        </w:rPr>
        <w:t>……………………………...</w:t>
      </w:r>
      <w:r w:rsidR="00342692" w:rsidRPr="00D11D8D">
        <w:rPr>
          <w:rFonts w:ascii="Arial" w:hAnsi="Arial" w:cs="Arial"/>
          <w:i/>
          <w:iCs/>
          <w:szCs w:val="24"/>
        </w:rPr>
        <w:t>.........</w:t>
      </w:r>
      <w:r w:rsidRPr="00D11D8D">
        <w:rPr>
          <w:rFonts w:ascii="Arial" w:hAnsi="Arial" w:cs="Arial"/>
          <w:i/>
          <w:iCs/>
          <w:szCs w:val="24"/>
        </w:rPr>
        <w:t>Page 3-4</w:t>
      </w:r>
    </w:p>
    <w:p w14:paraId="2640D488" w14:textId="1C5A8F63" w:rsidR="003E3EED" w:rsidRPr="00D11D8D" w:rsidRDefault="003E3EED" w:rsidP="003E3EED">
      <w:pPr>
        <w:spacing w:line="360" w:lineRule="auto"/>
        <w:rPr>
          <w:rFonts w:ascii="Arial" w:hAnsi="Arial" w:cs="Arial"/>
          <w:i/>
          <w:iCs/>
          <w:szCs w:val="24"/>
        </w:rPr>
      </w:pPr>
      <w:r w:rsidRPr="00D11D8D">
        <w:rPr>
          <w:rFonts w:ascii="Arial" w:hAnsi="Arial" w:cs="Arial"/>
          <w:i/>
          <w:iCs/>
          <w:szCs w:val="24"/>
        </w:rPr>
        <w:tab/>
        <w:t>Glucose As Fuel……………………</w:t>
      </w:r>
      <w:r w:rsidRPr="00D11D8D">
        <w:rPr>
          <w:rFonts w:ascii="Arial" w:hAnsi="Arial" w:cs="Arial"/>
          <w:i/>
          <w:iCs/>
          <w:szCs w:val="24"/>
        </w:rPr>
        <w:t>………………………………</w:t>
      </w:r>
      <w:r w:rsidR="00342692" w:rsidRPr="00D11D8D">
        <w:rPr>
          <w:rFonts w:ascii="Arial" w:hAnsi="Arial" w:cs="Arial"/>
          <w:i/>
          <w:iCs/>
          <w:szCs w:val="24"/>
        </w:rPr>
        <w:t>……</w:t>
      </w:r>
      <w:r w:rsidR="00D11D8D" w:rsidRPr="00D11D8D">
        <w:rPr>
          <w:rFonts w:ascii="Arial" w:hAnsi="Arial" w:cs="Arial"/>
          <w:i/>
          <w:iCs/>
          <w:szCs w:val="24"/>
        </w:rPr>
        <w:t>…</w:t>
      </w:r>
      <w:r w:rsidRPr="00D11D8D">
        <w:rPr>
          <w:rFonts w:ascii="Arial" w:hAnsi="Arial" w:cs="Arial"/>
          <w:i/>
          <w:iCs/>
          <w:szCs w:val="24"/>
        </w:rPr>
        <w:t>Page 4</w:t>
      </w:r>
    </w:p>
    <w:p w14:paraId="202621F3" w14:textId="0C863B70" w:rsidR="003E3EED" w:rsidRPr="00D11D8D" w:rsidRDefault="003E3EED" w:rsidP="003E3EED">
      <w:pPr>
        <w:spacing w:line="360" w:lineRule="auto"/>
        <w:rPr>
          <w:rFonts w:ascii="Arial" w:hAnsi="Arial" w:cs="Arial"/>
          <w:i/>
          <w:iCs/>
          <w:szCs w:val="24"/>
        </w:rPr>
      </w:pPr>
      <w:r w:rsidRPr="00D11D8D">
        <w:rPr>
          <w:rFonts w:ascii="Arial" w:hAnsi="Arial" w:cs="Arial"/>
          <w:i/>
          <w:iCs/>
          <w:szCs w:val="24"/>
        </w:rPr>
        <w:tab/>
        <w:t>Cellu</w:t>
      </w:r>
      <w:r w:rsidR="00342692" w:rsidRPr="00D11D8D">
        <w:rPr>
          <w:rFonts w:ascii="Arial" w:hAnsi="Arial" w:cs="Arial"/>
          <w:i/>
          <w:iCs/>
          <w:szCs w:val="24"/>
        </w:rPr>
        <w:t>la</w:t>
      </w:r>
      <w:r w:rsidRPr="00D11D8D">
        <w:rPr>
          <w:rFonts w:ascii="Arial" w:hAnsi="Arial" w:cs="Arial"/>
          <w:i/>
          <w:iCs/>
          <w:szCs w:val="24"/>
        </w:rPr>
        <w:t>r Metabolism…………………</w:t>
      </w:r>
      <w:r w:rsidRPr="00D11D8D">
        <w:rPr>
          <w:rFonts w:ascii="Arial" w:hAnsi="Arial" w:cs="Arial"/>
          <w:i/>
          <w:iCs/>
          <w:szCs w:val="24"/>
        </w:rPr>
        <w:t>……………………………</w:t>
      </w:r>
      <w:r w:rsidR="00342692" w:rsidRPr="00D11D8D">
        <w:rPr>
          <w:rFonts w:ascii="Arial" w:hAnsi="Arial" w:cs="Arial"/>
          <w:i/>
          <w:iCs/>
          <w:szCs w:val="24"/>
        </w:rPr>
        <w:t>……</w:t>
      </w:r>
      <w:proofErr w:type="gramStart"/>
      <w:r w:rsidR="00342692" w:rsidRPr="00D11D8D">
        <w:rPr>
          <w:rFonts w:ascii="Arial" w:hAnsi="Arial" w:cs="Arial"/>
          <w:i/>
          <w:iCs/>
          <w:szCs w:val="24"/>
        </w:rPr>
        <w:t>…</w:t>
      </w:r>
      <w:r w:rsidR="00D11D8D" w:rsidRPr="00D11D8D">
        <w:rPr>
          <w:rFonts w:ascii="Arial" w:hAnsi="Arial" w:cs="Arial"/>
          <w:i/>
          <w:iCs/>
          <w:szCs w:val="24"/>
        </w:rPr>
        <w:t>..</w:t>
      </w:r>
      <w:proofErr w:type="gramEnd"/>
      <w:r w:rsidRPr="00D11D8D">
        <w:rPr>
          <w:rFonts w:ascii="Arial" w:hAnsi="Arial" w:cs="Arial"/>
          <w:i/>
          <w:iCs/>
          <w:szCs w:val="24"/>
        </w:rPr>
        <w:t>Page 4</w:t>
      </w:r>
    </w:p>
    <w:p w14:paraId="3F1D9118" w14:textId="7A71273F" w:rsidR="003E3EED" w:rsidRPr="00D11D8D" w:rsidRDefault="003E3EED" w:rsidP="003E3EED">
      <w:pPr>
        <w:spacing w:line="360" w:lineRule="auto"/>
        <w:rPr>
          <w:rFonts w:ascii="Arial" w:hAnsi="Arial" w:cs="Arial"/>
          <w:i/>
          <w:iCs/>
          <w:szCs w:val="24"/>
        </w:rPr>
      </w:pPr>
      <w:r w:rsidRPr="00D11D8D">
        <w:rPr>
          <w:rFonts w:ascii="Arial" w:hAnsi="Arial" w:cs="Arial"/>
          <w:i/>
          <w:iCs/>
          <w:szCs w:val="24"/>
        </w:rPr>
        <w:tab/>
        <w:t>Recording And Tracking Blood Glucose in Type 2 Diabetes…</w:t>
      </w:r>
      <w:r w:rsidR="00342692" w:rsidRPr="00D11D8D">
        <w:rPr>
          <w:rFonts w:ascii="Arial" w:hAnsi="Arial" w:cs="Arial"/>
          <w:i/>
          <w:iCs/>
          <w:szCs w:val="24"/>
        </w:rPr>
        <w:t>……</w:t>
      </w:r>
      <w:proofErr w:type="gramStart"/>
      <w:r w:rsidR="00342692" w:rsidRPr="00D11D8D">
        <w:rPr>
          <w:rFonts w:ascii="Arial" w:hAnsi="Arial" w:cs="Arial"/>
          <w:i/>
          <w:iCs/>
          <w:szCs w:val="24"/>
        </w:rPr>
        <w:t>…</w:t>
      </w:r>
      <w:r w:rsidR="00D11D8D" w:rsidRPr="00D11D8D">
        <w:rPr>
          <w:rFonts w:ascii="Arial" w:hAnsi="Arial" w:cs="Arial"/>
          <w:i/>
          <w:iCs/>
          <w:szCs w:val="24"/>
        </w:rPr>
        <w:t>.</w:t>
      </w:r>
      <w:r w:rsidRPr="00D11D8D">
        <w:rPr>
          <w:rFonts w:ascii="Arial" w:hAnsi="Arial" w:cs="Arial"/>
          <w:i/>
          <w:iCs/>
          <w:szCs w:val="24"/>
        </w:rPr>
        <w:t>Page</w:t>
      </w:r>
      <w:proofErr w:type="gramEnd"/>
      <w:r w:rsidR="00342692" w:rsidRPr="00D11D8D">
        <w:rPr>
          <w:rFonts w:ascii="Arial" w:hAnsi="Arial" w:cs="Arial"/>
          <w:i/>
          <w:iCs/>
          <w:szCs w:val="24"/>
        </w:rPr>
        <w:t xml:space="preserve"> 4</w:t>
      </w:r>
    </w:p>
    <w:p w14:paraId="6191E2D8" w14:textId="1577882E" w:rsidR="00342692" w:rsidRPr="00D11D8D" w:rsidRDefault="00342692" w:rsidP="003E3EED">
      <w:pPr>
        <w:spacing w:line="360" w:lineRule="auto"/>
        <w:rPr>
          <w:rFonts w:ascii="Arial" w:hAnsi="Arial" w:cs="Arial"/>
          <w:i/>
          <w:iCs/>
          <w:szCs w:val="24"/>
        </w:rPr>
      </w:pPr>
      <w:r w:rsidRPr="00D11D8D">
        <w:rPr>
          <w:rFonts w:ascii="Arial" w:hAnsi="Arial" w:cs="Arial"/>
          <w:i/>
          <w:iCs/>
          <w:szCs w:val="24"/>
        </w:rPr>
        <w:tab/>
        <w:t>Evidence-Based Lifestyle Recommendations………………………</w:t>
      </w:r>
      <w:proofErr w:type="gramStart"/>
      <w:r w:rsidRPr="00D11D8D">
        <w:rPr>
          <w:rFonts w:ascii="Arial" w:hAnsi="Arial" w:cs="Arial"/>
          <w:i/>
          <w:iCs/>
          <w:szCs w:val="24"/>
        </w:rPr>
        <w:t>…</w:t>
      </w:r>
      <w:r w:rsidR="00D11D8D" w:rsidRPr="00D11D8D">
        <w:rPr>
          <w:rFonts w:ascii="Arial" w:hAnsi="Arial" w:cs="Arial"/>
          <w:i/>
          <w:iCs/>
          <w:szCs w:val="24"/>
        </w:rPr>
        <w:t>..</w:t>
      </w:r>
      <w:proofErr w:type="gramEnd"/>
      <w:r w:rsidRPr="00D11D8D">
        <w:rPr>
          <w:rFonts w:ascii="Arial" w:hAnsi="Arial" w:cs="Arial"/>
          <w:i/>
          <w:iCs/>
          <w:szCs w:val="24"/>
        </w:rPr>
        <w:t>Page 5-6</w:t>
      </w:r>
    </w:p>
    <w:p w14:paraId="340B82AB" w14:textId="419E15AC" w:rsidR="00342692" w:rsidRPr="00D11D8D" w:rsidRDefault="00342692" w:rsidP="003E3EED">
      <w:pPr>
        <w:spacing w:line="360" w:lineRule="auto"/>
        <w:rPr>
          <w:rFonts w:ascii="Arial" w:hAnsi="Arial" w:cs="Arial"/>
          <w:szCs w:val="24"/>
        </w:rPr>
      </w:pPr>
      <w:r w:rsidRPr="00D11D8D">
        <w:rPr>
          <w:rFonts w:ascii="Arial" w:hAnsi="Arial" w:cs="Arial"/>
          <w:szCs w:val="24"/>
        </w:rPr>
        <w:t>Conclusion………………………………………………………………………</w:t>
      </w:r>
      <w:proofErr w:type="gramStart"/>
      <w:r w:rsidRPr="00D11D8D">
        <w:rPr>
          <w:rFonts w:ascii="Arial" w:hAnsi="Arial" w:cs="Arial"/>
          <w:szCs w:val="24"/>
        </w:rPr>
        <w:t>…</w:t>
      </w:r>
      <w:r w:rsidR="00D11D8D">
        <w:rPr>
          <w:rFonts w:ascii="Arial" w:hAnsi="Arial" w:cs="Arial"/>
          <w:szCs w:val="24"/>
        </w:rPr>
        <w:t>..</w:t>
      </w:r>
      <w:proofErr w:type="gramEnd"/>
      <w:r w:rsidRPr="00D11D8D">
        <w:rPr>
          <w:rFonts w:ascii="Arial" w:hAnsi="Arial" w:cs="Arial"/>
          <w:szCs w:val="24"/>
        </w:rPr>
        <w:t xml:space="preserve">Page </w:t>
      </w:r>
      <w:r w:rsidR="00D11D8D">
        <w:rPr>
          <w:rFonts w:ascii="Arial" w:hAnsi="Arial" w:cs="Arial"/>
          <w:szCs w:val="24"/>
        </w:rPr>
        <w:t>7</w:t>
      </w:r>
    </w:p>
    <w:p w14:paraId="75154A3C" w14:textId="55318D90" w:rsidR="00342692" w:rsidRPr="00D11D8D" w:rsidRDefault="00342692" w:rsidP="003E3EED">
      <w:pPr>
        <w:spacing w:line="360" w:lineRule="auto"/>
        <w:rPr>
          <w:rFonts w:ascii="Arial" w:hAnsi="Arial" w:cs="Arial"/>
          <w:szCs w:val="24"/>
        </w:rPr>
      </w:pPr>
      <w:r w:rsidRPr="00D11D8D">
        <w:rPr>
          <w:rFonts w:ascii="Arial" w:hAnsi="Arial" w:cs="Arial"/>
          <w:szCs w:val="24"/>
        </w:rPr>
        <w:t>References…………………………………………………………………</w:t>
      </w:r>
      <w:r w:rsidR="00D11D8D" w:rsidRPr="00D11D8D">
        <w:rPr>
          <w:rFonts w:ascii="Arial" w:hAnsi="Arial" w:cs="Arial"/>
          <w:szCs w:val="24"/>
        </w:rPr>
        <w:t>……</w:t>
      </w:r>
      <w:proofErr w:type="gramStart"/>
      <w:r w:rsidR="00D11D8D" w:rsidRPr="00D11D8D">
        <w:rPr>
          <w:rFonts w:ascii="Arial" w:hAnsi="Arial" w:cs="Arial"/>
          <w:szCs w:val="24"/>
        </w:rPr>
        <w:t>…</w:t>
      </w:r>
      <w:r w:rsidR="00D11D8D">
        <w:rPr>
          <w:rFonts w:ascii="Arial" w:hAnsi="Arial" w:cs="Arial"/>
          <w:szCs w:val="24"/>
        </w:rPr>
        <w:t>.</w:t>
      </w:r>
      <w:r w:rsidRPr="00D11D8D">
        <w:rPr>
          <w:rFonts w:ascii="Arial" w:hAnsi="Arial" w:cs="Arial"/>
          <w:szCs w:val="24"/>
        </w:rPr>
        <w:t>Page</w:t>
      </w:r>
      <w:proofErr w:type="gramEnd"/>
      <w:r w:rsidRPr="00D11D8D">
        <w:rPr>
          <w:rFonts w:ascii="Arial" w:hAnsi="Arial" w:cs="Arial"/>
          <w:szCs w:val="24"/>
        </w:rPr>
        <w:t xml:space="preserve"> </w:t>
      </w:r>
      <w:r w:rsidR="00D11D8D">
        <w:rPr>
          <w:rFonts w:ascii="Arial" w:hAnsi="Arial" w:cs="Arial"/>
          <w:szCs w:val="24"/>
        </w:rPr>
        <w:t>8-10</w:t>
      </w:r>
    </w:p>
    <w:p w14:paraId="01AAFD97" w14:textId="71F1381F" w:rsidR="003E3EED" w:rsidRPr="003E3EED" w:rsidRDefault="003E3EED" w:rsidP="003E3EED">
      <w:pPr>
        <w:spacing w:line="360" w:lineRule="auto"/>
        <w:rPr>
          <w:rFonts w:ascii="Arial" w:hAnsi="Arial" w:cs="Arial"/>
          <w:i/>
          <w:iCs/>
          <w:szCs w:val="24"/>
        </w:rPr>
      </w:pPr>
    </w:p>
    <w:p w14:paraId="3E2F509A" w14:textId="632AA4F0" w:rsidR="003E3EED" w:rsidRPr="00212F9D" w:rsidRDefault="003E3EED" w:rsidP="003E3EED">
      <w:pPr>
        <w:spacing w:line="360" w:lineRule="auto"/>
        <w:rPr>
          <w:rFonts w:ascii="Arial" w:hAnsi="Arial" w:cs="Arial"/>
          <w:sz w:val="28"/>
          <w:szCs w:val="28"/>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14:paraId="796FA0AE" w14:textId="77777777" w:rsidR="00E305F0" w:rsidRPr="00E305F0" w:rsidRDefault="00E305F0" w:rsidP="00E305F0">
      <w:pPr>
        <w:spacing w:line="360" w:lineRule="auto"/>
        <w:rPr>
          <w:rFonts w:ascii="Arial" w:hAnsi="Arial" w:cs="Arial"/>
          <w:b/>
          <w:bCs/>
          <w:sz w:val="28"/>
          <w:szCs w:val="28"/>
        </w:rPr>
      </w:pP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764D77AE" w14:textId="3444D0C7" w:rsidR="00E305F0" w:rsidRPr="00D11D8D" w:rsidRDefault="00E305F0" w:rsidP="00D11D8D">
      <w:pPr>
        <w:pStyle w:val="Heading1"/>
      </w:pPr>
      <w:r w:rsidRPr="00D11D8D">
        <w:lastRenderedPageBreak/>
        <w:t>Management of Type 2 Diabetes: Patient Education, Physiology, and Lifestyle Interventions</w:t>
      </w:r>
    </w:p>
    <w:p w14:paraId="14F547BF" w14:textId="639F0272" w:rsidR="00E305F0" w:rsidRPr="00D11D8D" w:rsidRDefault="00212F9D" w:rsidP="00212F9D">
      <w:pPr>
        <w:pStyle w:val="p2"/>
        <w:spacing w:line="360" w:lineRule="auto"/>
        <w:jc w:val="both"/>
        <w:rPr>
          <w:rFonts w:ascii="Arial" w:hAnsi="Arial" w:cs="Arial"/>
          <w:b/>
          <w:bCs/>
          <w:sz w:val="22"/>
          <w:szCs w:val="22"/>
        </w:rPr>
      </w:pPr>
      <w:r w:rsidRPr="00D11D8D">
        <w:rPr>
          <w:rFonts w:ascii="Arial" w:hAnsi="Arial" w:cs="Arial"/>
          <w:b/>
          <w:bCs/>
          <w:sz w:val="22"/>
          <w:szCs w:val="22"/>
        </w:rPr>
        <w:t>Introduction</w:t>
      </w:r>
    </w:p>
    <w:p w14:paraId="21EE8FD5" w14:textId="4F0A255B"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 xml:space="preserve">Diabetes mellitus is a chronic condition </w:t>
      </w:r>
      <w:proofErr w:type="spellStart"/>
      <w:r w:rsidRPr="00D11D8D">
        <w:rPr>
          <w:rFonts w:ascii="Arial" w:hAnsi="Arial" w:cs="Arial"/>
          <w:sz w:val="22"/>
          <w:szCs w:val="22"/>
        </w:rPr>
        <w:t>characterised</w:t>
      </w:r>
      <w:proofErr w:type="spellEnd"/>
      <w:r w:rsidRPr="00D11D8D">
        <w:rPr>
          <w:rFonts w:ascii="Arial" w:hAnsi="Arial" w:cs="Arial"/>
          <w:sz w:val="22"/>
          <w:szCs w:val="22"/>
        </w:rPr>
        <w:t xml:space="preserve"> by </w:t>
      </w:r>
      <w:proofErr w:type="spellStart"/>
      <w:r w:rsidRPr="00D11D8D">
        <w:rPr>
          <w:rFonts w:ascii="Arial" w:hAnsi="Arial" w:cs="Arial"/>
          <w:sz w:val="22"/>
          <w:szCs w:val="22"/>
        </w:rPr>
        <w:t>hyperglycaemia</w:t>
      </w:r>
      <w:proofErr w:type="spellEnd"/>
      <w:r w:rsidRPr="00D11D8D">
        <w:rPr>
          <w:rFonts w:ascii="Arial" w:hAnsi="Arial" w:cs="Arial"/>
          <w:sz w:val="22"/>
          <w:szCs w:val="22"/>
        </w:rPr>
        <w:t xml:space="preserve"> due to insufficient insulin production or impaired insulin action. Type 1 diabetes results from autoimmune destruction of pancreatic beta cells and usually presents in childhood or adolescence, whereas type 2 diabetes develops when insulin resistance overwhelms beta</w:t>
      </w:r>
      <w:r w:rsidRPr="00D11D8D">
        <w:rPr>
          <w:rFonts w:ascii="Arial" w:hAnsi="Arial" w:cs="Arial"/>
          <w:sz w:val="22"/>
          <w:szCs w:val="22"/>
        </w:rPr>
        <w:noBreakHyphen/>
        <w:t>cell capacity (NHS, 2023). Type 2 accounts for most cases and is strongly associated with modifiable risk factors such as excess body weight, sedentary lifestyle, age over 45, family history of diabetes, previous gestational diabetes and certain ethnic backgrounds (NHS, 2023; CDC, 2024). Pre</w:t>
      </w:r>
      <w:r w:rsidRPr="00D11D8D">
        <w:rPr>
          <w:rFonts w:ascii="Arial" w:hAnsi="Arial" w:cs="Arial"/>
          <w:sz w:val="22"/>
          <w:szCs w:val="22"/>
        </w:rPr>
        <w:noBreakHyphen/>
        <w:t>diabetes denotes elevated blood glucose not yet reaching diabetic thresholds; without lifestyle changes many people with pre</w:t>
      </w:r>
      <w:r w:rsidRPr="00D11D8D">
        <w:rPr>
          <w:rFonts w:ascii="Arial" w:hAnsi="Arial" w:cs="Arial"/>
          <w:sz w:val="22"/>
          <w:szCs w:val="22"/>
        </w:rPr>
        <w:noBreakHyphen/>
        <w:t>diabetes develop type 2 diabetes (CDC, 2024). Smoking increases diabetes risk by about one</w:t>
      </w:r>
      <w:r w:rsidRPr="00D11D8D">
        <w:rPr>
          <w:rFonts w:ascii="Arial" w:hAnsi="Arial" w:cs="Arial"/>
          <w:sz w:val="22"/>
          <w:szCs w:val="22"/>
        </w:rPr>
        <w:noBreakHyphen/>
        <w:t xml:space="preserve">third because chemicals in cigarette smoke induce oxidative stress and inflammation, impairing insulin sensitivity (FDA, 2022). </w:t>
      </w:r>
    </w:p>
    <w:p w14:paraId="5810B1A0" w14:textId="77777777"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 xml:space="preserve">As a practice nurse in a general practice surgery, increasing numbers of patients are being diagnosed with type 2 diabetes. Many lack knowledge of the condition, its physiology and the lifestyle factors that influence </w:t>
      </w:r>
      <w:proofErr w:type="spellStart"/>
      <w:r w:rsidRPr="00D11D8D">
        <w:rPr>
          <w:rFonts w:ascii="Arial" w:hAnsi="Arial" w:cs="Arial"/>
          <w:sz w:val="22"/>
          <w:szCs w:val="22"/>
        </w:rPr>
        <w:t>glycaemic</w:t>
      </w:r>
      <w:proofErr w:type="spellEnd"/>
      <w:r w:rsidRPr="00D11D8D">
        <w:rPr>
          <w:rFonts w:ascii="Arial" w:hAnsi="Arial" w:cs="Arial"/>
          <w:sz w:val="22"/>
          <w:szCs w:val="22"/>
        </w:rPr>
        <w:t xml:space="preserve"> control. This report </w:t>
      </w:r>
      <w:proofErr w:type="spellStart"/>
      <w:r w:rsidRPr="00D11D8D">
        <w:rPr>
          <w:rFonts w:ascii="Arial" w:hAnsi="Arial" w:cs="Arial"/>
          <w:sz w:val="22"/>
          <w:szCs w:val="22"/>
        </w:rPr>
        <w:t>summarises</w:t>
      </w:r>
      <w:proofErr w:type="spellEnd"/>
      <w:r w:rsidRPr="00D11D8D">
        <w:rPr>
          <w:rFonts w:ascii="Arial" w:hAnsi="Arial" w:cs="Arial"/>
          <w:sz w:val="22"/>
          <w:szCs w:val="22"/>
        </w:rPr>
        <w:t xml:space="preserve"> blood glucose regulation and cellular energy metabolism, explains why monitoring blood glucose is essential and provides evidence</w:t>
      </w:r>
      <w:r w:rsidRPr="00D11D8D">
        <w:rPr>
          <w:rFonts w:ascii="Arial" w:hAnsi="Arial" w:cs="Arial"/>
          <w:sz w:val="22"/>
          <w:szCs w:val="22"/>
        </w:rPr>
        <w:noBreakHyphen/>
        <w:t>based lifestyle recommendations to help patients manage their condition.</w:t>
      </w:r>
    </w:p>
    <w:p w14:paraId="725902D9" w14:textId="1BF8CCD2" w:rsidR="00E305F0" w:rsidRPr="00D11D8D" w:rsidRDefault="00212F9D" w:rsidP="00212F9D">
      <w:pPr>
        <w:pStyle w:val="p2"/>
        <w:spacing w:line="360" w:lineRule="auto"/>
        <w:jc w:val="both"/>
        <w:rPr>
          <w:rFonts w:ascii="Arial" w:hAnsi="Arial" w:cs="Arial"/>
          <w:b/>
          <w:bCs/>
          <w:sz w:val="22"/>
          <w:szCs w:val="22"/>
        </w:rPr>
      </w:pPr>
      <w:r w:rsidRPr="00D11D8D">
        <w:rPr>
          <w:rFonts w:ascii="Arial" w:hAnsi="Arial" w:cs="Arial"/>
          <w:b/>
          <w:bCs/>
          <w:sz w:val="22"/>
          <w:szCs w:val="22"/>
        </w:rPr>
        <w:t>Regulation of Blood Glucose</w:t>
      </w:r>
    </w:p>
    <w:p w14:paraId="3708A128" w14:textId="143D2EEF" w:rsidR="00E305F0" w:rsidRPr="00D11D8D" w:rsidRDefault="00E305F0" w:rsidP="00D11D8D">
      <w:pPr>
        <w:pStyle w:val="Heading3"/>
      </w:pPr>
      <w:r w:rsidRPr="00D11D8D">
        <w:t xml:space="preserve">Hormonal </w:t>
      </w:r>
      <w:r w:rsidR="003E3EED" w:rsidRPr="00D11D8D">
        <w:t>C</w:t>
      </w:r>
      <w:r w:rsidRPr="00D11D8D">
        <w:t>ontrol</w:t>
      </w:r>
    </w:p>
    <w:p w14:paraId="710B8AA8" w14:textId="31525284"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Blood glucose is maintained within a narrow range through feedback involving pancreatic, intestinal and adrenal hormones (</w:t>
      </w:r>
      <w:proofErr w:type="spellStart"/>
      <w:r w:rsidRPr="00D11D8D">
        <w:rPr>
          <w:rFonts w:ascii="Arial" w:hAnsi="Arial" w:cs="Arial"/>
          <w:sz w:val="22"/>
          <w:szCs w:val="22"/>
        </w:rPr>
        <w:t>ATrain</w:t>
      </w:r>
      <w:proofErr w:type="spellEnd"/>
      <w:r w:rsidRPr="00D11D8D">
        <w:rPr>
          <w:rFonts w:ascii="Arial" w:hAnsi="Arial" w:cs="Arial"/>
          <w:sz w:val="22"/>
          <w:szCs w:val="22"/>
        </w:rPr>
        <w:t xml:space="preserve"> Education, n.d.). Insulin, produced by pancreatic beta cells, lowers blood glucose by promoting cellular uptake of glucose, glycogen synthesis and lipogenesis, while inhibiting hepatic glucose output. Conversely, glucagon from pancreatic alpha cells stimulates hepatic glycogenolysis and gluconeogenesis to raise blood glucose when levels fall (</w:t>
      </w:r>
      <w:proofErr w:type="spellStart"/>
      <w:r w:rsidRPr="00D11D8D">
        <w:rPr>
          <w:rFonts w:ascii="Arial" w:hAnsi="Arial" w:cs="Arial"/>
          <w:sz w:val="22"/>
          <w:szCs w:val="22"/>
        </w:rPr>
        <w:t>ATrain</w:t>
      </w:r>
      <w:proofErr w:type="spellEnd"/>
      <w:r w:rsidRPr="00D11D8D">
        <w:rPr>
          <w:rFonts w:ascii="Arial" w:hAnsi="Arial" w:cs="Arial"/>
          <w:sz w:val="22"/>
          <w:szCs w:val="22"/>
        </w:rPr>
        <w:t xml:space="preserve"> Education, n.d.; Medical News Today, 2023). Other hormones, including somatostatin and amylin, modulate insulin and glucagon secretion and slow nutrient absorption (</w:t>
      </w:r>
      <w:proofErr w:type="spellStart"/>
      <w:r w:rsidRPr="00D11D8D">
        <w:rPr>
          <w:rFonts w:ascii="Arial" w:hAnsi="Arial" w:cs="Arial"/>
          <w:sz w:val="22"/>
          <w:szCs w:val="22"/>
        </w:rPr>
        <w:t>ATrain</w:t>
      </w:r>
      <w:proofErr w:type="spellEnd"/>
      <w:r w:rsidRPr="00D11D8D">
        <w:rPr>
          <w:rFonts w:ascii="Arial" w:hAnsi="Arial" w:cs="Arial"/>
          <w:sz w:val="22"/>
          <w:szCs w:val="22"/>
        </w:rPr>
        <w:t xml:space="preserve"> Education, n.d.). </w:t>
      </w:r>
    </w:p>
    <w:p w14:paraId="5B24158D" w14:textId="27E43B23"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lastRenderedPageBreak/>
        <w:t>After a carbohydrate</w:t>
      </w:r>
      <w:r w:rsidRPr="00D11D8D">
        <w:rPr>
          <w:rFonts w:ascii="Arial" w:hAnsi="Arial" w:cs="Arial"/>
          <w:sz w:val="22"/>
          <w:szCs w:val="22"/>
        </w:rPr>
        <w:noBreakHyphen/>
        <w:t xml:space="preserve">rich meal, rising blood glucose triggers insulin release and suppresses glucagon. Insulin facilitates glucose entry into muscle and fat cells and promotes storage as glycogen or triglyceride. As blood glucose falls between meals or during fasting, insulin secretion </w:t>
      </w:r>
      <w:proofErr w:type="gramStart"/>
      <w:r w:rsidRPr="00D11D8D">
        <w:rPr>
          <w:rFonts w:ascii="Arial" w:hAnsi="Arial" w:cs="Arial"/>
          <w:sz w:val="22"/>
          <w:szCs w:val="22"/>
        </w:rPr>
        <w:t>decreases</w:t>
      </w:r>
      <w:proofErr w:type="gramEnd"/>
      <w:r w:rsidRPr="00D11D8D">
        <w:rPr>
          <w:rFonts w:ascii="Arial" w:hAnsi="Arial" w:cs="Arial"/>
          <w:sz w:val="22"/>
          <w:szCs w:val="22"/>
        </w:rPr>
        <w:t xml:space="preserve"> and glucagon increases to </w:t>
      </w:r>
      <w:proofErr w:type="spellStart"/>
      <w:r w:rsidRPr="00D11D8D">
        <w:rPr>
          <w:rFonts w:ascii="Arial" w:hAnsi="Arial" w:cs="Arial"/>
          <w:sz w:val="22"/>
          <w:szCs w:val="22"/>
        </w:rPr>
        <w:t>mobilise</w:t>
      </w:r>
      <w:proofErr w:type="spellEnd"/>
      <w:r w:rsidRPr="00D11D8D">
        <w:rPr>
          <w:rFonts w:ascii="Arial" w:hAnsi="Arial" w:cs="Arial"/>
          <w:sz w:val="22"/>
          <w:szCs w:val="22"/>
        </w:rPr>
        <w:t xml:space="preserve"> hepatic glucose stores. In healthy individuals, this negative feedback maintains blood glucose within physiological bounds. Diabetes arises when insulin secretion is insufficient or tissues become resistant to insulin, leading to chronic </w:t>
      </w:r>
      <w:proofErr w:type="spellStart"/>
      <w:r w:rsidRPr="00D11D8D">
        <w:rPr>
          <w:rFonts w:ascii="Arial" w:hAnsi="Arial" w:cs="Arial"/>
          <w:sz w:val="22"/>
          <w:szCs w:val="22"/>
        </w:rPr>
        <w:t>hyperglycaemia</w:t>
      </w:r>
      <w:proofErr w:type="spellEnd"/>
      <w:r w:rsidRPr="00D11D8D">
        <w:rPr>
          <w:rFonts w:ascii="Arial" w:hAnsi="Arial" w:cs="Arial"/>
          <w:sz w:val="22"/>
          <w:szCs w:val="22"/>
        </w:rPr>
        <w:t xml:space="preserve">. Persistent </w:t>
      </w:r>
      <w:proofErr w:type="spellStart"/>
      <w:r w:rsidRPr="00D11D8D">
        <w:rPr>
          <w:rFonts w:ascii="Arial" w:hAnsi="Arial" w:cs="Arial"/>
          <w:sz w:val="22"/>
          <w:szCs w:val="22"/>
        </w:rPr>
        <w:t>hyperglycaemia</w:t>
      </w:r>
      <w:proofErr w:type="spellEnd"/>
      <w:r w:rsidRPr="00D11D8D">
        <w:rPr>
          <w:rFonts w:ascii="Arial" w:hAnsi="Arial" w:cs="Arial"/>
          <w:sz w:val="22"/>
          <w:szCs w:val="22"/>
        </w:rPr>
        <w:t xml:space="preserve"> damages blood vessels and organs, causing complications such as retinopathy, nephropathy and cardiovascular disease (</w:t>
      </w:r>
      <w:proofErr w:type="spellStart"/>
      <w:r w:rsidRPr="00D11D8D">
        <w:rPr>
          <w:rFonts w:ascii="Arial" w:hAnsi="Arial" w:cs="Arial"/>
          <w:sz w:val="22"/>
          <w:szCs w:val="22"/>
        </w:rPr>
        <w:t>ATrain</w:t>
      </w:r>
      <w:proofErr w:type="spellEnd"/>
      <w:r w:rsidRPr="00D11D8D">
        <w:rPr>
          <w:rFonts w:ascii="Arial" w:hAnsi="Arial" w:cs="Arial"/>
          <w:sz w:val="22"/>
          <w:szCs w:val="22"/>
        </w:rPr>
        <w:t xml:space="preserve"> Education, n.d.). </w:t>
      </w:r>
    </w:p>
    <w:p w14:paraId="61E8E7AD" w14:textId="79BD84B4" w:rsidR="00E305F0" w:rsidRPr="00D11D8D" w:rsidRDefault="00E305F0" w:rsidP="00D11D8D">
      <w:pPr>
        <w:pStyle w:val="Heading3"/>
      </w:pPr>
      <w:r w:rsidRPr="00D11D8D">
        <w:t>Glucose as fuel</w:t>
      </w:r>
    </w:p>
    <w:p w14:paraId="13FE0819" w14:textId="512E10A0"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 xml:space="preserve">Glucose is the principal energy source for most tissues. When blood glucose increases, insulin promotes uptake into cells, where it is </w:t>
      </w:r>
      <w:proofErr w:type="spellStart"/>
      <w:r w:rsidRPr="00D11D8D">
        <w:rPr>
          <w:rFonts w:ascii="Arial" w:hAnsi="Arial" w:cs="Arial"/>
          <w:sz w:val="22"/>
          <w:szCs w:val="22"/>
        </w:rPr>
        <w:t>metabolised</w:t>
      </w:r>
      <w:proofErr w:type="spellEnd"/>
      <w:r w:rsidRPr="00D11D8D">
        <w:rPr>
          <w:rFonts w:ascii="Arial" w:hAnsi="Arial" w:cs="Arial"/>
          <w:sz w:val="22"/>
          <w:szCs w:val="22"/>
        </w:rPr>
        <w:t xml:space="preserve"> or stored (MedlinePlus, 2022). The liver acts as a buffer, storing excess glucose as glycogen and releasing it during fasting. In insulin resistance, tissues do not respond adequately to insulin; pancreatic beta cells initially compensate by increasing insulin secretion, but eventual beta</w:t>
      </w:r>
      <w:r w:rsidRPr="00D11D8D">
        <w:rPr>
          <w:rFonts w:ascii="Arial" w:hAnsi="Arial" w:cs="Arial"/>
          <w:sz w:val="22"/>
          <w:szCs w:val="22"/>
        </w:rPr>
        <w:noBreakHyphen/>
        <w:t xml:space="preserve">cell exhaustion leads to </w:t>
      </w:r>
      <w:proofErr w:type="spellStart"/>
      <w:r w:rsidRPr="00D11D8D">
        <w:rPr>
          <w:rFonts w:ascii="Arial" w:hAnsi="Arial" w:cs="Arial"/>
          <w:sz w:val="22"/>
          <w:szCs w:val="22"/>
        </w:rPr>
        <w:t>hyperglycaemia</w:t>
      </w:r>
      <w:proofErr w:type="spellEnd"/>
      <w:r w:rsidRPr="00D11D8D">
        <w:rPr>
          <w:rFonts w:ascii="Arial" w:hAnsi="Arial" w:cs="Arial"/>
          <w:sz w:val="22"/>
          <w:szCs w:val="22"/>
        </w:rPr>
        <w:t xml:space="preserve"> (NHS, 2023). Maintaining </w:t>
      </w:r>
      <w:proofErr w:type="spellStart"/>
      <w:r w:rsidRPr="00D11D8D">
        <w:rPr>
          <w:rFonts w:ascii="Arial" w:hAnsi="Arial" w:cs="Arial"/>
          <w:sz w:val="22"/>
          <w:szCs w:val="22"/>
        </w:rPr>
        <w:t>euglycaemia</w:t>
      </w:r>
      <w:proofErr w:type="spellEnd"/>
      <w:r w:rsidRPr="00D11D8D">
        <w:rPr>
          <w:rFonts w:ascii="Arial" w:hAnsi="Arial" w:cs="Arial"/>
          <w:sz w:val="22"/>
          <w:szCs w:val="22"/>
        </w:rPr>
        <w:t xml:space="preserve"> is essential to meet energy demands and prevent metabolic complications. </w:t>
      </w:r>
    </w:p>
    <w:p w14:paraId="138960B4" w14:textId="4468A24A" w:rsidR="00E305F0" w:rsidRPr="00D11D8D" w:rsidRDefault="00212F9D" w:rsidP="00212F9D">
      <w:pPr>
        <w:pStyle w:val="p2"/>
        <w:spacing w:line="360" w:lineRule="auto"/>
        <w:jc w:val="both"/>
        <w:rPr>
          <w:rFonts w:ascii="Arial" w:hAnsi="Arial" w:cs="Arial"/>
          <w:b/>
          <w:bCs/>
          <w:sz w:val="22"/>
          <w:szCs w:val="22"/>
        </w:rPr>
      </w:pPr>
      <w:r w:rsidRPr="00D11D8D">
        <w:rPr>
          <w:rFonts w:ascii="Arial" w:hAnsi="Arial" w:cs="Arial"/>
          <w:b/>
          <w:bCs/>
          <w:sz w:val="22"/>
          <w:szCs w:val="22"/>
        </w:rPr>
        <w:t>Cellular Metabolism: How Glucose and Oxygen Produce Energy</w:t>
      </w:r>
    </w:p>
    <w:p w14:paraId="184FA705" w14:textId="77777777"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Cellular respiration converts the chemical energy in glucose into adenosine triphosphate (ATP). The process occurs in three stages—glycolysis, the citric acid cycle and oxidative phosphorylation (Osmosis, 2018). Glycolysis in the cytosol splits one glucose molecule into two pyruvate molecules, generating a small amount of ATP and NADH. Pyruvate then enters the mitochondrion, where it becomes acetyl</w:t>
      </w:r>
      <w:r w:rsidRPr="00D11D8D">
        <w:rPr>
          <w:rFonts w:ascii="Arial" w:hAnsi="Arial" w:cs="Arial"/>
          <w:sz w:val="22"/>
          <w:szCs w:val="22"/>
        </w:rPr>
        <w:noBreakHyphen/>
        <w:t>CoA and enters the citric acid cycle, producing NADH, FADH</w:t>
      </w:r>
      <w:r w:rsidRPr="00D11D8D">
        <w:rPr>
          <w:rFonts w:ascii="Cambria Math" w:hAnsi="Cambria Math" w:cs="Cambria Math"/>
          <w:sz w:val="22"/>
          <w:szCs w:val="22"/>
        </w:rPr>
        <w:t>₂</w:t>
      </w:r>
      <w:r w:rsidRPr="00D11D8D">
        <w:rPr>
          <w:rFonts w:ascii="Arial" w:hAnsi="Arial" w:cs="Arial"/>
          <w:sz w:val="22"/>
          <w:szCs w:val="22"/>
        </w:rPr>
        <w:t xml:space="preserve"> and CO</w:t>
      </w:r>
      <w:r w:rsidRPr="00D11D8D">
        <w:rPr>
          <w:rFonts w:ascii="Cambria Math" w:hAnsi="Cambria Math" w:cs="Cambria Math"/>
          <w:sz w:val="22"/>
          <w:szCs w:val="22"/>
        </w:rPr>
        <w:t>₂</w:t>
      </w:r>
      <w:r w:rsidRPr="00D11D8D">
        <w:rPr>
          <w:rFonts w:ascii="Arial" w:hAnsi="Arial" w:cs="Arial"/>
          <w:sz w:val="22"/>
          <w:szCs w:val="22"/>
        </w:rPr>
        <w:t xml:space="preserve"> (Osmosis, 2018). The electron transport chain on the inner mitochondrial membrane uses electrons from NADH and FADH</w:t>
      </w:r>
      <w:r w:rsidRPr="00D11D8D">
        <w:rPr>
          <w:rFonts w:ascii="Cambria Math" w:hAnsi="Cambria Math" w:cs="Cambria Math"/>
          <w:sz w:val="22"/>
          <w:szCs w:val="22"/>
        </w:rPr>
        <w:t>₂</w:t>
      </w:r>
      <w:r w:rsidRPr="00D11D8D">
        <w:rPr>
          <w:rFonts w:ascii="Arial" w:hAnsi="Arial" w:cs="Arial"/>
          <w:sz w:val="22"/>
          <w:szCs w:val="22"/>
        </w:rPr>
        <w:t xml:space="preserve"> to pump protons and drive ATP synthesis; oxygen serves as the final electron acceptor, forming water (Osmosis, 2018). Overall, aerobic respiration yields roughly 30–32 ATP per glucose (Osmosis, 2018). Adequate oxygen and glucose supply are thus essential for energy production. </w:t>
      </w:r>
    </w:p>
    <w:p w14:paraId="77CBC2B3" w14:textId="2254AEDE" w:rsidR="00E305F0" w:rsidRPr="00D11D8D" w:rsidRDefault="00212F9D" w:rsidP="00212F9D">
      <w:pPr>
        <w:pStyle w:val="p2"/>
        <w:spacing w:line="360" w:lineRule="auto"/>
        <w:jc w:val="both"/>
        <w:rPr>
          <w:rFonts w:ascii="Arial" w:hAnsi="Arial" w:cs="Arial"/>
          <w:b/>
          <w:bCs/>
          <w:sz w:val="22"/>
          <w:szCs w:val="22"/>
        </w:rPr>
      </w:pPr>
      <w:r w:rsidRPr="00D11D8D">
        <w:rPr>
          <w:rFonts w:ascii="Arial" w:hAnsi="Arial" w:cs="Arial"/>
          <w:b/>
          <w:bCs/>
          <w:sz w:val="22"/>
          <w:szCs w:val="22"/>
        </w:rPr>
        <w:t>Recording and Tracking Blood Glucose in Type 2 Diabetes</w:t>
      </w:r>
    </w:p>
    <w:p w14:paraId="5EF93DCB" w14:textId="77777777"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Self</w:t>
      </w:r>
      <w:r w:rsidRPr="00D11D8D">
        <w:rPr>
          <w:rFonts w:ascii="Arial" w:hAnsi="Arial" w:cs="Arial"/>
          <w:sz w:val="22"/>
          <w:szCs w:val="22"/>
        </w:rPr>
        <w:noBreakHyphen/>
        <w:t>monitoring of blood glucose (SMBG) provides real</w:t>
      </w:r>
      <w:r w:rsidRPr="00D11D8D">
        <w:rPr>
          <w:rFonts w:ascii="Arial" w:hAnsi="Arial" w:cs="Arial"/>
          <w:sz w:val="22"/>
          <w:szCs w:val="22"/>
        </w:rPr>
        <w:noBreakHyphen/>
        <w:t xml:space="preserve">time feedback and is essential for managing diabetes. A1C tests reflect average glucose over two to three months, but SMBG captures daily fluctuations. MedlinePlus recommends targets of 4.4–7.2 mmol/L before meals </w:t>
      </w:r>
      <w:r w:rsidRPr="00D11D8D">
        <w:rPr>
          <w:rFonts w:ascii="Arial" w:hAnsi="Arial" w:cs="Arial"/>
          <w:sz w:val="22"/>
          <w:szCs w:val="22"/>
        </w:rPr>
        <w:lastRenderedPageBreak/>
        <w:t>and under 10.0 mmol/L two hours after meals (MedlinePlus, 2022). The Mayo Clinic notes that SMBG helps patients evaluate medication efficacy, adjust doses, detect hypo</w:t>
      </w:r>
      <w:r w:rsidRPr="00D11D8D">
        <w:rPr>
          <w:rFonts w:ascii="Arial" w:hAnsi="Arial" w:cs="Arial"/>
          <w:sz w:val="22"/>
          <w:szCs w:val="22"/>
        </w:rPr>
        <w:noBreakHyphen/>
        <w:t xml:space="preserve"> or </w:t>
      </w:r>
      <w:proofErr w:type="spellStart"/>
      <w:r w:rsidRPr="00D11D8D">
        <w:rPr>
          <w:rFonts w:ascii="Arial" w:hAnsi="Arial" w:cs="Arial"/>
          <w:sz w:val="22"/>
          <w:szCs w:val="22"/>
        </w:rPr>
        <w:t>hyperglycaemia</w:t>
      </w:r>
      <w:proofErr w:type="spellEnd"/>
      <w:r w:rsidRPr="00D11D8D">
        <w:rPr>
          <w:rFonts w:ascii="Arial" w:hAnsi="Arial" w:cs="Arial"/>
          <w:sz w:val="22"/>
          <w:szCs w:val="22"/>
        </w:rPr>
        <w:t>, track progress and understand how diet, exercise, illness and stress affect glucose (Mayo Clinic, 2024). Monitoring frequency depends on therapy; people on multiple daily insulin injections should test before meals, at bedtime and sometimes overnight, while those on less intensive regimens may test less often but should monitor during medication changes, illness or stress (Mayo Clinic, 2024). Continuous glucose monitors provide near</w:t>
      </w:r>
      <w:r w:rsidRPr="00D11D8D">
        <w:rPr>
          <w:rFonts w:ascii="Arial" w:hAnsi="Arial" w:cs="Arial"/>
          <w:sz w:val="22"/>
          <w:szCs w:val="22"/>
        </w:rPr>
        <w:noBreakHyphen/>
        <w:t>continuous data but still require occasional fingerstick tests. Logging results helps identify patterns; persistently high post</w:t>
      </w:r>
      <w:r w:rsidRPr="00D11D8D">
        <w:rPr>
          <w:rFonts w:ascii="Arial" w:hAnsi="Arial" w:cs="Arial"/>
          <w:sz w:val="22"/>
          <w:szCs w:val="22"/>
        </w:rPr>
        <w:noBreakHyphen/>
        <w:t>meal readings may prompt dietary changes or medication adjustments. Without regular monitoring, hyper</w:t>
      </w:r>
      <w:r w:rsidRPr="00D11D8D">
        <w:rPr>
          <w:rFonts w:ascii="Arial" w:hAnsi="Arial" w:cs="Arial"/>
          <w:sz w:val="22"/>
          <w:szCs w:val="22"/>
        </w:rPr>
        <w:noBreakHyphen/>
        <w:t xml:space="preserve"> or </w:t>
      </w:r>
      <w:proofErr w:type="spellStart"/>
      <w:r w:rsidRPr="00D11D8D">
        <w:rPr>
          <w:rFonts w:ascii="Arial" w:hAnsi="Arial" w:cs="Arial"/>
          <w:sz w:val="22"/>
          <w:szCs w:val="22"/>
        </w:rPr>
        <w:t>hypoglycaemia</w:t>
      </w:r>
      <w:proofErr w:type="spellEnd"/>
      <w:r w:rsidRPr="00D11D8D">
        <w:rPr>
          <w:rFonts w:ascii="Arial" w:hAnsi="Arial" w:cs="Arial"/>
          <w:sz w:val="22"/>
          <w:szCs w:val="22"/>
        </w:rPr>
        <w:t xml:space="preserve"> may go unnoticed, leading to emergencies and complications (Cleveland Clinic, n.d.). </w:t>
      </w:r>
    </w:p>
    <w:p w14:paraId="27E0B5E0" w14:textId="25243D8A" w:rsidR="00E305F0" w:rsidRPr="00D11D8D" w:rsidRDefault="00212F9D" w:rsidP="00212F9D">
      <w:pPr>
        <w:pStyle w:val="p2"/>
        <w:spacing w:line="360" w:lineRule="auto"/>
        <w:jc w:val="both"/>
        <w:rPr>
          <w:rFonts w:ascii="Arial" w:hAnsi="Arial" w:cs="Arial"/>
          <w:b/>
          <w:bCs/>
          <w:sz w:val="22"/>
          <w:szCs w:val="22"/>
        </w:rPr>
      </w:pPr>
      <w:r w:rsidRPr="00D11D8D">
        <w:rPr>
          <w:rFonts w:ascii="Arial" w:hAnsi="Arial" w:cs="Arial"/>
          <w:b/>
          <w:bCs/>
          <w:sz w:val="22"/>
          <w:szCs w:val="22"/>
        </w:rPr>
        <w:t>Evidence Based Lifestyle Recommendations</w:t>
      </w:r>
    </w:p>
    <w:p w14:paraId="1C53A924" w14:textId="43B528AC"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Lifestyle interventions are critical to preventing and managing type 2 diabetes. Evidence supports changes in diet, physical activity, weight management, smoking cessation, stress reduction, education and adherence.</w:t>
      </w:r>
    </w:p>
    <w:p w14:paraId="3B7CA272" w14:textId="7C14FC67" w:rsidR="00E305F0" w:rsidRPr="00D11D8D" w:rsidRDefault="00E305F0" w:rsidP="00212F9D">
      <w:pPr>
        <w:pStyle w:val="p3"/>
        <w:spacing w:line="360" w:lineRule="auto"/>
        <w:jc w:val="both"/>
        <w:rPr>
          <w:rFonts w:ascii="Arial" w:hAnsi="Arial" w:cs="Arial"/>
          <w:sz w:val="22"/>
          <w:szCs w:val="22"/>
        </w:rPr>
      </w:pPr>
      <w:r w:rsidRPr="00D11D8D">
        <w:rPr>
          <w:rStyle w:val="s3"/>
          <w:rFonts w:ascii="Arial" w:hAnsi="Arial" w:cs="Arial"/>
          <w:sz w:val="22"/>
          <w:szCs w:val="22"/>
        </w:rPr>
        <w:t>Healthy eating:</w:t>
      </w:r>
      <w:r w:rsidRPr="00D11D8D">
        <w:rPr>
          <w:rFonts w:ascii="Arial" w:hAnsi="Arial" w:cs="Arial"/>
          <w:sz w:val="22"/>
          <w:szCs w:val="22"/>
        </w:rPr>
        <w:t xml:space="preserve"> A balanced diet supports stable glycaemia and weight control. The American Heart Association advises eating plenty of fruits, vegetables, whole grains, lean proteins and healthy fats while limiting added sugars, saturated fats and sodium (American Heart Association, 2024). Added sugars should contribute less than 10 % of daily calories (American Heart Association, 2024). Keeping a food diary helps patients see how different foods affect glucose (American Heart Association, 2024). Mediterranean</w:t>
      </w:r>
      <w:r w:rsidRPr="00D11D8D">
        <w:rPr>
          <w:rFonts w:ascii="Arial" w:hAnsi="Arial" w:cs="Arial"/>
          <w:sz w:val="22"/>
          <w:szCs w:val="22"/>
        </w:rPr>
        <w:noBreakHyphen/>
        <w:t xml:space="preserve">style diets rich in vegetables, legumes, nuts, whole grains and olive oil improve </w:t>
      </w:r>
      <w:r w:rsidR="00212F9D" w:rsidRPr="00D11D8D">
        <w:rPr>
          <w:rFonts w:ascii="Arial" w:hAnsi="Arial" w:cs="Arial"/>
          <w:sz w:val="22"/>
          <w:szCs w:val="22"/>
        </w:rPr>
        <w:t>glycemic</w:t>
      </w:r>
      <w:r w:rsidRPr="00D11D8D">
        <w:rPr>
          <w:rFonts w:ascii="Arial" w:hAnsi="Arial" w:cs="Arial"/>
          <w:sz w:val="22"/>
          <w:szCs w:val="22"/>
        </w:rPr>
        <w:t xml:space="preserve"> control and cardiovascular health. Chacko and Signore recommend consuming carbohydrates earlier in the day, eating protein and vegetables before carbohydrates and including </w:t>
      </w:r>
      <w:proofErr w:type="spellStart"/>
      <w:r w:rsidRPr="00D11D8D">
        <w:rPr>
          <w:rFonts w:ascii="Arial" w:hAnsi="Arial" w:cs="Arial"/>
          <w:sz w:val="22"/>
          <w:szCs w:val="22"/>
        </w:rPr>
        <w:t>fibre</w:t>
      </w:r>
      <w:proofErr w:type="spellEnd"/>
      <w:r w:rsidRPr="00D11D8D">
        <w:rPr>
          <w:rFonts w:ascii="Arial" w:hAnsi="Arial" w:cs="Arial"/>
          <w:sz w:val="22"/>
          <w:szCs w:val="22"/>
        </w:rPr>
        <w:t xml:space="preserve"> and healthy fats to moderate post</w:t>
      </w:r>
      <w:r w:rsidRPr="00D11D8D">
        <w:rPr>
          <w:rFonts w:ascii="Arial" w:hAnsi="Arial" w:cs="Arial"/>
          <w:sz w:val="22"/>
          <w:szCs w:val="22"/>
        </w:rPr>
        <w:noBreakHyphen/>
        <w:t xml:space="preserve">meal glucose (Chacko &amp; Signore, 2020). Portion control and regular meal timing also reduce </w:t>
      </w:r>
      <w:r w:rsidR="00212F9D" w:rsidRPr="00D11D8D">
        <w:rPr>
          <w:rFonts w:ascii="Arial" w:hAnsi="Arial" w:cs="Arial"/>
          <w:sz w:val="22"/>
          <w:szCs w:val="22"/>
        </w:rPr>
        <w:t>glycemic</w:t>
      </w:r>
      <w:r w:rsidRPr="00D11D8D">
        <w:rPr>
          <w:rFonts w:ascii="Arial" w:hAnsi="Arial" w:cs="Arial"/>
          <w:sz w:val="22"/>
          <w:szCs w:val="22"/>
        </w:rPr>
        <w:t xml:space="preserve"> excursions. </w:t>
      </w:r>
    </w:p>
    <w:p w14:paraId="7A61B140" w14:textId="72B7348E" w:rsidR="00E305F0" w:rsidRPr="00D11D8D" w:rsidRDefault="00E305F0" w:rsidP="00212F9D">
      <w:pPr>
        <w:pStyle w:val="p3"/>
        <w:spacing w:line="360" w:lineRule="auto"/>
        <w:jc w:val="both"/>
        <w:rPr>
          <w:rFonts w:ascii="Arial" w:hAnsi="Arial" w:cs="Arial"/>
          <w:sz w:val="22"/>
          <w:szCs w:val="22"/>
        </w:rPr>
      </w:pPr>
      <w:r w:rsidRPr="00D11D8D">
        <w:rPr>
          <w:rStyle w:val="s3"/>
          <w:rFonts w:ascii="Arial" w:hAnsi="Arial" w:cs="Arial"/>
          <w:sz w:val="22"/>
          <w:szCs w:val="22"/>
        </w:rPr>
        <w:t>Physical activity and weight management:</w:t>
      </w:r>
      <w:r w:rsidRPr="00D11D8D">
        <w:rPr>
          <w:rFonts w:ascii="Arial" w:hAnsi="Arial" w:cs="Arial"/>
          <w:sz w:val="22"/>
          <w:szCs w:val="22"/>
        </w:rPr>
        <w:t xml:space="preserve"> Regular exercise enhances insulin sensitivity and aids weight loss. Losing as little as 7 % of body weight and increasing physical activity can reduce the risk of developing type 2 diabetes by more than 50 % (American Heart Association, 2024). Adults should aim for at least 150 minutes of moderate</w:t>
      </w:r>
      <w:r w:rsidRPr="00D11D8D">
        <w:rPr>
          <w:rFonts w:ascii="Arial" w:hAnsi="Arial" w:cs="Arial"/>
          <w:sz w:val="22"/>
          <w:szCs w:val="22"/>
        </w:rPr>
        <w:noBreakHyphen/>
        <w:t>intensity aerobic activity or 75 minutes of vigorous activity weekly, plus muscle</w:t>
      </w:r>
      <w:r w:rsidRPr="00D11D8D">
        <w:rPr>
          <w:rFonts w:ascii="Arial" w:hAnsi="Arial" w:cs="Arial"/>
          <w:sz w:val="22"/>
          <w:szCs w:val="22"/>
        </w:rPr>
        <w:noBreakHyphen/>
        <w:t>strengthening activities on two days (American Heart Association, 2024). Moderate exercise 30–60 minutes before a meal may blunt post</w:t>
      </w:r>
      <w:r w:rsidRPr="00D11D8D">
        <w:rPr>
          <w:rFonts w:ascii="Arial" w:hAnsi="Arial" w:cs="Arial"/>
          <w:sz w:val="22"/>
          <w:szCs w:val="22"/>
        </w:rPr>
        <w:noBreakHyphen/>
        <w:t xml:space="preserve">meal glucose surges (Chacko &amp; Signore, 2020). Combining aerobic and resistance training improves </w:t>
      </w:r>
      <w:proofErr w:type="spellStart"/>
      <w:r w:rsidRPr="00D11D8D">
        <w:rPr>
          <w:rFonts w:ascii="Arial" w:hAnsi="Arial" w:cs="Arial"/>
          <w:sz w:val="22"/>
          <w:szCs w:val="22"/>
        </w:rPr>
        <w:t>glycaemic</w:t>
      </w:r>
      <w:proofErr w:type="spellEnd"/>
      <w:r w:rsidRPr="00D11D8D">
        <w:rPr>
          <w:rFonts w:ascii="Arial" w:hAnsi="Arial" w:cs="Arial"/>
          <w:sz w:val="22"/>
          <w:szCs w:val="22"/>
        </w:rPr>
        <w:t xml:space="preserve"> control and cardiovascular health. Patients should </w:t>
      </w:r>
      <w:r w:rsidRPr="00D11D8D">
        <w:rPr>
          <w:rFonts w:ascii="Arial" w:hAnsi="Arial" w:cs="Arial"/>
          <w:sz w:val="22"/>
          <w:szCs w:val="22"/>
        </w:rPr>
        <w:lastRenderedPageBreak/>
        <w:t>monitor glucose before and after exercise and adjust carbohydrate intake or medications to prevent hypo</w:t>
      </w:r>
      <w:r w:rsidRPr="00D11D8D">
        <w:rPr>
          <w:rFonts w:ascii="Arial" w:hAnsi="Arial" w:cs="Arial"/>
          <w:sz w:val="22"/>
          <w:szCs w:val="22"/>
        </w:rPr>
        <w:noBreakHyphen/>
        <w:t xml:space="preserve"> or </w:t>
      </w:r>
      <w:proofErr w:type="spellStart"/>
      <w:r w:rsidRPr="00D11D8D">
        <w:rPr>
          <w:rFonts w:ascii="Arial" w:hAnsi="Arial" w:cs="Arial"/>
          <w:sz w:val="22"/>
          <w:szCs w:val="22"/>
        </w:rPr>
        <w:t>hyperglycaemia</w:t>
      </w:r>
      <w:proofErr w:type="spellEnd"/>
      <w:r w:rsidRPr="00D11D8D">
        <w:rPr>
          <w:rFonts w:ascii="Arial" w:hAnsi="Arial" w:cs="Arial"/>
          <w:sz w:val="22"/>
          <w:szCs w:val="22"/>
        </w:rPr>
        <w:t xml:space="preserve">. </w:t>
      </w:r>
    </w:p>
    <w:p w14:paraId="1268C487" w14:textId="7968281D" w:rsidR="00E305F0" w:rsidRPr="00D11D8D" w:rsidRDefault="00E305F0" w:rsidP="00212F9D">
      <w:pPr>
        <w:pStyle w:val="p3"/>
        <w:spacing w:line="360" w:lineRule="auto"/>
        <w:jc w:val="both"/>
        <w:rPr>
          <w:rFonts w:ascii="Arial" w:hAnsi="Arial" w:cs="Arial"/>
          <w:sz w:val="22"/>
          <w:szCs w:val="22"/>
        </w:rPr>
      </w:pPr>
      <w:r w:rsidRPr="00D11D8D">
        <w:rPr>
          <w:rStyle w:val="s3"/>
          <w:rFonts w:ascii="Arial" w:hAnsi="Arial" w:cs="Arial"/>
          <w:sz w:val="22"/>
          <w:szCs w:val="22"/>
        </w:rPr>
        <w:t>Smoking cessation:</w:t>
      </w:r>
      <w:r w:rsidRPr="00D11D8D">
        <w:rPr>
          <w:rFonts w:ascii="Arial" w:hAnsi="Arial" w:cs="Arial"/>
          <w:sz w:val="22"/>
          <w:szCs w:val="22"/>
        </w:rPr>
        <w:t xml:space="preserve"> Smokers are 30–40 % more likely to develop type 2 diabetes than non</w:t>
      </w:r>
      <w:r w:rsidRPr="00D11D8D">
        <w:rPr>
          <w:rFonts w:ascii="Arial" w:hAnsi="Arial" w:cs="Arial"/>
          <w:sz w:val="22"/>
          <w:szCs w:val="22"/>
        </w:rPr>
        <w:noBreakHyphen/>
        <w:t xml:space="preserve">smokers (FDA, 2022). Tobacco smoke induces inflammation and oxidative stress, worsening insulin resistance and vascular damage (FDA, 2022). Among individuals with diabetes, smoking increases the risks of microvascular and macrovascular complications (FDA, 2022). Quitting smoking therefore improves </w:t>
      </w:r>
      <w:proofErr w:type="spellStart"/>
      <w:r w:rsidRPr="00D11D8D">
        <w:rPr>
          <w:rFonts w:ascii="Arial" w:hAnsi="Arial" w:cs="Arial"/>
          <w:sz w:val="22"/>
          <w:szCs w:val="22"/>
        </w:rPr>
        <w:t>glycaemic</w:t>
      </w:r>
      <w:proofErr w:type="spellEnd"/>
      <w:r w:rsidRPr="00D11D8D">
        <w:rPr>
          <w:rFonts w:ascii="Arial" w:hAnsi="Arial" w:cs="Arial"/>
          <w:sz w:val="22"/>
          <w:szCs w:val="22"/>
        </w:rPr>
        <w:t xml:space="preserve"> control and reduces complications. </w:t>
      </w:r>
    </w:p>
    <w:p w14:paraId="648BE107" w14:textId="6DEE838C" w:rsidR="00E305F0" w:rsidRPr="00D11D8D" w:rsidRDefault="00E305F0" w:rsidP="00D11D8D">
      <w:pPr>
        <w:pStyle w:val="p3"/>
        <w:spacing w:line="360" w:lineRule="auto"/>
        <w:jc w:val="both"/>
        <w:rPr>
          <w:rFonts w:ascii="Arial" w:hAnsi="Arial" w:cs="Arial"/>
          <w:sz w:val="22"/>
          <w:szCs w:val="22"/>
        </w:rPr>
      </w:pPr>
      <w:r w:rsidRPr="00D11D8D">
        <w:rPr>
          <w:rStyle w:val="s3"/>
          <w:rFonts w:ascii="Arial" w:hAnsi="Arial" w:cs="Arial"/>
          <w:sz w:val="22"/>
          <w:szCs w:val="22"/>
        </w:rPr>
        <w:t>Stress management and psychosocial support:</w:t>
      </w:r>
      <w:r w:rsidRPr="00D11D8D">
        <w:rPr>
          <w:rFonts w:ascii="Arial" w:hAnsi="Arial" w:cs="Arial"/>
          <w:sz w:val="22"/>
          <w:szCs w:val="22"/>
        </w:rPr>
        <w:t xml:space="preserve"> Chronic stress elevates cortisol and adrenaline, increasing insulin resistance and often prompting unhealthy </w:t>
      </w:r>
      <w:proofErr w:type="spellStart"/>
      <w:r w:rsidRPr="00D11D8D">
        <w:rPr>
          <w:rFonts w:ascii="Arial" w:hAnsi="Arial" w:cs="Arial"/>
          <w:sz w:val="22"/>
          <w:szCs w:val="22"/>
        </w:rPr>
        <w:t>behaviours</w:t>
      </w:r>
      <w:proofErr w:type="spellEnd"/>
      <w:r w:rsidRPr="00D11D8D">
        <w:rPr>
          <w:rFonts w:ascii="Arial" w:hAnsi="Arial" w:cs="Arial"/>
          <w:sz w:val="22"/>
          <w:szCs w:val="22"/>
        </w:rPr>
        <w:t xml:space="preserve"> (American Heart Association, 2024). Mindfulness meditation, relaxation exercises, adequate sleep and regular physical activity help reduce stress and improve </w:t>
      </w:r>
      <w:proofErr w:type="spellStart"/>
      <w:r w:rsidRPr="00D11D8D">
        <w:rPr>
          <w:rFonts w:ascii="Arial" w:hAnsi="Arial" w:cs="Arial"/>
          <w:sz w:val="22"/>
          <w:szCs w:val="22"/>
        </w:rPr>
        <w:t>glycaemic</w:t>
      </w:r>
      <w:proofErr w:type="spellEnd"/>
      <w:r w:rsidRPr="00D11D8D">
        <w:rPr>
          <w:rFonts w:ascii="Arial" w:hAnsi="Arial" w:cs="Arial"/>
          <w:sz w:val="22"/>
          <w:szCs w:val="22"/>
        </w:rPr>
        <w:t xml:space="preserve"> control. Support from family, friends and healthcare providers enhances adherence to lifestyle changes. Participating in support groups or counselling can reduce isolation and improve self</w:t>
      </w:r>
      <w:r w:rsidRPr="00D11D8D">
        <w:rPr>
          <w:rFonts w:ascii="Arial" w:hAnsi="Arial" w:cs="Arial"/>
          <w:sz w:val="22"/>
          <w:szCs w:val="22"/>
        </w:rPr>
        <w:noBreakHyphen/>
        <w:t xml:space="preserve">management. </w:t>
      </w:r>
    </w:p>
    <w:p w14:paraId="16B54756" w14:textId="2BD7DC65" w:rsidR="00E305F0" w:rsidRPr="00D11D8D" w:rsidRDefault="00E305F0" w:rsidP="00212F9D">
      <w:pPr>
        <w:pStyle w:val="p3"/>
        <w:spacing w:line="360" w:lineRule="auto"/>
        <w:jc w:val="both"/>
        <w:rPr>
          <w:rFonts w:ascii="Arial" w:hAnsi="Arial" w:cs="Arial"/>
          <w:sz w:val="22"/>
          <w:szCs w:val="22"/>
        </w:rPr>
      </w:pPr>
      <w:r w:rsidRPr="00D11D8D">
        <w:rPr>
          <w:rStyle w:val="s3"/>
          <w:rFonts w:ascii="Arial" w:hAnsi="Arial" w:cs="Arial"/>
          <w:sz w:val="22"/>
          <w:szCs w:val="22"/>
        </w:rPr>
        <w:t xml:space="preserve">Patient education and structured </w:t>
      </w:r>
      <w:proofErr w:type="spellStart"/>
      <w:r w:rsidRPr="00D11D8D">
        <w:rPr>
          <w:rStyle w:val="s3"/>
          <w:rFonts w:ascii="Arial" w:hAnsi="Arial" w:cs="Arial"/>
          <w:sz w:val="22"/>
          <w:szCs w:val="22"/>
        </w:rPr>
        <w:t>programmes</w:t>
      </w:r>
      <w:proofErr w:type="spellEnd"/>
      <w:r w:rsidRPr="00D11D8D">
        <w:rPr>
          <w:rStyle w:val="s3"/>
          <w:rFonts w:ascii="Arial" w:hAnsi="Arial" w:cs="Arial"/>
          <w:sz w:val="22"/>
          <w:szCs w:val="22"/>
        </w:rPr>
        <w:t>:</w:t>
      </w:r>
      <w:r w:rsidRPr="00D11D8D">
        <w:rPr>
          <w:rFonts w:ascii="Arial" w:hAnsi="Arial" w:cs="Arial"/>
          <w:sz w:val="22"/>
          <w:szCs w:val="22"/>
        </w:rPr>
        <w:t xml:space="preserve"> Structured </w:t>
      </w:r>
      <w:proofErr w:type="spellStart"/>
      <w:r w:rsidRPr="00D11D8D">
        <w:rPr>
          <w:rFonts w:ascii="Arial" w:hAnsi="Arial" w:cs="Arial"/>
          <w:sz w:val="22"/>
          <w:szCs w:val="22"/>
        </w:rPr>
        <w:t>programmes</w:t>
      </w:r>
      <w:proofErr w:type="spellEnd"/>
      <w:r w:rsidRPr="00D11D8D">
        <w:rPr>
          <w:rFonts w:ascii="Arial" w:hAnsi="Arial" w:cs="Arial"/>
          <w:sz w:val="22"/>
          <w:szCs w:val="22"/>
        </w:rPr>
        <w:t xml:space="preserve"> provide comprehensive support. The CDC’s National Diabetes Prevention Program shows that lifestyle change </w:t>
      </w:r>
      <w:proofErr w:type="spellStart"/>
      <w:r w:rsidRPr="00D11D8D">
        <w:rPr>
          <w:rFonts w:ascii="Arial" w:hAnsi="Arial" w:cs="Arial"/>
          <w:sz w:val="22"/>
          <w:szCs w:val="22"/>
        </w:rPr>
        <w:t>programmes</w:t>
      </w:r>
      <w:proofErr w:type="spellEnd"/>
      <w:r w:rsidRPr="00D11D8D">
        <w:rPr>
          <w:rFonts w:ascii="Arial" w:hAnsi="Arial" w:cs="Arial"/>
          <w:sz w:val="22"/>
          <w:szCs w:val="22"/>
        </w:rPr>
        <w:t xml:space="preserve"> focusing on diet, physical activity and stress management can halve the risk of developing type 2 diabetes (CDC, 2024). Diabetes self</w:t>
      </w:r>
      <w:r w:rsidRPr="00D11D8D">
        <w:rPr>
          <w:rFonts w:ascii="Arial" w:hAnsi="Arial" w:cs="Arial"/>
          <w:sz w:val="22"/>
          <w:szCs w:val="22"/>
        </w:rPr>
        <w:noBreakHyphen/>
        <w:t xml:space="preserve">management education and support (DSMES) </w:t>
      </w:r>
      <w:proofErr w:type="spellStart"/>
      <w:r w:rsidRPr="00D11D8D">
        <w:rPr>
          <w:rFonts w:ascii="Arial" w:hAnsi="Arial" w:cs="Arial"/>
          <w:sz w:val="22"/>
          <w:szCs w:val="22"/>
        </w:rPr>
        <w:t>programmes</w:t>
      </w:r>
      <w:proofErr w:type="spellEnd"/>
      <w:r w:rsidRPr="00D11D8D">
        <w:rPr>
          <w:rFonts w:ascii="Arial" w:hAnsi="Arial" w:cs="Arial"/>
          <w:sz w:val="22"/>
          <w:szCs w:val="22"/>
        </w:rPr>
        <w:t xml:space="preserve"> improve </w:t>
      </w:r>
      <w:proofErr w:type="spellStart"/>
      <w:r w:rsidRPr="00D11D8D">
        <w:rPr>
          <w:rFonts w:ascii="Arial" w:hAnsi="Arial" w:cs="Arial"/>
          <w:sz w:val="22"/>
          <w:szCs w:val="22"/>
        </w:rPr>
        <w:t>glycaemic</w:t>
      </w:r>
      <w:proofErr w:type="spellEnd"/>
      <w:r w:rsidRPr="00D11D8D">
        <w:rPr>
          <w:rFonts w:ascii="Arial" w:hAnsi="Arial" w:cs="Arial"/>
          <w:sz w:val="22"/>
          <w:szCs w:val="22"/>
        </w:rPr>
        <w:t xml:space="preserve"> control, reduce hospital admissions and enhance quality of life. Technology</w:t>
      </w:r>
      <w:r w:rsidRPr="00D11D8D">
        <w:rPr>
          <w:rFonts w:ascii="Arial" w:hAnsi="Arial" w:cs="Arial"/>
          <w:sz w:val="22"/>
          <w:szCs w:val="22"/>
        </w:rPr>
        <w:noBreakHyphen/>
        <w:t xml:space="preserve">enabled platforms and mobile apps offer convenient educational resources and remote monitoring. Healthcare professionals should encourage patients to </w:t>
      </w:r>
      <w:proofErr w:type="spellStart"/>
      <w:r w:rsidRPr="00D11D8D">
        <w:rPr>
          <w:rFonts w:ascii="Arial" w:hAnsi="Arial" w:cs="Arial"/>
          <w:sz w:val="22"/>
          <w:szCs w:val="22"/>
        </w:rPr>
        <w:t>enrol</w:t>
      </w:r>
      <w:proofErr w:type="spellEnd"/>
      <w:r w:rsidRPr="00D11D8D">
        <w:rPr>
          <w:rFonts w:ascii="Arial" w:hAnsi="Arial" w:cs="Arial"/>
          <w:sz w:val="22"/>
          <w:szCs w:val="22"/>
        </w:rPr>
        <w:t xml:space="preserve"> in local or online </w:t>
      </w:r>
      <w:proofErr w:type="spellStart"/>
      <w:r w:rsidRPr="00D11D8D">
        <w:rPr>
          <w:rFonts w:ascii="Arial" w:hAnsi="Arial" w:cs="Arial"/>
          <w:sz w:val="22"/>
          <w:szCs w:val="22"/>
        </w:rPr>
        <w:t>programmes</w:t>
      </w:r>
      <w:proofErr w:type="spellEnd"/>
      <w:r w:rsidRPr="00D11D8D">
        <w:rPr>
          <w:rFonts w:ascii="Arial" w:hAnsi="Arial" w:cs="Arial"/>
          <w:sz w:val="22"/>
          <w:szCs w:val="22"/>
        </w:rPr>
        <w:t xml:space="preserve"> and maintain participation. </w:t>
      </w:r>
    </w:p>
    <w:p w14:paraId="437E5E7F" w14:textId="77777777" w:rsidR="00E305F0" w:rsidRPr="00D11D8D" w:rsidRDefault="00E305F0" w:rsidP="00212F9D">
      <w:pPr>
        <w:pStyle w:val="p3"/>
        <w:spacing w:line="360" w:lineRule="auto"/>
        <w:jc w:val="both"/>
        <w:rPr>
          <w:rFonts w:ascii="Arial" w:hAnsi="Arial" w:cs="Arial"/>
          <w:sz w:val="22"/>
          <w:szCs w:val="22"/>
        </w:rPr>
      </w:pPr>
      <w:r w:rsidRPr="00D11D8D">
        <w:rPr>
          <w:rStyle w:val="s3"/>
          <w:rFonts w:ascii="Arial" w:hAnsi="Arial" w:cs="Arial"/>
          <w:sz w:val="22"/>
          <w:szCs w:val="22"/>
        </w:rPr>
        <w:t>Alcohol and medication adherence:</w:t>
      </w:r>
      <w:r w:rsidRPr="00D11D8D">
        <w:rPr>
          <w:rFonts w:ascii="Arial" w:hAnsi="Arial" w:cs="Arial"/>
          <w:sz w:val="22"/>
          <w:szCs w:val="22"/>
        </w:rPr>
        <w:t xml:space="preserve"> Moderate alcohol consumption—up to two drinks per day for men and one for women—may be acceptable, but excessive intake can cause hypo</w:t>
      </w:r>
      <w:r w:rsidRPr="00D11D8D">
        <w:rPr>
          <w:rFonts w:ascii="Arial" w:hAnsi="Arial" w:cs="Arial"/>
          <w:sz w:val="22"/>
          <w:szCs w:val="22"/>
        </w:rPr>
        <w:noBreakHyphen/>
        <w:t xml:space="preserve"> or </w:t>
      </w:r>
      <w:proofErr w:type="spellStart"/>
      <w:r w:rsidRPr="00D11D8D">
        <w:rPr>
          <w:rFonts w:ascii="Arial" w:hAnsi="Arial" w:cs="Arial"/>
          <w:sz w:val="22"/>
          <w:szCs w:val="22"/>
        </w:rPr>
        <w:t>hyperglycaemia</w:t>
      </w:r>
      <w:proofErr w:type="spellEnd"/>
      <w:r w:rsidRPr="00D11D8D">
        <w:rPr>
          <w:rFonts w:ascii="Arial" w:hAnsi="Arial" w:cs="Arial"/>
          <w:sz w:val="22"/>
          <w:szCs w:val="22"/>
        </w:rPr>
        <w:t xml:space="preserve"> (American Heart Association, 2024). Patients should discuss alcohol use with their healthcare team and monitor blood glucose. Adherence to prescribed medications, whether oral </w:t>
      </w:r>
      <w:proofErr w:type="spellStart"/>
      <w:r w:rsidRPr="00D11D8D">
        <w:rPr>
          <w:rFonts w:ascii="Arial" w:hAnsi="Arial" w:cs="Arial"/>
          <w:sz w:val="22"/>
          <w:szCs w:val="22"/>
        </w:rPr>
        <w:t>hypoglycaemics</w:t>
      </w:r>
      <w:proofErr w:type="spellEnd"/>
      <w:r w:rsidRPr="00D11D8D">
        <w:rPr>
          <w:rFonts w:ascii="Arial" w:hAnsi="Arial" w:cs="Arial"/>
          <w:sz w:val="22"/>
          <w:szCs w:val="22"/>
        </w:rPr>
        <w:t xml:space="preserve"> or insulin, remains essential; lifestyle changes complement but do not replace pharmacotherapy. </w:t>
      </w:r>
    </w:p>
    <w:p w14:paraId="24C1D562" w14:textId="77777777" w:rsidR="00D11D8D" w:rsidRDefault="00D11D8D" w:rsidP="00212F9D">
      <w:pPr>
        <w:pStyle w:val="p2"/>
        <w:spacing w:line="360" w:lineRule="auto"/>
        <w:jc w:val="both"/>
        <w:rPr>
          <w:rFonts w:ascii="Arial" w:hAnsi="Arial" w:cs="Arial"/>
          <w:sz w:val="22"/>
          <w:szCs w:val="22"/>
        </w:rPr>
      </w:pPr>
    </w:p>
    <w:p w14:paraId="25A54190" w14:textId="77777777" w:rsidR="00D11D8D" w:rsidRDefault="00D11D8D" w:rsidP="00212F9D">
      <w:pPr>
        <w:pStyle w:val="p2"/>
        <w:spacing w:line="360" w:lineRule="auto"/>
        <w:jc w:val="both"/>
        <w:rPr>
          <w:rFonts w:ascii="Arial" w:hAnsi="Arial" w:cs="Arial"/>
          <w:sz w:val="22"/>
          <w:szCs w:val="22"/>
        </w:rPr>
      </w:pPr>
    </w:p>
    <w:p w14:paraId="00D36B7B" w14:textId="7F3EBC11" w:rsidR="00E305F0" w:rsidRPr="00D11D8D" w:rsidRDefault="00212F9D" w:rsidP="00212F9D">
      <w:pPr>
        <w:pStyle w:val="p2"/>
        <w:spacing w:line="360" w:lineRule="auto"/>
        <w:jc w:val="both"/>
        <w:rPr>
          <w:rFonts w:ascii="Arial" w:hAnsi="Arial" w:cs="Arial"/>
          <w:b/>
          <w:bCs/>
          <w:sz w:val="22"/>
          <w:szCs w:val="22"/>
        </w:rPr>
      </w:pPr>
      <w:r w:rsidRPr="00D11D8D">
        <w:rPr>
          <w:rFonts w:ascii="Arial" w:hAnsi="Arial" w:cs="Arial"/>
          <w:b/>
          <w:bCs/>
          <w:sz w:val="22"/>
          <w:szCs w:val="22"/>
        </w:rPr>
        <w:lastRenderedPageBreak/>
        <w:t>Conclusion</w:t>
      </w:r>
    </w:p>
    <w:p w14:paraId="49CEF10D" w14:textId="77777777" w:rsidR="00E305F0" w:rsidRPr="00D11D8D" w:rsidRDefault="00E305F0" w:rsidP="00212F9D">
      <w:pPr>
        <w:pStyle w:val="p3"/>
        <w:spacing w:line="360" w:lineRule="auto"/>
        <w:jc w:val="both"/>
        <w:rPr>
          <w:rFonts w:ascii="Arial" w:hAnsi="Arial" w:cs="Arial"/>
          <w:sz w:val="22"/>
          <w:szCs w:val="22"/>
        </w:rPr>
      </w:pPr>
      <w:r w:rsidRPr="00D11D8D">
        <w:rPr>
          <w:rFonts w:ascii="Arial" w:hAnsi="Arial" w:cs="Arial"/>
          <w:sz w:val="22"/>
          <w:szCs w:val="22"/>
        </w:rPr>
        <w:t xml:space="preserve">Type 2 diabetes is driven largely by modifiable risk factors such as obesity, inactivity, poor diet and smoking (NHS, 2023; CDC, 2024). Glucose homeostasis depends on the coordinated actions of insulin and glucagon; disruption leads to chronic </w:t>
      </w:r>
      <w:proofErr w:type="spellStart"/>
      <w:r w:rsidRPr="00D11D8D">
        <w:rPr>
          <w:rFonts w:ascii="Arial" w:hAnsi="Arial" w:cs="Arial"/>
          <w:sz w:val="22"/>
          <w:szCs w:val="22"/>
        </w:rPr>
        <w:t>hyperglycaemia</w:t>
      </w:r>
      <w:proofErr w:type="spellEnd"/>
      <w:r w:rsidRPr="00D11D8D">
        <w:rPr>
          <w:rFonts w:ascii="Arial" w:hAnsi="Arial" w:cs="Arial"/>
          <w:sz w:val="22"/>
          <w:szCs w:val="22"/>
        </w:rPr>
        <w:t xml:space="preserve"> and complications (</w:t>
      </w:r>
      <w:proofErr w:type="spellStart"/>
      <w:r w:rsidRPr="00D11D8D">
        <w:rPr>
          <w:rFonts w:ascii="Arial" w:hAnsi="Arial" w:cs="Arial"/>
          <w:sz w:val="22"/>
          <w:szCs w:val="22"/>
        </w:rPr>
        <w:t>ATrain</w:t>
      </w:r>
      <w:proofErr w:type="spellEnd"/>
      <w:r w:rsidRPr="00D11D8D">
        <w:rPr>
          <w:rFonts w:ascii="Arial" w:hAnsi="Arial" w:cs="Arial"/>
          <w:sz w:val="22"/>
          <w:szCs w:val="22"/>
        </w:rPr>
        <w:t xml:space="preserve"> Education, n.d.; Medical News Today, 2023). Cellular respiration shows how glucose and oxygen produce ATP (Osmosis, 2018). Monitoring blood glucose empowers patients to adjust diet, activity and medications (Mayo Clinic, 2024; Cleveland Clinic, n.d.). Evidence</w:t>
      </w:r>
      <w:r w:rsidRPr="00D11D8D">
        <w:rPr>
          <w:rFonts w:ascii="Arial" w:hAnsi="Arial" w:cs="Arial"/>
          <w:sz w:val="22"/>
          <w:szCs w:val="22"/>
        </w:rPr>
        <w:noBreakHyphen/>
        <w:t xml:space="preserve">based lifestyle interventions—including healthy eating, regular physical activity, weight management, smoking cessation, stress reduction, education and adherence—improve </w:t>
      </w:r>
      <w:proofErr w:type="spellStart"/>
      <w:r w:rsidRPr="00D11D8D">
        <w:rPr>
          <w:rFonts w:ascii="Arial" w:hAnsi="Arial" w:cs="Arial"/>
          <w:sz w:val="22"/>
          <w:szCs w:val="22"/>
        </w:rPr>
        <w:t>glycaemic</w:t>
      </w:r>
      <w:proofErr w:type="spellEnd"/>
      <w:r w:rsidRPr="00D11D8D">
        <w:rPr>
          <w:rFonts w:ascii="Arial" w:hAnsi="Arial" w:cs="Arial"/>
          <w:sz w:val="22"/>
          <w:szCs w:val="22"/>
        </w:rPr>
        <w:t xml:space="preserve"> control and reduce complications (American Heart Association, 2024; FDA, 2022). Integrating these recommendations into patient care helps individuals manage diabetes more effectively and improve quality of life. </w:t>
      </w:r>
    </w:p>
    <w:p w14:paraId="1C1B5B6E" w14:textId="77777777" w:rsidR="001B7A40" w:rsidRPr="00212F9D" w:rsidRDefault="001B7A40" w:rsidP="00212F9D">
      <w:pPr>
        <w:spacing w:line="360" w:lineRule="auto"/>
        <w:jc w:val="both"/>
        <w:rPr>
          <w:rFonts w:ascii="Arial" w:hAnsi="Arial" w:cs="Arial"/>
          <w:sz w:val="22"/>
        </w:rPr>
      </w:pPr>
    </w:p>
    <w:p w14:paraId="48A198A4" w14:textId="77777777" w:rsidR="00E305F0" w:rsidRPr="00212F9D" w:rsidRDefault="00E305F0" w:rsidP="00212F9D">
      <w:pPr>
        <w:spacing w:line="360" w:lineRule="auto"/>
        <w:jc w:val="both"/>
        <w:rPr>
          <w:rFonts w:ascii="Arial" w:hAnsi="Arial" w:cs="Arial"/>
          <w:sz w:val="22"/>
        </w:rPr>
      </w:pPr>
    </w:p>
    <w:p w14:paraId="3FEAE357" w14:textId="77777777" w:rsidR="00E305F0" w:rsidRPr="00212F9D" w:rsidRDefault="00E305F0" w:rsidP="00212F9D">
      <w:pPr>
        <w:spacing w:line="360" w:lineRule="auto"/>
        <w:jc w:val="both"/>
        <w:rPr>
          <w:rFonts w:ascii="Arial" w:hAnsi="Arial" w:cs="Arial"/>
          <w:sz w:val="22"/>
        </w:rPr>
      </w:pPr>
    </w:p>
    <w:p w14:paraId="3FD06962" w14:textId="77777777" w:rsidR="00E305F0" w:rsidRPr="00212F9D" w:rsidRDefault="00E305F0" w:rsidP="00212F9D">
      <w:pPr>
        <w:spacing w:line="360" w:lineRule="auto"/>
        <w:jc w:val="both"/>
        <w:rPr>
          <w:rFonts w:ascii="Arial" w:hAnsi="Arial" w:cs="Arial"/>
          <w:sz w:val="22"/>
        </w:rPr>
      </w:pPr>
    </w:p>
    <w:p w14:paraId="56DE9647" w14:textId="77777777" w:rsidR="00E305F0" w:rsidRPr="00212F9D" w:rsidRDefault="00E305F0" w:rsidP="00212F9D">
      <w:pPr>
        <w:spacing w:line="360" w:lineRule="auto"/>
        <w:jc w:val="both"/>
        <w:rPr>
          <w:rFonts w:ascii="Arial" w:hAnsi="Arial" w:cs="Arial"/>
          <w:sz w:val="22"/>
        </w:rPr>
      </w:pPr>
    </w:p>
    <w:p w14:paraId="63E27A55" w14:textId="77777777" w:rsidR="00E305F0" w:rsidRPr="00212F9D" w:rsidRDefault="00E305F0" w:rsidP="00212F9D">
      <w:pPr>
        <w:spacing w:line="360" w:lineRule="auto"/>
        <w:jc w:val="both"/>
        <w:rPr>
          <w:rFonts w:ascii="Arial" w:hAnsi="Arial" w:cs="Arial"/>
          <w:sz w:val="22"/>
        </w:rPr>
      </w:pPr>
    </w:p>
    <w:p w14:paraId="66C9AA72" w14:textId="77777777" w:rsidR="00E305F0" w:rsidRPr="00212F9D" w:rsidRDefault="00E305F0" w:rsidP="00212F9D">
      <w:pPr>
        <w:spacing w:line="360" w:lineRule="auto"/>
        <w:jc w:val="both"/>
        <w:rPr>
          <w:rFonts w:ascii="Arial" w:hAnsi="Arial" w:cs="Arial"/>
          <w:sz w:val="22"/>
        </w:rPr>
      </w:pPr>
    </w:p>
    <w:p w14:paraId="75A74CCB" w14:textId="77777777" w:rsidR="00E305F0" w:rsidRDefault="00E305F0" w:rsidP="00212F9D">
      <w:pPr>
        <w:spacing w:line="360" w:lineRule="auto"/>
        <w:jc w:val="both"/>
        <w:rPr>
          <w:rFonts w:ascii="Arial" w:hAnsi="Arial" w:cs="Arial"/>
          <w:sz w:val="22"/>
        </w:rPr>
      </w:pPr>
    </w:p>
    <w:p w14:paraId="1D7A6897" w14:textId="77777777" w:rsidR="00D11D8D" w:rsidRDefault="00D11D8D" w:rsidP="00212F9D">
      <w:pPr>
        <w:spacing w:line="360" w:lineRule="auto"/>
        <w:jc w:val="both"/>
        <w:rPr>
          <w:rFonts w:ascii="Arial" w:hAnsi="Arial" w:cs="Arial"/>
          <w:sz w:val="22"/>
        </w:rPr>
      </w:pPr>
    </w:p>
    <w:p w14:paraId="5438F8CC" w14:textId="77777777" w:rsidR="00D11D8D" w:rsidRDefault="00D11D8D" w:rsidP="00212F9D">
      <w:pPr>
        <w:spacing w:line="360" w:lineRule="auto"/>
        <w:jc w:val="both"/>
        <w:rPr>
          <w:rFonts w:ascii="Arial" w:hAnsi="Arial" w:cs="Arial"/>
          <w:sz w:val="22"/>
        </w:rPr>
      </w:pPr>
    </w:p>
    <w:p w14:paraId="2366D60E" w14:textId="77777777" w:rsidR="00D11D8D" w:rsidRDefault="00D11D8D" w:rsidP="00212F9D">
      <w:pPr>
        <w:spacing w:line="360" w:lineRule="auto"/>
        <w:jc w:val="both"/>
        <w:rPr>
          <w:rFonts w:ascii="Arial" w:hAnsi="Arial" w:cs="Arial"/>
          <w:sz w:val="22"/>
        </w:rPr>
      </w:pPr>
    </w:p>
    <w:p w14:paraId="06C8227C" w14:textId="77777777" w:rsidR="00D11D8D" w:rsidRDefault="00D11D8D" w:rsidP="00212F9D">
      <w:pPr>
        <w:spacing w:line="360" w:lineRule="auto"/>
        <w:jc w:val="both"/>
        <w:rPr>
          <w:rFonts w:ascii="Arial" w:hAnsi="Arial" w:cs="Arial"/>
          <w:sz w:val="22"/>
        </w:rPr>
      </w:pPr>
    </w:p>
    <w:p w14:paraId="0B794B38" w14:textId="77777777" w:rsidR="00D11D8D" w:rsidRDefault="00D11D8D" w:rsidP="00212F9D">
      <w:pPr>
        <w:spacing w:line="360" w:lineRule="auto"/>
        <w:jc w:val="both"/>
        <w:rPr>
          <w:rFonts w:ascii="Arial" w:hAnsi="Arial" w:cs="Arial"/>
          <w:sz w:val="22"/>
        </w:rPr>
      </w:pPr>
    </w:p>
    <w:p w14:paraId="16EBC730" w14:textId="77777777" w:rsidR="00D11D8D" w:rsidRDefault="00D11D8D" w:rsidP="00212F9D">
      <w:pPr>
        <w:spacing w:line="360" w:lineRule="auto"/>
        <w:jc w:val="both"/>
        <w:rPr>
          <w:rFonts w:ascii="Arial" w:hAnsi="Arial" w:cs="Arial"/>
          <w:sz w:val="22"/>
        </w:rPr>
      </w:pPr>
    </w:p>
    <w:p w14:paraId="7145DEEA" w14:textId="77777777" w:rsidR="00D11D8D" w:rsidRDefault="00D11D8D" w:rsidP="00212F9D">
      <w:pPr>
        <w:spacing w:line="360" w:lineRule="auto"/>
        <w:jc w:val="both"/>
        <w:rPr>
          <w:rFonts w:ascii="Arial" w:hAnsi="Arial" w:cs="Arial"/>
          <w:sz w:val="22"/>
        </w:rPr>
      </w:pPr>
    </w:p>
    <w:p w14:paraId="454B1EEF" w14:textId="77777777" w:rsidR="00D11D8D" w:rsidRPr="00212F9D" w:rsidRDefault="00D11D8D" w:rsidP="00212F9D">
      <w:pPr>
        <w:spacing w:line="360" w:lineRule="auto"/>
        <w:jc w:val="both"/>
        <w:rPr>
          <w:rFonts w:ascii="Arial" w:hAnsi="Arial" w:cs="Arial"/>
          <w:sz w:val="22"/>
        </w:rPr>
      </w:pPr>
    </w:p>
    <w:p w14:paraId="4FCDBC05" w14:textId="7B64F8B4" w:rsidR="00212F9D" w:rsidRPr="00212F9D" w:rsidRDefault="00212F9D" w:rsidP="00342692">
      <w:pPr>
        <w:spacing w:line="360" w:lineRule="auto"/>
        <w:jc w:val="center"/>
        <w:rPr>
          <w:rFonts w:ascii="Arial" w:hAnsi="Arial" w:cs="Arial"/>
          <w:b/>
          <w:bCs/>
          <w:sz w:val="22"/>
          <w:lang w:val="en-US"/>
        </w:rPr>
      </w:pPr>
      <w:r w:rsidRPr="00212F9D">
        <w:rPr>
          <w:rFonts w:ascii="Arial" w:hAnsi="Arial" w:cs="Arial"/>
          <w:b/>
          <w:bCs/>
          <w:sz w:val="22"/>
          <w:lang w:val="en-US"/>
        </w:rPr>
        <w:lastRenderedPageBreak/>
        <w:t xml:space="preserve">Reference </w:t>
      </w:r>
    </w:p>
    <w:p w14:paraId="7D96A7CA"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American Heart Association (2024) </w:t>
      </w:r>
      <w:r w:rsidRPr="00212F9D">
        <w:rPr>
          <w:rFonts w:ascii="Arial" w:hAnsi="Arial" w:cs="Arial"/>
          <w:i/>
          <w:iCs/>
          <w:sz w:val="22"/>
          <w:lang w:val="en-US"/>
        </w:rPr>
        <w:t>Living Healthy with Diabetes</w:t>
      </w:r>
      <w:r w:rsidRPr="00212F9D">
        <w:rPr>
          <w:rFonts w:ascii="Arial" w:hAnsi="Arial" w:cs="Arial"/>
          <w:sz w:val="22"/>
          <w:lang w:val="en-US"/>
        </w:rPr>
        <w:t xml:space="preserve">. Available at: </w:t>
      </w:r>
      <w:hyperlink r:id="rId7" w:history="1">
        <w:r w:rsidR="00342692" w:rsidRPr="00212F9D">
          <w:rPr>
            <w:rStyle w:val="Hyperlink"/>
            <w:rFonts w:ascii="Arial" w:hAnsi="Arial" w:cs="Arial"/>
            <w:sz w:val="22"/>
            <w:lang w:val="en-US"/>
          </w:rPr>
          <w:t>https://www.heart.org/en/health-topics/diabetes/prevention–treatment-of-diabetes/living-healthy-with-diabetes</w:t>
        </w:r>
      </w:hyperlink>
      <w:r w:rsidR="00342692">
        <w:rPr>
          <w:rFonts w:ascii="Arial" w:hAnsi="Arial" w:cs="Arial"/>
          <w:sz w:val="22"/>
          <w:lang w:val="en-US"/>
        </w:rPr>
        <w:t xml:space="preserve"> </w:t>
      </w:r>
    </w:p>
    <w:p w14:paraId="22B2EC2D" w14:textId="12651ED0"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451B4474" w14:textId="77777777" w:rsidR="00212F9D" w:rsidRPr="00212F9D" w:rsidRDefault="00212F9D" w:rsidP="00342692">
      <w:pPr>
        <w:spacing w:line="360" w:lineRule="auto"/>
        <w:rPr>
          <w:rFonts w:ascii="Arial" w:hAnsi="Arial" w:cs="Arial"/>
          <w:sz w:val="22"/>
          <w:lang w:val="en-US"/>
        </w:rPr>
      </w:pPr>
    </w:p>
    <w:p w14:paraId="4893CFA4" w14:textId="77777777" w:rsidR="00342692" w:rsidRDefault="00212F9D" w:rsidP="00342692">
      <w:pPr>
        <w:spacing w:line="360" w:lineRule="auto"/>
        <w:rPr>
          <w:rFonts w:ascii="Arial" w:hAnsi="Arial" w:cs="Arial"/>
          <w:sz w:val="22"/>
          <w:lang w:val="en-US"/>
        </w:rPr>
      </w:pPr>
      <w:proofErr w:type="spellStart"/>
      <w:r w:rsidRPr="00212F9D">
        <w:rPr>
          <w:rFonts w:ascii="Arial" w:hAnsi="Arial" w:cs="Arial"/>
          <w:sz w:val="22"/>
          <w:lang w:val="en-US"/>
        </w:rPr>
        <w:t>ATrain</w:t>
      </w:r>
      <w:proofErr w:type="spellEnd"/>
      <w:r w:rsidRPr="00212F9D">
        <w:rPr>
          <w:rFonts w:ascii="Arial" w:hAnsi="Arial" w:cs="Arial"/>
          <w:sz w:val="22"/>
          <w:lang w:val="en-US"/>
        </w:rPr>
        <w:t xml:space="preserve"> Education (n.d.) ‘Regulation of Blood Glucose’. Available at: </w:t>
      </w:r>
      <w:hyperlink r:id="rId8" w:history="1">
        <w:r w:rsidR="00342692" w:rsidRPr="00212F9D">
          <w:rPr>
            <w:rStyle w:val="Hyperlink"/>
            <w:rFonts w:ascii="Arial" w:hAnsi="Arial" w:cs="Arial"/>
            <w:sz w:val="22"/>
            <w:lang w:val="en-US"/>
          </w:rPr>
          <w:t>https://www.atrainceu.com/content/4-regulation-blood-glucose</w:t>
        </w:r>
      </w:hyperlink>
      <w:r w:rsidR="00342692">
        <w:rPr>
          <w:rFonts w:ascii="Arial" w:hAnsi="Arial" w:cs="Arial"/>
          <w:sz w:val="22"/>
          <w:lang w:val="en-US"/>
        </w:rPr>
        <w:t xml:space="preserve"> </w:t>
      </w:r>
    </w:p>
    <w:p w14:paraId="421DE245" w14:textId="57E78FE0"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0F7E3986" w14:textId="77777777" w:rsidR="00212F9D" w:rsidRPr="00212F9D" w:rsidRDefault="00212F9D" w:rsidP="00342692">
      <w:pPr>
        <w:spacing w:line="360" w:lineRule="auto"/>
        <w:rPr>
          <w:rFonts w:ascii="Arial" w:hAnsi="Arial" w:cs="Arial"/>
          <w:sz w:val="22"/>
          <w:lang w:val="en-US"/>
        </w:rPr>
      </w:pPr>
    </w:p>
    <w:p w14:paraId="12626BD7"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Centers for Disease Control and Prevention (CDC) (2024) </w:t>
      </w:r>
      <w:r w:rsidRPr="00212F9D">
        <w:rPr>
          <w:rFonts w:ascii="Arial" w:hAnsi="Arial" w:cs="Arial"/>
          <w:i/>
          <w:iCs/>
          <w:sz w:val="22"/>
          <w:lang w:val="en-US"/>
        </w:rPr>
        <w:t>Preventing Type 2 Diabetes with the Lifestyle Change Program</w:t>
      </w:r>
      <w:r w:rsidRPr="00212F9D">
        <w:rPr>
          <w:rFonts w:ascii="Arial" w:hAnsi="Arial" w:cs="Arial"/>
          <w:sz w:val="22"/>
          <w:lang w:val="en-US"/>
        </w:rPr>
        <w:t xml:space="preserve">. Available at: </w:t>
      </w:r>
      <w:hyperlink r:id="rId9" w:history="1">
        <w:r w:rsidR="00342692" w:rsidRPr="00212F9D">
          <w:rPr>
            <w:rStyle w:val="Hyperlink"/>
            <w:rFonts w:ascii="Arial" w:hAnsi="Arial" w:cs="Arial"/>
            <w:sz w:val="22"/>
            <w:lang w:val="en-US"/>
          </w:rPr>
          <w:t>https://www.cdc.gov/diabetes-prevention/lifestyle-change-program/index.html</w:t>
        </w:r>
      </w:hyperlink>
      <w:r w:rsidR="00342692">
        <w:rPr>
          <w:rFonts w:ascii="Arial" w:hAnsi="Arial" w:cs="Arial"/>
          <w:sz w:val="22"/>
          <w:lang w:val="en-US"/>
        </w:rPr>
        <w:t xml:space="preserve"> </w:t>
      </w:r>
    </w:p>
    <w:p w14:paraId="787195F4" w14:textId="2DB9B1A3"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3892AE66" w14:textId="77777777" w:rsidR="00212F9D" w:rsidRPr="00212F9D" w:rsidRDefault="00212F9D" w:rsidP="00342692">
      <w:pPr>
        <w:spacing w:line="360" w:lineRule="auto"/>
        <w:rPr>
          <w:rFonts w:ascii="Arial" w:hAnsi="Arial" w:cs="Arial"/>
          <w:sz w:val="22"/>
          <w:lang w:val="en-US"/>
        </w:rPr>
      </w:pPr>
    </w:p>
    <w:p w14:paraId="72E1EC7D"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Chacko, E. and Signore, C. (2020) ‘Five evidence-based lifestyle habits people with diabetes can use’, </w:t>
      </w:r>
      <w:r w:rsidRPr="00212F9D">
        <w:rPr>
          <w:rFonts w:ascii="Arial" w:hAnsi="Arial" w:cs="Arial"/>
          <w:i/>
          <w:iCs/>
          <w:sz w:val="22"/>
          <w:lang w:val="en-US"/>
        </w:rPr>
        <w:t>Clinical Diabetes</w:t>
      </w:r>
      <w:r w:rsidRPr="00212F9D">
        <w:rPr>
          <w:rFonts w:ascii="Arial" w:hAnsi="Arial" w:cs="Arial"/>
          <w:sz w:val="22"/>
          <w:lang w:val="en-US"/>
        </w:rPr>
        <w:t xml:space="preserve">, 38(3), pp. 273–284. Available at: </w:t>
      </w:r>
      <w:hyperlink r:id="rId10" w:history="1">
        <w:r w:rsidR="00342692" w:rsidRPr="00212F9D">
          <w:rPr>
            <w:rStyle w:val="Hyperlink"/>
            <w:rFonts w:ascii="Arial" w:hAnsi="Arial" w:cs="Arial"/>
            <w:sz w:val="22"/>
            <w:lang w:val="en-US"/>
          </w:rPr>
          <w:t>https://www.ncbi.nlm.nih.gov/pmc/articles/PMC7364446/</w:t>
        </w:r>
      </w:hyperlink>
      <w:r w:rsidR="00342692">
        <w:rPr>
          <w:rFonts w:ascii="Arial" w:hAnsi="Arial" w:cs="Arial"/>
          <w:sz w:val="22"/>
          <w:lang w:val="en-US"/>
        </w:rPr>
        <w:t xml:space="preserve"> </w:t>
      </w:r>
    </w:p>
    <w:p w14:paraId="25D2805F" w14:textId="272299D4" w:rsidR="00212F9D" w:rsidRDefault="00212F9D" w:rsidP="00342692">
      <w:pPr>
        <w:spacing w:line="360" w:lineRule="auto"/>
        <w:rPr>
          <w:rFonts w:ascii="Arial" w:hAnsi="Arial" w:cs="Arial"/>
          <w:sz w:val="22"/>
          <w:lang w:val="en-US"/>
        </w:rPr>
      </w:pPr>
      <w:r w:rsidRPr="00212F9D">
        <w:rPr>
          <w:rFonts w:ascii="Arial" w:hAnsi="Arial" w:cs="Arial"/>
          <w:sz w:val="22"/>
          <w:lang w:val="en-US"/>
        </w:rPr>
        <w:t xml:space="preserve"> (Accessed: March 2026).</w:t>
      </w:r>
    </w:p>
    <w:p w14:paraId="007E4937" w14:textId="77777777" w:rsidR="00342692" w:rsidRPr="00212F9D" w:rsidRDefault="00342692" w:rsidP="00342692">
      <w:pPr>
        <w:spacing w:line="360" w:lineRule="auto"/>
        <w:rPr>
          <w:rFonts w:ascii="Arial" w:hAnsi="Arial" w:cs="Arial"/>
          <w:sz w:val="22"/>
          <w:lang w:val="en-US"/>
        </w:rPr>
      </w:pPr>
    </w:p>
    <w:p w14:paraId="0718D7A1"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Cleveland Clinic (n.d.) </w:t>
      </w:r>
      <w:r w:rsidRPr="00212F9D">
        <w:rPr>
          <w:rFonts w:ascii="Arial" w:hAnsi="Arial" w:cs="Arial"/>
          <w:i/>
          <w:iCs/>
          <w:sz w:val="22"/>
          <w:lang w:val="en-US"/>
        </w:rPr>
        <w:t>Blood Sugar Monitoring</w:t>
      </w:r>
      <w:r w:rsidRPr="00212F9D">
        <w:rPr>
          <w:rFonts w:ascii="Arial" w:hAnsi="Arial" w:cs="Arial"/>
          <w:sz w:val="22"/>
          <w:lang w:val="en-US"/>
        </w:rPr>
        <w:t xml:space="preserve">. Available at: </w:t>
      </w:r>
      <w:hyperlink r:id="rId11" w:history="1">
        <w:r w:rsidR="00342692" w:rsidRPr="00212F9D">
          <w:rPr>
            <w:rStyle w:val="Hyperlink"/>
            <w:rFonts w:ascii="Arial" w:hAnsi="Arial" w:cs="Arial"/>
            <w:sz w:val="22"/>
            <w:lang w:val="en-US"/>
          </w:rPr>
          <w:t>https://my.clevelandclinic.org/health/articles/21592-blood-sugar-monitoring</w:t>
        </w:r>
      </w:hyperlink>
      <w:r w:rsidR="00342692">
        <w:rPr>
          <w:rFonts w:ascii="Arial" w:hAnsi="Arial" w:cs="Arial"/>
          <w:sz w:val="22"/>
          <w:lang w:val="en-US"/>
        </w:rPr>
        <w:t xml:space="preserve"> </w:t>
      </w:r>
      <w:r w:rsidRPr="00212F9D">
        <w:rPr>
          <w:rFonts w:ascii="Arial" w:hAnsi="Arial" w:cs="Arial"/>
          <w:sz w:val="22"/>
          <w:lang w:val="en-US"/>
        </w:rPr>
        <w:t xml:space="preserve"> (</w:t>
      </w:r>
    </w:p>
    <w:p w14:paraId="17937563" w14:textId="1CC638AF"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0F0B0546" w14:textId="77777777" w:rsidR="00212F9D" w:rsidRPr="00212F9D" w:rsidRDefault="00212F9D" w:rsidP="00342692">
      <w:pPr>
        <w:spacing w:line="360" w:lineRule="auto"/>
        <w:rPr>
          <w:rFonts w:ascii="Arial" w:hAnsi="Arial" w:cs="Arial"/>
          <w:sz w:val="22"/>
          <w:lang w:val="en-US"/>
        </w:rPr>
      </w:pPr>
    </w:p>
    <w:p w14:paraId="46B8F726"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Department of Health &amp; Social Care (DHSC) (2022) </w:t>
      </w:r>
      <w:r w:rsidRPr="00212F9D">
        <w:rPr>
          <w:rFonts w:ascii="Arial" w:hAnsi="Arial" w:cs="Arial"/>
          <w:i/>
          <w:iCs/>
          <w:sz w:val="22"/>
          <w:lang w:val="en-US"/>
        </w:rPr>
        <w:t>A Plan for Digital Health and Social Care</w:t>
      </w:r>
      <w:r w:rsidRPr="00212F9D">
        <w:rPr>
          <w:rFonts w:ascii="Arial" w:hAnsi="Arial" w:cs="Arial"/>
          <w:sz w:val="22"/>
          <w:lang w:val="en-US"/>
        </w:rPr>
        <w:t xml:space="preserve">. Available at: </w:t>
      </w:r>
      <w:hyperlink r:id="rId12" w:history="1">
        <w:r w:rsidR="00342692" w:rsidRPr="00212F9D">
          <w:rPr>
            <w:rStyle w:val="Hyperlink"/>
            <w:rFonts w:ascii="Arial" w:hAnsi="Arial" w:cs="Arial"/>
            <w:sz w:val="22"/>
            <w:lang w:val="en-US"/>
          </w:rPr>
          <w:t>https://www.gov.uk/government/publications/plan-for-digital-health-and-social-care</w:t>
        </w:r>
      </w:hyperlink>
      <w:r w:rsidR="00342692">
        <w:rPr>
          <w:rFonts w:ascii="Arial" w:hAnsi="Arial" w:cs="Arial"/>
          <w:sz w:val="22"/>
          <w:lang w:val="en-US"/>
        </w:rPr>
        <w:t xml:space="preserve"> </w:t>
      </w:r>
    </w:p>
    <w:p w14:paraId="34D60BA6" w14:textId="6FF410C1"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1289A225" w14:textId="77777777" w:rsidR="00212F9D" w:rsidRPr="00212F9D" w:rsidRDefault="00212F9D" w:rsidP="00342692">
      <w:pPr>
        <w:spacing w:line="360" w:lineRule="auto"/>
        <w:rPr>
          <w:rFonts w:ascii="Arial" w:hAnsi="Arial" w:cs="Arial"/>
          <w:sz w:val="22"/>
          <w:lang w:val="en-US"/>
        </w:rPr>
      </w:pPr>
    </w:p>
    <w:p w14:paraId="5C951816"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lastRenderedPageBreak/>
        <w:t xml:space="preserve">MedlinePlus (2022) </w:t>
      </w:r>
      <w:r w:rsidRPr="00212F9D">
        <w:rPr>
          <w:rFonts w:ascii="Arial" w:hAnsi="Arial" w:cs="Arial"/>
          <w:i/>
          <w:iCs/>
          <w:sz w:val="22"/>
          <w:lang w:val="en-US"/>
        </w:rPr>
        <w:t>Blood Glucose</w:t>
      </w:r>
      <w:r w:rsidRPr="00212F9D">
        <w:rPr>
          <w:rFonts w:ascii="Arial" w:hAnsi="Arial" w:cs="Arial"/>
          <w:sz w:val="22"/>
          <w:lang w:val="en-US"/>
        </w:rPr>
        <w:t xml:space="preserve">. Available at: </w:t>
      </w:r>
      <w:hyperlink r:id="rId13" w:history="1">
        <w:r w:rsidR="00342692" w:rsidRPr="00212F9D">
          <w:rPr>
            <w:rStyle w:val="Hyperlink"/>
            <w:rFonts w:ascii="Arial" w:hAnsi="Arial" w:cs="Arial"/>
            <w:sz w:val="22"/>
            <w:lang w:val="en-US"/>
          </w:rPr>
          <w:t>https://medlineplus.gov/bloodglucose.html</w:t>
        </w:r>
      </w:hyperlink>
      <w:r w:rsidR="00342692">
        <w:rPr>
          <w:rFonts w:ascii="Arial" w:hAnsi="Arial" w:cs="Arial"/>
          <w:sz w:val="22"/>
          <w:lang w:val="en-US"/>
        </w:rPr>
        <w:t xml:space="preserve"> </w:t>
      </w:r>
    </w:p>
    <w:p w14:paraId="451E19D1" w14:textId="514180AE"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2ED13F7E" w14:textId="77777777" w:rsidR="00212F9D" w:rsidRPr="00212F9D" w:rsidRDefault="00212F9D" w:rsidP="00342692">
      <w:pPr>
        <w:spacing w:line="360" w:lineRule="auto"/>
        <w:rPr>
          <w:rFonts w:ascii="Arial" w:hAnsi="Arial" w:cs="Arial"/>
          <w:sz w:val="22"/>
          <w:lang w:val="en-US"/>
        </w:rPr>
      </w:pPr>
    </w:p>
    <w:p w14:paraId="33C613AE"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Mayo Clinic (2024) </w:t>
      </w:r>
      <w:r w:rsidRPr="00212F9D">
        <w:rPr>
          <w:rFonts w:ascii="Arial" w:hAnsi="Arial" w:cs="Arial"/>
          <w:i/>
          <w:iCs/>
          <w:sz w:val="22"/>
          <w:lang w:val="en-US"/>
        </w:rPr>
        <w:t>Blood Sugar Testing: When to Check and Why</w:t>
      </w:r>
      <w:r w:rsidRPr="00212F9D">
        <w:rPr>
          <w:rFonts w:ascii="Arial" w:hAnsi="Arial" w:cs="Arial"/>
          <w:sz w:val="22"/>
          <w:lang w:val="en-US"/>
        </w:rPr>
        <w:t xml:space="preserve">. Available at: </w:t>
      </w:r>
      <w:hyperlink r:id="rId14" w:history="1">
        <w:r w:rsidR="00342692" w:rsidRPr="00212F9D">
          <w:rPr>
            <w:rStyle w:val="Hyperlink"/>
            <w:rFonts w:ascii="Arial" w:hAnsi="Arial" w:cs="Arial"/>
            <w:sz w:val="22"/>
            <w:lang w:val="en-US"/>
          </w:rPr>
          <w:t>https://www.mayoclinic.org/tests-procedures/blood-sugar-test/about/pac-20384797</w:t>
        </w:r>
      </w:hyperlink>
      <w:r w:rsidR="00342692">
        <w:rPr>
          <w:rFonts w:ascii="Arial" w:hAnsi="Arial" w:cs="Arial"/>
          <w:sz w:val="22"/>
          <w:lang w:val="en-US"/>
        </w:rPr>
        <w:t xml:space="preserve"> </w:t>
      </w:r>
    </w:p>
    <w:p w14:paraId="2C7D9313" w14:textId="58F2815B"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6880129F" w14:textId="77777777" w:rsidR="00212F9D" w:rsidRPr="00212F9D" w:rsidRDefault="00212F9D" w:rsidP="00342692">
      <w:pPr>
        <w:spacing w:line="360" w:lineRule="auto"/>
        <w:rPr>
          <w:rFonts w:ascii="Arial" w:hAnsi="Arial" w:cs="Arial"/>
          <w:sz w:val="22"/>
          <w:lang w:val="en-US"/>
        </w:rPr>
      </w:pPr>
    </w:p>
    <w:p w14:paraId="1E3A343F"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Medical News Today (2023) </w:t>
      </w:r>
      <w:r w:rsidRPr="00212F9D">
        <w:rPr>
          <w:rFonts w:ascii="Arial" w:hAnsi="Arial" w:cs="Arial"/>
          <w:i/>
          <w:iCs/>
          <w:sz w:val="22"/>
          <w:lang w:val="en-US"/>
        </w:rPr>
        <w:t>Insulin and Glucagon: How They Regulate Blood Sugar Levels</w:t>
      </w:r>
      <w:r w:rsidRPr="00212F9D">
        <w:rPr>
          <w:rFonts w:ascii="Arial" w:hAnsi="Arial" w:cs="Arial"/>
          <w:sz w:val="22"/>
          <w:lang w:val="en-US"/>
        </w:rPr>
        <w:t xml:space="preserve">. Available at: </w:t>
      </w:r>
      <w:hyperlink r:id="rId15" w:history="1">
        <w:r w:rsidR="00342692" w:rsidRPr="00212F9D">
          <w:rPr>
            <w:rStyle w:val="Hyperlink"/>
            <w:rFonts w:ascii="Arial" w:hAnsi="Arial" w:cs="Arial"/>
            <w:sz w:val="22"/>
            <w:lang w:val="en-US"/>
          </w:rPr>
          <w:t>https://www.medicalnewstoday.com/articles/insulin-and-glucagon</w:t>
        </w:r>
      </w:hyperlink>
      <w:r w:rsidR="00342692">
        <w:rPr>
          <w:rFonts w:ascii="Arial" w:hAnsi="Arial" w:cs="Arial"/>
          <w:sz w:val="22"/>
          <w:lang w:val="en-US"/>
        </w:rPr>
        <w:t xml:space="preserve"> </w:t>
      </w:r>
      <w:r w:rsidRPr="00212F9D">
        <w:rPr>
          <w:rFonts w:ascii="Arial" w:hAnsi="Arial" w:cs="Arial"/>
          <w:sz w:val="22"/>
          <w:lang w:val="en-US"/>
        </w:rPr>
        <w:t xml:space="preserve"> </w:t>
      </w:r>
    </w:p>
    <w:p w14:paraId="14574BFC" w14:textId="75B812EA"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740ABD70" w14:textId="77777777" w:rsidR="00212F9D" w:rsidRPr="00212F9D" w:rsidRDefault="00212F9D" w:rsidP="00342692">
      <w:pPr>
        <w:spacing w:line="360" w:lineRule="auto"/>
        <w:rPr>
          <w:rFonts w:ascii="Arial" w:hAnsi="Arial" w:cs="Arial"/>
          <w:sz w:val="22"/>
          <w:lang w:val="en-US"/>
        </w:rPr>
      </w:pPr>
    </w:p>
    <w:p w14:paraId="05482A7D" w14:textId="1831CD4C"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National Health Service (NHS) (2023) </w:t>
      </w:r>
      <w:r w:rsidRPr="00212F9D">
        <w:rPr>
          <w:rFonts w:ascii="Arial" w:hAnsi="Arial" w:cs="Arial"/>
          <w:i/>
          <w:iCs/>
          <w:sz w:val="22"/>
          <w:lang w:val="en-US"/>
        </w:rPr>
        <w:t>Diabetes</w:t>
      </w:r>
      <w:r w:rsidRPr="00212F9D">
        <w:rPr>
          <w:rFonts w:ascii="Arial" w:hAnsi="Arial" w:cs="Arial"/>
          <w:sz w:val="22"/>
          <w:lang w:val="en-US"/>
        </w:rPr>
        <w:t xml:space="preserve">. Available at: </w:t>
      </w:r>
      <w:hyperlink r:id="rId16" w:history="1">
        <w:r w:rsidR="00342692" w:rsidRPr="00212F9D">
          <w:rPr>
            <w:rStyle w:val="Hyperlink"/>
            <w:rFonts w:ascii="Arial" w:hAnsi="Arial" w:cs="Arial"/>
            <w:sz w:val="22"/>
            <w:lang w:val="en-US"/>
          </w:rPr>
          <w:t>https://www.nhs.uk/conditions/diabetes/</w:t>
        </w:r>
      </w:hyperlink>
      <w:r w:rsidR="00342692">
        <w:rPr>
          <w:rFonts w:ascii="Arial" w:hAnsi="Arial" w:cs="Arial"/>
          <w:sz w:val="22"/>
          <w:lang w:val="en-US"/>
        </w:rPr>
        <w:t xml:space="preserve"> </w:t>
      </w:r>
      <w:r w:rsidRPr="00212F9D">
        <w:rPr>
          <w:rFonts w:ascii="Arial" w:hAnsi="Arial" w:cs="Arial"/>
          <w:sz w:val="22"/>
          <w:lang w:val="en-US"/>
        </w:rPr>
        <w:t xml:space="preserve"> </w:t>
      </w:r>
      <w:r w:rsidR="00342692">
        <w:rPr>
          <w:rFonts w:ascii="Arial" w:hAnsi="Arial" w:cs="Arial"/>
          <w:sz w:val="22"/>
          <w:lang w:val="en-US"/>
        </w:rPr>
        <w:t xml:space="preserve"> </w:t>
      </w:r>
    </w:p>
    <w:p w14:paraId="5B12690C" w14:textId="62D720FA"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6C54D8D5" w14:textId="77777777" w:rsidR="00212F9D" w:rsidRPr="00212F9D" w:rsidRDefault="00212F9D" w:rsidP="00342692">
      <w:pPr>
        <w:spacing w:line="360" w:lineRule="auto"/>
        <w:rPr>
          <w:rFonts w:ascii="Arial" w:hAnsi="Arial" w:cs="Arial"/>
          <w:sz w:val="22"/>
          <w:lang w:val="en-US"/>
        </w:rPr>
      </w:pPr>
    </w:p>
    <w:p w14:paraId="314FB90C"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Osmosis (2018) </w:t>
      </w:r>
      <w:r w:rsidRPr="00212F9D">
        <w:rPr>
          <w:rFonts w:ascii="Arial" w:hAnsi="Arial" w:cs="Arial"/>
          <w:i/>
          <w:iCs/>
          <w:sz w:val="22"/>
          <w:lang w:val="en-US"/>
        </w:rPr>
        <w:t>Cellular Respiration and the Electron Transport Chain</w:t>
      </w:r>
      <w:r w:rsidRPr="00212F9D">
        <w:rPr>
          <w:rFonts w:ascii="Arial" w:hAnsi="Arial" w:cs="Arial"/>
          <w:sz w:val="22"/>
          <w:lang w:val="en-US"/>
        </w:rPr>
        <w:t xml:space="preserve">. Available at: </w:t>
      </w:r>
      <w:hyperlink r:id="rId17" w:history="1">
        <w:r w:rsidR="00342692" w:rsidRPr="00212F9D">
          <w:rPr>
            <w:rStyle w:val="Hyperlink"/>
            <w:rFonts w:ascii="Arial" w:hAnsi="Arial" w:cs="Arial"/>
            <w:sz w:val="22"/>
            <w:lang w:val="en-US"/>
          </w:rPr>
          <w:t>https://www.osmosis.org/learn/Cellular_respiration_and_the_electron_transport_chain</w:t>
        </w:r>
      </w:hyperlink>
      <w:r w:rsidR="00342692">
        <w:rPr>
          <w:rFonts w:ascii="Arial" w:hAnsi="Arial" w:cs="Arial"/>
          <w:sz w:val="22"/>
          <w:lang w:val="en-US"/>
        </w:rPr>
        <w:t xml:space="preserve"> </w:t>
      </w:r>
    </w:p>
    <w:p w14:paraId="0E0F5DAA" w14:textId="51B06765"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 xml:space="preserve"> (Accessed: March 2026).</w:t>
      </w:r>
    </w:p>
    <w:p w14:paraId="7E890704" w14:textId="77777777" w:rsidR="00212F9D" w:rsidRPr="00212F9D" w:rsidRDefault="00212F9D" w:rsidP="00342692">
      <w:pPr>
        <w:spacing w:line="360" w:lineRule="auto"/>
        <w:rPr>
          <w:rFonts w:ascii="Arial" w:hAnsi="Arial" w:cs="Arial"/>
          <w:sz w:val="22"/>
          <w:lang w:val="en-US"/>
        </w:rPr>
      </w:pPr>
    </w:p>
    <w:p w14:paraId="69DF107F" w14:textId="77777777" w:rsidR="00212F9D" w:rsidRPr="00212F9D" w:rsidRDefault="00212F9D" w:rsidP="00342692">
      <w:pPr>
        <w:spacing w:line="360" w:lineRule="auto"/>
        <w:rPr>
          <w:rFonts w:ascii="Arial" w:hAnsi="Arial" w:cs="Arial"/>
          <w:sz w:val="22"/>
          <w:lang w:val="en-US"/>
        </w:rPr>
      </w:pPr>
      <w:proofErr w:type="spellStart"/>
      <w:r w:rsidRPr="00212F9D">
        <w:rPr>
          <w:rFonts w:ascii="Arial" w:hAnsi="Arial" w:cs="Arial"/>
          <w:sz w:val="22"/>
          <w:lang w:val="en-US"/>
        </w:rPr>
        <w:t>StatPearls</w:t>
      </w:r>
      <w:proofErr w:type="spellEnd"/>
      <w:r w:rsidRPr="00212F9D">
        <w:rPr>
          <w:rFonts w:ascii="Arial" w:hAnsi="Arial" w:cs="Arial"/>
          <w:sz w:val="22"/>
          <w:lang w:val="en-US"/>
        </w:rPr>
        <w:t xml:space="preserve"> (2023) </w:t>
      </w:r>
      <w:r w:rsidRPr="00212F9D">
        <w:rPr>
          <w:rFonts w:ascii="Arial" w:hAnsi="Arial" w:cs="Arial"/>
          <w:i/>
          <w:iCs/>
          <w:sz w:val="22"/>
          <w:lang w:val="en-US"/>
        </w:rPr>
        <w:t>Blood Glucose Monitoring</w:t>
      </w:r>
      <w:r w:rsidRPr="00212F9D">
        <w:rPr>
          <w:rFonts w:ascii="Arial" w:hAnsi="Arial" w:cs="Arial"/>
          <w:sz w:val="22"/>
          <w:lang w:val="en-US"/>
        </w:rPr>
        <w:t>. Available at: https://www.ncbi.nlm.nih.gov/books/NBK538251/ (Accessed: 15 March 2026).</w:t>
      </w:r>
    </w:p>
    <w:p w14:paraId="2D88D57E" w14:textId="77777777" w:rsidR="00212F9D" w:rsidRPr="00212F9D" w:rsidRDefault="00212F9D" w:rsidP="00342692">
      <w:pPr>
        <w:spacing w:line="360" w:lineRule="auto"/>
        <w:rPr>
          <w:rFonts w:ascii="Arial" w:hAnsi="Arial" w:cs="Arial"/>
          <w:sz w:val="22"/>
          <w:lang w:val="en-US"/>
        </w:rPr>
      </w:pPr>
    </w:p>
    <w:p w14:paraId="7F3C9907" w14:textId="77777777" w:rsidR="00342692" w:rsidRDefault="00212F9D" w:rsidP="00342692">
      <w:pPr>
        <w:spacing w:line="360" w:lineRule="auto"/>
        <w:rPr>
          <w:rFonts w:ascii="Arial" w:hAnsi="Arial" w:cs="Arial"/>
          <w:sz w:val="22"/>
          <w:lang w:val="en-US"/>
        </w:rPr>
      </w:pPr>
      <w:r w:rsidRPr="00212F9D">
        <w:rPr>
          <w:rFonts w:ascii="Arial" w:hAnsi="Arial" w:cs="Arial"/>
          <w:sz w:val="22"/>
          <w:lang w:val="en-US"/>
        </w:rPr>
        <w:t xml:space="preserve">Thomson, S. and Chatterjee, S. (2024) ‘Integrated care systems: a rapid evidence review’, </w:t>
      </w:r>
      <w:r w:rsidRPr="00212F9D">
        <w:rPr>
          <w:rFonts w:ascii="Arial" w:hAnsi="Arial" w:cs="Arial"/>
          <w:i/>
          <w:iCs/>
          <w:sz w:val="22"/>
          <w:lang w:val="en-US"/>
        </w:rPr>
        <w:t>Frontiers in Public Health</w:t>
      </w:r>
      <w:r w:rsidRPr="00212F9D">
        <w:rPr>
          <w:rFonts w:ascii="Arial" w:hAnsi="Arial" w:cs="Arial"/>
          <w:sz w:val="22"/>
          <w:lang w:val="en-US"/>
        </w:rPr>
        <w:t xml:space="preserve">, 11, 1300013. Available at: </w:t>
      </w:r>
      <w:hyperlink r:id="rId18" w:history="1">
        <w:r w:rsidR="00342692" w:rsidRPr="00212F9D">
          <w:rPr>
            <w:rStyle w:val="Hyperlink"/>
            <w:rFonts w:ascii="Arial" w:hAnsi="Arial" w:cs="Arial"/>
            <w:sz w:val="22"/>
            <w:lang w:val="en-US"/>
          </w:rPr>
          <w:t>https://www.frontiersin.org/articles/10.3389/fpubh.2024.1300013/full</w:t>
        </w:r>
      </w:hyperlink>
      <w:r w:rsidR="00342692">
        <w:rPr>
          <w:rFonts w:ascii="Arial" w:hAnsi="Arial" w:cs="Arial"/>
          <w:sz w:val="22"/>
          <w:lang w:val="en-US"/>
        </w:rPr>
        <w:t xml:space="preserve"> </w:t>
      </w:r>
      <w:r w:rsidRPr="00212F9D">
        <w:rPr>
          <w:rFonts w:ascii="Arial" w:hAnsi="Arial" w:cs="Arial"/>
          <w:sz w:val="22"/>
          <w:lang w:val="en-US"/>
        </w:rPr>
        <w:t xml:space="preserve"> </w:t>
      </w:r>
      <w:r w:rsidR="00342692">
        <w:rPr>
          <w:rFonts w:ascii="Arial" w:hAnsi="Arial" w:cs="Arial"/>
          <w:sz w:val="22"/>
          <w:lang w:val="en-US"/>
        </w:rPr>
        <w:t xml:space="preserve">  </w:t>
      </w:r>
    </w:p>
    <w:p w14:paraId="75731830" w14:textId="17E4DE75"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5B73EC56" w14:textId="77777777" w:rsidR="00212F9D" w:rsidRPr="00212F9D" w:rsidRDefault="00212F9D" w:rsidP="00342692">
      <w:pPr>
        <w:spacing w:line="360" w:lineRule="auto"/>
        <w:rPr>
          <w:rFonts w:ascii="Arial" w:hAnsi="Arial" w:cs="Arial"/>
          <w:sz w:val="22"/>
          <w:lang w:val="en-US"/>
        </w:rPr>
      </w:pPr>
    </w:p>
    <w:p w14:paraId="56E22BAB" w14:textId="4D0C10D7" w:rsidR="00342692" w:rsidRDefault="00212F9D" w:rsidP="00342692">
      <w:pPr>
        <w:spacing w:line="360" w:lineRule="auto"/>
        <w:rPr>
          <w:rFonts w:ascii="Arial" w:hAnsi="Arial" w:cs="Arial"/>
          <w:sz w:val="22"/>
          <w:lang w:val="en-US"/>
        </w:rPr>
      </w:pPr>
      <w:r w:rsidRPr="00212F9D">
        <w:rPr>
          <w:rFonts w:ascii="Arial" w:hAnsi="Arial" w:cs="Arial"/>
          <w:sz w:val="22"/>
          <w:lang w:val="en-US"/>
        </w:rPr>
        <w:lastRenderedPageBreak/>
        <w:t xml:space="preserve">U.S. Food and Drug Administration (FDA) (2022) </w:t>
      </w:r>
      <w:r w:rsidRPr="00212F9D">
        <w:rPr>
          <w:rFonts w:ascii="Arial" w:hAnsi="Arial" w:cs="Arial"/>
          <w:i/>
          <w:iCs/>
          <w:sz w:val="22"/>
          <w:lang w:val="en-US"/>
        </w:rPr>
        <w:t>How Smoking Can Increase Risk for and Affect Diabetes</w:t>
      </w:r>
      <w:r w:rsidRPr="00212F9D">
        <w:rPr>
          <w:rFonts w:ascii="Arial" w:hAnsi="Arial" w:cs="Arial"/>
          <w:sz w:val="22"/>
          <w:lang w:val="en-US"/>
        </w:rPr>
        <w:t xml:space="preserve">. Available at: </w:t>
      </w:r>
      <w:hyperlink r:id="rId19" w:history="1">
        <w:r w:rsidR="00342692" w:rsidRPr="00212F9D">
          <w:rPr>
            <w:rStyle w:val="Hyperlink"/>
            <w:rFonts w:ascii="Arial" w:hAnsi="Arial" w:cs="Arial"/>
            <w:sz w:val="22"/>
            <w:lang w:val="en-US"/>
          </w:rPr>
          <w:t>https://www.fda.gov/tobacco-products/health-effects-tobacco-use/how-smoking-can-increase-risk-and-affect-diabetes</w:t>
        </w:r>
      </w:hyperlink>
      <w:r w:rsidR="00342692">
        <w:rPr>
          <w:rFonts w:ascii="Arial" w:hAnsi="Arial" w:cs="Arial"/>
          <w:sz w:val="22"/>
          <w:lang w:val="en-US"/>
        </w:rPr>
        <w:t xml:space="preserve">  </w:t>
      </w:r>
    </w:p>
    <w:p w14:paraId="093E85AC" w14:textId="09D5BC72" w:rsidR="00212F9D" w:rsidRPr="00212F9D" w:rsidRDefault="00212F9D" w:rsidP="00342692">
      <w:pPr>
        <w:spacing w:line="360" w:lineRule="auto"/>
        <w:rPr>
          <w:rFonts w:ascii="Arial" w:hAnsi="Arial" w:cs="Arial"/>
          <w:sz w:val="22"/>
          <w:lang w:val="en-US"/>
        </w:rPr>
      </w:pPr>
      <w:r w:rsidRPr="00212F9D">
        <w:rPr>
          <w:rFonts w:ascii="Arial" w:hAnsi="Arial" w:cs="Arial"/>
          <w:sz w:val="22"/>
          <w:lang w:val="en-US"/>
        </w:rPr>
        <w:t>(Accessed: March 2026).</w:t>
      </w:r>
    </w:p>
    <w:p w14:paraId="3D0F322E" w14:textId="77777777" w:rsidR="00E305F0" w:rsidRPr="00C03A91" w:rsidRDefault="00E305F0" w:rsidP="00342692">
      <w:pPr>
        <w:spacing w:line="360" w:lineRule="auto"/>
        <w:rPr>
          <w:rFonts w:ascii="Arial" w:hAnsi="Arial" w:cs="Arial"/>
        </w:rPr>
      </w:pPr>
    </w:p>
    <w:sectPr w:rsidR="00E305F0" w:rsidRPr="00C03A91" w:rsidSect="0037028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77341" w14:textId="77777777" w:rsidR="00DA2A1E" w:rsidRDefault="00DA2A1E" w:rsidP="00C03A91">
      <w:pPr>
        <w:spacing w:after="0" w:line="240" w:lineRule="auto"/>
      </w:pPr>
      <w:r>
        <w:separator/>
      </w:r>
    </w:p>
  </w:endnote>
  <w:endnote w:type="continuationSeparator" w:id="0">
    <w:p w14:paraId="6EB3ACA3" w14:textId="77777777" w:rsidR="00DA2A1E" w:rsidRDefault="00DA2A1E"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FF4E9" w14:textId="77777777" w:rsidR="00DA2A1E" w:rsidRDefault="00DA2A1E" w:rsidP="00C03A91">
      <w:pPr>
        <w:spacing w:after="0" w:line="240" w:lineRule="auto"/>
      </w:pPr>
      <w:r>
        <w:separator/>
      </w:r>
    </w:p>
  </w:footnote>
  <w:footnote w:type="continuationSeparator" w:id="0">
    <w:p w14:paraId="7D32DAFD" w14:textId="77777777" w:rsidR="00DA2A1E" w:rsidRDefault="00DA2A1E"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2F9D"/>
    <w:rsid w:val="00216C85"/>
    <w:rsid w:val="00273EDD"/>
    <w:rsid w:val="002C3965"/>
    <w:rsid w:val="002D5EDB"/>
    <w:rsid w:val="00321C4C"/>
    <w:rsid w:val="00342692"/>
    <w:rsid w:val="00370282"/>
    <w:rsid w:val="003E3EED"/>
    <w:rsid w:val="004577F7"/>
    <w:rsid w:val="005247B0"/>
    <w:rsid w:val="005851AD"/>
    <w:rsid w:val="007A7297"/>
    <w:rsid w:val="007E7745"/>
    <w:rsid w:val="008353D4"/>
    <w:rsid w:val="009D1D1E"/>
    <w:rsid w:val="00A035FD"/>
    <w:rsid w:val="00A37761"/>
    <w:rsid w:val="00AA4DD8"/>
    <w:rsid w:val="00C03A91"/>
    <w:rsid w:val="00CD2863"/>
    <w:rsid w:val="00CE7A90"/>
    <w:rsid w:val="00D11D8D"/>
    <w:rsid w:val="00D65EA3"/>
    <w:rsid w:val="00D73FB0"/>
    <w:rsid w:val="00DA2A1E"/>
    <w:rsid w:val="00DB6D4B"/>
    <w:rsid w:val="00E2038D"/>
    <w:rsid w:val="00E305F0"/>
    <w:rsid w:val="00EB12BC"/>
    <w:rsid w:val="00F137E3"/>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11D8D"/>
    <w:pPr>
      <w:keepNext/>
      <w:keepLines/>
      <w:spacing w:before="240" w:after="0" w:line="360" w:lineRule="auto"/>
      <w:jc w:val="both"/>
      <w:outlineLvl w:val="0"/>
    </w:pPr>
    <w:rPr>
      <w:rFonts w:ascii="Arial" w:eastAsiaTheme="majorEastAsia" w:hAnsi="Arial" w:cs="Arial"/>
      <w:b/>
      <w:bCs/>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D11D8D"/>
    <w:pPr>
      <w:spacing w:before="100" w:beforeAutospacing="1" w:after="100" w:afterAutospacing="1" w:line="360" w:lineRule="auto"/>
      <w:jc w:val="both"/>
      <w:outlineLvl w:val="2"/>
    </w:pPr>
    <w:rPr>
      <w:rFonts w:ascii="Arial" w:eastAsia="Times New Roman" w:hAnsi="Arial" w:cs="Arial"/>
      <w:b/>
      <w:bCs/>
      <w:sz w:val="2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D8D"/>
    <w:rPr>
      <w:rFonts w:ascii="Arial" w:eastAsiaTheme="majorEastAsia" w:hAnsi="Arial" w:cs="Arial"/>
      <w:b/>
      <w:bCs/>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D11D8D"/>
    <w:rPr>
      <w:rFonts w:ascii="Arial" w:eastAsia="Times New Roman" w:hAnsi="Arial" w:cs="Arial"/>
      <w:b/>
      <w:bCs/>
      <w:sz w:val="22"/>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customStyle="1" w:styleId="p2">
    <w:name w:val="p2"/>
    <w:basedOn w:val="Normal"/>
    <w:rsid w:val="00E305F0"/>
    <w:pPr>
      <w:spacing w:before="100" w:beforeAutospacing="1" w:after="100" w:afterAutospacing="1" w:line="240" w:lineRule="auto"/>
    </w:pPr>
    <w:rPr>
      <w:rFonts w:eastAsia="Times New Roman" w:cs="Times New Roman"/>
      <w:szCs w:val="24"/>
      <w:lang w:val="en-US"/>
    </w:rPr>
  </w:style>
  <w:style w:type="paragraph" w:customStyle="1" w:styleId="p3">
    <w:name w:val="p3"/>
    <w:basedOn w:val="Normal"/>
    <w:rsid w:val="00E305F0"/>
    <w:pPr>
      <w:spacing w:before="100" w:beforeAutospacing="1" w:after="100" w:afterAutospacing="1" w:line="240" w:lineRule="auto"/>
    </w:pPr>
    <w:rPr>
      <w:rFonts w:eastAsia="Times New Roman" w:cs="Times New Roman"/>
      <w:szCs w:val="24"/>
      <w:lang w:val="en-US"/>
    </w:rPr>
  </w:style>
  <w:style w:type="character" w:customStyle="1" w:styleId="s3">
    <w:name w:val="s3"/>
    <w:basedOn w:val="DefaultParagraphFont"/>
    <w:rsid w:val="00E30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rainceu.com/content/4-regulation-blood-glucose" TargetMode="External"/><Relationship Id="rId13" Type="http://schemas.openxmlformats.org/officeDocument/2006/relationships/hyperlink" Target="https://medlineplus.gov/bloodglucose.html" TargetMode="External"/><Relationship Id="rId18" Type="http://schemas.openxmlformats.org/officeDocument/2006/relationships/hyperlink" Target="https://www.frontiersin.org/articles/10.3389/fpubh.2024.1300013/ful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heart.org/en/health-topics/diabetes/prevention&#8211;treatment-of-diabetes/living-healthy-with-diabetes" TargetMode="External"/><Relationship Id="rId12" Type="http://schemas.openxmlformats.org/officeDocument/2006/relationships/hyperlink" Target="https://www.gov.uk/government/publications/plan-for-digital-health-and-social-care" TargetMode="External"/><Relationship Id="rId17" Type="http://schemas.openxmlformats.org/officeDocument/2006/relationships/hyperlink" Target="https://www.osmosis.org/learn/Cellular_respiration_and_the_electron_transport_chain" TargetMode="External"/><Relationship Id="rId2" Type="http://schemas.openxmlformats.org/officeDocument/2006/relationships/styles" Target="styles.xml"/><Relationship Id="rId16" Type="http://schemas.openxmlformats.org/officeDocument/2006/relationships/hyperlink" Target="https://www.nhs.uk/conditions/diabet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clevelandclinic.org/health/articles/21592-blood-sugar-monitoring" TargetMode="External"/><Relationship Id="rId5" Type="http://schemas.openxmlformats.org/officeDocument/2006/relationships/footnotes" Target="footnotes.xml"/><Relationship Id="rId15" Type="http://schemas.openxmlformats.org/officeDocument/2006/relationships/hyperlink" Target="https://www.medicalnewstoday.com/articles/insulin-and-glucagon" TargetMode="External"/><Relationship Id="rId10" Type="http://schemas.openxmlformats.org/officeDocument/2006/relationships/hyperlink" Target="https://www.ncbi.nlm.nih.gov/pmc/articles/PMC7364446/" TargetMode="External"/><Relationship Id="rId19" Type="http://schemas.openxmlformats.org/officeDocument/2006/relationships/hyperlink" Target="https://www.fda.gov/tobacco-products/health-effects-tobacco-use/how-smoking-can-increase-risk-and-affect-diabetes" TargetMode="External"/><Relationship Id="rId4" Type="http://schemas.openxmlformats.org/officeDocument/2006/relationships/webSettings" Target="webSettings.xml"/><Relationship Id="rId9" Type="http://schemas.openxmlformats.org/officeDocument/2006/relationships/hyperlink" Target="https://www.cdc.gov/diabetes-prevention/lifestyle-change-program/index.html" TargetMode="External"/><Relationship Id="rId14" Type="http://schemas.openxmlformats.org/officeDocument/2006/relationships/hyperlink" Target="https://www.mayoclinic.org/tests-procedures/blood-sugar-test/about/pac-203847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Sobia Hussain (2409460)</cp:lastModifiedBy>
  <cp:revision>3</cp:revision>
  <dcterms:created xsi:type="dcterms:W3CDTF">2026-03-15T03:22:00Z</dcterms:created>
  <dcterms:modified xsi:type="dcterms:W3CDTF">2026-03-15T03:23:00Z</dcterms:modified>
</cp:coreProperties>
</file>