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rPr>
      </w:pPr>
      <w:r w:rsidDel="00000000" w:rsidR="00000000" w:rsidRPr="00000000">
        <w:rPr>
          <w:rFonts w:ascii="Arial" w:cs="Arial" w:eastAsia="Arial" w:hAnsi="Arial"/>
        </w:rPr>
        <w:drawing>
          <wp:inline distB="0" distT="0" distL="0" distR="0">
            <wp:extent cx="2176392" cy="871109"/>
            <wp:effectExtent b="0" l="0" r="0" t="0"/>
            <wp:docPr descr="A close up of a logo&#10;&#10;Description automatically generated" id="9" name="image2.jpg"/>
            <a:graphic>
              <a:graphicData uri="http://schemas.openxmlformats.org/drawingml/2006/picture">
                <pic:pic>
                  <pic:nvPicPr>
                    <pic:cNvPr descr="A close up of a logo&#10;&#10;Description automatically generated" id="0" name="image2.jpg"/>
                    <pic:cNvPicPr preferRelativeResize="0"/>
                  </pic:nvPicPr>
                  <pic:blipFill>
                    <a:blip r:embed="rId7"/>
                    <a:srcRect b="0" l="0" r="0" t="0"/>
                    <a:stretch>
                      <a:fillRect/>
                    </a:stretch>
                  </pic:blipFill>
                  <pic:spPr>
                    <a:xfrm>
                      <a:off x="0" y="0"/>
                      <a:ext cx="2176392" cy="87110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jc w:val="right"/>
        <w:rPr>
          <w:rFonts w:ascii="Arial" w:cs="Arial" w:eastAsia="Arial" w:hAnsi="Arial"/>
        </w:rPr>
      </w:pPr>
      <w:r w:rsidDel="00000000" w:rsidR="00000000" w:rsidRPr="00000000">
        <w:rPr>
          <w:rtl w:val="0"/>
        </w:rPr>
      </w:r>
    </w:p>
    <w:p w:rsidR="00000000" w:rsidDel="00000000" w:rsidP="00000000" w:rsidRDefault="00000000" w:rsidRPr="00000000" w14:paraId="00000004">
      <w:pPr>
        <w:jc w:val="center"/>
        <w:rPr>
          <w:rFonts w:ascii="Arial" w:cs="Arial" w:eastAsia="Arial" w:hAnsi="Arial"/>
        </w:rPr>
      </w:pPr>
      <w:r w:rsidDel="00000000" w:rsidR="00000000" w:rsidRPr="00000000">
        <w:rPr>
          <w:rFonts w:ascii="Arial" w:cs="Arial" w:eastAsia="Arial" w:hAnsi="Arial"/>
          <w:sz w:val="40"/>
          <w:szCs w:val="40"/>
          <w:rtl w:val="0"/>
        </w:rPr>
        <w:t xml:space="preserve">Strategic Management (LCMB7003)</w:t>
      </w:r>
      <w:r w:rsidDel="00000000" w:rsidR="00000000" w:rsidRPr="00000000">
        <w:rPr>
          <w:rtl w:val="0"/>
        </w:rPr>
      </w:r>
    </w:p>
    <w:p w:rsidR="00000000" w:rsidDel="00000000" w:rsidP="00000000" w:rsidRDefault="00000000" w:rsidRPr="00000000" w14:paraId="00000005">
      <w:pPr>
        <w:jc w:val="right"/>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rFonts w:ascii="Arial" w:cs="Arial" w:eastAsia="Arial" w:hAnsi="Arial"/>
          <w:sz w:val="40"/>
          <w:szCs w:val="40"/>
        </w:rPr>
      </w:pPr>
      <w:r w:rsidDel="00000000" w:rsidR="00000000" w:rsidRPr="00000000">
        <w:rPr>
          <w:rFonts w:ascii="Arial" w:cs="Arial" w:eastAsia="Arial" w:hAnsi="Arial"/>
          <w:sz w:val="40"/>
          <w:szCs w:val="40"/>
          <w:rtl w:val="0"/>
        </w:rPr>
        <w:t xml:space="preserve">Strategic Analysis of American Express</w:t>
      </w:r>
      <w:r w:rsidDel="00000000" w:rsidR="00000000" w:rsidRPr="00000000">
        <w:rPr>
          <w:rFonts w:ascii="Arial" w:cs="Arial" w:eastAsia="Arial" w:hAnsi="Arial"/>
          <w:color w:val="ff0000"/>
          <w:sz w:val="40"/>
          <w:szCs w:val="40"/>
          <w:rtl w:val="0"/>
        </w:rPr>
        <w:t xml:space="preserve"> </w:t>
      </w:r>
      <w:r w:rsidDel="00000000" w:rsidR="00000000" w:rsidRPr="00000000">
        <w:rPr>
          <w:rtl w:val="0"/>
        </w:rPr>
      </w:r>
    </w:p>
    <w:p w:rsidR="00000000" w:rsidDel="00000000" w:rsidP="00000000" w:rsidRDefault="00000000" w:rsidRPr="00000000" w14:paraId="00000007">
      <w:pPr>
        <w:jc w:val="center"/>
        <w:rPr>
          <w:rFonts w:ascii="Arial" w:cs="Arial" w:eastAsia="Arial" w:hAnsi="Arial"/>
        </w:rPr>
      </w:pPr>
      <w:r w:rsidDel="00000000" w:rsidR="00000000" w:rsidRPr="00000000">
        <w:rPr>
          <w:rFonts w:ascii="Arial" w:cs="Arial" w:eastAsia="Arial" w:hAnsi="Arial"/>
        </w:rPr>
        <w:drawing>
          <wp:inline distB="0" distT="0" distL="0" distR="0">
            <wp:extent cx="3890149" cy="2188155"/>
            <wp:effectExtent b="0" l="0" r="0" t="0"/>
            <wp:docPr descr="American Express Logo and symbol, meaning, history, PNG, brand" id="11" name="image8.png"/>
            <a:graphic>
              <a:graphicData uri="http://schemas.openxmlformats.org/drawingml/2006/picture">
                <pic:pic>
                  <pic:nvPicPr>
                    <pic:cNvPr descr="American Express Logo and symbol, meaning, history, PNG, brand" id="0" name="image8.png"/>
                    <pic:cNvPicPr preferRelativeResize="0"/>
                  </pic:nvPicPr>
                  <pic:blipFill>
                    <a:blip r:embed="rId8"/>
                    <a:srcRect b="0" l="0" r="0" t="0"/>
                    <a:stretch>
                      <a:fillRect/>
                    </a:stretch>
                  </pic:blipFill>
                  <pic:spPr>
                    <a:xfrm>
                      <a:off x="0" y="0"/>
                      <a:ext cx="3890149" cy="2188155"/>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jc w:val="center"/>
        <w:rPr>
          <w:rFonts w:ascii="Arial" w:cs="Arial" w:eastAsia="Arial" w:hAnsi="Arial"/>
          <w:b w:val="1"/>
        </w:rPr>
      </w:pPr>
      <w:r w:rsidDel="00000000" w:rsidR="00000000" w:rsidRPr="00000000">
        <w:rPr>
          <w:rFonts w:ascii="Arial" w:cs="Arial" w:eastAsia="Arial" w:hAnsi="Arial"/>
          <w:b w:val="1"/>
          <w:rtl w:val="0"/>
        </w:rPr>
        <w:t xml:space="preserve">Student ID. 2214605</w:t>
      </w:r>
    </w:p>
    <w:p w:rsidR="00000000" w:rsidDel="00000000" w:rsidP="00000000" w:rsidRDefault="00000000" w:rsidRPr="00000000" w14:paraId="00000009">
      <w:pPr>
        <w:jc w:val="center"/>
        <w:rPr>
          <w:rFonts w:ascii="Arial" w:cs="Arial" w:eastAsia="Arial" w:hAnsi="Arial"/>
          <w:b w:val="1"/>
        </w:rPr>
      </w:pPr>
      <w:r w:rsidDel="00000000" w:rsidR="00000000" w:rsidRPr="00000000">
        <w:rPr>
          <w:rFonts w:ascii="Arial" w:cs="Arial" w:eastAsia="Arial" w:hAnsi="Arial"/>
          <w:b w:val="1"/>
          <w:rtl w:val="0"/>
        </w:rPr>
        <w:t xml:space="preserve">Name: Mohammed Menhaj Uddin</w:t>
      </w:r>
    </w:p>
    <w:p w:rsidR="00000000" w:rsidDel="00000000" w:rsidP="00000000" w:rsidRDefault="00000000" w:rsidRPr="00000000" w14:paraId="0000000A">
      <w:pPr>
        <w:jc w:val="right"/>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0B">
      <w:pPr>
        <w:jc w:val="right"/>
        <w:rPr>
          <w:rFonts w:ascii="Arial" w:cs="Arial" w:eastAsia="Arial" w:hAnsi="Arial"/>
        </w:rPr>
      </w:pPr>
      <w:r w:rsidDel="00000000" w:rsidR="00000000" w:rsidRPr="00000000">
        <w:rPr>
          <w:rtl w:val="0"/>
        </w:rPr>
      </w:r>
    </w:p>
    <w:p w:rsidR="00000000" w:rsidDel="00000000" w:rsidP="00000000" w:rsidRDefault="00000000" w:rsidRPr="00000000" w14:paraId="0000000C">
      <w:pPr>
        <w:jc w:val="right"/>
        <w:rPr>
          <w:rFonts w:ascii="Arial" w:cs="Arial" w:eastAsia="Arial" w:hAnsi="Arial"/>
        </w:rPr>
      </w:pPr>
      <w:r w:rsidDel="00000000" w:rsidR="00000000" w:rsidRPr="00000000">
        <w:rPr>
          <w:rtl w:val="0"/>
        </w:rPr>
      </w:r>
    </w:p>
    <w:p w:rsidR="00000000" w:rsidDel="00000000" w:rsidP="00000000" w:rsidRDefault="00000000" w:rsidRPr="00000000" w14:paraId="0000000D">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rPr>
          <w:rFonts w:ascii="Arial" w:cs="Arial" w:eastAsia="Arial" w:hAnsi="Arial"/>
          <w:b w:val="1"/>
          <w:color w:val="17365d"/>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259" w:lineRule="auto"/>
        <w:ind w:left="0" w:right="0" w:firstLine="0"/>
        <w:jc w:val="center"/>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Background of American Express</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American Express: </w:t>
            </w:r>
          </w:hyperlink>
          <w:hyperlink w:anchor="_heading=h.1fob9te">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Mission and objectives</w:t>
            </w:r>
          </w:hyperlink>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Macro-environmental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Pestle Analysis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Micro-environmental analysis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Industry Life cycle</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Porter’s Industry Five Forces Analysis</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Internal Analysis</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American Express’ Strategic Resources and Capabilities</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Value Chain Analysis</w:t>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Primary Activities</w:t>
              <w:tab/>
              <w:t xml:space="preserve">13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Secondary Activities</w:t>
              <w:tab/>
              <w:t xml:space="preserve">14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VRIO Analysis of Distinctive Resources and Capabilities (Appendix 1)</w:t>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SWOT analysis</w:t>
              <w:tab/>
              <w:t xml:space="preserve">17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Strategies to sustain competitive advantage</w:t>
              <w:tab/>
              <w:t xml:space="preserve">18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Growth Strategies</w:t>
              <w:tab/>
              <w:t xml:space="preserve">20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Green strategy and CSR</w:t>
              <w:tab/>
              <w:t xml:space="preserve">20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22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Recommendations</w:t>
              <w:tab/>
              <w:t xml:space="preserve">23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1- VRIO Analysis of American Express</w:t>
              <w:tab/>
              <w:t xml:space="preserve">30</w:t>
            </w:r>
          </w:hyperlink>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8">
      <w:pPr>
        <w:spacing w:line="360" w:lineRule="auto"/>
        <w:jc w:val="both"/>
        <w:rPr>
          <w:rFonts w:ascii="Arial" w:cs="Arial" w:eastAsia="Arial" w:hAnsi="Arial"/>
          <w:b w:val="1"/>
        </w:rPr>
      </w:pPr>
      <w:r w:rsidDel="00000000" w:rsidR="00000000" w:rsidRPr="00000000">
        <w:rPr>
          <w:rFonts w:ascii="Arial" w:cs="Arial" w:eastAsia="Arial" w:hAnsi="Arial"/>
          <w:rtl w:val="0"/>
        </w:rPr>
        <w:t xml:space="preserve">Aspects of strategic management can be maintained by the organisations when the businesses are focused on the management of the business aspects more effectively. Both macro and micro-environmental analysis of the organisation namely American Express is going to be explored in this study with the help of existing literature. The external as well as internal environment of the organisation is going to be explored. Based upon the analysis of the existing resources of the organisation in the market of the US, the growth prospects of the organisation are going to be evaluated in this study with the existing information. </w:t>
      </w:r>
      <w:r w:rsidDel="00000000" w:rsidR="00000000" w:rsidRPr="00000000">
        <w:rPr>
          <w:rtl w:val="0"/>
        </w:rPr>
      </w:r>
    </w:p>
    <w:p w:rsidR="00000000" w:rsidDel="00000000" w:rsidP="00000000" w:rsidRDefault="00000000" w:rsidRPr="00000000" w14:paraId="00000029">
      <w:pPr>
        <w:pStyle w:val="Heading1"/>
        <w:rPr/>
      </w:pPr>
      <w:bookmarkStart w:colFirst="0" w:colLast="0" w:name="_heading=h.30j0zll" w:id="1"/>
      <w:bookmarkEnd w:id="1"/>
      <w:r w:rsidDel="00000000" w:rsidR="00000000" w:rsidRPr="00000000">
        <w:rPr>
          <w:rtl w:val="0"/>
        </w:rPr>
        <w:t xml:space="preserve">Background of American Express</w:t>
      </w:r>
    </w:p>
    <w:p w:rsidR="00000000" w:rsidDel="00000000" w:rsidP="00000000" w:rsidRDefault="00000000" w:rsidRPr="00000000" w14:paraId="0000002A">
      <w:pPr>
        <w:spacing w:line="360" w:lineRule="auto"/>
        <w:jc w:val="both"/>
        <w:rPr>
          <w:rFonts w:ascii="Arial" w:cs="Arial" w:eastAsia="Arial" w:hAnsi="Arial"/>
          <w:highlight w:val="white"/>
        </w:rPr>
      </w:pPr>
      <w:r w:rsidDel="00000000" w:rsidR="00000000" w:rsidRPr="00000000">
        <w:rPr>
          <w:rFonts w:ascii="Arial" w:cs="Arial" w:eastAsia="Arial" w:hAnsi="Arial"/>
          <w:rtl w:val="0"/>
        </w:rPr>
        <w:t xml:space="preserve">American Express is a US based financial organisation which has gained massive popularity in the context of the US because of its ability to provide efficient services in the US market. This company is found to be the one of the leading issuers of personal, small business, and corporate credit cards in the market of the US. The company has gained popularity in the market because of its top-notch customer service in the US market. It has been observed that the company has been successful in the market of the US because of </w:t>
      </w:r>
      <w:r w:rsidDel="00000000" w:rsidR="00000000" w:rsidRPr="00000000">
        <w:rPr>
          <w:rFonts w:ascii="Arial" w:cs="Arial" w:eastAsia="Arial" w:hAnsi="Arial"/>
          <w:highlight w:val="white"/>
          <w:rtl w:val="0"/>
        </w:rPr>
        <w:t xml:space="preserve">travel-related offerings as well as services that makes the company's offerings differentiated as compared to the other companies. Being headquartered in New York, the company is seen to be first established in the year of 1850 (Britannica, 2023). Best rewards credit cards facilities can be seen as a unique selling point of the services provided by this organisation mainly (US News, 2023). Exploring the context of this organisation, it has been observed that the company already has 67754 employees (easyleadz.com, 2023). Apart from the market of the USA, this organisation is seen to operate in the market of 175 countries of the world. It is found that the middle aged consumers are mostly the market of the American Express cards particularly (Kunst, 2022).</w:t>
      </w:r>
    </w:p>
    <w:p w:rsidR="00000000" w:rsidDel="00000000" w:rsidP="00000000" w:rsidRDefault="00000000" w:rsidRPr="00000000" w14:paraId="0000002B">
      <w:pPr>
        <w:spacing w:line="360" w:lineRule="auto"/>
        <w:jc w:val="center"/>
        <w:rPr>
          <w:rFonts w:ascii="Arial" w:cs="Arial" w:eastAsia="Arial" w:hAnsi="Arial"/>
          <w:highlight w:val="white"/>
        </w:rPr>
      </w:pPr>
      <w:r w:rsidDel="00000000" w:rsidR="00000000" w:rsidRPr="00000000">
        <w:rPr>
          <w:rFonts w:ascii="Arial" w:cs="Arial" w:eastAsia="Arial" w:hAnsi="Arial"/>
          <w:highlight w:val="white"/>
        </w:rPr>
        <w:drawing>
          <wp:inline distB="114300" distT="114300" distL="114300" distR="114300">
            <wp:extent cx="5731200" cy="3670300"/>
            <wp:effectExtent b="25400" l="25400" r="25400" t="25400"/>
            <wp:docPr id="10"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31200" cy="36703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rFonts w:ascii="Arial" w:cs="Arial" w:eastAsia="Arial" w:hAnsi="Arial"/>
          <w:b w:val="1"/>
          <w:highlight w:val="white"/>
        </w:rPr>
      </w:pPr>
      <w:r w:rsidDel="00000000" w:rsidR="00000000" w:rsidRPr="00000000">
        <w:rPr>
          <w:rFonts w:ascii="Arial" w:cs="Arial" w:eastAsia="Arial" w:hAnsi="Arial"/>
          <w:b w:val="1"/>
          <w:highlight w:val="white"/>
          <w:rtl w:val="0"/>
        </w:rPr>
        <w:t xml:space="preserve">Figure 1: Share of US consumers using American express cards </w:t>
      </w:r>
    </w:p>
    <w:p w:rsidR="00000000" w:rsidDel="00000000" w:rsidP="00000000" w:rsidRDefault="00000000" w:rsidRPr="00000000" w14:paraId="0000002D">
      <w:pPr>
        <w:spacing w:line="360" w:lineRule="auto"/>
        <w:jc w:val="center"/>
        <w:rPr>
          <w:rFonts w:ascii="Arial" w:cs="Arial" w:eastAsia="Arial" w:hAnsi="Arial"/>
          <w:highlight w:val="white"/>
        </w:rPr>
      </w:pPr>
      <w:r w:rsidDel="00000000" w:rsidR="00000000" w:rsidRPr="00000000">
        <w:rPr>
          <w:rFonts w:ascii="Arial" w:cs="Arial" w:eastAsia="Arial" w:hAnsi="Arial"/>
          <w:highlight w:val="white"/>
          <w:rtl w:val="0"/>
        </w:rPr>
        <w:t xml:space="preserve">(Source: Kunst, 2022)</w:t>
      </w:r>
    </w:p>
    <w:p w:rsidR="00000000" w:rsidDel="00000000" w:rsidP="00000000" w:rsidRDefault="00000000" w:rsidRPr="00000000" w14:paraId="0000002E">
      <w:pPr>
        <w:spacing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It is seen that millennials and the Gen Z are less using the cards of this company as per the above figure. Analysing the annual income of this organisation. It is found that $7.4B has been earned by this organisation which is almost a 6.53% decline from 2021 (macrotrends.net, 2022). </w:t>
      </w:r>
    </w:p>
    <w:p w:rsidR="00000000" w:rsidDel="00000000" w:rsidP="00000000" w:rsidRDefault="00000000" w:rsidRPr="00000000" w14:paraId="0000002F">
      <w:pPr>
        <w:spacing w:line="360" w:lineRule="auto"/>
        <w:jc w:val="center"/>
        <w:rPr>
          <w:rFonts w:ascii="Arial" w:cs="Arial" w:eastAsia="Arial" w:hAnsi="Arial"/>
          <w:highlight w:val="white"/>
        </w:rPr>
      </w:pPr>
      <w:r w:rsidDel="00000000" w:rsidR="00000000" w:rsidRPr="00000000">
        <w:rPr>
          <w:rFonts w:ascii="Arial" w:cs="Arial" w:eastAsia="Arial" w:hAnsi="Arial"/>
          <w:highlight w:val="white"/>
        </w:rPr>
        <w:drawing>
          <wp:inline distB="114300" distT="114300" distL="114300" distR="114300">
            <wp:extent cx="4491038" cy="3759938"/>
            <wp:effectExtent b="25400" l="25400" r="25400" t="25400"/>
            <wp:docPr id="1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491038" cy="375993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0">
      <w:pPr>
        <w:spacing w:line="360" w:lineRule="auto"/>
        <w:jc w:val="center"/>
        <w:rPr>
          <w:rFonts w:ascii="Arial" w:cs="Arial" w:eastAsia="Arial" w:hAnsi="Arial"/>
          <w:b w:val="1"/>
          <w:highlight w:val="white"/>
        </w:rPr>
      </w:pPr>
      <w:r w:rsidDel="00000000" w:rsidR="00000000" w:rsidRPr="00000000">
        <w:rPr>
          <w:rFonts w:ascii="Arial" w:cs="Arial" w:eastAsia="Arial" w:hAnsi="Arial"/>
          <w:b w:val="1"/>
          <w:highlight w:val="white"/>
          <w:rtl w:val="0"/>
        </w:rPr>
        <w:t xml:space="preserve">Figure 2: Net Income of American Expression the last 5 years </w:t>
      </w:r>
    </w:p>
    <w:p w:rsidR="00000000" w:rsidDel="00000000" w:rsidP="00000000" w:rsidRDefault="00000000" w:rsidRPr="00000000" w14:paraId="00000031">
      <w:pPr>
        <w:spacing w:line="360" w:lineRule="auto"/>
        <w:jc w:val="center"/>
        <w:rPr>
          <w:rFonts w:ascii="Arial" w:cs="Arial" w:eastAsia="Arial" w:hAnsi="Arial"/>
          <w:highlight w:val="white"/>
        </w:rPr>
      </w:pPr>
      <w:r w:rsidDel="00000000" w:rsidR="00000000" w:rsidRPr="00000000">
        <w:rPr>
          <w:rFonts w:ascii="Arial" w:cs="Arial" w:eastAsia="Arial" w:hAnsi="Arial"/>
          <w:highlight w:val="white"/>
          <w:rtl w:val="0"/>
        </w:rPr>
        <w:t xml:space="preserve">(Source: macrotrends.net, 2022)</w:t>
      </w:r>
    </w:p>
    <w:p w:rsidR="00000000" w:rsidDel="00000000" w:rsidP="00000000" w:rsidRDefault="00000000" w:rsidRPr="00000000" w14:paraId="00000032">
      <w:pPr>
        <w:pStyle w:val="Heading2"/>
        <w:rPr>
          <w:highlight w:val="white"/>
        </w:rPr>
      </w:pPr>
      <w:bookmarkStart w:colFirst="0" w:colLast="0" w:name="_heading=h.1fob9te" w:id="2"/>
      <w:bookmarkEnd w:id="2"/>
      <w:r w:rsidDel="00000000" w:rsidR="00000000" w:rsidRPr="00000000">
        <w:rPr>
          <w:rtl w:val="0"/>
        </w:rPr>
        <w:t xml:space="preserve">American Express: </w:t>
      </w:r>
      <w:r w:rsidDel="00000000" w:rsidR="00000000" w:rsidRPr="00000000">
        <w:rPr>
          <w:highlight w:val="white"/>
          <w:rtl w:val="0"/>
        </w:rPr>
        <w:t xml:space="preserve">Mission and objectives </w:t>
      </w:r>
    </w:p>
    <w:p w:rsidR="00000000" w:rsidDel="00000000" w:rsidP="00000000" w:rsidRDefault="00000000" w:rsidRPr="00000000" w14:paraId="00000033">
      <w:pPr>
        <w:spacing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Analysing the mission of this organisation, it is found that the company is bound to maintain “commitment to deliver exceptional products, services and experiences to our customers” (americanexpress.com, 2023). </w:t>
      </w:r>
    </w:p>
    <w:p w:rsidR="00000000" w:rsidDel="00000000" w:rsidP="00000000" w:rsidRDefault="00000000" w:rsidRPr="00000000" w14:paraId="00000034">
      <w:pPr>
        <w:spacing w:line="360" w:lineRule="auto"/>
        <w:jc w:val="both"/>
        <w:rPr>
          <w:rFonts w:ascii="Arial" w:cs="Arial" w:eastAsia="Arial" w:hAnsi="Arial"/>
          <w:highlight w:val="white"/>
        </w:rPr>
      </w:pPr>
      <w:r w:rsidDel="00000000" w:rsidR="00000000" w:rsidRPr="00000000">
        <w:rPr>
          <w:rFonts w:ascii="Arial" w:cs="Arial" w:eastAsia="Arial" w:hAnsi="Arial"/>
          <w:highlight w:val="white"/>
          <w:rtl w:val="0"/>
        </w:rPr>
        <w:t xml:space="preserve">The objectives of the organisation are to provide differentiated products and services to the consumer base of the customers so that the needs of the customers can be met. The company also aspires to provide innovative products to our world-class customer service while ensuring reliability, consistency and integrity through the service approach of the organisation in the market (americanexpress.com, 2023). </w:t>
      </w:r>
    </w:p>
    <w:p w:rsidR="00000000" w:rsidDel="00000000" w:rsidP="00000000" w:rsidRDefault="00000000" w:rsidRPr="00000000" w14:paraId="00000035">
      <w:pPr>
        <w:pStyle w:val="Heading1"/>
        <w:rPr/>
      </w:pPr>
      <w:bookmarkStart w:colFirst="0" w:colLast="0" w:name="_heading=h.3znysh7" w:id="3"/>
      <w:bookmarkEnd w:id="3"/>
      <w:r w:rsidDel="00000000" w:rsidR="00000000" w:rsidRPr="00000000">
        <w:rPr>
          <w:rtl w:val="0"/>
        </w:rPr>
        <w:t xml:space="preserve">Macro-environmental Analysis</w:t>
      </w:r>
    </w:p>
    <w:p w:rsidR="00000000" w:rsidDel="00000000" w:rsidP="00000000" w:rsidRDefault="00000000" w:rsidRPr="00000000" w14:paraId="00000036">
      <w:pPr>
        <w:spacing w:line="360" w:lineRule="auto"/>
        <w:rPr>
          <w:rFonts w:ascii="Arial" w:cs="Arial" w:eastAsia="Arial" w:hAnsi="Arial"/>
        </w:rPr>
      </w:pPr>
      <w:r w:rsidDel="00000000" w:rsidR="00000000" w:rsidRPr="00000000">
        <w:rPr>
          <w:rFonts w:ascii="Arial" w:cs="Arial" w:eastAsia="Arial" w:hAnsi="Arial"/>
          <w:rtl w:val="0"/>
        </w:rPr>
        <w:t xml:space="preserve">The macro environment of the US financial sector is going to be evaluated with the use of the PESTLE model. </w:t>
      </w:r>
    </w:p>
    <w:p w:rsidR="00000000" w:rsidDel="00000000" w:rsidP="00000000" w:rsidRDefault="00000000" w:rsidRPr="00000000" w14:paraId="00000037">
      <w:pPr>
        <w:pStyle w:val="Heading2"/>
        <w:rPr/>
      </w:pPr>
      <w:bookmarkStart w:colFirst="0" w:colLast="0" w:name="_heading=h.2et92p0" w:id="4"/>
      <w:bookmarkEnd w:id="4"/>
      <w:r w:rsidDel="00000000" w:rsidR="00000000" w:rsidRPr="00000000">
        <w:rPr>
          <w:rtl w:val="0"/>
        </w:rPr>
        <w:t xml:space="preserve">Pestle Analysis</w:t>
      </w:r>
    </w:p>
    <w:tbl>
      <w:tblPr>
        <w:tblStyle w:val="Table1"/>
        <w:tblW w:w="913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15"/>
        <w:gridCol w:w="6585"/>
        <w:gridCol w:w="1335"/>
        <w:tblGridChange w:id="0">
          <w:tblGrid>
            <w:gridCol w:w="1215"/>
            <w:gridCol w:w="6585"/>
            <w:gridCol w:w="133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pBdr>
                <w:top w:space="0" w:sz="0" w:val="nil"/>
                <w:left w:space="0" w:sz="0" w:val="nil"/>
                <w:bottom w:space="0" w:sz="0" w:val="nil"/>
                <w:right w:space="0" w:sz="0" w:val="nil"/>
                <w:between w:space="0" w:sz="0" w:val="nil"/>
              </w:pBd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Factors  </w:t>
            </w:r>
          </w:p>
        </w:tc>
        <w:tc>
          <w:tcPr>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Description </w:t>
            </w:r>
          </w:p>
        </w:tc>
        <w:tc>
          <w:tcPr>
            <w:shd w:fill="auto" w:val="clear"/>
            <w:tcMar>
              <w:top w:w="100.0" w:type="dxa"/>
              <w:left w:w="100.0" w:type="dxa"/>
              <w:bottom w:w="100.0" w:type="dxa"/>
              <w:right w:w="100.0" w:type="dxa"/>
            </w:tcMar>
          </w:tcPr>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Impact </w:t>
            </w:r>
          </w:p>
        </w:tc>
      </w:tr>
      <w:tr>
        <w:trPr>
          <w:cantSplit w:val="0"/>
          <w:trHeight w:val="455" w:hRule="atLeast"/>
          <w:tblHeader w:val="0"/>
        </w:trP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Political </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numPr>
                <w:ilvl w:val="0"/>
                <w:numId w:val="7"/>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In case of political stability, the US is seen to have ranked 18th out of </w:t>
            </w:r>
            <w:r w:rsidDel="00000000" w:rsidR="00000000" w:rsidRPr="00000000">
              <w:rPr>
                <w:rFonts w:ascii="Arial" w:cs="Arial" w:eastAsia="Arial" w:hAnsi="Arial"/>
                <w:highlight w:val="white"/>
                <w:rtl w:val="0"/>
              </w:rPr>
              <w:t xml:space="preserve">194 countries mainly. It has been observed that the latest value of political stability in the case of the US is mainly 0 (theglobaleconomy.com, 2023). </w:t>
            </w:r>
            <w:r w:rsidDel="00000000" w:rsidR="00000000" w:rsidRPr="00000000">
              <w:rPr>
                <w:rtl w:val="0"/>
              </w:rPr>
            </w:r>
          </w:p>
          <w:p w:rsidR="00000000" w:rsidDel="00000000" w:rsidP="00000000" w:rsidRDefault="00000000" w:rsidRPr="00000000" w14:paraId="0000003D">
            <w:pPr>
              <w:widowControl w:val="0"/>
              <w:numPr>
                <w:ilvl w:val="0"/>
                <w:numId w:val="7"/>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US government has created legal obligations that have created a positive impact on the growth of the financial service sector mainly. </w:t>
            </w:r>
          </w:p>
          <w:p w:rsidR="00000000" w:rsidDel="00000000" w:rsidP="00000000" w:rsidRDefault="00000000" w:rsidRPr="00000000" w14:paraId="0000003E">
            <w:pPr>
              <w:widowControl w:val="0"/>
              <w:numPr>
                <w:ilvl w:val="0"/>
                <w:numId w:val="7"/>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moderate stability has made sure that no significant change in the financial policies are noticed which can be seen as the major source of stability for the business to remain operative in the market mainly. </w:t>
            </w:r>
          </w:p>
        </w:tc>
        <w:tc>
          <w:tcPr>
            <w:shd w:fill="auto" w:val="clear"/>
            <w:tcMar>
              <w:top w:w="100.0" w:type="dxa"/>
              <w:left w:w="100.0" w:type="dxa"/>
              <w:bottom w:w="100.0" w:type="dxa"/>
              <w:right w:w="100.0" w:type="dxa"/>
            </w:tcMar>
          </w:tcPr>
          <w:p w:rsidR="00000000" w:rsidDel="00000000" w:rsidP="00000000" w:rsidRDefault="00000000" w:rsidRPr="00000000" w14:paraId="0000003F">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Moderate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Economic </w:t>
            </w:r>
          </w:p>
        </w:tc>
        <w:tc>
          <w:tcPr>
            <w:shd w:fill="auto" w:val="clear"/>
            <w:tcMar>
              <w:top w:w="100.0" w:type="dxa"/>
              <w:left w:w="100.0" w:type="dxa"/>
              <w:bottom w:w="100.0" w:type="dxa"/>
              <w:right w:w="100.0" w:type="dxa"/>
            </w:tcMar>
          </w:tcPr>
          <w:p w:rsidR="00000000" w:rsidDel="00000000" w:rsidP="00000000" w:rsidRDefault="00000000" w:rsidRPr="00000000" w14:paraId="00000041">
            <w:pPr>
              <w:widowControl w:val="0"/>
              <w:numPr>
                <w:ilvl w:val="0"/>
                <w:numId w:val="2"/>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The financial service industry of the US is seen to be almost $3.59 trillion </w:t>
            </w:r>
          </w:p>
          <w:p w:rsidR="00000000" w:rsidDel="00000000" w:rsidP="00000000" w:rsidRDefault="00000000" w:rsidRPr="00000000" w14:paraId="00000042">
            <w:pPr>
              <w:widowControl w:val="0"/>
              <w:numPr>
                <w:ilvl w:val="0"/>
                <w:numId w:val="2"/>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The US has explored </w:t>
            </w:r>
            <w:r w:rsidDel="00000000" w:rsidR="00000000" w:rsidRPr="00000000">
              <w:rPr>
                <w:rFonts w:ascii="Arial" w:cs="Arial" w:eastAsia="Arial" w:hAnsi="Arial"/>
                <w:highlight w:val="white"/>
                <w:rtl w:val="0"/>
              </w:rPr>
              <w:t xml:space="preserve">exported $151.9 billion in financial services and insurance (Trade.gov, 2023)</w:t>
            </w:r>
            <w:r w:rsidDel="00000000" w:rsidR="00000000" w:rsidRPr="00000000">
              <w:rPr>
                <w:rtl w:val="0"/>
              </w:rPr>
            </w:r>
          </w:p>
          <w:p w:rsidR="00000000" w:rsidDel="00000000" w:rsidP="00000000" w:rsidRDefault="00000000" w:rsidRPr="00000000" w14:paraId="00000043">
            <w:pPr>
              <w:widowControl w:val="0"/>
              <w:numPr>
                <w:ilvl w:val="0"/>
                <w:numId w:val="2"/>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US has more than $60 billion in financial services and insurance trade (Trade.gov, 2023)</w:t>
            </w:r>
          </w:p>
          <w:p w:rsidR="00000000" w:rsidDel="00000000" w:rsidP="00000000" w:rsidRDefault="00000000" w:rsidRPr="00000000" w14:paraId="00000044">
            <w:pPr>
              <w:widowControl w:val="0"/>
              <w:numPr>
                <w:ilvl w:val="0"/>
                <w:numId w:val="2"/>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FDI rate in the financial services has seen to exceed $763.3 billion (Trade.gov, 2023)</w:t>
            </w:r>
          </w:p>
          <w:p w:rsidR="00000000" w:rsidDel="00000000" w:rsidP="00000000" w:rsidRDefault="00000000" w:rsidRPr="00000000" w14:paraId="00000045">
            <w:pPr>
              <w:widowControl w:val="0"/>
              <w:numPr>
                <w:ilvl w:val="0"/>
                <w:numId w:val="2"/>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This industry is responsible for the employment of almost 6.3 million people (Trade.gov, 2023). </w:t>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Positive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Social </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numPr>
                <w:ilvl w:val="0"/>
                <w:numId w:val="9"/>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color w:val="0a0a0a"/>
                <w:highlight w:val="white"/>
                <w:rtl w:val="0"/>
              </w:rPr>
              <w:t xml:space="preserve">A </w:t>
            </w:r>
            <w:r w:rsidDel="00000000" w:rsidR="00000000" w:rsidRPr="00000000">
              <w:rPr>
                <w:rFonts w:ascii="Arial" w:cs="Arial" w:eastAsia="Arial" w:hAnsi="Arial"/>
                <w:highlight w:val="white"/>
                <w:rtl w:val="0"/>
              </w:rPr>
              <w:t xml:space="preserve">growing population of senior citizens is evident in the case of the US. It is evident that by 2060, nearly one in four Americans will be 65 years (Vaspe, 2018). This indicates higher requirements of financial services in the case of the US mainly. </w:t>
            </w:r>
            <w:r w:rsidDel="00000000" w:rsidR="00000000" w:rsidRPr="00000000">
              <w:rPr>
                <w:rtl w:val="0"/>
              </w:rPr>
            </w:r>
          </w:p>
          <w:p w:rsidR="00000000" w:rsidDel="00000000" w:rsidP="00000000" w:rsidRDefault="00000000" w:rsidRPr="00000000" w14:paraId="00000049">
            <w:pPr>
              <w:widowControl w:val="0"/>
              <w:numPr>
                <w:ilvl w:val="0"/>
                <w:numId w:val="9"/>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It is seen that almost 81.5 percent of U.S. households fully banked in 2021 mainly. Thus, the lack of nonbank transactions and credit is noticed in the case of society in the US mainly (FDIC, 2021). </w:t>
            </w:r>
          </w:p>
          <w:p w:rsidR="00000000" w:rsidDel="00000000" w:rsidP="00000000" w:rsidRDefault="00000000" w:rsidRPr="00000000" w14:paraId="0000004A">
            <w:pPr>
              <w:widowControl w:val="0"/>
              <w:numPr>
                <w:ilvl w:val="0"/>
                <w:numId w:val="9"/>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Higher level of Globalisation and urbanisation in the US has mainly created the situation of banking service requirements mainly. </w:t>
            </w:r>
          </w:p>
          <w:p w:rsidR="00000000" w:rsidDel="00000000" w:rsidP="00000000" w:rsidRDefault="00000000" w:rsidRPr="00000000" w14:paraId="0000004B">
            <w:pPr>
              <w:widowControl w:val="0"/>
              <w:numPr>
                <w:ilvl w:val="0"/>
                <w:numId w:val="9"/>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Online transaction increase has made consumers more reliant on financial services mainly. </w:t>
            </w:r>
          </w:p>
        </w:tc>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Positive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Technological </w:t>
            </w:r>
          </w:p>
        </w:tc>
        <w:tc>
          <w:tcPr>
            <w:shd w:fill="auto" w:val="clear"/>
            <w:tcMar>
              <w:top w:w="100.0" w:type="dxa"/>
              <w:left w:w="100.0" w:type="dxa"/>
              <w:bottom w:w="100.0" w:type="dxa"/>
              <w:right w:w="100.0" w:type="dxa"/>
            </w:tcMar>
          </w:tcPr>
          <w:p w:rsidR="00000000" w:rsidDel="00000000" w:rsidP="00000000" w:rsidRDefault="00000000" w:rsidRPr="00000000" w14:paraId="0000004E">
            <w:pPr>
              <w:widowControl w:val="0"/>
              <w:numPr>
                <w:ilvl w:val="0"/>
                <w:numId w:val="10"/>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color w:val="0a0a0a"/>
                <w:highlight w:val="white"/>
                <w:rtl w:val="0"/>
              </w:rPr>
              <w:t xml:space="preserve">More digital and automated services have become more relevant to the consumers of the US</w:t>
            </w:r>
            <w:r w:rsidDel="00000000" w:rsidR="00000000" w:rsidRPr="00000000">
              <w:rPr>
                <w:rtl w:val="0"/>
              </w:rPr>
            </w:r>
          </w:p>
          <w:p w:rsidR="00000000" w:rsidDel="00000000" w:rsidP="00000000" w:rsidRDefault="00000000" w:rsidRPr="00000000" w14:paraId="0000004F">
            <w:pPr>
              <w:widowControl w:val="0"/>
              <w:numPr>
                <w:ilvl w:val="0"/>
                <w:numId w:val="10"/>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color w:val="0a0a0a"/>
                <w:highlight w:val="white"/>
              </w:rPr>
            </w:pPr>
            <w:r w:rsidDel="00000000" w:rsidR="00000000" w:rsidRPr="00000000">
              <w:rPr>
                <w:rFonts w:ascii="Arial" w:cs="Arial" w:eastAsia="Arial" w:hAnsi="Arial"/>
                <w:color w:val="0a0a0a"/>
                <w:highlight w:val="white"/>
                <w:rtl w:val="0"/>
              </w:rPr>
              <w:t xml:space="preserve">The high costs of technological adoption in the case of financial service has led to slow technology improvement in this sector</w:t>
            </w:r>
          </w:p>
          <w:p w:rsidR="00000000" w:rsidDel="00000000" w:rsidP="00000000" w:rsidRDefault="00000000" w:rsidRPr="00000000" w14:paraId="00000050">
            <w:pPr>
              <w:widowControl w:val="0"/>
              <w:numPr>
                <w:ilvl w:val="0"/>
                <w:numId w:val="10"/>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color w:val="0a0a0a"/>
                <w:highlight w:val="white"/>
              </w:rPr>
            </w:pPr>
            <w:r w:rsidDel="00000000" w:rsidR="00000000" w:rsidRPr="00000000">
              <w:rPr>
                <w:rFonts w:ascii="Arial" w:cs="Arial" w:eastAsia="Arial" w:hAnsi="Arial"/>
                <w:color w:val="0a0a0a"/>
                <w:highlight w:val="white"/>
                <w:rtl w:val="0"/>
              </w:rPr>
              <w:t xml:space="preserve">Consumer awareness about financial security has led to slow adoption of digital financial services among the older people of the US mainly. </w:t>
            </w:r>
          </w:p>
          <w:p w:rsidR="00000000" w:rsidDel="00000000" w:rsidP="00000000" w:rsidRDefault="00000000" w:rsidRPr="00000000" w14:paraId="00000051">
            <w:pPr>
              <w:widowControl w:val="0"/>
              <w:numPr>
                <w:ilvl w:val="0"/>
                <w:numId w:val="10"/>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color w:val="0a0a0a"/>
                <w:highlight w:val="white"/>
              </w:rPr>
            </w:pPr>
            <w:r w:rsidDel="00000000" w:rsidR="00000000" w:rsidRPr="00000000">
              <w:rPr>
                <w:rFonts w:ascii="Arial" w:cs="Arial" w:eastAsia="Arial" w:hAnsi="Arial"/>
                <w:color w:val="0a0a0a"/>
                <w:highlight w:val="white"/>
                <w:rtl w:val="0"/>
              </w:rPr>
              <w:t xml:space="preserve">AI as a technological trend has impacted the decisions of cash flow and forecasting (Li and Zheng, 2018). However, tech glitches have the capacity to disrupt the overall financial service section massively. </w:t>
            </w:r>
          </w:p>
          <w:p w:rsidR="00000000" w:rsidDel="00000000" w:rsidP="00000000" w:rsidRDefault="00000000" w:rsidRPr="00000000" w14:paraId="00000052">
            <w:pPr>
              <w:widowControl w:val="0"/>
              <w:numPr>
                <w:ilvl w:val="0"/>
                <w:numId w:val="10"/>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color w:val="0a0a0a"/>
                <w:highlight w:val="white"/>
              </w:rPr>
            </w:pPr>
            <w:r w:rsidDel="00000000" w:rsidR="00000000" w:rsidRPr="00000000">
              <w:rPr>
                <w:rFonts w:ascii="Arial" w:cs="Arial" w:eastAsia="Arial" w:hAnsi="Arial"/>
                <w:color w:val="0a0a0a"/>
                <w:highlight w:val="white"/>
                <w:rtl w:val="0"/>
              </w:rPr>
              <w:t xml:space="preserve">The use of Fintech technology is seen to be evident in the case of the financial service sector mainly. </w:t>
            </w:r>
          </w:p>
        </w:tc>
        <w:tc>
          <w:tcPr>
            <w:shd w:fill="auto" w:val="clear"/>
            <w:tcMar>
              <w:top w:w="100.0" w:type="dxa"/>
              <w:left w:w="100.0" w:type="dxa"/>
              <w:bottom w:w="100.0" w:type="dxa"/>
              <w:right w:w="100.0" w:type="dxa"/>
            </w:tcMar>
          </w:tcPr>
          <w:p w:rsidR="00000000" w:rsidDel="00000000" w:rsidP="00000000" w:rsidRDefault="00000000" w:rsidRPr="00000000" w14:paraId="00000053">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Moderate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4">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Legal</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numPr>
                <w:ilvl w:val="0"/>
                <w:numId w:val="8"/>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highlight w:val="white"/>
                <w:rtl w:val="0"/>
              </w:rPr>
              <w:t xml:space="preserve">Data Privacy and Security along with human capital and human rights laws impact the operations of this industry to some extent (Alshebli, 2022)</w:t>
            </w:r>
            <w:r w:rsidDel="00000000" w:rsidR="00000000" w:rsidRPr="00000000">
              <w:rPr>
                <w:rtl w:val="0"/>
              </w:rPr>
            </w:r>
          </w:p>
          <w:p w:rsidR="00000000" w:rsidDel="00000000" w:rsidP="00000000" w:rsidRDefault="00000000" w:rsidRPr="00000000" w14:paraId="00000056">
            <w:pPr>
              <w:widowControl w:val="0"/>
              <w:numPr>
                <w:ilvl w:val="0"/>
                <w:numId w:val="8"/>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color w:val="202124"/>
                <w:highlight w:val="white"/>
                <w:rtl w:val="0"/>
              </w:rPr>
              <w:t xml:space="preserve">Anti-money laundering, anti-terrorism, anti-usury lending along with Fraud prevention are found to be some of the major financial</w:t>
            </w:r>
            <w:r w:rsidDel="00000000" w:rsidR="00000000" w:rsidRPr="00000000">
              <w:rPr>
                <w:rFonts w:ascii="Arial" w:cs="Arial" w:eastAsia="Arial" w:hAnsi="Arial"/>
                <w:highlight w:val="white"/>
                <w:rtl w:val="0"/>
              </w:rPr>
              <w:t xml:space="preserve"> regulation laws that impact the US financial operations to some extent (Lessambo, 2020). </w:t>
            </w:r>
          </w:p>
          <w:p w:rsidR="00000000" w:rsidDel="00000000" w:rsidP="00000000" w:rsidRDefault="00000000" w:rsidRPr="00000000" w14:paraId="00000057">
            <w:pPr>
              <w:widowControl w:val="0"/>
              <w:numPr>
                <w:ilvl w:val="0"/>
                <w:numId w:val="8"/>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National Bank Act of 1864, Federal Reserve Act of 1913 and Anti-Money Laundering Act of 2020 have impacted the financial service operations of the US.</w:t>
            </w:r>
          </w:p>
          <w:p w:rsidR="00000000" w:rsidDel="00000000" w:rsidP="00000000" w:rsidRDefault="00000000" w:rsidRPr="00000000" w14:paraId="00000058">
            <w:pPr>
              <w:widowControl w:val="0"/>
              <w:numPr>
                <w:ilvl w:val="0"/>
                <w:numId w:val="8"/>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highlight w:val="white"/>
              </w:rPr>
            </w:pPr>
            <w:r w:rsidDel="00000000" w:rsidR="00000000" w:rsidRPr="00000000">
              <w:rPr>
                <w:rFonts w:ascii="Arial" w:cs="Arial" w:eastAsia="Arial" w:hAnsi="Arial"/>
                <w:highlight w:val="white"/>
                <w:rtl w:val="0"/>
              </w:rPr>
              <w:t xml:space="preserve">The digital consumer service protection aspects are found to be some of the major consumer protection requirements noticed in the case of the US consumers mainly. </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Negative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Environmental </w:t>
            </w:r>
          </w:p>
        </w:tc>
        <w:tc>
          <w:tcPr>
            <w:shd w:fill="auto" w:val="clear"/>
            <w:tcMar>
              <w:top w:w="100.0" w:type="dxa"/>
              <w:left w:w="100.0" w:type="dxa"/>
              <w:bottom w:w="100.0" w:type="dxa"/>
              <w:right w:w="100.0" w:type="dxa"/>
            </w:tcMar>
          </w:tcPr>
          <w:p w:rsidR="00000000" w:rsidDel="00000000" w:rsidP="00000000" w:rsidRDefault="00000000" w:rsidRPr="00000000" w14:paraId="0000005B">
            <w:pPr>
              <w:widowControl w:val="0"/>
              <w:numPr>
                <w:ilvl w:val="0"/>
                <w:numId w:val="1"/>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rPr>
            </w:pPr>
            <w:r w:rsidDel="00000000" w:rsidR="00000000" w:rsidRPr="00000000">
              <w:rPr>
                <w:rFonts w:ascii="Arial" w:cs="Arial" w:eastAsia="Arial" w:hAnsi="Arial"/>
                <w:color w:val="0a0a0a"/>
                <w:highlight w:val="white"/>
                <w:rtl w:val="0"/>
              </w:rPr>
              <w:t xml:space="preserve"> The financial services industry has a direct effect on emissions and that is why this industry has the responsibility to meet the net zero target effectively so that operational effectiveness of the industry can be gained. </w:t>
            </w:r>
            <w:r w:rsidDel="00000000" w:rsidR="00000000" w:rsidRPr="00000000">
              <w:rPr>
                <w:rtl w:val="0"/>
              </w:rPr>
            </w:r>
          </w:p>
          <w:p w:rsidR="00000000" w:rsidDel="00000000" w:rsidP="00000000" w:rsidRDefault="00000000" w:rsidRPr="00000000" w14:paraId="0000005C">
            <w:pPr>
              <w:widowControl w:val="0"/>
              <w:numPr>
                <w:ilvl w:val="0"/>
                <w:numId w:val="1"/>
              </w:numPr>
              <w:pBdr>
                <w:top w:space="0" w:sz="0" w:val="nil"/>
                <w:left w:space="0" w:sz="0" w:val="nil"/>
                <w:bottom w:space="0" w:sz="0" w:val="nil"/>
                <w:right w:space="0" w:sz="0" w:val="nil"/>
                <w:between w:space="0" w:sz="0" w:val="nil"/>
              </w:pBdr>
              <w:spacing w:after="0" w:line="360" w:lineRule="auto"/>
              <w:ind w:left="720" w:hanging="360"/>
              <w:rPr>
                <w:rFonts w:ascii="Arial" w:cs="Arial" w:eastAsia="Arial" w:hAnsi="Arial"/>
                <w:color w:val="0a0a0a"/>
                <w:highlight w:val="white"/>
              </w:rPr>
            </w:pPr>
            <w:r w:rsidDel="00000000" w:rsidR="00000000" w:rsidRPr="00000000">
              <w:rPr>
                <w:rFonts w:ascii="Arial" w:cs="Arial" w:eastAsia="Arial" w:hAnsi="Arial"/>
                <w:color w:val="0a0a0a"/>
                <w:highlight w:val="white"/>
                <w:rtl w:val="0"/>
              </w:rPr>
              <w:t xml:space="preserve">Paperless bank statements have become easier to maintain because of the high rise of the digitalization prospects of the services of this industry to some extent. </w:t>
            </w:r>
          </w:p>
        </w:tc>
        <w:tc>
          <w:tcPr>
            <w:shd w:fill="auto" w:val="clear"/>
            <w:tcMar>
              <w:top w:w="100.0" w:type="dxa"/>
              <w:left w:w="100.0" w:type="dxa"/>
              <w:bottom w:w="100.0" w:type="dxa"/>
              <w:right w:w="100.0" w:type="dxa"/>
            </w:tcMar>
          </w:tcPr>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Fonts w:ascii="Arial" w:cs="Arial" w:eastAsia="Arial" w:hAnsi="Arial"/>
                <w:rtl w:val="0"/>
              </w:rPr>
              <w:t xml:space="preserve">Negative </w:t>
            </w:r>
          </w:p>
        </w:tc>
      </w:tr>
    </w:tbl>
    <w:p w:rsidR="00000000" w:rsidDel="00000000" w:rsidP="00000000" w:rsidRDefault="00000000" w:rsidRPr="00000000" w14:paraId="0000005E">
      <w:pPr>
        <w:jc w:val="center"/>
        <w:rPr>
          <w:rFonts w:ascii="Arial" w:cs="Arial" w:eastAsia="Arial" w:hAnsi="Arial"/>
          <w:b w:val="1"/>
        </w:rPr>
      </w:pPr>
      <w:r w:rsidDel="00000000" w:rsidR="00000000" w:rsidRPr="00000000">
        <w:rPr>
          <w:rFonts w:ascii="Arial" w:cs="Arial" w:eastAsia="Arial" w:hAnsi="Arial"/>
          <w:b w:val="1"/>
          <w:rtl w:val="0"/>
        </w:rPr>
        <w:t xml:space="preserve">Table 1: PESTLE analysis</w:t>
      </w:r>
    </w:p>
    <w:p w:rsidR="00000000" w:rsidDel="00000000" w:rsidP="00000000" w:rsidRDefault="00000000" w:rsidRPr="00000000" w14:paraId="0000005F">
      <w:pPr>
        <w:pStyle w:val="Heading1"/>
        <w:rPr/>
      </w:pPr>
      <w:bookmarkStart w:colFirst="0" w:colLast="0" w:name="_heading=h.tyjcwt" w:id="5"/>
      <w:bookmarkEnd w:id="5"/>
      <w:r w:rsidDel="00000000" w:rsidR="00000000" w:rsidRPr="00000000">
        <w:rPr>
          <w:rtl w:val="0"/>
        </w:rPr>
        <w:t xml:space="preserve">Micro-environmental analysis </w:t>
      </w:r>
    </w:p>
    <w:p w:rsidR="00000000" w:rsidDel="00000000" w:rsidP="00000000" w:rsidRDefault="00000000" w:rsidRPr="00000000" w14:paraId="00000060">
      <w:pPr>
        <w:pStyle w:val="Heading2"/>
        <w:rPr/>
      </w:pPr>
      <w:bookmarkStart w:colFirst="0" w:colLast="0" w:name="_heading=h.3dy6vkm" w:id="6"/>
      <w:bookmarkEnd w:id="6"/>
      <w:r w:rsidDel="00000000" w:rsidR="00000000" w:rsidRPr="00000000">
        <w:rPr>
          <w:rtl w:val="0"/>
        </w:rPr>
        <w:t xml:space="preserve">Industry Life cycle</w:t>
      </w:r>
    </w:p>
    <w:p w:rsidR="00000000" w:rsidDel="00000000" w:rsidP="00000000" w:rsidRDefault="00000000" w:rsidRPr="00000000" w14:paraId="00000061">
      <w:pPr>
        <w:spacing w:line="360" w:lineRule="auto"/>
        <w:jc w:val="both"/>
        <w:rPr>
          <w:rFonts w:ascii="Arial" w:cs="Arial" w:eastAsia="Arial" w:hAnsi="Arial"/>
          <w:highlight w:val="white"/>
        </w:rPr>
      </w:pPr>
      <w:r w:rsidDel="00000000" w:rsidR="00000000" w:rsidRPr="00000000">
        <w:rPr>
          <w:rFonts w:ascii="Arial" w:cs="Arial" w:eastAsia="Arial" w:hAnsi="Arial"/>
          <w:rtl w:val="0"/>
        </w:rPr>
        <w:t xml:space="preserve">Exploring the US financial service industry, it is illustrated that </w:t>
      </w:r>
      <w:r w:rsidDel="00000000" w:rsidR="00000000" w:rsidRPr="00000000">
        <w:rPr>
          <w:rFonts w:ascii="Arial" w:cs="Arial" w:eastAsia="Arial" w:hAnsi="Arial"/>
          <w:highlight w:val="white"/>
          <w:rtl w:val="0"/>
        </w:rPr>
        <w:t xml:space="preserve">Credit Intermediation; Securities, Commodity Contracts, and Other Financial Investments are some of the major financial service industries which are noticed in the case of the US financial services mainly. Analysing the size of the financial service of the US industry, slow growth of the industry is noted within the tenure of the last 12 months mainly (Mccain, 2023). The finance industry has a 2% unemployment rate mainly (Mccain, 2023). Analysing the context of the US, it has been observed that USD 4 trillion market size is noticed in the case of the Fintech market of the US with the total transaction value of US$51.04bn in the year of 2023 mainly (mordorintelligence.com, 2023; Statista, 2023). Moreover, the digital revenue of the digital banking services in the US market is seen to have a moderate growth (Berman </w:t>
      </w:r>
      <w:r w:rsidDel="00000000" w:rsidR="00000000" w:rsidRPr="00000000">
        <w:rPr>
          <w:rFonts w:ascii="Arial" w:cs="Arial" w:eastAsia="Arial" w:hAnsi="Arial"/>
          <w:i w:val="1"/>
          <w:highlight w:val="white"/>
          <w:rtl w:val="0"/>
        </w:rPr>
        <w:t xml:space="preserve">et al. </w:t>
      </w:r>
      <w:r w:rsidDel="00000000" w:rsidR="00000000" w:rsidRPr="00000000">
        <w:rPr>
          <w:rFonts w:ascii="Arial" w:cs="Arial" w:eastAsia="Arial" w:hAnsi="Arial"/>
          <w:highlight w:val="white"/>
          <w:rtl w:val="0"/>
        </w:rPr>
        <w:t xml:space="preserve">2021). </w:t>
      </w:r>
    </w:p>
    <w:p w:rsidR="00000000" w:rsidDel="00000000" w:rsidP="00000000" w:rsidRDefault="00000000" w:rsidRPr="00000000" w14:paraId="00000062">
      <w:pPr>
        <w:spacing w:line="360" w:lineRule="auto"/>
        <w:jc w:val="center"/>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3265650" cy="2833114"/>
            <wp:effectExtent b="25400" l="25400" r="25400" t="25400"/>
            <wp:docPr id="12"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3265650" cy="2833114"/>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3">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Figure 3: US Finance industry size</w:t>
      </w:r>
    </w:p>
    <w:p w:rsidR="00000000" w:rsidDel="00000000" w:rsidP="00000000" w:rsidRDefault="00000000" w:rsidRPr="00000000" w14:paraId="00000064">
      <w:pPr>
        <w:spacing w:line="360" w:lineRule="auto"/>
        <w:jc w:val="center"/>
        <w:rPr>
          <w:rFonts w:ascii="Arial" w:cs="Arial" w:eastAsia="Arial" w:hAnsi="Arial"/>
        </w:rPr>
      </w:pPr>
      <w:r w:rsidDel="00000000" w:rsidR="00000000" w:rsidRPr="00000000">
        <w:rPr>
          <w:rFonts w:ascii="Arial" w:cs="Arial" w:eastAsia="Arial" w:hAnsi="Arial"/>
          <w:rtl w:val="0"/>
        </w:rPr>
        <w:t xml:space="preserve">(Source: </w:t>
      </w:r>
      <w:r w:rsidDel="00000000" w:rsidR="00000000" w:rsidRPr="00000000">
        <w:rPr>
          <w:rFonts w:ascii="Arial" w:cs="Arial" w:eastAsia="Arial" w:hAnsi="Arial"/>
          <w:highlight w:val="white"/>
          <w:rtl w:val="0"/>
        </w:rPr>
        <w:t xml:space="preserve">Mccain, 2023</w:t>
      </w:r>
      <w:r w:rsidDel="00000000" w:rsidR="00000000" w:rsidRPr="00000000">
        <w:rPr>
          <w:rFonts w:ascii="Arial" w:cs="Arial" w:eastAsia="Arial" w:hAnsi="Arial"/>
          <w:rtl w:val="0"/>
        </w:rPr>
        <w:t xml:space="preserve">)</w:t>
      </w:r>
    </w:p>
    <w:p w:rsidR="00000000" w:rsidDel="00000000" w:rsidP="00000000" w:rsidRDefault="00000000" w:rsidRPr="00000000" w14:paraId="00000065">
      <w:pPr>
        <w:spacing w:line="360" w:lineRule="auto"/>
        <w:jc w:val="both"/>
        <w:rPr>
          <w:rFonts w:ascii="Arial" w:cs="Arial" w:eastAsia="Arial" w:hAnsi="Arial"/>
        </w:rPr>
      </w:pPr>
      <w:r w:rsidDel="00000000" w:rsidR="00000000" w:rsidRPr="00000000">
        <w:rPr>
          <w:rFonts w:ascii="Arial" w:cs="Arial" w:eastAsia="Arial" w:hAnsi="Arial"/>
          <w:rtl w:val="0"/>
        </w:rPr>
        <w:t xml:space="preserve">Based on their financial life cycle analysis, it is evaluated that there are mainly four stages of an industry which includes growth stage, stakeout stage, mature stage and decline </w:t>
      </w:r>
      <w:r w:rsidDel="00000000" w:rsidR="00000000" w:rsidRPr="00000000">
        <w:rPr>
          <w:rFonts w:ascii="Arial" w:cs="Arial" w:eastAsia="Arial" w:hAnsi="Arial"/>
          <w:highlight w:val="white"/>
          <w:rtl w:val="0"/>
        </w:rPr>
        <w:t xml:space="preserve">(Galan and Torsein, 2021)</w:t>
      </w:r>
      <w:r w:rsidDel="00000000" w:rsidR="00000000" w:rsidRPr="00000000">
        <w:rPr>
          <w:rFonts w:ascii="Arial" w:cs="Arial" w:eastAsia="Arial" w:hAnsi="Arial"/>
          <w:rtl w:val="0"/>
        </w:rPr>
        <w:t xml:space="preserve">. Analysing the slow growth of the industry, it is explained that the industry is in the mature stage. Cucculelli and Peruzzi (2020) have stated that the mature stage of an industry is noticed when an industry passes both </w:t>
      </w:r>
      <w:r w:rsidDel="00000000" w:rsidR="00000000" w:rsidRPr="00000000">
        <w:rPr>
          <w:rFonts w:ascii="Arial" w:cs="Arial" w:eastAsia="Arial" w:hAnsi="Arial"/>
          <w:color w:val="040c28"/>
          <w:rtl w:val="0"/>
        </w:rPr>
        <w:t xml:space="preserve">the emerging and growth phases. As almost 81.5% of the US people are noticed to be fully banked, it is evaluated that the industry is found to be in the growth stage mainly (</w:t>
      </w:r>
      <w:r w:rsidDel="00000000" w:rsidR="00000000" w:rsidRPr="00000000">
        <w:rPr>
          <w:rFonts w:ascii="Arial" w:cs="Arial" w:eastAsia="Arial" w:hAnsi="Arial"/>
          <w:color w:val="040c28"/>
          <w:highlight w:val="white"/>
          <w:rtl w:val="0"/>
        </w:rPr>
        <w:t xml:space="preserve">FDIC, 2021</w:t>
      </w:r>
      <w:r w:rsidDel="00000000" w:rsidR="00000000" w:rsidRPr="00000000">
        <w:rPr>
          <w:rFonts w:ascii="Arial" w:cs="Arial" w:eastAsia="Arial" w:hAnsi="Arial"/>
          <w:color w:val="040c28"/>
          <w:rtl w:val="0"/>
        </w:rPr>
        <w:t xml:space="preserve">). Thus, it is evaluated that financial services of the US industry are seen to be a part of mature industry to some extent. Financial services companies in the US industry are found to be larger</w:t>
      </w:r>
      <w:r w:rsidDel="00000000" w:rsidR="00000000" w:rsidRPr="00000000">
        <w:rPr>
          <w:rFonts w:ascii="Arial" w:cs="Arial" w:eastAsia="Arial" w:hAnsi="Arial"/>
          <w:color w:val="4d5156"/>
          <w:highlight w:val="white"/>
          <w:rtl w:val="0"/>
        </w:rPr>
        <w:t xml:space="preserve">, older, and more stable to some extent. It has been observed that </w:t>
      </w:r>
      <w:r w:rsidDel="00000000" w:rsidR="00000000" w:rsidRPr="00000000">
        <w:rPr>
          <w:rFonts w:ascii="Arial" w:cs="Arial" w:eastAsia="Arial" w:hAnsi="Arial"/>
          <w:color w:val="040c28"/>
          <w:highlight w:val="white"/>
          <w:rtl w:val="0"/>
        </w:rPr>
        <w:t xml:space="preserve">maintaining excess capacity and product proliferation are some of the major product maintaining strategies which are applied in the case of these industry operators to operate more efficiently. It has been observed that quality, convenience and customization are the major stages which are noticed in the financial services aspects of the financial service industry of the US (Durana </w:t>
      </w:r>
      <w:r w:rsidDel="00000000" w:rsidR="00000000" w:rsidRPr="00000000">
        <w:rPr>
          <w:rFonts w:ascii="Arial" w:cs="Arial" w:eastAsia="Arial" w:hAnsi="Arial"/>
          <w:i w:val="1"/>
          <w:color w:val="040c28"/>
          <w:highlight w:val="white"/>
          <w:rtl w:val="0"/>
        </w:rPr>
        <w:t xml:space="preserve">et al. </w:t>
      </w:r>
      <w:r w:rsidDel="00000000" w:rsidR="00000000" w:rsidRPr="00000000">
        <w:rPr>
          <w:rFonts w:ascii="Arial" w:cs="Arial" w:eastAsia="Arial" w:hAnsi="Arial"/>
          <w:color w:val="040c28"/>
          <w:highlight w:val="white"/>
          <w:rtl w:val="0"/>
        </w:rPr>
        <w:t xml:space="preserve">2021). This indicates that this industry is a mature industry where the com</w:t>
      </w:r>
      <w:r w:rsidDel="00000000" w:rsidR="00000000" w:rsidRPr="00000000">
        <w:rPr>
          <w:rFonts w:ascii="Arial" w:cs="Arial" w:eastAsia="Arial" w:hAnsi="Arial"/>
          <w:highlight w:val="white"/>
          <w:rtl w:val="0"/>
        </w:rPr>
        <w:t xml:space="preserve">panies need to operate by differentiating the offerings as the existing players are big and have high equity in the market to create better servicing qualities for the consumer base mainly. It has been observed that the industry has focused on the management of the homogenised (less differentiated) with high pressure of the pricing as it has become important for the financial services of the US sector to be more competitive to remain more advantageous fort operating in the market of the US more prominently (Galan and Torsein, 2021). </w:t>
      </w:r>
      <w:r w:rsidDel="00000000" w:rsidR="00000000" w:rsidRPr="00000000">
        <w:rPr>
          <w:rtl w:val="0"/>
        </w:rPr>
      </w:r>
    </w:p>
    <w:p w:rsidR="00000000" w:rsidDel="00000000" w:rsidP="00000000" w:rsidRDefault="00000000" w:rsidRPr="00000000" w14:paraId="00000066">
      <w:pPr>
        <w:spacing w:line="360" w:lineRule="auto"/>
        <w:jc w:val="center"/>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4243388" cy="2826575"/>
            <wp:effectExtent b="25400" l="25400" r="25400" t="25400"/>
            <wp:docPr id="15"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4243388" cy="28265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7">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Figure 4: Industry Life Cycle</w:t>
      </w:r>
    </w:p>
    <w:p w:rsidR="00000000" w:rsidDel="00000000" w:rsidP="00000000" w:rsidRDefault="00000000" w:rsidRPr="00000000" w14:paraId="00000068">
      <w:pPr>
        <w:spacing w:line="360" w:lineRule="auto"/>
        <w:jc w:val="center"/>
        <w:rPr>
          <w:rFonts w:ascii="Arial" w:cs="Arial" w:eastAsia="Arial" w:hAnsi="Arial"/>
        </w:rPr>
      </w:pPr>
      <w:r w:rsidDel="00000000" w:rsidR="00000000" w:rsidRPr="00000000">
        <w:rPr>
          <w:rFonts w:ascii="Arial" w:cs="Arial" w:eastAsia="Arial" w:hAnsi="Arial"/>
          <w:rtl w:val="0"/>
        </w:rPr>
        <w:t xml:space="preserve">(Source: Cucculelli and Peruzzi, 2020)</w:t>
      </w:r>
    </w:p>
    <w:p w:rsidR="00000000" w:rsidDel="00000000" w:rsidP="00000000" w:rsidRDefault="00000000" w:rsidRPr="00000000" w14:paraId="00000069">
      <w:pPr>
        <w:pStyle w:val="Heading2"/>
        <w:rPr/>
      </w:pPr>
      <w:bookmarkStart w:colFirst="0" w:colLast="0" w:name="_heading=h.1t3h5sf" w:id="7"/>
      <w:bookmarkEnd w:id="7"/>
      <w:r w:rsidDel="00000000" w:rsidR="00000000" w:rsidRPr="00000000">
        <w:rPr>
          <w:rtl w:val="0"/>
        </w:rPr>
        <w:t xml:space="preserve">Porter’s Industry Five Forces Analysis </w:t>
      </w:r>
    </w:p>
    <w:p w:rsidR="00000000" w:rsidDel="00000000" w:rsidP="00000000" w:rsidRDefault="00000000" w:rsidRPr="00000000" w14:paraId="0000006A">
      <w:pPr>
        <w:shd w:fill="ffffff" w:val="clear"/>
        <w:spacing w:after="480" w:before="260" w:line="360" w:lineRule="auto"/>
        <w:jc w:val="both"/>
        <w:rPr>
          <w:rFonts w:ascii="Arial" w:cs="Arial" w:eastAsia="Arial" w:hAnsi="Arial"/>
          <w:color w:val="040c28"/>
        </w:rPr>
      </w:pPr>
      <w:r w:rsidDel="00000000" w:rsidR="00000000" w:rsidRPr="00000000">
        <w:rPr>
          <w:rFonts w:ascii="Arial" w:cs="Arial" w:eastAsia="Arial" w:hAnsi="Arial"/>
          <w:b w:val="1"/>
          <w:rtl w:val="0"/>
        </w:rPr>
        <w:t xml:space="preserve">Competitive Rivalry (High): </w:t>
      </w:r>
      <w:r w:rsidDel="00000000" w:rsidR="00000000" w:rsidRPr="00000000">
        <w:rPr>
          <w:rFonts w:ascii="Arial" w:cs="Arial" w:eastAsia="Arial" w:hAnsi="Arial"/>
          <w:color w:val="040c28"/>
          <w:rtl w:val="0"/>
        </w:rPr>
        <w:t xml:space="preserve">The low switching cost among the customers and the availability of the cheaper alternatives can be noticed as the major reasons for the organisations to operate more efficiently in the market of the US regarding providing financial services mainly. Mastercard, Visa, and Discover are some of the financial service credit card providers in the market of the US more prominently. </w:t>
      </w:r>
      <w:r w:rsidDel="00000000" w:rsidR="00000000" w:rsidRPr="00000000">
        <w:rPr>
          <w:rFonts w:ascii="Arial" w:cs="Arial" w:eastAsia="Arial" w:hAnsi="Arial"/>
          <w:rtl w:val="0"/>
        </w:rPr>
        <w:t xml:space="preserve"> It has been observed that the competition among the existing organisations is noticed because of the ability of providing best as well as quick services to the customer ranges. Acquisition among the existing players can make the other players operating in the market higher because of the more access to the resources and ability to serve the customer ranges in a better manner. Convergence, interest rate and other services have impacted the competitive capacity of the operating players in the market mainly. </w:t>
      </w:r>
      <w:r w:rsidDel="00000000" w:rsidR="00000000" w:rsidRPr="00000000">
        <w:rPr>
          <w:rtl w:val="0"/>
        </w:rPr>
      </w:r>
    </w:p>
    <w:p w:rsidR="00000000" w:rsidDel="00000000" w:rsidP="00000000" w:rsidRDefault="00000000" w:rsidRPr="00000000" w14:paraId="0000006B">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b w:val="1"/>
          <w:rtl w:val="0"/>
        </w:rPr>
        <w:t xml:space="preserve">Supplier Power (High): </w:t>
      </w:r>
      <w:r w:rsidDel="00000000" w:rsidR="00000000" w:rsidRPr="00000000">
        <w:rPr>
          <w:rFonts w:ascii="Arial" w:cs="Arial" w:eastAsia="Arial" w:hAnsi="Arial"/>
          <w:rtl w:val="0"/>
        </w:rPr>
        <w:t xml:space="preserve">As capital is a primary resource, the bargaining power of the supplier is high. Loans, customer deposits and the pre-approved loan related costs are found to be seen as some of the major sources of supplies needed in this industry to survive more prominently (Boungou and Mawusi, 2023). The ability to retain suppliers and attract them influences the service capacity of the players in the market of the US, this makes the bargaining power of the suppliers extremely high in the market. </w:t>
      </w:r>
    </w:p>
    <w:p w:rsidR="00000000" w:rsidDel="00000000" w:rsidP="00000000" w:rsidRDefault="00000000" w:rsidRPr="00000000" w14:paraId="0000006C">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b w:val="1"/>
          <w:rtl w:val="0"/>
        </w:rPr>
        <w:t xml:space="preserve">Buyer Power (High): </w:t>
      </w:r>
      <w:r w:rsidDel="00000000" w:rsidR="00000000" w:rsidRPr="00000000">
        <w:rPr>
          <w:rFonts w:ascii="Arial" w:cs="Arial" w:eastAsia="Arial" w:hAnsi="Arial"/>
          <w:rtl w:val="0"/>
        </w:rPr>
        <w:t xml:space="preserve">Technologies like Fintech have impacted the choice regarding financial services among the consumers mainly (Arslanian and Fischer, 2019). It has been observed that more and more customers have become focused on individual needs. Several services options about credit card and business loan related services have created more options availability among the custom base. It has been observed that loyalty of customers is high and differentiated needs impact the banking and other types of financial services in the market of the Us more prominently. </w:t>
      </w:r>
    </w:p>
    <w:p w:rsidR="00000000" w:rsidDel="00000000" w:rsidP="00000000" w:rsidRDefault="00000000" w:rsidRPr="00000000" w14:paraId="0000006D">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b w:val="1"/>
          <w:rtl w:val="0"/>
        </w:rPr>
        <w:t xml:space="preserve">Threat of Substitution (Medium):</w:t>
      </w:r>
      <w:r w:rsidDel="00000000" w:rsidR="00000000" w:rsidRPr="00000000">
        <w:rPr>
          <w:rFonts w:ascii="Arial" w:cs="Arial" w:eastAsia="Arial" w:hAnsi="Arial"/>
          <w:rtl w:val="0"/>
        </w:rPr>
        <w:t xml:space="preserve"> There are some consumers in the market of the US who are focused on a more risk taking approach and these customers can look for available banking services, credit cards services and other types of financial services availability. That is why the threat of substitutes in the market of the US is seen to be medium mainly. There are several different options available for the consumers of the new start-up businesses to take up loan which can be seen as the major sources of the option availability of the customer ranges more prominently. </w:t>
      </w:r>
    </w:p>
    <w:p w:rsidR="00000000" w:rsidDel="00000000" w:rsidP="00000000" w:rsidRDefault="00000000" w:rsidRPr="00000000" w14:paraId="0000006E">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b w:val="1"/>
          <w:rtl w:val="0"/>
        </w:rPr>
        <w:t xml:space="preserve">Threat of New Entry (Low): </w:t>
      </w:r>
      <w:r w:rsidDel="00000000" w:rsidR="00000000" w:rsidRPr="00000000">
        <w:rPr>
          <w:rFonts w:ascii="Arial" w:cs="Arial" w:eastAsia="Arial" w:hAnsi="Arial"/>
          <w:rtl w:val="0"/>
        </w:rPr>
        <w:t xml:space="preserve">Analysing the US financial and credit card industry, it is found that there are very few entrants in the market.  High capital investment is needed to enter the market and the constant merging across the banks can be seen as one of the major reasons for the less threat of new entrants as the existing competitors in the market are found to have operated more effectively (Fong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2021). Customer preference of the existing players impacts the entry aspects of the new banks. High interest rate of the existing banks and rules, regulations and licensing works as barriers for the new entrants. </w:t>
      </w:r>
    </w:p>
    <w:p w:rsidR="00000000" w:rsidDel="00000000" w:rsidP="00000000" w:rsidRDefault="00000000" w:rsidRPr="00000000" w14:paraId="0000006F">
      <w:pPr>
        <w:pStyle w:val="Heading1"/>
        <w:rPr/>
      </w:pPr>
      <w:bookmarkStart w:colFirst="0" w:colLast="0" w:name="_heading=h.4d34og8" w:id="8"/>
      <w:bookmarkEnd w:id="8"/>
      <w:r w:rsidDel="00000000" w:rsidR="00000000" w:rsidRPr="00000000">
        <w:rPr>
          <w:rtl w:val="0"/>
        </w:rPr>
        <w:t xml:space="preserve">Internal Analysis</w:t>
      </w:r>
    </w:p>
    <w:p w:rsidR="00000000" w:rsidDel="00000000" w:rsidP="00000000" w:rsidRDefault="00000000" w:rsidRPr="00000000" w14:paraId="00000070">
      <w:pPr>
        <w:pStyle w:val="Heading2"/>
        <w:rPr/>
      </w:pPr>
      <w:bookmarkStart w:colFirst="0" w:colLast="0" w:name="_heading=h.2s8eyo1" w:id="9"/>
      <w:bookmarkEnd w:id="9"/>
      <w:r w:rsidDel="00000000" w:rsidR="00000000" w:rsidRPr="00000000">
        <w:rPr>
          <w:rtl w:val="0"/>
        </w:rPr>
        <w:t xml:space="preserve">American Express’ Strategic Resources and Capabilities </w:t>
      </w:r>
    </w:p>
    <w:p w:rsidR="00000000" w:rsidDel="00000000" w:rsidP="00000000" w:rsidRDefault="00000000" w:rsidRPr="00000000" w14:paraId="00000071">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With its extensive selection of card products and travel-related services, American Express (Amex) has a long history of being recognised as a global leader in the payments sector (Dhir and Dhir, 2019). The business has proven throughout time that it is capable of maintaining its market position, generating revenue growth, and effectively competing against other industry competitors by utilising its strategic resources and competencies.</w:t>
      </w:r>
    </w:p>
    <w:p w:rsidR="00000000" w:rsidDel="00000000" w:rsidP="00000000" w:rsidRDefault="00000000" w:rsidRPr="00000000" w14:paraId="00000072">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The brand equity that American Express has developed over many years is one of its most important strategic assets. The company is renowned for providing excellent customer service as well as appealing incentives and advantages to cardholders. Operating in more than 100 nations, the corporation has also been successful in establishing a significant presence in several areas throughout the world (Americanexpress.com, 2023). As a result, American Express is able to service a varied customer base and earn money in many ways. </w:t>
      </w:r>
    </w:p>
    <w:p w:rsidR="00000000" w:rsidDel="00000000" w:rsidP="00000000" w:rsidRDefault="00000000" w:rsidRPr="00000000" w14:paraId="00000073">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American Express' sound financial standing is yet another strategic asset. With approximately $34 billion in yearly revenue, the corporation is one of the biggest companies in its sector (MarketLine, 2018). Due to its strong financial position, the business is able to grow internationally, make strategic alliances and acquisitions, and invest in technology and innovation. Additionally, the business's investment division, American Express Ventures, has permitted it to make strategic investments in Fintech businesses, which give customers access to cutting-edge tools and resources (Dhir and Dhir, 2019).</w:t>
      </w:r>
    </w:p>
    <w:p w:rsidR="00000000" w:rsidDel="00000000" w:rsidP="00000000" w:rsidRDefault="00000000" w:rsidRPr="00000000" w14:paraId="00000074">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American Express places a lot of emphasis on innovation and technology when it comes to capabilities. The business opened a tech lab in Palo Alto that specialises in mobile infrastructure, cloud computing, and big data (Marketline, 2018). This lab enables the business to create and provide cutting-edge digital payment solutions to its cardholders and business clients internationally. The business has also developed a number of payment and authentication systems using biometrics, QR codes, and machine learning technology (Prianyshnykova and Tarasenko, 2020). The business has furthermore proven to have great capabilities in strategic alliances and acquisitions. American Express has been able to take use of their technology and introduce new integrated solutions by collaborating with other businesses. As an illustration, the business's alliance with “PayPal” enables owners of American Express cards to use their reward points to make purchases on PayPal's website. The company's acquisition of “Mezi”, an AI-powered travel assistant, expands its range of security solutions and gives its cards access to high-end concierge services (Marketline, 2018).</w:t>
      </w:r>
    </w:p>
    <w:p w:rsidR="00000000" w:rsidDel="00000000" w:rsidP="00000000" w:rsidRDefault="00000000" w:rsidRPr="00000000" w14:paraId="00000075">
      <w:pPr>
        <w:pStyle w:val="Heading2"/>
        <w:rPr/>
      </w:pPr>
      <w:bookmarkStart w:colFirst="0" w:colLast="0" w:name="_heading=h.17dp8vu" w:id="10"/>
      <w:bookmarkEnd w:id="10"/>
      <w:r w:rsidDel="00000000" w:rsidR="00000000" w:rsidRPr="00000000">
        <w:rPr>
          <w:rtl w:val="0"/>
        </w:rPr>
        <w:t xml:space="preserve">Value Chain Analysis</w:t>
      </w:r>
    </w:p>
    <w:p w:rsidR="00000000" w:rsidDel="00000000" w:rsidP="00000000" w:rsidRDefault="00000000" w:rsidRPr="00000000" w14:paraId="00000076">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An effective method for understanding a company's operations that add value for customers and support its competitive advantage is value chain analysis. The value chain analysis of the company is as follows;</w:t>
      </w:r>
    </w:p>
    <w:p w:rsidR="00000000" w:rsidDel="00000000" w:rsidP="00000000" w:rsidRDefault="00000000" w:rsidRPr="00000000" w14:paraId="0000007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26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Inbound Logistics: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comprises the procedures for locating and acquiring the supplies, parts, and raw materials required to make Amex's credit card products and travel-related services (Dhir, 2019). Fintech solutions can also be purchased through investments and business alliances.</w:t>
      </w:r>
    </w:p>
    <w:p w:rsidR="00000000" w:rsidDel="00000000" w:rsidP="00000000" w:rsidRDefault="00000000" w:rsidRPr="00000000" w14:paraId="0000007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Operations: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includes the procedures for creating, producing, and delivering Amex's goods and services, such as the issuing of cards, handling of payments, planning of trips, foreign currency, and insurance. The company's Palo Alto tech lab is essential in creating cutting-edge Fintech capabilities and digital payment solutions (Elgohary, 2022).</w:t>
      </w:r>
    </w:p>
    <w:p w:rsidR="00000000" w:rsidDel="00000000" w:rsidP="00000000" w:rsidRDefault="00000000" w:rsidRPr="00000000" w14:paraId="0000007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Outbound Logistics: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comprises operations like card distribution, online account access, and customer assistance that are used to store, distribute, and provide consumers with Amex products and services. Partnerships the business has with retailers and vendors also aid in extending its reach and distribution (Bolton, 2019).</w:t>
      </w:r>
    </w:p>
    <w:p w:rsidR="00000000" w:rsidDel="00000000" w:rsidP="00000000" w:rsidRDefault="00000000" w:rsidRPr="00000000" w14:paraId="000000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Marketing and Sales: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comprises marketing initiatives including advertising, direct mail, and customer relationship management that are used to advertise and sell Amex's goods and services to consumers. Corporate collaborations, consumer loyalty programmes, and brand awareness are crucial marketing strategies for the business (Raza et al., 2020).</w:t>
      </w:r>
    </w:p>
    <w:p w:rsidR="00000000" w:rsidDel="00000000" w:rsidP="00000000" w:rsidRDefault="00000000" w:rsidRPr="00000000" w14:paraId="0000007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ffffff" w:val="clear"/>
        <w:spacing w:after="48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Service: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entails the methods used to offer clients after-sales support and services, such as dispute resolution, fraud protection, and concierge services. Amex stands apart from rivals with to its emphasis on the client experience and value-added services like travel advice and personalised incentives (Batat, 2019).</w:t>
      </w:r>
    </w:p>
    <w:p w:rsidR="00000000" w:rsidDel="00000000" w:rsidP="00000000" w:rsidRDefault="00000000" w:rsidRPr="00000000" w14:paraId="0000007C">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In general, American Express's value chain is concentrated on providing consumers with high-quality, innovative, and integrated goods and services while using its powerful brand, devoted clientele, and strategic Fintech resources. Its investments in personnel, relationships, and technology are essential to preserving its competitive edge in the payments sector's quickly changing landscape.</w:t>
      </w:r>
    </w:p>
    <w:p w:rsidR="00000000" w:rsidDel="00000000" w:rsidP="00000000" w:rsidRDefault="00000000" w:rsidRPr="00000000" w14:paraId="0000007D">
      <w:pPr>
        <w:pStyle w:val="Heading2"/>
        <w:rPr/>
      </w:pPr>
      <w:bookmarkStart w:colFirst="0" w:colLast="0" w:name="_heading=h.3rdcrjn" w:id="11"/>
      <w:bookmarkEnd w:id="11"/>
      <w:r w:rsidDel="00000000" w:rsidR="00000000" w:rsidRPr="00000000">
        <w:rPr>
          <w:rtl w:val="0"/>
        </w:rPr>
        <w:t xml:space="preserve">Primary Activities </w:t>
      </w:r>
    </w:p>
    <w:p w:rsidR="00000000" w:rsidDel="00000000" w:rsidP="00000000" w:rsidRDefault="00000000" w:rsidRPr="00000000" w14:paraId="0000007E">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Card Services, Commercial Services, Merchant Services, and Network Services are the four main subcategories under which American Express's core activities fall.</w:t>
      </w:r>
    </w:p>
    <w:p w:rsidR="00000000" w:rsidDel="00000000" w:rsidP="00000000" w:rsidRDefault="00000000" w:rsidRPr="00000000" w14:paraId="0000007F">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Card Services: </w:t>
      </w:r>
    </w:p>
    <w:p w:rsidR="00000000" w:rsidDel="00000000" w:rsidP="00000000" w:rsidRDefault="00000000" w:rsidRPr="00000000" w14:paraId="00000080">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The primary offering of the business is credit and charge card services. American Express provides a selection of personal and business credit cards with a range of features, advantages, and reward schemes (Kirkwood, 2019). Travel-related services, such as reservations for hotels and resorts, flights, and travel counselling, are also part of the business's card offerings. Amex stands apart from rivals thanks to its emphasis on the client experience and value-added services like concierge and fraud prevention (Marketline, 2018).</w:t>
      </w:r>
    </w:p>
    <w:p w:rsidR="00000000" w:rsidDel="00000000" w:rsidP="00000000" w:rsidRDefault="00000000" w:rsidRPr="00000000" w14:paraId="00000081">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Commercial Services: </w:t>
      </w:r>
    </w:p>
    <w:p w:rsidR="00000000" w:rsidDel="00000000" w:rsidP="00000000" w:rsidRDefault="00000000" w:rsidRPr="00000000" w14:paraId="00000082">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This entails offering organisations of all sizes payment and cost management solutions. Corporate cards, buying cards, and other expenditure management services are all provided by American Express to assist businesses in streamlining their payment procedures and reducing expenses (Marketline, 2018). Foreign currency, working capital solutions, travel management, and consultancy services are all offered commercially by the firm (Melamed, 2020).</w:t>
      </w:r>
    </w:p>
    <w:p w:rsidR="00000000" w:rsidDel="00000000" w:rsidP="00000000" w:rsidRDefault="00000000" w:rsidRPr="00000000" w14:paraId="00000083">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Merchant Services: </w:t>
      </w:r>
    </w:p>
    <w:p w:rsidR="00000000" w:rsidDel="00000000" w:rsidP="00000000" w:rsidRDefault="00000000" w:rsidRPr="00000000" w14:paraId="00000084">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Included in here are the services offered to businesses who use American Express cards as payment. The business provides a variety of tools and services, including as fraud protection, marketing assistance, and processing for online and mobile payments, to assist merchants in managing their transactions (Marketline, 2018). Amex's income streams are growing as a result of the emphasis on increasing merchant acceptance and encouraging customer spending (Dhir, 2019).</w:t>
      </w:r>
    </w:p>
    <w:p w:rsidR="00000000" w:rsidDel="00000000" w:rsidP="00000000" w:rsidRDefault="00000000" w:rsidRPr="00000000" w14:paraId="00000085">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b w:val="1"/>
          <w:u w:val="single"/>
          <w:rtl w:val="0"/>
        </w:rPr>
        <w:t xml:space="preserve">Network Services:</w:t>
      </w:r>
      <w:r w:rsidDel="00000000" w:rsidR="00000000" w:rsidRPr="00000000">
        <w:rPr>
          <w:rFonts w:ascii="Arial" w:cs="Arial" w:eastAsia="Arial" w:hAnsi="Arial"/>
          <w:rtl w:val="0"/>
        </w:rPr>
        <w:t xml:space="preserve"> </w:t>
      </w:r>
    </w:p>
    <w:p w:rsidR="00000000" w:rsidDel="00000000" w:rsidP="00000000" w:rsidRDefault="00000000" w:rsidRPr="00000000" w14:paraId="00000086">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This entails supplying the hardware and software necessary to enable American Express's card issuing and payment processing operations. Since the business runs a closed-loop network, it issues its own cards and manages all transactions (Dhir and Dhir, 2019). In addition to creating innovative payment technology and solutions, American Express's network services include granting third-party issuers and processors access to its network.</w:t>
      </w:r>
    </w:p>
    <w:p w:rsidR="00000000" w:rsidDel="00000000" w:rsidP="00000000" w:rsidRDefault="00000000" w:rsidRPr="00000000" w14:paraId="00000087">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Overall, American Express's main operations centre on giving its consumers a seamless and integrated payment experience while also giving its merchant partners and corporate clients value-added services and support. The firm stands apart from rivals and keeps its top spot in the payments sector because to its emphasis on innovation, customer experience, and strategic investments in Fintech solutions.</w:t>
      </w:r>
    </w:p>
    <w:p w:rsidR="00000000" w:rsidDel="00000000" w:rsidP="00000000" w:rsidRDefault="00000000" w:rsidRPr="00000000" w14:paraId="00000088">
      <w:pPr>
        <w:pStyle w:val="Heading2"/>
        <w:rPr/>
      </w:pPr>
      <w:bookmarkStart w:colFirst="0" w:colLast="0" w:name="_heading=h.26in1rg" w:id="12"/>
      <w:bookmarkEnd w:id="12"/>
      <w:r w:rsidDel="00000000" w:rsidR="00000000" w:rsidRPr="00000000">
        <w:rPr>
          <w:rtl w:val="0"/>
        </w:rPr>
        <w:t xml:space="preserve">Secondary Activities</w:t>
      </w:r>
    </w:p>
    <w:p w:rsidR="00000000" w:rsidDel="00000000" w:rsidP="00000000" w:rsidRDefault="00000000" w:rsidRPr="00000000" w14:paraId="00000089">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American Express also operates in a variety of ancillary operations that support its key business functions in addition to its primary activities.</w:t>
      </w:r>
    </w:p>
    <w:p w:rsidR="00000000" w:rsidDel="00000000" w:rsidP="00000000" w:rsidRDefault="00000000" w:rsidRPr="00000000" w14:paraId="0000008A">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Research and Development:</w:t>
      </w:r>
    </w:p>
    <w:p w:rsidR="00000000" w:rsidDel="00000000" w:rsidP="00000000" w:rsidRDefault="00000000" w:rsidRPr="00000000" w14:paraId="0000008B">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To be on the cutting edge of payment technology and solutions, American Express makes major investments in research and development. The company's Palo Alto tech lab is a major centre for innovation, enabling Amex to keep up with new developments in fields like big data, cloud computing, and mobile infrastructure (Marketline, 2018). </w:t>
      </w:r>
    </w:p>
    <w:p w:rsidR="00000000" w:rsidDel="00000000" w:rsidP="00000000" w:rsidRDefault="00000000" w:rsidRPr="00000000" w14:paraId="0000008C">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Marketing and Branding:</w:t>
      </w:r>
    </w:p>
    <w:p w:rsidR="00000000" w:rsidDel="00000000" w:rsidP="00000000" w:rsidRDefault="00000000" w:rsidRPr="00000000" w14:paraId="0000008D">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American Express lays a big focus on marketing and branding because it wants to stand out from rivals and cultivate consumer loyalty (Kaur, 2022). The corporation makes significant investments in sponsorships, events, and advertising campaigns with the goal of highlighting its value-added services and rewards programmes. </w:t>
      </w:r>
    </w:p>
    <w:p w:rsidR="00000000" w:rsidDel="00000000" w:rsidP="00000000" w:rsidRDefault="00000000" w:rsidRPr="00000000" w14:paraId="0000008E">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Customer Services:</w:t>
      </w:r>
    </w:p>
    <w:p w:rsidR="00000000" w:rsidDel="00000000" w:rsidP="00000000" w:rsidRDefault="00000000" w:rsidRPr="00000000" w14:paraId="0000008F">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In order to keep customers happy and loyal, high-quality customer service is essential.  To respond to questions and problems from customers swiftly and efficiently, American Express invests in educating its customer service agents (Raza et al., 2020). To provide clients more control over their accounts, the organisation also provides a variety of self-service options, such as online and mobile account management tools (Kirkwood, 2019).</w:t>
      </w:r>
    </w:p>
    <w:p w:rsidR="00000000" w:rsidDel="00000000" w:rsidP="00000000" w:rsidRDefault="00000000" w:rsidRPr="00000000" w14:paraId="00000090">
      <w:pPr>
        <w:shd w:fill="ffffff" w:val="clear"/>
        <w:spacing w:after="480" w:before="260" w:line="360" w:lineRule="auto"/>
        <w:jc w:val="both"/>
        <w:rPr>
          <w:rFonts w:ascii="Arial" w:cs="Arial" w:eastAsia="Arial" w:hAnsi="Arial"/>
          <w:b w:val="1"/>
          <w:u w:val="single"/>
        </w:rPr>
      </w:pPr>
      <w:r w:rsidDel="00000000" w:rsidR="00000000" w:rsidRPr="00000000">
        <w:rPr>
          <w:rFonts w:ascii="Arial" w:cs="Arial" w:eastAsia="Arial" w:hAnsi="Arial"/>
          <w:b w:val="1"/>
          <w:u w:val="single"/>
          <w:rtl w:val="0"/>
        </w:rPr>
        <w:t xml:space="preserve">Human Resources:</w:t>
      </w:r>
    </w:p>
    <w:p w:rsidR="00000000" w:rsidDel="00000000" w:rsidP="00000000" w:rsidRDefault="00000000" w:rsidRPr="00000000" w14:paraId="00000091">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Since the success of its business depends on the knowledge and abilities of its personnel, American Express places a high priority on acquiring and keeping outstanding people. The organisation provides prospects for professional growth and career progression in addition to competitive pay and benefits packages (Marketline, 2018).</w:t>
      </w:r>
    </w:p>
    <w:p w:rsidR="00000000" w:rsidDel="00000000" w:rsidP="00000000" w:rsidRDefault="00000000" w:rsidRPr="00000000" w14:paraId="00000092">
      <w:pPr>
        <w:pStyle w:val="Heading2"/>
        <w:rPr/>
      </w:pPr>
      <w:bookmarkStart w:colFirst="0" w:colLast="0" w:name="_heading=h.lnxbz9" w:id="13"/>
      <w:bookmarkEnd w:id="13"/>
      <w:r w:rsidDel="00000000" w:rsidR="00000000" w:rsidRPr="00000000">
        <w:rPr>
          <w:rtl w:val="0"/>
        </w:rPr>
        <w:t xml:space="preserve">VRIO Analysis of Distinctive Resources and Capabilities (Appendix 1)</w:t>
      </w:r>
    </w:p>
    <w:p w:rsidR="00000000" w:rsidDel="00000000" w:rsidP="00000000" w:rsidRDefault="00000000" w:rsidRPr="00000000" w14:paraId="0000009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0" w:before="26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Brand Equity: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brand of American Express is an important asset since it is well-known and linked with grandeur and quality. It is also unusual since there aren't many businesses in the payments sector with a comparable degree of brand equity. It is challenging to duplicate, but it is not impossible, therefore it cannot entirely be copied. However, American Express has a solid organisational structure and marketing plan that support the long-term upkeep and growth of its brand (American Express, 2022).</w:t>
      </w:r>
    </w:p>
    <w:p w:rsidR="00000000" w:rsidDel="00000000" w:rsidP="00000000" w:rsidRDefault="00000000" w:rsidRPr="00000000" w14:paraId="0000009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Customer Service: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It is a key strength that distinguishes American Express from rivals. It is unusual because not many businesses are as dedicated to providing excellent customer service as American Express (American Express, 2022). It is challenging to reproduce the same quality of customer care across all consumer touchpoints, while it is not impossible. The organisational structure of American Express is sound and the customer service professionals receive intensive training and growth (Melamed, 2020).</w:t>
      </w:r>
    </w:p>
    <w:p w:rsidR="00000000" w:rsidDel="00000000" w:rsidP="00000000" w:rsidRDefault="00000000" w:rsidRPr="00000000" w14:paraId="0000009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Reward Programs: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rewards programmes offered by American Express are a great asset since they promote client loyalty and retention (Melamed, 2020). They are uncommon because few businesses have rewards programmes as extensive and adaptable as American Express's. Although it is not impossible to copy rewards programmes, American Express has a well-organized structure that enables it to improve and evolve its rewards programmes over time (American Express, 2022).</w:t>
      </w:r>
    </w:p>
    <w:p w:rsidR="00000000" w:rsidDel="00000000" w:rsidP="00000000" w:rsidRDefault="00000000" w:rsidRPr="00000000" w14:paraId="0000009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Investment Arm: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investment division of American Express is a useful tool since it enables the corporation to keep up with new trends and technology in the payments sector. It is uncommon since not many payment businesses have an equivalent investing arm (Bolton, 2019). American Express has a well-organized structure that enables it to efficiently utilise its investment arm and make strategic investments that are in line with its business objectives, even if it is not hard to copy.</w:t>
      </w:r>
    </w:p>
    <w:p w:rsidR="00000000" w:rsidDel="00000000" w:rsidP="00000000" w:rsidRDefault="00000000" w:rsidRPr="00000000" w14:paraId="0000009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ffffff" w:val="clear"/>
        <w:spacing w:after="48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Tech Lab:</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tech lab at American Express is a useful tool since it enables the corporation to create creative payment solutions and stay on the cutting edge of payment technology (Melamed, 2020). It is unusual since not many payment businesses have a lab like that. Although it is not impossible to copy, American Express has a well-organized structure that enables it to make the most of its tech lab and create solutions that support its corporate goals.</w:t>
      </w:r>
    </w:p>
    <w:p w:rsidR="00000000" w:rsidDel="00000000" w:rsidP="00000000" w:rsidRDefault="00000000" w:rsidRPr="00000000" w14:paraId="00000098">
      <w:pPr>
        <w:pStyle w:val="Heading2"/>
        <w:rPr/>
      </w:pPr>
      <w:bookmarkStart w:colFirst="0" w:colLast="0" w:name="_heading=h.35nkun2" w:id="14"/>
      <w:bookmarkEnd w:id="14"/>
      <w:r w:rsidDel="00000000" w:rsidR="00000000" w:rsidRPr="00000000">
        <w:rPr>
          <w:rtl w:val="0"/>
        </w:rPr>
        <w:t xml:space="preserve">SWOT analysis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36"/>
        <w:gridCol w:w="4480"/>
        <w:tblGridChange w:id="0">
          <w:tblGrid>
            <w:gridCol w:w="4536"/>
            <w:gridCol w:w="4480"/>
          </w:tblGrid>
        </w:tblGridChange>
      </w:tblGrid>
      <w:tr>
        <w:trPr>
          <w:cantSplit w:val="0"/>
          <w:tblHeader w:val="0"/>
        </w:trPr>
        <w:tc>
          <w:tcPr/>
          <w:p w:rsidR="00000000" w:rsidDel="00000000" w:rsidP="00000000" w:rsidRDefault="00000000" w:rsidRPr="00000000" w14:paraId="00000099">
            <w:pPr>
              <w:spacing w:after="480" w:before="260" w:line="360" w:lineRule="auto"/>
              <w:jc w:val="center"/>
              <w:rPr>
                <w:rFonts w:ascii="Arial" w:cs="Arial" w:eastAsia="Arial" w:hAnsi="Arial"/>
                <w:b w:val="1"/>
              </w:rPr>
            </w:pPr>
            <w:r w:rsidDel="00000000" w:rsidR="00000000" w:rsidRPr="00000000">
              <w:rPr>
                <w:rFonts w:ascii="Arial" w:cs="Arial" w:eastAsia="Arial" w:hAnsi="Arial"/>
                <w:b w:val="1"/>
                <w:rtl w:val="0"/>
              </w:rPr>
              <w:t xml:space="preserve">Strengths</w:t>
            </w:r>
          </w:p>
        </w:tc>
        <w:tc>
          <w:tcPr/>
          <w:p w:rsidR="00000000" w:rsidDel="00000000" w:rsidP="00000000" w:rsidRDefault="00000000" w:rsidRPr="00000000" w14:paraId="0000009A">
            <w:pPr>
              <w:spacing w:after="480" w:before="260" w:line="360" w:lineRule="auto"/>
              <w:jc w:val="center"/>
              <w:rPr>
                <w:rFonts w:ascii="Arial" w:cs="Arial" w:eastAsia="Arial" w:hAnsi="Arial"/>
                <w:b w:val="1"/>
              </w:rPr>
            </w:pPr>
            <w:r w:rsidDel="00000000" w:rsidR="00000000" w:rsidRPr="00000000">
              <w:rPr>
                <w:rFonts w:ascii="Arial" w:cs="Arial" w:eastAsia="Arial" w:hAnsi="Arial"/>
                <w:b w:val="1"/>
                <w:rtl w:val="0"/>
              </w:rPr>
              <w:t xml:space="preserve">Weaknesses</w:t>
            </w:r>
          </w:p>
        </w:tc>
      </w:tr>
      <w:tr>
        <w:trPr>
          <w:cantSplit w:val="0"/>
          <w:trHeight w:val="3298" w:hRule="atLeast"/>
          <w:tblHeader w:val="0"/>
        </w:trPr>
        <w:tc>
          <w:tcPr/>
          <w:p w:rsidR="00000000" w:rsidDel="00000000" w:rsidP="00000000" w:rsidRDefault="00000000" w:rsidRPr="00000000" w14:paraId="0000009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6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Potential Brand Recognition</w:t>
            </w:r>
          </w:p>
          <w:p w:rsidR="00000000" w:rsidDel="00000000" w:rsidP="00000000" w:rsidRDefault="00000000" w:rsidRPr="00000000" w14:paraId="0000009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Diversified Product Portfolio</w:t>
            </w:r>
          </w:p>
          <w:p w:rsidR="00000000" w:rsidDel="00000000" w:rsidP="00000000" w:rsidRDefault="00000000" w:rsidRPr="00000000" w14:paraId="0000009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Presence in more than 100 countries worldwide (Americanexpress.com, 2022)</w:t>
            </w:r>
          </w:p>
          <w:p w:rsidR="00000000" w:rsidDel="00000000" w:rsidP="00000000" w:rsidRDefault="00000000" w:rsidRPr="00000000" w14:paraId="0000009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Fintech innovation and financial investment</w:t>
            </w:r>
          </w:p>
          <w:p w:rsidR="00000000" w:rsidDel="00000000" w:rsidP="00000000" w:rsidRDefault="00000000" w:rsidRPr="00000000" w14:paraId="0000009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48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strong financial situation and rising income</w:t>
            </w:r>
          </w:p>
        </w:tc>
        <w:tc>
          <w:tcPr/>
          <w:p w:rsidR="00000000" w:rsidDel="00000000" w:rsidP="00000000" w:rsidRDefault="00000000" w:rsidRPr="00000000" w14:paraId="000000A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Dependence on a small number of important merchants</w:t>
            </w:r>
          </w:p>
          <w:p w:rsidR="00000000" w:rsidDel="00000000" w:rsidP="00000000" w:rsidRDefault="00000000" w:rsidRPr="00000000" w14:paraId="000000A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Higher prices than rivals (Batat, 2019)</w:t>
            </w:r>
          </w:p>
          <w:p w:rsidR="00000000" w:rsidDel="00000000" w:rsidP="00000000" w:rsidRDefault="00000000" w:rsidRPr="00000000" w14:paraId="000000A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Less well-liked in some places compared to rivals</w:t>
            </w:r>
          </w:p>
          <w:p w:rsidR="00000000" w:rsidDel="00000000" w:rsidP="00000000" w:rsidRDefault="00000000" w:rsidRPr="00000000" w14:paraId="000000A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 requirements for client creditworthiness (Raza et al., 2020)</w:t>
            </w:r>
          </w:p>
          <w:p w:rsidR="00000000" w:rsidDel="00000000" w:rsidP="00000000" w:rsidRDefault="00000000" w:rsidRPr="00000000" w14:paraId="000000A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Little capacity for market expansion</w:t>
            </w:r>
          </w:p>
          <w:p w:rsidR="00000000" w:rsidDel="00000000" w:rsidP="00000000" w:rsidRDefault="00000000" w:rsidRPr="00000000" w14:paraId="000000A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A8">
            <w:pPr>
              <w:spacing w:after="480" w:before="260" w:line="360" w:lineRule="auto"/>
              <w:jc w:val="both"/>
              <w:rPr>
                <w:rFonts w:ascii="Arial" w:cs="Arial" w:eastAsia="Arial" w:hAnsi="Arial"/>
              </w:rPr>
            </w:pPr>
            <w:r w:rsidDel="00000000" w:rsidR="00000000" w:rsidRPr="00000000">
              <w:rPr>
                <w:rtl w:val="0"/>
              </w:rPr>
            </w:r>
          </w:p>
        </w:tc>
      </w:tr>
      <w:tr>
        <w:trPr>
          <w:cantSplit w:val="0"/>
          <w:tblHeader w:val="0"/>
        </w:trPr>
        <w:tc>
          <w:tcPr/>
          <w:p w:rsidR="00000000" w:rsidDel="00000000" w:rsidP="00000000" w:rsidRDefault="00000000" w:rsidRPr="00000000" w14:paraId="000000A9">
            <w:pPr>
              <w:spacing w:after="480" w:before="260" w:line="360" w:lineRule="auto"/>
              <w:jc w:val="center"/>
              <w:rPr>
                <w:rFonts w:ascii="Arial" w:cs="Arial" w:eastAsia="Arial" w:hAnsi="Arial"/>
                <w:b w:val="1"/>
              </w:rPr>
            </w:pPr>
            <w:r w:rsidDel="00000000" w:rsidR="00000000" w:rsidRPr="00000000">
              <w:rPr>
                <w:rFonts w:ascii="Arial" w:cs="Arial" w:eastAsia="Arial" w:hAnsi="Arial"/>
                <w:b w:val="1"/>
                <w:rtl w:val="0"/>
              </w:rPr>
              <w:t xml:space="preserve">Opportunities</w:t>
            </w:r>
          </w:p>
        </w:tc>
        <w:tc>
          <w:tcPr/>
          <w:p w:rsidR="00000000" w:rsidDel="00000000" w:rsidP="00000000" w:rsidRDefault="00000000" w:rsidRPr="00000000" w14:paraId="000000AA">
            <w:pPr>
              <w:spacing w:after="480" w:before="260" w:line="360" w:lineRule="auto"/>
              <w:jc w:val="center"/>
              <w:rPr>
                <w:rFonts w:ascii="Arial" w:cs="Arial" w:eastAsia="Arial" w:hAnsi="Arial"/>
                <w:b w:val="1"/>
              </w:rPr>
            </w:pPr>
            <w:r w:rsidDel="00000000" w:rsidR="00000000" w:rsidRPr="00000000">
              <w:rPr>
                <w:rFonts w:ascii="Arial" w:cs="Arial" w:eastAsia="Arial" w:hAnsi="Arial"/>
                <w:b w:val="1"/>
                <w:rtl w:val="0"/>
              </w:rPr>
              <w:t xml:space="preserve">Threats</w:t>
            </w:r>
          </w:p>
        </w:tc>
      </w:tr>
      <w:tr>
        <w:trPr>
          <w:cantSplit w:val="0"/>
          <w:tblHeader w:val="0"/>
        </w:trPr>
        <w:tc>
          <w:tcPr/>
          <w:p w:rsidR="00000000" w:rsidDel="00000000" w:rsidP="00000000" w:rsidRDefault="00000000" w:rsidRPr="00000000" w14:paraId="000000A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6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Increasing demand for digital and mobile payments</w:t>
            </w:r>
          </w:p>
          <w:p w:rsidR="00000000" w:rsidDel="00000000" w:rsidP="00000000" w:rsidRDefault="00000000" w:rsidRPr="00000000" w14:paraId="000000A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Entering new markets and market segments (Mccain, 2023)</w:t>
            </w:r>
          </w:p>
          <w:p w:rsidR="00000000" w:rsidDel="00000000" w:rsidP="00000000" w:rsidRDefault="00000000" w:rsidRPr="00000000" w14:paraId="000000A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Fintech investments and strategic alliances (Shao and Oinas-Kukkonen, 2018)</w:t>
            </w:r>
          </w:p>
          <w:p w:rsidR="00000000" w:rsidDel="00000000" w:rsidP="00000000" w:rsidRDefault="00000000" w:rsidRPr="00000000" w14:paraId="000000A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Middle class in emerging markets is expanding</w:t>
            </w:r>
          </w:p>
          <w:p w:rsidR="00000000" w:rsidDel="00000000" w:rsidP="00000000" w:rsidRDefault="00000000" w:rsidRPr="00000000" w14:paraId="000000A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48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Increased emphasis on corporate responsibility and sustainability (Masud et al., 2019)</w:t>
            </w:r>
          </w:p>
        </w:tc>
        <w:tc>
          <w:tcPr/>
          <w:p w:rsidR="00000000" w:rsidDel="00000000" w:rsidP="00000000" w:rsidRDefault="00000000" w:rsidRPr="00000000" w14:paraId="000000B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High levels of competition in the payment sector (Dhir and Dhir, 2018)</w:t>
            </w:r>
          </w:p>
          <w:p w:rsidR="00000000" w:rsidDel="00000000" w:rsidP="00000000" w:rsidRDefault="00000000" w:rsidRPr="00000000" w14:paraId="000000B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Government rules and standards for compliance</w:t>
            </w:r>
          </w:p>
          <w:p w:rsidR="00000000" w:rsidDel="00000000" w:rsidP="00000000" w:rsidRDefault="00000000" w:rsidRPr="00000000" w14:paraId="000000B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Digital risks and technological disruptions (Shao and Oinas-Kukkonen, 2018)</w:t>
            </w:r>
          </w:p>
          <w:p w:rsidR="00000000" w:rsidDel="00000000" w:rsidP="00000000" w:rsidRDefault="00000000" w:rsidRPr="00000000" w14:paraId="000000B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Recessions and downturns in the economy</w:t>
            </w:r>
          </w:p>
          <w:p w:rsidR="00000000" w:rsidDel="00000000" w:rsidP="00000000" w:rsidRDefault="00000000" w:rsidRPr="00000000" w14:paraId="000000B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Foreign currency rate fluctuations (Islami et al., 2020)</w:t>
            </w:r>
          </w:p>
          <w:p w:rsidR="00000000" w:rsidDel="00000000" w:rsidP="00000000" w:rsidRDefault="00000000" w:rsidRPr="00000000" w14:paraId="000000B5">
            <w:pPr>
              <w:spacing w:after="480" w:before="260" w:line="360" w:lineRule="auto"/>
              <w:jc w:val="both"/>
              <w:rPr>
                <w:rFonts w:ascii="Arial" w:cs="Arial" w:eastAsia="Arial" w:hAnsi="Arial"/>
              </w:rPr>
            </w:pPr>
            <w:r w:rsidDel="00000000" w:rsidR="00000000" w:rsidRPr="00000000">
              <w:rPr>
                <w:rtl w:val="0"/>
              </w:rPr>
            </w:r>
          </w:p>
        </w:tc>
      </w:tr>
    </w:tbl>
    <w:p w:rsidR="00000000" w:rsidDel="00000000" w:rsidP="00000000" w:rsidRDefault="00000000" w:rsidRPr="00000000" w14:paraId="000000B6">
      <w:pPr>
        <w:shd w:fill="ffffff" w:val="clear"/>
        <w:spacing w:after="480" w:before="260" w:line="360" w:lineRule="auto"/>
        <w:jc w:val="center"/>
        <w:rPr>
          <w:rFonts w:ascii="Arial" w:cs="Arial" w:eastAsia="Arial" w:hAnsi="Arial"/>
          <w:b w:val="1"/>
        </w:rPr>
      </w:pPr>
      <w:r w:rsidDel="00000000" w:rsidR="00000000" w:rsidRPr="00000000">
        <w:rPr>
          <w:rFonts w:ascii="Arial" w:cs="Arial" w:eastAsia="Arial" w:hAnsi="Arial"/>
          <w:b w:val="1"/>
          <w:rtl w:val="0"/>
        </w:rPr>
        <w:t xml:space="preserve">Table 2: SWOT Analysis of American Express</w:t>
      </w:r>
    </w:p>
    <w:p w:rsidR="00000000" w:rsidDel="00000000" w:rsidP="00000000" w:rsidRDefault="00000000" w:rsidRPr="00000000" w14:paraId="000000B7">
      <w:pPr>
        <w:shd w:fill="ffffff" w:val="clea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Overall, American Express has a number of advantages that can help it thrive in the market, but it also has to work on improving its flaws and navigating the dangers and difficulties it encounters. American Express can keep up its position as a dominant force in the payments sector by utilising its strengths, going after growth prospects, and controlling risks.</w:t>
      </w:r>
    </w:p>
    <w:p w:rsidR="00000000" w:rsidDel="00000000" w:rsidP="00000000" w:rsidRDefault="00000000" w:rsidRPr="00000000" w14:paraId="000000B8">
      <w:pPr>
        <w:pStyle w:val="Heading1"/>
        <w:rPr/>
      </w:pPr>
      <w:bookmarkStart w:colFirst="0" w:colLast="0" w:name="_heading=h.1ksv4uv" w:id="15"/>
      <w:bookmarkEnd w:id="15"/>
      <w:r w:rsidDel="00000000" w:rsidR="00000000" w:rsidRPr="00000000">
        <w:rPr>
          <w:rtl w:val="0"/>
        </w:rPr>
        <w:t xml:space="preserve">Strategies to sustain competitive advantage </w:t>
      </w:r>
    </w:p>
    <w:p w:rsidR="00000000" w:rsidDel="00000000" w:rsidP="00000000" w:rsidRDefault="00000000" w:rsidRPr="00000000" w14:paraId="000000B9">
      <w:pPr>
        <w:spacing w:line="360" w:lineRule="auto"/>
        <w:jc w:val="both"/>
        <w:rPr>
          <w:rFonts w:ascii="Arial" w:cs="Arial" w:eastAsia="Arial" w:hAnsi="Arial"/>
        </w:rPr>
      </w:pPr>
      <w:r w:rsidDel="00000000" w:rsidR="00000000" w:rsidRPr="00000000">
        <w:rPr>
          <w:rFonts w:ascii="Arial" w:cs="Arial" w:eastAsia="Arial" w:hAnsi="Arial"/>
          <w:rtl w:val="0"/>
        </w:rPr>
        <w:t xml:space="preserve">Exploring Porters’ generic strategies, it is evaluated that there are mainly four strategies that the business can follow to enhance overall sustainable competitive advantage in the market. These include cost leadership, differentiation, cost focus and differentiation focus.  Shao and Oinas-Kukkonen (2018) have stated that companies can achieve competitive advantage either by having the lowest product cost or by having products which differ in ways that the existing market consumers mainly value. Cost leadership strategy is maintained when cost advantage r is gained by the business by selling goods and services at the lower price as compared to the existing competitors in the market. Companies can gain competitive advantage in the scale of economies where R&amp;D, service, sales and marketing activities related costs are efficiently reduced. </w:t>
      </w:r>
    </w:p>
    <w:p w:rsidR="00000000" w:rsidDel="00000000" w:rsidP="00000000" w:rsidRDefault="00000000" w:rsidRPr="00000000" w14:paraId="000000BA">
      <w:pPr>
        <w:spacing w:line="360" w:lineRule="auto"/>
        <w:jc w:val="both"/>
        <w:rPr>
          <w:rFonts w:ascii="Arial" w:cs="Arial" w:eastAsia="Arial" w:hAnsi="Arial"/>
        </w:rPr>
      </w:pPr>
      <w:r w:rsidDel="00000000" w:rsidR="00000000" w:rsidRPr="00000000">
        <w:rPr>
          <w:rFonts w:ascii="Arial" w:cs="Arial" w:eastAsia="Arial" w:hAnsi="Arial"/>
          <w:rtl w:val="0"/>
        </w:rPr>
        <w:t xml:space="preserve">Islami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(2020) have stated that differentiation strategy is applied in the case of the organisations when some characteristics are incorporated by the organisations that are valued by most buyers. This makes the offerings of the company segregated as compared to the other operating businesses in the market. Analysing the case of American Express, it is found that the company focuses on providing high-end goods and services for customers willing to pay (Lee, 2023). As a result, high pricing services with massive differentiation are maintained by the company in order to maintain a competitive edge. It is evaluated that differentiation to the existing market competitors is the recent strategy for competitive advantage for the company instead of relying on cost leadership. This approach is seen to be one of the main reasons that mainly consumers aged 30-49 have become able to access the services of the company (</w:t>
      </w:r>
      <w:r w:rsidDel="00000000" w:rsidR="00000000" w:rsidRPr="00000000">
        <w:rPr>
          <w:rFonts w:ascii="Arial" w:cs="Arial" w:eastAsia="Arial" w:hAnsi="Arial"/>
          <w:highlight w:val="white"/>
          <w:rtl w:val="0"/>
        </w:rPr>
        <w:t xml:space="preserve">Kunst, 2022</w:t>
      </w:r>
      <w:r w:rsidDel="00000000" w:rsidR="00000000" w:rsidRPr="00000000">
        <w:rPr>
          <w:rFonts w:ascii="Arial" w:cs="Arial" w:eastAsia="Arial" w:hAnsi="Arial"/>
          <w:rtl w:val="0"/>
        </w:rPr>
        <w:t xml:space="preserve">). Analysing the context of the company, it is found that affluent individuals and businesses are the consumers of these financial service providers who can afford </w:t>
      </w:r>
      <w:r w:rsidDel="00000000" w:rsidR="00000000" w:rsidRPr="00000000">
        <w:rPr>
          <w:rFonts w:ascii="Arial" w:cs="Arial" w:eastAsia="Arial" w:hAnsi="Arial"/>
          <w:highlight w:val="white"/>
          <w:rtl w:val="0"/>
        </w:rPr>
        <w:t xml:space="preserve">high-end credit cards and premium travel services (Lee, 2023). </w:t>
      </w:r>
      <w:r w:rsidDel="00000000" w:rsidR="00000000" w:rsidRPr="00000000">
        <w:rPr>
          <w:rFonts w:ascii="Arial" w:cs="Arial" w:eastAsia="Arial" w:hAnsi="Arial"/>
          <w:rtl w:val="0"/>
        </w:rPr>
        <w:t xml:space="preserve">Shao and Oinas-Kukkonen </w:t>
      </w:r>
      <w:r w:rsidDel="00000000" w:rsidR="00000000" w:rsidRPr="00000000">
        <w:rPr>
          <w:rFonts w:ascii="Arial" w:cs="Arial" w:eastAsia="Arial" w:hAnsi="Arial"/>
          <w:highlight w:val="white"/>
          <w:rtl w:val="0"/>
        </w:rPr>
        <w:t xml:space="preserve">(2018) have stated that cost focus strategy is applied when the company aims to offer its products services at a lower cost as compared to the competitors for a specific market segment. On the other hand, differentiation focus strategy is applied when differentiation of offerings is maintained for a niche market (Islami </w:t>
      </w:r>
      <w:r w:rsidDel="00000000" w:rsidR="00000000" w:rsidRPr="00000000">
        <w:rPr>
          <w:rFonts w:ascii="Arial" w:cs="Arial" w:eastAsia="Arial" w:hAnsi="Arial"/>
          <w:i w:val="1"/>
          <w:highlight w:val="white"/>
          <w:rtl w:val="0"/>
        </w:rPr>
        <w:t xml:space="preserve">et al. </w:t>
      </w:r>
      <w:r w:rsidDel="00000000" w:rsidR="00000000" w:rsidRPr="00000000">
        <w:rPr>
          <w:rFonts w:ascii="Arial" w:cs="Arial" w:eastAsia="Arial" w:hAnsi="Arial"/>
          <w:highlight w:val="white"/>
          <w:rtl w:val="0"/>
        </w:rPr>
        <w:t xml:space="preserve">2020). </w:t>
      </w:r>
      <w:r w:rsidDel="00000000" w:rsidR="00000000" w:rsidRPr="00000000">
        <w:rPr>
          <w:rtl w:val="0"/>
        </w:rPr>
      </w:r>
    </w:p>
    <w:p w:rsidR="00000000" w:rsidDel="00000000" w:rsidP="00000000" w:rsidRDefault="00000000" w:rsidRPr="00000000" w14:paraId="000000BB">
      <w:pPr>
        <w:spacing w:line="360" w:lineRule="auto"/>
        <w:jc w:val="center"/>
        <w:rPr>
          <w:rFonts w:ascii="Arial" w:cs="Arial" w:eastAsia="Arial" w:hAnsi="Arial"/>
          <w:b w:val="1"/>
        </w:rPr>
      </w:pPr>
      <w:r w:rsidDel="00000000" w:rsidR="00000000" w:rsidRPr="00000000">
        <w:rPr>
          <w:rFonts w:ascii="Arial" w:cs="Arial" w:eastAsia="Arial" w:hAnsi="Arial"/>
          <w:b w:val="1"/>
        </w:rPr>
        <w:drawing>
          <wp:inline distB="114300" distT="114300" distL="114300" distR="114300">
            <wp:extent cx="4135275" cy="1817569"/>
            <wp:effectExtent b="0" l="0" r="0" t="0"/>
            <wp:docPr id="14"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4135275" cy="1817569"/>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Figure 5: Porter’s four generic strategies </w:t>
      </w:r>
    </w:p>
    <w:p w:rsidR="00000000" w:rsidDel="00000000" w:rsidP="00000000" w:rsidRDefault="00000000" w:rsidRPr="00000000" w14:paraId="000000BD">
      <w:pPr>
        <w:spacing w:line="360" w:lineRule="auto"/>
        <w:jc w:val="center"/>
        <w:rPr>
          <w:rFonts w:ascii="Arial" w:cs="Arial" w:eastAsia="Arial" w:hAnsi="Arial"/>
        </w:rPr>
      </w:pPr>
      <w:r w:rsidDel="00000000" w:rsidR="00000000" w:rsidRPr="00000000">
        <w:rPr>
          <w:rFonts w:ascii="Arial" w:cs="Arial" w:eastAsia="Arial" w:hAnsi="Arial"/>
          <w:rtl w:val="0"/>
        </w:rPr>
        <w:t xml:space="preserve">(Source: Shao and Oinas-Kukkonen, 2018)</w:t>
      </w:r>
    </w:p>
    <w:p w:rsidR="00000000" w:rsidDel="00000000" w:rsidP="00000000" w:rsidRDefault="00000000" w:rsidRPr="00000000" w14:paraId="000000BE">
      <w:pPr>
        <w:spacing w:line="360" w:lineRule="auto"/>
        <w:jc w:val="both"/>
        <w:rPr>
          <w:rFonts w:ascii="Arial" w:cs="Arial" w:eastAsia="Arial" w:hAnsi="Arial"/>
        </w:rPr>
      </w:pPr>
      <w:r w:rsidDel="00000000" w:rsidR="00000000" w:rsidRPr="00000000">
        <w:rPr>
          <w:rFonts w:ascii="Arial" w:cs="Arial" w:eastAsia="Arial" w:hAnsi="Arial"/>
          <w:rtl w:val="0"/>
        </w:rPr>
        <w:t xml:space="preserve">Analysing the scenario of American Express, it is evaluated that the company can focus on cost to stay competitive in the market apart from following the company can lower its cost as compared to the existing competitors so that target consumer’s affluent individuals and businesses can be attracted. Analysing the financial situation of the company, it is found that the revenue of the company has been reduced in the year of 2022 (</w:t>
      </w:r>
      <w:r w:rsidDel="00000000" w:rsidR="00000000" w:rsidRPr="00000000">
        <w:rPr>
          <w:rFonts w:ascii="Arial" w:cs="Arial" w:eastAsia="Arial" w:hAnsi="Arial"/>
          <w:highlight w:val="white"/>
          <w:rtl w:val="0"/>
        </w:rPr>
        <w:t xml:space="preserve">macrotrends.net, 2022</w:t>
      </w:r>
      <w:r w:rsidDel="00000000" w:rsidR="00000000" w:rsidRPr="00000000">
        <w:rPr>
          <w:rFonts w:ascii="Arial" w:cs="Arial" w:eastAsia="Arial" w:hAnsi="Arial"/>
          <w:rtl w:val="0"/>
        </w:rPr>
        <w:t xml:space="preserve">). It is evaluated that the cost focus strategy can make the target consumers to be more interested to take up the services of the company with the cost focus strategy. Moreover, it is stated that cost focus strategy may help the company to capture the attention of the consumers aged between 18 and 29 too. </w:t>
      </w:r>
    </w:p>
    <w:p w:rsidR="00000000" w:rsidDel="00000000" w:rsidP="00000000" w:rsidRDefault="00000000" w:rsidRPr="00000000" w14:paraId="000000B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C0">
      <w:pPr>
        <w:pStyle w:val="Heading1"/>
        <w:rPr/>
      </w:pPr>
      <w:bookmarkStart w:colFirst="0" w:colLast="0" w:name="_heading=h.44sinio" w:id="16"/>
      <w:bookmarkEnd w:id="16"/>
      <w:r w:rsidDel="00000000" w:rsidR="00000000" w:rsidRPr="00000000">
        <w:rPr>
          <w:rtl w:val="0"/>
        </w:rPr>
        <w:t xml:space="preserve">Growth Strategies </w:t>
      </w:r>
    </w:p>
    <w:p w:rsidR="00000000" w:rsidDel="00000000" w:rsidP="00000000" w:rsidRDefault="00000000" w:rsidRPr="00000000" w14:paraId="000000C1">
      <w:pPr>
        <w:spacing w:line="360" w:lineRule="auto"/>
        <w:jc w:val="both"/>
        <w:rPr>
          <w:rFonts w:ascii="Arial" w:cs="Arial" w:eastAsia="Arial" w:hAnsi="Arial"/>
        </w:rPr>
      </w:pPr>
      <w:r w:rsidDel="00000000" w:rsidR="00000000" w:rsidRPr="00000000">
        <w:rPr>
          <w:rFonts w:ascii="Arial" w:cs="Arial" w:eastAsia="Arial" w:hAnsi="Arial"/>
          <w:rtl w:val="0"/>
        </w:rPr>
        <w:t xml:space="preserve">It might be observed that American Express pursue a mix of differentiation and cost focus tactics in order to maintain its competitive advantage and spur growth based on the internal and external analysis of the company's existing market position and plans.</w:t>
      </w:r>
    </w:p>
    <w:p w:rsidR="00000000" w:rsidDel="00000000" w:rsidP="00000000" w:rsidRDefault="00000000" w:rsidRPr="00000000" w14:paraId="000000C2">
      <w:pPr>
        <w:spacing w:line="360" w:lineRule="auto"/>
        <w:jc w:val="both"/>
        <w:rPr>
          <w:rFonts w:ascii="Arial" w:cs="Arial" w:eastAsia="Arial" w:hAnsi="Arial"/>
        </w:rPr>
      </w:pPr>
      <w:r w:rsidDel="00000000" w:rsidR="00000000" w:rsidRPr="00000000">
        <w:rPr>
          <w:rFonts w:ascii="Arial" w:cs="Arial" w:eastAsia="Arial" w:hAnsi="Arial"/>
          <w:rtl w:val="0"/>
        </w:rPr>
        <w:t xml:space="preserve">American Express has always depended on difference as its primary competitive strategy, but in order to appeal to a larger variety of customers, especially those in the younger demographic, the business needs also concentrate on cost reduction. As a result of this, American Express have expnaded its client base and boost its market share by employing cost focus methods like streamlining operations and providing credit cards and services for cheaper prices to certain market groups (Hovenkamp, 2019).</w:t>
      </w:r>
    </w:p>
    <w:p w:rsidR="00000000" w:rsidDel="00000000" w:rsidP="00000000" w:rsidRDefault="00000000" w:rsidRPr="00000000" w14:paraId="000000C3">
      <w:pPr>
        <w:pStyle w:val="Heading1"/>
        <w:rPr/>
      </w:pPr>
      <w:bookmarkStart w:colFirst="0" w:colLast="0" w:name="_heading=h.2jxsxqh" w:id="17"/>
      <w:bookmarkEnd w:id="17"/>
      <w:r w:rsidDel="00000000" w:rsidR="00000000" w:rsidRPr="00000000">
        <w:rPr>
          <w:rtl w:val="0"/>
        </w:rPr>
        <w:t xml:space="preserve">Green strategy and CSR</w:t>
      </w:r>
    </w:p>
    <w:p w:rsidR="00000000" w:rsidDel="00000000" w:rsidP="00000000" w:rsidRDefault="00000000" w:rsidRPr="00000000" w14:paraId="000000C4">
      <w:pPr>
        <w:spacing w:line="360" w:lineRule="auto"/>
        <w:jc w:val="both"/>
        <w:rPr>
          <w:rFonts w:ascii="Arial" w:cs="Arial" w:eastAsia="Arial" w:hAnsi="Arial"/>
        </w:rPr>
      </w:pPr>
      <w:r w:rsidDel="00000000" w:rsidR="00000000" w:rsidRPr="00000000">
        <w:rPr>
          <w:rFonts w:ascii="Arial" w:cs="Arial" w:eastAsia="Arial" w:hAnsi="Arial"/>
          <w:rtl w:val="0"/>
        </w:rPr>
        <w:t xml:space="preserve">Exploring </w:t>
      </w:r>
      <w:r w:rsidDel="00000000" w:rsidR="00000000" w:rsidRPr="00000000">
        <w:rPr>
          <w:rFonts w:ascii="Arial" w:cs="Arial" w:eastAsia="Arial" w:hAnsi="Arial"/>
          <w:color w:val="333333"/>
          <w:rtl w:val="0"/>
        </w:rPr>
        <w:t xml:space="preserve">American Express’ 2021-2022 Environmental, Social, and Governance (ESG) Report, it is found that the company has progressed regarding its strategy of ESG particularly, the company has become successful in ensuring Advance Climate Solutions while building financial confidence. Analysing the employee selection aspects and HRM practices, it has been observed that Diversity, Equity, and Inclusion (DE&amp;I) has been promoted by this organisation as the part of promoting the sustainability aspects (about.americanexpress.com, 2023). </w:t>
      </w:r>
      <w:r w:rsidDel="00000000" w:rsidR="00000000" w:rsidRPr="00000000">
        <w:rPr>
          <w:rFonts w:ascii="Arial" w:cs="Arial" w:eastAsia="Arial" w:hAnsi="Arial"/>
          <w:rtl w:val="0"/>
        </w:rPr>
        <w:t xml:space="preserve"> </w:t>
      </w:r>
    </w:p>
    <w:p w:rsidR="00000000" w:rsidDel="00000000" w:rsidP="00000000" w:rsidRDefault="00000000" w:rsidRPr="00000000" w14:paraId="000000C5">
      <w:pPr>
        <w:spacing w:line="360" w:lineRule="auto"/>
        <w:jc w:val="both"/>
        <w:rPr>
          <w:rFonts w:ascii="Arial" w:cs="Arial" w:eastAsia="Arial" w:hAnsi="Arial"/>
        </w:rPr>
      </w:pPr>
      <w:r w:rsidDel="00000000" w:rsidR="00000000" w:rsidRPr="00000000">
        <w:rPr>
          <w:rFonts w:ascii="Arial" w:cs="Arial" w:eastAsia="Arial" w:hAnsi="Arial"/>
          <w:rtl w:val="0"/>
        </w:rPr>
        <w:t xml:space="preserve">Masud </w:t>
      </w:r>
      <w:r w:rsidDel="00000000" w:rsidR="00000000" w:rsidRPr="00000000">
        <w:rPr>
          <w:rFonts w:ascii="Arial" w:cs="Arial" w:eastAsia="Arial" w:hAnsi="Arial"/>
          <w:i w:val="1"/>
          <w:rtl w:val="0"/>
        </w:rPr>
        <w:t xml:space="preserve">et al. </w:t>
      </w:r>
      <w:r w:rsidDel="00000000" w:rsidR="00000000" w:rsidRPr="00000000">
        <w:rPr>
          <w:rFonts w:ascii="Arial" w:cs="Arial" w:eastAsia="Arial" w:hAnsi="Arial"/>
          <w:rtl w:val="0"/>
        </w:rPr>
        <w:t xml:space="preserve">(2019) have stated that triple bottom line theory explores that the organisations have become more focused on the sustainability initiatives maintenance. The sustainability attainment of the organisations is possible through maintaining strategic balance of profit, environment and people aspect, it can be stated that diversity initiatives is one of the major sustainability initiatives considered by the organisation American Express as the part of remaining operative in the market of the US and other countries where the company operates (about.americanexpress.com, 2023).  The company has presented diversity representation among colleagues in the year of 2021 which has proven the clarity of the organisation regarding maintaining clarity of the operational integrity in the market of the US mainly. DE&amp;I Action Plan of 2020 of the organisation has been focused on the increase spending with underrepresented-owned suppliers while expanding access to financial education across the NGOs mainly (American Express, 2022). This can be seen as the approach of the organisation to manage the people aspects of TBL.</w:t>
      </w:r>
    </w:p>
    <w:p w:rsidR="00000000" w:rsidDel="00000000" w:rsidP="00000000" w:rsidRDefault="00000000" w:rsidRPr="00000000" w14:paraId="000000C6">
      <w:pPr>
        <w:spacing w:line="360" w:lineRule="auto"/>
        <w:jc w:val="both"/>
        <w:rPr>
          <w:rFonts w:ascii="Arial" w:cs="Arial" w:eastAsia="Arial" w:hAnsi="Arial"/>
        </w:rPr>
      </w:pPr>
      <w:r w:rsidDel="00000000" w:rsidR="00000000" w:rsidRPr="00000000">
        <w:rPr>
          <w:rFonts w:ascii="Arial" w:cs="Arial" w:eastAsia="Arial" w:hAnsi="Arial"/>
          <w:rtl w:val="0"/>
        </w:rPr>
        <w:t xml:space="preserve">Analysing the environmental initiatives, it has been noticed that the organisation has focused on Science Based Target initiative (SBTi) so that the organisation can attain net zero target aspects more efficiently (American Express, 2022). The organisation has focused on the renewable energy based operation which can be seen through the CarbonNeutral® operations initiatives mainly. The organisation has helped to build Financial Confidence among the people to achieve their aspirations not only through the existing service base, the organisation has also invested more than $300 million so that people can jumpstart the new business initiatives (American Express, 2022). This can be seen as some of the major CSR initiatives of the organisation as the part of managing sustainability in the markets where the organisation is seen to operate mainly. The company has also seen to be engaged in the Climate Solution programs which can be noticed in the below figure:</w:t>
      </w:r>
    </w:p>
    <w:p w:rsidR="00000000" w:rsidDel="00000000" w:rsidP="00000000" w:rsidRDefault="00000000" w:rsidRPr="00000000" w14:paraId="000000C7">
      <w:pPr>
        <w:spacing w:line="360" w:lineRule="auto"/>
        <w:jc w:val="center"/>
        <w:rPr>
          <w:rFonts w:ascii="Arial" w:cs="Arial" w:eastAsia="Arial" w:hAnsi="Arial"/>
        </w:rPr>
      </w:pPr>
      <w:r w:rsidDel="00000000" w:rsidR="00000000" w:rsidRPr="00000000">
        <w:rPr>
          <w:rFonts w:ascii="Arial" w:cs="Arial" w:eastAsia="Arial" w:hAnsi="Arial"/>
        </w:rPr>
        <w:drawing>
          <wp:inline distB="114300" distT="114300" distL="114300" distR="114300">
            <wp:extent cx="5731200" cy="2057400"/>
            <wp:effectExtent b="0" l="0" r="0" t="0"/>
            <wp:docPr id="16"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31200" cy="2057400"/>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Figure 6: Climate Solution Programs of American Express</w:t>
      </w:r>
    </w:p>
    <w:p w:rsidR="00000000" w:rsidDel="00000000" w:rsidP="00000000" w:rsidRDefault="00000000" w:rsidRPr="00000000" w14:paraId="000000C9">
      <w:pPr>
        <w:spacing w:line="360" w:lineRule="auto"/>
        <w:jc w:val="center"/>
        <w:rPr>
          <w:rFonts w:ascii="Arial" w:cs="Arial" w:eastAsia="Arial" w:hAnsi="Arial"/>
        </w:rPr>
      </w:pPr>
      <w:r w:rsidDel="00000000" w:rsidR="00000000" w:rsidRPr="00000000">
        <w:rPr>
          <w:rFonts w:ascii="Arial" w:cs="Arial" w:eastAsia="Arial" w:hAnsi="Arial"/>
          <w:rtl w:val="0"/>
        </w:rPr>
        <w:t xml:space="preserve">(Source: American Express, 2022)</w:t>
      </w:r>
    </w:p>
    <w:p w:rsidR="00000000" w:rsidDel="00000000" w:rsidP="00000000" w:rsidRDefault="00000000" w:rsidRPr="00000000" w14:paraId="000000CA">
      <w:pPr>
        <w:spacing w:line="360" w:lineRule="auto"/>
        <w:jc w:val="both"/>
        <w:rPr>
          <w:rFonts w:ascii="Arial" w:cs="Arial" w:eastAsia="Arial" w:hAnsi="Arial"/>
        </w:rPr>
      </w:pPr>
      <w:r w:rsidDel="00000000" w:rsidR="00000000" w:rsidRPr="00000000">
        <w:rPr>
          <w:rFonts w:ascii="Arial" w:cs="Arial" w:eastAsia="Arial" w:hAnsi="Arial"/>
          <w:rtl w:val="0"/>
        </w:rPr>
        <w:t xml:space="preserve">Therefore, as per the advanced climate solutions program American express have considered to play a role in supporting the transition to the low carbon economy. It has been working towards the advanced  climate solutions provided through multiple fronts. The company mainly commits through the net-zero emissions plan by the year 2025 (Americanexpress.com, 2022). American express considered the enhancement of the management system that can tackle the climate related risks and opportunities within the business (Americanexpress.com, 2022). The company has also  considered the low carbon product innovation within the year 2022, and that has been considered as a major step towards the carbon producing system and track down the carbon production approaches (Americanexpress.com, 2022). Therefore the company  supports through the initiatives and partnerships with the  programs  to address the adverse effects of the climate changes  in the community and invested approximately $10 million  from the year 2021 to consider the  sustainable action till the year 2025 (Americanexpress.com, 2022). With the strategic approaches that American Express can develop to sustain the competitive market, it is required to deliver a green energy initiative to consider environmental sustainability  as well. It has been effectively causing a greater impact towards the princess and that considered the higher competitive market to follow the strategic enhancement to consider the three pillars of sustainability social, environmental and governance. Therefore, a recent picture regarding the analysis  of the  threats and the risks to consider competitive strategies for the company conveys the collective strategic reformation needed for American express. </w:t>
      </w:r>
    </w:p>
    <w:p w:rsidR="00000000" w:rsidDel="00000000" w:rsidP="00000000" w:rsidRDefault="00000000" w:rsidRPr="00000000" w14:paraId="000000CB">
      <w:pPr>
        <w:pStyle w:val="Heading1"/>
        <w:rPr/>
      </w:pPr>
      <w:bookmarkStart w:colFirst="0" w:colLast="0" w:name="_heading=h.z337ya" w:id="18"/>
      <w:bookmarkEnd w:id="18"/>
      <w:r w:rsidDel="00000000" w:rsidR="00000000" w:rsidRPr="00000000">
        <w:rPr>
          <w:rtl w:val="0"/>
        </w:rPr>
        <w:t xml:space="preserve">Conclusion </w:t>
      </w:r>
    </w:p>
    <w:p w:rsidR="00000000" w:rsidDel="00000000" w:rsidP="00000000" w:rsidRDefault="00000000" w:rsidRPr="00000000" w14:paraId="000000CC">
      <w:pPr>
        <w:spacing w:line="360" w:lineRule="auto"/>
        <w:jc w:val="both"/>
        <w:rPr>
          <w:rFonts w:ascii="Arial" w:cs="Arial" w:eastAsia="Arial" w:hAnsi="Arial"/>
        </w:rPr>
      </w:pPr>
      <w:r w:rsidDel="00000000" w:rsidR="00000000" w:rsidRPr="00000000">
        <w:rPr>
          <w:rFonts w:ascii="Arial" w:cs="Arial" w:eastAsia="Arial" w:hAnsi="Arial"/>
          <w:rtl w:val="0"/>
        </w:rPr>
        <w:t xml:space="preserve">Hence, in conclusion to the report, the main objectives are the concern for the company to consider the external and internal influences that determine the main fall, under the governance project execution. It is being effectively handled by the company but there is a need for certain development to consider the external influence that negatively influences the company towards having a lower competitive advantage. Current political stability in the US and technological developmental choice are having moderate impact towards the company as they are having a progressive approach. However, it is evident from the PESTLE analysis that the legal and environmental actions need to be revised as the current data legislative actions regarding privacy and security along with the environment concerns are negatively impacting the current financial services within the industry. Despite having legal and  environmental concerns, industrial rivalry is getting strong and  a strong supplier power with higher buyer power is found to impact current strategies of the company. However, being a leading FinTech company, American express is also having certain difficulties as considering this report as their weakness, that prompt approaching to the threats in the market. Therefore, the main concern for the company is to have a highly competitive market where the government rules and standards are associated with each other and this provides a digital risk and technological disruption to the company's activities. Also the company is considered to have a downturn due to the recession and foreign current rate fluctuations and thus causes certain impacts to consider the current sustainable approach towards the competitive market in the US. </w:t>
      </w:r>
    </w:p>
    <w:p w:rsidR="00000000" w:rsidDel="00000000" w:rsidP="00000000" w:rsidRDefault="00000000" w:rsidRPr="00000000" w14:paraId="000000CD">
      <w:pPr>
        <w:pStyle w:val="Heading1"/>
        <w:rPr/>
      </w:pPr>
      <w:bookmarkStart w:colFirst="0" w:colLast="0" w:name="_heading=h.3j2qqm3" w:id="19"/>
      <w:bookmarkEnd w:id="19"/>
      <w:r w:rsidDel="00000000" w:rsidR="00000000" w:rsidRPr="00000000">
        <w:rPr>
          <w:rtl w:val="0"/>
        </w:rPr>
        <w:t xml:space="preserve">Recommendations </w:t>
      </w:r>
    </w:p>
    <w:p w:rsidR="00000000" w:rsidDel="00000000" w:rsidP="00000000" w:rsidRDefault="00000000" w:rsidRPr="00000000" w14:paraId="000000CE">
      <w:pPr>
        <w:spacing w:line="360" w:lineRule="auto"/>
        <w:jc w:val="both"/>
        <w:rPr>
          <w:rFonts w:ascii="Arial" w:cs="Arial" w:eastAsia="Arial" w:hAnsi="Arial"/>
        </w:rPr>
      </w:pPr>
      <w:r w:rsidDel="00000000" w:rsidR="00000000" w:rsidRPr="00000000">
        <w:rPr>
          <w:rFonts w:ascii="Arial" w:cs="Arial" w:eastAsia="Arial" w:hAnsi="Arial"/>
          <w:rtl w:val="0"/>
        </w:rPr>
        <w:t xml:space="preserve">With the effective use of the secondary information and detail analysis  provides an insight into the current problems that the company is currently facing. Therefore, there are certain ways that can be suggested from the analysis, focused on the sustainability within the competitive economic market to prefer a better growth and development within the US market. Therefore, due to the threats within the external market and the internal weakness along with the  value chain analysis, it can be considered adopting certain changes within their business approach can be beneficial for the future standardisation and sustainability. These can be suggested as: </w:t>
      </w:r>
    </w:p>
    <w:p w:rsidR="00000000" w:rsidDel="00000000" w:rsidP="00000000" w:rsidRDefault="00000000" w:rsidRPr="00000000" w14:paraId="000000CF">
      <w:pPr>
        <w:spacing w:line="36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Cost focus strategy to consider the competitive advantage gaining process: </w:t>
      </w:r>
    </w:p>
    <w:p w:rsidR="00000000" w:rsidDel="00000000" w:rsidP="00000000" w:rsidRDefault="00000000" w:rsidRPr="00000000" w14:paraId="000000D0">
      <w:pPr>
        <w:spacing w:line="360" w:lineRule="auto"/>
        <w:jc w:val="both"/>
        <w:rPr>
          <w:rFonts w:ascii="Arial" w:cs="Arial" w:eastAsia="Arial" w:hAnsi="Arial"/>
        </w:rPr>
      </w:pPr>
      <w:r w:rsidDel="00000000" w:rsidR="00000000" w:rsidRPr="00000000">
        <w:rPr>
          <w:rFonts w:ascii="Arial" w:cs="Arial" w:eastAsia="Arial" w:hAnsi="Arial"/>
          <w:rtl w:val="0"/>
        </w:rPr>
        <w:t xml:space="preserve">Cost focus strategy will help the company to retain the losses till now due  to the economic instability in the US. The current approach has been followed with maintaining a cost differentiation strategy. Whereas the focus shifting towards the cost focus will initiate on the revenue collection and sales rather than just gaining competitive advantage. Theorem the cost focus strategic interventions in the company will help in  fighting against the economic disputes current the world is facing; it will measure a prominent developmental and  growing opportunity for the company to consider certain changes and that directly follow with enhancement current demand of the services. Therefore, the nature of cost focused businesses developments are focused in creating steady cash flow and that considered the descriptions with the financial market as well. Therefore the stocks and shares will be in a great pace with a cost focus strategy opportunity to enhance and increase the company’s performance along with increasing client base to consider automatic generation of the competitive advantage within the current marketing area. </w:t>
      </w:r>
    </w:p>
    <w:p w:rsidR="00000000" w:rsidDel="00000000" w:rsidP="00000000" w:rsidRDefault="00000000" w:rsidRPr="00000000" w14:paraId="000000D1">
      <w:pPr>
        <w:spacing w:line="360" w:lineRule="auto"/>
        <w:jc w:val="both"/>
        <w:rPr>
          <w:rFonts w:ascii="Arial" w:cs="Arial" w:eastAsia="Arial" w:hAnsi="Arial"/>
          <w:b w:val="1"/>
          <w:i w:val="1"/>
        </w:rPr>
      </w:pPr>
      <w:r w:rsidDel="00000000" w:rsidR="00000000" w:rsidRPr="00000000">
        <w:rPr>
          <w:rFonts w:ascii="Arial" w:cs="Arial" w:eastAsia="Arial" w:hAnsi="Arial"/>
          <w:b w:val="1"/>
          <w:i w:val="1"/>
          <w:rtl w:val="0"/>
        </w:rPr>
        <w:t xml:space="preserve">Environmental sustainability and considered the net-zero emission by 2025 is a great strategy to attract more clients and promote brand CSR responsibilities: </w:t>
      </w:r>
    </w:p>
    <w:p w:rsidR="00000000" w:rsidDel="00000000" w:rsidP="00000000" w:rsidRDefault="00000000" w:rsidRPr="00000000" w14:paraId="000000D2">
      <w:pPr>
        <w:spacing w:line="360" w:lineRule="auto"/>
        <w:jc w:val="both"/>
        <w:rPr>
          <w:rFonts w:ascii="Arial" w:cs="Arial" w:eastAsia="Arial" w:hAnsi="Arial"/>
        </w:rPr>
      </w:pPr>
      <w:r w:rsidDel="00000000" w:rsidR="00000000" w:rsidRPr="00000000">
        <w:rPr>
          <w:rFonts w:ascii="Arial" w:cs="Arial" w:eastAsia="Arial" w:hAnsi="Arial"/>
          <w:rtl w:val="0"/>
        </w:rPr>
        <w:t xml:space="preserve"> On the other hand, the ESG is another  life saver act where the brand is considered to follow a trend of growth and consider the brand involvement as well. With corporate and social responsibility comes environmental, economic and social  approaches to consider a sustainable society and community building approach.. In this era, where economic sustainability is in a threatening position, environmental sustainability actions have come along with that. Therefore, these have been the main two forces that the company can adopt in order to manage their business more sustainable to the market. The current market is situated and delivered through making its opportunity to focus and creating a sustainable measurement. Thus, it is evident from the analysis that with the green energy and CSR practises  an economic growth is related with having more brand popularity and considered with a growth in client base. Therefore, the main motive of the company is to consider an extension of the client base to consider  a cost focus strategy to deliver better economic growth. However, to consider the   reduction of the current  challenges and issues within the company  required actions and strategic activities has been discussed and analysed and  preferably focusing of  cost focus strategy with  existing client based will be beneficial for the company. </w:t>
      </w:r>
    </w:p>
    <w:p w:rsidR="00000000" w:rsidDel="00000000" w:rsidP="00000000" w:rsidRDefault="00000000" w:rsidRPr="00000000" w14:paraId="000000D3">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D4">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References </w:t>
      </w:r>
    </w:p>
    <w:p w:rsidR="00000000" w:rsidDel="00000000" w:rsidP="00000000" w:rsidRDefault="00000000" w:rsidRPr="00000000" w14:paraId="000000D5">
      <w:pPr>
        <w:spacing w:line="360" w:lineRule="auto"/>
        <w:jc w:val="both"/>
        <w:rPr>
          <w:rFonts w:ascii="Arial" w:cs="Arial" w:eastAsia="Arial" w:hAnsi="Arial"/>
        </w:rPr>
      </w:pPr>
      <w:r w:rsidDel="00000000" w:rsidR="00000000" w:rsidRPr="00000000">
        <w:rPr>
          <w:rFonts w:ascii="Arial" w:cs="Arial" w:eastAsia="Arial" w:hAnsi="Arial"/>
          <w:rtl w:val="0"/>
        </w:rPr>
        <w:t xml:space="preserve">About.americanexpress.com, 2023. </w:t>
      </w:r>
      <w:r w:rsidDel="00000000" w:rsidR="00000000" w:rsidRPr="00000000">
        <w:rPr>
          <w:rFonts w:ascii="Arial" w:cs="Arial" w:eastAsia="Arial" w:hAnsi="Arial"/>
          <w:i w:val="1"/>
          <w:rtl w:val="0"/>
        </w:rPr>
        <w:t xml:space="preserve">Corporate Sustainability.</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Available at: </w:t>
      </w:r>
      <w:hyperlink r:id="rId15">
        <w:r w:rsidDel="00000000" w:rsidR="00000000" w:rsidRPr="00000000">
          <w:rPr>
            <w:rFonts w:ascii="Arial" w:cs="Arial" w:eastAsia="Arial" w:hAnsi="Arial"/>
            <w:color w:val="0000ff"/>
            <w:u w:val="single"/>
            <w:rtl w:val="0"/>
          </w:rPr>
          <w:t xml:space="preserve">https://about.americanexpress.com/corporate-sustainability/overview/default.aspx</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D6">
      <w:pPr>
        <w:spacing w:line="360" w:lineRule="auto"/>
        <w:jc w:val="both"/>
        <w:rPr>
          <w:rFonts w:ascii="Arial" w:cs="Arial" w:eastAsia="Arial" w:hAnsi="Arial"/>
        </w:rPr>
      </w:pPr>
      <w:r w:rsidDel="00000000" w:rsidR="00000000" w:rsidRPr="00000000">
        <w:rPr>
          <w:rFonts w:ascii="Arial" w:cs="Arial" w:eastAsia="Arial" w:hAnsi="Arial"/>
          <w:rtl w:val="0"/>
        </w:rPr>
        <w:t xml:space="preserve">Alshebli, A., 2022. </w:t>
      </w:r>
      <w:r w:rsidDel="00000000" w:rsidR="00000000" w:rsidRPr="00000000">
        <w:rPr>
          <w:rFonts w:ascii="Arial" w:cs="Arial" w:eastAsia="Arial" w:hAnsi="Arial"/>
          <w:i w:val="1"/>
          <w:rtl w:val="0"/>
        </w:rPr>
        <w:t xml:space="preserve">Comparative Securities Law: Perspectives from Kuwait, the UK and US</w:t>
      </w:r>
      <w:r w:rsidDel="00000000" w:rsidR="00000000" w:rsidRPr="00000000">
        <w:rPr>
          <w:rFonts w:ascii="Arial" w:cs="Arial" w:eastAsia="Arial" w:hAnsi="Arial"/>
          <w:rtl w:val="0"/>
        </w:rPr>
        <w:t xml:space="preserve">. Routledge.</w:t>
      </w:r>
    </w:p>
    <w:p w:rsidR="00000000" w:rsidDel="00000000" w:rsidP="00000000" w:rsidRDefault="00000000" w:rsidRPr="00000000" w14:paraId="000000D7">
      <w:pPr>
        <w:spacing w:line="360" w:lineRule="auto"/>
        <w:jc w:val="both"/>
        <w:rPr>
          <w:rFonts w:ascii="Arial" w:cs="Arial" w:eastAsia="Arial" w:hAnsi="Arial"/>
        </w:rPr>
      </w:pPr>
      <w:r w:rsidDel="00000000" w:rsidR="00000000" w:rsidRPr="00000000">
        <w:rPr>
          <w:rFonts w:ascii="Arial" w:cs="Arial" w:eastAsia="Arial" w:hAnsi="Arial"/>
          <w:rtl w:val="0"/>
        </w:rPr>
        <w:t xml:space="preserve">American Express, 2022. </w:t>
      </w:r>
      <w:r w:rsidDel="00000000" w:rsidR="00000000" w:rsidRPr="00000000">
        <w:rPr>
          <w:rFonts w:ascii="Arial" w:cs="Arial" w:eastAsia="Arial" w:hAnsi="Arial"/>
          <w:i w:val="1"/>
          <w:rtl w:val="0"/>
        </w:rPr>
        <w:t xml:space="preserve">The Powerful Backing of American Express. 2021–2022 Environmental, Social, and Governance Report. </w:t>
      </w:r>
      <w:r w:rsidDel="00000000" w:rsidR="00000000" w:rsidRPr="00000000">
        <w:rPr>
          <w:rFonts w:ascii="Arial" w:cs="Arial" w:eastAsia="Arial" w:hAnsi="Arial"/>
          <w:rtl w:val="0"/>
        </w:rPr>
        <w:t xml:space="preserve">Available at: </w:t>
      </w:r>
      <w:hyperlink r:id="rId16">
        <w:r w:rsidDel="00000000" w:rsidR="00000000" w:rsidRPr="00000000">
          <w:rPr>
            <w:rFonts w:ascii="Arial" w:cs="Arial" w:eastAsia="Arial" w:hAnsi="Arial"/>
            <w:color w:val="0000ff"/>
            <w:u w:val="single"/>
            <w:rtl w:val="0"/>
          </w:rPr>
          <w:t xml:space="preserve">https://s29.q4cdn.com/330828691/files/doc_downloads/esg_resources/2022/AXP-2021-2022-ESG-Report.pdf</w:t>
        </w:r>
      </w:hyperlink>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D8">
      <w:pPr>
        <w:spacing w:line="360" w:lineRule="auto"/>
        <w:jc w:val="both"/>
        <w:rPr>
          <w:rFonts w:ascii="Arial" w:cs="Arial" w:eastAsia="Arial" w:hAnsi="Arial"/>
        </w:rPr>
      </w:pPr>
      <w:r w:rsidDel="00000000" w:rsidR="00000000" w:rsidRPr="00000000">
        <w:rPr>
          <w:rFonts w:ascii="Arial" w:cs="Arial" w:eastAsia="Arial" w:hAnsi="Arial"/>
          <w:rtl w:val="0"/>
        </w:rPr>
        <w:t xml:space="preserve">Americanexpress.com (2022), Advance Climate Solutions, Available at: </w:t>
      </w:r>
      <w:hyperlink r:id="rId17">
        <w:r w:rsidDel="00000000" w:rsidR="00000000" w:rsidRPr="00000000">
          <w:rPr>
            <w:rFonts w:ascii="Arial" w:cs="Arial" w:eastAsia="Arial" w:hAnsi="Arial"/>
            <w:color w:val="0000ff"/>
            <w:u w:val="single"/>
            <w:rtl w:val="0"/>
          </w:rPr>
          <w:t xml:space="preserve">https://about.americanexpress.com/corporate-sustainability/esg/advance-climate-solutions/default.aspx</w:t>
        </w:r>
      </w:hyperlink>
      <w:r w:rsidDel="00000000" w:rsidR="00000000" w:rsidRPr="00000000">
        <w:rPr>
          <w:rFonts w:ascii="Arial" w:cs="Arial" w:eastAsia="Arial" w:hAnsi="Arial"/>
          <w:rtl w:val="0"/>
        </w:rPr>
        <w:t xml:space="preserve"> [accessed on: 21.04.2023] </w:t>
      </w:r>
    </w:p>
    <w:p w:rsidR="00000000" w:rsidDel="00000000" w:rsidP="00000000" w:rsidRDefault="00000000" w:rsidRPr="00000000" w14:paraId="000000D9">
      <w:pPr>
        <w:spacing w:line="360" w:lineRule="auto"/>
        <w:jc w:val="both"/>
        <w:rPr>
          <w:rFonts w:ascii="Arial" w:cs="Arial" w:eastAsia="Arial" w:hAnsi="Arial"/>
        </w:rPr>
      </w:pPr>
      <w:r w:rsidDel="00000000" w:rsidR="00000000" w:rsidRPr="00000000">
        <w:rPr>
          <w:rFonts w:ascii="Arial" w:cs="Arial" w:eastAsia="Arial" w:hAnsi="Arial"/>
          <w:rtl w:val="0"/>
        </w:rPr>
        <w:t xml:space="preserve">americanexpress.com, 2023. </w:t>
      </w:r>
      <w:r w:rsidDel="00000000" w:rsidR="00000000" w:rsidRPr="00000000">
        <w:rPr>
          <w:rFonts w:ascii="Arial" w:cs="Arial" w:eastAsia="Arial" w:hAnsi="Arial"/>
          <w:i w:val="1"/>
          <w:rtl w:val="0"/>
        </w:rPr>
        <w:t xml:space="preserve">Welcome to American Express</w:t>
      </w:r>
      <w:r w:rsidDel="00000000" w:rsidR="00000000" w:rsidRPr="00000000">
        <w:rPr>
          <w:rFonts w:ascii="Arial" w:cs="Arial" w:eastAsia="Arial" w:hAnsi="Arial"/>
          <w:rtl w:val="0"/>
        </w:rPr>
        <w:t xml:space="preserve">. Available at: </w:t>
      </w:r>
      <w:hyperlink r:id="rId18">
        <w:r w:rsidDel="00000000" w:rsidR="00000000" w:rsidRPr="00000000">
          <w:rPr>
            <w:rFonts w:ascii="Arial" w:cs="Arial" w:eastAsia="Arial" w:hAnsi="Arial"/>
            <w:color w:val="0000ff"/>
            <w:u w:val="single"/>
            <w:rtl w:val="0"/>
          </w:rPr>
          <w:t xml:space="preserve">https://www.americanexpress.com/in/company/mission.html</w:t>
        </w:r>
      </w:hyperlink>
      <w:r w:rsidDel="00000000" w:rsidR="00000000" w:rsidRPr="00000000">
        <w:rPr>
          <w:rFonts w:ascii="Arial" w:cs="Arial" w:eastAsia="Arial" w:hAnsi="Arial"/>
          <w:color w:val="0000ff"/>
          <w:u w:val="single"/>
          <w:rtl w:val="0"/>
        </w:rPr>
        <w:t xml:space="preserve"> </w:t>
      </w:r>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D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Arslanian, H. and Fischer, F., 2019. </w:t>
      </w:r>
      <w:r w:rsidDel="00000000" w:rsidR="00000000" w:rsidRPr="00000000">
        <w:rPr>
          <w:rFonts w:ascii="Arial" w:cs="Arial" w:eastAsia="Arial" w:hAnsi="Arial"/>
          <w:i w:val="1"/>
          <w:color w:val="000000"/>
          <w:rtl w:val="0"/>
        </w:rPr>
        <w:t xml:space="preserve">The future of finance: The impact of FinTech, AI, and crypto on financial services</w:t>
      </w:r>
      <w:r w:rsidDel="00000000" w:rsidR="00000000" w:rsidRPr="00000000">
        <w:rPr>
          <w:rFonts w:ascii="Arial" w:cs="Arial" w:eastAsia="Arial" w:hAnsi="Arial"/>
          <w:color w:val="000000"/>
          <w:rtl w:val="0"/>
        </w:rPr>
        <w:t xml:space="preserve">. Springer.</w:t>
      </w:r>
    </w:p>
    <w:p w:rsidR="00000000" w:rsidDel="00000000" w:rsidP="00000000" w:rsidRDefault="00000000" w:rsidRPr="00000000" w14:paraId="000000DB">
      <w:pPr>
        <w:spacing w:line="360" w:lineRule="auto"/>
        <w:jc w:val="both"/>
        <w:rPr>
          <w:rFonts w:ascii="Arial" w:cs="Arial" w:eastAsia="Arial" w:hAnsi="Arial"/>
        </w:rPr>
      </w:pPr>
      <w:r w:rsidDel="00000000" w:rsidR="00000000" w:rsidRPr="00000000">
        <w:rPr>
          <w:rFonts w:ascii="Arial" w:cs="Arial" w:eastAsia="Arial" w:hAnsi="Arial"/>
          <w:rtl w:val="0"/>
        </w:rPr>
        <w:t xml:space="preserve">Batat, W., 2019. </w:t>
      </w:r>
      <w:r w:rsidDel="00000000" w:rsidR="00000000" w:rsidRPr="00000000">
        <w:rPr>
          <w:rFonts w:ascii="Arial" w:cs="Arial" w:eastAsia="Arial" w:hAnsi="Arial"/>
          <w:i w:val="1"/>
          <w:rtl w:val="0"/>
        </w:rPr>
        <w:t xml:space="preserve">Experiential marketing: Consumer behavior, customer experience and the 7Es</w:t>
      </w:r>
      <w:r w:rsidDel="00000000" w:rsidR="00000000" w:rsidRPr="00000000">
        <w:rPr>
          <w:rFonts w:ascii="Arial" w:cs="Arial" w:eastAsia="Arial" w:hAnsi="Arial"/>
          <w:rtl w:val="0"/>
        </w:rPr>
        <w:t xml:space="preserve">. Routledge.</w:t>
      </w:r>
    </w:p>
    <w:p w:rsidR="00000000" w:rsidDel="00000000" w:rsidP="00000000" w:rsidRDefault="00000000" w:rsidRPr="00000000" w14:paraId="000000DC">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Berman, A., Cano-Kollmann, M. and Mudambi, R., 2021. Innovation and entrepreneurial ecosystems: fintech in the financial services industry. </w:t>
      </w:r>
      <w:r w:rsidDel="00000000" w:rsidR="00000000" w:rsidRPr="00000000">
        <w:rPr>
          <w:rFonts w:ascii="Arial" w:cs="Arial" w:eastAsia="Arial" w:hAnsi="Arial"/>
          <w:i w:val="1"/>
          <w:color w:val="000000"/>
          <w:rtl w:val="0"/>
        </w:rPr>
        <w:t xml:space="preserve">Review of Managerial Science</w:t>
      </w:r>
      <w:r w:rsidDel="00000000" w:rsidR="00000000" w:rsidRPr="00000000">
        <w:rPr>
          <w:rFonts w:ascii="Arial" w:cs="Arial" w:eastAsia="Arial" w:hAnsi="Arial"/>
          <w:color w:val="000000"/>
          <w:rtl w:val="0"/>
        </w:rPr>
        <w:t xml:space="preserve">, pp.1-20.</w:t>
      </w:r>
    </w:p>
    <w:p w:rsidR="00000000" w:rsidDel="00000000" w:rsidP="00000000" w:rsidRDefault="00000000" w:rsidRPr="00000000" w14:paraId="000000DD">
      <w:pPr>
        <w:spacing w:line="360" w:lineRule="auto"/>
        <w:jc w:val="both"/>
        <w:rPr>
          <w:rFonts w:ascii="Arial" w:cs="Arial" w:eastAsia="Arial" w:hAnsi="Arial"/>
        </w:rPr>
      </w:pPr>
      <w:r w:rsidDel="00000000" w:rsidR="00000000" w:rsidRPr="00000000">
        <w:rPr>
          <w:rFonts w:ascii="Arial" w:cs="Arial" w:eastAsia="Arial" w:hAnsi="Arial"/>
          <w:rtl w:val="0"/>
        </w:rPr>
        <w:t xml:space="preserve">Bolton, R.N., 2019. Responsible research in retailing: is your research really useful?. </w:t>
      </w:r>
      <w:r w:rsidDel="00000000" w:rsidR="00000000" w:rsidRPr="00000000">
        <w:rPr>
          <w:rFonts w:ascii="Arial" w:cs="Arial" w:eastAsia="Arial" w:hAnsi="Arial"/>
          <w:i w:val="1"/>
          <w:rtl w:val="0"/>
        </w:rPr>
        <w:t xml:space="preserve">Journal of Retailing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95</w:t>
      </w:r>
      <w:r w:rsidDel="00000000" w:rsidR="00000000" w:rsidRPr="00000000">
        <w:rPr>
          <w:rFonts w:ascii="Arial" w:cs="Arial" w:eastAsia="Arial" w:hAnsi="Arial"/>
          <w:rtl w:val="0"/>
        </w:rPr>
        <w:t xml:space="preserve">(3), p.3.</w:t>
      </w:r>
    </w:p>
    <w:p w:rsidR="00000000" w:rsidDel="00000000" w:rsidP="00000000" w:rsidRDefault="00000000" w:rsidRPr="00000000" w14:paraId="000000DE">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Boungou, W. and Mawusi, C., 2023. Bank lending margins in a negative interest rate environment. </w:t>
      </w:r>
      <w:r w:rsidDel="00000000" w:rsidR="00000000" w:rsidRPr="00000000">
        <w:rPr>
          <w:rFonts w:ascii="Arial" w:cs="Arial" w:eastAsia="Arial" w:hAnsi="Arial"/>
          <w:i w:val="1"/>
          <w:color w:val="000000"/>
          <w:rtl w:val="0"/>
        </w:rPr>
        <w:t xml:space="preserve">International Journal of Finance &amp; Economics</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color w:val="000000"/>
          <w:rtl w:val="0"/>
        </w:rPr>
        <w:t xml:space="preserve">28</w:t>
      </w:r>
      <w:r w:rsidDel="00000000" w:rsidR="00000000" w:rsidRPr="00000000">
        <w:rPr>
          <w:rFonts w:ascii="Arial" w:cs="Arial" w:eastAsia="Arial" w:hAnsi="Arial"/>
          <w:color w:val="000000"/>
          <w:rtl w:val="0"/>
        </w:rPr>
        <w:t xml:space="preserve">(1), pp.886-901.</w:t>
      </w:r>
    </w:p>
    <w:p w:rsidR="00000000" w:rsidDel="00000000" w:rsidP="00000000" w:rsidRDefault="00000000" w:rsidRPr="00000000" w14:paraId="000000DF">
      <w:pPr>
        <w:spacing w:line="360" w:lineRule="auto"/>
        <w:jc w:val="both"/>
        <w:rPr>
          <w:rFonts w:ascii="Arial" w:cs="Arial" w:eastAsia="Arial" w:hAnsi="Arial"/>
        </w:rPr>
      </w:pPr>
      <w:r w:rsidDel="00000000" w:rsidR="00000000" w:rsidRPr="00000000">
        <w:rPr>
          <w:rFonts w:ascii="Arial" w:cs="Arial" w:eastAsia="Arial" w:hAnsi="Arial"/>
          <w:rtl w:val="0"/>
        </w:rPr>
        <w:t xml:space="preserve">Britannica, 2023. </w:t>
      </w:r>
      <w:r w:rsidDel="00000000" w:rsidR="00000000" w:rsidRPr="00000000">
        <w:rPr>
          <w:rFonts w:ascii="Arial" w:cs="Arial" w:eastAsia="Arial" w:hAnsi="Arial"/>
          <w:i w:val="1"/>
          <w:rtl w:val="0"/>
        </w:rPr>
        <w:t xml:space="preserve">American Express Company</w:t>
      </w:r>
      <w:r w:rsidDel="00000000" w:rsidR="00000000" w:rsidRPr="00000000">
        <w:rPr>
          <w:rFonts w:ascii="Arial" w:cs="Arial" w:eastAsia="Arial" w:hAnsi="Arial"/>
          <w:rtl w:val="0"/>
        </w:rPr>
        <w:t xml:space="preserve">. Available at: </w:t>
      </w:r>
      <w:hyperlink r:id="rId19">
        <w:r w:rsidDel="00000000" w:rsidR="00000000" w:rsidRPr="00000000">
          <w:rPr>
            <w:rFonts w:ascii="Arial" w:cs="Arial" w:eastAsia="Arial" w:hAnsi="Arial"/>
            <w:color w:val="0000ff"/>
            <w:u w:val="single"/>
            <w:rtl w:val="0"/>
          </w:rPr>
          <w:t xml:space="preserve">https://www.britannica.com/topic/American-Express-Company</w:t>
        </w:r>
      </w:hyperlink>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E0">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Cucculelli, M. and Peruzzi, V., 2020. Innovation over the industry life-cycle. Does ownership matter?. Research Policy, 49(1), p.103878.</w:t>
      </w:r>
    </w:p>
    <w:p w:rsidR="00000000" w:rsidDel="00000000" w:rsidP="00000000" w:rsidRDefault="00000000" w:rsidRPr="00000000" w14:paraId="000000E1">
      <w:pPr>
        <w:spacing w:line="360" w:lineRule="auto"/>
        <w:jc w:val="both"/>
        <w:rPr>
          <w:rFonts w:ascii="Arial" w:cs="Arial" w:eastAsia="Arial" w:hAnsi="Arial"/>
        </w:rPr>
      </w:pPr>
      <w:r w:rsidDel="00000000" w:rsidR="00000000" w:rsidRPr="00000000">
        <w:rPr>
          <w:rFonts w:ascii="Arial" w:cs="Arial" w:eastAsia="Arial" w:hAnsi="Arial"/>
          <w:rtl w:val="0"/>
        </w:rPr>
        <w:t xml:space="preserve">Dhir, S. and Dhir, S., 2019. American Express. </w:t>
      </w:r>
      <w:r w:rsidDel="00000000" w:rsidR="00000000" w:rsidRPr="00000000">
        <w:rPr>
          <w:rFonts w:ascii="Arial" w:cs="Arial" w:eastAsia="Arial" w:hAnsi="Arial"/>
          <w:i w:val="1"/>
          <w:rtl w:val="0"/>
        </w:rPr>
        <w:t xml:space="preserve">Cases in Strategic Management: A Flexibility Perspective</w:t>
      </w:r>
      <w:r w:rsidDel="00000000" w:rsidR="00000000" w:rsidRPr="00000000">
        <w:rPr>
          <w:rFonts w:ascii="Arial" w:cs="Arial" w:eastAsia="Arial" w:hAnsi="Arial"/>
          <w:rtl w:val="0"/>
        </w:rPr>
        <w:t xml:space="preserve">, pp.25-36.</w:t>
      </w:r>
    </w:p>
    <w:p w:rsidR="00000000" w:rsidDel="00000000" w:rsidP="00000000" w:rsidRDefault="00000000" w:rsidRPr="00000000" w14:paraId="000000E2">
      <w:pPr>
        <w:spacing w:line="360" w:lineRule="auto"/>
        <w:jc w:val="both"/>
        <w:rPr>
          <w:rFonts w:ascii="Arial" w:cs="Arial" w:eastAsia="Arial" w:hAnsi="Arial"/>
        </w:rPr>
      </w:pPr>
      <w:r w:rsidDel="00000000" w:rsidR="00000000" w:rsidRPr="00000000">
        <w:rPr>
          <w:rFonts w:ascii="Arial" w:cs="Arial" w:eastAsia="Arial" w:hAnsi="Arial"/>
          <w:rtl w:val="0"/>
        </w:rPr>
        <w:t xml:space="preserve">Dhir, S., 2019. </w:t>
      </w:r>
      <w:r w:rsidDel="00000000" w:rsidR="00000000" w:rsidRPr="00000000">
        <w:rPr>
          <w:rFonts w:ascii="Arial" w:cs="Arial" w:eastAsia="Arial" w:hAnsi="Arial"/>
          <w:i w:val="1"/>
          <w:rtl w:val="0"/>
        </w:rPr>
        <w:t xml:space="preserve">Cases in Strategic Management</w:t>
      </w:r>
      <w:r w:rsidDel="00000000" w:rsidR="00000000" w:rsidRPr="00000000">
        <w:rPr>
          <w:rFonts w:ascii="Arial" w:cs="Arial" w:eastAsia="Arial" w:hAnsi="Arial"/>
          <w:rtl w:val="0"/>
        </w:rPr>
        <w:t xml:space="preserve"> (pp. 73-89). Springer.</w:t>
      </w:r>
    </w:p>
    <w:p w:rsidR="00000000" w:rsidDel="00000000" w:rsidP="00000000" w:rsidRDefault="00000000" w:rsidRPr="00000000" w14:paraId="000000E3">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Durana, P., Michalkova, L., Privara, A., Marousek, J. and Tumpach, M., 2021. Does the life cycle affect earnings management and bankruptcy?. </w:t>
      </w:r>
      <w:r w:rsidDel="00000000" w:rsidR="00000000" w:rsidRPr="00000000">
        <w:rPr>
          <w:rFonts w:ascii="Arial" w:cs="Arial" w:eastAsia="Arial" w:hAnsi="Arial"/>
          <w:i w:val="1"/>
          <w:color w:val="000000"/>
          <w:rtl w:val="0"/>
        </w:rPr>
        <w:t xml:space="preserve">Oeconomia Copernicana</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color w:val="000000"/>
          <w:rtl w:val="0"/>
        </w:rPr>
        <w:t xml:space="preserve">12</w:t>
      </w:r>
      <w:r w:rsidDel="00000000" w:rsidR="00000000" w:rsidRPr="00000000">
        <w:rPr>
          <w:rFonts w:ascii="Arial" w:cs="Arial" w:eastAsia="Arial" w:hAnsi="Arial"/>
          <w:color w:val="000000"/>
          <w:rtl w:val="0"/>
        </w:rPr>
        <w:t xml:space="preserve">(2), pp.425-461.</w:t>
      </w:r>
    </w:p>
    <w:p w:rsidR="00000000" w:rsidDel="00000000" w:rsidP="00000000" w:rsidRDefault="00000000" w:rsidRPr="00000000" w14:paraId="000000E4">
      <w:pPr>
        <w:spacing w:line="360" w:lineRule="auto"/>
        <w:jc w:val="both"/>
        <w:rPr>
          <w:rFonts w:ascii="Arial" w:cs="Arial" w:eastAsia="Arial" w:hAnsi="Arial"/>
        </w:rPr>
      </w:pPr>
      <w:r w:rsidDel="00000000" w:rsidR="00000000" w:rsidRPr="00000000">
        <w:rPr>
          <w:rFonts w:ascii="Arial" w:cs="Arial" w:eastAsia="Arial" w:hAnsi="Arial"/>
          <w:rtl w:val="0"/>
        </w:rPr>
        <w:t xml:space="preserve">easyleadz.com, 2023. </w:t>
      </w:r>
      <w:r w:rsidDel="00000000" w:rsidR="00000000" w:rsidRPr="00000000">
        <w:rPr>
          <w:rFonts w:ascii="Arial" w:cs="Arial" w:eastAsia="Arial" w:hAnsi="Arial"/>
          <w:i w:val="1"/>
          <w:rtl w:val="0"/>
        </w:rPr>
        <w:t xml:space="preserve">American Express.</w:t>
      </w:r>
      <w:r w:rsidDel="00000000" w:rsidR="00000000" w:rsidRPr="00000000">
        <w:rPr>
          <w:rFonts w:ascii="Arial" w:cs="Arial" w:eastAsia="Arial" w:hAnsi="Arial"/>
          <w:rtl w:val="0"/>
        </w:rPr>
        <w:t xml:space="preserve"> Available at: </w:t>
      </w:r>
      <w:hyperlink r:id="rId20">
        <w:r w:rsidDel="00000000" w:rsidR="00000000" w:rsidRPr="00000000">
          <w:rPr>
            <w:rFonts w:ascii="Arial" w:cs="Arial" w:eastAsia="Arial" w:hAnsi="Arial"/>
            <w:color w:val="0000ff"/>
            <w:u w:val="single"/>
            <w:rtl w:val="0"/>
          </w:rPr>
          <w:t xml:space="preserve">https://www.easyleadz.com/company/american-express#:~:text=American%20Express%20is%20a%20Financial,American%20Express%20has%2067754%20employees</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E5">
      <w:pPr>
        <w:spacing w:line="360" w:lineRule="auto"/>
        <w:jc w:val="both"/>
        <w:rPr>
          <w:rFonts w:ascii="Arial" w:cs="Arial" w:eastAsia="Arial" w:hAnsi="Arial"/>
        </w:rPr>
      </w:pPr>
      <w:r w:rsidDel="00000000" w:rsidR="00000000" w:rsidRPr="00000000">
        <w:rPr>
          <w:rFonts w:ascii="Arial" w:cs="Arial" w:eastAsia="Arial" w:hAnsi="Arial"/>
          <w:rtl w:val="0"/>
        </w:rPr>
        <w:t xml:space="preserve">Elgohary, E., 2022. The role of digital transformation in sustainable development in Egypt. </w:t>
      </w:r>
      <w:r w:rsidDel="00000000" w:rsidR="00000000" w:rsidRPr="00000000">
        <w:rPr>
          <w:rFonts w:ascii="Arial" w:cs="Arial" w:eastAsia="Arial" w:hAnsi="Arial"/>
          <w:i w:val="1"/>
          <w:rtl w:val="0"/>
        </w:rPr>
        <w:t xml:space="preserve">The International Journal of Informatics, Media and Communication Technology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4</w:t>
      </w:r>
      <w:r w:rsidDel="00000000" w:rsidR="00000000" w:rsidRPr="00000000">
        <w:rPr>
          <w:rFonts w:ascii="Arial" w:cs="Arial" w:eastAsia="Arial" w:hAnsi="Arial"/>
          <w:rtl w:val="0"/>
        </w:rPr>
        <w:t xml:space="preserve">(1), pp.71-106.</w:t>
      </w:r>
    </w:p>
    <w:p w:rsidR="00000000" w:rsidDel="00000000" w:rsidP="00000000" w:rsidRDefault="00000000" w:rsidRPr="00000000" w14:paraId="000000E6">
      <w:pPr>
        <w:spacing w:line="360" w:lineRule="auto"/>
        <w:jc w:val="both"/>
        <w:rPr>
          <w:rFonts w:ascii="Arial" w:cs="Arial" w:eastAsia="Arial" w:hAnsi="Arial"/>
        </w:rPr>
      </w:pPr>
      <w:r w:rsidDel="00000000" w:rsidR="00000000" w:rsidRPr="00000000">
        <w:rPr>
          <w:rFonts w:ascii="Arial" w:cs="Arial" w:eastAsia="Arial" w:hAnsi="Arial"/>
          <w:rtl w:val="0"/>
        </w:rPr>
        <w:t xml:space="preserve">FDIC, 2021. </w:t>
      </w:r>
      <w:r w:rsidDel="00000000" w:rsidR="00000000" w:rsidRPr="00000000">
        <w:rPr>
          <w:rFonts w:ascii="Arial" w:cs="Arial" w:eastAsia="Arial" w:hAnsi="Arial"/>
          <w:i w:val="1"/>
          <w:rtl w:val="0"/>
        </w:rPr>
        <w:t xml:space="preserve">2021 FDIC National Survey of Unbanked and Underbanked Households.</w:t>
      </w:r>
      <w:r w:rsidDel="00000000" w:rsidR="00000000" w:rsidRPr="00000000">
        <w:rPr>
          <w:rFonts w:ascii="Arial" w:cs="Arial" w:eastAsia="Arial" w:hAnsi="Arial"/>
          <w:rtl w:val="0"/>
        </w:rPr>
        <w:t xml:space="preserve"> Available at: </w:t>
      </w:r>
      <w:hyperlink r:id="rId21">
        <w:r w:rsidDel="00000000" w:rsidR="00000000" w:rsidRPr="00000000">
          <w:rPr>
            <w:rFonts w:ascii="Arial" w:cs="Arial" w:eastAsia="Arial" w:hAnsi="Arial"/>
            <w:color w:val="0000ff"/>
            <w:u w:val="single"/>
            <w:rtl w:val="0"/>
          </w:rPr>
          <w:t xml:space="preserve">https://www.fdic.gov/analysis/household-survey/index.html#:~:text=An%20estimated%2081.5%20percent%20of,above%20nonbank%20transactions%20and%20credit</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E7">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Fong, J.H., Koh, B.S., Mitchell, O.S. and Rohwedder, S., 2021. Financial literacy and financial decision-making at older ages. </w:t>
      </w:r>
      <w:r w:rsidDel="00000000" w:rsidR="00000000" w:rsidRPr="00000000">
        <w:rPr>
          <w:rFonts w:ascii="Arial" w:cs="Arial" w:eastAsia="Arial" w:hAnsi="Arial"/>
          <w:i w:val="1"/>
          <w:color w:val="000000"/>
          <w:rtl w:val="0"/>
        </w:rPr>
        <w:t xml:space="preserve">Pacific-Basin Finance Journal</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color w:val="000000"/>
          <w:rtl w:val="0"/>
        </w:rPr>
        <w:t xml:space="preserve">65</w:t>
      </w:r>
      <w:r w:rsidDel="00000000" w:rsidR="00000000" w:rsidRPr="00000000">
        <w:rPr>
          <w:rFonts w:ascii="Arial" w:cs="Arial" w:eastAsia="Arial" w:hAnsi="Arial"/>
          <w:color w:val="000000"/>
          <w:rtl w:val="0"/>
        </w:rPr>
        <w:t xml:space="preserve">, p.101481.</w:t>
      </w:r>
    </w:p>
    <w:p w:rsidR="00000000" w:rsidDel="00000000" w:rsidP="00000000" w:rsidRDefault="00000000" w:rsidRPr="00000000" w14:paraId="000000E8">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Galan, N. and Torsein, E., 2021. Identification of international opportunities: A study of mature firms in mature industries. </w:t>
      </w:r>
      <w:r w:rsidDel="00000000" w:rsidR="00000000" w:rsidRPr="00000000">
        <w:rPr>
          <w:rFonts w:ascii="Arial" w:cs="Arial" w:eastAsia="Arial" w:hAnsi="Arial"/>
          <w:i w:val="1"/>
          <w:color w:val="000000"/>
          <w:rtl w:val="0"/>
        </w:rPr>
        <w:t xml:space="preserve">Journal of International Entrepreneurship</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color w:val="000000"/>
          <w:rtl w:val="0"/>
        </w:rPr>
        <w:t xml:space="preserve">19</w:t>
      </w:r>
      <w:r w:rsidDel="00000000" w:rsidR="00000000" w:rsidRPr="00000000">
        <w:rPr>
          <w:rFonts w:ascii="Arial" w:cs="Arial" w:eastAsia="Arial" w:hAnsi="Arial"/>
          <w:color w:val="000000"/>
          <w:rtl w:val="0"/>
        </w:rPr>
        <w:t xml:space="preserve">, pp.53-103.</w:t>
      </w:r>
    </w:p>
    <w:p w:rsidR="00000000" w:rsidDel="00000000" w:rsidP="00000000" w:rsidRDefault="00000000" w:rsidRPr="00000000" w14:paraId="000000E9">
      <w:pPr>
        <w:spacing w:line="360" w:lineRule="auto"/>
        <w:jc w:val="both"/>
        <w:rPr>
          <w:rFonts w:ascii="Arial" w:cs="Arial" w:eastAsia="Arial" w:hAnsi="Arial"/>
        </w:rPr>
      </w:pPr>
      <w:r w:rsidDel="00000000" w:rsidR="00000000" w:rsidRPr="00000000">
        <w:rPr>
          <w:rFonts w:ascii="Arial" w:cs="Arial" w:eastAsia="Arial" w:hAnsi="Arial"/>
          <w:rtl w:val="0"/>
        </w:rPr>
        <w:t xml:space="preserve">Hovenkamp, H., 2019. Platforms and the rule of reason: the American Express case. </w:t>
      </w:r>
      <w:r w:rsidDel="00000000" w:rsidR="00000000" w:rsidRPr="00000000">
        <w:rPr>
          <w:rFonts w:ascii="Arial" w:cs="Arial" w:eastAsia="Arial" w:hAnsi="Arial"/>
          <w:i w:val="1"/>
          <w:rtl w:val="0"/>
        </w:rPr>
        <w:t xml:space="preserve">Colum. Bus. L. Rev.</w:t>
      </w:r>
      <w:r w:rsidDel="00000000" w:rsidR="00000000" w:rsidRPr="00000000">
        <w:rPr>
          <w:rFonts w:ascii="Arial" w:cs="Arial" w:eastAsia="Arial" w:hAnsi="Arial"/>
          <w:rtl w:val="0"/>
        </w:rPr>
        <w:t xml:space="preserve">, p.35.</w:t>
      </w:r>
    </w:p>
    <w:p w:rsidR="00000000" w:rsidDel="00000000" w:rsidP="00000000" w:rsidRDefault="00000000" w:rsidRPr="00000000" w14:paraId="000000EA">
      <w:pPr>
        <w:spacing w:line="360" w:lineRule="auto"/>
        <w:jc w:val="both"/>
        <w:rPr>
          <w:rFonts w:ascii="Arial" w:cs="Arial" w:eastAsia="Arial" w:hAnsi="Arial"/>
        </w:rPr>
      </w:pPr>
      <w:r w:rsidDel="00000000" w:rsidR="00000000" w:rsidRPr="00000000">
        <w:rPr>
          <w:rFonts w:ascii="Arial" w:cs="Arial" w:eastAsia="Arial" w:hAnsi="Arial"/>
          <w:rtl w:val="0"/>
        </w:rPr>
        <w:t xml:space="preserve">Islami, X., Mustafa, N. and Topuzovska Latkovikj, M., 2020. Linking Porter’s generic strategies to firm performance. </w:t>
      </w:r>
      <w:r w:rsidDel="00000000" w:rsidR="00000000" w:rsidRPr="00000000">
        <w:rPr>
          <w:rFonts w:ascii="Arial" w:cs="Arial" w:eastAsia="Arial" w:hAnsi="Arial"/>
          <w:i w:val="1"/>
          <w:rtl w:val="0"/>
        </w:rPr>
        <w:t xml:space="preserve">Future Business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w:t>
      </w:r>
      <w:r w:rsidDel="00000000" w:rsidR="00000000" w:rsidRPr="00000000">
        <w:rPr>
          <w:rFonts w:ascii="Arial" w:cs="Arial" w:eastAsia="Arial" w:hAnsi="Arial"/>
          <w:rtl w:val="0"/>
        </w:rPr>
        <w:t xml:space="preserve">, pp.1-15.</w:t>
      </w:r>
    </w:p>
    <w:p w:rsidR="00000000" w:rsidDel="00000000" w:rsidP="00000000" w:rsidRDefault="00000000" w:rsidRPr="00000000" w14:paraId="000000EB">
      <w:pPr>
        <w:spacing w:line="360" w:lineRule="auto"/>
        <w:jc w:val="both"/>
        <w:rPr>
          <w:rFonts w:ascii="Arial" w:cs="Arial" w:eastAsia="Arial" w:hAnsi="Arial"/>
        </w:rPr>
      </w:pPr>
      <w:r w:rsidDel="00000000" w:rsidR="00000000" w:rsidRPr="00000000">
        <w:rPr>
          <w:rFonts w:ascii="Arial" w:cs="Arial" w:eastAsia="Arial" w:hAnsi="Arial"/>
          <w:rtl w:val="0"/>
        </w:rPr>
        <w:t xml:space="preserve">Kaur, H., 2022. Impacts of Big Data on Mobile Marketing (Big Data and Mobile Marketing). </w:t>
      </w:r>
      <w:r w:rsidDel="00000000" w:rsidR="00000000" w:rsidRPr="00000000">
        <w:rPr>
          <w:rFonts w:ascii="Arial" w:cs="Arial" w:eastAsia="Arial" w:hAnsi="Arial"/>
          <w:i w:val="1"/>
          <w:rtl w:val="0"/>
        </w:rPr>
        <w:t xml:space="preserve">Big Data: A Road Map for Successful Digital Marketing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820</w:t>
      </w:r>
      <w:r w:rsidDel="00000000" w:rsidR="00000000" w:rsidRPr="00000000">
        <w:rPr>
          <w:rFonts w:ascii="Arial" w:cs="Arial" w:eastAsia="Arial" w:hAnsi="Arial"/>
          <w:rtl w:val="0"/>
        </w:rPr>
        <w:t xml:space="preserve">(2012), p.107.</w:t>
      </w:r>
    </w:p>
    <w:p w:rsidR="00000000" w:rsidDel="00000000" w:rsidP="00000000" w:rsidRDefault="00000000" w:rsidRPr="00000000" w14:paraId="000000EC">
      <w:pPr>
        <w:spacing w:line="360" w:lineRule="auto"/>
        <w:jc w:val="both"/>
        <w:rPr>
          <w:rFonts w:ascii="Arial" w:cs="Arial" w:eastAsia="Arial" w:hAnsi="Arial"/>
        </w:rPr>
      </w:pPr>
      <w:r w:rsidDel="00000000" w:rsidR="00000000" w:rsidRPr="00000000">
        <w:rPr>
          <w:rFonts w:ascii="Arial" w:cs="Arial" w:eastAsia="Arial" w:hAnsi="Arial"/>
          <w:rtl w:val="0"/>
        </w:rPr>
        <w:t xml:space="preserve">Kirkwood, J.B., 2019. Antitrust and two-sided platforms: The failure of American Express. </w:t>
      </w:r>
      <w:r w:rsidDel="00000000" w:rsidR="00000000" w:rsidRPr="00000000">
        <w:rPr>
          <w:rFonts w:ascii="Arial" w:cs="Arial" w:eastAsia="Arial" w:hAnsi="Arial"/>
          <w:i w:val="1"/>
          <w:rtl w:val="0"/>
        </w:rPr>
        <w:t xml:space="preserve">Cardozo L. Rev.</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41</w:t>
      </w:r>
      <w:r w:rsidDel="00000000" w:rsidR="00000000" w:rsidRPr="00000000">
        <w:rPr>
          <w:rFonts w:ascii="Arial" w:cs="Arial" w:eastAsia="Arial" w:hAnsi="Arial"/>
          <w:rtl w:val="0"/>
        </w:rPr>
        <w:t xml:space="preserve">, p.1805.</w:t>
      </w:r>
    </w:p>
    <w:p w:rsidR="00000000" w:rsidDel="00000000" w:rsidP="00000000" w:rsidRDefault="00000000" w:rsidRPr="00000000" w14:paraId="000000ED">
      <w:pPr>
        <w:spacing w:line="360" w:lineRule="auto"/>
        <w:jc w:val="both"/>
        <w:rPr>
          <w:rFonts w:ascii="Arial" w:cs="Arial" w:eastAsia="Arial" w:hAnsi="Arial"/>
        </w:rPr>
      </w:pPr>
      <w:r w:rsidDel="00000000" w:rsidR="00000000" w:rsidRPr="00000000">
        <w:rPr>
          <w:rFonts w:ascii="Arial" w:cs="Arial" w:eastAsia="Arial" w:hAnsi="Arial"/>
          <w:rtl w:val="0"/>
        </w:rPr>
        <w:t xml:space="preserve">Kunst, A., 2022. </w:t>
      </w:r>
      <w:r w:rsidDel="00000000" w:rsidR="00000000" w:rsidRPr="00000000">
        <w:rPr>
          <w:rFonts w:ascii="Arial" w:cs="Arial" w:eastAsia="Arial" w:hAnsi="Arial"/>
          <w:i w:val="1"/>
          <w:rtl w:val="0"/>
        </w:rPr>
        <w:t xml:space="preserve">Share of Americans who used American Express cards in the last 3 months in 2018, by age.</w:t>
      </w:r>
      <w:r w:rsidDel="00000000" w:rsidR="00000000" w:rsidRPr="00000000">
        <w:rPr>
          <w:rFonts w:ascii="Arial" w:cs="Arial" w:eastAsia="Arial" w:hAnsi="Arial"/>
          <w:rtl w:val="0"/>
        </w:rPr>
        <w:t xml:space="preserve"> Available at: </w:t>
      </w:r>
      <w:hyperlink r:id="rId22">
        <w:r w:rsidDel="00000000" w:rsidR="00000000" w:rsidRPr="00000000">
          <w:rPr>
            <w:rFonts w:ascii="Arial" w:cs="Arial" w:eastAsia="Arial" w:hAnsi="Arial"/>
            <w:color w:val="0000ff"/>
            <w:u w:val="single"/>
            <w:rtl w:val="0"/>
          </w:rPr>
          <w:t xml:space="preserve">https://www.statista.com/statistics/350557/users-of-american-express-credit-cards-usa/</w:t>
        </w:r>
      </w:hyperlink>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EE">
      <w:pPr>
        <w:spacing w:line="360" w:lineRule="auto"/>
        <w:jc w:val="both"/>
        <w:rPr>
          <w:rFonts w:ascii="Arial" w:cs="Arial" w:eastAsia="Arial" w:hAnsi="Arial"/>
        </w:rPr>
      </w:pPr>
      <w:r w:rsidDel="00000000" w:rsidR="00000000" w:rsidRPr="00000000">
        <w:rPr>
          <w:rFonts w:ascii="Arial" w:cs="Arial" w:eastAsia="Arial" w:hAnsi="Arial"/>
          <w:rtl w:val="0"/>
        </w:rPr>
        <w:t xml:space="preserve">Lee, J., 2023. </w:t>
      </w:r>
      <w:r w:rsidDel="00000000" w:rsidR="00000000" w:rsidRPr="00000000">
        <w:rPr>
          <w:rFonts w:ascii="Arial" w:cs="Arial" w:eastAsia="Arial" w:hAnsi="Arial"/>
          <w:i w:val="1"/>
          <w:rtl w:val="0"/>
        </w:rPr>
        <w:t xml:space="preserve">Here’s the real reason why American Express gives out such big rewards.</w:t>
      </w:r>
      <w:r w:rsidDel="00000000" w:rsidR="00000000" w:rsidRPr="00000000">
        <w:rPr>
          <w:rFonts w:ascii="Arial" w:cs="Arial" w:eastAsia="Arial" w:hAnsi="Arial"/>
          <w:rtl w:val="0"/>
        </w:rPr>
        <w:t xml:space="preserve"> Available at: </w:t>
      </w:r>
      <w:hyperlink r:id="rId23">
        <w:r w:rsidDel="00000000" w:rsidR="00000000" w:rsidRPr="00000000">
          <w:rPr>
            <w:rFonts w:ascii="Arial" w:cs="Arial" w:eastAsia="Arial" w:hAnsi="Arial"/>
            <w:color w:val="0000ff"/>
            <w:u w:val="single"/>
            <w:rtl w:val="0"/>
          </w:rPr>
          <w:t xml:space="preserve">https://www.cnbc.com/2023/01/27/heres-the-real-reason-why-american-express-gives-out-such-big-rewards.html</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EF">
      <w:pPr>
        <w:spacing w:line="360" w:lineRule="auto"/>
        <w:jc w:val="both"/>
        <w:rPr>
          <w:rFonts w:ascii="Arial" w:cs="Arial" w:eastAsia="Arial" w:hAnsi="Arial"/>
        </w:rPr>
      </w:pPr>
      <w:r w:rsidDel="00000000" w:rsidR="00000000" w:rsidRPr="00000000">
        <w:rPr>
          <w:rFonts w:ascii="Arial" w:cs="Arial" w:eastAsia="Arial" w:hAnsi="Arial"/>
          <w:rtl w:val="0"/>
        </w:rPr>
        <w:t xml:space="preserve">Lessambo, F., 2020. </w:t>
      </w:r>
      <w:r w:rsidDel="00000000" w:rsidR="00000000" w:rsidRPr="00000000">
        <w:rPr>
          <w:rFonts w:ascii="Arial" w:cs="Arial" w:eastAsia="Arial" w:hAnsi="Arial"/>
          <w:i w:val="1"/>
          <w:rtl w:val="0"/>
        </w:rPr>
        <w:t xml:space="preserve">The US banking system</w:t>
      </w:r>
      <w:r w:rsidDel="00000000" w:rsidR="00000000" w:rsidRPr="00000000">
        <w:rPr>
          <w:rFonts w:ascii="Arial" w:cs="Arial" w:eastAsia="Arial" w:hAnsi="Arial"/>
          <w:rtl w:val="0"/>
        </w:rPr>
        <w:t xml:space="preserve">. Springer International Publishing.</w:t>
      </w:r>
    </w:p>
    <w:p w:rsidR="00000000" w:rsidDel="00000000" w:rsidP="00000000" w:rsidRDefault="00000000" w:rsidRPr="00000000" w14:paraId="000000F0">
      <w:pPr>
        <w:spacing w:line="360" w:lineRule="auto"/>
        <w:jc w:val="both"/>
        <w:rPr>
          <w:rFonts w:ascii="Arial" w:cs="Arial" w:eastAsia="Arial" w:hAnsi="Arial"/>
        </w:rPr>
      </w:pPr>
      <w:r w:rsidDel="00000000" w:rsidR="00000000" w:rsidRPr="00000000">
        <w:rPr>
          <w:rFonts w:ascii="Arial" w:cs="Arial" w:eastAsia="Arial" w:hAnsi="Arial"/>
          <w:rtl w:val="0"/>
        </w:rPr>
        <w:t xml:space="preserve">Li, Z. and Zheng, L., 2018, September. The impact of artificial intelligence on accounting. In </w:t>
      </w:r>
      <w:r w:rsidDel="00000000" w:rsidR="00000000" w:rsidRPr="00000000">
        <w:rPr>
          <w:rFonts w:ascii="Arial" w:cs="Arial" w:eastAsia="Arial" w:hAnsi="Arial"/>
          <w:i w:val="1"/>
          <w:rtl w:val="0"/>
        </w:rPr>
        <w:t xml:space="preserve">2018 4th International Conference on Social Science and Higher Education (ICSSHE 2018)</w:t>
      </w:r>
      <w:r w:rsidDel="00000000" w:rsidR="00000000" w:rsidRPr="00000000">
        <w:rPr>
          <w:rFonts w:ascii="Arial" w:cs="Arial" w:eastAsia="Arial" w:hAnsi="Arial"/>
          <w:rtl w:val="0"/>
        </w:rPr>
        <w:t xml:space="preserve">. Atlantis Press.</w:t>
      </w:r>
    </w:p>
    <w:p w:rsidR="00000000" w:rsidDel="00000000" w:rsidP="00000000" w:rsidRDefault="00000000" w:rsidRPr="00000000" w14:paraId="000000F1">
      <w:pPr>
        <w:spacing w:line="360" w:lineRule="auto"/>
        <w:jc w:val="both"/>
        <w:rPr>
          <w:rFonts w:ascii="Arial" w:cs="Arial" w:eastAsia="Arial" w:hAnsi="Arial"/>
        </w:rPr>
      </w:pPr>
      <w:r w:rsidDel="00000000" w:rsidR="00000000" w:rsidRPr="00000000">
        <w:rPr>
          <w:rFonts w:ascii="Arial" w:cs="Arial" w:eastAsia="Arial" w:hAnsi="Arial"/>
          <w:rtl w:val="0"/>
        </w:rPr>
        <w:t xml:space="preserve">macrotrends.net, 2022. </w:t>
      </w:r>
      <w:r w:rsidDel="00000000" w:rsidR="00000000" w:rsidRPr="00000000">
        <w:rPr>
          <w:rFonts w:ascii="Arial" w:cs="Arial" w:eastAsia="Arial" w:hAnsi="Arial"/>
          <w:i w:val="1"/>
          <w:rtl w:val="0"/>
        </w:rPr>
        <w:t xml:space="preserve">American Express Net Income 2010-2022 | AXP</w:t>
      </w:r>
      <w:r w:rsidDel="00000000" w:rsidR="00000000" w:rsidRPr="00000000">
        <w:rPr>
          <w:rFonts w:ascii="Arial" w:cs="Arial" w:eastAsia="Arial" w:hAnsi="Arial"/>
          <w:rtl w:val="0"/>
        </w:rPr>
        <w:t xml:space="preserve">. Available at: </w:t>
      </w:r>
      <w:hyperlink r:id="rId24">
        <w:r w:rsidDel="00000000" w:rsidR="00000000" w:rsidRPr="00000000">
          <w:rPr>
            <w:rFonts w:ascii="Arial" w:cs="Arial" w:eastAsia="Arial" w:hAnsi="Arial"/>
            <w:color w:val="0000ff"/>
            <w:u w:val="single"/>
            <w:rtl w:val="0"/>
          </w:rPr>
          <w:t xml:space="preserve">https://www.macrotrends.net/stocks/charts/AXP/american-express/net-income</w:t>
        </w:r>
      </w:hyperlink>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F2">
      <w:pPr>
        <w:spacing w:line="360" w:lineRule="auto"/>
        <w:jc w:val="both"/>
        <w:rPr>
          <w:rFonts w:ascii="Arial" w:cs="Arial" w:eastAsia="Arial" w:hAnsi="Arial"/>
        </w:rPr>
      </w:pPr>
      <w:r w:rsidDel="00000000" w:rsidR="00000000" w:rsidRPr="00000000">
        <w:rPr>
          <w:rFonts w:ascii="Arial" w:cs="Arial" w:eastAsia="Arial" w:hAnsi="Arial"/>
          <w:rtl w:val="0"/>
        </w:rPr>
        <w:t xml:space="preserve">MarketLine, 2018. </w:t>
      </w:r>
      <w:r w:rsidDel="00000000" w:rsidR="00000000" w:rsidRPr="00000000">
        <w:rPr>
          <w:rFonts w:ascii="Arial" w:cs="Arial" w:eastAsia="Arial" w:hAnsi="Arial"/>
          <w:i w:val="1"/>
          <w:rtl w:val="0"/>
        </w:rPr>
        <w:t xml:space="preserve">MarketLine Case Study American Express Embracing &amp; exploiting Fintech. </w:t>
      </w:r>
      <w:r w:rsidDel="00000000" w:rsidR="00000000" w:rsidRPr="00000000">
        <w:rPr>
          <w:rFonts w:ascii="Arial" w:cs="Arial" w:eastAsia="Arial" w:hAnsi="Arial"/>
          <w:rtl w:val="0"/>
        </w:rPr>
        <w:t xml:space="preserve">Available at: </w:t>
      </w:r>
      <w:hyperlink r:id="rId25">
        <w:r w:rsidDel="00000000" w:rsidR="00000000" w:rsidRPr="00000000">
          <w:rPr>
            <w:rFonts w:ascii="Arial" w:cs="Arial" w:eastAsia="Arial" w:hAnsi="Arial"/>
            <w:color w:val="0000ff"/>
            <w:u w:val="single"/>
            <w:rtl w:val="0"/>
          </w:rPr>
          <w:t xml:space="preserve">file:///C:/Users/User/Documents/Downloads/DOC-20230414-WA0020..pdf</w:t>
        </w:r>
      </w:hyperlink>
      <w:r w:rsidDel="00000000" w:rsidR="00000000" w:rsidRPr="00000000">
        <w:rPr>
          <w:rFonts w:ascii="Arial" w:cs="Arial" w:eastAsia="Arial" w:hAnsi="Arial"/>
          <w:rtl w:val="0"/>
        </w:rPr>
        <w:t xml:space="preserve"> [Accessed on: 20 April, 2023] </w:t>
      </w:r>
    </w:p>
    <w:p w:rsidR="00000000" w:rsidDel="00000000" w:rsidP="00000000" w:rsidRDefault="00000000" w:rsidRPr="00000000" w14:paraId="000000F3">
      <w:pPr>
        <w:spacing w:line="360" w:lineRule="auto"/>
        <w:jc w:val="both"/>
        <w:rPr>
          <w:rFonts w:ascii="Arial" w:cs="Arial" w:eastAsia="Arial" w:hAnsi="Arial"/>
        </w:rPr>
      </w:pPr>
      <w:r w:rsidDel="00000000" w:rsidR="00000000" w:rsidRPr="00000000">
        <w:rPr>
          <w:rFonts w:ascii="Arial" w:cs="Arial" w:eastAsia="Arial" w:hAnsi="Arial"/>
          <w:rtl w:val="0"/>
        </w:rPr>
        <w:t xml:space="preserve">Masud, M.A.K., Rashid, M.H.U., Khan, T., Bae, S.M. and Kim, J.D., 2019. Organizational strategy and corporate social responsibility: The mediating effect of triple bottom line. </w:t>
      </w:r>
      <w:r w:rsidDel="00000000" w:rsidR="00000000" w:rsidRPr="00000000">
        <w:rPr>
          <w:rFonts w:ascii="Arial" w:cs="Arial" w:eastAsia="Arial" w:hAnsi="Arial"/>
          <w:i w:val="1"/>
          <w:rtl w:val="0"/>
        </w:rPr>
        <w:t xml:space="preserve">International journal of environmental research and public health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16</w:t>
      </w:r>
      <w:r w:rsidDel="00000000" w:rsidR="00000000" w:rsidRPr="00000000">
        <w:rPr>
          <w:rFonts w:ascii="Arial" w:cs="Arial" w:eastAsia="Arial" w:hAnsi="Arial"/>
          <w:rtl w:val="0"/>
        </w:rPr>
        <w:t xml:space="preserve">(22), p.4559.</w:t>
      </w:r>
    </w:p>
    <w:p w:rsidR="00000000" w:rsidDel="00000000" w:rsidP="00000000" w:rsidRDefault="00000000" w:rsidRPr="00000000" w14:paraId="000000F4">
      <w:pPr>
        <w:spacing w:line="360" w:lineRule="auto"/>
        <w:jc w:val="both"/>
        <w:rPr>
          <w:rFonts w:ascii="Arial" w:cs="Arial" w:eastAsia="Arial" w:hAnsi="Arial"/>
        </w:rPr>
      </w:pPr>
      <w:r w:rsidDel="00000000" w:rsidR="00000000" w:rsidRPr="00000000">
        <w:rPr>
          <w:rFonts w:ascii="Arial" w:cs="Arial" w:eastAsia="Arial" w:hAnsi="Arial"/>
          <w:color w:val="000000"/>
          <w:rtl w:val="0"/>
        </w:rPr>
        <w:t xml:space="preserve">Mccain, A., 2023.</w:t>
      </w:r>
      <w:r w:rsidDel="00000000" w:rsidR="00000000" w:rsidRPr="00000000">
        <w:rPr>
          <w:rFonts w:ascii="Arial" w:cs="Arial" w:eastAsia="Arial" w:hAnsi="Arial"/>
          <w:b w:val="1"/>
          <w:color w:val="000000"/>
          <w:rtl w:val="0"/>
        </w:rPr>
        <w:t xml:space="preserve"> </w:t>
      </w:r>
      <w:r w:rsidDel="00000000" w:rsidR="00000000" w:rsidRPr="00000000">
        <w:rPr>
          <w:rFonts w:ascii="Arial" w:cs="Arial" w:eastAsia="Arial" w:hAnsi="Arial"/>
          <w:color w:val="000000"/>
          <w:rtl w:val="0"/>
        </w:rPr>
        <w:t xml:space="preserve">25+ TRENDING FINANCIAL SERVICES INDUSTRY STATISTICS [2023]: HOW MANY JOBS ARE AVAILABLE IN FINANCE. </w:t>
      </w:r>
      <w:r w:rsidDel="00000000" w:rsidR="00000000" w:rsidRPr="00000000">
        <w:rPr>
          <w:rFonts w:ascii="Arial" w:cs="Arial" w:eastAsia="Arial" w:hAnsi="Arial"/>
          <w:rtl w:val="0"/>
        </w:rPr>
        <w:t xml:space="preserve">Available at: </w:t>
      </w:r>
      <w:hyperlink r:id="rId26">
        <w:r w:rsidDel="00000000" w:rsidR="00000000" w:rsidRPr="00000000">
          <w:rPr>
            <w:rFonts w:ascii="Arial" w:cs="Arial" w:eastAsia="Arial" w:hAnsi="Arial"/>
            <w:color w:val="0000ff"/>
            <w:u w:val="single"/>
            <w:rtl w:val="0"/>
          </w:rPr>
          <w:t xml:space="preserve">https://www.zippia.com/advice/financial-services-industry-statistics/#:~:text=The%20U.S.%20financial%20services%20industry,7.78%25%20of%20the%20total%20GDP</w:t>
        </w:r>
      </w:hyperlink>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rtl w:val="0"/>
        </w:rPr>
        <w:t xml:space="preserve">[Accessed on: 20 April, 2023]</w:t>
      </w:r>
    </w:p>
    <w:p w:rsidR="00000000" w:rsidDel="00000000" w:rsidP="00000000" w:rsidRDefault="00000000" w:rsidRPr="00000000" w14:paraId="000000F5">
      <w:pPr>
        <w:spacing w:line="360" w:lineRule="auto"/>
        <w:jc w:val="both"/>
        <w:rPr>
          <w:rFonts w:ascii="Arial" w:cs="Arial" w:eastAsia="Arial" w:hAnsi="Arial"/>
        </w:rPr>
      </w:pPr>
      <w:r w:rsidDel="00000000" w:rsidR="00000000" w:rsidRPr="00000000">
        <w:rPr>
          <w:rFonts w:ascii="Arial" w:cs="Arial" w:eastAsia="Arial" w:hAnsi="Arial"/>
          <w:rtl w:val="0"/>
        </w:rPr>
        <w:t xml:space="preserve">Melamed, D., 2020. The American Express Case: Back to the Future. </w:t>
      </w:r>
      <w:r w:rsidDel="00000000" w:rsidR="00000000" w:rsidRPr="00000000">
        <w:rPr>
          <w:rFonts w:ascii="Arial" w:cs="Arial" w:eastAsia="Arial" w:hAnsi="Arial"/>
          <w:i w:val="1"/>
          <w:rtl w:val="0"/>
        </w:rPr>
        <w:t xml:space="preserve">Colo. Tech. LJ</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18</w:t>
      </w:r>
      <w:r w:rsidDel="00000000" w:rsidR="00000000" w:rsidRPr="00000000">
        <w:rPr>
          <w:rFonts w:ascii="Arial" w:cs="Arial" w:eastAsia="Arial" w:hAnsi="Arial"/>
          <w:rtl w:val="0"/>
        </w:rPr>
        <w:t xml:space="preserve">, p.1.</w:t>
      </w:r>
    </w:p>
    <w:p w:rsidR="00000000" w:rsidDel="00000000" w:rsidP="00000000" w:rsidRDefault="00000000" w:rsidRPr="00000000" w14:paraId="000000F6">
      <w:pPr>
        <w:spacing w:line="360" w:lineRule="auto"/>
        <w:jc w:val="both"/>
        <w:rPr>
          <w:rFonts w:ascii="Arial" w:cs="Arial" w:eastAsia="Arial" w:hAnsi="Arial"/>
        </w:rPr>
      </w:pPr>
      <w:r w:rsidDel="00000000" w:rsidR="00000000" w:rsidRPr="00000000">
        <w:rPr>
          <w:rFonts w:ascii="Arial" w:cs="Arial" w:eastAsia="Arial" w:hAnsi="Arial"/>
          <w:color w:val="000000"/>
          <w:rtl w:val="0"/>
        </w:rPr>
        <w:t xml:space="preserve">mordorintelligence.com, 2023. </w:t>
      </w:r>
      <w:r w:rsidDel="00000000" w:rsidR="00000000" w:rsidRPr="00000000">
        <w:rPr>
          <w:rFonts w:ascii="Arial" w:cs="Arial" w:eastAsia="Arial" w:hAnsi="Arial"/>
          <w:i w:val="1"/>
          <w:color w:val="000000"/>
          <w:rtl w:val="0"/>
        </w:rPr>
        <w:t xml:space="preserve">Market Size of United States Fintech Industry</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rtl w:val="0"/>
        </w:rPr>
        <w:t xml:space="preserve">Available at: </w:t>
      </w:r>
      <w:hyperlink r:id="rId27">
        <w:r w:rsidDel="00000000" w:rsidR="00000000" w:rsidRPr="00000000">
          <w:rPr>
            <w:rFonts w:ascii="Arial" w:cs="Arial" w:eastAsia="Arial" w:hAnsi="Arial"/>
            <w:color w:val="0000ff"/>
            <w:u w:val="single"/>
            <w:rtl w:val="0"/>
          </w:rPr>
          <w:t xml:space="preserve">https://www.mordorintelligence.com/industry-reports/us-fintech-market/market-size#:~:text=The%20United%20States%20Fintech%20Market,11%25%20over%20the%20forecast%20period</w:t>
        </w:r>
      </w:hyperlink>
      <w:r w:rsidDel="00000000" w:rsidR="00000000" w:rsidRPr="00000000">
        <w:rPr>
          <w:rFonts w:ascii="Arial" w:cs="Arial" w:eastAsia="Arial" w:hAnsi="Arial"/>
          <w:color w:val="000000"/>
          <w:rtl w:val="0"/>
        </w:rPr>
        <w:t xml:space="preserve">.</w:t>
      </w:r>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7">
      <w:pPr>
        <w:spacing w:line="360" w:lineRule="auto"/>
        <w:jc w:val="both"/>
        <w:rPr>
          <w:rFonts w:ascii="Arial" w:cs="Arial" w:eastAsia="Arial" w:hAnsi="Arial"/>
        </w:rPr>
      </w:pPr>
      <w:r w:rsidDel="00000000" w:rsidR="00000000" w:rsidRPr="00000000">
        <w:rPr>
          <w:rFonts w:ascii="Arial" w:cs="Arial" w:eastAsia="Arial" w:hAnsi="Arial"/>
          <w:rtl w:val="0"/>
        </w:rPr>
        <w:t xml:space="preserve">Prianyshnykova, M. and Tarasenko, M., 2020. ENSURING BANKS’COMPETITIVENESS BY THE IMPLEMENTATION OF INNOVATIVE PAYMENT SYSTEMS.</w:t>
      </w:r>
    </w:p>
    <w:p w:rsidR="00000000" w:rsidDel="00000000" w:rsidP="00000000" w:rsidRDefault="00000000" w:rsidRPr="00000000" w14:paraId="000000F8">
      <w:pPr>
        <w:spacing w:line="360" w:lineRule="auto"/>
        <w:jc w:val="both"/>
        <w:rPr>
          <w:rFonts w:ascii="Arial" w:cs="Arial" w:eastAsia="Arial" w:hAnsi="Arial"/>
        </w:rPr>
      </w:pPr>
      <w:r w:rsidDel="00000000" w:rsidR="00000000" w:rsidRPr="00000000">
        <w:rPr>
          <w:rFonts w:ascii="Arial" w:cs="Arial" w:eastAsia="Arial" w:hAnsi="Arial"/>
          <w:rtl w:val="0"/>
        </w:rPr>
        <w:t xml:space="preserve">Raza, A., Saeed, A., Iqbal, M.K., Saeed, U., Sadiq, I. and Faraz, N.A., 2020. Linking corporate social responsibility to customer loyalty through co-creation and customer company identification: Exploring sequential mediation mechanism. </w:t>
      </w:r>
      <w:r w:rsidDel="00000000" w:rsidR="00000000" w:rsidRPr="00000000">
        <w:rPr>
          <w:rFonts w:ascii="Arial" w:cs="Arial" w:eastAsia="Arial" w:hAnsi="Arial"/>
          <w:i w:val="1"/>
          <w:rtl w:val="0"/>
        </w:rPr>
        <w:t xml:space="preserve">Sustainability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12</w:t>
      </w:r>
      <w:r w:rsidDel="00000000" w:rsidR="00000000" w:rsidRPr="00000000">
        <w:rPr>
          <w:rFonts w:ascii="Arial" w:cs="Arial" w:eastAsia="Arial" w:hAnsi="Arial"/>
          <w:rtl w:val="0"/>
        </w:rPr>
        <w:t xml:space="preserve">(6), p.2525.</w:t>
      </w:r>
    </w:p>
    <w:p w:rsidR="00000000" w:rsidDel="00000000" w:rsidP="00000000" w:rsidRDefault="00000000" w:rsidRPr="00000000" w14:paraId="000000F9">
      <w:pPr>
        <w:spacing w:line="360" w:lineRule="auto"/>
        <w:jc w:val="both"/>
        <w:rPr>
          <w:rFonts w:ascii="Arial" w:cs="Arial" w:eastAsia="Arial" w:hAnsi="Arial"/>
        </w:rPr>
      </w:pPr>
      <w:r w:rsidDel="00000000" w:rsidR="00000000" w:rsidRPr="00000000">
        <w:rPr>
          <w:rFonts w:ascii="Arial" w:cs="Arial" w:eastAsia="Arial" w:hAnsi="Arial"/>
          <w:rtl w:val="0"/>
        </w:rPr>
        <w:t xml:space="preserve">Shao, X. and Oinas-Kukkonen, H., 2018. Thinking about persuasive technology from the strategic business perspective: a call for research on cost-based competitive advantage. In </w:t>
      </w:r>
      <w:r w:rsidDel="00000000" w:rsidR="00000000" w:rsidRPr="00000000">
        <w:rPr>
          <w:rFonts w:ascii="Arial" w:cs="Arial" w:eastAsia="Arial" w:hAnsi="Arial"/>
          <w:i w:val="1"/>
          <w:rtl w:val="0"/>
        </w:rPr>
        <w:t xml:space="preserve">Persuasive Technology: 13th International Conference, PERSUASIVE 2018, Waterloo, ON, Canada, April 18-19, 2018, Proceedings 13</w:t>
      </w:r>
      <w:r w:rsidDel="00000000" w:rsidR="00000000" w:rsidRPr="00000000">
        <w:rPr>
          <w:rFonts w:ascii="Arial" w:cs="Arial" w:eastAsia="Arial" w:hAnsi="Arial"/>
          <w:rtl w:val="0"/>
        </w:rPr>
        <w:t xml:space="preserve"> (pp. 3-15). Springer International Publishing.</w:t>
      </w:r>
    </w:p>
    <w:p w:rsidR="00000000" w:rsidDel="00000000" w:rsidP="00000000" w:rsidRDefault="00000000" w:rsidRPr="00000000" w14:paraId="000000FA">
      <w:pPr>
        <w:spacing w:line="360" w:lineRule="auto"/>
        <w:jc w:val="both"/>
        <w:rPr>
          <w:rFonts w:ascii="Arial" w:cs="Arial" w:eastAsia="Arial" w:hAnsi="Arial"/>
        </w:rPr>
      </w:pPr>
      <w:r w:rsidDel="00000000" w:rsidR="00000000" w:rsidRPr="00000000">
        <w:rPr>
          <w:rFonts w:ascii="Arial" w:cs="Arial" w:eastAsia="Arial" w:hAnsi="Arial"/>
          <w:color w:val="000000"/>
          <w:rtl w:val="0"/>
        </w:rPr>
        <w:t xml:space="preserve">Statista, 2023. FinTech - United States. Available at: </w:t>
      </w:r>
      <w:hyperlink r:id="rId28">
        <w:r w:rsidDel="00000000" w:rsidR="00000000" w:rsidRPr="00000000">
          <w:rPr>
            <w:rFonts w:ascii="Arial" w:cs="Arial" w:eastAsia="Arial" w:hAnsi="Arial"/>
            <w:color w:val="0000ff"/>
            <w:u w:val="single"/>
            <w:rtl w:val="0"/>
          </w:rPr>
          <w:t xml:space="preserve">https://www.statista.com/outlook/dmo/fintech/united-states#:~:text=The%20market's%20largest%20segment%20will,US%2451.04bn%20in%202023</w:t>
        </w:r>
      </w:hyperlink>
      <w:r w:rsidDel="00000000" w:rsidR="00000000" w:rsidRPr="00000000">
        <w:rPr>
          <w:rFonts w:ascii="Arial" w:cs="Arial" w:eastAsia="Arial" w:hAnsi="Arial"/>
          <w:color w:val="000000"/>
          <w:rtl w:val="0"/>
        </w:rPr>
        <w:t xml:space="preserve">.</w:t>
      </w:r>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B">
      <w:pPr>
        <w:spacing w:line="360" w:lineRule="auto"/>
        <w:jc w:val="both"/>
        <w:rPr>
          <w:rFonts w:ascii="Arial" w:cs="Arial" w:eastAsia="Arial" w:hAnsi="Arial"/>
        </w:rPr>
      </w:pPr>
      <w:r w:rsidDel="00000000" w:rsidR="00000000" w:rsidRPr="00000000">
        <w:rPr>
          <w:rFonts w:ascii="Arial" w:cs="Arial" w:eastAsia="Arial" w:hAnsi="Arial"/>
          <w:rtl w:val="0"/>
        </w:rPr>
        <w:t xml:space="preserve">theglobaleconomy.com, 2023. </w:t>
      </w:r>
      <w:r w:rsidDel="00000000" w:rsidR="00000000" w:rsidRPr="00000000">
        <w:rPr>
          <w:rFonts w:ascii="Arial" w:cs="Arial" w:eastAsia="Arial" w:hAnsi="Arial"/>
          <w:i w:val="1"/>
          <w:rtl w:val="0"/>
        </w:rPr>
        <w:t xml:space="preserve">USA: Political stability</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Available at: </w:t>
      </w:r>
      <w:hyperlink r:id="rId29">
        <w:r w:rsidDel="00000000" w:rsidR="00000000" w:rsidRPr="00000000">
          <w:rPr>
            <w:rFonts w:ascii="Arial" w:cs="Arial" w:eastAsia="Arial" w:hAnsi="Arial"/>
            <w:color w:val="0000ff"/>
            <w:u w:val="single"/>
            <w:rtl w:val="0"/>
          </w:rPr>
          <w:t xml:space="preserve">https://www.theglobaleconomy.com/USA/wb_political_stability/#:~:text=Political%20stability%20index%20(%2D2.5%20weak%3B%202.5%20strong)&amp;text=The%20latest%20value%20from%202021,to%20compare%20trends%20over%20time</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C">
      <w:pPr>
        <w:spacing w:line="360" w:lineRule="auto"/>
        <w:jc w:val="both"/>
        <w:rPr>
          <w:rFonts w:ascii="Arial" w:cs="Arial" w:eastAsia="Arial" w:hAnsi="Arial"/>
        </w:rPr>
      </w:pPr>
      <w:r w:rsidDel="00000000" w:rsidR="00000000" w:rsidRPr="00000000">
        <w:rPr>
          <w:rFonts w:ascii="Arial" w:cs="Arial" w:eastAsia="Arial" w:hAnsi="Arial"/>
          <w:rtl w:val="0"/>
        </w:rPr>
        <w:t xml:space="preserve">Trade.gov, 2023. </w:t>
      </w:r>
      <w:r w:rsidDel="00000000" w:rsidR="00000000" w:rsidRPr="00000000">
        <w:rPr>
          <w:rFonts w:ascii="Arial" w:cs="Arial" w:eastAsia="Arial" w:hAnsi="Arial"/>
          <w:i w:val="1"/>
          <w:rtl w:val="0"/>
        </w:rPr>
        <w:t xml:space="preserve">Financial Service Industry</w:t>
      </w:r>
      <w:r w:rsidDel="00000000" w:rsidR="00000000" w:rsidRPr="00000000">
        <w:rPr>
          <w:rFonts w:ascii="Arial" w:cs="Arial" w:eastAsia="Arial" w:hAnsi="Arial"/>
          <w:rtl w:val="0"/>
        </w:rPr>
        <w:t xml:space="preserve">. Available at: </w:t>
      </w:r>
      <w:hyperlink r:id="rId30">
        <w:r w:rsidDel="00000000" w:rsidR="00000000" w:rsidRPr="00000000">
          <w:rPr>
            <w:rFonts w:ascii="Arial" w:cs="Arial" w:eastAsia="Arial" w:hAnsi="Arial"/>
            <w:color w:val="0000ff"/>
            <w:u w:val="single"/>
            <w:rtl w:val="0"/>
          </w:rPr>
          <w:t xml:space="preserve">https://www.trade.gov/selectusa-financial-services-industry</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D">
      <w:pPr>
        <w:spacing w:line="360" w:lineRule="auto"/>
        <w:jc w:val="both"/>
        <w:rPr>
          <w:rFonts w:ascii="Arial" w:cs="Arial" w:eastAsia="Arial" w:hAnsi="Arial"/>
        </w:rPr>
      </w:pPr>
      <w:r w:rsidDel="00000000" w:rsidR="00000000" w:rsidRPr="00000000">
        <w:rPr>
          <w:rFonts w:ascii="Arial" w:cs="Arial" w:eastAsia="Arial" w:hAnsi="Arial"/>
          <w:rtl w:val="0"/>
        </w:rPr>
        <w:t xml:space="preserve">US News, 2023. </w:t>
      </w:r>
      <w:r w:rsidDel="00000000" w:rsidR="00000000" w:rsidRPr="00000000">
        <w:rPr>
          <w:rFonts w:ascii="Arial" w:cs="Arial" w:eastAsia="Arial" w:hAnsi="Arial"/>
          <w:i w:val="1"/>
          <w:rtl w:val="0"/>
        </w:rPr>
        <w:t xml:space="preserve">Best American Express Credit Cards of April 202</w:t>
      </w:r>
      <w:r w:rsidDel="00000000" w:rsidR="00000000" w:rsidRPr="00000000">
        <w:rPr>
          <w:rFonts w:ascii="Arial" w:cs="Arial" w:eastAsia="Arial" w:hAnsi="Arial"/>
          <w:rtl w:val="0"/>
        </w:rPr>
        <w:t xml:space="preserve">3.</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Available at: </w:t>
      </w:r>
      <w:hyperlink r:id="rId31">
        <w:r w:rsidDel="00000000" w:rsidR="00000000" w:rsidRPr="00000000">
          <w:rPr>
            <w:rFonts w:ascii="Arial" w:cs="Arial" w:eastAsia="Arial" w:hAnsi="Arial"/>
            <w:color w:val="0000ff"/>
            <w:u w:val="single"/>
            <w:rtl w:val="0"/>
          </w:rPr>
          <w:t xml:space="preserve">https://money.usnews.com/credit-cards/american-express#:~:text=American%20Express%20is%20one%20of,many%20different%20types%20of%20cardholders</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E">
      <w:pPr>
        <w:spacing w:line="360" w:lineRule="auto"/>
        <w:jc w:val="both"/>
        <w:rPr>
          <w:rFonts w:ascii="Arial" w:cs="Arial" w:eastAsia="Arial" w:hAnsi="Arial"/>
        </w:rPr>
      </w:pPr>
      <w:r w:rsidDel="00000000" w:rsidR="00000000" w:rsidRPr="00000000">
        <w:rPr>
          <w:rFonts w:ascii="Arial" w:cs="Arial" w:eastAsia="Arial" w:hAnsi="Arial"/>
          <w:rtl w:val="0"/>
        </w:rPr>
        <w:t xml:space="preserve">Vaspe, J., 2018. </w:t>
      </w:r>
      <w:r w:rsidDel="00000000" w:rsidR="00000000" w:rsidRPr="00000000">
        <w:rPr>
          <w:rFonts w:ascii="Arial" w:cs="Arial" w:eastAsia="Arial" w:hAnsi="Arial"/>
          <w:i w:val="1"/>
          <w:rtl w:val="0"/>
        </w:rPr>
        <w:t xml:space="preserve">The U.S. Joins Other Countries With Large Aging Populations</w:t>
      </w:r>
      <w:r w:rsidDel="00000000" w:rsidR="00000000" w:rsidRPr="00000000">
        <w:rPr>
          <w:rFonts w:ascii="Arial" w:cs="Arial" w:eastAsia="Arial" w:hAnsi="Arial"/>
          <w:rtl w:val="0"/>
        </w:rPr>
        <w:t xml:space="preserve">. Available at: </w:t>
      </w:r>
      <w:hyperlink r:id="rId32">
        <w:r w:rsidDel="00000000" w:rsidR="00000000" w:rsidRPr="00000000">
          <w:rPr>
            <w:rFonts w:ascii="Arial" w:cs="Arial" w:eastAsia="Arial" w:hAnsi="Arial"/>
            <w:color w:val="0000ff"/>
            <w:u w:val="single"/>
            <w:rtl w:val="0"/>
          </w:rPr>
          <w:t xml:space="preserve">https://www.census.gov/library/stories/2018/03/graying-america.html#:~:text=By%202060%2C%20nearly%20one%20in,caregiving%20and%20assisted%20living%20facilities</w:t>
        </w:r>
      </w:hyperlink>
      <w:r w:rsidDel="00000000" w:rsidR="00000000" w:rsidRPr="00000000">
        <w:rPr>
          <w:rFonts w:ascii="Arial" w:cs="Arial" w:eastAsia="Arial" w:hAnsi="Arial"/>
          <w:rtl w:val="0"/>
        </w:rPr>
        <w:t xml:space="preserve">. [Accessed on: 20 April, 2023]</w:t>
      </w:r>
    </w:p>
    <w:p w:rsidR="00000000" w:rsidDel="00000000" w:rsidP="00000000" w:rsidRDefault="00000000" w:rsidRPr="00000000" w14:paraId="000000FF">
      <w:pPr>
        <w:rPr>
          <w:rFonts w:ascii="Arial" w:cs="Arial" w:eastAsia="Arial" w:hAnsi="Arial"/>
        </w:rPr>
      </w:pPr>
      <w:r w:rsidDel="00000000" w:rsidR="00000000" w:rsidRPr="00000000">
        <w:rPr>
          <w:rtl w:val="0"/>
        </w:rPr>
      </w:r>
    </w:p>
    <w:p w:rsidR="00000000" w:rsidDel="00000000" w:rsidP="00000000" w:rsidRDefault="00000000" w:rsidRPr="00000000" w14:paraId="0000010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0B">
      <w:pPr>
        <w:rPr>
          <w:rFonts w:ascii="Arial" w:cs="Arial" w:eastAsia="Arial" w:hAnsi="Arial"/>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rPr/>
      </w:pPr>
      <w:bookmarkStart w:colFirst="0" w:colLast="0" w:name="_heading=h.1y810tw" w:id="20"/>
      <w:bookmarkEnd w:id="20"/>
      <w:r w:rsidDel="00000000" w:rsidR="00000000" w:rsidRPr="00000000">
        <w:rPr>
          <w:rtl w:val="0"/>
        </w:rPr>
        <w:t xml:space="preserve">Appendix 1- VRIO Analysis of American Express</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72"/>
        <w:gridCol w:w="1483"/>
        <w:gridCol w:w="1488"/>
        <w:gridCol w:w="1622"/>
        <w:gridCol w:w="1751"/>
        <w:tblGridChange w:id="0">
          <w:tblGrid>
            <w:gridCol w:w="2672"/>
            <w:gridCol w:w="1483"/>
            <w:gridCol w:w="1488"/>
            <w:gridCol w:w="1622"/>
            <w:gridCol w:w="1751"/>
          </w:tblGrid>
        </w:tblGridChange>
      </w:tblGrid>
      <w:tr>
        <w:trPr>
          <w:cantSplit w:val="0"/>
          <w:trHeight w:val="327" w:hRule="atLeast"/>
          <w:tblHeader w:val="0"/>
        </w:trPr>
        <w:tc>
          <w:tcPr/>
          <w:p w:rsidR="00000000" w:rsidDel="00000000" w:rsidP="00000000" w:rsidRDefault="00000000" w:rsidRPr="00000000" w14:paraId="0000010D">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Resources/Capabilities</w:t>
            </w:r>
          </w:p>
        </w:tc>
        <w:tc>
          <w:tcPr/>
          <w:p w:rsidR="00000000" w:rsidDel="00000000" w:rsidP="00000000" w:rsidRDefault="00000000" w:rsidRPr="00000000" w14:paraId="0000010E">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Value</w:t>
            </w:r>
          </w:p>
        </w:tc>
        <w:tc>
          <w:tcPr/>
          <w:p w:rsidR="00000000" w:rsidDel="00000000" w:rsidP="00000000" w:rsidRDefault="00000000" w:rsidRPr="00000000" w14:paraId="0000010F">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Rarity</w:t>
            </w:r>
          </w:p>
        </w:tc>
        <w:tc>
          <w:tcPr/>
          <w:p w:rsidR="00000000" w:rsidDel="00000000" w:rsidP="00000000" w:rsidRDefault="00000000" w:rsidRPr="00000000" w14:paraId="00000110">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Imitability</w:t>
            </w:r>
          </w:p>
        </w:tc>
        <w:tc>
          <w:tcPr/>
          <w:p w:rsidR="00000000" w:rsidDel="00000000" w:rsidP="00000000" w:rsidRDefault="00000000" w:rsidRPr="00000000" w14:paraId="00000111">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Organisation</w:t>
            </w:r>
          </w:p>
        </w:tc>
      </w:tr>
      <w:tr>
        <w:trPr>
          <w:cantSplit w:val="0"/>
          <w:trHeight w:val="327" w:hRule="atLeast"/>
          <w:tblHeader w:val="0"/>
        </w:trPr>
        <w:tc>
          <w:tcPr/>
          <w:p w:rsidR="00000000" w:rsidDel="00000000" w:rsidP="00000000" w:rsidRDefault="00000000" w:rsidRPr="00000000" w14:paraId="00000112">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Brand Equity</w:t>
            </w:r>
          </w:p>
        </w:tc>
        <w:tc>
          <w:tcPr/>
          <w:p w:rsidR="00000000" w:rsidDel="00000000" w:rsidP="00000000" w:rsidRDefault="00000000" w:rsidRPr="00000000" w14:paraId="00000113">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14">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15">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16">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r>
      <w:tr>
        <w:trPr>
          <w:cantSplit w:val="0"/>
          <w:trHeight w:val="327" w:hRule="atLeast"/>
          <w:tblHeader w:val="0"/>
        </w:trPr>
        <w:tc>
          <w:tcPr/>
          <w:p w:rsidR="00000000" w:rsidDel="00000000" w:rsidP="00000000" w:rsidRDefault="00000000" w:rsidRPr="00000000" w14:paraId="00000117">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Customer Service</w:t>
            </w:r>
          </w:p>
        </w:tc>
        <w:tc>
          <w:tcPr/>
          <w:p w:rsidR="00000000" w:rsidDel="00000000" w:rsidP="00000000" w:rsidRDefault="00000000" w:rsidRPr="00000000" w14:paraId="00000118">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19">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1A">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1B">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r>
      <w:tr>
        <w:trPr>
          <w:cantSplit w:val="0"/>
          <w:trHeight w:val="327" w:hRule="atLeast"/>
          <w:tblHeader w:val="0"/>
        </w:trPr>
        <w:tc>
          <w:tcPr/>
          <w:p w:rsidR="00000000" w:rsidDel="00000000" w:rsidP="00000000" w:rsidRDefault="00000000" w:rsidRPr="00000000" w14:paraId="0000011C">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Reward Programs</w:t>
            </w:r>
          </w:p>
        </w:tc>
        <w:tc>
          <w:tcPr/>
          <w:p w:rsidR="00000000" w:rsidDel="00000000" w:rsidP="00000000" w:rsidRDefault="00000000" w:rsidRPr="00000000" w14:paraId="0000011D">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1E">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1F">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20">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r>
      <w:tr>
        <w:trPr>
          <w:cantSplit w:val="0"/>
          <w:trHeight w:val="327" w:hRule="atLeast"/>
          <w:tblHeader w:val="0"/>
        </w:trPr>
        <w:tc>
          <w:tcPr/>
          <w:p w:rsidR="00000000" w:rsidDel="00000000" w:rsidP="00000000" w:rsidRDefault="00000000" w:rsidRPr="00000000" w14:paraId="00000121">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Investment Arm</w:t>
            </w:r>
          </w:p>
        </w:tc>
        <w:tc>
          <w:tcPr/>
          <w:p w:rsidR="00000000" w:rsidDel="00000000" w:rsidP="00000000" w:rsidRDefault="00000000" w:rsidRPr="00000000" w14:paraId="00000122">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23">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24">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25">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r>
      <w:tr>
        <w:trPr>
          <w:cantSplit w:val="0"/>
          <w:trHeight w:val="327" w:hRule="atLeast"/>
          <w:tblHeader w:val="0"/>
        </w:trPr>
        <w:tc>
          <w:tcPr/>
          <w:p w:rsidR="00000000" w:rsidDel="00000000" w:rsidP="00000000" w:rsidRDefault="00000000" w:rsidRPr="00000000" w14:paraId="00000126">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Tech Lab</w:t>
            </w:r>
          </w:p>
        </w:tc>
        <w:tc>
          <w:tcPr/>
          <w:p w:rsidR="00000000" w:rsidDel="00000000" w:rsidP="00000000" w:rsidRDefault="00000000" w:rsidRPr="00000000" w14:paraId="00000127">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28">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c>
          <w:tcPr/>
          <w:p w:rsidR="00000000" w:rsidDel="00000000" w:rsidP="00000000" w:rsidRDefault="00000000" w:rsidRPr="00000000" w14:paraId="00000129">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No</w:t>
            </w:r>
          </w:p>
        </w:tc>
        <w:tc>
          <w:tcPr/>
          <w:p w:rsidR="00000000" w:rsidDel="00000000" w:rsidP="00000000" w:rsidRDefault="00000000" w:rsidRPr="00000000" w14:paraId="0000012A">
            <w:pPr>
              <w:spacing w:after="480" w:before="260" w:line="360" w:lineRule="auto"/>
              <w:jc w:val="both"/>
              <w:rPr>
                <w:rFonts w:ascii="Arial" w:cs="Arial" w:eastAsia="Arial" w:hAnsi="Arial"/>
              </w:rPr>
            </w:pPr>
            <w:r w:rsidDel="00000000" w:rsidR="00000000" w:rsidRPr="00000000">
              <w:rPr>
                <w:rFonts w:ascii="Arial" w:cs="Arial" w:eastAsia="Arial" w:hAnsi="Arial"/>
                <w:rtl w:val="0"/>
              </w:rPr>
              <w:t xml:space="preserve">Yes</w:t>
            </w:r>
          </w:p>
        </w:tc>
      </w:tr>
    </w:tbl>
    <w:p w:rsidR="00000000" w:rsidDel="00000000" w:rsidP="00000000" w:rsidRDefault="00000000" w:rsidRPr="00000000" w14:paraId="0000012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2C">
      <w:pPr>
        <w:rPr>
          <w:rFonts w:ascii="Arial" w:cs="Arial" w:eastAsia="Arial" w:hAnsi="Arial"/>
        </w:rPr>
      </w:pPr>
      <w:r w:rsidDel="00000000" w:rsidR="00000000" w:rsidRPr="00000000">
        <w:rPr>
          <w:rtl w:val="0"/>
        </w:rPr>
      </w:r>
    </w:p>
    <w:p w:rsidR="00000000" w:rsidDel="00000000" w:rsidP="00000000" w:rsidRDefault="00000000" w:rsidRPr="00000000" w14:paraId="0000012D">
      <w:pPr>
        <w:rPr>
          <w:rFonts w:ascii="Arial" w:cs="Arial" w:eastAsia="Arial" w:hAnsi="Arial"/>
        </w:rPr>
      </w:pPr>
      <w:r w:rsidDel="00000000" w:rsidR="00000000" w:rsidRPr="00000000">
        <w:rPr>
          <w:rtl w:val="0"/>
        </w:rPr>
      </w:r>
    </w:p>
    <w:sectPr>
      <w:headerReference r:id="rId33" w:type="default"/>
      <w:headerReference r:id="rId34" w:type="first"/>
      <w:headerReference r:id="rId35" w:type="even"/>
      <w:footerReference r:id="rId36" w:type="default"/>
      <w:footerReference r:id="rId37" w:type="first"/>
      <w:footerReference r:id="rId38" w:type="even"/>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4">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360" w:lineRule="auto"/>
      <w:jc w:val="both"/>
    </w:pPr>
    <w:rPr>
      <w:rFonts w:ascii="Arial" w:cs="Arial" w:eastAsia="Arial" w:hAnsi="Arial"/>
      <w:b w:val="1"/>
      <w:color w:val="17365d"/>
    </w:rPr>
  </w:style>
  <w:style w:type="paragraph" w:styleId="Heading2">
    <w:name w:val="heading 2"/>
    <w:basedOn w:val="Normal"/>
    <w:next w:val="Normal"/>
    <w:pPr>
      <w:keepNext w:val="1"/>
      <w:keepLines w:val="1"/>
      <w:spacing w:after="0" w:before="40" w:line="360" w:lineRule="auto"/>
      <w:jc w:val="both"/>
    </w:pPr>
    <w:rPr>
      <w:rFonts w:ascii="Arial" w:cs="Arial" w:eastAsia="Arial" w:hAnsi="Arial"/>
      <w:b w:val="1"/>
      <w:color w:val="366091"/>
    </w:rPr>
  </w:style>
  <w:style w:type="paragraph" w:styleId="Heading3">
    <w:name w:val="heading 3"/>
    <w:basedOn w:val="Normal"/>
    <w:next w:val="Normal"/>
    <w:pPr>
      <w:keepNext w:val="1"/>
      <w:keepLines w:val="1"/>
      <w:spacing w:after="240" w:before="240" w:lineRule="auto"/>
      <w:jc w:val="both"/>
    </w:pPr>
    <w:rPr>
      <w:rFonts w:ascii="Arial" w:cs="Arial" w:eastAsia="Arial" w:hAnsi="Arial"/>
      <w:b w:val="1"/>
      <w:color w:val="244061"/>
    </w:rPr>
  </w:style>
  <w:style w:type="paragraph" w:styleId="Heading4">
    <w:name w:val="heading 4"/>
    <w:basedOn w:val="Normal"/>
    <w:next w:val="Normal"/>
    <w:pPr>
      <w:keepNext w:val="1"/>
      <w:keepLines w:val="1"/>
      <w:spacing w:after="0" w:before="40" w:lineRule="auto"/>
    </w:pPr>
    <w:rPr>
      <w:rFonts w:ascii="Arial" w:cs="Arial" w:eastAsia="Arial" w:hAnsi="Arial"/>
      <w:b w:val="1"/>
      <w:color w:val="632423"/>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5596A"/>
    <w:rPr>
      <w:rFonts w:ascii="Times New Roman" w:hAnsi="Times New Roman"/>
      <w:noProof w:val="1"/>
      <w:sz w:val="24"/>
    </w:rPr>
  </w:style>
  <w:style w:type="paragraph" w:styleId="Heading1">
    <w:name w:val="heading 1"/>
    <w:basedOn w:val="Normal"/>
    <w:next w:val="Normal"/>
    <w:link w:val="Heading1Char"/>
    <w:autoRedefine w:val="1"/>
    <w:uiPriority w:val="9"/>
    <w:qFormat w:val="1"/>
    <w:rsid w:val="00927F56"/>
    <w:pPr>
      <w:keepNext w:val="1"/>
      <w:keepLines w:val="1"/>
      <w:spacing w:after="240" w:before="360"/>
      <w:jc w:val="both"/>
      <w:outlineLvl w:val="0"/>
    </w:pPr>
    <w:rPr>
      <w:rFonts w:ascii="Arial" w:cs="Times New Roman" w:hAnsi="Arial" w:eastAsiaTheme="majorEastAsia"/>
      <w:b w:val="1"/>
      <w:bCs w:val="1"/>
      <w:color w:val="17365d" w:themeColor="text2" w:themeShade="0000BF"/>
      <w:szCs w:val="24"/>
      <w:lang w:eastAsia="ja-JP"/>
    </w:rPr>
  </w:style>
  <w:style w:type="paragraph" w:styleId="Heading2">
    <w:name w:val="heading 2"/>
    <w:basedOn w:val="Normal"/>
    <w:next w:val="Normal"/>
    <w:link w:val="Heading2Char"/>
    <w:autoRedefine w:val="1"/>
    <w:uiPriority w:val="9"/>
    <w:unhideWhenUsed w:val="1"/>
    <w:qFormat w:val="1"/>
    <w:rsid w:val="00A869B7"/>
    <w:pPr>
      <w:keepNext w:val="1"/>
      <w:keepLines w:val="1"/>
      <w:spacing w:after="0" w:before="40" w:line="360" w:lineRule="auto"/>
      <w:jc w:val="both"/>
      <w:outlineLvl w:val="1"/>
    </w:pPr>
    <w:rPr>
      <w:rFonts w:ascii="Arial" w:hAnsi="Arial" w:cstheme="majorBidi" w:eastAsiaTheme="majorEastAsia"/>
      <w:b w:val="1"/>
      <w:color w:val="365f91" w:themeColor="accent1" w:themeShade="0000BF"/>
      <w:szCs w:val="26"/>
      <w:lang w:eastAsia="ja-JP"/>
    </w:rPr>
  </w:style>
  <w:style w:type="paragraph" w:styleId="Heading3">
    <w:name w:val="heading 3"/>
    <w:basedOn w:val="Normal"/>
    <w:next w:val="Normal"/>
    <w:link w:val="Heading3Char"/>
    <w:autoRedefine w:val="1"/>
    <w:uiPriority w:val="9"/>
    <w:unhideWhenUsed w:val="1"/>
    <w:qFormat w:val="1"/>
    <w:rsid w:val="006B2E77"/>
    <w:pPr>
      <w:keepNext w:val="1"/>
      <w:keepLines w:val="1"/>
      <w:spacing w:after="240" w:before="240"/>
      <w:jc w:val="both"/>
      <w:outlineLvl w:val="2"/>
    </w:pPr>
    <w:rPr>
      <w:rFonts w:ascii="Arial" w:hAnsi="Arial" w:cstheme="majorBidi" w:eastAsiaTheme="majorEastAsia"/>
      <w:b w:val="1"/>
      <w:color w:val="244061" w:themeColor="accent1" w:themeShade="000080"/>
      <w:szCs w:val="24"/>
    </w:rPr>
  </w:style>
  <w:style w:type="paragraph" w:styleId="Heading4">
    <w:name w:val="heading 4"/>
    <w:basedOn w:val="Normal"/>
    <w:next w:val="Normal"/>
    <w:link w:val="Heading4Char"/>
    <w:uiPriority w:val="9"/>
    <w:unhideWhenUsed w:val="1"/>
    <w:qFormat w:val="1"/>
    <w:rsid w:val="006B2E77"/>
    <w:pPr>
      <w:keepNext w:val="1"/>
      <w:keepLines w:val="1"/>
      <w:spacing w:after="0" w:before="40"/>
      <w:outlineLvl w:val="3"/>
    </w:pPr>
    <w:rPr>
      <w:rFonts w:ascii="Arial" w:hAnsi="Arial" w:cstheme="majorBidi" w:eastAsiaTheme="majorEastAsia"/>
      <w:b w:val="1"/>
      <w:iCs w:val="1"/>
      <w:color w:val="632423" w:themeColor="accent2"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1519D"/>
    <w:pPr>
      <w:ind w:left="720"/>
      <w:contextualSpacing w:val="1"/>
    </w:pPr>
  </w:style>
  <w:style w:type="character" w:styleId="Hyperlink">
    <w:name w:val="Hyperlink"/>
    <w:basedOn w:val="DefaultParagraphFont"/>
    <w:uiPriority w:val="99"/>
    <w:unhideWhenUsed w:val="1"/>
    <w:rsid w:val="00B90A7B"/>
    <w:rPr>
      <w:color w:val="0000ff" w:themeColor="hyperlink"/>
      <w:u w:val="single"/>
    </w:rPr>
  </w:style>
  <w:style w:type="paragraph" w:styleId="BalloonText">
    <w:name w:val="Balloon Text"/>
    <w:basedOn w:val="Normal"/>
    <w:link w:val="BalloonTextChar"/>
    <w:uiPriority w:val="99"/>
    <w:semiHidden w:val="1"/>
    <w:unhideWhenUsed w:val="1"/>
    <w:rsid w:val="00A7192F"/>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7192F"/>
    <w:rPr>
      <w:rFonts w:ascii="Tahoma" w:cs="Tahoma" w:hAnsi="Tahoma"/>
      <w:sz w:val="16"/>
      <w:szCs w:val="16"/>
    </w:rPr>
  </w:style>
  <w:style w:type="paragraph" w:styleId="Bibliography">
    <w:name w:val="Bibliography"/>
    <w:basedOn w:val="Normal"/>
    <w:next w:val="Normal"/>
    <w:uiPriority w:val="37"/>
    <w:unhideWhenUsed w:val="1"/>
    <w:rsid w:val="00B44209"/>
  </w:style>
  <w:style w:type="character" w:styleId="Heading1Char" w:customStyle="1">
    <w:name w:val="Heading 1 Char"/>
    <w:basedOn w:val="DefaultParagraphFont"/>
    <w:link w:val="Heading1"/>
    <w:uiPriority w:val="9"/>
    <w:rsid w:val="00927F56"/>
    <w:rPr>
      <w:rFonts w:ascii="Arial" w:cs="Times New Roman" w:hAnsi="Arial" w:eastAsiaTheme="majorEastAsia"/>
      <w:b w:val="1"/>
      <w:bCs w:val="1"/>
      <w:noProof w:val="1"/>
      <w:color w:val="17365d" w:themeColor="text2" w:themeShade="0000BF"/>
      <w:sz w:val="24"/>
      <w:szCs w:val="24"/>
      <w:lang w:eastAsia="ja-JP"/>
    </w:rPr>
  </w:style>
  <w:style w:type="paragraph" w:styleId="NoSpacing">
    <w:name w:val="No Spacing"/>
    <w:link w:val="NoSpacingChar"/>
    <w:uiPriority w:val="1"/>
    <w:qFormat w:val="1"/>
    <w:rsid w:val="001E2DC3"/>
    <w:pPr>
      <w:spacing w:after="0" w:line="240" w:lineRule="auto"/>
    </w:pPr>
    <w:rPr>
      <w:rFonts w:eastAsiaTheme="minorEastAsia"/>
      <w:lang w:eastAsia="ja-JP" w:val="en-US"/>
    </w:rPr>
  </w:style>
  <w:style w:type="character" w:styleId="NoSpacingChar" w:customStyle="1">
    <w:name w:val="No Spacing Char"/>
    <w:basedOn w:val="DefaultParagraphFont"/>
    <w:link w:val="NoSpacing"/>
    <w:uiPriority w:val="1"/>
    <w:rsid w:val="001E2DC3"/>
    <w:rPr>
      <w:rFonts w:eastAsiaTheme="minorEastAsia"/>
      <w:lang w:eastAsia="ja-JP" w:val="en-US"/>
    </w:rPr>
  </w:style>
  <w:style w:type="paragraph" w:styleId="Header">
    <w:name w:val="header"/>
    <w:basedOn w:val="Normal"/>
    <w:link w:val="HeaderChar"/>
    <w:uiPriority w:val="99"/>
    <w:unhideWhenUsed w:val="1"/>
    <w:rsid w:val="00EF27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EF27AC"/>
  </w:style>
  <w:style w:type="paragraph" w:styleId="Footer">
    <w:name w:val="footer"/>
    <w:basedOn w:val="Normal"/>
    <w:link w:val="FooterChar"/>
    <w:uiPriority w:val="99"/>
    <w:unhideWhenUsed w:val="1"/>
    <w:rsid w:val="00EF27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EF27AC"/>
  </w:style>
  <w:style w:type="character" w:styleId="Heading2Char" w:customStyle="1">
    <w:name w:val="Heading 2 Char"/>
    <w:basedOn w:val="DefaultParagraphFont"/>
    <w:link w:val="Heading2"/>
    <w:uiPriority w:val="9"/>
    <w:rsid w:val="00A869B7"/>
    <w:rPr>
      <w:rFonts w:ascii="Arial" w:hAnsi="Arial" w:cstheme="majorBidi" w:eastAsiaTheme="majorEastAsia"/>
      <w:b w:val="1"/>
      <w:noProof w:val="1"/>
      <w:color w:val="365f91" w:themeColor="accent1" w:themeShade="0000BF"/>
      <w:sz w:val="24"/>
      <w:szCs w:val="26"/>
      <w:lang w:eastAsia="ja-JP"/>
    </w:rPr>
  </w:style>
  <w:style w:type="paragraph" w:styleId="TOCHeading">
    <w:name w:val="TOC Heading"/>
    <w:basedOn w:val="Heading1"/>
    <w:next w:val="Normal"/>
    <w:uiPriority w:val="39"/>
    <w:unhideWhenUsed w:val="1"/>
    <w:qFormat w:val="1"/>
    <w:rsid w:val="00A72B6F"/>
    <w:pPr>
      <w:spacing w:before="240" w:line="259" w:lineRule="auto"/>
      <w:outlineLvl w:val="9"/>
    </w:pPr>
    <w:rPr>
      <w:rFonts w:asciiTheme="majorHAnsi" w:hAnsiTheme="majorHAnsi"/>
      <w:b w:val="0"/>
      <w:bCs w:val="0"/>
      <w:color w:val="365f91" w:themeColor="accent1" w:themeShade="0000BF"/>
      <w:sz w:val="32"/>
      <w:szCs w:val="32"/>
      <w:lang w:eastAsia="en-US"/>
    </w:rPr>
  </w:style>
  <w:style w:type="paragraph" w:styleId="TOC1">
    <w:name w:val="toc 1"/>
    <w:basedOn w:val="Normal"/>
    <w:next w:val="Normal"/>
    <w:autoRedefine w:val="1"/>
    <w:uiPriority w:val="39"/>
    <w:unhideWhenUsed w:val="1"/>
    <w:rsid w:val="00A72B6F"/>
    <w:pPr>
      <w:spacing w:after="100"/>
    </w:pPr>
  </w:style>
  <w:style w:type="paragraph" w:styleId="TOC2">
    <w:name w:val="toc 2"/>
    <w:basedOn w:val="Normal"/>
    <w:next w:val="Normal"/>
    <w:autoRedefine w:val="1"/>
    <w:uiPriority w:val="39"/>
    <w:unhideWhenUsed w:val="1"/>
    <w:rsid w:val="00A72B6F"/>
    <w:pPr>
      <w:spacing w:after="100"/>
      <w:ind w:left="220"/>
    </w:pPr>
  </w:style>
  <w:style w:type="character" w:styleId="UnresolvedMention">
    <w:name w:val="Unresolved Mention"/>
    <w:basedOn w:val="DefaultParagraphFont"/>
    <w:uiPriority w:val="99"/>
    <w:semiHidden w:val="1"/>
    <w:unhideWhenUsed w:val="1"/>
    <w:rsid w:val="00026FA2"/>
    <w:rPr>
      <w:color w:val="605e5c"/>
      <w:shd w:color="auto" w:fill="e1dfdd" w:val="clear"/>
    </w:rPr>
  </w:style>
  <w:style w:type="character" w:styleId="FollowedHyperlink">
    <w:name w:val="FollowedHyperlink"/>
    <w:basedOn w:val="DefaultParagraphFont"/>
    <w:uiPriority w:val="99"/>
    <w:semiHidden w:val="1"/>
    <w:unhideWhenUsed w:val="1"/>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character" w:styleId="fontstyle01" w:customStyle="1">
    <w:name w:val="fontstyle01"/>
    <w:basedOn w:val="DefaultParagraphFont"/>
    <w:rsid w:val="007A233E"/>
    <w:rPr>
      <w:rFonts w:ascii="LinoLetter-Roman" w:hAnsi="LinoLetter-Roman" w:hint="default"/>
      <w:b w:val="0"/>
      <w:bCs w:val="0"/>
      <w:i w:val="0"/>
      <w:iCs w:val="0"/>
      <w:color w:val="242021"/>
      <w:sz w:val="20"/>
      <w:szCs w:val="20"/>
    </w:rPr>
  </w:style>
  <w:style w:type="character" w:styleId="Heading3Char" w:customStyle="1">
    <w:name w:val="Heading 3 Char"/>
    <w:basedOn w:val="DefaultParagraphFont"/>
    <w:link w:val="Heading3"/>
    <w:uiPriority w:val="9"/>
    <w:rsid w:val="006B2E77"/>
    <w:rPr>
      <w:rFonts w:ascii="Arial" w:hAnsi="Arial" w:cstheme="majorBidi" w:eastAsiaTheme="majorEastAsia"/>
      <w:b w:val="1"/>
      <w:noProof w:val="1"/>
      <w:color w:val="244061" w:themeColor="accent1" w:themeShade="000080"/>
      <w:sz w:val="24"/>
      <w:szCs w:val="24"/>
    </w:rPr>
  </w:style>
  <w:style w:type="paragraph" w:styleId="TOC3">
    <w:name w:val="toc 3"/>
    <w:basedOn w:val="Normal"/>
    <w:next w:val="Normal"/>
    <w:autoRedefine w:val="1"/>
    <w:uiPriority w:val="39"/>
    <w:unhideWhenUsed w:val="1"/>
    <w:rsid w:val="00CF16E3"/>
    <w:pPr>
      <w:spacing w:after="100"/>
      <w:ind w:left="440"/>
    </w:pPr>
  </w:style>
  <w:style w:type="table" w:styleId="MediumList1-Accent51" w:customStyle="1">
    <w:name w:val="Medium List 1 - Accent 51"/>
    <w:basedOn w:val="TableNormal"/>
    <w:next w:val="MediumList1-Accent5"/>
    <w:uiPriority w:val="65"/>
    <w:rsid w:val="002B25EB"/>
    <w:pPr>
      <w:spacing w:after="0" w:line="240" w:lineRule="auto"/>
      <w:jc w:val="both"/>
    </w:pPr>
    <w:rPr>
      <w:rFonts w:ascii="Times New Roman" w:cs="Times New Roman" w:eastAsia="Times New Roman" w:hAnsi="Times New Roman"/>
      <w:color w:val="000000"/>
      <w:sz w:val="24"/>
      <w:szCs w:val="24"/>
    </w:rPr>
    <w:tblPr>
      <w:tblStyleRowBandSize w:val="1"/>
      <w:tblStyleColBandSize w:val="1"/>
      <w:tblBorders>
        <w:top w:color="4bacc6" w:space="0" w:sz="8" w:val="single"/>
        <w:bottom w:color="4bacc6" w:space="0" w:sz="8" w:val="single"/>
      </w:tblBorders>
    </w:tblPr>
    <w:tblStylePr w:type="firstRow">
      <w:rPr>
        <w:rFonts w:ascii="Cambria" w:cs="Times New Roman" w:eastAsia="Times New Roman" w:hAnsi="Cambria"/>
      </w:rPr>
      <w:tblPr/>
      <w:tcPr>
        <w:tcBorders>
          <w:top w:space="0" w:sz="0" w:val="nil"/>
          <w:bottom w:color="4bacc6" w:space="0" w:sz="8" w:val="single"/>
        </w:tcBorders>
      </w:tcPr>
    </w:tblStylePr>
    <w:tblStylePr w:type="lastRow">
      <w:rPr>
        <w:b w:val="1"/>
        <w:bCs w:val="1"/>
        <w:color w:val="1f497d"/>
      </w:rPr>
      <w:tblPr/>
      <w:tcPr>
        <w:tcBorders>
          <w:top w:color="4bacc6" w:space="0" w:sz="8" w:val="single"/>
          <w:bottom w:color="4bacc6" w:space="0" w:sz="8" w:val="single"/>
        </w:tcBorders>
      </w:tcPr>
    </w:tblStylePr>
    <w:tblStylePr w:type="firstCol">
      <w:rPr>
        <w:b w:val="1"/>
        <w:bCs w:val="1"/>
      </w:rPr>
    </w:tblStylePr>
    <w:tblStylePr w:type="lastCol">
      <w:rPr>
        <w:b w:val="1"/>
        <w:bCs w:val="1"/>
      </w:rPr>
      <w:tblPr/>
      <w:tcPr>
        <w:tcBorders>
          <w:top w:color="4bacc6" w:space="0" w:sz="8" w:val="single"/>
          <w:bottom w:color="4bacc6" w:space="0" w:sz="8" w:val="single"/>
        </w:tcBorders>
      </w:tcPr>
    </w:tblStylePr>
    <w:tblStylePr w:type="band1Vert">
      <w:tblPr/>
      <w:tcPr>
        <w:shd w:color="auto" w:fill="d2eaf1" w:val="clear"/>
      </w:tcPr>
    </w:tblStylePr>
    <w:tblStylePr w:type="band1Horz">
      <w:tblPr/>
      <w:tcPr>
        <w:shd w:color="auto" w:fill="d2eaf1" w:val="clear"/>
      </w:tcPr>
    </w:tblStylePr>
  </w:style>
  <w:style w:type="table" w:styleId="MediumList1-Accent5">
    <w:name w:val="Medium List 1 Accent 5"/>
    <w:basedOn w:val="TableNormal"/>
    <w:uiPriority w:val="65"/>
    <w:semiHidden w:val="1"/>
    <w:unhideWhenUsed w:val="1"/>
    <w:rsid w:val="002B25EB"/>
    <w:pPr>
      <w:spacing w:after="0" w:line="240" w:lineRule="auto"/>
    </w:pPr>
    <w:rPr>
      <w:color w:val="000000" w:themeColor="text1"/>
    </w:rPr>
    <w:tblPr>
      <w:tblStyleRowBandSize w:val="1"/>
      <w:tblStyleColBandSize w:val="1"/>
      <w:tblBorders>
        <w:top w:color="4bacc6" w:space="0" w:sz="8" w:themeColor="accent5" w:val="single"/>
        <w:bottom w:color="4bacc6" w:space="0" w:sz="8" w:themeColor="accent5" w:val="single"/>
      </w:tblBorders>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character" w:styleId="Heading4Char" w:customStyle="1">
    <w:name w:val="Heading 4 Char"/>
    <w:basedOn w:val="DefaultParagraphFont"/>
    <w:link w:val="Heading4"/>
    <w:uiPriority w:val="9"/>
    <w:rsid w:val="006B2E77"/>
    <w:rPr>
      <w:rFonts w:ascii="Arial" w:hAnsi="Arial" w:cstheme="majorBidi" w:eastAsiaTheme="majorEastAsia"/>
      <w:b w:val="1"/>
      <w:iCs w:val="1"/>
      <w:noProof w:val="1"/>
      <w:color w:val="632423" w:themeColor="accent2" w:themeShade="000080"/>
    </w:rPr>
  </w:style>
  <w:style w:type="paragraph" w:styleId="TOC4">
    <w:name w:val="toc 4"/>
    <w:basedOn w:val="Normal"/>
    <w:next w:val="Normal"/>
    <w:autoRedefine w:val="1"/>
    <w:uiPriority w:val="39"/>
    <w:unhideWhenUsed w:val="1"/>
    <w:rsid w:val="004165E8"/>
    <w:pPr>
      <w:spacing w:after="100"/>
      <w:ind w:left="660"/>
    </w:pPr>
  </w:style>
  <w:style w:type="character" w:styleId="CommentReference">
    <w:name w:val="annotation reference"/>
    <w:basedOn w:val="DefaultParagraphFont"/>
    <w:uiPriority w:val="99"/>
    <w:semiHidden w:val="1"/>
    <w:unhideWhenUsed w:val="1"/>
    <w:rsid w:val="009A12AF"/>
    <w:rPr>
      <w:sz w:val="16"/>
      <w:szCs w:val="16"/>
    </w:rPr>
  </w:style>
  <w:style w:type="paragraph" w:styleId="CommentText">
    <w:name w:val="annotation text"/>
    <w:basedOn w:val="Normal"/>
    <w:link w:val="CommentTextChar"/>
    <w:uiPriority w:val="99"/>
    <w:semiHidden w:val="1"/>
    <w:unhideWhenUsed w:val="1"/>
    <w:rsid w:val="009A12AF"/>
    <w:pPr>
      <w:spacing w:line="240" w:lineRule="auto"/>
    </w:pPr>
    <w:rPr>
      <w:sz w:val="20"/>
      <w:szCs w:val="20"/>
    </w:rPr>
  </w:style>
  <w:style w:type="character" w:styleId="CommentTextChar" w:customStyle="1">
    <w:name w:val="Comment Text Char"/>
    <w:basedOn w:val="DefaultParagraphFont"/>
    <w:link w:val="CommentText"/>
    <w:uiPriority w:val="99"/>
    <w:semiHidden w:val="1"/>
    <w:rsid w:val="009A12AF"/>
    <w:rPr>
      <w:rFonts w:ascii="Times New Roman" w:hAnsi="Times New Roman"/>
      <w:noProof w:val="1"/>
      <w:sz w:val="20"/>
      <w:szCs w:val="20"/>
    </w:rPr>
  </w:style>
  <w:style w:type="paragraph" w:styleId="CommentSubject">
    <w:name w:val="annotation subject"/>
    <w:basedOn w:val="CommentText"/>
    <w:next w:val="CommentText"/>
    <w:link w:val="CommentSubjectChar"/>
    <w:uiPriority w:val="99"/>
    <w:semiHidden w:val="1"/>
    <w:unhideWhenUsed w:val="1"/>
    <w:rsid w:val="009A12AF"/>
    <w:rPr>
      <w:b w:val="1"/>
      <w:bCs w:val="1"/>
    </w:rPr>
  </w:style>
  <w:style w:type="character" w:styleId="CommentSubjectChar" w:customStyle="1">
    <w:name w:val="Comment Subject Char"/>
    <w:basedOn w:val="CommentTextChar"/>
    <w:link w:val="CommentSubject"/>
    <w:uiPriority w:val="99"/>
    <w:semiHidden w:val="1"/>
    <w:rsid w:val="009A12AF"/>
    <w:rPr>
      <w:rFonts w:ascii="Times New Roman" w:hAnsi="Times New Roman"/>
      <w:b w:val="1"/>
      <w:bCs w:val="1"/>
      <w:noProof w:val="1"/>
      <w:sz w:val="20"/>
      <w:szCs w:val="20"/>
    </w:rPr>
  </w:style>
  <w:style w:type="table" w:styleId="TableGrid">
    <w:name w:val="Table Grid"/>
    <w:basedOn w:val="TableNormal"/>
    <w:uiPriority w:val="39"/>
    <w:rsid w:val="005D2449"/>
    <w:pPr>
      <w:spacing w:after="0" w:line="240" w:lineRule="auto"/>
    </w:pPr>
    <w:rPr>
      <w:rFonts w:ascii="Arial" w:cs="Arial" w:eastAsia="Arial" w:hAnsi="Arial"/>
      <w:lang w:eastAsia="en-IN" w:val="en-IN"/>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jc w:val="both"/>
    </w:pPr>
    <w:rPr>
      <w:rFonts w:ascii="Arial" w:cs="Arial" w:eastAsia="Arial" w:hAnsi="Arial"/>
      <w:color w:val="000000"/>
      <w:sz w:val="24"/>
      <w:szCs w:val="24"/>
    </w:rPr>
    <w:tblPr>
      <w:tblStyleRowBandSize w:val="1"/>
      <w:tblStyleColBandSize w:val="1"/>
      <w:tblCellMar>
        <w:top w:w="0.0" w:type="dxa"/>
        <w:left w:w="115.0" w:type="dxa"/>
        <w:bottom w:w="0.0" w:type="dxa"/>
        <w:right w:w="115.0" w:type="dxa"/>
      </w:tblCellMar>
    </w:tblPr>
    <w:tcPr>
      <w:shd w:fill="f5f8ee" w:val="clear"/>
    </w:tcPr>
  </w:style>
  <w:style w:type="table" w:styleId="Table3">
    <w:basedOn w:val="TableNormal"/>
    <w:pPr>
      <w:spacing w:after="0" w:line="240" w:lineRule="auto"/>
      <w:jc w:val="both"/>
    </w:pPr>
    <w:rPr>
      <w:rFonts w:ascii="Arial" w:cs="Arial" w:eastAsia="Arial" w:hAnsi="Arial"/>
      <w:color w:val="000000"/>
      <w:sz w:val="24"/>
      <w:szCs w:val="24"/>
    </w:rPr>
    <w:tblPr>
      <w:tblStyleRowBandSize w:val="1"/>
      <w:tblStyleColBandSize w:val="1"/>
      <w:tblCellMar>
        <w:top w:w="0.0" w:type="dxa"/>
        <w:left w:w="115.0" w:type="dxa"/>
        <w:bottom w:w="0.0" w:type="dxa"/>
        <w:right w:w="115.0" w:type="dxa"/>
      </w:tblCellMar>
    </w:tblPr>
    <w:tcPr>
      <w:shd w:fill="f5f8ee" w:val="clear"/>
    </w:tcPr>
  </w:style>
</w:styles>
</file>

<file path=word/_rels/document.xml.rels><?xml version="1.0" encoding="UTF-8" standalone="yes"?><Relationships xmlns="http://schemas.openxmlformats.org/package/2006/relationships"><Relationship Id="rId20" Type="http://schemas.openxmlformats.org/officeDocument/2006/relationships/hyperlink" Target="https://www.easyleadz.com/company/american-express#:~:text=American%20Express%20is%20a%20Financial,American%20Express%20has%2067754%20employees" TargetMode="External"/><Relationship Id="rId22" Type="http://schemas.openxmlformats.org/officeDocument/2006/relationships/hyperlink" Target="https://www.statista.com/statistics/350557/users-of-american-express-credit-cards-usa/" TargetMode="External"/><Relationship Id="rId21" Type="http://schemas.openxmlformats.org/officeDocument/2006/relationships/hyperlink" Target="https://www.fdic.gov/analysis/household-survey/index.html#:~:text=An%20estimated%2081.5%20percent%20of,above%20nonbank%20transactions%20and%20credit" TargetMode="External"/><Relationship Id="rId24" Type="http://schemas.openxmlformats.org/officeDocument/2006/relationships/hyperlink" Target="https://www.macrotrends.net/stocks/charts/AXP/american-express/net-income" TargetMode="External"/><Relationship Id="rId23" Type="http://schemas.openxmlformats.org/officeDocument/2006/relationships/hyperlink" Target="https://www.cnbc.com/2023/01/27/heres-the-real-reason-why-american-express-gives-out-such-big-reward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zippia.com/advice/financial-services-industry-statistics/#:~:text=The%20U.S.%20financial%20services%20industry,7.78%25%20of%20the%20total%20GDP" TargetMode="External"/><Relationship Id="rId25" Type="http://schemas.openxmlformats.org/officeDocument/2006/relationships/hyperlink" Target="about:blank" TargetMode="External"/><Relationship Id="rId28" Type="http://schemas.openxmlformats.org/officeDocument/2006/relationships/hyperlink" Target="https://www.statista.com/outlook/dmo/fintech/united-states#:~:text=The%20market's%20largest%20segment%20will,US%2451.04bn%20in%202023" TargetMode="External"/><Relationship Id="rId27" Type="http://schemas.openxmlformats.org/officeDocument/2006/relationships/hyperlink" Target="https://www.mordorintelligence.com/industry-reports/us-fintech-market/market-size#:~:text=The%20United%20States%20Fintech%20Market,11%25%20over%20the%20forecast%20period"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theglobaleconomy.com/USA/wb_political_stability/#:~:text=Political%20stability%20index%20(%2D2.5%20weak%3B%202.5%20strong)&amp;text=The%20latest%20value%20from%202021,to%20compare%20trends%20over%20time" TargetMode="External"/><Relationship Id="rId7" Type="http://schemas.openxmlformats.org/officeDocument/2006/relationships/image" Target="media/image2.jpg"/><Relationship Id="rId8" Type="http://schemas.openxmlformats.org/officeDocument/2006/relationships/image" Target="media/image8.png"/><Relationship Id="rId31" Type="http://schemas.openxmlformats.org/officeDocument/2006/relationships/hyperlink" Target="https://money.usnews.com/credit-cards/american-express#:~:text=American%20Express%20is%20one%20of,many%20different%20types%20of%20cardholders" TargetMode="External"/><Relationship Id="rId30" Type="http://schemas.openxmlformats.org/officeDocument/2006/relationships/hyperlink" Target="https://www.trade.gov/selectusa-financial-services-industry" TargetMode="External"/><Relationship Id="rId11" Type="http://schemas.openxmlformats.org/officeDocument/2006/relationships/image" Target="media/image7.png"/><Relationship Id="rId33" Type="http://schemas.openxmlformats.org/officeDocument/2006/relationships/header" Target="header1.xml"/><Relationship Id="rId10" Type="http://schemas.openxmlformats.org/officeDocument/2006/relationships/image" Target="media/image3.png"/><Relationship Id="rId32" Type="http://schemas.openxmlformats.org/officeDocument/2006/relationships/hyperlink" Target="https://www.census.gov/library/stories/2018/03/graying-america.html#:~:text=By%202060%2C%20nearly%20one%20in,caregiving%20and%20assisted%20living%20facilities" TargetMode="External"/><Relationship Id="rId13" Type="http://schemas.openxmlformats.org/officeDocument/2006/relationships/image" Target="media/image5.png"/><Relationship Id="rId35" Type="http://schemas.openxmlformats.org/officeDocument/2006/relationships/header" Target="header2.xml"/><Relationship Id="rId12" Type="http://schemas.openxmlformats.org/officeDocument/2006/relationships/image" Target="media/image4.png"/><Relationship Id="rId34" Type="http://schemas.openxmlformats.org/officeDocument/2006/relationships/header" Target="header3.xml"/><Relationship Id="rId15" Type="http://schemas.openxmlformats.org/officeDocument/2006/relationships/hyperlink" Target="https://about.americanexpress.com/corporate-sustainability/overview/default.aspx" TargetMode="External"/><Relationship Id="rId37" Type="http://schemas.openxmlformats.org/officeDocument/2006/relationships/footer" Target="footer2.xml"/><Relationship Id="rId14" Type="http://schemas.openxmlformats.org/officeDocument/2006/relationships/image" Target="media/image6.png"/><Relationship Id="rId36" Type="http://schemas.openxmlformats.org/officeDocument/2006/relationships/footer" Target="footer3.xml"/><Relationship Id="rId17" Type="http://schemas.openxmlformats.org/officeDocument/2006/relationships/hyperlink" Target="https://about.americanexpress.com/corporate-sustainability/esg/advance-climate-solutions/default.aspx" TargetMode="External"/><Relationship Id="rId16" Type="http://schemas.openxmlformats.org/officeDocument/2006/relationships/hyperlink" Target="https://s29.q4cdn.com/330828691/files/doc_downloads/esg_resources/2022/AXP-2021-2022-ESG-Report.pdf" TargetMode="External"/><Relationship Id="rId38" Type="http://schemas.openxmlformats.org/officeDocument/2006/relationships/footer" Target="footer1.xml"/><Relationship Id="rId19" Type="http://schemas.openxmlformats.org/officeDocument/2006/relationships/hyperlink" Target="https://www.britannica.com/topic/American-Express-Company" TargetMode="External"/><Relationship Id="rId18" Type="http://schemas.openxmlformats.org/officeDocument/2006/relationships/hyperlink" Target="https://www.americanexpress.com/in/company/mission.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Cg069fAnget4u/O/e6uqZOYVpag==">AMUW2mVTqLMzoLsgvFh/IjcaEV9eQrFUC2VkmZdd1sCdQGeJX7ZZPQjSb3ZrY7zdaveqXkLsfbFM8CIb0aQwoLoqaMFGYcWXtL2smi6lJju+8shPuZ+0FxVrPWCNenRm+IoCoQkbZDoDEGovVjObWrySrxjueVRa3TYK65mXyFuEMFwNNYI9rWeiYD/1ROUaFNxnIbKD5VL693wnxPzZZEFnKtPK7fkmNS5BlZYlUMgAYH3ARSWWooOLwkkjchvhw0Ls3355A8CX+GjEpho2a7f7H8c9X5UzkccJvUCY5y/kzmHmei+DWS+wzt8vYfeKUHNKP5jMpWOhm7Z8XZeSbtaBn0Sg9iBOnyMWLVfXDAQVcUt0NITY2KES3r72Xf4X05vft1pdPPzUNOlZKJHIGxFK/a+j53bUU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2020-05-17T20:39:00Z</dcterms:created>
</cp:coreProperties>
</file>