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3002F" w14:textId="59EE91EB" w:rsidR="00403714" w:rsidRDefault="000E2E7E">
      <w:r>
        <w:t xml:space="preserve">                                     </w:t>
      </w:r>
      <w:r>
        <w:rPr>
          <w:noProof/>
        </w:rPr>
        <w:drawing>
          <wp:inline distT="0" distB="0" distL="0" distR="0" wp14:anchorId="2D3EAADE" wp14:editId="70C54734">
            <wp:extent cx="3523794" cy="1402201"/>
            <wp:effectExtent l="0" t="0" r="0" b="0"/>
            <wp:docPr id="1982794449" name="Picture 1982794449"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794449" name="Picture 1982794449" descr="A close-up of black text&#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3523794" cy="1402201"/>
                    </a:xfrm>
                    <a:prstGeom prst="rect">
                      <a:avLst/>
                    </a:prstGeom>
                  </pic:spPr>
                </pic:pic>
              </a:graphicData>
            </a:graphic>
          </wp:inline>
        </w:drawing>
      </w:r>
    </w:p>
    <w:p w14:paraId="0E3F4352" w14:textId="77777777" w:rsidR="000E2E7E" w:rsidRDefault="000E2E7E"/>
    <w:p w14:paraId="73022E7D" w14:textId="77777777" w:rsidR="000E2E7E" w:rsidRDefault="000E2E7E">
      <w:pPr>
        <w:rPr>
          <w:sz w:val="52"/>
          <w:szCs w:val="52"/>
        </w:rPr>
      </w:pPr>
    </w:p>
    <w:p w14:paraId="0C87A799" w14:textId="2E11B833" w:rsidR="000E2E7E" w:rsidRPr="000E2E7E" w:rsidRDefault="000E2E7E">
      <w:pPr>
        <w:rPr>
          <w:b/>
          <w:bCs/>
          <w:sz w:val="52"/>
          <w:szCs w:val="52"/>
        </w:rPr>
      </w:pPr>
      <w:r w:rsidRPr="000E2E7E">
        <w:rPr>
          <w:b/>
          <w:bCs/>
          <w:sz w:val="52"/>
          <w:szCs w:val="52"/>
        </w:rPr>
        <w:t>Module Code:</w:t>
      </w:r>
      <w:r>
        <w:rPr>
          <w:b/>
          <w:bCs/>
          <w:sz w:val="52"/>
          <w:szCs w:val="52"/>
        </w:rPr>
        <w:t xml:space="preserve">  </w:t>
      </w:r>
      <w:r w:rsidRPr="000E2E7E">
        <w:rPr>
          <w:b/>
          <w:bCs/>
          <w:sz w:val="48"/>
          <w:szCs w:val="48"/>
        </w:rPr>
        <w:t>ECAD</w:t>
      </w:r>
      <w:r w:rsidR="00510D18">
        <w:rPr>
          <w:b/>
          <w:bCs/>
          <w:sz w:val="48"/>
          <w:szCs w:val="48"/>
        </w:rPr>
        <w:t>5014</w:t>
      </w:r>
    </w:p>
    <w:p w14:paraId="10FFAE95" w14:textId="77777777" w:rsidR="000E2E7E" w:rsidRPr="000E2E7E" w:rsidRDefault="000E2E7E">
      <w:pPr>
        <w:rPr>
          <w:b/>
          <w:bCs/>
          <w:sz w:val="52"/>
          <w:szCs w:val="52"/>
        </w:rPr>
      </w:pPr>
    </w:p>
    <w:p w14:paraId="12C585B1" w14:textId="77777777" w:rsidR="000E2E7E" w:rsidRDefault="000E2E7E">
      <w:pPr>
        <w:rPr>
          <w:b/>
          <w:bCs/>
          <w:sz w:val="52"/>
          <w:szCs w:val="52"/>
        </w:rPr>
      </w:pPr>
      <w:r w:rsidRPr="000E2E7E">
        <w:rPr>
          <w:b/>
          <w:bCs/>
          <w:sz w:val="52"/>
          <w:szCs w:val="52"/>
        </w:rPr>
        <w:t>Assignment Title:</w:t>
      </w:r>
      <w:r>
        <w:rPr>
          <w:b/>
          <w:bCs/>
          <w:sz w:val="52"/>
          <w:szCs w:val="52"/>
        </w:rPr>
        <w:t xml:space="preserve"> </w:t>
      </w:r>
    </w:p>
    <w:p w14:paraId="1648AA10" w14:textId="0F7AD627" w:rsidR="000E2E7E" w:rsidRPr="000E2E7E" w:rsidRDefault="00510D18">
      <w:pPr>
        <w:rPr>
          <w:b/>
          <w:bCs/>
          <w:sz w:val="52"/>
          <w:szCs w:val="52"/>
        </w:rPr>
      </w:pPr>
      <w:r>
        <w:rPr>
          <w:b/>
          <w:bCs/>
          <w:sz w:val="44"/>
          <w:szCs w:val="44"/>
        </w:rPr>
        <w:t>Design and conduct a small-scale research study, and critically evaluate the chosen research tools, and the impact of your findings on your professional practice.</w:t>
      </w:r>
    </w:p>
    <w:p w14:paraId="78DCE9B9" w14:textId="77777777" w:rsidR="000E2E7E" w:rsidRPr="000E2E7E" w:rsidRDefault="000E2E7E">
      <w:pPr>
        <w:rPr>
          <w:b/>
          <w:bCs/>
          <w:sz w:val="52"/>
          <w:szCs w:val="52"/>
        </w:rPr>
      </w:pPr>
    </w:p>
    <w:p w14:paraId="47D65DC0" w14:textId="51DCABAC" w:rsidR="000E2E7E" w:rsidRPr="000E2E7E" w:rsidRDefault="000E2E7E">
      <w:pPr>
        <w:rPr>
          <w:b/>
          <w:bCs/>
          <w:sz w:val="52"/>
          <w:szCs w:val="52"/>
        </w:rPr>
      </w:pPr>
      <w:r w:rsidRPr="000E2E7E">
        <w:rPr>
          <w:b/>
          <w:bCs/>
          <w:sz w:val="52"/>
          <w:szCs w:val="52"/>
        </w:rPr>
        <w:t>Student Name:</w:t>
      </w:r>
      <w:r w:rsidR="00BB1BFC">
        <w:rPr>
          <w:b/>
          <w:bCs/>
          <w:sz w:val="52"/>
          <w:szCs w:val="52"/>
        </w:rPr>
        <w:t xml:space="preserve"> Lucy Tingle </w:t>
      </w:r>
    </w:p>
    <w:p w14:paraId="1025240F" w14:textId="56E3AB91" w:rsidR="000E2E7E" w:rsidRPr="000E2E7E" w:rsidRDefault="000E2E7E">
      <w:pPr>
        <w:rPr>
          <w:b/>
          <w:bCs/>
          <w:sz w:val="52"/>
          <w:szCs w:val="52"/>
        </w:rPr>
      </w:pPr>
      <w:r w:rsidRPr="000E2E7E">
        <w:rPr>
          <w:b/>
          <w:bCs/>
          <w:sz w:val="52"/>
          <w:szCs w:val="52"/>
        </w:rPr>
        <w:t>Student Number:</w:t>
      </w:r>
      <w:r w:rsidR="00BB1BFC">
        <w:rPr>
          <w:b/>
          <w:bCs/>
          <w:sz w:val="52"/>
          <w:szCs w:val="52"/>
        </w:rPr>
        <w:t xml:space="preserve"> 2306949</w:t>
      </w:r>
    </w:p>
    <w:p w14:paraId="66EB3C44" w14:textId="3EA69FAC" w:rsidR="000E2E7E" w:rsidRDefault="000E2E7E">
      <w:pPr>
        <w:rPr>
          <w:b/>
          <w:bCs/>
          <w:sz w:val="52"/>
          <w:szCs w:val="52"/>
        </w:rPr>
      </w:pPr>
      <w:r w:rsidRPr="000E2E7E">
        <w:rPr>
          <w:b/>
          <w:bCs/>
          <w:sz w:val="52"/>
          <w:szCs w:val="52"/>
        </w:rPr>
        <w:t>BA Primary Education (QTS)</w:t>
      </w:r>
    </w:p>
    <w:p w14:paraId="097A6454" w14:textId="77777777" w:rsidR="000E2E7E" w:rsidRPr="000E2E7E" w:rsidRDefault="000E2E7E">
      <w:pPr>
        <w:rPr>
          <w:b/>
          <w:bCs/>
          <w:sz w:val="52"/>
          <w:szCs w:val="52"/>
        </w:rPr>
      </w:pPr>
    </w:p>
    <w:p w14:paraId="0BE6D22C" w14:textId="77777777" w:rsidR="000E2E7E" w:rsidRPr="00E243A8" w:rsidRDefault="000E2E7E" w:rsidP="000E2E7E">
      <w:pPr>
        <w:rPr>
          <w:b/>
          <w:bCs/>
          <w:sz w:val="32"/>
          <w:szCs w:val="32"/>
          <w:u w:val="single"/>
        </w:rPr>
      </w:pPr>
      <w:r w:rsidRPr="00E243A8">
        <w:rPr>
          <w:b/>
          <w:bCs/>
          <w:sz w:val="32"/>
          <w:szCs w:val="32"/>
          <w:u w:val="single"/>
        </w:rPr>
        <w:lastRenderedPageBreak/>
        <w:t>AI Acknowledgement</w:t>
      </w:r>
    </w:p>
    <w:p w14:paraId="2009F732" w14:textId="77777777" w:rsidR="000E2E7E" w:rsidRDefault="000E2E7E" w:rsidP="000E2E7E"/>
    <w:p w14:paraId="57509DCF" w14:textId="258CEA11" w:rsidR="000E2E7E" w:rsidRDefault="000E2E7E" w:rsidP="000E2E7E">
      <w:r w:rsidRPr="00DD5969">
        <w:t>I acknowledge the use of [AI Tool] [(</w:t>
      </w:r>
      <w:hyperlink r:id="rId5" w:history="1">
        <w:r w:rsidR="00BA1907" w:rsidRPr="00BA1907">
          <w:rPr>
            <w:rStyle w:val="Hyperlink"/>
          </w:rPr>
          <w:t>Free Harvard Referencing Generator [Updated for 2025]</w:t>
        </w:r>
      </w:hyperlink>
      <w:r w:rsidR="000F45F9">
        <w:t>)</w:t>
      </w:r>
      <w:r w:rsidRPr="00DD5969">
        <w:t>] on [</w:t>
      </w:r>
      <w:r w:rsidR="000F45F9">
        <w:t>02.04.25</w:t>
      </w:r>
      <w:r w:rsidRPr="00DD5969">
        <w:t>] to [</w:t>
      </w:r>
      <w:r w:rsidR="000F45F9">
        <w:t>check my references</w:t>
      </w:r>
      <w:r w:rsidRPr="00DD5969">
        <w:t xml:space="preserve">].  </w:t>
      </w:r>
    </w:p>
    <w:p w14:paraId="6CDE5B9A" w14:textId="7402F6C6" w:rsidR="000E2E7E" w:rsidRPr="000F45F9" w:rsidRDefault="000E2E7E" w:rsidP="000E2E7E">
      <w:r w:rsidRPr="00DD5969">
        <w:t xml:space="preserve">I confirm </w:t>
      </w:r>
      <w:r>
        <w:t xml:space="preserve">that </w:t>
      </w:r>
      <w:r w:rsidRPr="00DD5969">
        <w:t xml:space="preserve">I have copies of my drafts, notes, and other resources I used before and after the use of AI tools which I may be asked to provide in evidence. </w:t>
      </w:r>
    </w:p>
    <w:p w14:paraId="576F22A4" w14:textId="77777777" w:rsidR="000E2E7E" w:rsidRDefault="000E2E7E" w:rsidP="000E2E7E">
      <w:pPr>
        <w:rPr>
          <w:sz w:val="16"/>
          <w:szCs w:val="16"/>
        </w:rPr>
      </w:pPr>
    </w:p>
    <w:tbl>
      <w:tblPr>
        <w:tblStyle w:val="TableGrid"/>
        <w:tblW w:w="9282" w:type="dxa"/>
        <w:tblLook w:val="04A0" w:firstRow="1" w:lastRow="0" w:firstColumn="1" w:lastColumn="0" w:noHBand="0" w:noVBand="1"/>
      </w:tblPr>
      <w:tblGrid>
        <w:gridCol w:w="3256"/>
        <w:gridCol w:w="3118"/>
        <w:gridCol w:w="2908"/>
      </w:tblGrid>
      <w:tr w:rsidR="000E2E7E" w:rsidRPr="001B4AB4" w14:paraId="0ADB3F25" w14:textId="77777777" w:rsidTr="000E2E7E">
        <w:trPr>
          <w:trHeight w:val="360"/>
        </w:trPr>
        <w:tc>
          <w:tcPr>
            <w:tcW w:w="3256" w:type="dxa"/>
          </w:tcPr>
          <w:p w14:paraId="2110C93E" w14:textId="45B7432A" w:rsidR="000E2E7E" w:rsidRPr="00121BB2" w:rsidRDefault="000E2E7E" w:rsidP="00AE36BB">
            <w:pPr>
              <w:rPr>
                <w:b/>
                <w:bCs/>
                <w:color w:val="FFFFFF"/>
                <w:sz w:val="28"/>
                <w:szCs w:val="28"/>
                <w:lang w:val="cy-GB"/>
              </w:rPr>
            </w:pPr>
            <w:r w:rsidRPr="00121BB2">
              <w:rPr>
                <w:b/>
                <w:bCs/>
                <w:sz w:val="28"/>
                <w:szCs w:val="28"/>
                <w:lang w:val="cy-GB"/>
              </w:rPr>
              <w:t>Targets from previous module</w:t>
            </w:r>
          </w:p>
        </w:tc>
        <w:tc>
          <w:tcPr>
            <w:tcW w:w="3118" w:type="dxa"/>
          </w:tcPr>
          <w:p w14:paraId="1C0504E0" w14:textId="648CF4FC" w:rsidR="000E2E7E" w:rsidRPr="00121BB2" w:rsidRDefault="000E2E7E" w:rsidP="00AE36BB">
            <w:pPr>
              <w:rPr>
                <w:b/>
                <w:bCs/>
                <w:color w:val="FFFFFF"/>
                <w:sz w:val="28"/>
                <w:szCs w:val="28"/>
                <w:lang w:val="cy-GB"/>
              </w:rPr>
            </w:pPr>
            <w:r w:rsidRPr="00121BB2">
              <w:rPr>
                <w:b/>
                <w:bCs/>
                <w:sz w:val="28"/>
                <w:szCs w:val="28"/>
                <w:lang w:val="cy-GB"/>
              </w:rPr>
              <w:t>How I have worked on these?</w:t>
            </w:r>
          </w:p>
        </w:tc>
        <w:tc>
          <w:tcPr>
            <w:tcW w:w="2908" w:type="dxa"/>
          </w:tcPr>
          <w:p w14:paraId="0ED8A1ED" w14:textId="77777777" w:rsidR="000E2E7E" w:rsidRPr="00121BB2" w:rsidRDefault="000E2E7E" w:rsidP="00AE36BB">
            <w:pPr>
              <w:rPr>
                <w:rFonts w:ascii="Calibri" w:hAnsi="Calibri" w:cs="Calibri"/>
                <w:b/>
                <w:bCs/>
                <w:sz w:val="28"/>
                <w:szCs w:val="28"/>
                <w:lang w:val="cy-GB"/>
              </w:rPr>
            </w:pPr>
            <w:r w:rsidRPr="00121BB2">
              <w:rPr>
                <w:rFonts w:ascii="Calibri" w:hAnsi="Calibri" w:cs="Calibri"/>
                <w:b/>
                <w:bCs/>
                <w:sz w:val="28"/>
                <w:szCs w:val="28"/>
                <w:lang w:val="cy-GB"/>
              </w:rPr>
              <w:t>An example can be seen on…</w:t>
            </w:r>
          </w:p>
          <w:p w14:paraId="0798C571" w14:textId="146BBBF0" w:rsidR="000E2E7E" w:rsidRPr="00121BB2" w:rsidRDefault="000E2E7E" w:rsidP="00AE36BB">
            <w:pPr>
              <w:rPr>
                <w:b/>
                <w:bCs/>
                <w:color w:val="FFFFFF"/>
                <w:sz w:val="28"/>
                <w:szCs w:val="28"/>
                <w:lang w:val="cy-GB"/>
              </w:rPr>
            </w:pPr>
          </w:p>
        </w:tc>
      </w:tr>
      <w:tr w:rsidR="000E2E7E" w:rsidRPr="001B4AB4" w14:paraId="0EC7171C" w14:textId="77777777" w:rsidTr="000E2E7E">
        <w:trPr>
          <w:trHeight w:val="338"/>
        </w:trPr>
        <w:tc>
          <w:tcPr>
            <w:tcW w:w="3256" w:type="dxa"/>
          </w:tcPr>
          <w:p w14:paraId="18121FAC" w14:textId="05691459" w:rsidR="000E2E7E" w:rsidRPr="001B4AB4" w:rsidRDefault="00955BEE" w:rsidP="00AE36BB">
            <w:pPr>
              <w:rPr>
                <w:lang w:val="cy-GB"/>
              </w:rPr>
            </w:pPr>
            <w:r>
              <w:rPr>
                <w:lang w:val="cy-GB"/>
              </w:rPr>
              <w:t xml:space="preserve">Continue to broaden your literacy scope, tapping into cutting-edge research and diverse academic discussion. Consistency in flawless referencing should remain a priority. Consider contributing original thought that reflects an amalgamation of your extensive reading. </w:t>
            </w:r>
          </w:p>
        </w:tc>
        <w:tc>
          <w:tcPr>
            <w:tcW w:w="3118" w:type="dxa"/>
          </w:tcPr>
          <w:p w14:paraId="0A55C9ED" w14:textId="38691933" w:rsidR="000E2E7E" w:rsidRPr="001B4AB4" w:rsidRDefault="000F45F9" w:rsidP="00AE36BB">
            <w:pPr>
              <w:rPr>
                <w:lang w:val="cy-GB"/>
              </w:rPr>
            </w:pPr>
            <w:r>
              <w:rPr>
                <w:lang w:val="cy-GB"/>
              </w:rPr>
              <w:t xml:space="preserve">Researched relevant researchers, articles, blogs, videos,etc to advance my academic discssions. </w:t>
            </w:r>
          </w:p>
        </w:tc>
        <w:tc>
          <w:tcPr>
            <w:tcW w:w="2908" w:type="dxa"/>
          </w:tcPr>
          <w:p w14:paraId="183044AB" w14:textId="6581BB08" w:rsidR="000E2E7E" w:rsidRPr="001B4AB4" w:rsidRDefault="00BB1BFC" w:rsidP="00AE36BB">
            <w:pPr>
              <w:rPr>
                <w:lang w:val="cy-GB"/>
              </w:rPr>
            </w:pPr>
            <w:r>
              <w:rPr>
                <w:lang w:val="cy-GB"/>
              </w:rPr>
              <w:t xml:space="preserve">Referene list </w:t>
            </w:r>
          </w:p>
        </w:tc>
      </w:tr>
      <w:tr w:rsidR="000E2E7E" w:rsidRPr="001B4AB4" w14:paraId="388E36FE" w14:textId="77777777" w:rsidTr="000E2E7E">
        <w:trPr>
          <w:trHeight w:val="338"/>
        </w:trPr>
        <w:tc>
          <w:tcPr>
            <w:tcW w:w="3256" w:type="dxa"/>
          </w:tcPr>
          <w:p w14:paraId="06CE4F7D" w14:textId="0D4A740C" w:rsidR="000E2E7E" w:rsidRPr="001B4AB4" w:rsidRDefault="00955BEE" w:rsidP="00AE36BB">
            <w:pPr>
              <w:rPr>
                <w:lang w:val="cy-GB"/>
              </w:rPr>
            </w:pPr>
            <w:r>
              <w:rPr>
                <w:lang w:val="cy-GB"/>
              </w:rPr>
              <w:t>Sustain your highlevel of criticial analysis, ensuring a balanced investigation of contradictory or incomplete data. Explore opportunities for roginal contributions to your field, perhaps through research projects or academic paper submissions</w:t>
            </w:r>
          </w:p>
        </w:tc>
        <w:tc>
          <w:tcPr>
            <w:tcW w:w="3118" w:type="dxa"/>
          </w:tcPr>
          <w:p w14:paraId="33CC185F" w14:textId="16F03CC7" w:rsidR="000E2E7E" w:rsidRPr="001B4AB4" w:rsidRDefault="00F006C8" w:rsidP="00AE36BB">
            <w:pPr>
              <w:rPr>
                <w:lang w:val="cy-GB"/>
              </w:rPr>
            </w:pPr>
            <w:r>
              <w:rPr>
                <w:lang w:val="cy-GB"/>
              </w:rPr>
              <w:t>I have critiqued my relevant research and en</w:t>
            </w:r>
            <w:r w:rsidR="009A4BE3">
              <w:rPr>
                <w:lang w:val="cy-GB"/>
              </w:rPr>
              <w:t xml:space="preserve">sured i hve present both countour arguements of the topic. </w:t>
            </w:r>
          </w:p>
        </w:tc>
        <w:tc>
          <w:tcPr>
            <w:tcW w:w="2908" w:type="dxa"/>
          </w:tcPr>
          <w:p w14:paraId="37CFC390" w14:textId="0E8029F9" w:rsidR="000E2E7E" w:rsidRPr="001B4AB4" w:rsidRDefault="00BB1BFC" w:rsidP="00AE36BB">
            <w:pPr>
              <w:rPr>
                <w:lang w:val="cy-GB"/>
              </w:rPr>
            </w:pPr>
            <w:r>
              <w:rPr>
                <w:lang w:val="cy-GB"/>
              </w:rPr>
              <w:t xml:space="preserve">Methodology </w:t>
            </w:r>
          </w:p>
        </w:tc>
      </w:tr>
      <w:tr w:rsidR="000E2E7E" w:rsidRPr="001B4AB4" w14:paraId="05EE73CD" w14:textId="77777777" w:rsidTr="000E2E7E">
        <w:trPr>
          <w:trHeight w:val="338"/>
        </w:trPr>
        <w:tc>
          <w:tcPr>
            <w:tcW w:w="3256" w:type="dxa"/>
          </w:tcPr>
          <w:p w14:paraId="5C658833" w14:textId="26774E83" w:rsidR="000E2E7E" w:rsidRDefault="00955BEE" w:rsidP="00AE36BB">
            <w:pPr>
              <w:rPr>
                <w:lang w:val="cy-GB"/>
              </w:rPr>
            </w:pPr>
            <w:r>
              <w:rPr>
                <w:lang w:val="cy-GB"/>
              </w:rPr>
              <w:t xml:space="preserve">Continue to developm the skills of synthesis and analysis by comparing and contrasting the main arguements that arise across multiple sources. </w:t>
            </w:r>
          </w:p>
          <w:p w14:paraId="42E07348" w14:textId="77777777" w:rsidR="000E2E7E" w:rsidRPr="001B4AB4" w:rsidRDefault="000E2E7E" w:rsidP="00AE36BB">
            <w:pPr>
              <w:rPr>
                <w:lang w:val="cy-GB"/>
              </w:rPr>
            </w:pPr>
          </w:p>
        </w:tc>
        <w:tc>
          <w:tcPr>
            <w:tcW w:w="3118" w:type="dxa"/>
          </w:tcPr>
          <w:p w14:paraId="37B37629" w14:textId="0AFFF186" w:rsidR="000E2E7E" w:rsidRPr="001B4AB4" w:rsidRDefault="009A4BE3" w:rsidP="00AE36BB">
            <w:pPr>
              <w:rPr>
                <w:lang w:val="cy-GB"/>
              </w:rPr>
            </w:pPr>
            <w:r>
              <w:rPr>
                <w:lang w:val="cy-GB"/>
              </w:rPr>
              <w:t xml:space="preserve">I have included both arguemnts of the topic research. </w:t>
            </w:r>
          </w:p>
        </w:tc>
        <w:tc>
          <w:tcPr>
            <w:tcW w:w="2908" w:type="dxa"/>
          </w:tcPr>
          <w:p w14:paraId="7AC8D709" w14:textId="4446EDD3" w:rsidR="000E2E7E" w:rsidRPr="001B4AB4" w:rsidRDefault="00BB1BFC" w:rsidP="00AE36BB">
            <w:pPr>
              <w:rPr>
                <w:lang w:val="cy-GB"/>
              </w:rPr>
            </w:pPr>
            <w:r>
              <w:rPr>
                <w:lang w:val="cy-GB"/>
              </w:rPr>
              <w:t>Literature review</w:t>
            </w:r>
          </w:p>
        </w:tc>
      </w:tr>
    </w:tbl>
    <w:p w14:paraId="44B6B5EF" w14:textId="77777777" w:rsidR="000E2E7E" w:rsidRPr="000E2E7E" w:rsidRDefault="000E2E7E" w:rsidP="000E2E7E">
      <w:pPr>
        <w:rPr>
          <w:sz w:val="16"/>
          <w:szCs w:val="16"/>
          <w:lang w:val="cy-GB"/>
        </w:rPr>
      </w:pPr>
    </w:p>
    <w:p w14:paraId="4CF6C14B" w14:textId="77777777" w:rsidR="000E2E7E" w:rsidRDefault="000E2E7E" w:rsidP="000E2E7E">
      <w:pPr>
        <w:rPr>
          <w:sz w:val="16"/>
          <w:szCs w:val="16"/>
        </w:rPr>
      </w:pPr>
    </w:p>
    <w:p w14:paraId="1EA130F6" w14:textId="77777777" w:rsidR="000F45F9" w:rsidRDefault="000F45F9" w:rsidP="000E2E7E">
      <w:pPr>
        <w:rPr>
          <w:sz w:val="16"/>
          <w:szCs w:val="16"/>
        </w:rPr>
      </w:pPr>
    </w:p>
    <w:p w14:paraId="366D3A8B" w14:textId="77777777" w:rsidR="000F45F9" w:rsidRDefault="000F45F9" w:rsidP="000E2E7E">
      <w:pPr>
        <w:rPr>
          <w:sz w:val="16"/>
          <w:szCs w:val="16"/>
        </w:rPr>
      </w:pPr>
    </w:p>
    <w:p w14:paraId="1C0651AF" w14:textId="77777777" w:rsidR="000F45F9" w:rsidRDefault="000F45F9" w:rsidP="000E2E7E">
      <w:pPr>
        <w:rPr>
          <w:sz w:val="16"/>
          <w:szCs w:val="16"/>
        </w:rPr>
      </w:pPr>
    </w:p>
    <w:p w14:paraId="316233A3" w14:textId="77777777" w:rsidR="000E2E7E" w:rsidRPr="00955BEE" w:rsidRDefault="000E2E7E" w:rsidP="000E2E7E">
      <w:pPr>
        <w:rPr>
          <w:rFonts w:ascii="Avenir Next LT Pro" w:hAnsi="Avenir Next LT Pro"/>
          <w:sz w:val="16"/>
          <w:szCs w:val="16"/>
        </w:rPr>
      </w:pPr>
    </w:p>
    <w:p w14:paraId="60950616" w14:textId="6F3A2327" w:rsidR="00955BEE" w:rsidRPr="00ED1CD0" w:rsidRDefault="000E2E7E" w:rsidP="00955BEE">
      <w:pPr>
        <w:rPr>
          <w:rFonts w:ascii="Avenir Next LT Pro" w:hAnsi="Avenir Next LT Pro"/>
          <w:sz w:val="36"/>
          <w:szCs w:val="36"/>
        </w:rPr>
      </w:pPr>
      <w:r w:rsidRPr="00955BEE">
        <w:rPr>
          <w:rFonts w:ascii="Avenir Next LT Pro" w:hAnsi="Avenir Next LT Pro"/>
          <w:sz w:val="36"/>
          <w:szCs w:val="36"/>
        </w:rPr>
        <w:lastRenderedPageBreak/>
        <w:t>Research Question</w:t>
      </w:r>
      <w:r w:rsidR="00955BEE" w:rsidRPr="00955BEE">
        <w:rPr>
          <w:rFonts w:ascii="Avenir Next LT Pro" w:hAnsi="Avenir Next LT Pro"/>
          <w:sz w:val="36"/>
          <w:szCs w:val="36"/>
        </w:rPr>
        <w:t xml:space="preserve">: </w:t>
      </w:r>
      <w:r w:rsidR="00955BEE" w:rsidRPr="00955BEE">
        <w:rPr>
          <w:rFonts w:ascii="Avenir Next LT Pro" w:hAnsi="Avenir Next LT Pro" w:cs="Arial"/>
        </w:rPr>
        <w:t>How do clearly defined success criteria enhance the effectiveness of assessment for learning in improving student outcomes?</w:t>
      </w:r>
    </w:p>
    <w:p w14:paraId="666DE63B" w14:textId="22716DB8" w:rsidR="004F4126" w:rsidRDefault="004F4126" w:rsidP="004F4126">
      <w:pPr>
        <w:rPr>
          <w:rFonts w:ascii="Avenir Next LT Pro" w:hAnsi="Avenir Next LT Pro"/>
          <w:u w:val="single"/>
          <w:lang w:val="en-US"/>
        </w:rPr>
      </w:pPr>
      <w:r>
        <w:rPr>
          <w:rFonts w:ascii="Avenir Next LT Pro" w:hAnsi="Avenir Next LT Pro"/>
          <w:u w:val="single"/>
          <w:lang w:val="en-US"/>
        </w:rPr>
        <w:t xml:space="preserve">Introduction </w:t>
      </w:r>
    </w:p>
    <w:p w14:paraId="21266424" w14:textId="77777777" w:rsidR="004F4126" w:rsidRDefault="004F4126" w:rsidP="004F4126">
      <w:r>
        <w:rPr>
          <w:rFonts w:ascii="Avenir Next LT Pro" w:hAnsi="Avenir Next LT Pro"/>
          <w:lang w:val="en-US"/>
        </w:rPr>
        <w:t>Throughout this assignment, the writer will be discussing the findings from conducting research using a range of research tools, such as questionnaires and interviews. The topic of the research is assessment for learning (here after referred to as AfL) and how using the strategy of success criteria (here after referred to as SC) effectively supports student outcomes. AfL is a well-known formative assessment practice that schools use to establish the knowledge that has been learnt and to plan the teaching for future lessons. It seeks and interprets how students take evidence and information in from each session, using a variety of strategies formed by teachers (Welsh Government, 2013). The writer will be discussing data collected from a research day within a previous placement school, with questionnaires filled out by teachers on their views of the use of SC and how it supports student outcomes, and interviews participated in on their views of how they understand how to use SC and how it supports them in assessing their understanding of the lesson. </w:t>
      </w:r>
      <w:r>
        <w:rPr>
          <w:rFonts w:ascii="Avenir Next LT Pro" w:hAnsi="Avenir Next LT Pro"/>
        </w:rPr>
        <w:t> </w:t>
      </w:r>
    </w:p>
    <w:p w14:paraId="58DC7279" w14:textId="21F637AC" w:rsidR="004F4126" w:rsidRDefault="004F4126" w:rsidP="004F4126">
      <w:pPr>
        <w:rPr>
          <w:rFonts w:ascii="Avenir Next LT Pro" w:hAnsi="Avenir Next LT Pro"/>
          <w:u w:val="single"/>
          <w:lang w:val="en-US"/>
        </w:rPr>
      </w:pPr>
      <w:r>
        <w:rPr>
          <w:rFonts w:ascii="Avenir Next LT Pro" w:hAnsi="Avenir Next LT Pro"/>
          <w:u w:val="single"/>
          <w:lang w:val="en-US"/>
        </w:rPr>
        <w:t xml:space="preserve">Literature review </w:t>
      </w:r>
    </w:p>
    <w:p w14:paraId="1C206B0B" w14:textId="77777777" w:rsidR="004F4126" w:rsidRDefault="004F4126" w:rsidP="004F4126">
      <w:pPr>
        <w:rPr>
          <w:rFonts w:ascii="Avenir Next LT Pro" w:hAnsi="Avenir Next LT Pro"/>
          <w:lang w:val="en-US"/>
        </w:rPr>
      </w:pPr>
      <w:r>
        <w:rPr>
          <w:rFonts w:ascii="Avenir Next LT Pro" w:hAnsi="Avenir Next LT Pro"/>
          <w:lang w:val="en-US"/>
        </w:rPr>
        <w:t xml:space="preserve">Hattie, J. (2019) expresses that teaching professionals should display the students learning criteria for each lesson, as this gives students a pathway to the learning intended within the lesson. If SC are not displayed this can lead to the students not being made aware of what the specifics are of the learning intention. The learning intention and learning outcomes provide direction for students within their learning. Hattie agrees that the success criteria should be well structured for students as it can lead to misunderstanding of the learning intention and misguided learning methods. An interview, participated in by Hattie, J. (2015), suggested instead of giving students a SC or learning intention and allowing them to set off on the task, it may be better to show them what a good example looks like and what a less good example looks like. After speaking to teaching professionals, the writer asked what they thought SC meant to them throughout a lesson, they replied that it supports the final product from across a series of lessons.  From the teachers experience, they have found that by having an example of what success looks like was helpful as it gave students confidence to find a successful strategy to support their own learning.  Eagon, T.  (2023) implies that students’ success comes from a positive relationship between student and teacher. Establishing this positive relationship can encourage students to feel valued and supported by teachers. SC encourage academic and personal success, by enabling students to ask simple questions about their learning, what, why and how will I learn? SC make learning targets visible for both students and teachers.  </w:t>
      </w:r>
      <w:r>
        <w:rPr>
          <w:rFonts w:ascii="Avenir Next LT Pro" w:hAnsi="Avenir Next LT Pro"/>
          <w:lang w:val="en-US"/>
        </w:rPr>
        <w:lastRenderedPageBreak/>
        <w:t xml:space="preserve">The article expresses that when teachers are unclear about the learning then students are known to lose motivation and focus within lessons, leading to low academic outcomes. Effective communication of SC can support academic outcomes of students and promote student-teacher relationships.  </w:t>
      </w:r>
    </w:p>
    <w:p w14:paraId="22B74BBB" w14:textId="77777777" w:rsidR="004F4126" w:rsidRDefault="004F4126" w:rsidP="004F4126">
      <w:pPr>
        <w:rPr>
          <w:rFonts w:ascii="Avenir Next LT Pro" w:hAnsi="Avenir Next LT Pro"/>
          <w:lang w:val="en-US"/>
        </w:rPr>
      </w:pPr>
      <w:r>
        <w:rPr>
          <w:rFonts w:ascii="Avenir Next LT Pro" w:hAnsi="Avenir Next LT Pro"/>
          <w:lang w:val="en-US"/>
        </w:rPr>
        <w:t xml:space="preserve">Vygotsky, L (1934), identifies  the Zone of Proximal development (hereafter referred to as ZPD) showing the difference between what students can learn with and without help. His theory shows guidance and encouragement from a skilled partner impacts achievement. SC can guide students with not just their individual learning but also in group working. The ZPD supports students to be able to complete tasks individually and create a sense accomplishment. It challenges individuals whilst on task to promote their cognitive growth (Simply Psychology.org (2024). </w:t>
      </w:r>
    </w:p>
    <w:p w14:paraId="6CE10A64" w14:textId="03517E39" w:rsidR="004F4126" w:rsidRDefault="004F4126" w:rsidP="004F4126">
      <w:pPr>
        <w:rPr>
          <w:rFonts w:ascii="Avenir Next LT Pro" w:hAnsi="Avenir Next LT Pro"/>
          <w:lang w:val="en-US"/>
        </w:rPr>
      </w:pPr>
      <w:r>
        <w:rPr>
          <w:rFonts w:ascii="Avenir Next LT Pro" w:hAnsi="Avenir Next LT Pro"/>
          <w:lang w:val="en-US"/>
        </w:rPr>
        <w:t xml:space="preserve">Black, P. &amp; Wiliam, D. et </w:t>
      </w:r>
      <w:proofErr w:type="spellStart"/>
      <w:r>
        <w:rPr>
          <w:rFonts w:ascii="Avenir Next LT Pro" w:hAnsi="Avenir Next LT Pro"/>
          <w:lang w:val="en-US"/>
        </w:rPr>
        <w:t>al’s</w:t>
      </w:r>
      <w:proofErr w:type="spellEnd"/>
      <w:r>
        <w:rPr>
          <w:rFonts w:ascii="Avenir Next LT Pro" w:hAnsi="Avenir Next LT Pro"/>
          <w:lang w:val="en-US"/>
        </w:rPr>
        <w:t xml:space="preserve"> (2002, pg. 8), theory ‘inside the black box’ expressed that feedback through marking is a key aspect of assessing student learning intention from a session. Their research shows that oral and written marking can be effective, however, it can also have a negative impact as students will ignore the comments given and not be encouraged to follow through with the comments. From previous experience, the writer expresses that they have seen that students are being told by the teachers what success criteria step to shade in, instead of looking back over their work and shading in what they have learnt. Black, P. &amp; Wiliam, D, mention that teachers should be collaborating with school policies to create a successful marking system to ensure students reach their appropriate targets following the S C.</w:t>
      </w:r>
      <w:r>
        <w:rPr>
          <w:rFonts w:ascii="Avenir Next LT Pro" w:hAnsi="Avenir Next LT Pro"/>
          <w:lang w:val="en-US"/>
        </w:rPr>
        <w:t xml:space="preserve">A placement school, the writer attended, marking and feedback policy states that the principles should encourage </w:t>
      </w:r>
      <w:r w:rsidR="00ED1CD0">
        <w:rPr>
          <w:rFonts w:ascii="Avenir Next LT Pro" w:hAnsi="Avenir Next LT Pro"/>
          <w:lang w:val="en-US"/>
        </w:rPr>
        <w:t xml:space="preserve">students to recognise strategies for improvement and encourages self-evaluation to meet the learning objectives (Placement School, 2024). </w:t>
      </w:r>
      <w:r>
        <w:rPr>
          <w:rFonts w:ascii="Avenir Next LT Pro" w:hAnsi="Avenir Next LT Pro"/>
          <w:lang w:val="en-US"/>
        </w:rPr>
        <w:t xml:space="preserve">The Curriculum for Wales main goal is to provide a holistic education framework that supports students through challenges and to reach their developmental milestones. The goals are implemented throughout schools, with a flexible and collaborative approach. See appendix 1, for how the curriculum is displayed within a diagram. The curriculum encourages assessment for progress in schools as they design their own assessment policy to suit the needs of the students, and how they understand the expectations of their learning (Hwb, 2024). </w:t>
      </w:r>
    </w:p>
    <w:p w14:paraId="5DF0688B" w14:textId="6AED4624" w:rsidR="00F5043E" w:rsidRDefault="00F5043E" w:rsidP="004F4126">
      <w:r>
        <w:rPr>
          <w:rFonts w:ascii="Avenir Next LT Pro" w:hAnsi="Avenir Next LT Pro"/>
          <w:lang w:val="en-US"/>
        </w:rPr>
        <w:t xml:space="preserve">The 4 purposes of the Curriculum for Wales, Ambitious, capable learners, Enterprising, creative contributors, Ethical informed citizens, and Healthy, confident </w:t>
      </w:r>
      <w:r w:rsidR="00C95283">
        <w:rPr>
          <w:rFonts w:ascii="Avenir Next LT Pro" w:hAnsi="Avenir Next LT Pro"/>
          <w:lang w:val="en-US"/>
        </w:rPr>
        <w:t>individuals</w:t>
      </w:r>
      <w:r>
        <w:rPr>
          <w:rFonts w:ascii="Avenir Next LT Pro" w:hAnsi="Avenir Next LT Pro"/>
          <w:lang w:val="en-US"/>
        </w:rPr>
        <w:t>, are encouraged</w:t>
      </w:r>
      <w:r w:rsidR="00C95283">
        <w:rPr>
          <w:rFonts w:ascii="Avenir Next LT Pro" w:hAnsi="Avenir Next LT Pro"/>
          <w:lang w:val="en-US"/>
        </w:rPr>
        <w:t xml:space="preserve"> to include them in everyday work. The curriculum was designed to develop </w:t>
      </w:r>
      <w:r w:rsidR="00C07763">
        <w:rPr>
          <w:rFonts w:ascii="Avenir Next LT Pro" w:hAnsi="Avenir Next LT Pro"/>
          <w:lang w:val="en-US"/>
        </w:rPr>
        <w:t>learners’</w:t>
      </w:r>
      <w:r w:rsidR="00C95283">
        <w:rPr>
          <w:rFonts w:ascii="Avenir Next LT Pro" w:hAnsi="Avenir Next LT Pro"/>
          <w:lang w:val="en-US"/>
        </w:rPr>
        <w:t xml:space="preserve"> progression and for </w:t>
      </w:r>
      <w:r w:rsidR="00C07763">
        <w:rPr>
          <w:rFonts w:ascii="Avenir Next LT Pro" w:hAnsi="Avenir Next LT Pro"/>
          <w:lang w:val="en-US"/>
        </w:rPr>
        <w:t>practitioners</w:t>
      </w:r>
      <w:r w:rsidR="00C95283">
        <w:rPr>
          <w:rFonts w:ascii="Avenir Next LT Pro" w:hAnsi="Avenir Next LT Pro"/>
          <w:lang w:val="en-US"/>
        </w:rPr>
        <w:t xml:space="preserve"> to use strategies to support the development. Progression </w:t>
      </w:r>
      <w:r w:rsidR="00C07763">
        <w:rPr>
          <w:rFonts w:ascii="Avenir Next LT Pro" w:hAnsi="Avenir Next LT Pro"/>
          <w:lang w:val="en-US"/>
        </w:rPr>
        <w:t xml:space="preserve">can be embedded in the teaching and learning, such as using SC to have ‘steps to success’ to support </w:t>
      </w:r>
      <w:r w:rsidR="001B0DAC">
        <w:rPr>
          <w:rFonts w:ascii="Avenir Next LT Pro" w:hAnsi="Avenir Next LT Pro"/>
          <w:lang w:val="en-US"/>
        </w:rPr>
        <w:t>students to reach their development (Welsh Government, 2024)</w:t>
      </w:r>
    </w:p>
    <w:p w14:paraId="2F37623A" w14:textId="77777777" w:rsidR="004F4126" w:rsidRDefault="004F4126" w:rsidP="004F4126">
      <w:pPr>
        <w:rPr>
          <w:rFonts w:ascii="Avenir Next LT Pro" w:hAnsi="Avenir Next LT Pro"/>
          <w:lang w:val="en-US"/>
        </w:rPr>
      </w:pPr>
    </w:p>
    <w:p w14:paraId="7AC00E0E" w14:textId="57679CCC" w:rsidR="004F4126" w:rsidRDefault="004F4126" w:rsidP="004F4126">
      <w:pPr>
        <w:rPr>
          <w:rFonts w:ascii="Avenir Next LT Pro" w:hAnsi="Avenir Next LT Pro"/>
          <w:u w:val="single"/>
          <w:lang w:val="en-US"/>
        </w:rPr>
      </w:pPr>
      <w:r>
        <w:rPr>
          <w:rFonts w:ascii="Avenir Next LT Pro" w:hAnsi="Avenir Next LT Pro"/>
          <w:u w:val="single"/>
          <w:lang w:val="en-US"/>
        </w:rPr>
        <w:t xml:space="preserve">Methodology </w:t>
      </w:r>
    </w:p>
    <w:p w14:paraId="34E817C3" w14:textId="1BC54943" w:rsidR="004F4126" w:rsidRPr="002B4FD2" w:rsidRDefault="001B0DAC" w:rsidP="004F4126">
      <w:pPr>
        <w:rPr>
          <w:rFonts w:ascii="Avenir Next LT Pro" w:hAnsi="Avenir Next LT Pro"/>
          <w:lang w:val="en-US"/>
        </w:rPr>
      </w:pPr>
      <w:r>
        <w:rPr>
          <w:rFonts w:ascii="Avenir Next LT Pro" w:hAnsi="Avenir Next LT Pro"/>
          <w:lang w:val="en-US"/>
        </w:rPr>
        <w:t>This research project focused on the research question, how do clearly defined success criteria enhance the effectiveness of assessment for learning in improving student outcomes? This research used mixed methods of both quantitative and qualitative data. The secondary research reviewed literature relating to the topic of the research question</w:t>
      </w:r>
      <w:r w:rsidR="002B4FD2">
        <w:rPr>
          <w:rFonts w:ascii="Avenir Next LT Pro" w:hAnsi="Avenir Next LT Pro"/>
          <w:lang w:val="en-US"/>
        </w:rPr>
        <w:t xml:space="preserve">, the primary research collected data using mixed methods research with questionnaires and interviews. </w:t>
      </w:r>
      <w:r w:rsidR="004F4126">
        <w:rPr>
          <w:rFonts w:ascii="Avenir Next LT Pro" w:hAnsi="Avenir Next LT Pro"/>
          <w:lang w:val="en-US"/>
        </w:rPr>
        <w:t>When conducting research, researchers need to be aware of the ethical considerations involved. Ethics is about conducting research and taking into consideration the challenges faced. An ethics form has been produced for this research, see appendix 2. A discussion about ethics form sets out principles which highlight the potential harm, protecting privacy and respecting anonymity. Any of these principles can have a conflict meaning which cannot be as straightforward thinking. This is then down to the researcher to acknowledge the potential challenges in a simplified format (Coe, R. et al (2021, pg. 58).  Rudduck, J., &amp; McIntyre, D., (1998, pg. 94), defines that educational research locates the problems more than the findings. Most research solution cases are rarely seen in the evaluation from the research community, as being intellectually significant. Some authors argue that researchers would rather explore failures than successes. The writer agrees with this passage, as the aim of this research project is to see if SC are effective when supporting student outcomes. The findings of the research show how SC are being used within the placement school, however, not as much as to how it promotes effective learning to support student outcomes. Under the Data protection Act 2018, it states that any individual has the right to be informed that their data given is being used and have access to their data once the research has been conducted (GOV.UK, ND).</w:t>
      </w:r>
      <w:r w:rsidR="002B4FD2">
        <w:rPr>
          <w:rFonts w:ascii="Avenir Next LT Pro" w:hAnsi="Avenir Next LT Pro"/>
          <w:lang w:val="en-US"/>
        </w:rPr>
        <w:t xml:space="preserve"> BERA (2024) states that participants have the </w:t>
      </w:r>
      <w:r w:rsidR="00FD29F0">
        <w:rPr>
          <w:rFonts w:ascii="Avenir Next LT Pro" w:hAnsi="Avenir Next LT Pro"/>
          <w:lang w:val="en-US"/>
        </w:rPr>
        <w:t xml:space="preserve">right to withdraw from participating in research at any point throughout the research process. All participants should be fully informed </w:t>
      </w:r>
      <w:r w:rsidR="007951E2">
        <w:rPr>
          <w:rFonts w:ascii="Avenir Next LT Pro" w:hAnsi="Avenir Next LT Pro"/>
          <w:lang w:val="en-US"/>
        </w:rPr>
        <w:t>of the details of the research and of this option</w:t>
      </w:r>
      <w:r w:rsidR="005861F2">
        <w:rPr>
          <w:rFonts w:ascii="Avenir Next LT Pro" w:hAnsi="Avenir Next LT Pro"/>
          <w:lang w:val="en-US"/>
        </w:rPr>
        <w:t xml:space="preserve">, and how to exercise it. Researchers will remain open to the possibility of participants withdrawing consent as well as getting consent from participants to take place with the research. As this is a small-scale project, the writer had to gain consent from the headteacher, see appendix 8 for consent form. If the writer </w:t>
      </w:r>
      <w:r w:rsidR="00AF7A9E">
        <w:rPr>
          <w:rFonts w:ascii="Avenir Next LT Pro" w:hAnsi="Avenir Next LT Pro"/>
          <w:lang w:val="en-US"/>
        </w:rPr>
        <w:t>had more time, she would have gained consent from the parents also. Under the lines of BERA (2024), the school will</w:t>
      </w:r>
      <w:r w:rsidR="006E2A4E">
        <w:rPr>
          <w:rFonts w:ascii="Avenir Next LT Pro" w:hAnsi="Avenir Next LT Pro"/>
          <w:lang w:val="en-US"/>
        </w:rPr>
        <w:t xml:space="preserve"> be named anonymous for the purpose of this research and confidentiality reasons</w:t>
      </w:r>
      <w:r w:rsidR="00EC5CB3">
        <w:rPr>
          <w:rFonts w:ascii="Avenir Next LT Pro" w:hAnsi="Avenir Next LT Pro"/>
          <w:lang w:val="en-US"/>
        </w:rPr>
        <w:t xml:space="preserve">. The data stored for the research will be kept under password protection for security reasons and respect for the participants. </w:t>
      </w:r>
    </w:p>
    <w:p w14:paraId="46E4643D" w14:textId="77777777" w:rsidR="004F4126" w:rsidRDefault="004F4126" w:rsidP="004F4126">
      <w:r>
        <w:rPr>
          <w:rFonts w:ascii="Avenir Next LT Pro" w:hAnsi="Avenir Next LT Pro"/>
          <w:lang w:val="en-US"/>
        </w:rPr>
        <w:t xml:space="preserve">According to a video by, </w:t>
      </w:r>
      <w:r>
        <w:rPr>
          <w:rFonts w:ascii="Avenir Next LT Pro" w:hAnsi="Avenir Next LT Pro"/>
        </w:rPr>
        <w:t xml:space="preserve">The Organic Chemistry Tutor (2019), quantitative data focuses on numerical data and qualitative data focuses on descriptive data, see appendix 3 for a diagram. There are many examples to express qualitative data, </w:t>
      </w:r>
      <w:r>
        <w:rPr>
          <w:rFonts w:ascii="Avenir Next LT Pro" w:hAnsi="Avenir Next LT Pro"/>
        </w:rPr>
        <w:lastRenderedPageBreak/>
        <w:t xml:space="preserve">such as, tools of questioning, interviews, observations, and much more. These forms of data are naturally collected by teachers and administrators. It is as simple as engaging within activities to seek answers (Mills, G. (2007, pg.56). The research data is collected with qualitative techniques, as it is descriptive and narrative. When creating qualitative questioning, it should aim to expand on what an experience feels like, how individuals discuss the topic, how they see the experience from their opinion, and how individuals see the challenges faced. This research used the qualitative approach to explore the how and why SC should be used effectively to support student outcomes (SimplyPsychology.org, (2023). </w:t>
      </w:r>
    </w:p>
    <w:p w14:paraId="42E64E2E" w14:textId="77777777" w:rsidR="004F4126" w:rsidRDefault="004F4126" w:rsidP="004F4126">
      <w:r>
        <w:rPr>
          <w:rFonts w:ascii="Avenir Next LT Pro" w:hAnsi="Avenir Next LT Pro"/>
        </w:rPr>
        <w:t xml:space="preserve">To collect the research data, the writer used a questionnaire as one research tool. Hassan, M (2024) expresses that questionnaires use a series of questions to conduct individual responses. They are widely used to collect data to gather information about individual’s thoughts, preferences, behaviours or experiences. Questionnaires help researchers collect standardised data from a large group of individuals. Questionnaires have 3 key features, structured format, consistency and scalability. Combined these 3 features form the style of questions included to engage each response related to the research, it provides consistent data that remains the same and can be distributed to large groups. The questionnaire was created on Microsoft Forms. A blog by Olivia, E (2023), emphasised some advantages when using a questionnaire as a research tool. Most questionnaires are created online which can have its advantage as it can reach a wider population. It can be designed to adapt to different languages and making it accessible for all. It can be cost effective as researchers do not need to travel to get answers. It covers the confidentiality aspect, which is related to the ethics of the research.  Answers can be anonymous and allows honest and veracious feedback without the fear of any judgement. Questionnaires are a large-scale quantitative research tool which can hold a lot of information to collaborate to conclude the data (Stevens, 2024). However, after some research, the writer has found some disadvantages when using questionnaires. They can have a low response rate; not all participants can access the questionnaire if online or have trust in the data being collected. Depending on the questions being asked, the answers can be limited to the response method. When conducting research, it is important to have a range of data to analyse and evaluate, however with questionnaires it can be difficult to grasp a full range of answers from each question.  </w:t>
      </w:r>
    </w:p>
    <w:p w14:paraId="18520245" w14:textId="01452632" w:rsidR="004F4126" w:rsidRDefault="004F4126" w:rsidP="004F4126">
      <w:r>
        <w:rPr>
          <w:rFonts w:ascii="Avenir Next LT Pro" w:hAnsi="Avenir Next LT Pro"/>
        </w:rPr>
        <w:t>Another research tool that was used were interviews, a qualitative research method. There are 2 types of interviews, structured and unstructured. These can vary by staying on topic or reaching out further to picture the whole topic of discussion. Interviews allow in-depth data to be collected as they provide opportunities to gather first hand detailed information, and this can be captured through data collection methods.</w:t>
      </w:r>
      <w:r w:rsidR="00EC5CB3">
        <w:rPr>
          <w:rFonts w:ascii="Avenir Next LT Pro" w:hAnsi="Avenir Next LT Pro"/>
        </w:rPr>
        <w:t xml:space="preserve"> Anon (2023), implies that handwritten notes </w:t>
      </w:r>
      <w:r w:rsidR="00EC5CB3">
        <w:rPr>
          <w:rFonts w:ascii="Avenir Next LT Pro" w:hAnsi="Avenir Next LT Pro"/>
        </w:rPr>
        <w:lastRenderedPageBreak/>
        <w:t>have been proven to</w:t>
      </w:r>
      <w:r w:rsidR="00A82846">
        <w:rPr>
          <w:rFonts w:ascii="Avenir Next LT Pro" w:hAnsi="Avenir Next LT Pro"/>
        </w:rPr>
        <w:t xml:space="preserve"> enhance memory and comprehension, where you as the interviewer are able to take in information. It allows the interviewer to process the information given </w:t>
      </w:r>
      <w:r w:rsidR="00E5790A">
        <w:rPr>
          <w:rFonts w:ascii="Avenir Next LT Pro" w:hAnsi="Avenir Next LT Pro"/>
        </w:rPr>
        <w:t xml:space="preserve">by the interviewee. On the other hand, </w:t>
      </w:r>
      <w:r w:rsidR="00A96EE2">
        <w:rPr>
          <w:rFonts w:ascii="Avenir Next LT Pro" w:hAnsi="Avenir Next LT Pro"/>
        </w:rPr>
        <w:t xml:space="preserve">handwritten notes have some implications such as missing out on information being given as unless you can </w:t>
      </w:r>
      <w:r w:rsidR="00425071">
        <w:rPr>
          <w:rFonts w:ascii="Avenir Next LT Pro" w:hAnsi="Avenir Next LT Pro"/>
        </w:rPr>
        <w:t>write quickly, might miss important information pieces. I</w:t>
      </w:r>
      <w:r>
        <w:rPr>
          <w:rFonts w:ascii="Avenir Next LT Pro" w:hAnsi="Avenir Next LT Pro"/>
        </w:rPr>
        <w:t xml:space="preserve">nterviews are in-person interactions and gain personal connection with someone to see their true passion behind the answer they give to questions on the topic. They also allow the flexibility of the questioning approach and give immediate feedback about each question asked. They allow clarification and seek opportunity of unclear ambiguous responses. Although, interviews can be subject to limited sample size. The interview effect can impact the participants responses, by them giving the answers the interviewer wants not what the participants feels and can make the participant uncomfortable. Interviews can also be challenging to produce the exact information mentioned to support with research question (Barraza, 2023) </w:t>
      </w:r>
    </w:p>
    <w:p w14:paraId="1D2DD674" w14:textId="77777777" w:rsidR="004F4126" w:rsidRDefault="004F4126" w:rsidP="004F4126">
      <w:r>
        <w:rPr>
          <w:rFonts w:ascii="Avenir Next LT Pro" w:hAnsi="Avenir Next LT Pro"/>
        </w:rPr>
        <w:t xml:space="preserve">Allen (2017), confidentiality places the separation between any personal information and identifying information provided by any participants. Anonymity refers to data collection without obtaining any personal information. Confidentiality is addressed through qualitative data and anonymity is addressed through quantitative data. Researchers are suspected to respect that all participants data be always kept confidential and unknown. </w:t>
      </w:r>
    </w:p>
    <w:p w14:paraId="0288DB43" w14:textId="396ED882" w:rsidR="004F4126" w:rsidRDefault="004F4126" w:rsidP="004F4126">
      <w:pPr>
        <w:rPr>
          <w:rFonts w:ascii="Avenir Next LT Pro" w:hAnsi="Avenir Next LT Pro"/>
          <w:u w:val="single"/>
          <w:lang w:val="en-US"/>
        </w:rPr>
      </w:pPr>
      <w:r>
        <w:rPr>
          <w:rFonts w:ascii="Avenir Next LT Pro" w:hAnsi="Avenir Next LT Pro"/>
          <w:u w:val="single"/>
          <w:lang w:val="en-US"/>
        </w:rPr>
        <w:t xml:space="preserve">Discussion and findings </w:t>
      </w:r>
    </w:p>
    <w:p w14:paraId="575058E1" w14:textId="254DFF80" w:rsidR="004F4126" w:rsidRDefault="004F4126" w:rsidP="004F4126">
      <w:r>
        <w:rPr>
          <w:rFonts w:ascii="Avenir Next LT Pro" w:hAnsi="Avenir Next LT Pro"/>
          <w:lang w:val="en-US"/>
        </w:rPr>
        <w:t xml:space="preserve">From conducting the research, the writer has found that the following data collection consists of various views from teachers and students, to how they see SC as a whole and how they feel it supports teaching and progress in learning. The writer created a questionnaire for the teachers to complete. From the 2 responses received from the questionnaire, the participants expressed that they use SC daily. The participants had an average of 6-20 years of teaching experience, with some training, as seen from Appendix 5. The participants expressed that SC guide their teaching as learners understand what is expected of them and informs a step-by-step guide of the learning intention. One participant </w:t>
      </w:r>
      <w:r w:rsidR="00C67DBE">
        <w:rPr>
          <w:rFonts w:ascii="Avenir Next LT Pro" w:hAnsi="Avenir Next LT Pro"/>
          <w:lang w:val="en-US"/>
        </w:rPr>
        <w:t>said</w:t>
      </w:r>
      <w:r>
        <w:rPr>
          <w:rFonts w:ascii="Avenir Next LT Pro" w:hAnsi="Avenir Next LT Pro"/>
          <w:lang w:val="en-US"/>
        </w:rPr>
        <w:t xml:space="preserve"> it encourages pupils to challenge their learning and critically </w:t>
      </w:r>
      <w:r w:rsidR="00C67DBE">
        <w:rPr>
          <w:rFonts w:ascii="Avenir Next LT Pro" w:hAnsi="Avenir Next LT Pro"/>
          <w:lang w:val="en-US"/>
        </w:rPr>
        <w:t xml:space="preserve">analysed </w:t>
      </w:r>
      <w:r>
        <w:rPr>
          <w:rFonts w:ascii="Avenir Next LT Pro" w:hAnsi="Avenir Next LT Pro"/>
          <w:lang w:val="en-US"/>
        </w:rPr>
        <w:t>their work structure.</w:t>
      </w:r>
      <w:r w:rsidR="00C67DBE">
        <w:rPr>
          <w:rFonts w:ascii="Avenir Next LT Pro" w:hAnsi="Avenir Next LT Pro"/>
          <w:lang w:val="en-US"/>
        </w:rPr>
        <w:t xml:space="preserve"> Structured work for students creates a sense of safety and security for </w:t>
      </w:r>
      <w:r w:rsidR="00C0578A">
        <w:rPr>
          <w:rFonts w:ascii="Avenir Next LT Pro" w:hAnsi="Avenir Next LT Pro"/>
          <w:lang w:val="en-US"/>
        </w:rPr>
        <w:t>students who</w:t>
      </w:r>
      <w:r w:rsidR="00C67DBE">
        <w:rPr>
          <w:rFonts w:ascii="Avenir Next LT Pro" w:hAnsi="Avenir Next LT Pro"/>
          <w:lang w:val="en-US"/>
        </w:rPr>
        <w:t xml:space="preserve"> have a structured work environment, it </w:t>
      </w:r>
      <w:r w:rsidR="00104F6C">
        <w:rPr>
          <w:rFonts w:ascii="Avenir Next LT Pro" w:hAnsi="Avenir Next LT Pro"/>
          <w:lang w:val="en-US"/>
        </w:rPr>
        <w:t>encourages</w:t>
      </w:r>
      <w:r w:rsidR="00C67DBE">
        <w:rPr>
          <w:rFonts w:ascii="Avenir Next LT Pro" w:hAnsi="Avenir Next LT Pro"/>
          <w:lang w:val="en-US"/>
        </w:rPr>
        <w:t xml:space="preserve"> positive learning strategies</w:t>
      </w:r>
      <w:r w:rsidR="000E1AF1">
        <w:rPr>
          <w:rFonts w:ascii="Avenir Next LT Pro" w:hAnsi="Avenir Next LT Pro"/>
          <w:lang w:val="en-US"/>
        </w:rPr>
        <w:t xml:space="preserve"> to support motivation to meet progression steps, which is linked to the curriculum framework by structuring progression</w:t>
      </w:r>
      <w:r w:rsidR="001D6FB8">
        <w:rPr>
          <w:rFonts w:ascii="Avenir Next LT Pro" w:hAnsi="Avenir Next LT Pro"/>
          <w:lang w:val="en-US"/>
        </w:rPr>
        <w:t xml:space="preserve"> steps to support </w:t>
      </w:r>
      <w:r w:rsidR="00C0578A">
        <w:rPr>
          <w:rFonts w:ascii="Avenir Next LT Pro" w:hAnsi="Avenir Next LT Pro"/>
          <w:lang w:val="en-US"/>
        </w:rPr>
        <w:t>students’</w:t>
      </w:r>
      <w:r w:rsidR="001D6FB8">
        <w:rPr>
          <w:rFonts w:ascii="Avenir Next LT Pro" w:hAnsi="Avenir Next LT Pro"/>
          <w:lang w:val="en-US"/>
        </w:rPr>
        <w:t xml:space="preserve"> development (Why Structure is Critical for Children</w:t>
      </w:r>
      <w:r w:rsidR="00104F6C">
        <w:rPr>
          <w:rFonts w:ascii="Avenir Next LT Pro" w:hAnsi="Avenir Next LT Pro"/>
          <w:lang w:val="en-US"/>
        </w:rPr>
        <w:t>’</w:t>
      </w:r>
      <w:r w:rsidR="001D6FB8">
        <w:rPr>
          <w:rFonts w:ascii="Avenir Next LT Pro" w:hAnsi="Avenir Next LT Pro"/>
          <w:lang w:val="en-US"/>
        </w:rPr>
        <w:t>s Developmen</w:t>
      </w:r>
      <w:r w:rsidR="00104F6C">
        <w:rPr>
          <w:rFonts w:ascii="Avenir Next LT Pro" w:hAnsi="Avenir Next LT Pro"/>
          <w:lang w:val="en-US"/>
        </w:rPr>
        <w:t xml:space="preserve">t: Benefits and Tips, 2024). </w:t>
      </w:r>
      <w:r>
        <w:rPr>
          <w:rFonts w:ascii="Avenir Next LT Pro" w:hAnsi="Avenir Next LT Pro"/>
          <w:lang w:val="en-US"/>
        </w:rPr>
        <w:t>In appendix 5, the participants agreed that they involve their students in developing their own SC on a part time basis.</w:t>
      </w:r>
      <w:r w:rsidR="00C0578A">
        <w:rPr>
          <w:rFonts w:ascii="Avenir Next LT Pro" w:hAnsi="Avenir Next LT Pro"/>
          <w:lang w:val="en-US"/>
        </w:rPr>
        <w:t xml:space="preserve"> From an article by Mager and Nowak (2012), it implies the effects of involving students in learning promotes good self-esteem</w:t>
      </w:r>
      <w:r w:rsidR="009F6796">
        <w:rPr>
          <w:rFonts w:ascii="Avenir Next LT Pro" w:hAnsi="Avenir Next LT Pro"/>
          <w:lang w:val="en-US"/>
        </w:rPr>
        <w:t xml:space="preserve"> and student-teacher relationships as it promotes academic achievement and encourages students to </w:t>
      </w:r>
      <w:r w:rsidR="009F6796">
        <w:rPr>
          <w:rFonts w:ascii="Avenir Next LT Pro" w:hAnsi="Avenir Next LT Pro"/>
          <w:lang w:val="en-US"/>
        </w:rPr>
        <w:lastRenderedPageBreak/>
        <w:t xml:space="preserve">learn and develop their skills. </w:t>
      </w:r>
      <w:r w:rsidR="000E1F46">
        <w:rPr>
          <w:rFonts w:ascii="Avenir Next LT Pro" w:hAnsi="Avenir Next LT Pro"/>
          <w:lang w:val="en-US"/>
        </w:rPr>
        <w:t xml:space="preserve">This also links to the literature relating to working in positive learning environments, and how it can have a positive impact on students’ academic development. </w:t>
      </w:r>
      <w:r>
        <w:rPr>
          <w:rFonts w:ascii="Avenir Next LT Pro" w:hAnsi="Avenir Next LT Pro"/>
          <w:lang w:val="en-US"/>
        </w:rPr>
        <w:t xml:space="preserve">Both participants stated that they agree that SC help clarify learning objectives within their lessons. As previously mentioned in the literature review; by having the SC available and visible for students, it encourages appropriate learning methods and step by step guides for learning. One of the questions from the questionnaire related to how SC improves feedback from a session. The responses explained that they agree as it is more focused feedback, relating to the topic of the session and expressing whether the learning intention has been acknowledged and understood by students. The feedback highlights how purposeful the learning was to the learners, </w:t>
      </w:r>
      <w:r w:rsidR="000E1F46">
        <w:rPr>
          <w:rFonts w:ascii="Avenir Next LT Pro" w:hAnsi="Avenir Next LT Pro"/>
          <w:lang w:val="en-US"/>
        </w:rPr>
        <w:t>linking</w:t>
      </w:r>
      <w:r>
        <w:rPr>
          <w:rFonts w:ascii="Avenir Next LT Pro" w:hAnsi="Avenir Next LT Pro"/>
          <w:lang w:val="en-US"/>
        </w:rPr>
        <w:t xml:space="preserve"> prior knowledge and further learning if needed. Williams, A. (2024) article states that Wiliam, D. expresses how important feedback contributes to the assessment for students. The purpose of feedback is that it is tailored and adjusted to enhance the academic outcomes of the learners. SC should be tailored to meet the needs of all learners and be inclusive and diverse, however, teachers should be mindful of the SC and that it is age appropriate. View (2016) highlights that differentiation by SC add variety of every student’s accomplishment, having a variety for all students to analyses learning in detail. This links to Blooms Taxonomy as is clarifies structured learning objectives of SC for students (Ruhl, 2024). </w:t>
      </w:r>
    </w:p>
    <w:p w14:paraId="406E8AC7" w14:textId="77777777" w:rsidR="004F4126" w:rsidRDefault="004F4126" w:rsidP="004F4126">
      <w:pPr>
        <w:rPr>
          <w:rFonts w:ascii="Avenir Next LT Pro" w:hAnsi="Avenir Next LT Pro"/>
          <w:lang w:val="en-US"/>
        </w:rPr>
      </w:pPr>
      <w:r>
        <w:rPr>
          <w:rFonts w:ascii="Avenir Next LT Pro" w:hAnsi="Avenir Next LT Pro"/>
          <w:lang w:val="en-US"/>
        </w:rPr>
        <w:t xml:space="preserve">The writer conducted a range of interviews, with a year 2/3 class, approx. 22 mixtures of male and female students, age between 6-8. See appendix 6 for the interview questions asked. To summarise the responses from participants, majority of participants understood what SC meant and where is was on their learning objective work slip (here after referred to as LO). However, some of the younger students did not have any idea what SC meant or why they needed it. The writer asked the students their perspective on using the LO slip, majority of students felt they were uncertain what the SC was used for or why it was on the slip. Some students understood that they had to shade in a certain colour to show that they had reached the learning, some mentioned that they only fill it in when the teacher told them to. The writer can agree with this statement, as she has seen it within the classroom whilst on placement experience. Some of the younger students found that they did not understand the SC wording, as felt they could not read the full sentence due to the larger misunderstood words. Overall, majority of the students would prefer that they would like a simplified LO slip, as they would understand the learning and meaning behind the SC and have a clear understanding of their learning targets for a session. </w:t>
      </w:r>
    </w:p>
    <w:p w14:paraId="6BCED95E" w14:textId="7A3C76BF" w:rsidR="004F4126" w:rsidRDefault="004F4126" w:rsidP="004F4126">
      <w:pPr>
        <w:rPr>
          <w:rFonts w:ascii="Avenir Next LT Pro" w:hAnsi="Avenir Next LT Pro"/>
          <w:lang w:val="en-US"/>
        </w:rPr>
      </w:pPr>
      <w:r>
        <w:rPr>
          <w:rFonts w:ascii="Avenir Next LT Pro" w:hAnsi="Avenir Next LT Pro"/>
          <w:lang w:val="en-US"/>
        </w:rPr>
        <w:t xml:space="preserve">Overall, the writer found that the student’s prior knowledge of SC was not evidence when conducting the interviews. Other participants found that SC was </w:t>
      </w:r>
      <w:r>
        <w:rPr>
          <w:rFonts w:ascii="Avenir Next LT Pro" w:hAnsi="Avenir Next LT Pro"/>
          <w:lang w:val="en-US"/>
        </w:rPr>
        <w:lastRenderedPageBreak/>
        <w:t xml:space="preserve">beneficial in numerous way such as it improves feedback quality </w:t>
      </w:r>
      <w:r w:rsidR="00557E91">
        <w:rPr>
          <w:rFonts w:ascii="Avenir Next LT Pro" w:hAnsi="Avenir Next LT Pro"/>
          <w:lang w:val="en-US"/>
        </w:rPr>
        <w:t>if</w:t>
      </w:r>
      <w:r>
        <w:rPr>
          <w:rFonts w:ascii="Avenir Next LT Pro" w:hAnsi="Avenir Next LT Pro"/>
          <w:lang w:val="en-US"/>
        </w:rPr>
        <w:t xml:space="preserve"> it is age appropriate for students’ development. </w:t>
      </w:r>
    </w:p>
    <w:p w14:paraId="7975EC9F" w14:textId="507E52E9" w:rsidR="004F4126" w:rsidRDefault="004F4126" w:rsidP="004F4126">
      <w:pPr>
        <w:rPr>
          <w:rFonts w:ascii="Avenir Next LT Pro" w:hAnsi="Avenir Next LT Pro"/>
          <w:u w:val="single"/>
          <w:lang w:val="en-US"/>
        </w:rPr>
      </w:pPr>
      <w:r>
        <w:rPr>
          <w:rFonts w:ascii="Avenir Next LT Pro" w:hAnsi="Avenir Next LT Pro"/>
          <w:u w:val="single"/>
          <w:lang w:val="en-US"/>
        </w:rPr>
        <w:t xml:space="preserve">Conclusion </w:t>
      </w:r>
    </w:p>
    <w:p w14:paraId="5B63C9E4" w14:textId="678A7252" w:rsidR="00DA63CC" w:rsidRDefault="004F4126" w:rsidP="004F4126">
      <w:pPr>
        <w:rPr>
          <w:rFonts w:ascii="Avenir Next LT Pro" w:hAnsi="Avenir Next LT Pro"/>
          <w:lang w:val="en-US"/>
        </w:rPr>
      </w:pPr>
      <w:r>
        <w:rPr>
          <w:rFonts w:ascii="Avenir Next LT Pro" w:hAnsi="Avenir Next LT Pro"/>
          <w:lang w:val="en-US"/>
        </w:rPr>
        <w:t xml:space="preserve">The purpose of this project was to </w:t>
      </w:r>
      <w:r w:rsidR="00557E91">
        <w:rPr>
          <w:rFonts w:ascii="Avenir Next LT Pro" w:hAnsi="Avenir Next LT Pro"/>
          <w:lang w:val="en-US"/>
        </w:rPr>
        <w:t>research</w:t>
      </w:r>
      <w:r w:rsidR="00DB5F02">
        <w:rPr>
          <w:rFonts w:ascii="Avenir Next LT Pro" w:hAnsi="Avenir Next LT Pro"/>
          <w:lang w:val="en-US"/>
        </w:rPr>
        <w:t xml:space="preserve"> how do clearly defined success criteria enhance the </w:t>
      </w:r>
      <w:r w:rsidR="00851A33">
        <w:rPr>
          <w:rFonts w:ascii="Avenir Next LT Pro" w:hAnsi="Avenir Next LT Pro"/>
          <w:lang w:val="en-US"/>
        </w:rPr>
        <w:t>effectiveness</w:t>
      </w:r>
      <w:r w:rsidR="00DB5F02">
        <w:rPr>
          <w:rFonts w:ascii="Avenir Next LT Pro" w:hAnsi="Avenir Next LT Pro"/>
          <w:lang w:val="en-US"/>
        </w:rPr>
        <w:t xml:space="preserve"> of assessment for learning improv</w:t>
      </w:r>
      <w:r w:rsidR="00B16996">
        <w:rPr>
          <w:rFonts w:ascii="Avenir Next LT Pro" w:hAnsi="Avenir Next LT Pro"/>
          <w:lang w:val="en-US"/>
        </w:rPr>
        <w:t xml:space="preserve">ing student outcomes? The writer feels that she has </w:t>
      </w:r>
      <w:r w:rsidR="00851A33">
        <w:rPr>
          <w:rFonts w:ascii="Avenir Next LT Pro" w:hAnsi="Avenir Next LT Pro"/>
          <w:lang w:val="en-US"/>
        </w:rPr>
        <w:t>expressed</w:t>
      </w:r>
      <w:r w:rsidR="00B16996">
        <w:rPr>
          <w:rFonts w:ascii="Avenir Next LT Pro" w:hAnsi="Avenir Next LT Pro"/>
          <w:lang w:val="en-US"/>
        </w:rPr>
        <w:t xml:space="preserve"> the impact of SC has on students learning and how students understand the meaning of SC</w:t>
      </w:r>
      <w:r w:rsidR="00851A33">
        <w:rPr>
          <w:rFonts w:ascii="Avenir Next LT Pro" w:hAnsi="Avenir Next LT Pro"/>
          <w:lang w:val="en-US"/>
        </w:rPr>
        <w:t xml:space="preserve">. AfL is used as an assessment tool to support teachers and learners by using strategies </w:t>
      </w:r>
      <w:r w:rsidR="00067C53">
        <w:rPr>
          <w:rFonts w:ascii="Avenir Next LT Pro" w:hAnsi="Avenir Next LT Pro"/>
          <w:lang w:val="en-US"/>
        </w:rPr>
        <w:t>to fulfil the learning intention. The writer has expressed many the</w:t>
      </w:r>
      <w:r w:rsidR="00FB1728">
        <w:rPr>
          <w:rFonts w:ascii="Avenir Next LT Pro" w:hAnsi="Avenir Next LT Pro"/>
          <w:lang w:val="en-US"/>
        </w:rPr>
        <w:t xml:space="preserve">orists that expresses their opinions on how effective SC </w:t>
      </w:r>
      <w:r w:rsidR="004E28A8">
        <w:rPr>
          <w:rFonts w:ascii="Avenir Next LT Pro" w:hAnsi="Avenir Next LT Pro"/>
          <w:lang w:val="en-US"/>
        </w:rPr>
        <w:t>is being used to encourage students learning and meeting developmental needs</w:t>
      </w:r>
      <w:r w:rsidR="00B14288">
        <w:rPr>
          <w:rFonts w:ascii="Avenir Next LT Pro" w:hAnsi="Avenir Next LT Pro"/>
          <w:lang w:val="en-US"/>
        </w:rPr>
        <w:t xml:space="preserve">. It has been expressed by the writer the many advantages and </w:t>
      </w:r>
      <w:r w:rsidR="00D31826">
        <w:rPr>
          <w:rFonts w:ascii="Avenir Next LT Pro" w:hAnsi="Avenir Next LT Pro"/>
          <w:lang w:val="en-US"/>
        </w:rPr>
        <w:t>disadvantages</w:t>
      </w:r>
      <w:r w:rsidR="00B14288">
        <w:rPr>
          <w:rFonts w:ascii="Avenir Next LT Pro" w:hAnsi="Avenir Next LT Pro"/>
          <w:lang w:val="en-US"/>
        </w:rPr>
        <w:t xml:space="preserve"> throughout this essay, with relevant research that has been crit</w:t>
      </w:r>
      <w:r w:rsidR="00D31826">
        <w:rPr>
          <w:rFonts w:ascii="Avenir Next LT Pro" w:hAnsi="Avenir Next LT Pro"/>
          <w:lang w:val="en-US"/>
        </w:rPr>
        <w:t>iqued.</w:t>
      </w:r>
    </w:p>
    <w:p w14:paraId="5904151C" w14:textId="56B58C8E" w:rsidR="00DA63CC" w:rsidRDefault="00DA63CC" w:rsidP="004F4126">
      <w:pPr>
        <w:rPr>
          <w:rFonts w:ascii="Avenir Next LT Pro" w:hAnsi="Avenir Next LT Pro" w:cs="Arial"/>
          <w:shd w:val="clear" w:color="auto" w:fill="00FF00"/>
        </w:rPr>
      </w:pPr>
      <w:r>
        <w:rPr>
          <w:rFonts w:ascii="Avenir Next LT Pro" w:hAnsi="Avenir Next LT Pro"/>
          <w:lang w:val="en-US"/>
        </w:rPr>
        <w:t xml:space="preserve">The evaluation of research that has been carried out has been evaluated and shown the relevant research papers and educational researchers to show that SC can have </w:t>
      </w:r>
      <w:r w:rsidR="006B098F">
        <w:rPr>
          <w:rFonts w:ascii="Avenir Next LT Pro" w:hAnsi="Avenir Next LT Pro"/>
          <w:lang w:val="en-US"/>
        </w:rPr>
        <w:t xml:space="preserve">advantages, when being used in an appropriate way, and being adapted </w:t>
      </w:r>
      <w:r w:rsidR="00AD525C">
        <w:rPr>
          <w:rFonts w:ascii="Avenir Next LT Pro" w:hAnsi="Avenir Next LT Pro"/>
          <w:lang w:val="en-US"/>
        </w:rPr>
        <w:t xml:space="preserve">to suit the student’s age. </w:t>
      </w:r>
      <w:r w:rsidR="005432DE">
        <w:rPr>
          <w:rFonts w:ascii="Avenir Next LT Pro" w:hAnsi="Avenir Next LT Pro"/>
          <w:lang w:val="en-US"/>
        </w:rPr>
        <w:t>The writer agrees, from placement experiences that SC is an effective AfL strategy</w:t>
      </w:r>
      <w:r w:rsidR="00274122">
        <w:rPr>
          <w:rFonts w:ascii="Avenir Next LT Pro" w:hAnsi="Avenir Next LT Pro"/>
          <w:lang w:val="en-US"/>
        </w:rPr>
        <w:t xml:space="preserve"> to use within schools, however unless it is used appropriately in accordance with the age and development. </w:t>
      </w:r>
    </w:p>
    <w:p w14:paraId="75B8E428" w14:textId="77777777" w:rsidR="00070A46" w:rsidRPr="00AA125A" w:rsidRDefault="00070A46" w:rsidP="000E2E7E">
      <w:pPr>
        <w:rPr>
          <w:rFonts w:ascii="Avenir Next LT Pro" w:hAnsi="Avenir Next LT Pro"/>
          <w:sz w:val="28"/>
          <w:szCs w:val="28"/>
          <w:u w:val="single"/>
        </w:rPr>
      </w:pPr>
    </w:p>
    <w:p w14:paraId="32EFF7A6" w14:textId="42B10B53" w:rsidR="000E2E7E" w:rsidRPr="00070A46" w:rsidRDefault="00070A46" w:rsidP="000E2E7E">
      <w:pPr>
        <w:rPr>
          <w:rFonts w:ascii="Avenir Next LT Pro" w:hAnsi="Avenir Next LT Pro"/>
        </w:rPr>
      </w:pPr>
      <w:r w:rsidRPr="00AA125A">
        <w:rPr>
          <w:rFonts w:ascii="Avenir Next LT Pro" w:hAnsi="Avenir Next LT Pro"/>
          <w:u w:val="single"/>
        </w:rPr>
        <w:t>Word count</w:t>
      </w:r>
      <w:r w:rsidRPr="00070A46">
        <w:rPr>
          <w:rFonts w:ascii="Avenir Next LT Pro" w:hAnsi="Avenir Next LT Pro"/>
        </w:rPr>
        <w:t xml:space="preserve"> - 301</w:t>
      </w:r>
      <w:r w:rsidR="00557E91">
        <w:rPr>
          <w:rFonts w:ascii="Avenir Next LT Pro" w:hAnsi="Avenir Next LT Pro"/>
        </w:rPr>
        <w:t>7</w:t>
      </w:r>
    </w:p>
    <w:p w14:paraId="75AED320" w14:textId="77777777" w:rsidR="000E2E7E" w:rsidRPr="00955BEE" w:rsidRDefault="000E2E7E" w:rsidP="000E2E7E">
      <w:pPr>
        <w:rPr>
          <w:rFonts w:ascii="Avenir Next LT Pro" w:hAnsi="Avenir Next LT Pro"/>
          <w:sz w:val="28"/>
          <w:szCs w:val="28"/>
        </w:rPr>
      </w:pPr>
    </w:p>
    <w:p w14:paraId="771B4000" w14:textId="5B3662D5" w:rsidR="000E2E7E" w:rsidRPr="00AA125A" w:rsidRDefault="000E2E7E" w:rsidP="000E2E7E">
      <w:pPr>
        <w:rPr>
          <w:rFonts w:ascii="Avenir Next LT Pro" w:hAnsi="Avenir Next LT Pro"/>
          <w:sz w:val="28"/>
          <w:szCs w:val="28"/>
          <w:u w:val="single"/>
        </w:rPr>
      </w:pPr>
      <w:r w:rsidRPr="00AA125A">
        <w:rPr>
          <w:rFonts w:ascii="Avenir Next LT Pro" w:hAnsi="Avenir Next LT Pro"/>
          <w:sz w:val="28"/>
          <w:szCs w:val="28"/>
          <w:u w:val="single"/>
        </w:rPr>
        <w:t>Reference List</w:t>
      </w:r>
      <w:r w:rsidR="00070A46" w:rsidRPr="00AA125A">
        <w:rPr>
          <w:rFonts w:ascii="Avenir Next LT Pro" w:hAnsi="Avenir Next LT Pro"/>
          <w:sz w:val="28"/>
          <w:szCs w:val="28"/>
          <w:u w:val="single"/>
        </w:rPr>
        <w:t xml:space="preserve">: </w:t>
      </w:r>
    </w:p>
    <w:p w14:paraId="3C631C6C" w14:textId="77777777" w:rsidR="00D17386" w:rsidRDefault="00D17386" w:rsidP="00D17386">
      <w:r>
        <w:rPr>
          <w:rFonts w:ascii="Avenir Next LT Pro" w:hAnsi="Avenir Next LT Pro"/>
        </w:rPr>
        <w:t>Allen, M. (2017). </w:t>
      </w:r>
      <w:r>
        <w:rPr>
          <w:rFonts w:ascii="Avenir Next LT Pro" w:hAnsi="Avenir Next LT Pro"/>
          <w:i/>
          <w:iCs/>
        </w:rPr>
        <w:t>Confidentiality and Anonymity of Participants 227</w:t>
      </w:r>
      <w:r>
        <w:rPr>
          <w:rFonts w:ascii="Avenir Next LT Pro" w:hAnsi="Avenir Next LT Pro"/>
        </w:rPr>
        <w:t xml:space="preserve">. [online] Available at: </w:t>
      </w:r>
      <w:hyperlink r:id="rId6" w:history="1">
        <w:r>
          <w:rPr>
            <w:rStyle w:val="Hyperlink"/>
            <w:rFonts w:ascii="Avenir Next LT Pro" w:hAnsi="Avenir Next LT Pro"/>
          </w:rPr>
          <w:t>https://dr.lib.iastate.edu/server/api/core/bitstreams/c01c71f9-1b9e-4ecd-ae9e-f02e5bc66f8d/content</w:t>
        </w:r>
      </w:hyperlink>
      <w:r>
        <w:rPr>
          <w:rFonts w:ascii="Avenir Next LT Pro" w:hAnsi="Avenir Next LT Pro"/>
        </w:rPr>
        <w:t xml:space="preserve">. [Accessed on 31. Mar 2025] </w:t>
      </w:r>
    </w:p>
    <w:p w14:paraId="4146391F" w14:textId="77777777" w:rsidR="00D17386" w:rsidRDefault="00D17386" w:rsidP="00D17386">
      <w:r>
        <w:rPr>
          <w:rFonts w:ascii="Avenir Next LT Pro" w:hAnsi="Avenir Next LT Pro"/>
        </w:rPr>
        <w:t>Anon, (2023). </w:t>
      </w:r>
      <w:r>
        <w:rPr>
          <w:rFonts w:ascii="Avenir Next LT Pro" w:hAnsi="Avenir Next LT Pro"/>
          <w:i/>
          <w:iCs/>
        </w:rPr>
        <w:t>Should I Take Notes On Paper Or Laptop? Pros And Cons</w:t>
      </w:r>
      <w:r>
        <w:rPr>
          <w:rFonts w:ascii="Avenir Next LT Pro" w:hAnsi="Avenir Next LT Pro"/>
        </w:rPr>
        <w:t xml:space="preserve">. [online] Available at: </w:t>
      </w:r>
      <w:hyperlink r:id="rId7" w:history="1">
        <w:r>
          <w:rPr>
            <w:rStyle w:val="Hyperlink"/>
            <w:rFonts w:ascii="Avenir Next LT Pro" w:hAnsi="Avenir Next LT Pro"/>
          </w:rPr>
          <w:t>https://whenyouwrite.com/should-i-take-notes-on-paper-or-laptop/</w:t>
        </w:r>
      </w:hyperlink>
      <w:r>
        <w:rPr>
          <w:rFonts w:ascii="Avenir Next LT Pro" w:hAnsi="Avenir Next LT Pro"/>
        </w:rPr>
        <w:t xml:space="preserve"> [Accessed on 31. Mar 2025]</w:t>
      </w:r>
    </w:p>
    <w:p w14:paraId="262A95E4" w14:textId="20528695" w:rsidR="00D17386" w:rsidRDefault="00D17386" w:rsidP="00D17386">
      <w:r>
        <w:rPr>
          <w:rFonts w:ascii="Avenir Next LT Pro" w:hAnsi="Avenir Next LT Pro"/>
          <w:lang w:val="en-US"/>
        </w:rPr>
        <w:t xml:space="preserve">Barraza, 14 advantages and disadvantages of interviews (2023). Published by Redaction Team. Available at: </w:t>
      </w:r>
      <w:hyperlink r:id="rId8" w:history="1">
        <w:r>
          <w:rPr>
            <w:rStyle w:val="Hyperlink"/>
            <w:rFonts w:ascii="Avenir Next LT Pro" w:hAnsi="Avenir Next LT Pro"/>
          </w:rPr>
          <w:t>14 Advantages and Disadvantages of Interviews</w:t>
        </w:r>
      </w:hyperlink>
      <w:r>
        <w:rPr>
          <w:rFonts w:ascii="Avenir Next LT Pro" w:hAnsi="Avenir Next LT Pro"/>
          <w:lang w:val="en-US"/>
        </w:rPr>
        <w:t xml:space="preserve"> </w:t>
      </w:r>
      <w:r w:rsidR="008079D3">
        <w:rPr>
          <w:rFonts w:ascii="Avenir Next LT Pro" w:hAnsi="Avenir Next LT Pro"/>
          <w:lang w:val="en-US"/>
        </w:rPr>
        <w:t>[</w:t>
      </w:r>
      <w:r>
        <w:rPr>
          <w:rFonts w:ascii="Avenir Next LT Pro" w:hAnsi="Avenir Next LT Pro"/>
          <w:lang w:val="en-US"/>
        </w:rPr>
        <w:t>Accessed on 26</w:t>
      </w:r>
      <w:r w:rsidR="008079D3">
        <w:rPr>
          <w:rFonts w:ascii="Avenir Next LT Pro" w:hAnsi="Avenir Next LT Pro"/>
          <w:lang w:val="en-US"/>
        </w:rPr>
        <w:t>. Mar 2025]</w:t>
      </w:r>
    </w:p>
    <w:p w14:paraId="4AC507EC" w14:textId="77777777" w:rsidR="00D17386" w:rsidRDefault="00D17386" w:rsidP="00D17386">
      <w:r>
        <w:t>BERA (2024). </w:t>
      </w:r>
      <w:r>
        <w:rPr>
          <w:i/>
          <w:iCs/>
        </w:rPr>
        <w:t>Ethical Guidelines for Educational Research, fifth edition (2024)</w:t>
      </w:r>
      <w:r>
        <w:t xml:space="preserve">. [online] www.bera.ac.uk. Available at: </w:t>
      </w:r>
      <w:hyperlink r:id="rId9" w:history="1">
        <w:r>
          <w:rPr>
            <w:rStyle w:val="Hyperlink"/>
          </w:rPr>
          <w:t>https://www.bera.ac.uk/publication/ethical-guidelines-</w:t>
        </w:r>
        <w:r>
          <w:rPr>
            <w:rStyle w:val="Hyperlink"/>
          </w:rPr>
          <w:lastRenderedPageBreak/>
          <w:t>for-educational-research-fifth-edition-2024-online#right-withdraw</w:t>
        </w:r>
      </w:hyperlink>
      <w:r>
        <w:t>. [Accessed on 31 Mar. 2025]</w:t>
      </w:r>
    </w:p>
    <w:p w14:paraId="03CDB624" w14:textId="56886CD8" w:rsidR="00D17386" w:rsidRDefault="00CF0D10" w:rsidP="00D17386">
      <w:pPr>
        <w:rPr>
          <w:rFonts w:ascii="Avenir Next LT Pro" w:hAnsi="Avenir Next LT Pro"/>
          <w:lang w:val="en-US"/>
        </w:rPr>
      </w:pPr>
      <w:r w:rsidRPr="00CF0D10">
        <w:rPr>
          <w:rFonts w:ascii="Avenir Next LT Pro" w:hAnsi="Avenir Next LT Pro"/>
        </w:rPr>
        <w:t>Black, P., Lee, C., Marshall, B., Williams, D. and Harrison, C. (2004). </w:t>
      </w:r>
      <w:r w:rsidRPr="00CF0D10">
        <w:rPr>
          <w:rFonts w:ascii="Avenir Next LT Pro" w:hAnsi="Avenir Next LT Pro"/>
          <w:i/>
          <w:iCs/>
        </w:rPr>
        <w:t>Working Inside the Black Box. Assessment for learning in the classroom.</w:t>
      </w:r>
      <w:r w:rsidRPr="00CF0D10">
        <w:rPr>
          <w:rFonts w:ascii="Avenir Next LT Pro" w:hAnsi="Avenir Next LT Pro"/>
        </w:rPr>
        <w:t> London: Nfernelson.</w:t>
      </w:r>
      <w:r w:rsidRPr="00CF0D10">
        <w:rPr>
          <w:rFonts w:ascii="Avenir Next LT Pro" w:hAnsi="Avenir Next LT Pro"/>
          <w:lang w:val="en-US"/>
        </w:rPr>
        <w:t xml:space="preserve"> </w:t>
      </w:r>
      <w:r w:rsidR="00D17386">
        <w:rPr>
          <w:rFonts w:ascii="Avenir Next LT Pro" w:hAnsi="Avenir Next LT Pro"/>
          <w:lang w:val="en-US"/>
        </w:rPr>
        <w:t xml:space="preserve">Page 8. </w:t>
      </w:r>
      <w:r w:rsidR="008079D3">
        <w:rPr>
          <w:rFonts w:ascii="Avenir Next LT Pro" w:hAnsi="Avenir Next LT Pro"/>
          <w:lang w:val="en-US"/>
        </w:rPr>
        <w:t>[</w:t>
      </w:r>
      <w:r w:rsidR="00D17386">
        <w:rPr>
          <w:rFonts w:ascii="Avenir Next LT Pro" w:hAnsi="Avenir Next LT Pro"/>
          <w:lang w:val="en-US"/>
        </w:rPr>
        <w:t>Accessed on 26.</w:t>
      </w:r>
      <w:r w:rsidR="008079D3">
        <w:rPr>
          <w:rFonts w:ascii="Avenir Next LT Pro" w:hAnsi="Avenir Next LT Pro"/>
          <w:lang w:val="en-US"/>
        </w:rPr>
        <w:t xml:space="preserve"> Mar 2025]</w:t>
      </w:r>
    </w:p>
    <w:p w14:paraId="05D1288C" w14:textId="0374B408" w:rsidR="00D17386" w:rsidRDefault="00CF0D10" w:rsidP="00D17386">
      <w:pPr>
        <w:rPr>
          <w:rFonts w:ascii="Avenir Next LT Pro" w:hAnsi="Avenir Next LT Pro"/>
          <w:lang w:val="en-US"/>
        </w:rPr>
      </w:pPr>
      <w:r>
        <w:rPr>
          <w:rFonts w:ascii="Avenir Next LT Pro" w:hAnsi="Avenir Next LT Pro"/>
          <w:lang w:val="en-US"/>
        </w:rPr>
        <w:t>Placement School</w:t>
      </w:r>
      <w:r w:rsidR="002C1E2C">
        <w:rPr>
          <w:rFonts w:ascii="Avenir Next LT Pro" w:hAnsi="Avenir Next LT Pro"/>
          <w:lang w:val="en-US"/>
        </w:rPr>
        <w:t>, (2024) – Placement School – Curriculum for Wales [online] Available at: Placement school website</w:t>
      </w:r>
      <w:r w:rsidR="00CA3BF3">
        <w:rPr>
          <w:rFonts w:ascii="Avenir Next LT Pro" w:hAnsi="Avenir Next LT Pro"/>
          <w:lang w:val="en-US"/>
        </w:rPr>
        <w:t>. [Accessed on 31. Mar 2025]</w:t>
      </w:r>
    </w:p>
    <w:p w14:paraId="48E1DED0" w14:textId="1738658C" w:rsidR="00D17386" w:rsidRDefault="00D17386" w:rsidP="00D17386">
      <w:r>
        <w:rPr>
          <w:rFonts w:ascii="Avenir Next LT Pro" w:hAnsi="Avenir Next LT Pro"/>
          <w:lang w:val="en-US"/>
        </w:rPr>
        <w:t>Coe, R., Warning, M., Hedges, L., &amp; Ashley, L.</w:t>
      </w:r>
      <w:r w:rsidR="00C77604" w:rsidRPr="00C77604">
        <w:rPr>
          <w:rFonts w:ascii="Avenir Next LT Pro" w:hAnsi="Avenir Next LT Pro"/>
        </w:rPr>
        <w:t xml:space="preserve"> (2021). </w:t>
      </w:r>
      <w:r w:rsidR="00C77604" w:rsidRPr="00C77604">
        <w:rPr>
          <w:rFonts w:ascii="Avenir Next LT Pro" w:hAnsi="Avenir Next LT Pro"/>
          <w:i/>
          <w:iCs/>
        </w:rPr>
        <w:t>Research methods &amp; methodologies in education</w:t>
      </w:r>
      <w:r w:rsidR="00C77604" w:rsidRPr="00C77604">
        <w:rPr>
          <w:rFonts w:ascii="Avenir Next LT Pro" w:hAnsi="Avenir Next LT Pro"/>
        </w:rPr>
        <w:t>. 3rd ed. Los Angeles: Sage</w:t>
      </w:r>
      <w:r w:rsidR="00C77604" w:rsidRPr="00C77604">
        <w:rPr>
          <w:rFonts w:ascii="Avenir Next LT Pro" w:hAnsi="Avenir Next LT Pro"/>
          <w:lang w:val="en-US"/>
        </w:rPr>
        <w:t xml:space="preserve"> </w:t>
      </w:r>
      <w:r>
        <w:rPr>
          <w:rFonts w:ascii="Avenir Next LT Pro" w:hAnsi="Avenir Next LT Pro"/>
          <w:lang w:val="en-US"/>
        </w:rPr>
        <w:t xml:space="preserve">Page 58. </w:t>
      </w:r>
      <w:r w:rsidR="00C77604">
        <w:rPr>
          <w:rFonts w:ascii="Avenir Next LT Pro" w:hAnsi="Avenir Next LT Pro"/>
          <w:lang w:val="en-US"/>
        </w:rPr>
        <w:t>[</w:t>
      </w:r>
      <w:r>
        <w:rPr>
          <w:rFonts w:ascii="Avenir Next LT Pro" w:hAnsi="Avenir Next LT Pro"/>
          <w:lang w:val="en-US"/>
        </w:rPr>
        <w:t>Accessed on 26.</w:t>
      </w:r>
      <w:r w:rsidR="00C77604">
        <w:rPr>
          <w:rFonts w:ascii="Avenir Next LT Pro" w:hAnsi="Avenir Next LT Pro"/>
          <w:lang w:val="en-US"/>
        </w:rPr>
        <w:t xml:space="preserve"> Mar 2025]</w:t>
      </w:r>
    </w:p>
    <w:p w14:paraId="1C2DA675" w14:textId="258100D1" w:rsidR="00D17386" w:rsidRDefault="00D17386" w:rsidP="00D17386">
      <w:r>
        <w:rPr>
          <w:rFonts w:ascii="Avenir Next LT Pro" w:hAnsi="Avenir Next LT Pro"/>
          <w:lang w:val="en-US"/>
        </w:rPr>
        <w:t xml:space="preserve">Eagan, T. </w:t>
      </w:r>
      <w:r>
        <w:rPr>
          <w:rFonts w:ascii="Avenir Next LT Pro" w:hAnsi="Avenir Next LT Pro"/>
          <w:i/>
          <w:iCs/>
          <w:sz w:val="20"/>
          <w:szCs w:val="20"/>
          <w:lang w:val="en-US"/>
        </w:rPr>
        <w:t>Wellesley Public Schools (MA)</w:t>
      </w:r>
      <w:r>
        <w:rPr>
          <w:rFonts w:ascii="Avenir Next LT Pro" w:hAnsi="Avenir Next LT Pro"/>
          <w:lang w:val="en-US"/>
        </w:rPr>
        <w:t xml:space="preserve">, Unlocking Student Success: The Power of Success Criteria, Relationships and Clarity (2023). Available at: </w:t>
      </w:r>
      <w:hyperlink r:id="rId10" w:history="1">
        <w:r>
          <w:rPr>
            <w:rStyle w:val="Hyperlink"/>
            <w:rFonts w:ascii="Avenir Next LT Pro" w:hAnsi="Avenir Next LT Pro"/>
          </w:rPr>
          <w:t>EJ1382629.pdf</w:t>
        </w:r>
      </w:hyperlink>
      <w:r>
        <w:rPr>
          <w:rFonts w:ascii="Avenir Next LT Pro" w:hAnsi="Avenir Next LT Pro"/>
          <w:lang w:val="en-US"/>
        </w:rPr>
        <w:t xml:space="preserve"> </w:t>
      </w:r>
      <w:r w:rsidR="00A05B80">
        <w:rPr>
          <w:rFonts w:ascii="Avenir Next LT Pro" w:hAnsi="Avenir Next LT Pro"/>
          <w:lang w:val="en-US"/>
        </w:rPr>
        <w:t>[</w:t>
      </w:r>
      <w:r>
        <w:rPr>
          <w:rFonts w:ascii="Avenir Next LT Pro" w:hAnsi="Avenir Next LT Pro"/>
          <w:lang w:val="en-US"/>
        </w:rPr>
        <w:t>Accessed on 20.</w:t>
      </w:r>
      <w:r w:rsidR="00A05B80">
        <w:rPr>
          <w:rFonts w:ascii="Avenir Next LT Pro" w:hAnsi="Avenir Next LT Pro"/>
          <w:lang w:val="en-US"/>
        </w:rPr>
        <w:t xml:space="preserve"> Mar 2025]</w:t>
      </w:r>
    </w:p>
    <w:p w14:paraId="1E57A8A1" w14:textId="2121C76C" w:rsidR="00D17386" w:rsidRDefault="00D17386" w:rsidP="00D17386">
      <w:r>
        <w:rPr>
          <w:rFonts w:ascii="Avenir Next LT Pro" w:hAnsi="Avenir Next LT Pro"/>
          <w:lang w:val="en-US"/>
        </w:rPr>
        <w:t xml:space="preserve">GOV.UK, Data Protection (ND). Available at: </w:t>
      </w:r>
      <w:hyperlink r:id="rId11" w:history="1">
        <w:r>
          <w:rPr>
            <w:rStyle w:val="Hyperlink"/>
            <w:rFonts w:ascii="Avenir Next LT Pro" w:hAnsi="Avenir Next LT Pro"/>
          </w:rPr>
          <w:t>Data protection: The UK's data protection legislation - GOV.UK</w:t>
        </w:r>
      </w:hyperlink>
      <w:r>
        <w:rPr>
          <w:rFonts w:ascii="Avenir Next LT Pro" w:hAnsi="Avenir Next LT Pro"/>
          <w:lang w:val="en-US"/>
        </w:rPr>
        <w:t xml:space="preserve"> </w:t>
      </w:r>
      <w:r w:rsidR="00D07F92">
        <w:rPr>
          <w:rFonts w:ascii="Avenir Next LT Pro" w:hAnsi="Avenir Next LT Pro"/>
          <w:lang w:val="en-US"/>
        </w:rPr>
        <w:t>[</w:t>
      </w:r>
      <w:r>
        <w:rPr>
          <w:rFonts w:ascii="Avenir Next LT Pro" w:hAnsi="Avenir Next LT Pro"/>
          <w:lang w:val="en-US"/>
        </w:rPr>
        <w:t>Accessed on 26</w:t>
      </w:r>
      <w:r w:rsidR="00D07F92">
        <w:rPr>
          <w:rFonts w:ascii="Avenir Next LT Pro" w:hAnsi="Avenir Next LT Pro"/>
          <w:lang w:val="en-US"/>
        </w:rPr>
        <w:t>. Mar 2025]</w:t>
      </w:r>
    </w:p>
    <w:p w14:paraId="23ECDEF7" w14:textId="47A85C66" w:rsidR="00D17386" w:rsidRDefault="00D17386" w:rsidP="00D17386">
      <w:r>
        <w:rPr>
          <w:rFonts w:ascii="Avenir Next LT Pro" w:hAnsi="Avenir Next LT Pro"/>
          <w:lang w:val="en-US"/>
        </w:rPr>
        <w:t xml:space="preserve">Hassam, M., Questionnaire – Definition, Types, and Examples (2024). Published by Research Method. Available at: </w:t>
      </w:r>
      <w:hyperlink r:id="rId12" w:history="1">
        <w:r>
          <w:rPr>
            <w:rStyle w:val="Hyperlink"/>
            <w:rFonts w:ascii="Avenir Next LT Pro" w:hAnsi="Avenir Next LT Pro"/>
          </w:rPr>
          <w:t>Questionnaire - Definition, Types, and Examples</w:t>
        </w:r>
      </w:hyperlink>
      <w:r>
        <w:rPr>
          <w:rFonts w:ascii="Avenir Next LT Pro" w:hAnsi="Avenir Next LT Pro"/>
          <w:lang w:val="en-US"/>
        </w:rPr>
        <w:t xml:space="preserve"> </w:t>
      </w:r>
      <w:r w:rsidR="00D07F92">
        <w:rPr>
          <w:rFonts w:ascii="Avenir Next LT Pro" w:hAnsi="Avenir Next LT Pro"/>
          <w:lang w:val="en-US"/>
        </w:rPr>
        <w:t>[</w:t>
      </w:r>
      <w:r>
        <w:rPr>
          <w:rFonts w:ascii="Avenir Next LT Pro" w:hAnsi="Avenir Next LT Pro"/>
          <w:lang w:val="en-US"/>
        </w:rPr>
        <w:t>Accessed on 26.</w:t>
      </w:r>
      <w:r w:rsidR="00D07F92">
        <w:rPr>
          <w:rFonts w:ascii="Avenir Next LT Pro" w:hAnsi="Avenir Next LT Pro"/>
          <w:lang w:val="en-US"/>
        </w:rPr>
        <w:t xml:space="preserve"> Mar 2025]</w:t>
      </w:r>
    </w:p>
    <w:p w14:paraId="51325F3B" w14:textId="7F128818" w:rsidR="00D17386" w:rsidRDefault="00D17386" w:rsidP="00D17386">
      <w:r>
        <w:rPr>
          <w:rFonts w:ascii="Avenir Next LT Pro" w:hAnsi="Avenir Next LT Pro"/>
          <w:lang w:val="en-US"/>
        </w:rPr>
        <w:t xml:space="preserve">Hattie, J. Learning intentions and success criteria (2019). Published by STEM Learning, Cross-curricular. Available at: </w:t>
      </w:r>
      <w:hyperlink r:id="rId13" w:history="1">
        <w:r>
          <w:rPr>
            <w:rStyle w:val="Hyperlink"/>
            <w:rFonts w:ascii="Avenir Next LT Pro" w:hAnsi="Avenir Next LT Pro"/>
          </w:rPr>
          <w:t>| STEM</w:t>
        </w:r>
      </w:hyperlink>
      <w:r>
        <w:rPr>
          <w:rFonts w:ascii="Avenir Next LT Pro" w:hAnsi="Avenir Next LT Pro"/>
          <w:lang w:val="en-US"/>
        </w:rPr>
        <w:t xml:space="preserve"> </w:t>
      </w:r>
      <w:r w:rsidR="00D07F92">
        <w:rPr>
          <w:rFonts w:ascii="Avenir Next LT Pro" w:hAnsi="Avenir Next LT Pro"/>
        </w:rPr>
        <w:t>[</w:t>
      </w:r>
      <w:r>
        <w:rPr>
          <w:rFonts w:ascii="Avenir Next LT Pro" w:hAnsi="Avenir Next LT Pro"/>
        </w:rPr>
        <w:t>Accessed on 20</w:t>
      </w:r>
      <w:r w:rsidR="00D07F92">
        <w:rPr>
          <w:rFonts w:ascii="Avenir Next LT Pro" w:hAnsi="Avenir Next LT Pro"/>
        </w:rPr>
        <w:t>. Mar 2025]</w:t>
      </w:r>
    </w:p>
    <w:p w14:paraId="147C2870" w14:textId="66F2A1AE" w:rsidR="00D17386" w:rsidRDefault="00D17386" w:rsidP="00D17386">
      <w:r>
        <w:rPr>
          <w:rFonts w:ascii="Avenir Next LT Pro" w:hAnsi="Avenir Next LT Pro"/>
        </w:rPr>
        <w:t xml:space="preserve">Hattie, J. Learning intentions and success criteria (2015). Published by Loehr, L, 26 Feb. Available at: </w:t>
      </w:r>
      <w:hyperlink r:id="rId14" w:history="1">
        <w:r>
          <w:rPr>
            <w:rStyle w:val="Hyperlink"/>
            <w:rFonts w:ascii="Avenir Next LT Pro" w:hAnsi="Avenir Next LT Pro"/>
          </w:rPr>
          <w:t>John Hattie Learning Intentions and Success Criteria - YouTube</w:t>
        </w:r>
      </w:hyperlink>
      <w:r>
        <w:rPr>
          <w:rFonts w:ascii="Avenir Next LT Pro" w:hAnsi="Avenir Next LT Pro"/>
        </w:rPr>
        <w:t xml:space="preserve"> </w:t>
      </w:r>
      <w:r w:rsidR="00D07F92">
        <w:rPr>
          <w:rFonts w:ascii="Avenir Next LT Pro" w:hAnsi="Avenir Next LT Pro"/>
        </w:rPr>
        <w:t>[</w:t>
      </w:r>
      <w:r>
        <w:rPr>
          <w:rFonts w:ascii="Avenir Next LT Pro" w:hAnsi="Avenir Next LT Pro"/>
        </w:rPr>
        <w:t>Accessed on 20</w:t>
      </w:r>
      <w:r w:rsidR="00D07F92">
        <w:rPr>
          <w:rFonts w:ascii="Avenir Next LT Pro" w:hAnsi="Avenir Next LT Pro"/>
        </w:rPr>
        <w:t>. Mar 2025]</w:t>
      </w:r>
    </w:p>
    <w:p w14:paraId="7A280788" w14:textId="2AA43F89" w:rsidR="00D17386" w:rsidRDefault="00D17386" w:rsidP="00D17386">
      <w:r>
        <w:rPr>
          <w:rFonts w:ascii="Avenir Next LT Pro" w:hAnsi="Avenir Next LT Pro"/>
        </w:rPr>
        <w:t xml:space="preserve">Hwb, Supporting learner progression: assessment guidance, (2024). Available at: </w:t>
      </w:r>
      <w:hyperlink r:id="rId15" w:history="1">
        <w:r>
          <w:rPr>
            <w:rStyle w:val="Hyperlink"/>
            <w:rFonts w:ascii="Avenir Next LT Pro" w:hAnsi="Avenir Next LT Pro"/>
          </w:rPr>
          <w:t>Supporting learner progression assessment guidance - Hwb</w:t>
        </w:r>
      </w:hyperlink>
      <w:r>
        <w:rPr>
          <w:rFonts w:ascii="Avenir Next LT Pro" w:hAnsi="Avenir Next LT Pro"/>
        </w:rPr>
        <w:t xml:space="preserve"> </w:t>
      </w:r>
      <w:r w:rsidR="00AA125A">
        <w:rPr>
          <w:rFonts w:ascii="Avenir Next LT Pro" w:hAnsi="Avenir Next LT Pro"/>
        </w:rPr>
        <w:t>[</w:t>
      </w:r>
      <w:r>
        <w:rPr>
          <w:rFonts w:ascii="Avenir Next LT Pro" w:hAnsi="Avenir Next LT Pro"/>
        </w:rPr>
        <w:t>Accessed on 26.</w:t>
      </w:r>
      <w:r w:rsidR="00D07F92">
        <w:rPr>
          <w:rFonts w:ascii="Avenir Next LT Pro" w:hAnsi="Avenir Next LT Pro"/>
        </w:rPr>
        <w:t xml:space="preserve"> Mar 2025</w:t>
      </w:r>
      <w:r w:rsidR="00AA125A">
        <w:rPr>
          <w:rFonts w:ascii="Avenir Next LT Pro" w:hAnsi="Avenir Next LT Pro"/>
        </w:rPr>
        <w:t>] [appendix 1]</w:t>
      </w:r>
    </w:p>
    <w:p w14:paraId="6CB5EB1C" w14:textId="77777777" w:rsidR="00D17386" w:rsidRDefault="00D17386" w:rsidP="00D17386">
      <w:r>
        <w:t>Mager, U. and Nowak, P. (2012). Effects of student participation in decision making at school. A systematic review and synthesis of empirical research. </w:t>
      </w:r>
      <w:r>
        <w:rPr>
          <w:i/>
          <w:iCs/>
        </w:rPr>
        <w:t>Educational Research Review</w:t>
      </w:r>
      <w:r>
        <w:t xml:space="preserve">, 7(1), pp.38–61. </w:t>
      </w:r>
      <w:proofErr w:type="spellStart"/>
      <w:r>
        <w:t>doi</w:t>
      </w:r>
      <w:proofErr w:type="spellEnd"/>
      <w:r>
        <w:t xml:space="preserve">: </w:t>
      </w:r>
      <w:hyperlink r:id="rId16" w:history="1">
        <w:r>
          <w:rPr>
            <w:rStyle w:val="Hyperlink"/>
          </w:rPr>
          <w:t>https://doi.org/10.1016/j.edurev.2011.11.001</w:t>
        </w:r>
      </w:hyperlink>
      <w:r>
        <w:t xml:space="preserve"> [Accessed on 31. Mar 2025) </w:t>
      </w:r>
    </w:p>
    <w:p w14:paraId="1A097102" w14:textId="16676337" w:rsidR="00D17386" w:rsidRDefault="00D17386" w:rsidP="00D17386">
      <w:r>
        <w:rPr>
          <w:rFonts w:ascii="Avenir Next LT Pro" w:hAnsi="Avenir Next LT Pro"/>
        </w:rPr>
        <w:t>Mills, G., Action Research, A guide for the teachers’ researcher (2007). 3</w:t>
      </w:r>
      <w:r>
        <w:rPr>
          <w:rFonts w:ascii="Avenir Next LT Pro" w:hAnsi="Avenir Next LT Pro"/>
          <w:vertAlign w:val="superscript"/>
        </w:rPr>
        <w:t>rd</w:t>
      </w:r>
      <w:r>
        <w:rPr>
          <w:rFonts w:ascii="Avenir Next LT Pro" w:hAnsi="Avenir Next LT Pro"/>
        </w:rPr>
        <w:t xml:space="preserve"> Edition. Published by Pearson, New Jersey.  Page 56. </w:t>
      </w:r>
      <w:r w:rsidR="00AA125A">
        <w:rPr>
          <w:rFonts w:ascii="Avenir Next LT Pro" w:hAnsi="Avenir Next LT Pro"/>
        </w:rPr>
        <w:t>[</w:t>
      </w:r>
      <w:r>
        <w:rPr>
          <w:rFonts w:ascii="Avenir Next LT Pro" w:hAnsi="Avenir Next LT Pro"/>
        </w:rPr>
        <w:t>Accessed on 26.</w:t>
      </w:r>
      <w:r w:rsidR="00AA125A">
        <w:rPr>
          <w:rFonts w:ascii="Avenir Next LT Pro" w:hAnsi="Avenir Next LT Pro"/>
        </w:rPr>
        <w:t xml:space="preserve"> Mar 2025]</w:t>
      </w:r>
    </w:p>
    <w:p w14:paraId="7741197D" w14:textId="25C70654" w:rsidR="00D17386" w:rsidRDefault="00D17386" w:rsidP="00D17386">
      <w:r>
        <w:rPr>
          <w:rFonts w:ascii="Avenir Next LT Pro" w:hAnsi="Avenir Next LT Pro"/>
        </w:rPr>
        <w:t xml:space="preserve">Olivia, E, Advantages and Disadvantages of Questionnaires (2023). Published by AdvantagesList. Available at: </w:t>
      </w:r>
      <w:hyperlink r:id="rId17" w:history="1">
        <w:r>
          <w:rPr>
            <w:rStyle w:val="Hyperlink"/>
            <w:rFonts w:ascii="Avenir Next LT Pro" w:hAnsi="Avenir Next LT Pro"/>
          </w:rPr>
          <w:t xml:space="preserve">Advantages And Disadvantages Of Questionnaires  - </w:t>
        </w:r>
        <w:proofErr w:type="spellStart"/>
        <w:r>
          <w:rPr>
            <w:rStyle w:val="Hyperlink"/>
            <w:rFonts w:ascii="Avenir Next LT Pro" w:hAnsi="Avenir Next LT Pro"/>
          </w:rPr>
          <w:t>Advantageslist</w:t>
        </w:r>
        <w:proofErr w:type="spellEnd"/>
      </w:hyperlink>
      <w:r>
        <w:rPr>
          <w:rFonts w:ascii="Avenir Next LT Pro" w:hAnsi="Avenir Next LT Pro"/>
        </w:rPr>
        <w:t xml:space="preserve"> </w:t>
      </w:r>
      <w:r w:rsidR="00AA125A">
        <w:rPr>
          <w:rFonts w:ascii="Avenir Next LT Pro" w:hAnsi="Avenir Next LT Pro"/>
        </w:rPr>
        <w:t>[</w:t>
      </w:r>
      <w:r>
        <w:rPr>
          <w:rFonts w:ascii="Avenir Next LT Pro" w:hAnsi="Avenir Next LT Pro"/>
        </w:rPr>
        <w:t>Accessed on 26.</w:t>
      </w:r>
      <w:r w:rsidR="00AA125A">
        <w:rPr>
          <w:rFonts w:ascii="Avenir Next LT Pro" w:hAnsi="Avenir Next LT Pro"/>
        </w:rPr>
        <w:t xml:space="preserve"> Mar 2025</w:t>
      </w:r>
    </w:p>
    <w:p w14:paraId="177BC05B" w14:textId="426EFCA9" w:rsidR="00D17386" w:rsidRDefault="00D17386" w:rsidP="00D17386">
      <w:pPr>
        <w:rPr>
          <w:rFonts w:ascii="Avenir Next LT Pro" w:hAnsi="Avenir Next LT Pro"/>
        </w:rPr>
      </w:pPr>
      <w:r>
        <w:rPr>
          <w:rFonts w:ascii="Avenir Next LT Pro" w:hAnsi="Avenir Next LT Pro"/>
        </w:rPr>
        <w:lastRenderedPageBreak/>
        <w:t xml:space="preserve">Ruddock, J., &amp; McIntyre, D., Challenges for Educational Research. (1998) Published by New BERA Dialogues, Paul Chapman Publishing Ltd. Page 94. </w:t>
      </w:r>
      <w:r w:rsidR="00AA125A">
        <w:rPr>
          <w:rFonts w:ascii="Avenir Next LT Pro" w:hAnsi="Avenir Next LT Pro"/>
        </w:rPr>
        <w:t>[</w:t>
      </w:r>
      <w:r>
        <w:rPr>
          <w:rFonts w:ascii="Avenir Next LT Pro" w:hAnsi="Avenir Next LT Pro"/>
        </w:rPr>
        <w:t>Accessed on 26.</w:t>
      </w:r>
      <w:r w:rsidR="00AA125A">
        <w:rPr>
          <w:rFonts w:ascii="Avenir Next LT Pro" w:hAnsi="Avenir Next LT Pro"/>
        </w:rPr>
        <w:t xml:space="preserve"> Mar 2025]</w:t>
      </w:r>
    </w:p>
    <w:p w14:paraId="018F24ED" w14:textId="77777777" w:rsidR="00D17386" w:rsidRDefault="00D17386" w:rsidP="00D17386">
      <w:r>
        <w:rPr>
          <w:rFonts w:ascii="Avenir Next LT Pro" w:hAnsi="Avenir Next LT Pro"/>
        </w:rPr>
        <w:t>Ruhl, C. (2024). </w:t>
      </w:r>
      <w:r>
        <w:rPr>
          <w:rFonts w:ascii="Avenir Next LT Pro" w:hAnsi="Avenir Next LT Pro"/>
          <w:i/>
          <w:iCs/>
        </w:rPr>
        <w:t>Bloom’s taxonomy of learning</w:t>
      </w:r>
      <w:r>
        <w:rPr>
          <w:rFonts w:ascii="Avenir Next LT Pro" w:hAnsi="Avenir Next LT Pro"/>
        </w:rPr>
        <w:t xml:space="preserve">. [online] Simply Psychology. Available at: </w:t>
      </w:r>
      <w:hyperlink r:id="rId18" w:history="1">
        <w:r>
          <w:rPr>
            <w:rStyle w:val="Hyperlink"/>
            <w:rFonts w:ascii="Avenir Next LT Pro" w:hAnsi="Avenir Next LT Pro"/>
          </w:rPr>
          <w:t>https://www.simplypsychology.org/blooms-taxonomy.html</w:t>
        </w:r>
      </w:hyperlink>
      <w:r>
        <w:rPr>
          <w:rFonts w:ascii="Avenir Next LT Pro" w:hAnsi="Avenir Next LT Pro"/>
        </w:rPr>
        <w:t xml:space="preserve"> [Accessed on 1. Apr 2025]</w:t>
      </w:r>
    </w:p>
    <w:p w14:paraId="6B883E9C" w14:textId="7D648DF9" w:rsidR="00D17386" w:rsidRDefault="00D17386" w:rsidP="00D17386">
      <w:r>
        <w:rPr>
          <w:rFonts w:ascii="Avenir Next LT Pro" w:hAnsi="Avenir Next LT Pro"/>
        </w:rPr>
        <w:t xml:space="preserve">Simply Psychology.org, Qualitative Vs Quantitative Research Methods &amp; Data Analysis (2023). Published by McLeod, S. Available at: </w:t>
      </w:r>
      <w:hyperlink r:id="rId19" w:history="1">
        <w:r>
          <w:rPr>
            <w:rStyle w:val="Hyperlink"/>
            <w:rFonts w:ascii="Avenir Next LT Pro" w:hAnsi="Avenir Next LT Pro"/>
          </w:rPr>
          <w:t>Qualitative vs Quantitative Research: What's the Difference?</w:t>
        </w:r>
      </w:hyperlink>
      <w:r>
        <w:rPr>
          <w:rFonts w:ascii="Avenir Next LT Pro" w:hAnsi="Avenir Next LT Pro"/>
        </w:rPr>
        <w:t xml:space="preserve"> </w:t>
      </w:r>
      <w:r w:rsidR="00AA125A">
        <w:rPr>
          <w:rFonts w:ascii="Avenir Next LT Pro" w:hAnsi="Avenir Next LT Pro"/>
        </w:rPr>
        <w:t>[</w:t>
      </w:r>
      <w:r>
        <w:rPr>
          <w:rFonts w:ascii="Avenir Next LT Pro" w:hAnsi="Avenir Next LT Pro"/>
        </w:rPr>
        <w:t>Accessed on 26.</w:t>
      </w:r>
      <w:r w:rsidR="00AA125A">
        <w:rPr>
          <w:rFonts w:ascii="Avenir Next LT Pro" w:hAnsi="Avenir Next LT Pro"/>
        </w:rPr>
        <w:t xml:space="preserve"> Mar 2025]</w:t>
      </w:r>
      <w:r>
        <w:rPr>
          <w:rFonts w:ascii="Avenir Next LT Pro" w:hAnsi="Avenir Next LT Pro"/>
        </w:rPr>
        <w:t xml:space="preserve"> </w:t>
      </w:r>
      <w:r w:rsidR="00AA125A">
        <w:rPr>
          <w:rFonts w:ascii="Avenir Next LT Pro" w:hAnsi="Avenir Next LT Pro"/>
        </w:rPr>
        <w:t>[appendix 3]</w:t>
      </w:r>
    </w:p>
    <w:p w14:paraId="64D6CE72" w14:textId="4AEDF6CF" w:rsidR="00D17386" w:rsidRDefault="00D17386" w:rsidP="00D17386">
      <w:r>
        <w:rPr>
          <w:rFonts w:ascii="Avenir Next LT Pro" w:hAnsi="Avenir Next LT Pro"/>
        </w:rPr>
        <w:t xml:space="preserve">Simply Psychology.org, Vygotsky’s Zone of Proximal Development, by McLeod, S. (2024). Available at: </w:t>
      </w:r>
      <w:hyperlink r:id="rId20" w:history="1">
        <w:r>
          <w:rPr>
            <w:rStyle w:val="Hyperlink"/>
            <w:rFonts w:ascii="Avenir Next LT Pro" w:hAnsi="Avenir Next LT Pro"/>
          </w:rPr>
          <w:t>Vygotsky's Zone of Proximal Development</w:t>
        </w:r>
      </w:hyperlink>
      <w:r>
        <w:rPr>
          <w:rFonts w:ascii="Avenir Next LT Pro" w:hAnsi="Avenir Next LT Pro"/>
        </w:rPr>
        <w:t xml:space="preserve"> </w:t>
      </w:r>
      <w:r w:rsidR="00AA125A">
        <w:rPr>
          <w:rFonts w:ascii="Avenir Next LT Pro" w:hAnsi="Avenir Next LT Pro"/>
        </w:rPr>
        <w:t>[</w:t>
      </w:r>
      <w:r>
        <w:rPr>
          <w:rFonts w:ascii="Avenir Next LT Pro" w:hAnsi="Avenir Next LT Pro"/>
        </w:rPr>
        <w:t>Accessed on 26.</w:t>
      </w:r>
      <w:r w:rsidR="00AA125A">
        <w:rPr>
          <w:rFonts w:ascii="Avenir Next LT Pro" w:hAnsi="Avenir Next LT Pro"/>
        </w:rPr>
        <w:t xml:space="preserve"> Mar 2025]</w:t>
      </w:r>
    </w:p>
    <w:p w14:paraId="1FBAE6D3" w14:textId="77777777" w:rsidR="00D17386" w:rsidRDefault="00D17386" w:rsidP="00D17386">
      <w:r>
        <w:t>Stevens, G. (2024). </w:t>
      </w:r>
      <w:r>
        <w:rPr>
          <w:i/>
          <w:iCs/>
        </w:rPr>
        <w:t>Using Questionnaire Surveys in Academic Research: Pros and Cons</w:t>
      </w:r>
      <w:r>
        <w:t xml:space="preserve">. [online] Academic Writing &amp; Research. Available at: </w:t>
      </w:r>
      <w:hyperlink r:id="rId21" w:history="1">
        <w:r>
          <w:rPr>
            <w:rStyle w:val="Hyperlink"/>
          </w:rPr>
          <w:t>https://academic-writing.uk/advantages-disadvantages-questionnaire-surveys/</w:t>
        </w:r>
      </w:hyperlink>
      <w:r>
        <w:t xml:space="preserve"> [Accessed on 31</w:t>
      </w:r>
      <w:r>
        <w:rPr>
          <w:vertAlign w:val="superscript"/>
        </w:rPr>
        <w:t xml:space="preserve"> </w:t>
      </w:r>
      <w:r>
        <w:t>Mar. 2025]</w:t>
      </w:r>
    </w:p>
    <w:p w14:paraId="6035E658" w14:textId="56B12125" w:rsidR="00D17386" w:rsidRDefault="00D17386" w:rsidP="00D17386">
      <w:pPr>
        <w:rPr>
          <w:rFonts w:ascii="Avenir Next LT Pro" w:hAnsi="Avenir Next LT Pro"/>
        </w:rPr>
      </w:pPr>
      <w:r>
        <w:rPr>
          <w:rFonts w:ascii="Avenir Next LT Pro" w:hAnsi="Avenir Next LT Pro"/>
        </w:rPr>
        <w:t xml:space="preserve">The Organic Chemistry Tutor, Qualitative and Quantitative (2019). [video] Available at: </w:t>
      </w:r>
      <w:hyperlink r:id="rId22" w:history="1">
        <w:r>
          <w:rPr>
            <w:rStyle w:val="Hyperlink"/>
            <w:rFonts w:ascii="Avenir Next LT Pro" w:hAnsi="Avenir Next LT Pro"/>
          </w:rPr>
          <w:t>Bing Videos</w:t>
        </w:r>
      </w:hyperlink>
      <w:r>
        <w:rPr>
          <w:rFonts w:ascii="Avenir Next LT Pro" w:hAnsi="Avenir Next LT Pro"/>
        </w:rPr>
        <w:t xml:space="preserve"> </w:t>
      </w:r>
      <w:r w:rsidR="00AA125A">
        <w:rPr>
          <w:rFonts w:ascii="Avenir Next LT Pro" w:hAnsi="Avenir Next LT Pro"/>
        </w:rPr>
        <w:t>[</w:t>
      </w:r>
      <w:r>
        <w:rPr>
          <w:rFonts w:ascii="Avenir Next LT Pro" w:hAnsi="Avenir Next LT Pro"/>
        </w:rPr>
        <w:t>Accessed on 26</w:t>
      </w:r>
      <w:r w:rsidR="00AA125A">
        <w:rPr>
          <w:rFonts w:ascii="Avenir Next LT Pro" w:hAnsi="Avenir Next LT Pro"/>
        </w:rPr>
        <w:t>. Mar 2025]</w:t>
      </w:r>
    </w:p>
    <w:p w14:paraId="7B5B758A" w14:textId="2F449785" w:rsidR="006226AB" w:rsidRDefault="006226AB" w:rsidP="00D17386">
      <w:r w:rsidRPr="006226AB">
        <w:t>Welsh Government (2013). </w:t>
      </w:r>
      <w:r w:rsidRPr="006226AB">
        <w:rPr>
          <w:i/>
          <w:iCs/>
        </w:rPr>
        <w:t>Assessment for learning and the National Literacy and Numeracy Framework Guidance</w:t>
      </w:r>
      <w:r w:rsidRPr="006226AB">
        <w:t xml:space="preserve">. [online] Available at: </w:t>
      </w:r>
      <w:hyperlink r:id="rId23" w:history="1">
        <w:r w:rsidRPr="006226AB">
          <w:rPr>
            <w:rStyle w:val="Hyperlink"/>
          </w:rPr>
          <w:t>https://hwb.gov.wales/api/storage/b447d1fe-5463-4382-9726-e68623a05dd2/assessment-for-learning-and-the-national-literacy-and-numeracy-framework.pdf</w:t>
        </w:r>
      </w:hyperlink>
      <w:r w:rsidRPr="006226AB">
        <w:t>.</w:t>
      </w:r>
      <w:r>
        <w:t xml:space="preserve"> </w:t>
      </w:r>
      <w:r w:rsidR="000C6E0D">
        <w:t>Pg 8 [Accessed on 18. Mar 2025]</w:t>
      </w:r>
    </w:p>
    <w:p w14:paraId="0ED2B8EE" w14:textId="77777777" w:rsidR="00D17386" w:rsidRDefault="00D17386" w:rsidP="00D17386">
      <w:r>
        <w:t>Welsh Government (2024). </w:t>
      </w:r>
      <w:r>
        <w:rPr>
          <w:i/>
          <w:iCs/>
        </w:rPr>
        <w:t>Introduction to Curriculum for Wales guidance - Hwb</w:t>
      </w:r>
      <w:r>
        <w:t xml:space="preserve">. [online] hwb.gov.wales. Available at: </w:t>
      </w:r>
      <w:hyperlink r:id="rId24" w:history="1">
        <w:r>
          <w:rPr>
            <w:rStyle w:val="Hyperlink"/>
          </w:rPr>
          <w:t>https://hwb.gov.wales/curriculum-for-wales/introduction-to-curriculum-for-wales-guidance/</w:t>
        </w:r>
      </w:hyperlink>
      <w:r>
        <w:t>. [Accessed on 3.1 Mar 2025]</w:t>
      </w:r>
    </w:p>
    <w:p w14:paraId="450D38B6" w14:textId="77777777" w:rsidR="00D17386" w:rsidRDefault="00D17386" w:rsidP="00D17386">
      <w:r>
        <w:t>Why Structure is Crucial for Children’s Development: Benefits and Tips. (2024). </w:t>
      </w:r>
      <w:r>
        <w:rPr>
          <w:i/>
          <w:iCs/>
        </w:rPr>
        <w:t>Compasscounselingpsych.com</w:t>
      </w:r>
      <w:r>
        <w:t xml:space="preserve">. [online] </w:t>
      </w:r>
      <w:proofErr w:type="spellStart"/>
      <w:r>
        <w:t>doi</w:t>
      </w:r>
      <w:proofErr w:type="spellEnd"/>
      <w:r>
        <w:t xml:space="preserve">: </w:t>
      </w:r>
      <w:hyperlink r:id="rId25" w:history="1">
        <w:r>
          <w:rPr>
            <w:rStyle w:val="Hyperlink"/>
          </w:rPr>
          <w:t>https://doi.org/10/1190063/heroimage0.618178001721835225</w:t>
        </w:r>
      </w:hyperlink>
      <w:r>
        <w:t xml:space="preserve"> [Accessed on 31. Mar 2025]. </w:t>
      </w:r>
    </w:p>
    <w:p w14:paraId="27456513" w14:textId="77777777" w:rsidR="00D17386" w:rsidRDefault="00D17386" w:rsidP="00D17386">
      <w:r>
        <w:t>Williams, A. (2024). </w:t>
      </w:r>
      <w:r>
        <w:rPr>
          <w:i/>
          <w:iCs/>
        </w:rPr>
        <w:t>Revolutionising classroom feedback: A practical approach to Dylan Wiliam’s vision</w:t>
      </w:r>
      <w:r>
        <w:t xml:space="preserve">. [online] My College. Available at: </w:t>
      </w:r>
      <w:hyperlink r:id="rId26" w:history="1">
        <w:r>
          <w:rPr>
            <w:rStyle w:val="Hyperlink"/>
          </w:rPr>
          <w:t>https://my.chartered.college/impact_article/revolutionising-classroom-feedback-a-practical-approach-to-dylan-williams-vision/</w:t>
        </w:r>
      </w:hyperlink>
      <w:r>
        <w:t xml:space="preserve"> [Accessed on 1. Apr 2025]</w:t>
      </w:r>
    </w:p>
    <w:p w14:paraId="2C436444" w14:textId="77777777" w:rsidR="00D17386" w:rsidRDefault="00D17386" w:rsidP="00D17386">
      <w:r>
        <w:lastRenderedPageBreak/>
        <w:t>View (2016). </w:t>
      </w:r>
      <w:r>
        <w:rPr>
          <w:i/>
          <w:iCs/>
        </w:rPr>
        <w:t>Differentiation by Success Criteria</w:t>
      </w:r>
      <w:r>
        <w:t xml:space="preserve">. [online] Wordpress.com. Available at: </w:t>
      </w:r>
      <w:hyperlink r:id="rId27" w:history="1">
        <w:r>
          <w:rPr>
            <w:rStyle w:val="Hyperlink"/>
          </w:rPr>
          <w:t>https://shivteacher.wordpress.com/2016/12/24/differentiation-by-success-criteria/</w:t>
        </w:r>
      </w:hyperlink>
      <w:r>
        <w:t xml:space="preserve">  [Accessed 1 Apr. 2025].</w:t>
      </w:r>
    </w:p>
    <w:p w14:paraId="306A60CB" w14:textId="77777777" w:rsidR="00D17386" w:rsidRDefault="00D17386" w:rsidP="00D17386">
      <w:pPr>
        <w:rPr>
          <w:rFonts w:ascii="Avenir Next LT Pro" w:hAnsi="Avenir Next LT Pro"/>
          <w:u w:val="single"/>
          <w:lang w:val="en-US"/>
        </w:rPr>
      </w:pPr>
    </w:p>
    <w:p w14:paraId="7C100849" w14:textId="77777777" w:rsidR="00D17386" w:rsidRDefault="00D17386" w:rsidP="00D17386">
      <w:pPr>
        <w:rPr>
          <w:rFonts w:ascii="Avenir Next LT Pro" w:hAnsi="Avenir Next LT Pro"/>
          <w:u w:val="single"/>
          <w:lang w:val="en-US"/>
        </w:rPr>
      </w:pPr>
    </w:p>
    <w:p w14:paraId="045599FB" w14:textId="77777777" w:rsidR="00070A46" w:rsidRPr="00955BEE" w:rsidRDefault="00070A46" w:rsidP="000E2E7E">
      <w:pPr>
        <w:rPr>
          <w:rFonts w:ascii="Avenir Next LT Pro" w:hAnsi="Avenir Next LT Pro"/>
          <w:sz w:val="28"/>
          <w:szCs w:val="28"/>
        </w:rPr>
      </w:pPr>
    </w:p>
    <w:p w14:paraId="2D2A7E36" w14:textId="77777777" w:rsidR="000E2E7E" w:rsidRDefault="000E2E7E" w:rsidP="000E2E7E">
      <w:pPr>
        <w:rPr>
          <w:sz w:val="28"/>
          <w:szCs w:val="28"/>
        </w:rPr>
      </w:pPr>
    </w:p>
    <w:p w14:paraId="6413DE7C" w14:textId="77777777" w:rsidR="000E2E7E" w:rsidRPr="000E2E7E" w:rsidRDefault="000E2E7E" w:rsidP="000E2E7E">
      <w:pPr>
        <w:rPr>
          <w:sz w:val="28"/>
          <w:szCs w:val="28"/>
        </w:rPr>
      </w:pPr>
    </w:p>
    <w:p w14:paraId="512734CD" w14:textId="77777777" w:rsidR="000E2E7E" w:rsidRPr="00B103B9" w:rsidRDefault="000E2E7E" w:rsidP="000E2E7E">
      <w:pPr>
        <w:rPr>
          <w:sz w:val="16"/>
          <w:szCs w:val="16"/>
        </w:rPr>
      </w:pPr>
    </w:p>
    <w:p w14:paraId="1CD1FA79" w14:textId="1E826845" w:rsidR="000E2E7E" w:rsidRPr="000E2E7E" w:rsidRDefault="000E2E7E">
      <w:pPr>
        <w:rPr>
          <w:sz w:val="52"/>
          <w:szCs w:val="52"/>
        </w:rPr>
      </w:pPr>
    </w:p>
    <w:sectPr w:rsidR="000E2E7E" w:rsidRPr="000E2E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Avenir Next LT Pro">
    <w:charset w:val="00"/>
    <w:family w:val="swiss"/>
    <w:pitch w:val="variable"/>
    <w:sig w:usb0="800000EF" w:usb1="5000204A"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E7E"/>
    <w:rsid w:val="00067C53"/>
    <w:rsid w:val="00070A46"/>
    <w:rsid w:val="000C6E0D"/>
    <w:rsid w:val="000E1AF1"/>
    <w:rsid w:val="000E1F46"/>
    <w:rsid w:val="000E2E7E"/>
    <w:rsid w:val="000F45F9"/>
    <w:rsid w:val="00104F6C"/>
    <w:rsid w:val="00121BB2"/>
    <w:rsid w:val="001338AC"/>
    <w:rsid w:val="001675AC"/>
    <w:rsid w:val="00191CFB"/>
    <w:rsid w:val="001B0DAC"/>
    <w:rsid w:val="001D6FB8"/>
    <w:rsid w:val="001E698E"/>
    <w:rsid w:val="00274122"/>
    <w:rsid w:val="002B09E2"/>
    <w:rsid w:val="002B4FD2"/>
    <w:rsid w:val="002C1E2C"/>
    <w:rsid w:val="00371AC6"/>
    <w:rsid w:val="00372668"/>
    <w:rsid w:val="003A7750"/>
    <w:rsid w:val="00403714"/>
    <w:rsid w:val="00425071"/>
    <w:rsid w:val="004E28A8"/>
    <w:rsid w:val="004F4126"/>
    <w:rsid w:val="00504994"/>
    <w:rsid w:val="00510D18"/>
    <w:rsid w:val="005432DE"/>
    <w:rsid w:val="00557E91"/>
    <w:rsid w:val="005861F2"/>
    <w:rsid w:val="00604703"/>
    <w:rsid w:val="006226AB"/>
    <w:rsid w:val="006B098F"/>
    <w:rsid w:val="006B0ADD"/>
    <w:rsid w:val="006E2A4E"/>
    <w:rsid w:val="00794103"/>
    <w:rsid w:val="007951E2"/>
    <w:rsid w:val="008079D3"/>
    <w:rsid w:val="00851A33"/>
    <w:rsid w:val="008F0B48"/>
    <w:rsid w:val="00955BEE"/>
    <w:rsid w:val="00965B69"/>
    <w:rsid w:val="009A4BE3"/>
    <w:rsid w:val="009D31A8"/>
    <w:rsid w:val="009F6796"/>
    <w:rsid w:val="00A05B80"/>
    <w:rsid w:val="00A82846"/>
    <w:rsid w:val="00A96EE2"/>
    <w:rsid w:val="00AA125A"/>
    <w:rsid w:val="00AB5565"/>
    <w:rsid w:val="00AD525C"/>
    <w:rsid w:val="00AF7A9E"/>
    <w:rsid w:val="00B14288"/>
    <w:rsid w:val="00B16996"/>
    <w:rsid w:val="00BA1907"/>
    <w:rsid w:val="00BB1BFC"/>
    <w:rsid w:val="00C0493E"/>
    <w:rsid w:val="00C0578A"/>
    <w:rsid w:val="00C07763"/>
    <w:rsid w:val="00C67DBE"/>
    <w:rsid w:val="00C77604"/>
    <w:rsid w:val="00C95283"/>
    <w:rsid w:val="00CA3BF3"/>
    <w:rsid w:val="00CF0D10"/>
    <w:rsid w:val="00D07F92"/>
    <w:rsid w:val="00D17386"/>
    <w:rsid w:val="00D31826"/>
    <w:rsid w:val="00DA63CC"/>
    <w:rsid w:val="00DB5F02"/>
    <w:rsid w:val="00DE4840"/>
    <w:rsid w:val="00DF09B3"/>
    <w:rsid w:val="00E5184C"/>
    <w:rsid w:val="00E5790A"/>
    <w:rsid w:val="00EC5CB3"/>
    <w:rsid w:val="00ED1CD0"/>
    <w:rsid w:val="00F006C8"/>
    <w:rsid w:val="00F5043E"/>
    <w:rsid w:val="00F66413"/>
    <w:rsid w:val="00F80AB9"/>
    <w:rsid w:val="00FB1728"/>
    <w:rsid w:val="00FD29F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B9060"/>
  <w15:chartTrackingRefBased/>
  <w15:docId w15:val="{1B585F4F-5F9A-4953-9D79-C7D04A850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2E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2E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2E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2E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2E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2E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2E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2E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2E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E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2E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2E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2E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2E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2E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2E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2E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2E7E"/>
    <w:rPr>
      <w:rFonts w:eastAsiaTheme="majorEastAsia" w:cstheme="majorBidi"/>
      <w:color w:val="272727" w:themeColor="text1" w:themeTint="D8"/>
    </w:rPr>
  </w:style>
  <w:style w:type="paragraph" w:styleId="Title">
    <w:name w:val="Title"/>
    <w:basedOn w:val="Normal"/>
    <w:next w:val="Normal"/>
    <w:link w:val="TitleChar"/>
    <w:uiPriority w:val="10"/>
    <w:qFormat/>
    <w:rsid w:val="000E2E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2E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2E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2E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2E7E"/>
    <w:pPr>
      <w:spacing w:before="160"/>
      <w:jc w:val="center"/>
    </w:pPr>
    <w:rPr>
      <w:i/>
      <w:iCs/>
      <w:color w:val="404040" w:themeColor="text1" w:themeTint="BF"/>
    </w:rPr>
  </w:style>
  <w:style w:type="character" w:customStyle="1" w:styleId="QuoteChar">
    <w:name w:val="Quote Char"/>
    <w:basedOn w:val="DefaultParagraphFont"/>
    <w:link w:val="Quote"/>
    <w:uiPriority w:val="29"/>
    <w:rsid w:val="000E2E7E"/>
    <w:rPr>
      <w:i/>
      <w:iCs/>
      <w:color w:val="404040" w:themeColor="text1" w:themeTint="BF"/>
    </w:rPr>
  </w:style>
  <w:style w:type="paragraph" w:styleId="ListParagraph">
    <w:name w:val="List Paragraph"/>
    <w:basedOn w:val="Normal"/>
    <w:uiPriority w:val="34"/>
    <w:qFormat/>
    <w:rsid w:val="000E2E7E"/>
    <w:pPr>
      <w:ind w:left="720"/>
      <w:contextualSpacing/>
    </w:pPr>
  </w:style>
  <w:style w:type="character" w:styleId="IntenseEmphasis">
    <w:name w:val="Intense Emphasis"/>
    <w:basedOn w:val="DefaultParagraphFont"/>
    <w:uiPriority w:val="21"/>
    <w:qFormat/>
    <w:rsid w:val="000E2E7E"/>
    <w:rPr>
      <w:i/>
      <w:iCs/>
      <w:color w:val="0F4761" w:themeColor="accent1" w:themeShade="BF"/>
    </w:rPr>
  </w:style>
  <w:style w:type="paragraph" w:styleId="IntenseQuote">
    <w:name w:val="Intense Quote"/>
    <w:basedOn w:val="Normal"/>
    <w:next w:val="Normal"/>
    <w:link w:val="IntenseQuoteChar"/>
    <w:uiPriority w:val="30"/>
    <w:qFormat/>
    <w:rsid w:val="000E2E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2E7E"/>
    <w:rPr>
      <w:i/>
      <w:iCs/>
      <w:color w:val="0F4761" w:themeColor="accent1" w:themeShade="BF"/>
    </w:rPr>
  </w:style>
  <w:style w:type="character" w:styleId="IntenseReference">
    <w:name w:val="Intense Reference"/>
    <w:basedOn w:val="DefaultParagraphFont"/>
    <w:uiPriority w:val="32"/>
    <w:qFormat/>
    <w:rsid w:val="000E2E7E"/>
    <w:rPr>
      <w:b/>
      <w:bCs/>
      <w:smallCaps/>
      <w:color w:val="0F4761" w:themeColor="accent1" w:themeShade="BF"/>
      <w:spacing w:val="5"/>
    </w:rPr>
  </w:style>
  <w:style w:type="table" w:styleId="TableGrid">
    <w:name w:val="Table Grid"/>
    <w:basedOn w:val="TableNormal"/>
    <w:uiPriority w:val="39"/>
    <w:rsid w:val="000E2E7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D17386"/>
    <w:rPr>
      <w:color w:val="467886"/>
      <w:u w:val="single"/>
    </w:rPr>
  </w:style>
  <w:style w:type="character" w:styleId="UnresolvedMention">
    <w:name w:val="Unresolved Mention"/>
    <w:basedOn w:val="DefaultParagraphFont"/>
    <w:uiPriority w:val="99"/>
    <w:semiHidden/>
    <w:unhideWhenUsed/>
    <w:rsid w:val="006226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382179">
      <w:bodyDiv w:val="1"/>
      <w:marLeft w:val="0"/>
      <w:marRight w:val="0"/>
      <w:marTop w:val="0"/>
      <w:marBottom w:val="0"/>
      <w:divBdr>
        <w:top w:val="none" w:sz="0" w:space="0" w:color="auto"/>
        <w:left w:val="none" w:sz="0" w:space="0" w:color="auto"/>
        <w:bottom w:val="none" w:sz="0" w:space="0" w:color="auto"/>
        <w:right w:val="none" w:sz="0" w:space="0" w:color="auto"/>
      </w:divBdr>
      <w:divsChild>
        <w:div w:id="415059690">
          <w:marLeft w:val="0"/>
          <w:marRight w:val="0"/>
          <w:marTop w:val="0"/>
          <w:marBottom w:val="150"/>
          <w:divBdr>
            <w:top w:val="none" w:sz="0" w:space="0" w:color="auto"/>
            <w:left w:val="none" w:sz="0" w:space="0" w:color="auto"/>
            <w:bottom w:val="none" w:sz="0" w:space="0" w:color="auto"/>
            <w:right w:val="none" w:sz="0" w:space="0" w:color="auto"/>
          </w:divBdr>
        </w:div>
      </w:divsChild>
    </w:div>
    <w:div w:id="1252082120">
      <w:bodyDiv w:val="1"/>
      <w:marLeft w:val="0"/>
      <w:marRight w:val="0"/>
      <w:marTop w:val="0"/>
      <w:marBottom w:val="0"/>
      <w:divBdr>
        <w:top w:val="none" w:sz="0" w:space="0" w:color="auto"/>
        <w:left w:val="none" w:sz="0" w:space="0" w:color="auto"/>
        <w:bottom w:val="none" w:sz="0" w:space="0" w:color="auto"/>
        <w:right w:val="none" w:sz="0" w:space="0" w:color="auto"/>
      </w:divBdr>
      <w:divsChild>
        <w:div w:id="1957638419">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rrazacarlos.com/advantages-and-disadvantages-of-interviews/" TargetMode="External"/><Relationship Id="rId13" Type="http://schemas.openxmlformats.org/officeDocument/2006/relationships/hyperlink" Target="https://www.stem.org.uk/resources/elibrary/resource/273227/john-hattie-learning-intentions-and-success-criteria" TargetMode="External"/><Relationship Id="rId18" Type="http://schemas.openxmlformats.org/officeDocument/2006/relationships/hyperlink" Target="https://www.simplypsychology.org/blooms-taxonomy.html" TargetMode="External"/><Relationship Id="rId26" Type="http://schemas.openxmlformats.org/officeDocument/2006/relationships/hyperlink" Target="https://my.chartered.college/impact_article/revolutionising-classroom-feedback-a-practical-approach-to-dylan-williams-vision/" TargetMode="External"/><Relationship Id="rId3" Type="http://schemas.openxmlformats.org/officeDocument/2006/relationships/webSettings" Target="webSettings.xml"/><Relationship Id="rId21" Type="http://schemas.openxmlformats.org/officeDocument/2006/relationships/hyperlink" Target="https://academic-writing.uk/advantages-disadvantages-questionnaire-surveys/.%5baccessed" TargetMode="External"/><Relationship Id="rId7" Type="http://schemas.openxmlformats.org/officeDocument/2006/relationships/hyperlink" Target="https://whenyouwrite.com/should-i-take-notes-on-paper-or-laptop/" TargetMode="External"/><Relationship Id="rId12" Type="http://schemas.openxmlformats.org/officeDocument/2006/relationships/hyperlink" Target="https://researchmethod.net/questionnaire/" TargetMode="External"/><Relationship Id="rId17" Type="http://schemas.openxmlformats.org/officeDocument/2006/relationships/hyperlink" Target="https://advantageslist.com/advantages-and-disadvantages-of-questionnaires/" TargetMode="External"/><Relationship Id="rId25" Type="http://schemas.openxmlformats.org/officeDocument/2006/relationships/hyperlink" Target="https://doi.org/10/1190063/heroimage0.618178001721835225" TargetMode="External"/><Relationship Id="rId2" Type="http://schemas.openxmlformats.org/officeDocument/2006/relationships/settings" Target="settings.xml"/><Relationship Id="rId16" Type="http://schemas.openxmlformats.org/officeDocument/2006/relationships/hyperlink" Target="https://doi.org/10.1016/j.edurev.2011.11.001" TargetMode="External"/><Relationship Id="rId20" Type="http://schemas.openxmlformats.org/officeDocument/2006/relationships/hyperlink" Target="https://www.simplypsychology.org/zone-of-proximal-development.html"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dr.lib.iastate.edu/server/api/core/bitstreams/c01c71f9-1b9e-4ecd-ae9e-f02e5bc66f8d/content" TargetMode="External"/><Relationship Id="rId11" Type="http://schemas.openxmlformats.org/officeDocument/2006/relationships/hyperlink" Target="https://www.gov.uk/data-protection" TargetMode="External"/><Relationship Id="rId24" Type="http://schemas.openxmlformats.org/officeDocument/2006/relationships/hyperlink" Target="https://hwb.gov.wales/curriculum-for-wales/introduction-to-curriculum-for-wales-guidance/" TargetMode="External"/><Relationship Id="rId5" Type="http://schemas.openxmlformats.org/officeDocument/2006/relationships/hyperlink" Target="https://www.mybib.com/tools/harvard-referencing-generator" TargetMode="External"/><Relationship Id="rId15" Type="http://schemas.openxmlformats.org/officeDocument/2006/relationships/hyperlink" Target="https://hwb.gov.wales/curriculum-for-wales/assessment-arrangements/supporting-learner-progression-assessment-guidance/" TargetMode="External"/><Relationship Id="rId23" Type="http://schemas.openxmlformats.org/officeDocument/2006/relationships/hyperlink" Target="https://hwb.gov.wales/api/storage/b447d1fe-5463-4382-9726-e68623a05dd2/assessment-for-learning-and-the-national-literacy-and-numeracy-framework.pdf" TargetMode="External"/><Relationship Id="rId28" Type="http://schemas.openxmlformats.org/officeDocument/2006/relationships/fontTable" Target="fontTable.xml"/><Relationship Id="rId10" Type="http://schemas.openxmlformats.org/officeDocument/2006/relationships/hyperlink" Target="https://files.eric.ed.gov/fulltext/EJ1382629.pdf" TargetMode="External"/><Relationship Id="rId19" Type="http://schemas.openxmlformats.org/officeDocument/2006/relationships/hyperlink" Target="https://www.simplypsychology.org/qualitative-quantitative.html" TargetMode="External"/><Relationship Id="rId4" Type="http://schemas.openxmlformats.org/officeDocument/2006/relationships/image" Target="media/image1.png"/><Relationship Id="rId9" Type="http://schemas.openxmlformats.org/officeDocument/2006/relationships/hyperlink" Target="https://www.bera.ac.uk/publication/ethical-guidelines-for-educational-research-fifth-edition-2024-online#right-withdraw" TargetMode="External"/><Relationship Id="rId14" Type="http://schemas.openxmlformats.org/officeDocument/2006/relationships/hyperlink" Target="https://www.youtube.com/watch?v=OGyvDvOegXE" TargetMode="External"/><Relationship Id="rId22" Type="http://schemas.openxmlformats.org/officeDocument/2006/relationships/hyperlink" Target="https://www.bing.com/videos/riverview/relatedvideo?q=qualitative+and+quantitative+data&amp;mid=E6FD439D12CB2EF8029FE6FD439D12CB2EF8029F&amp;FORM=VIRE" TargetMode="External"/><Relationship Id="rId27" Type="http://schemas.openxmlformats.org/officeDocument/2006/relationships/hyperlink" Target="https://shivteacher.wordpress.com/2016/12/24/differentiation-by-success-criter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12</Pages>
  <Words>4325</Words>
  <Characters>24659</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Hughes</dc:creator>
  <cp:keywords/>
  <dc:description/>
  <cp:lastModifiedBy>Lucy Tingle</cp:lastModifiedBy>
  <cp:revision>61</cp:revision>
  <dcterms:created xsi:type="dcterms:W3CDTF">2025-04-01T12:44:00Z</dcterms:created>
  <dcterms:modified xsi:type="dcterms:W3CDTF">2025-04-02T09:52:00Z</dcterms:modified>
</cp:coreProperties>
</file>