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8D0F8" w14:textId="77777777" w:rsidR="00115C13" w:rsidRDefault="00115C13" w:rsidP="00532341">
      <w:pPr>
        <w:spacing w:after="0" w:line="360" w:lineRule="auto"/>
        <w:jc w:val="both"/>
        <w:rPr>
          <w:rFonts w:ascii="Calibri" w:hAnsi="Calibri" w:cs="Calibri"/>
          <w:sz w:val="24"/>
        </w:rPr>
      </w:pPr>
    </w:p>
    <w:p w14:paraId="5695AC0F" w14:textId="77777777" w:rsidR="00532341" w:rsidRDefault="00532341" w:rsidP="00532341">
      <w:pPr>
        <w:spacing w:after="0" w:line="360" w:lineRule="auto"/>
        <w:jc w:val="both"/>
        <w:rPr>
          <w:rFonts w:ascii="Calibri" w:hAnsi="Calibri" w:cs="Calibri"/>
          <w:sz w:val="24"/>
        </w:rPr>
      </w:pPr>
    </w:p>
    <w:p w14:paraId="46F69FDA" w14:textId="53D35431" w:rsidR="00532341" w:rsidRDefault="002772BB" w:rsidP="00532341">
      <w:pPr>
        <w:spacing w:after="0" w:line="360" w:lineRule="auto"/>
        <w:jc w:val="both"/>
        <w:rPr>
          <w:rFonts w:ascii="Calibri" w:hAnsi="Calibri" w:cs="Calibri"/>
          <w:sz w:val="24"/>
        </w:rPr>
      </w:pPr>
      <w:r>
        <w:rPr>
          <w:rFonts w:ascii="Calibri" w:hAnsi="Calibri" w:cs="Calibri"/>
          <w:noProof/>
          <w:sz w:val="24"/>
          <w:lang w:val="en-US"/>
        </w:rPr>
        <w:drawing>
          <wp:inline distT="0" distB="0" distL="0" distR="0" wp14:anchorId="6D51BC28" wp14:editId="53CC0963">
            <wp:extent cx="2495898" cy="1133633"/>
            <wp:effectExtent l="0" t="0" r="0" b="9525"/>
            <wp:docPr id="88983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3669" name="Picture 88983669"/>
                    <pic:cNvPicPr/>
                  </pic:nvPicPr>
                  <pic:blipFill>
                    <a:blip r:embed="rId8">
                      <a:extLst>
                        <a:ext uri="{28A0092B-C50C-407E-A947-70E740481C1C}">
                          <a14:useLocalDpi xmlns:a14="http://schemas.microsoft.com/office/drawing/2010/main" val="0"/>
                        </a:ext>
                      </a:extLst>
                    </a:blip>
                    <a:stretch>
                      <a:fillRect/>
                    </a:stretch>
                  </pic:blipFill>
                  <pic:spPr>
                    <a:xfrm>
                      <a:off x="0" y="0"/>
                      <a:ext cx="2495898" cy="1133633"/>
                    </a:xfrm>
                    <a:prstGeom prst="rect">
                      <a:avLst/>
                    </a:prstGeom>
                  </pic:spPr>
                </pic:pic>
              </a:graphicData>
            </a:graphic>
          </wp:inline>
        </w:drawing>
      </w:r>
    </w:p>
    <w:p w14:paraId="32A622C9" w14:textId="77777777" w:rsidR="00532341" w:rsidRDefault="00532341" w:rsidP="00532341">
      <w:pPr>
        <w:spacing w:after="0" w:line="360" w:lineRule="auto"/>
        <w:jc w:val="both"/>
        <w:rPr>
          <w:rFonts w:ascii="Calibri" w:hAnsi="Calibri" w:cs="Calibri"/>
          <w:sz w:val="24"/>
        </w:rPr>
      </w:pPr>
    </w:p>
    <w:p w14:paraId="2A9154E2" w14:textId="77777777" w:rsidR="00532341" w:rsidRDefault="00532341" w:rsidP="00532341">
      <w:pPr>
        <w:spacing w:after="0" w:line="360" w:lineRule="auto"/>
        <w:jc w:val="both"/>
        <w:rPr>
          <w:rFonts w:ascii="Calibri" w:hAnsi="Calibri" w:cs="Calibri"/>
          <w:sz w:val="24"/>
        </w:rPr>
      </w:pPr>
    </w:p>
    <w:p w14:paraId="2472301B" w14:textId="77777777" w:rsidR="00532341" w:rsidRPr="002C40B9" w:rsidRDefault="000773F6" w:rsidP="00C8626F">
      <w:pPr>
        <w:spacing w:after="0" w:line="240" w:lineRule="auto"/>
        <w:jc w:val="center"/>
        <w:rPr>
          <w:rFonts w:ascii="Calibri" w:hAnsi="Calibri" w:cs="Calibri"/>
          <w:b/>
          <w:color w:val="1F3864" w:themeColor="accent5" w:themeShade="80"/>
          <w:sz w:val="36"/>
          <w:lang w:val="en-US"/>
        </w:rPr>
      </w:pPr>
      <w:r w:rsidRPr="002C40B9">
        <w:rPr>
          <w:rFonts w:ascii="Calibri" w:hAnsi="Calibri" w:cs="Calibri"/>
          <w:b/>
          <w:color w:val="1F3864" w:themeColor="accent5" w:themeShade="80"/>
          <w:sz w:val="36"/>
          <w:lang w:val="en-US"/>
        </w:rPr>
        <w:t xml:space="preserve">The Deepening Mental Health Crisis in the Hospitality Industry: Causes Consequences and Pathways to </w:t>
      </w:r>
      <w:proofErr w:type="spellStart"/>
      <w:r w:rsidRPr="002C40B9">
        <w:rPr>
          <w:rFonts w:ascii="Calibri" w:hAnsi="Calibri" w:cs="Calibri"/>
          <w:b/>
          <w:color w:val="1F3864" w:themeColor="accent5" w:themeShade="80"/>
          <w:sz w:val="36"/>
          <w:lang w:val="en-US"/>
        </w:rPr>
        <w:t>Organisational</w:t>
      </w:r>
      <w:proofErr w:type="spellEnd"/>
      <w:r w:rsidRPr="002C40B9">
        <w:rPr>
          <w:rFonts w:ascii="Calibri" w:hAnsi="Calibri" w:cs="Calibri"/>
          <w:b/>
          <w:color w:val="1F3864" w:themeColor="accent5" w:themeShade="80"/>
          <w:sz w:val="36"/>
          <w:lang w:val="en-US"/>
        </w:rPr>
        <w:t xml:space="preserve"> Resilience</w:t>
      </w:r>
    </w:p>
    <w:p w14:paraId="4BAC32A8" w14:textId="77777777" w:rsidR="0013365E" w:rsidRDefault="0013365E" w:rsidP="00532341">
      <w:pPr>
        <w:spacing w:after="0" w:line="360" w:lineRule="auto"/>
        <w:jc w:val="both"/>
        <w:rPr>
          <w:rFonts w:ascii="Calibri" w:hAnsi="Calibri" w:cs="Calibri"/>
          <w:sz w:val="24"/>
          <w:lang w:val="en-US"/>
        </w:rPr>
      </w:pPr>
    </w:p>
    <w:p w14:paraId="28202F60" w14:textId="77777777" w:rsidR="0013365E" w:rsidRDefault="0013365E" w:rsidP="00532341">
      <w:pPr>
        <w:spacing w:after="0" w:line="360" w:lineRule="auto"/>
        <w:jc w:val="both"/>
        <w:rPr>
          <w:rFonts w:ascii="Calibri" w:hAnsi="Calibri" w:cs="Calibri"/>
          <w:sz w:val="24"/>
          <w:lang w:val="en-US"/>
        </w:rPr>
      </w:pPr>
    </w:p>
    <w:p w14:paraId="75C62F44" w14:textId="77777777" w:rsidR="0013365E" w:rsidRDefault="0013365E" w:rsidP="00532341">
      <w:pPr>
        <w:spacing w:after="0" w:line="360" w:lineRule="auto"/>
        <w:jc w:val="both"/>
        <w:rPr>
          <w:rFonts w:ascii="Calibri" w:hAnsi="Calibri" w:cs="Calibri"/>
          <w:sz w:val="24"/>
          <w:lang w:val="en-US"/>
        </w:rPr>
      </w:pPr>
    </w:p>
    <w:p w14:paraId="4F104926" w14:textId="77777777" w:rsidR="0013365E" w:rsidRDefault="0013365E" w:rsidP="00532341">
      <w:pPr>
        <w:spacing w:after="0" w:line="360" w:lineRule="auto"/>
        <w:jc w:val="both"/>
        <w:rPr>
          <w:rFonts w:ascii="Calibri" w:hAnsi="Calibri" w:cs="Calibri"/>
          <w:sz w:val="24"/>
          <w:lang w:val="en-US"/>
        </w:rPr>
      </w:pPr>
    </w:p>
    <w:p w14:paraId="3ED323FA" w14:textId="77777777" w:rsidR="0013365E" w:rsidRDefault="0013365E" w:rsidP="00532341">
      <w:pPr>
        <w:spacing w:after="0" w:line="360" w:lineRule="auto"/>
        <w:jc w:val="both"/>
        <w:rPr>
          <w:rFonts w:ascii="Calibri" w:hAnsi="Calibri" w:cs="Calibri"/>
          <w:sz w:val="24"/>
          <w:lang w:val="en-US"/>
        </w:rPr>
      </w:pPr>
    </w:p>
    <w:p w14:paraId="40703FA4" w14:textId="77777777" w:rsidR="00404D78" w:rsidRPr="00462BD4" w:rsidRDefault="00404D78" w:rsidP="00532341">
      <w:pPr>
        <w:spacing w:after="0" w:line="360" w:lineRule="auto"/>
        <w:jc w:val="both"/>
        <w:rPr>
          <w:rFonts w:ascii="Calibri" w:hAnsi="Calibri" w:cs="Calibri"/>
          <w:sz w:val="32"/>
          <w:szCs w:val="32"/>
          <w:lang w:val="en-US"/>
        </w:rPr>
      </w:pPr>
    </w:p>
    <w:p w14:paraId="53742A59" w14:textId="25650F72" w:rsidR="008949B0" w:rsidRPr="00462BD4" w:rsidRDefault="00404D78" w:rsidP="00B65F2B">
      <w:pPr>
        <w:spacing w:after="0" w:line="240" w:lineRule="auto"/>
        <w:jc w:val="center"/>
        <w:rPr>
          <w:rFonts w:ascii="Calibri" w:hAnsi="Calibri" w:cs="Calibri"/>
          <w:color w:val="1F3864" w:themeColor="accent5" w:themeShade="80"/>
          <w:sz w:val="32"/>
          <w:szCs w:val="32"/>
        </w:rPr>
      </w:pPr>
      <w:r w:rsidRPr="00462BD4">
        <w:rPr>
          <w:rFonts w:ascii="Calibri" w:hAnsi="Calibri" w:cs="Calibri"/>
          <w:b/>
          <w:bCs/>
          <w:color w:val="1F3864" w:themeColor="accent5" w:themeShade="80"/>
          <w:sz w:val="32"/>
          <w:szCs w:val="32"/>
        </w:rPr>
        <w:t>Student Name:</w:t>
      </w:r>
      <w:r w:rsidRPr="00462BD4">
        <w:rPr>
          <w:rFonts w:ascii="Calibri" w:hAnsi="Calibri" w:cs="Calibri"/>
          <w:color w:val="1F3864" w:themeColor="accent5" w:themeShade="80"/>
          <w:sz w:val="32"/>
          <w:szCs w:val="32"/>
        </w:rPr>
        <w:t xml:space="preserve"> </w:t>
      </w:r>
      <w:r w:rsidR="002772BB" w:rsidRPr="00462BD4">
        <w:rPr>
          <w:rFonts w:ascii="Calibri" w:hAnsi="Calibri" w:cs="Calibri"/>
          <w:color w:val="1F3864" w:themeColor="accent5" w:themeShade="80"/>
          <w:sz w:val="32"/>
          <w:szCs w:val="32"/>
        </w:rPr>
        <w:t xml:space="preserve"> </w:t>
      </w:r>
      <w:r w:rsidR="002A74A1">
        <w:rPr>
          <w:rFonts w:ascii="Calibri" w:hAnsi="Calibri" w:cs="Calibri"/>
          <w:color w:val="1F3864" w:themeColor="accent5" w:themeShade="80"/>
          <w:sz w:val="32"/>
          <w:szCs w:val="32"/>
        </w:rPr>
        <w:t>Valentina</w:t>
      </w:r>
      <w:r w:rsidR="002772BB" w:rsidRPr="00462BD4">
        <w:rPr>
          <w:rFonts w:ascii="Calibri" w:hAnsi="Calibri" w:cs="Calibri"/>
          <w:color w:val="1F3864" w:themeColor="accent5" w:themeShade="80"/>
          <w:sz w:val="32"/>
          <w:szCs w:val="32"/>
        </w:rPr>
        <w:t xml:space="preserve"> Matei</w:t>
      </w:r>
    </w:p>
    <w:p w14:paraId="299BA08B" w14:textId="1B3C6BA7" w:rsidR="008949B0" w:rsidRPr="00462BD4" w:rsidRDefault="00404D78" w:rsidP="00B65F2B">
      <w:pPr>
        <w:spacing w:after="0" w:line="240" w:lineRule="auto"/>
        <w:jc w:val="center"/>
        <w:rPr>
          <w:rFonts w:ascii="Calibri" w:hAnsi="Calibri" w:cs="Calibri"/>
          <w:color w:val="1F3864" w:themeColor="accent5" w:themeShade="80"/>
          <w:sz w:val="32"/>
          <w:szCs w:val="32"/>
        </w:rPr>
      </w:pPr>
      <w:r w:rsidRPr="00462BD4">
        <w:rPr>
          <w:rFonts w:ascii="Calibri" w:hAnsi="Calibri" w:cs="Calibri"/>
          <w:b/>
          <w:bCs/>
          <w:color w:val="1F3864" w:themeColor="accent5" w:themeShade="80"/>
          <w:sz w:val="32"/>
          <w:szCs w:val="32"/>
        </w:rPr>
        <w:t>Student ID:</w:t>
      </w:r>
      <w:r w:rsidRPr="00462BD4">
        <w:rPr>
          <w:rFonts w:ascii="Calibri" w:hAnsi="Calibri" w:cs="Calibri"/>
          <w:color w:val="1F3864" w:themeColor="accent5" w:themeShade="80"/>
          <w:sz w:val="32"/>
          <w:szCs w:val="32"/>
        </w:rPr>
        <w:t xml:space="preserve"> </w:t>
      </w:r>
      <w:r w:rsidR="002A74A1">
        <w:rPr>
          <w:rFonts w:ascii="Calibri" w:hAnsi="Calibri" w:cs="Calibri"/>
          <w:color w:val="1F3864" w:themeColor="accent5" w:themeShade="80"/>
          <w:sz w:val="32"/>
          <w:szCs w:val="32"/>
        </w:rPr>
        <w:t>2221642</w:t>
      </w:r>
    </w:p>
    <w:p w14:paraId="2BC856E5" w14:textId="0EE4ED49" w:rsidR="008949B0" w:rsidRPr="00462BD4" w:rsidRDefault="00404D78" w:rsidP="00B65F2B">
      <w:pPr>
        <w:spacing w:after="0" w:line="240" w:lineRule="auto"/>
        <w:jc w:val="center"/>
        <w:rPr>
          <w:rFonts w:ascii="Calibri" w:hAnsi="Calibri" w:cs="Calibri"/>
          <w:color w:val="1F3864" w:themeColor="accent5" w:themeShade="80"/>
          <w:sz w:val="32"/>
          <w:szCs w:val="32"/>
        </w:rPr>
      </w:pPr>
      <w:r w:rsidRPr="00462BD4">
        <w:rPr>
          <w:rFonts w:ascii="Calibri" w:hAnsi="Calibri" w:cs="Calibri"/>
          <w:b/>
          <w:bCs/>
          <w:color w:val="1F3864" w:themeColor="accent5" w:themeShade="80"/>
          <w:sz w:val="32"/>
          <w:szCs w:val="32"/>
        </w:rPr>
        <w:t>Module Code:</w:t>
      </w:r>
      <w:r w:rsidRPr="00462BD4">
        <w:rPr>
          <w:rFonts w:ascii="Calibri" w:hAnsi="Calibri" w:cs="Calibri"/>
          <w:color w:val="1F3864" w:themeColor="accent5" w:themeShade="80"/>
          <w:sz w:val="32"/>
          <w:szCs w:val="32"/>
        </w:rPr>
        <w:t xml:space="preserve"> </w:t>
      </w:r>
      <w:r w:rsidR="00270106">
        <w:rPr>
          <w:rFonts w:ascii="Calibri" w:hAnsi="Calibri" w:cs="Calibri"/>
          <w:color w:val="1F3864" w:themeColor="accent5" w:themeShade="80"/>
          <w:sz w:val="32"/>
          <w:szCs w:val="32"/>
        </w:rPr>
        <w:t>BMIH6001</w:t>
      </w:r>
    </w:p>
    <w:p w14:paraId="07DF0B9B" w14:textId="60DA2DF6" w:rsidR="008949B0" w:rsidRPr="00462BD4" w:rsidRDefault="00404D78" w:rsidP="00B65F2B">
      <w:pPr>
        <w:spacing w:after="0" w:line="240" w:lineRule="auto"/>
        <w:jc w:val="center"/>
        <w:rPr>
          <w:rFonts w:ascii="Calibri" w:hAnsi="Calibri" w:cs="Calibri"/>
          <w:color w:val="1F3864" w:themeColor="accent5" w:themeShade="80"/>
          <w:sz w:val="32"/>
          <w:szCs w:val="32"/>
        </w:rPr>
      </w:pPr>
      <w:r w:rsidRPr="00462BD4">
        <w:rPr>
          <w:rFonts w:ascii="Calibri" w:hAnsi="Calibri" w:cs="Calibri"/>
          <w:b/>
          <w:bCs/>
          <w:color w:val="1F3864" w:themeColor="accent5" w:themeShade="80"/>
          <w:sz w:val="32"/>
          <w:szCs w:val="32"/>
        </w:rPr>
        <w:t>Module Leader:</w:t>
      </w:r>
      <w:r w:rsidRPr="00462BD4">
        <w:rPr>
          <w:rFonts w:ascii="Calibri" w:hAnsi="Calibri" w:cs="Calibri"/>
          <w:color w:val="1F3864" w:themeColor="accent5" w:themeShade="80"/>
          <w:sz w:val="32"/>
          <w:szCs w:val="32"/>
        </w:rPr>
        <w:t xml:space="preserve"> </w:t>
      </w:r>
      <w:r w:rsidR="00270106">
        <w:rPr>
          <w:rFonts w:ascii="Calibri" w:hAnsi="Calibri" w:cs="Calibri"/>
          <w:color w:val="1F3864" w:themeColor="accent5" w:themeShade="80"/>
          <w:sz w:val="32"/>
          <w:szCs w:val="32"/>
        </w:rPr>
        <w:t xml:space="preserve">Chris </w:t>
      </w:r>
      <w:r w:rsidR="00823A0B">
        <w:rPr>
          <w:rFonts w:ascii="Calibri" w:hAnsi="Calibri" w:cs="Calibri"/>
          <w:color w:val="1F3864" w:themeColor="accent5" w:themeShade="80"/>
          <w:sz w:val="32"/>
          <w:szCs w:val="32"/>
        </w:rPr>
        <w:t>Wilkin</w:t>
      </w:r>
    </w:p>
    <w:p w14:paraId="40EBBFB3" w14:textId="14CE50AD" w:rsidR="008949B0" w:rsidRPr="00462BD4" w:rsidRDefault="00404D78" w:rsidP="00B65F2B">
      <w:pPr>
        <w:spacing w:after="0" w:line="240" w:lineRule="auto"/>
        <w:jc w:val="center"/>
        <w:rPr>
          <w:rFonts w:ascii="Calibri" w:hAnsi="Calibri" w:cs="Calibri"/>
          <w:color w:val="1F3864" w:themeColor="accent5" w:themeShade="80"/>
          <w:sz w:val="32"/>
          <w:szCs w:val="32"/>
        </w:rPr>
      </w:pPr>
      <w:r w:rsidRPr="00462BD4">
        <w:rPr>
          <w:rFonts w:ascii="Calibri" w:hAnsi="Calibri" w:cs="Calibri"/>
          <w:b/>
          <w:bCs/>
          <w:color w:val="1F3864" w:themeColor="accent5" w:themeShade="80"/>
          <w:sz w:val="32"/>
          <w:szCs w:val="32"/>
        </w:rPr>
        <w:t>Submission Date:</w:t>
      </w:r>
      <w:r w:rsidRPr="00462BD4">
        <w:rPr>
          <w:rFonts w:ascii="Calibri" w:hAnsi="Calibri" w:cs="Calibri"/>
          <w:color w:val="1F3864" w:themeColor="accent5" w:themeShade="80"/>
          <w:sz w:val="32"/>
          <w:szCs w:val="32"/>
        </w:rPr>
        <w:t xml:space="preserve"> </w:t>
      </w:r>
      <w:r w:rsidR="00E22B42">
        <w:rPr>
          <w:rFonts w:ascii="Calibri" w:hAnsi="Calibri" w:cs="Calibri"/>
          <w:color w:val="1F3864" w:themeColor="accent5" w:themeShade="80"/>
          <w:sz w:val="32"/>
          <w:szCs w:val="32"/>
        </w:rPr>
        <w:t>30.10.2025</w:t>
      </w:r>
    </w:p>
    <w:p w14:paraId="2D4644E1" w14:textId="13927B97" w:rsidR="0013365E" w:rsidRPr="00404D78" w:rsidRDefault="00404D78" w:rsidP="00B65F2B">
      <w:pPr>
        <w:spacing w:after="0" w:line="240" w:lineRule="auto"/>
        <w:jc w:val="center"/>
        <w:rPr>
          <w:rFonts w:ascii="Calibri" w:hAnsi="Calibri" w:cs="Calibri"/>
          <w:color w:val="1F3864" w:themeColor="accent5" w:themeShade="80"/>
          <w:sz w:val="28"/>
          <w:lang w:val="en-US"/>
        </w:rPr>
      </w:pPr>
      <w:r w:rsidRPr="00462BD4">
        <w:rPr>
          <w:rFonts w:ascii="Calibri" w:hAnsi="Calibri" w:cs="Calibri"/>
          <w:b/>
          <w:bCs/>
          <w:color w:val="1F3864" w:themeColor="accent5" w:themeShade="80"/>
          <w:sz w:val="32"/>
          <w:szCs w:val="32"/>
        </w:rPr>
        <w:t>Word Count:</w:t>
      </w:r>
      <w:r w:rsidRPr="00462BD4">
        <w:rPr>
          <w:rFonts w:ascii="Calibri" w:hAnsi="Calibri" w:cs="Calibri"/>
          <w:color w:val="1F3864" w:themeColor="accent5" w:themeShade="80"/>
          <w:sz w:val="32"/>
          <w:szCs w:val="32"/>
          <w:lang w:val="en-US"/>
        </w:rPr>
        <w:t xml:space="preserve"> </w:t>
      </w:r>
      <w:r w:rsidR="00666282">
        <w:rPr>
          <w:rFonts w:ascii="Calibri" w:hAnsi="Calibri" w:cs="Calibri"/>
          <w:color w:val="1F3864" w:themeColor="accent5" w:themeShade="80"/>
          <w:sz w:val="32"/>
          <w:szCs w:val="32"/>
          <w:lang w:val="en-US"/>
        </w:rPr>
        <w:t>2539</w:t>
      </w:r>
      <w:r>
        <w:rPr>
          <w:rFonts w:ascii="Calibri" w:hAnsi="Calibri" w:cs="Calibri"/>
          <w:color w:val="1F3864" w:themeColor="accent5" w:themeShade="80"/>
          <w:sz w:val="28"/>
          <w:lang w:val="en-US"/>
        </w:rPr>
        <w:t xml:space="preserve">               </w:t>
      </w:r>
      <w:r w:rsidR="0013365E">
        <w:rPr>
          <w:rFonts w:ascii="Calibri" w:hAnsi="Calibri" w:cs="Calibri"/>
          <w:b/>
          <w:bCs/>
          <w:sz w:val="24"/>
          <w:lang w:val="en-US"/>
        </w:rPr>
        <w:br w:type="page"/>
      </w:r>
    </w:p>
    <w:p w14:paraId="7BCD3E75" w14:textId="77777777" w:rsidR="00532341" w:rsidRPr="0073405E" w:rsidRDefault="00532341" w:rsidP="0073405E">
      <w:pPr>
        <w:spacing w:after="0" w:line="360" w:lineRule="auto"/>
        <w:jc w:val="center"/>
        <w:rPr>
          <w:rFonts w:ascii="Calibri" w:hAnsi="Calibri" w:cs="Calibri"/>
          <w:b/>
          <w:sz w:val="32"/>
          <w:szCs w:val="32"/>
          <w:lang w:val="en-US"/>
        </w:rPr>
      </w:pPr>
      <w:r w:rsidRPr="0073405E">
        <w:rPr>
          <w:rFonts w:ascii="Calibri" w:hAnsi="Calibri" w:cs="Calibri"/>
          <w:b/>
          <w:sz w:val="32"/>
          <w:szCs w:val="32"/>
          <w:lang w:val="en-US"/>
        </w:rPr>
        <w:lastRenderedPageBreak/>
        <w:t>Abstract</w:t>
      </w:r>
    </w:p>
    <w:p w14:paraId="0BE1FCBA" w14:textId="77777777" w:rsidR="00697EF4" w:rsidRPr="00CC2D8B" w:rsidRDefault="00697EF4" w:rsidP="00697EF4">
      <w:pPr>
        <w:spacing w:after="0" w:line="360" w:lineRule="auto"/>
        <w:jc w:val="both"/>
        <w:rPr>
          <w:rFonts w:ascii="Calibri" w:hAnsi="Calibri" w:cs="Calibri"/>
          <w:sz w:val="24"/>
          <w:lang w:val="en-US"/>
        </w:rPr>
      </w:pPr>
      <w:r w:rsidRPr="00CC2D8B">
        <w:rPr>
          <w:rFonts w:ascii="Calibri" w:hAnsi="Calibri" w:cs="Calibri"/>
          <w:sz w:val="24"/>
          <w:lang w:val="en-US"/>
        </w:rPr>
        <w:t xml:space="preserve">There is an increasing mental health crisis in the hospitality industry that stems from the enduring effects of chronic job stressors, unstable jobs, and the Covid-19 impact. Mental health at work within the hotel industry and other hospitality spaces is the focus of this paper, </w:t>
      </w:r>
      <w:proofErr w:type="spellStart"/>
      <w:r w:rsidRPr="00CC2D8B">
        <w:rPr>
          <w:rFonts w:ascii="Calibri" w:hAnsi="Calibri" w:cs="Calibri"/>
          <w:sz w:val="24"/>
          <w:lang w:val="en-US"/>
        </w:rPr>
        <w:t>synthesising</w:t>
      </w:r>
      <w:proofErr w:type="spellEnd"/>
      <w:r w:rsidRPr="00CC2D8B">
        <w:rPr>
          <w:rFonts w:ascii="Calibri" w:hAnsi="Calibri" w:cs="Calibri"/>
          <w:sz w:val="24"/>
          <w:lang w:val="en-US"/>
        </w:rPr>
        <w:t xml:space="preserve"> recent empirical investigations, reviews of the sector, and seminal literature within the hospitality field. Basing the literature review on people-based crisis management lens and job demand-resource perspective, prevalence and risk factor mapping of the crisis and </w:t>
      </w:r>
      <w:proofErr w:type="spellStart"/>
      <w:r w:rsidRPr="00CC2D8B">
        <w:rPr>
          <w:rFonts w:ascii="Calibri" w:hAnsi="Calibri" w:cs="Calibri"/>
          <w:sz w:val="24"/>
          <w:lang w:val="en-US"/>
        </w:rPr>
        <w:t>organisational</w:t>
      </w:r>
      <w:proofErr w:type="spellEnd"/>
      <w:r w:rsidRPr="00CC2D8B">
        <w:rPr>
          <w:rFonts w:ascii="Calibri" w:hAnsi="Calibri" w:cs="Calibri"/>
          <w:sz w:val="24"/>
          <w:lang w:val="en-US"/>
        </w:rPr>
        <w:t xml:space="preserve"> reaction are presented. Rapid synthesis of evidence based on mixed methods is outlined and an impact evaluation method, which </w:t>
      </w:r>
      <w:proofErr w:type="gramStart"/>
      <w:r w:rsidRPr="00CC2D8B">
        <w:rPr>
          <w:rFonts w:ascii="Calibri" w:hAnsi="Calibri" w:cs="Calibri"/>
          <w:sz w:val="24"/>
          <w:lang w:val="en-US"/>
        </w:rPr>
        <w:t>applies</w:t>
      </w:r>
      <w:proofErr w:type="gramEnd"/>
      <w:r w:rsidRPr="00CC2D8B">
        <w:rPr>
          <w:rFonts w:ascii="Calibri" w:hAnsi="Calibri" w:cs="Calibri"/>
          <w:sz w:val="24"/>
          <w:lang w:val="en-US"/>
        </w:rPr>
        <w:t xml:space="preserve"> a SWOT model adjusted to psychosocial risk, helps understand that the current practice </w:t>
      </w:r>
      <w:proofErr w:type="gramStart"/>
      <w:r w:rsidRPr="00CC2D8B">
        <w:rPr>
          <w:rFonts w:ascii="Calibri" w:hAnsi="Calibri" w:cs="Calibri"/>
          <w:sz w:val="24"/>
          <w:lang w:val="en-US"/>
        </w:rPr>
        <w:t>simultaneously moderately</w:t>
      </w:r>
      <w:proofErr w:type="gramEnd"/>
      <w:r w:rsidRPr="00CC2D8B">
        <w:rPr>
          <w:rFonts w:ascii="Calibri" w:hAnsi="Calibri" w:cs="Calibri"/>
          <w:sz w:val="24"/>
          <w:lang w:val="en-US"/>
        </w:rPr>
        <w:t xml:space="preserve"> reduces the harm but repeats it very frequently. Evidence on case studies shows that ethical leadership, intervention to build resilience, and altering </w:t>
      </w:r>
      <w:proofErr w:type="spellStart"/>
      <w:r w:rsidRPr="00CC2D8B">
        <w:rPr>
          <w:rFonts w:ascii="Calibri" w:hAnsi="Calibri" w:cs="Calibri"/>
          <w:sz w:val="24"/>
          <w:lang w:val="en-US"/>
        </w:rPr>
        <w:t>organisational</w:t>
      </w:r>
      <w:proofErr w:type="spellEnd"/>
      <w:r w:rsidRPr="00CC2D8B">
        <w:rPr>
          <w:rFonts w:ascii="Calibri" w:hAnsi="Calibri" w:cs="Calibri"/>
          <w:sz w:val="24"/>
          <w:lang w:val="en-US"/>
        </w:rPr>
        <w:t xml:space="preserve"> scheduling and compensation can </w:t>
      </w:r>
      <w:proofErr w:type="spellStart"/>
      <w:r w:rsidRPr="00CC2D8B">
        <w:rPr>
          <w:rFonts w:ascii="Calibri" w:hAnsi="Calibri" w:cs="Calibri"/>
          <w:sz w:val="24"/>
          <w:lang w:val="en-US"/>
        </w:rPr>
        <w:t>minimise</w:t>
      </w:r>
      <w:proofErr w:type="spellEnd"/>
      <w:r w:rsidRPr="00CC2D8B">
        <w:rPr>
          <w:rFonts w:ascii="Calibri" w:hAnsi="Calibri" w:cs="Calibri"/>
          <w:sz w:val="24"/>
          <w:lang w:val="en-US"/>
        </w:rPr>
        <w:t xml:space="preserve"> turnover intentions and psychological distress, though availability of intervention is patchy by firm size and place. Located at the end of the paper are </w:t>
      </w:r>
      <w:proofErr w:type="spellStart"/>
      <w:r w:rsidRPr="00CC2D8B">
        <w:rPr>
          <w:rFonts w:ascii="Calibri" w:hAnsi="Calibri" w:cs="Calibri"/>
          <w:sz w:val="24"/>
          <w:lang w:val="en-US"/>
        </w:rPr>
        <w:t>specificed</w:t>
      </w:r>
      <w:proofErr w:type="spellEnd"/>
      <w:r w:rsidRPr="00CC2D8B">
        <w:rPr>
          <w:rFonts w:ascii="Calibri" w:hAnsi="Calibri" w:cs="Calibri"/>
          <w:sz w:val="24"/>
          <w:lang w:val="en-US"/>
        </w:rPr>
        <w:t xml:space="preserve"> suggestions regarding policy, management practice, and future research to transition hospitality </w:t>
      </w:r>
      <w:proofErr w:type="gramStart"/>
      <w:r w:rsidRPr="00CC2D8B">
        <w:rPr>
          <w:rFonts w:ascii="Calibri" w:hAnsi="Calibri" w:cs="Calibri"/>
          <w:sz w:val="24"/>
          <w:lang w:val="en-US"/>
        </w:rPr>
        <w:t>to</w:t>
      </w:r>
      <w:proofErr w:type="gramEnd"/>
      <w:r w:rsidRPr="00CC2D8B">
        <w:rPr>
          <w:rFonts w:ascii="Calibri" w:hAnsi="Calibri" w:cs="Calibri"/>
          <w:sz w:val="24"/>
          <w:lang w:val="en-US"/>
        </w:rPr>
        <w:t xml:space="preserve"> preventative systemic solutions.</w:t>
      </w:r>
    </w:p>
    <w:p w14:paraId="77A92689" w14:textId="77777777" w:rsidR="007A3B47" w:rsidRPr="007A3B47" w:rsidRDefault="007A3B47" w:rsidP="007A3B47">
      <w:pPr>
        <w:spacing w:after="0" w:line="360" w:lineRule="auto"/>
        <w:jc w:val="both"/>
        <w:rPr>
          <w:rFonts w:ascii="Calibri" w:hAnsi="Calibri" w:cs="Calibri"/>
          <w:sz w:val="24"/>
          <w:lang w:val="en-US"/>
        </w:rPr>
      </w:pPr>
    </w:p>
    <w:p w14:paraId="2F38541A" w14:textId="77777777" w:rsidR="0040710C" w:rsidRDefault="0040710C">
      <w:pPr>
        <w:rPr>
          <w:rFonts w:ascii="Calibri" w:hAnsi="Calibri" w:cs="Calibri"/>
          <w:sz w:val="24"/>
          <w:lang w:val="en-US"/>
        </w:rPr>
      </w:pPr>
      <w:r>
        <w:rPr>
          <w:rFonts w:ascii="Calibri" w:hAnsi="Calibri" w:cs="Calibri"/>
          <w:sz w:val="24"/>
          <w:lang w:val="en-US"/>
        </w:rPr>
        <w:br w:type="page"/>
      </w:r>
    </w:p>
    <w:sdt>
      <w:sdtPr>
        <w:rPr>
          <w:rFonts w:ascii="Calibri" w:eastAsiaTheme="minorHAnsi" w:hAnsi="Calibri" w:cs="Calibri"/>
          <w:b/>
          <w:color w:val="1F3864" w:themeColor="accent5" w:themeShade="80"/>
          <w:sz w:val="40"/>
          <w:szCs w:val="22"/>
          <w:lang w:val="en-GB"/>
        </w:rPr>
        <w:id w:val="-999188184"/>
        <w:docPartObj>
          <w:docPartGallery w:val="Table of Contents"/>
          <w:docPartUnique/>
        </w:docPartObj>
      </w:sdtPr>
      <w:sdtEndPr>
        <w:rPr>
          <w:bCs/>
          <w:noProof/>
          <w:color w:val="auto"/>
          <w:sz w:val="22"/>
        </w:rPr>
      </w:sdtEndPr>
      <w:sdtContent>
        <w:p w14:paraId="1EFF2684" w14:textId="77777777" w:rsidR="0040710C" w:rsidRPr="0073405E" w:rsidRDefault="0040710C" w:rsidP="0040710C">
          <w:pPr>
            <w:pStyle w:val="TOCHeading"/>
            <w:spacing w:line="360" w:lineRule="auto"/>
            <w:jc w:val="center"/>
            <w:rPr>
              <w:rFonts w:ascii="Calibri" w:hAnsi="Calibri" w:cs="Calibri"/>
              <w:b/>
              <w:color w:val="auto"/>
            </w:rPr>
          </w:pPr>
          <w:r w:rsidRPr="0073405E">
            <w:rPr>
              <w:rFonts w:ascii="Calibri" w:hAnsi="Calibri" w:cs="Calibri"/>
              <w:b/>
              <w:color w:val="auto"/>
            </w:rPr>
            <w:t>Table of Contents</w:t>
          </w:r>
        </w:p>
        <w:p w14:paraId="61AC60C7" w14:textId="331EAB9A" w:rsidR="00403B94" w:rsidRPr="00403B94" w:rsidRDefault="0040710C">
          <w:pPr>
            <w:pStyle w:val="TOC1"/>
            <w:tabs>
              <w:tab w:val="right" w:leader="dot" w:pos="9350"/>
            </w:tabs>
            <w:rPr>
              <w:rFonts w:ascii="Calibri" w:eastAsiaTheme="minorEastAsia" w:hAnsi="Calibri" w:cs="Calibri"/>
              <w:b/>
              <w:noProof/>
              <w:lang w:val="en-US"/>
            </w:rPr>
          </w:pPr>
          <w:r w:rsidRPr="00403B94">
            <w:rPr>
              <w:rFonts w:ascii="Calibri" w:hAnsi="Calibri" w:cs="Calibri"/>
              <w:b/>
            </w:rPr>
            <w:fldChar w:fldCharType="begin"/>
          </w:r>
          <w:r w:rsidRPr="00403B94">
            <w:rPr>
              <w:rFonts w:ascii="Calibri" w:hAnsi="Calibri" w:cs="Calibri"/>
              <w:b/>
            </w:rPr>
            <w:instrText xml:space="preserve"> TOC \o "1-3" \h \z \u </w:instrText>
          </w:r>
          <w:r w:rsidRPr="00403B94">
            <w:rPr>
              <w:rFonts w:ascii="Calibri" w:hAnsi="Calibri" w:cs="Calibri"/>
              <w:b/>
            </w:rPr>
            <w:fldChar w:fldCharType="separate"/>
          </w:r>
          <w:hyperlink w:anchor="_Toc211432152" w:history="1">
            <w:r w:rsidR="00403B94" w:rsidRPr="00403B94">
              <w:rPr>
                <w:rStyle w:val="Hyperlink"/>
                <w:rFonts w:ascii="Calibri" w:hAnsi="Calibri" w:cs="Calibri"/>
                <w:b/>
                <w:noProof/>
              </w:rPr>
              <w:t>1. Introduction</w:t>
            </w:r>
            <w:r w:rsidR="00403B94" w:rsidRPr="00403B94">
              <w:rPr>
                <w:rFonts w:ascii="Calibri" w:hAnsi="Calibri" w:cs="Calibri"/>
                <w:b/>
                <w:noProof/>
                <w:webHidden/>
              </w:rPr>
              <w:tab/>
            </w:r>
            <w:r w:rsidR="00403B94" w:rsidRPr="00403B94">
              <w:rPr>
                <w:rFonts w:ascii="Calibri" w:hAnsi="Calibri" w:cs="Calibri"/>
                <w:b/>
                <w:noProof/>
                <w:webHidden/>
              </w:rPr>
              <w:fldChar w:fldCharType="begin"/>
            </w:r>
            <w:r w:rsidR="00403B94" w:rsidRPr="00403B94">
              <w:rPr>
                <w:rFonts w:ascii="Calibri" w:hAnsi="Calibri" w:cs="Calibri"/>
                <w:b/>
                <w:noProof/>
                <w:webHidden/>
              </w:rPr>
              <w:instrText xml:space="preserve"> PAGEREF _Toc211432152 \h </w:instrText>
            </w:r>
            <w:r w:rsidR="00403B94" w:rsidRPr="00403B94">
              <w:rPr>
                <w:rFonts w:ascii="Calibri" w:hAnsi="Calibri" w:cs="Calibri"/>
                <w:b/>
                <w:noProof/>
                <w:webHidden/>
              </w:rPr>
            </w:r>
            <w:r w:rsidR="00403B94" w:rsidRPr="00403B94">
              <w:rPr>
                <w:rFonts w:ascii="Calibri" w:hAnsi="Calibri" w:cs="Calibri"/>
                <w:b/>
                <w:noProof/>
                <w:webHidden/>
              </w:rPr>
              <w:fldChar w:fldCharType="separate"/>
            </w:r>
            <w:r w:rsidR="005648A7">
              <w:rPr>
                <w:rFonts w:ascii="Calibri" w:hAnsi="Calibri" w:cs="Calibri"/>
                <w:b/>
                <w:noProof/>
                <w:webHidden/>
              </w:rPr>
              <w:t>4</w:t>
            </w:r>
            <w:r w:rsidR="00403B94" w:rsidRPr="00403B94">
              <w:rPr>
                <w:rFonts w:ascii="Calibri" w:hAnsi="Calibri" w:cs="Calibri"/>
                <w:b/>
                <w:noProof/>
                <w:webHidden/>
              </w:rPr>
              <w:fldChar w:fldCharType="end"/>
            </w:r>
          </w:hyperlink>
        </w:p>
        <w:p w14:paraId="2D0999C5" w14:textId="284371FF" w:rsidR="00403B94" w:rsidRPr="00403B94" w:rsidRDefault="00403B94">
          <w:pPr>
            <w:pStyle w:val="TOC1"/>
            <w:tabs>
              <w:tab w:val="right" w:leader="dot" w:pos="9350"/>
            </w:tabs>
            <w:rPr>
              <w:rFonts w:ascii="Calibri" w:eastAsiaTheme="minorEastAsia" w:hAnsi="Calibri" w:cs="Calibri"/>
              <w:b/>
              <w:noProof/>
              <w:lang w:val="en-US"/>
            </w:rPr>
          </w:pPr>
          <w:hyperlink w:anchor="_Toc211432153" w:history="1">
            <w:r w:rsidRPr="00403B94">
              <w:rPr>
                <w:rStyle w:val="Hyperlink"/>
                <w:rFonts w:ascii="Calibri" w:hAnsi="Calibri" w:cs="Calibri"/>
                <w:b/>
                <w:noProof/>
              </w:rPr>
              <w:t>2. Literature Review</w:t>
            </w:r>
            <w:r w:rsidRPr="00403B94">
              <w:rPr>
                <w:rFonts w:ascii="Calibri" w:hAnsi="Calibri" w:cs="Calibri"/>
                <w:b/>
                <w:noProof/>
                <w:webHidden/>
              </w:rPr>
              <w:tab/>
            </w:r>
            <w:r w:rsidRPr="00403B94">
              <w:rPr>
                <w:rFonts w:ascii="Calibri" w:hAnsi="Calibri" w:cs="Calibri"/>
                <w:b/>
                <w:noProof/>
                <w:webHidden/>
              </w:rPr>
              <w:fldChar w:fldCharType="begin"/>
            </w:r>
            <w:r w:rsidRPr="00403B94">
              <w:rPr>
                <w:rFonts w:ascii="Calibri" w:hAnsi="Calibri" w:cs="Calibri"/>
                <w:b/>
                <w:noProof/>
                <w:webHidden/>
              </w:rPr>
              <w:instrText xml:space="preserve"> PAGEREF _Toc211432153 \h </w:instrText>
            </w:r>
            <w:r w:rsidRPr="00403B94">
              <w:rPr>
                <w:rFonts w:ascii="Calibri" w:hAnsi="Calibri" w:cs="Calibri"/>
                <w:b/>
                <w:noProof/>
                <w:webHidden/>
              </w:rPr>
            </w:r>
            <w:r w:rsidRPr="00403B94">
              <w:rPr>
                <w:rFonts w:ascii="Calibri" w:hAnsi="Calibri" w:cs="Calibri"/>
                <w:b/>
                <w:noProof/>
                <w:webHidden/>
              </w:rPr>
              <w:fldChar w:fldCharType="separate"/>
            </w:r>
            <w:r w:rsidR="005648A7">
              <w:rPr>
                <w:rFonts w:ascii="Calibri" w:hAnsi="Calibri" w:cs="Calibri"/>
                <w:b/>
                <w:noProof/>
                <w:webHidden/>
              </w:rPr>
              <w:t>4</w:t>
            </w:r>
            <w:r w:rsidRPr="00403B94">
              <w:rPr>
                <w:rFonts w:ascii="Calibri" w:hAnsi="Calibri" w:cs="Calibri"/>
                <w:b/>
                <w:noProof/>
                <w:webHidden/>
              </w:rPr>
              <w:fldChar w:fldCharType="end"/>
            </w:r>
          </w:hyperlink>
        </w:p>
        <w:p w14:paraId="645CEE7C" w14:textId="43EEAB36" w:rsidR="00403B94" w:rsidRPr="00403B94" w:rsidRDefault="00403B94">
          <w:pPr>
            <w:pStyle w:val="TOC1"/>
            <w:tabs>
              <w:tab w:val="right" w:leader="dot" w:pos="9350"/>
            </w:tabs>
            <w:rPr>
              <w:rFonts w:ascii="Calibri" w:eastAsiaTheme="minorEastAsia" w:hAnsi="Calibri" w:cs="Calibri"/>
              <w:b/>
              <w:noProof/>
              <w:lang w:val="en-US"/>
            </w:rPr>
          </w:pPr>
          <w:hyperlink w:anchor="_Toc211432154" w:history="1">
            <w:r w:rsidRPr="00403B94">
              <w:rPr>
                <w:rStyle w:val="Hyperlink"/>
                <w:rFonts w:ascii="Calibri" w:hAnsi="Calibri" w:cs="Calibri"/>
                <w:b/>
                <w:noProof/>
              </w:rPr>
              <w:t>3. Method</w:t>
            </w:r>
            <w:r w:rsidRPr="00403B94">
              <w:rPr>
                <w:rFonts w:ascii="Calibri" w:hAnsi="Calibri" w:cs="Calibri"/>
                <w:b/>
                <w:noProof/>
                <w:webHidden/>
              </w:rPr>
              <w:tab/>
            </w:r>
            <w:r w:rsidRPr="00403B94">
              <w:rPr>
                <w:rFonts w:ascii="Calibri" w:hAnsi="Calibri" w:cs="Calibri"/>
                <w:b/>
                <w:noProof/>
                <w:webHidden/>
              </w:rPr>
              <w:fldChar w:fldCharType="begin"/>
            </w:r>
            <w:r w:rsidRPr="00403B94">
              <w:rPr>
                <w:rFonts w:ascii="Calibri" w:hAnsi="Calibri" w:cs="Calibri"/>
                <w:b/>
                <w:noProof/>
                <w:webHidden/>
              </w:rPr>
              <w:instrText xml:space="preserve"> PAGEREF _Toc211432154 \h </w:instrText>
            </w:r>
            <w:r w:rsidRPr="00403B94">
              <w:rPr>
                <w:rFonts w:ascii="Calibri" w:hAnsi="Calibri" w:cs="Calibri"/>
                <w:b/>
                <w:noProof/>
                <w:webHidden/>
              </w:rPr>
            </w:r>
            <w:r w:rsidRPr="00403B94">
              <w:rPr>
                <w:rFonts w:ascii="Calibri" w:hAnsi="Calibri" w:cs="Calibri"/>
                <w:b/>
                <w:noProof/>
                <w:webHidden/>
              </w:rPr>
              <w:fldChar w:fldCharType="separate"/>
            </w:r>
            <w:r w:rsidR="005648A7">
              <w:rPr>
                <w:rFonts w:ascii="Calibri" w:hAnsi="Calibri" w:cs="Calibri"/>
                <w:b/>
                <w:noProof/>
                <w:webHidden/>
              </w:rPr>
              <w:t>6</w:t>
            </w:r>
            <w:r w:rsidRPr="00403B94">
              <w:rPr>
                <w:rFonts w:ascii="Calibri" w:hAnsi="Calibri" w:cs="Calibri"/>
                <w:b/>
                <w:noProof/>
                <w:webHidden/>
              </w:rPr>
              <w:fldChar w:fldCharType="end"/>
            </w:r>
          </w:hyperlink>
        </w:p>
        <w:p w14:paraId="5C35F5AB" w14:textId="2F6AAFED" w:rsidR="00403B94" w:rsidRPr="00403B94" w:rsidRDefault="00403B94">
          <w:pPr>
            <w:pStyle w:val="TOC1"/>
            <w:tabs>
              <w:tab w:val="right" w:leader="dot" w:pos="9350"/>
            </w:tabs>
            <w:rPr>
              <w:rFonts w:ascii="Calibri" w:eastAsiaTheme="minorEastAsia" w:hAnsi="Calibri" w:cs="Calibri"/>
              <w:b/>
              <w:noProof/>
              <w:lang w:val="en-US"/>
            </w:rPr>
          </w:pPr>
          <w:hyperlink w:anchor="_Toc211432155" w:history="1">
            <w:r w:rsidRPr="00403B94">
              <w:rPr>
                <w:rStyle w:val="Hyperlink"/>
                <w:rFonts w:ascii="Calibri" w:hAnsi="Calibri" w:cs="Calibri"/>
                <w:b/>
                <w:noProof/>
              </w:rPr>
              <w:t>4. Theme impact analysis</w:t>
            </w:r>
            <w:r w:rsidRPr="00403B94">
              <w:rPr>
                <w:rFonts w:ascii="Calibri" w:hAnsi="Calibri" w:cs="Calibri"/>
                <w:b/>
                <w:noProof/>
                <w:webHidden/>
              </w:rPr>
              <w:tab/>
            </w:r>
            <w:r w:rsidRPr="00403B94">
              <w:rPr>
                <w:rFonts w:ascii="Calibri" w:hAnsi="Calibri" w:cs="Calibri"/>
                <w:b/>
                <w:noProof/>
                <w:webHidden/>
              </w:rPr>
              <w:fldChar w:fldCharType="begin"/>
            </w:r>
            <w:r w:rsidRPr="00403B94">
              <w:rPr>
                <w:rFonts w:ascii="Calibri" w:hAnsi="Calibri" w:cs="Calibri"/>
                <w:b/>
                <w:noProof/>
                <w:webHidden/>
              </w:rPr>
              <w:instrText xml:space="preserve"> PAGEREF _Toc211432155 \h </w:instrText>
            </w:r>
            <w:r w:rsidRPr="00403B94">
              <w:rPr>
                <w:rFonts w:ascii="Calibri" w:hAnsi="Calibri" w:cs="Calibri"/>
                <w:b/>
                <w:noProof/>
                <w:webHidden/>
              </w:rPr>
            </w:r>
            <w:r w:rsidRPr="00403B94">
              <w:rPr>
                <w:rFonts w:ascii="Calibri" w:hAnsi="Calibri" w:cs="Calibri"/>
                <w:b/>
                <w:noProof/>
                <w:webHidden/>
              </w:rPr>
              <w:fldChar w:fldCharType="separate"/>
            </w:r>
            <w:r w:rsidR="005648A7">
              <w:rPr>
                <w:rFonts w:ascii="Calibri" w:hAnsi="Calibri" w:cs="Calibri"/>
                <w:b/>
                <w:noProof/>
                <w:webHidden/>
              </w:rPr>
              <w:t>9</w:t>
            </w:r>
            <w:r w:rsidRPr="00403B94">
              <w:rPr>
                <w:rFonts w:ascii="Calibri" w:hAnsi="Calibri" w:cs="Calibri"/>
                <w:b/>
                <w:noProof/>
                <w:webHidden/>
              </w:rPr>
              <w:fldChar w:fldCharType="end"/>
            </w:r>
          </w:hyperlink>
        </w:p>
        <w:p w14:paraId="1D1E8D2C" w14:textId="33D28F0C" w:rsidR="00403B94" w:rsidRPr="00403B94" w:rsidRDefault="00403B94">
          <w:pPr>
            <w:pStyle w:val="TOC1"/>
            <w:tabs>
              <w:tab w:val="right" w:leader="dot" w:pos="9350"/>
            </w:tabs>
            <w:rPr>
              <w:rFonts w:ascii="Calibri" w:eastAsiaTheme="minorEastAsia" w:hAnsi="Calibri" w:cs="Calibri"/>
              <w:b/>
              <w:noProof/>
              <w:lang w:val="en-US"/>
            </w:rPr>
          </w:pPr>
          <w:hyperlink w:anchor="_Toc211432156" w:history="1">
            <w:r w:rsidRPr="00403B94">
              <w:rPr>
                <w:rStyle w:val="Hyperlink"/>
                <w:rFonts w:ascii="Calibri" w:hAnsi="Calibri" w:cs="Calibri"/>
                <w:b/>
                <w:noProof/>
              </w:rPr>
              <w:t>5. Conclusion</w:t>
            </w:r>
            <w:r w:rsidRPr="00403B94">
              <w:rPr>
                <w:rFonts w:ascii="Calibri" w:hAnsi="Calibri" w:cs="Calibri"/>
                <w:b/>
                <w:noProof/>
                <w:webHidden/>
              </w:rPr>
              <w:tab/>
            </w:r>
            <w:r w:rsidRPr="00403B94">
              <w:rPr>
                <w:rFonts w:ascii="Calibri" w:hAnsi="Calibri" w:cs="Calibri"/>
                <w:b/>
                <w:noProof/>
                <w:webHidden/>
              </w:rPr>
              <w:fldChar w:fldCharType="begin"/>
            </w:r>
            <w:r w:rsidRPr="00403B94">
              <w:rPr>
                <w:rFonts w:ascii="Calibri" w:hAnsi="Calibri" w:cs="Calibri"/>
                <w:b/>
                <w:noProof/>
                <w:webHidden/>
              </w:rPr>
              <w:instrText xml:space="preserve"> PAGEREF _Toc211432156 \h </w:instrText>
            </w:r>
            <w:r w:rsidRPr="00403B94">
              <w:rPr>
                <w:rFonts w:ascii="Calibri" w:hAnsi="Calibri" w:cs="Calibri"/>
                <w:b/>
                <w:noProof/>
                <w:webHidden/>
              </w:rPr>
            </w:r>
            <w:r w:rsidRPr="00403B94">
              <w:rPr>
                <w:rFonts w:ascii="Calibri" w:hAnsi="Calibri" w:cs="Calibri"/>
                <w:b/>
                <w:noProof/>
                <w:webHidden/>
              </w:rPr>
              <w:fldChar w:fldCharType="separate"/>
            </w:r>
            <w:r w:rsidR="005648A7">
              <w:rPr>
                <w:rFonts w:ascii="Calibri" w:hAnsi="Calibri" w:cs="Calibri"/>
                <w:b/>
                <w:noProof/>
                <w:webHidden/>
              </w:rPr>
              <w:t>12</w:t>
            </w:r>
            <w:r w:rsidRPr="00403B94">
              <w:rPr>
                <w:rFonts w:ascii="Calibri" w:hAnsi="Calibri" w:cs="Calibri"/>
                <w:b/>
                <w:noProof/>
                <w:webHidden/>
              </w:rPr>
              <w:fldChar w:fldCharType="end"/>
            </w:r>
          </w:hyperlink>
        </w:p>
        <w:p w14:paraId="381A819D" w14:textId="70ED2B53" w:rsidR="00403B94" w:rsidRPr="00403B94" w:rsidRDefault="00403B94">
          <w:pPr>
            <w:pStyle w:val="TOC1"/>
            <w:tabs>
              <w:tab w:val="right" w:leader="dot" w:pos="9350"/>
            </w:tabs>
            <w:rPr>
              <w:rFonts w:ascii="Calibri" w:eastAsiaTheme="minorEastAsia" w:hAnsi="Calibri" w:cs="Calibri"/>
              <w:b/>
              <w:noProof/>
              <w:lang w:val="en-US"/>
            </w:rPr>
          </w:pPr>
          <w:hyperlink w:anchor="_Toc211432157" w:history="1">
            <w:r w:rsidRPr="00403B94">
              <w:rPr>
                <w:rStyle w:val="Hyperlink"/>
                <w:rFonts w:ascii="Calibri" w:hAnsi="Calibri" w:cs="Calibri"/>
                <w:b/>
                <w:noProof/>
              </w:rPr>
              <w:t>6. Recommendations</w:t>
            </w:r>
            <w:r w:rsidRPr="00403B94">
              <w:rPr>
                <w:rFonts w:ascii="Calibri" w:hAnsi="Calibri" w:cs="Calibri"/>
                <w:b/>
                <w:noProof/>
                <w:webHidden/>
              </w:rPr>
              <w:tab/>
            </w:r>
            <w:r w:rsidRPr="00403B94">
              <w:rPr>
                <w:rFonts w:ascii="Calibri" w:hAnsi="Calibri" w:cs="Calibri"/>
                <w:b/>
                <w:noProof/>
                <w:webHidden/>
              </w:rPr>
              <w:fldChar w:fldCharType="begin"/>
            </w:r>
            <w:r w:rsidRPr="00403B94">
              <w:rPr>
                <w:rFonts w:ascii="Calibri" w:hAnsi="Calibri" w:cs="Calibri"/>
                <w:b/>
                <w:noProof/>
                <w:webHidden/>
              </w:rPr>
              <w:instrText xml:space="preserve"> PAGEREF _Toc211432157 \h </w:instrText>
            </w:r>
            <w:r w:rsidRPr="00403B94">
              <w:rPr>
                <w:rFonts w:ascii="Calibri" w:hAnsi="Calibri" w:cs="Calibri"/>
                <w:b/>
                <w:noProof/>
                <w:webHidden/>
              </w:rPr>
            </w:r>
            <w:r w:rsidRPr="00403B94">
              <w:rPr>
                <w:rFonts w:ascii="Calibri" w:hAnsi="Calibri" w:cs="Calibri"/>
                <w:b/>
                <w:noProof/>
                <w:webHidden/>
              </w:rPr>
              <w:fldChar w:fldCharType="separate"/>
            </w:r>
            <w:r w:rsidR="005648A7">
              <w:rPr>
                <w:rFonts w:ascii="Calibri" w:hAnsi="Calibri" w:cs="Calibri"/>
                <w:b/>
                <w:noProof/>
                <w:webHidden/>
              </w:rPr>
              <w:t>12</w:t>
            </w:r>
            <w:r w:rsidRPr="00403B94">
              <w:rPr>
                <w:rFonts w:ascii="Calibri" w:hAnsi="Calibri" w:cs="Calibri"/>
                <w:b/>
                <w:noProof/>
                <w:webHidden/>
              </w:rPr>
              <w:fldChar w:fldCharType="end"/>
            </w:r>
          </w:hyperlink>
        </w:p>
        <w:p w14:paraId="6BEB3973" w14:textId="127AC166" w:rsidR="00403B94" w:rsidRPr="00403B94" w:rsidRDefault="00403B94">
          <w:pPr>
            <w:pStyle w:val="TOC1"/>
            <w:tabs>
              <w:tab w:val="right" w:leader="dot" w:pos="9350"/>
            </w:tabs>
            <w:rPr>
              <w:rFonts w:ascii="Calibri" w:eastAsiaTheme="minorEastAsia" w:hAnsi="Calibri" w:cs="Calibri"/>
              <w:b/>
              <w:noProof/>
              <w:lang w:val="en-US"/>
            </w:rPr>
          </w:pPr>
          <w:hyperlink w:anchor="_Toc211432158" w:history="1">
            <w:r w:rsidRPr="00403B94">
              <w:rPr>
                <w:rStyle w:val="Hyperlink"/>
                <w:rFonts w:ascii="Calibri" w:hAnsi="Calibri" w:cs="Calibri"/>
                <w:b/>
                <w:noProof/>
                <w:lang w:val="en-US"/>
              </w:rPr>
              <w:t>7. References</w:t>
            </w:r>
            <w:r w:rsidRPr="00403B94">
              <w:rPr>
                <w:rFonts w:ascii="Calibri" w:hAnsi="Calibri" w:cs="Calibri"/>
                <w:b/>
                <w:noProof/>
                <w:webHidden/>
              </w:rPr>
              <w:tab/>
            </w:r>
            <w:r w:rsidRPr="00403B94">
              <w:rPr>
                <w:rFonts w:ascii="Calibri" w:hAnsi="Calibri" w:cs="Calibri"/>
                <w:b/>
                <w:noProof/>
                <w:webHidden/>
              </w:rPr>
              <w:fldChar w:fldCharType="begin"/>
            </w:r>
            <w:r w:rsidRPr="00403B94">
              <w:rPr>
                <w:rFonts w:ascii="Calibri" w:hAnsi="Calibri" w:cs="Calibri"/>
                <w:b/>
                <w:noProof/>
                <w:webHidden/>
              </w:rPr>
              <w:instrText xml:space="preserve"> PAGEREF _Toc211432158 \h </w:instrText>
            </w:r>
            <w:r w:rsidRPr="00403B94">
              <w:rPr>
                <w:rFonts w:ascii="Calibri" w:hAnsi="Calibri" w:cs="Calibri"/>
                <w:b/>
                <w:noProof/>
                <w:webHidden/>
              </w:rPr>
            </w:r>
            <w:r w:rsidRPr="00403B94">
              <w:rPr>
                <w:rFonts w:ascii="Calibri" w:hAnsi="Calibri" w:cs="Calibri"/>
                <w:b/>
                <w:noProof/>
                <w:webHidden/>
              </w:rPr>
              <w:fldChar w:fldCharType="separate"/>
            </w:r>
            <w:r w:rsidR="005648A7">
              <w:rPr>
                <w:rFonts w:ascii="Calibri" w:hAnsi="Calibri" w:cs="Calibri"/>
                <w:b/>
                <w:noProof/>
                <w:webHidden/>
              </w:rPr>
              <w:t>14</w:t>
            </w:r>
            <w:r w:rsidRPr="00403B94">
              <w:rPr>
                <w:rFonts w:ascii="Calibri" w:hAnsi="Calibri" w:cs="Calibri"/>
                <w:b/>
                <w:noProof/>
                <w:webHidden/>
              </w:rPr>
              <w:fldChar w:fldCharType="end"/>
            </w:r>
          </w:hyperlink>
        </w:p>
        <w:p w14:paraId="32E5D0C4" w14:textId="2FC63357" w:rsidR="0040710C" w:rsidRPr="0040710C" w:rsidRDefault="0040710C">
          <w:pPr>
            <w:rPr>
              <w:rFonts w:ascii="Calibri" w:hAnsi="Calibri" w:cs="Calibri"/>
            </w:rPr>
          </w:pPr>
          <w:r w:rsidRPr="00403B94">
            <w:rPr>
              <w:rFonts w:ascii="Calibri" w:hAnsi="Calibri" w:cs="Calibri"/>
              <w:b/>
              <w:bCs/>
              <w:noProof/>
            </w:rPr>
            <w:fldChar w:fldCharType="end"/>
          </w:r>
        </w:p>
      </w:sdtContent>
    </w:sdt>
    <w:p w14:paraId="3586AC92" w14:textId="77777777" w:rsidR="007A3B47" w:rsidRDefault="007A3B47" w:rsidP="007A3B47">
      <w:pPr>
        <w:spacing w:after="0" w:line="360" w:lineRule="auto"/>
        <w:jc w:val="both"/>
        <w:rPr>
          <w:rFonts w:ascii="Calibri" w:hAnsi="Calibri" w:cs="Calibri"/>
          <w:sz w:val="24"/>
          <w:lang w:val="en-US"/>
        </w:rPr>
      </w:pPr>
    </w:p>
    <w:p w14:paraId="0A972DD1" w14:textId="77777777" w:rsidR="0040710C" w:rsidRDefault="0040710C" w:rsidP="007A3B47">
      <w:pPr>
        <w:spacing w:after="0" w:line="360" w:lineRule="auto"/>
        <w:jc w:val="both"/>
        <w:rPr>
          <w:rFonts w:ascii="Calibri" w:hAnsi="Calibri" w:cs="Calibri"/>
          <w:sz w:val="24"/>
          <w:lang w:val="en-US"/>
        </w:rPr>
      </w:pPr>
    </w:p>
    <w:p w14:paraId="64C5570E" w14:textId="77777777" w:rsidR="0040710C" w:rsidRDefault="0040710C" w:rsidP="007A3B47">
      <w:pPr>
        <w:spacing w:after="0" w:line="360" w:lineRule="auto"/>
        <w:jc w:val="both"/>
        <w:rPr>
          <w:rFonts w:ascii="Calibri" w:hAnsi="Calibri" w:cs="Calibri"/>
          <w:sz w:val="24"/>
          <w:lang w:val="en-US"/>
        </w:rPr>
      </w:pPr>
    </w:p>
    <w:p w14:paraId="01A9B3C5" w14:textId="77777777" w:rsidR="0040710C" w:rsidRDefault="0040710C" w:rsidP="007A3B47">
      <w:pPr>
        <w:spacing w:after="0" w:line="360" w:lineRule="auto"/>
        <w:jc w:val="both"/>
        <w:rPr>
          <w:rFonts w:ascii="Calibri" w:hAnsi="Calibri" w:cs="Calibri"/>
          <w:sz w:val="24"/>
          <w:lang w:val="en-US"/>
        </w:rPr>
      </w:pPr>
    </w:p>
    <w:p w14:paraId="66622D75" w14:textId="77777777" w:rsidR="0040710C" w:rsidRDefault="0040710C">
      <w:pPr>
        <w:rPr>
          <w:rFonts w:ascii="Calibri" w:hAnsi="Calibri" w:cs="Calibri"/>
          <w:sz w:val="24"/>
          <w:lang w:val="en-US"/>
        </w:rPr>
      </w:pPr>
      <w:r>
        <w:rPr>
          <w:rFonts w:ascii="Calibri" w:hAnsi="Calibri" w:cs="Calibri"/>
          <w:sz w:val="24"/>
          <w:lang w:val="en-US"/>
        </w:rPr>
        <w:br w:type="page"/>
      </w:r>
    </w:p>
    <w:p w14:paraId="5F76D7BE" w14:textId="77777777" w:rsidR="007A3B47" w:rsidRPr="0073405E" w:rsidRDefault="007A3B47" w:rsidP="00306C43">
      <w:pPr>
        <w:pStyle w:val="Heading1"/>
      </w:pPr>
      <w:bookmarkStart w:id="0" w:name="_Toc211432152"/>
      <w:r w:rsidRPr="0073405E">
        <w:lastRenderedPageBreak/>
        <w:t xml:space="preserve">1. </w:t>
      </w:r>
      <w:r w:rsidRPr="00306C43">
        <w:t>Introduction</w:t>
      </w:r>
      <w:bookmarkEnd w:id="0"/>
    </w:p>
    <w:p w14:paraId="535DC9CD" w14:textId="317BF421" w:rsidR="00681EC9" w:rsidRPr="0073405E" w:rsidRDefault="00CC2D8B" w:rsidP="00681EC9">
      <w:pPr>
        <w:spacing w:after="0" w:line="360" w:lineRule="auto"/>
        <w:jc w:val="both"/>
        <w:rPr>
          <w:rFonts w:ascii="Calibri" w:hAnsi="Calibri" w:cs="Calibri"/>
          <w:sz w:val="24"/>
        </w:rPr>
      </w:pPr>
      <w:r w:rsidRPr="0073405E">
        <w:rPr>
          <w:rFonts w:ascii="Calibri" w:hAnsi="Calibri" w:cs="Calibri"/>
          <w:sz w:val="24"/>
        </w:rPr>
        <w:t xml:space="preserve">One area that the hotel industry and the hospitality industry have made central both in terms of operational and ethical issues is mental health as the service labour in a hotel becomes emotionally based, shifts are </w:t>
      </w:r>
      <w:proofErr w:type="gramStart"/>
      <w:r w:rsidRPr="0073405E">
        <w:rPr>
          <w:rFonts w:ascii="Calibri" w:hAnsi="Calibri" w:cs="Calibri"/>
          <w:sz w:val="24"/>
        </w:rPr>
        <w:t>inconsistent</w:t>
      </w:r>
      <w:proofErr w:type="gramEnd"/>
      <w:r w:rsidRPr="0073405E">
        <w:rPr>
          <w:rFonts w:ascii="Calibri" w:hAnsi="Calibri" w:cs="Calibri"/>
          <w:sz w:val="24"/>
        </w:rPr>
        <w:t xml:space="preserve"> and turnover is always high. Customer-facing emotional labour, workload, and precarious contracts combined increase the risk of burnout, anxiety and depression among hospitality employees (Ford and Sturman, 2020; Cooper and Hall, 2019). These pressures were exacerbated by the COVID-19 pandemic, which caused job losses affecting the roles course and infection apprehensions as well as </w:t>
      </w:r>
      <w:proofErr w:type="spellStart"/>
      <w:r w:rsidRPr="0073405E">
        <w:rPr>
          <w:rFonts w:ascii="Calibri" w:hAnsi="Calibri" w:cs="Calibri"/>
          <w:sz w:val="24"/>
        </w:rPr>
        <w:t>unexposing</w:t>
      </w:r>
      <w:proofErr w:type="spellEnd"/>
      <w:r w:rsidRPr="0073405E">
        <w:rPr>
          <w:rFonts w:ascii="Calibri" w:hAnsi="Calibri" w:cs="Calibri"/>
          <w:sz w:val="24"/>
        </w:rPr>
        <w:t xml:space="preserve"> lack of proper welfare provision by the employer (</w:t>
      </w:r>
      <w:proofErr w:type="spellStart"/>
      <w:r w:rsidRPr="0073405E">
        <w:rPr>
          <w:rFonts w:ascii="Calibri" w:hAnsi="Calibri" w:cs="Calibri"/>
          <w:sz w:val="24"/>
        </w:rPr>
        <w:t>Bufquin</w:t>
      </w:r>
      <w:proofErr w:type="spellEnd"/>
      <w:r w:rsidRPr="0073405E">
        <w:rPr>
          <w:rFonts w:ascii="Calibri" w:hAnsi="Calibri" w:cs="Calibri"/>
          <w:sz w:val="24"/>
        </w:rPr>
        <w:t xml:space="preserve"> et al., 2021). With unresolved mental health issues reducing supply chains in a tight labour market, absentees from mental health issues will increase both absenteeism and reduced service quality and increased recruitment costs, which are both immoral and unsustainable (Baquero, 2023; </w:t>
      </w:r>
      <w:proofErr w:type="spellStart"/>
      <w:r w:rsidRPr="0073405E">
        <w:rPr>
          <w:rFonts w:ascii="Calibri" w:hAnsi="Calibri" w:cs="Calibri"/>
          <w:sz w:val="24"/>
        </w:rPr>
        <w:t>Weerakit</w:t>
      </w:r>
      <w:proofErr w:type="spellEnd"/>
      <w:r w:rsidRPr="0073405E">
        <w:rPr>
          <w:rFonts w:ascii="Calibri" w:hAnsi="Calibri" w:cs="Calibri"/>
          <w:sz w:val="24"/>
        </w:rPr>
        <w:t xml:space="preserve"> et al., 2025). Since the module focuses on modern contexts of socio-ethical issues in hospitality, exploring the mental health crisis can provide managers, policy makers and scholars with implementation-friendly research.</w:t>
      </w:r>
    </w:p>
    <w:p w14:paraId="4973AA83" w14:textId="77777777" w:rsidR="00CC2D8B" w:rsidRPr="0073405E" w:rsidRDefault="006511EC" w:rsidP="00306C43">
      <w:pPr>
        <w:pStyle w:val="Heading1"/>
      </w:pPr>
      <w:bookmarkStart w:id="1" w:name="_Toc211432153"/>
      <w:r w:rsidRPr="0073405E">
        <w:t xml:space="preserve">2. </w:t>
      </w:r>
      <w:r w:rsidRPr="00306C43">
        <w:t>Literature</w:t>
      </w:r>
      <w:r w:rsidRPr="0073405E">
        <w:t xml:space="preserve"> Review</w:t>
      </w:r>
      <w:bookmarkEnd w:id="1"/>
    </w:p>
    <w:p w14:paraId="4904FBC7"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 xml:space="preserve">The COVID-19 pandemic severely affected the hospitality industry, and employees received unprecedented stress, anxiety, and depression levels. Most of them started to wonder if it </w:t>
      </w:r>
      <w:proofErr w:type="gramStart"/>
      <w:r w:rsidRPr="00681EC9">
        <w:rPr>
          <w:rFonts w:ascii="Calibri" w:hAnsi="Calibri" w:cs="Calibri"/>
          <w:sz w:val="24"/>
          <w:lang w:val="en-US"/>
        </w:rPr>
        <w:t>will</w:t>
      </w:r>
      <w:proofErr w:type="gramEnd"/>
      <w:r w:rsidRPr="00681EC9">
        <w:rPr>
          <w:rFonts w:ascii="Calibri" w:hAnsi="Calibri" w:cs="Calibri"/>
          <w:sz w:val="24"/>
          <w:lang w:val="en-US"/>
        </w:rPr>
        <w:t xml:space="preserve"> be worth remaining in the industry. This literature review will discuss the ways in which mental health issues have affected the employees in the hospitality industry as well as the scope of organizational responses aiming at alleviating this current crisis.</w:t>
      </w:r>
    </w:p>
    <w:p w14:paraId="5F3BCC12"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As stress and burnout seem to be obnoxious throughout all positions in the hospitality industry, the pandemic magnified these tensions to an even higher effect. Baquero (2023) emphasizes that burnout is among the most powerful factors contributing to employee turnover being a symptom and cause of worsening mental health. The long-lasting exhaustion of workers leads to lowered motivation, excessively high levels of stress, and the quitting pattern usually seems to be the sole possible solution to the problem.</w:t>
      </w:r>
    </w:p>
    <w:p w14:paraId="1410B305"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 xml:space="preserve">This is strengthened by Wong et al. (2025) and </w:t>
      </w:r>
      <w:proofErr w:type="spellStart"/>
      <w:r w:rsidRPr="00681EC9">
        <w:rPr>
          <w:rFonts w:ascii="Calibri" w:hAnsi="Calibri" w:cs="Calibri"/>
          <w:sz w:val="24"/>
          <w:lang w:val="en-US"/>
        </w:rPr>
        <w:t>Bufquin</w:t>
      </w:r>
      <w:proofErr w:type="spellEnd"/>
      <w:r w:rsidRPr="00681EC9">
        <w:rPr>
          <w:rFonts w:ascii="Calibri" w:hAnsi="Calibri" w:cs="Calibri"/>
          <w:sz w:val="24"/>
          <w:lang w:val="en-US"/>
        </w:rPr>
        <w:t xml:space="preserve"> et al. (2021) who state that job insecurity and emotional fatigue are significant psychological stress factors. The pandemic left </w:t>
      </w:r>
      <w:r w:rsidRPr="00681EC9">
        <w:rPr>
          <w:rFonts w:ascii="Calibri" w:hAnsi="Calibri" w:cs="Calibri"/>
          <w:sz w:val="24"/>
          <w:lang w:val="en-US"/>
        </w:rPr>
        <w:lastRenderedPageBreak/>
        <w:t xml:space="preserve">many workers in hospitality with a feeling of stability by worrying about the layoffs or reduced salary, among other things, and many feared losing their jobs. Morale was so low due to the constant fear of being dismissed that the process of exiting the industry altogether became even more attractive. Out of this, essentially, when the workers are no longer </w:t>
      </w:r>
      <w:proofErr w:type="gramStart"/>
      <w:r w:rsidRPr="00681EC9">
        <w:rPr>
          <w:rFonts w:ascii="Calibri" w:hAnsi="Calibri" w:cs="Calibri"/>
          <w:sz w:val="24"/>
          <w:lang w:val="en-US"/>
        </w:rPr>
        <w:t>in a position</w:t>
      </w:r>
      <w:proofErr w:type="gramEnd"/>
      <w:r w:rsidRPr="00681EC9">
        <w:rPr>
          <w:rFonts w:ascii="Calibri" w:hAnsi="Calibri" w:cs="Calibri"/>
          <w:sz w:val="24"/>
          <w:lang w:val="en-US"/>
        </w:rPr>
        <w:t xml:space="preserve"> to believe that their jobs are safe, the psychological burden ultimately wins over the attachment to the organization.</w:t>
      </w:r>
    </w:p>
    <w:p w14:paraId="5FB0908B"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 xml:space="preserve">To this, certain employers have attempted to reverse these mental health battles using resilience-building efforts or stress coping workshops. Nevertheless, such efforts are not enough. According to </w:t>
      </w:r>
      <w:proofErr w:type="spellStart"/>
      <w:r w:rsidRPr="00681EC9">
        <w:rPr>
          <w:rFonts w:ascii="Calibri" w:hAnsi="Calibri" w:cs="Calibri"/>
          <w:sz w:val="24"/>
          <w:lang w:val="en-US"/>
        </w:rPr>
        <w:t>Schwepker</w:t>
      </w:r>
      <w:proofErr w:type="spellEnd"/>
      <w:r w:rsidRPr="00681EC9">
        <w:rPr>
          <w:rFonts w:ascii="Calibri" w:hAnsi="Calibri" w:cs="Calibri"/>
          <w:sz w:val="24"/>
          <w:lang w:val="en-US"/>
        </w:rPr>
        <w:t xml:space="preserve"> and Dimitriou (2021), leadership should be empathetic and transformational to bring about a real and lasting change. Employees feel recognized and emotionally safe when the executives show their genuine interest in their </w:t>
      </w:r>
      <w:proofErr w:type="gramStart"/>
      <w:r w:rsidRPr="00681EC9">
        <w:rPr>
          <w:rFonts w:ascii="Calibri" w:hAnsi="Calibri" w:cs="Calibri"/>
          <w:sz w:val="24"/>
          <w:lang w:val="en-US"/>
        </w:rPr>
        <w:t>employees</w:t>
      </w:r>
      <w:proofErr w:type="gramEnd"/>
      <w:r w:rsidRPr="00681EC9">
        <w:rPr>
          <w:rFonts w:ascii="Calibri" w:hAnsi="Calibri" w:cs="Calibri"/>
          <w:sz w:val="24"/>
          <w:lang w:val="en-US"/>
        </w:rPr>
        <w:t xml:space="preserve"> such as being supportive, flexible, and understanding their emotions. An enabling culture of management, therefore, does not only quash stress, but also reinforces the retention of employees.</w:t>
      </w:r>
    </w:p>
    <w:p w14:paraId="13A61A83"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 xml:space="preserve">Even so, at individual level interventions are very limited when structural problems are left unaddressed on a broader scope. According to Lai and Cai (2023) and </w:t>
      </w:r>
      <w:proofErr w:type="spellStart"/>
      <w:r w:rsidRPr="00681EC9">
        <w:rPr>
          <w:rFonts w:ascii="Calibri" w:hAnsi="Calibri" w:cs="Calibri"/>
          <w:sz w:val="24"/>
          <w:lang w:val="en-US"/>
        </w:rPr>
        <w:t>Haldorai</w:t>
      </w:r>
      <w:proofErr w:type="spellEnd"/>
      <w:r w:rsidRPr="00681EC9">
        <w:rPr>
          <w:rFonts w:ascii="Calibri" w:hAnsi="Calibri" w:cs="Calibri"/>
          <w:sz w:val="24"/>
          <w:lang w:val="en-US"/>
        </w:rPr>
        <w:t xml:space="preserve"> et al. (2023), the changes mentioned above should be systemic, including ensuring the stability of working hours, salaries, and job arrangements. These are material factors which have significant impacts on the outcomes of mental health and although they are easy to implement, this is not so simple. Big companies may have the financial resources to increase remuneration and time regularity, and small enterprises are already overstretched and can hardly compete with them.</w:t>
      </w:r>
    </w:p>
    <w:p w14:paraId="6653CA49"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 xml:space="preserve">Monteiro and Joseph (2023) and </w:t>
      </w:r>
      <w:proofErr w:type="spellStart"/>
      <w:r w:rsidRPr="00681EC9">
        <w:rPr>
          <w:rFonts w:ascii="Calibri" w:hAnsi="Calibri" w:cs="Calibri"/>
          <w:sz w:val="24"/>
          <w:lang w:val="en-US"/>
        </w:rPr>
        <w:t>Weerakit</w:t>
      </w:r>
      <w:proofErr w:type="spellEnd"/>
      <w:r w:rsidRPr="00681EC9">
        <w:rPr>
          <w:rFonts w:ascii="Calibri" w:hAnsi="Calibri" w:cs="Calibri"/>
          <w:sz w:val="24"/>
          <w:lang w:val="en-US"/>
        </w:rPr>
        <w:t xml:space="preserve"> et al. (2025) go even further and propose more robust institutionalized frameworks in which governments and industry associations would work to establish minimum well-being standards. Such standards might entail others such as restrictions on labor hours, access to mental health, and minimum benefits such as healthcare services. Unless such external provisions are made, the divide between large and small organizations is likely to be increased- and many hospitality workers have </w:t>
      </w:r>
      <w:proofErr w:type="gramStart"/>
      <w:r w:rsidRPr="00681EC9">
        <w:rPr>
          <w:rFonts w:ascii="Calibri" w:hAnsi="Calibri" w:cs="Calibri"/>
          <w:sz w:val="24"/>
          <w:lang w:val="en-US"/>
        </w:rPr>
        <w:t>few and</w:t>
      </w:r>
      <w:proofErr w:type="gramEnd"/>
      <w:r w:rsidRPr="00681EC9">
        <w:rPr>
          <w:rFonts w:ascii="Calibri" w:hAnsi="Calibri" w:cs="Calibri"/>
          <w:sz w:val="24"/>
          <w:lang w:val="en-US"/>
        </w:rPr>
        <w:t xml:space="preserve"> significant guarantees.</w:t>
      </w:r>
    </w:p>
    <w:p w14:paraId="3784434A"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lastRenderedPageBreak/>
        <w:t xml:space="preserve">There are </w:t>
      </w:r>
      <w:proofErr w:type="gramStart"/>
      <w:r w:rsidRPr="00681EC9">
        <w:rPr>
          <w:rFonts w:ascii="Calibri" w:hAnsi="Calibri" w:cs="Calibri"/>
          <w:sz w:val="24"/>
          <w:lang w:val="en-US"/>
        </w:rPr>
        <w:t>a number of</w:t>
      </w:r>
      <w:proofErr w:type="gramEnd"/>
      <w:r w:rsidRPr="00681EC9">
        <w:rPr>
          <w:rFonts w:ascii="Calibri" w:hAnsi="Calibri" w:cs="Calibri"/>
          <w:sz w:val="24"/>
          <w:lang w:val="en-US"/>
        </w:rPr>
        <w:t xml:space="preserve"> theoretical approaches that assist in explaining these problems. The Job Demands-Resources (JD-R) model has been one of the prevailing models, explaining the fact that workers face exhaustion of resources due to heavy job demands (such as long working hours, customer pressure) hence burnout. The crisis management theory provides an additional layer, explaining the fact that systemic shocks, like the pandemic, aggravate these stressors. However, as Wong et al. (2025) justify, most literature available is based on short-term or high-income nation indices, leaving a significant gap in the research literature on how contemporary dynamics occur in low- and middle-income settings.</w:t>
      </w:r>
    </w:p>
    <w:p w14:paraId="68162F85"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 xml:space="preserve">Besides, the issue of theoretical inconsistency is repetitive. According to Ford and Sturman (2020) and Lai and Cai (2023), researchers frequently separate JD-R and frameworks because, in some cases, the interaction of the three aspects of economic shocks, the choices taken by leaders, and the well-being of employees can give a better result. It might be more fruitfully used to formulate policy and managerial action in a coherent way, although, at present, the literature is rather disjointed and </w:t>
      </w:r>
      <w:proofErr w:type="gramStart"/>
      <w:r w:rsidRPr="00681EC9">
        <w:rPr>
          <w:rFonts w:ascii="Calibri" w:hAnsi="Calibri" w:cs="Calibri"/>
          <w:sz w:val="24"/>
          <w:lang w:val="en-US"/>
        </w:rPr>
        <w:t>location-specific</w:t>
      </w:r>
      <w:proofErr w:type="gramEnd"/>
      <w:r w:rsidRPr="00681EC9">
        <w:rPr>
          <w:rFonts w:ascii="Calibri" w:hAnsi="Calibri" w:cs="Calibri"/>
          <w:sz w:val="24"/>
          <w:lang w:val="en-US"/>
        </w:rPr>
        <w:t>.</w:t>
      </w:r>
    </w:p>
    <w:p w14:paraId="3629DFA7" w14:textId="77777777" w:rsidR="00681EC9" w:rsidRPr="00681EC9" w:rsidRDefault="00681EC9" w:rsidP="00681EC9">
      <w:pPr>
        <w:spacing w:after="0" w:line="360" w:lineRule="auto"/>
        <w:jc w:val="both"/>
        <w:rPr>
          <w:rFonts w:ascii="Calibri" w:hAnsi="Calibri" w:cs="Calibri"/>
          <w:sz w:val="24"/>
          <w:lang w:val="en-US"/>
        </w:rPr>
      </w:pPr>
      <w:proofErr w:type="gramStart"/>
      <w:r w:rsidRPr="00681EC9">
        <w:rPr>
          <w:rFonts w:ascii="Calibri" w:hAnsi="Calibri" w:cs="Calibri"/>
          <w:sz w:val="24"/>
          <w:lang w:val="en-US"/>
        </w:rPr>
        <w:t>More and more</w:t>
      </w:r>
      <w:proofErr w:type="gramEnd"/>
      <w:r w:rsidRPr="00681EC9">
        <w:rPr>
          <w:rFonts w:ascii="Calibri" w:hAnsi="Calibri" w:cs="Calibri"/>
          <w:sz w:val="24"/>
          <w:lang w:val="en-US"/>
        </w:rPr>
        <w:t xml:space="preserve"> researchers, including </w:t>
      </w:r>
      <w:proofErr w:type="spellStart"/>
      <w:r w:rsidRPr="00681EC9">
        <w:rPr>
          <w:rFonts w:ascii="Calibri" w:hAnsi="Calibri" w:cs="Calibri"/>
          <w:sz w:val="24"/>
          <w:lang w:val="en-US"/>
        </w:rPr>
        <w:t>Batabyal</w:t>
      </w:r>
      <w:proofErr w:type="spellEnd"/>
      <w:r w:rsidRPr="00681EC9">
        <w:rPr>
          <w:rFonts w:ascii="Calibri" w:hAnsi="Calibri" w:cs="Calibri"/>
          <w:sz w:val="24"/>
          <w:lang w:val="en-US"/>
        </w:rPr>
        <w:t xml:space="preserve"> and Das (2019) and Costa and Costa (2022) believe that the subject of mental health cannot be limited to </w:t>
      </w:r>
      <w:proofErr w:type="gramStart"/>
      <w:r w:rsidRPr="00681EC9">
        <w:rPr>
          <w:rFonts w:ascii="Calibri" w:hAnsi="Calibri" w:cs="Calibri"/>
          <w:sz w:val="24"/>
          <w:lang w:val="en-US"/>
        </w:rPr>
        <w:t>the HR</w:t>
      </w:r>
      <w:proofErr w:type="gramEnd"/>
      <w:r w:rsidRPr="00681EC9">
        <w:rPr>
          <w:rFonts w:ascii="Calibri" w:hAnsi="Calibri" w:cs="Calibri"/>
          <w:sz w:val="24"/>
          <w:lang w:val="en-US"/>
        </w:rPr>
        <w:t>. Rather it must be integrated into the strategic background of the organization- as much needed as finance or satisfaction of the customer. By positioning employee well-being as a business priority and not a nice-to-have, one will foster the culture of care, which will directly be reflected in improved retention, service quality, and overall performance.</w:t>
      </w:r>
    </w:p>
    <w:p w14:paraId="66D6F8B8" w14:textId="02350078"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To sum up, it is evident in the literature that the forces of stress, burnout, and job insecurity are still strong driving forces of turnover in the hospitality sector. Whereas resilience programs are useful, supportive leadership creates a wonderful environment, the structural and strategic commitm</w:t>
      </w:r>
      <w:r w:rsidR="00306C43">
        <w:rPr>
          <w:rFonts w:ascii="Calibri" w:hAnsi="Calibri" w:cs="Calibri"/>
          <w:sz w:val="24"/>
          <w:lang w:val="en-US"/>
        </w:rPr>
        <w:t xml:space="preserve">ent to </w:t>
      </w:r>
      <w:proofErr w:type="gramStart"/>
      <w:r w:rsidR="00306C43">
        <w:rPr>
          <w:rFonts w:ascii="Calibri" w:hAnsi="Calibri" w:cs="Calibri"/>
          <w:sz w:val="24"/>
          <w:lang w:val="en-US"/>
        </w:rPr>
        <w:t>do</w:t>
      </w:r>
      <w:proofErr w:type="gramEnd"/>
      <w:r w:rsidR="00306C43">
        <w:rPr>
          <w:rFonts w:ascii="Calibri" w:hAnsi="Calibri" w:cs="Calibri"/>
          <w:sz w:val="24"/>
          <w:lang w:val="en-US"/>
        </w:rPr>
        <w:t xml:space="preserve"> something is needed. </w:t>
      </w:r>
    </w:p>
    <w:p w14:paraId="46F7265F" w14:textId="77777777" w:rsidR="00681EC9" w:rsidRPr="0073405E" w:rsidRDefault="00681EC9" w:rsidP="00306C43">
      <w:pPr>
        <w:pStyle w:val="Heading1"/>
      </w:pPr>
      <w:bookmarkStart w:id="2" w:name="_Toc211432154"/>
      <w:r w:rsidRPr="0073405E">
        <w:t xml:space="preserve">3. </w:t>
      </w:r>
      <w:r w:rsidRPr="00306C43">
        <w:t>Method</w:t>
      </w:r>
      <w:bookmarkEnd w:id="2"/>
    </w:p>
    <w:p w14:paraId="7662AC5D" w14:textId="77777777" w:rsidR="00681EC9" w:rsidRPr="00681EC9" w:rsidRDefault="00681EC9" w:rsidP="00681EC9">
      <w:pPr>
        <w:spacing w:after="0" w:line="360" w:lineRule="auto"/>
        <w:jc w:val="both"/>
        <w:rPr>
          <w:rFonts w:ascii="Calibri" w:hAnsi="Calibri" w:cs="Calibri"/>
          <w:sz w:val="24"/>
          <w:lang w:val="en-US"/>
        </w:rPr>
      </w:pPr>
      <w:r w:rsidRPr="00681EC9">
        <w:rPr>
          <w:rFonts w:ascii="Calibri" w:hAnsi="Calibri" w:cs="Calibri"/>
          <w:sz w:val="24"/>
          <w:lang w:val="en-US"/>
        </w:rPr>
        <w:t xml:space="preserve">The paper provides a synthesis of available literature pertaining to the topic of mental health and employee turnover in the hospitality industry based on the document analysis method. The search of Google Scholar with specified keywords and tracking of the citations of the most </w:t>
      </w:r>
      <w:r w:rsidRPr="00681EC9">
        <w:rPr>
          <w:rFonts w:ascii="Calibri" w:hAnsi="Calibri" w:cs="Calibri"/>
          <w:sz w:val="24"/>
          <w:lang w:val="en-US"/>
        </w:rPr>
        <w:lastRenderedPageBreak/>
        <w:t>significant works (</w:t>
      </w:r>
      <w:proofErr w:type="spellStart"/>
      <w:r w:rsidRPr="00681EC9">
        <w:rPr>
          <w:rFonts w:ascii="Calibri" w:hAnsi="Calibri" w:cs="Calibri"/>
          <w:sz w:val="24"/>
          <w:lang w:val="en-US"/>
        </w:rPr>
        <w:t>Bufquin</w:t>
      </w:r>
      <w:proofErr w:type="spellEnd"/>
      <w:r w:rsidRPr="00681EC9">
        <w:rPr>
          <w:rFonts w:ascii="Calibri" w:hAnsi="Calibri" w:cs="Calibri"/>
          <w:sz w:val="24"/>
          <w:lang w:val="en-US"/>
        </w:rPr>
        <w:t xml:space="preserve"> et al., 2021; Baquero, 2023; Wong et al., 2025) identified the studies published in 2019 to 2025. Peer-reviewed studies with data pertaining to the service industry were only picked to be considered reliable.</w:t>
      </w:r>
    </w:p>
    <w:p w14:paraId="727E1E28" w14:textId="427B5150" w:rsidR="00FA0886" w:rsidRPr="00681EC9" w:rsidRDefault="00681EC9" w:rsidP="00681EC9">
      <w:pPr>
        <w:spacing w:after="0" w:line="360" w:lineRule="auto"/>
        <w:jc w:val="both"/>
        <w:rPr>
          <w:rFonts w:ascii="Calibri" w:hAnsi="Calibri" w:cs="Calibri"/>
          <w:sz w:val="24"/>
          <w:lang w:val="en-US"/>
        </w:rPr>
      </w:pPr>
      <w:proofErr w:type="gramStart"/>
      <w:r w:rsidRPr="00681EC9">
        <w:rPr>
          <w:rFonts w:ascii="Calibri" w:hAnsi="Calibri" w:cs="Calibri"/>
          <w:sz w:val="24"/>
          <w:lang w:val="en-US"/>
        </w:rPr>
        <w:t>The NVivo</w:t>
      </w:r>
      <w:proofErr w:type="gramEnd"/>
      <w:r w:rsidRPr="00681EC9">
        <w:rPr>
          <w:rFonts w:ascii="Calibri" w:hAnsi="Calibri" w:cs="Calibri"/>
          <w:sz w:val="24"/>
          <w:lang w:val="en-US"/>
        </w:rPr>
        <w:t xml:space="preserve"> was used to code key sources to establish recurring themes, including such concepts as psychological risk factors, responses of the organization, and research quality. </w:t>
      </w:r>
      <w:proofErr w:type="gramStart"/>
      <w:r w:rsidRPr="00681EC9">
        <w:rPr>
          <w:rFonts w:ascii="Calibri" w:hAnsi="Calibri" w:cs="Calibri"/>
          <w:sz w:val="24"/>
          <w:lang w:val="en-US"/>
        </w:rPr>
        <w:t>In order to</w:t>
      </w:r>
      <w:proofErr w:type="gramEnd"/>
      <w:r w:rsidRPr="00681EC9">
        <w:rPr>
          <w:rFonts w:ascii="Calibri" w:hAnsi="Calibri" w:cs="Calibri"/>
          <w:sz w:val="24"/>
          <w:lang w:val="en-US"/>
        </w:rPr>
        <w:t xml:space="preserve"> bridge the gap between academic literature and practice, reports and texts on the module reading list (</w:t>
      </w:r>
      <w:proofErr w:type="spellStart"/>
      <w:r w:rsidRPr="00681EC9">
        <w:rPr>
          <w:rFonts w:ascii="Calibri" w:hAnsi="Calibri" w:cs="Calibri"/>
          <w:sz w:val="24"/>
          <w:lang w:val="en-US"/>
        </w:rPr>
        <w:t>Batabyal</w:t>
      </w:r>
      <w:proofErr w:type="spellEnd"/>
      <w:r w:rsidRPr="00681EC9">
        <w:rPr>
          <w:rFonts w:ascii="Calibri" w:hAnsi="Calibri" w:cs="Calibri"/>
          <w:sz w:val="24"/>
          <w:lang w:val="en-US"/>
        </w:rPr>
        <w:t xml:space="preserve"> and Das, 2019; Ford and Sturman, 2020) related to the industry were consulted. An adapted SWOT model was then used to measure strengths, weaknesses, opportunities, and threats in dealing with psychosocial risks. Both quantitative and qualitative information were combined to elucidate the barriers and implications.</w:t>
      </w:r>
    </w:p>
    <w:p w14:paraId="3DACC7E9" w14:textId="1B2C8C6F" w:rsidR="001F17B2" w:rsidRPr="0073405E" w:rsidRDefault="00A17D8B" w:rsidP="00681EC9">
      <w:pPr>
        <w:spacing w:after="0" w:line="360" w:lineRule="auto"/>
        <w:jc w:val="both"/>
        <w:rPr>
          <w:rFonts w:ascii="Calibri" w:hAnsi="Calibri" w:cs="Calibri"/>
          <w:b/>
          <w:bCs/>
          <w:sz w:val="24"/>
        </w:rPr>
      </w:pPr>
      <w:r w:rsidRPr="0073405E">
        <w:rPr>
          <w:rFonts w:ascii="Calibri" w:hAnsi="Calibri" w:cs="Calibri"/>
          <w:b/>
          <w:bCs/>
          <w:sz w:val="24"/>
        </w:rPr>
        <w:t xml:space="preserve">Table 1: </w:t>
      </w:r>
      <w:r w:rsidR="001F17B2">
        <w:rPr>
          <w:rFonts w:ascii="Calibri" w:hAnsi="Calibri" w:cs="Calibri"/>
          <w:b/>
          <w:bCs/>
          <w:sz w:val="24"/>
        </w:rPr>
        <w:t>S</w:t>
      </w:r>
      <w:r w:rsidRPr="0073405E">
        <w:rPr>
          <w:rFonts w:ascii="Calibri" w:hAnsi="Calibri" w:cs="Calibri"/>
          <w:b/>
          <w:bCs/>
          <w:sz w:val="24"/>
        </w:rPr>
        <w:t>elected empirical studies</w:t>
      </w:r>
    </w:p>
    <w:p w14:paraId="1C748398" w14:textId="467F779B" w:rsidR="00A17D8B" w:rsidRPr="0073405E" w:rsidRDefault="001F17B2" w:rsidP="00681EC9">
      <w:pPr>
        <w:spacing w:after="0" w:line="360" w:lineRule="auto"/>
        <w:jc w:val="center"/>
        <w:rPr>
          <w:rFonts w:ascii="Calibri" w:hAnsi="Calibri" w:cs="Calibri"/>
          <w:sz w:val="24"/>
        </w:rPr>
      </w:pPr>
      <w:r>
        <w:rPr>
          <w:noProof/>
          <w:lang w:val="en-US"/>
        </w:rPr>
        <w:lastRenderedPageBreak/>
        <w:drawing>
          <wp:inline distT="0" distB="0" distL="0" distR="0" wp14:anchorId="231C44F6" wp14:editId="18E5C1E5">
            <wp:extent cx="5923915" cy="5310909"/>
            <wp:effectExtent l="0" t="0" r="63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BEBA8EAE-BF5A-486C-A8C5-ECC9F3942E4B}">
                          <a14:imgProps xmlns:a14="http://schemas.microsoft.com/office/drawing/2010/main">
                            <a14:imgLayer r:embed="rId10">
                              <a14:imgEffect>
                                <a14:sharpenSoften amount="10000"/>
                              </a14:imgEffect>
                              <a14:imgEffect>
                                <a14:brightnessContrast bright="1000" contrast="4000"/>
                              </a14:imgEffect>
                            </a14:imgLayer>
                          </a14:imgProps>
                        </a:ext>
                      </a:extLst>
                    </a:blip>
                    <a:srcRect l="116" t="238" r="213" b="254"/>
                    <a:stretch/>
                  </pic:blipFill>
                  <pic:spPr bwMode="auto">
                    <a:xfrm>
                      <a:off x="0" y="0"/>
                      <a:ext cx="5923973" cy="5310961"/>
                    </a:xfrm>
                    <a:prstGeom prst="rect">
                      <a:avLst/>
                    </a:prstGeom>
                    <a:ln>
                      <a:noFill/>
                    </a:ln>
                    <a:extLst>
                      <a:ext uri="{53640926-AAD7-44D8-BBD7-CCE9431645EC}">
                        <a14:shadowObscured xmlns:a14="http://schemas.microsoft.com/office/drawing/2010/main"/>
                      </a:ext>
                    </a:extLst>
                  </pic:spPr>
                </pic:pic>
              </a:graphicData>
            </a:graphic>
          </wp:inline>
        </w:drawing>
      </w:r>
    </w:p>
    <w:p w14:paraId="56F38D55" w14:textId="3FE3536F" w:rsidR="00A17D8B" w:rsidRPr="0073405E" w:rsidRDefault="00306C43" w:rsidP="00681EC9">
      <w:pPr>
        <w:spacing w:after="0" w:line="360" w:lineRule="auto"/>
        <w:jc w:val="both"/>
        <w:rPr>
          <w:rFonts w:ascii="Calibri" w:hAnsi="Calibri" w:cs="Calibri"/>
          <w:sz w:val="24"/>
        </w:rPr>
      </w:pPr>
      <w:r w:rsidRPr="00306C43">
        <w:rPr>
          <w:rFonts w:ascii="Calibri" w:hAnsi="Calibri" w:cs="Calibri"/>
          <w:sz w:val="24"/>
        </w:rPr>
        <w:t>A summary of three major studies on the effect of job instability in eliciting stress and turnover intention, with resilience counteracting these, is in table 1. The correlation between burnout and turnover intention is direct and positive in hospitality jobs as depicted in figure 1.</w:t>
      </w:r>
    </w:p>
    <w:p w14:paraId="5881D244" w14:textId="77777777" w:rsidR="001B7052" w:rsidRPr="0073405E" w:rsidRDefault="001B7052" w:rsidP="00681EC9">
      <w:pPr>
        <w:spacing w:after="0" w:line="360" w:lineRule="auto"/>
        <w:jc w:val="both"/>
        <w:rPr>
          <w:rFonts w:ascii="Calibri" w:hAnsi="Calibri" w:cs="Calibri"/>
          <w:sz w:val="24"/>
        </w:rPr>
      </w:pPr>
    </w:p>
    <w:p w14:paraId="076C531F" w14:textId="77777777" w:rsidR="00A17D8B" w:rsidRPr="0073405E" w:rsidRDefault="00A17D8B" w:rsidP="00681EC9">
      <w:pPr>
        <w:spacing w:after="0" w:line="360" w:lineRule="auto"/>
        <w:jc w:val="center"/>
        <w:rPr>
          <w:rFonts w:ascii="Calibri" w:hAnsi="Calibri" w:cs="Calibri"/>
          <w:sz w:val="24"/>
        </w:rPr>
      </w:pPr>
      <w:r w:rsidRPr="0073405E">
        <w:rPr>
          <w:rFonts w:ascii="Calibri" w:hAnsi="Calibri" w:cs="Calibri"/>
          <w:noProof/>
          <w:lang w:val="en-US"/>
        </w:rPr>
        <w:lastRenderedPageBreak/>
        <w:drawing>
          <wp:inline distT="0" distB="0" distL="0" distR="0" wp14:anchorId="09928812" wp14:editId="02ECFA21">
            <wp:extent cx="5827258" cy="3657600"/>
            <wp:effectExtent l="19050" t="19050" r="2159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10000"/>
                              </a14:imgEffect>
                              <a14:imgEffect>
                                <a14:brightnessContrast bright="1000" contrast="4000"/>
                              </a14:imgEffect>
                            </a14:imgLayer>
                          </a14:imgProps>
                        </a:ext>
                      </a:extLst>
                    </a:blip>
                    <a:stretch>
                      <a:fillRect/>
                    </a:stretch>
                  </pic:blipFill>
                  <pic:spPr>
                    <a:xfrm>
                      <a:off x="0" y="0"/>
                      <a:ext cx="5847617" cy="3670379"/>
                    </a:xfrm>
                    <a:prstGeom prst="rect">
                      <a:avLst/>
                    </a:prstGeom>
                    <a:ln w="12700">
                      <a:solidFill>
                        <a:srgbClr val="7030A0"/>
                      </a:solidFill>
                    </a:ln>
                  </pic:spPr>
                </pic:pic>
              </a:graphicData>
            </a:graphic>
          </wp:inline>
        </w:drawing>
      </w:r>
    </w:p>
    <w:p w14:paraId="61BD8CA0" w14:textId="77777777" w:rsidR="00A17D8B" w:rsidRPr="0073405E" w:rsidRDefault="00A17D8B" w:rsidP="00306C43">
      <w:pPr>
        <w:spacing w:after="0" w:line="240" w:lineRule="auto"/>
        <w:jc w:val="center"/>
        <w:rPr>
          <w:rFonts w:ascii="Calibri" w:hAnsi="Calibri" w:cs="Calibri"/>
          <w:b/>
          <w:i/>
          <w:color w:val="2F5496" w:themeColor="accent5" w:themeShade="BF"/>
          <w:sz w:val="20"/>
        </w:rPr>
      </w:pPr>
      <w:r w:rsidRPr="0073405E">
        <w:rPr>
          <w:rFonts w:ascii="Calibri" w:hAnsi="Calibri" w:cs="Calibri"/>
          <w:b/>
          <w:bCs/>
          <w:i/>
          <w:color w:val="2F5496" w:themeColor="accent5" w:themeShade="BF"/>
          <w:sz w:val="20"/>
        </w:rPr>
        <w:t>Figure 1:</w:t>
      </w:r>
      <w:r w:rsidRPr="0073405E">
        <w:rPr>
          <w:rFonts w:ascii="Calibri" w:hAnsi="Calibri" w:cs="Calibri"/>
          <w:b/>
          <w:i/>
          <w:color w:val="2F5496" w:themeColor="accent5" w:themeShade="BF"/>
          <w:sz w:val="20"/>
        </w:rPr>
        <w:t xml:space="preserve"> Relationship between Burnout Levels and Employee Turnover Intention in the Hospitality Industry</w:t>
      </w:r>
    </w:p>
    <w:p w14:paraId="113E8677" w14:textId="7FE29369" w:rsidR="00A17D8B" w:rsidRDefault="00A17D8B" w:rsidP="00681EC9">
      <w:pPr>
        <w:spacing w:after="0" w:line="360" w:lineRule="auto"/>
        <w:jc w:val="center"/>
        <w:rPr>
          <w:rFonts w:ascii="Calibri" w:hAnsi="Calibri" w:cs="Calibri"/>
          <w:i/>
          <w:iCs/>
          <w:color w:val="2F5496" w:themeColor="accent5" w:themeShade="BF"/>
          <w:sz w:val="20"/>
        </w:rPr>
      </w:pPr>
      <w:r w:rsidRPr="0073405E">
        <w:rPr>
          <w:rFonts w:ascii="Calibri" w:hAnsi="Calibri" w:cs="Calibri"/>
          <w:i/>
          <w:iCs/>
          <w:color w:val="2F5496" w:themeColor="accent5" w:themeShade="BF"/>
          <w:sz w:val="20"/>
        </w:rPr>
        <w:t xml:space="preserve">(Sources: Baquero, 2023; </w:t>
      </w:r>
      <w:proofErr w:type="spellStart"/>
      <w:r w:rsidRPr="0073405E">
        <w:rPr>
          <w:rFonts w:ascii="Calibri" w:hAnsi="Calibri" w:cs="Calibri"/>
          <w:i/>
          <w:iCs/>
          <w:color w:val="2F5496" w:themeColor="accent5" w:themeShade="BF"/>
          <w:sz w:val="20"/>
        </w:rPr>
        <w:t>Bufquin</w:t>
      </w:r>
      <w:proofErr w:type="spellEnd"/>
      <w:r w:rsidRPr="0073405E">
        <w:rPr>
          <w:rFonts w:ascii="Calibri" w:hAnsi="Calibri" w:cs="Calibri"/>
          <w:i/>
          <w:iCs/>
          <w:color w:val="2F5496" w:themeColor="accent5" w:themeShade="BF"/>
          <w:sz w:val="20"/>
        </w:rPr>
        <w:t xml:space="preserve"> et al., 2021; </w:t>
      </w:r>
      <w:proofErr w:type="spellStart"/>
      <w:r w:rsidRPr="0073405E">
        <w:rPr>
          <w:rFonts w:ascii="Calibri" w:hAnsi="Calibri" w:cs="Calibri"/>
          <w:i/>
          <w:iCs/>
          <w:color w:val="2F5496" w:themeColor="accent5" w:themeShade="BF"/>
          <w:sz w:val="20"/>
        </w:rPr>
        <w:t>Weerakit</w:t>
      </w:r>
      <w:proofErr w:type="spellEnd"/>
      <w:r w:rsidRPr="0073405E">
        <w:rPr>
          <w:rFonts w:ascii="Calibri" w:hAnsi="Calibri" w:cs="Calibri"/>
          <w:i/>
          <w:iCs/>
          <w:color w:val="2F5496" w:themeColor="accent5" w:themeShade="BF"/>
          <w:sz w:val="20"/>
        </w:rPr>
        <w:t xml:space="preserve"> et al., 2025; Wong et al., 2025)</w:t>
      </w:r>
    </w:p>
    <w:p w14:paraId="323E2C90" w14:textId="77777777" w:rsidR="00681EC9" w:rsidRPr="0073405E" w:rsidRDefault="00681EC9" w:rsidP="00681EC9">
      <w:pPr>
        <w:spacing w:after="0" w:line="360" w:lineRule="auto"/>
        <w:jc w:val="center"/>
        <w:rPr>
          <w:rFonts w:ascii="Calibri" w:hAnsi="Calibri" w:cs="Calibri"/>
          <w:color w:val="2F5496" w:themeColor="accent5" w:themeShade="BF"/>
          <w:sz w:val="20"/>
        </w:rPr>
      </w:pPr>
    </w:p>
    <w:p w14:paraId="26B9452B" w14:textId="77777777" w:rsidR="00A17D8B" w:rsidRPr="0073405E" w:rsidRDefault="006511EC" w:rsidP="00306C43">
      <w:pPr>
        <w:pStyle w:val="Heading1"/>
        <w:rPr>
          <w:highlight w:val="yellow"/>
        </w:rPr>
      </w:pPr>
      <w:bookmarkStart w:id="3" w:name="_Toc211432155"/>
      <w:r w:rsidRPr="0073405E">
        <w:t xml:space="preserve">4. Theme </w:t>
      </w:r>
      <w:r w:rsidRPr="00306C43">
        <w:t>impact</w:t>
      </w:r>
      <w:r w:rsidRPr="0073405E">
        <w:t xml:space="preserve"> analysis</w:t>
      </w:r>
      <w:bookmarkEnd w:id="3"/>
    </w:p>
    <w:p w14:paraId="4A8012B6"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The ultimate issue of mental health challenges in the hospitality industry has not been a recent occurrence, but the COVID-19 pandemic transformed it into a crisis. Employees were exposed to stress and burnout that they had never experienced before and most of them have opted out of the industry altogether. On a modified SWOT model, this section will critically examine the strengths, weaknesses, opportunities, and threats in mental health and turnover in hospitality to identify what is, what is not, and what progress can be made </w:t>
      </w:r>
      <w:proofErr w:type="gramStart"/>
      <w:r w:rsidRPr="00306C43">
        <w:rPr>
          <w:rFonts w:ascii="Calibri" w:hAnsi="Calibri" w:cs="Calibri"/>
          <w:sz w:val="24"/>
          <w:lang w:val="en-US"/>
        </w:rPr>
        <w:t>in the area of</w:t>
      </w:r>
      <w:proofErr w:type="gramEnd"/>
      <w:r w:rsidRPr="00306C43">
        <w:rPr>
          <w:rFonts w:ascii="Calibri" w:hAnsi="Calibri" w:cs="Calibri"/>
          <w:sz w:val="24"/>
          <w:lang w:val="en-US"/>
        </w:rPr>
        <w:t xml:space="preserve"> meaningful progress.</w:t>
      </w:r>
    </w:p>
    <w:p w14:paraId="408E6544" w14:textId="77777777" w:rsidR="00306C43" w:rsidRDefault="00306C43" w:rsidP="00306C43">
      <w:pPr>
        <w:spacing w:after="0" w:line="360" w:lineRule="auto"/>
        <w:jc w:val="both"/>
        <w:rPr>
          <w:rFonts w:ascii="Calibri" w:hAnsi="Calibri" w:cs="Calibri"/>
          <w:sz w:val="24"/>
          <w:lang w:val="en-US"/>
        </w:rPr>
      </w:pPr>
      <w:r w:rsidRPr="00681EC9">
        <w:rPr>
          <w:rFonts w:ascii="Calibri" w:hAnsi="Calibri" w:cs="Calibri"/>
          <w:b/>
          <w:bCs/>
          <w:sz w:val="24"/>
          <w:lang w:val="en-US"/>
        </w:rPr>
        <w:t>Strengths: A Growing Focus on Employee Well-Being</w:t>
      </w:r>
    </w:p>
    <w:p w14:paraId="69FFCD9A"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A positive aspect is that an increased number of hospitality companies started to focus on the welfare of their employees. Researchers indicate that organizations which invest in employee assistance programs, resilience training, and wellness programs are less stressed and turnover </w:t>
      </w:r>
      <w:r w:rsidRPr="00306C43">
        <w:rPr>
          <w:rFonts w:ascii="Calibri" w:hAnsi="Calibri" w:cs="Calibri"/>
          <w:sz w:val="24"/>
          <w:lang w:val="en-US"/>
        </w:rPr>
        <w:lastRenderedPageBreak/>
        <w:t>is reduced (</w:t>
      </w:r>
      <w:proofErr w:type="spellStart"/>
      <w:r w:rsidRPr="00306C43">
        <w:rPr>
          <w:rFonts w:ascii="Calibri" w:hAnsi="Calibri" w:cs="Calibri"/>
          <w:sz w:val="24"/>
          <w:lang w:val="en-US"/>
        </w:rPr>
        <w:t>Schwepker</w:t>
      </w:r>
      <w:proofErr w:type="spellEnd"/>
      <w:r w:rsidRPr="00306C43">
        <w:rPr>
          <w:rFonts w:ascii="Calibri" w:hAnsi="Calibri" w:cs="Calibri"/>
          <w:sz w:val="24"/>
          <w:lang w:val="en-US"/>
        </w:rPr>
        <w:t xml:space="preserve"> and Dimitriou, 2021; </w:t>
      </w:r>
      <w:proofErr w:type="spellStart"/>
      <w:r w:rsidRPr="00306C43">
        <w:rPr>
          <w:rFonts w:ascii="Calibri" w:hAnsi="Calibri" w:cs="Calibri"/>
          <w:sz w:val="24"/>
          <w:lang w:val="en-US"/>
        </w:rPr>
        <w:t>Haldorai</w:t>
      </w:r>
      <w:proofErr w:type="spellEnd"/>
      <w:r w:rsidRPr="00306C43">
        <w:rPr>
          <w:rFonts w:ascii="Calibri" w:hAnsi="Calibri" w:cs="Calibri"/>
          <w:sz w:val="24"/>
          <w:lang w:val="en-US"/>
        </w:rPr>
        <w:t xml:space="preserve"> et al., 2023). Transformational and ethical leadership that involves managers being concerned about the welfare of staff has worked particularly well. Supportive leaders create feelings of belonging and </w:t>
      </w:r>
      <w:proofErr w:type="gramStart"/>
      <w:r w:rsidRPr="00306C43">
        <w:rPr>
          <w:rFonts w:ascii="Calibri" w:hAnsi="Calibri" w:cs="Calibri"/>
          <w:sz w:val="24"/>
          <w:lang w:val="en-US"/>
        </w:rPr>
        <w:t>feeling</w:t>
      </w:r>
      <w:proofErr w:type="gramEnd"/>
      <w:r w:rsidRPr="00306C43">
        <w:rPr>
          <w:rFonts w:ascii="Calibri" w:hAnsi="Calibri" w:cs="Calibri"/>
          <w:sz w:val="24"/>
          <w:lang w:val="en-US"/>
        </w:rPr>
        <w:t xml:space="preserve"> of security directly enhancing morale and retention.</w:t>
      </w:r>
    </w:p>
    <w:p w14:paraId="157F7420"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Firms that comprehensively include mental health in business are also enjoying the fruits of performance. When employees are truly appreciated, then engagement and productivity levels are automatically increased. The change in culture is an indication that the issue of mental health is not an HR peripheral issue anymore but a determinant of organizational success. Hospitality companies are creating more cohesive and supportive managers through the incorporation of empathy and a sense of psychological safety in their </w:t>
      </w:r>
      <w:proofErr w:type="gramStart"/>
      <w:r w:rsidRPr="00306C43">
        <w:rPr>
          <w:rFonts w:ascii="Calibri" w:hAnsi="Calibri" w:cs="Calibri"/>
          <w:sz w:val="24"/>
          <w:lang w:val="en-US"/>
        </w:rPr>
        <w:t>day to day</w:t>
      </w:r>
      <w:proofErr w:type="gramEnd"/>
      <w:r w:rsidRPr="00306C43">
        <w:rPr>
          <w:rFonts w:ascii="Calibri" w:hAnsi="Calibri" w:cs="Calibri"/>
          <w:sz w:val="24"/>
          <w:lang w:val="en-US"/>
        </w:rPr>
        <w:t xml:space="preserve"> activities.</w:t>
      </w:r>
    </w:p>
    <w:p w14:paraId="4CD5AFF7" w14:textId="77777777" w:rsidR="00306C43" w:rsidRDefault="00306C43" w:rsidP="00306C43">
      <w:pPr>
        <w:spacing w:after="0" w:line="360" w:lineRule="auto"/>
        <w:jc w:val="both"/>
        <w:rPr>
          <w:rFonts w:ascii="Calibri" w:hAnsi="Calibri" w:cs="Calibri"/>
          <w:sz w:val="24"/>
          <w:lang w:val="en-US"/>
        </w:rPr>
      </w:pPr>
      <w:r>
        <w:rPr>
          <w:rFonts w:ascii="Calibri" w:hAnsi="Calibri" w:cs="Calibri"/>
          <w:b/>
          <w:bCs/>
          <w:sz w:val="24"/>
          <w:lang w:val="en-US"/>
        </w:rPr>
        <w:t>Weaknesses: Persistent Systemic and Structural Barriers</w:t>
      </w:r>
    </w:p>
    <w:p w14:paraId="0FAB463B"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Irrespective of the improvement, there are still weak points in the industry. The variable nature of most hospitality employees, such as tips, </w:t>
      </w:r>
      <w:proofErr w:type="spellStart"/>
      <w:r w:rsidRPr="00306C43">
        <w:rPr>
          <w:rFonts w:ascii="Calibri" w:hAnsi="Calibri" w:cs="Calibri"/>
          <w:sz w:val="24"/>
          <w:lang w:val="en-US"/>
        </w:rPr>
        <w:t>zero-hour</w:t>
      </w:r>
      <w:proofErr w:type="spellEnd"/>
      <w:r w:rsidRPr="00306C43">
        <w:rPr>
          <w:rFonts w:ascii="Calibri" w:hAnsi="Calibri" w:cs="Calibri"/>
          <w:sz w:val="24"/>
          <w:lang w:val="en-US"/>
        </w:rPr>
        <w:t xml:space="preserve"> contracts, or seasonal shifts, </w:t>
      </w:r>
      <w:proofErr w:type="gramStart"/>
      <w:r w:rsidRPr="00306C43">
        <w:rPr>
          <w:rFonts w:ascii="Calibri" w:hAnsi="Calibri" w:cs="Calibri"/>
          <w:sz w:val="24"/>
          <w:lang w:val="en-US"/>
        </w:rPr>
        <w:t>causes</w:t>
      </w:r>
      <w:proofErr w:type="gramEnd"/>
      <w:r w:rsidRPr="00306C43">
        <w:rPr>
          <w:rFonts w:ascii="Calibri" w:hAnsi="Calibri" w:cs="Calibri"/>
          <w:sz w:val="24"/>
          <w:lang w:val="en-US"/>
        </w:rPr>
        <w:t xml:space="preserve"> both financial and psychological disturbances (Baquero, 2023). This instability will nullify any gains produced by well-being programs because employees would not feel safe when their salaries are not regular and their working schedules are uncertain.</w:t>
      </w:r>
    </w:p>
    <w:p w14:paraId="13D596DC" w14:textId="79DCEC99" w:rsidR="009D6A7F" w:rsidRPr="009D6A7F" w:rsidRDefault="009D6A7F" w:rsidP="009D6A7F">
      <w:pPr>
        <w:spacing w:after="0" w:line="360" w:lineRule="auto"/>
        <w:jc w:val="both"/>
        <w:rPr>
          <w:rFonts w:ascii="Calibri" w:hAnsi="Calibri" w:cs="Calibri"/>
          <w:sz w:val="24"/>
          <w:lang w:val="en-US"/>
        </w:rPr>
      </w:pPr>
      <w:proofErr w:type="gramStart"/>
      <w:r w:rsidRPr="009D6A7F">
        <w:rPr>
          <w:rFonts w:ascii="Calibri" w:hAnsi="Calibri" w:cs="Calibri"/>
          <w:sz w:val="24"/>
          <w:lang w:val="en-US"/>
        </w:rPr>
        <w:t>The majority of</w:t>
      </w:r>
      <w:proofErr w:type="gramEnd"/>
      <w:r w:rsidRPr="009D6A7F">
        <w:rPr>
          <w:rFonts w:ascii="Calibri" w:hAnsi="Calibri" w:cs="Calibri"/>
          <w:sz w:val="24"/>
          <w:lang w:val="en-US"/>
        </w:rPr>
        <w:t xml:space="preserve"> the hospitality sector consists of the small and medium-sized enterprises (SMEs), which are too small to afford and lack the competence to provide a successful mental health program. </w:t>
      </w:r>
      <w:proofErr w:type="gramStart"/>
      <w:r w:rsidRPr="009D6A7F">
        <w:rPr>
          <w:rFonts w:ascii="Calibri" w:hAnsi="Calibri" w:cs="Calibri"/>
          <w:sz w:val="24"/>
          <w:lang w:val="en-US"/>
        </w:rPr>
        <w:t>Even</w:t>
      </w:r>
      <w:proofErr w:type="gramEnd"/>
      <w:r w:rsidRPr="009D6A7F">
        <w:rPr>
          <w:rFonts w:ascii="Calibri" w:hAnsi="Calibri" w:cs="Calibri"/>
          <w:sz w:val="24"/>
          <w:lang w:val="en-US"/>
        </w:rPr>
        <w:t xml:space="preserve"> the initiatives that include such do exist, there is no even assessment of such initiatives despite their existence, their actual impact is still unknown (Wong et al., 2025). Without standard measures, much of the activity is mere appearance rather than </w:t>
      </w:r>
      <w:proofErr w:type="gramStart"/>
      <w:r w:rsidRPr="009D6A7F">
        <w:rPr>
          <w:rFonts w:ascii="Calibri" w:hAnsi="Calibri" w:cs="Calibri"/>
          <w:sz w:val="24"/>
          <w:lang w:val="en-US"/>
        </w:rPr>
        <w:t>change;</w:t>
      </w:r>
      <w:proofErr w:type="gramEnd"/>
      <w:r w:rsidRPr="009D6A7F">
        <w:rPr>
          <w:rFonts w:ascii="Calibri" w:hAnsi="Calibri" w:cs="Calibri"/>
          <w:sz w:val="24"/>
          <w:lang w:val="en-US"/>
        </w:rPr>
        <w:t xml:space="preserve"> a cause of burnout </w:t>
      </w:r>
      <w:r>
        <w:rPr>
          <w:rFonts w:ascii="Calibri" w:hAnsi="Calibri" w:cs="Calibri"/>
          <w:sz w:val="24"/>
          <w:lang w:val="en-US"/>
        </w:rPr>
        <w:t>and turnover at any given time.</w:t>
      </w:r>
    </w:p>
    <w:p w14:paraId="5E4165F7" w14:textId="77777777" w:rsidR="009D6A7F" w:rsidRDefault="009D6A7F" w:rsidP="009D6A7F">
      <w:pPr>
        <w:spacing w:after="0" w:line="360" w:lineRule="auto"/>
        <w:jc w:val="both"/>
        <w:rPr>
          <w:rFonts w:ascii="Calibri" w:hAnsi="Calibri" w:cs="Calibri"/>
          <w:sz w:val="24"/>
          <w:lang w:val="en-US"/>
        </w:rPr>
      </w:pPr>
      <w:r>
        <w:rPr>
          <w:rFonts w:ascii="Calibri" w:hAnsi="Calibri" w:cs="Calibri"/>
          <w:b/>
          <w:bCs/>
          <w:sz w:val="24"/>
          <w:lang w:val="en-US"/>
        </w:rPr>
        <w:t>Opportunities: Expanding and Embedding Mental Health Support</w:t>
      </w:r>
    </w:p>
    <w:p w14:paraId="10823E70" w14:textId="39C7326B" w:rsidR="00306C43" w:rsidRPr="00306C43" w:rsidRDefault="009D6A7F" w:rsidP="009D6A7F">
      <w:pPr>
        <w:spacing w:after="0" w:line="360" w:lineRule="auto"/>
        <w:jc w:val="both"/>
        <w:rPr>
          <w:rFonts w:ascii="Calibri" w:hAnsi="Calibri" w:cs="Calibri"/>
          <w:sz w:val="24"/>
          <w:lang w:val="en-US"/>
        </w:rPr>
      </w:pPr>
      <w:r w:rsidRPr="009D6A7F">
        <w:rPr>
          <w:rFonts w:ascii="Calibri" w:hAnsi="Calibri" w:cs="Calibri"/>
          <w:sz w:val="24"/>
          <w:lang w:val="en-US"/>
        </w:rPr>
        <w:t xml:space="preserve">The possibilities of integrating psychosocial health into health and safety systems are enormous. Monitoring workload, guaranteeing living wages, and integrating the consideration of mental health into HR policies could produce the stability, equity, and positivity of the long-term workforce </w:t>
      </w:r>
      <w:r>
        <w:rPr>
          <w:rFonts w:ascii="Calibri" w:hAnsi="Calibri" w:cs="Calibri"/>
          <w:sz w:val="24"/>
          <w:lang w:val="en-US"/>
        </w:rPr>
        <w:t>sustainability</w:t>
      </w:r>
      <w:r w:rsidR="00306C43" w:rsidRPr="00306C43">
        <w:rPr>
          <w:rFonts w:ascii="Calibri" w:hAnsi="Calibri" w:cs="Calibri"/>
          <w:sz w:val="24"/>
          <w:lang w:val="en-US"/>
        </w:rPr>
        <w:t xml:space="preserve"> (</w:t>
      </w:r>
      <w:proofErr w:type="spellStart"/>
      <w:r w:rsidR="00306C43" w:rsidRPr="00306C43">
        <w:rPr>
          <w:rFonts w:ascii="Calibri" w:hAnsi="Calibri" w:cs="Calibri"/>
          <w:sz w:val="24"/>
          <w:lang w:val="en-US"/>
        </w:rPr>
        <w:t>Schwepker</w:t>
      </w:r>
      <w:proofErr w:type="spellEnd"/>
      <w:r w:rsidR="00306C43" w:rsidRPr="00306C43">
        <w:rPr>
          <w:rFonts w:ascii="Calibri" w:hAnsi="Calibri" w:cs="Calibri"/>
          <w:sz w:val="24"/>
          <w:lang w:val="en-US"/>
        </w:rPr>
        <w:t xml:space="preserve"> &amp; Dimitriou, 2021).</w:t>
      </w:r>
    </w:p>
    <w:p w14:paraId="6FA1FD5E"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There would also be sector-wide cooperation that will even out the playing field. Smaller companies may implement mental health programs with minimal financial pressure because </w:t>
      </w:r>
      <w:r w:rsidRPr="00306C43">
        <w:rPr>
          <w:rFonts w:ascii="Calibri" w:hAnsi="Calibri" w:cs="Calibri"/>
          <w:sz w:val="24"/>
          <w:lang w:val="en-US"/>
        </w:rPr>
        <w:lastRenderedPageBreak/>
        <w:t xml:space="preserve">shared templates, training programs, and supported by the government subsidies may be used (Monteiro and Joseph, 2023; </w:t>
      </w:r>
      <w:proofErr w:type="spellStart"/>
      <w:r w:rsidRPr="00306C43">
        <w:rPr>
          <w:rFonts w:ascii="Calibri" w:hAnsi="Calibri" w:cs="Calibri"/>
          <w:sz w:val="24"/>
          <w:lang w:val="en-US"/>
        </w:rPr>
        <w:t>Weerakit</w:t>
      </w:r>
      <w:proofErr w:type="spellEnd"/>
      <w:r w:rsidRPr="00306C43">
        <w:rPr>
          <w:rFonts w:ascii="Calibri" w:hAnsi="Calibri" w:cs="Calibri"/>
          <w:sz w:val="24"/>
          <w:lang w:val="en-US"/>
        </w:rPr>
        <w:t xml:space="preserve"> et al., 2025). Furthermore, the leadership development courses based on empathy, communication, and ethical decision-making may have a domino effect- spreading the supportive workplace cultures to the rest of the industry.</w:t>
      </w:r>
    </w:p>
    <w:p w14:paraId="2F7ACA4F" w14:textId="77777777" w:rsidR="00306C43" w:rsidRDefault="00306C43" w:rsidP="00306C43">
      <w:pPr>
        <w:spacing w:after="0" w:line="360" w:lineRule="auto"/>
        <w:jc w:val="both"/>
        <w:rPr>
          <w:rFonts w:ascii="Calibri" w:hAnsi="Calibri" w:cs="Calibri"/>
          <w:sz w:val="24"/>
          <w:lang w:val="en-US"/>
        </w:rPr>
      </w:pPr>
      <w:r>
        <w:rPr>
          <w:rFonts w:ascii="Calibri" w:hAnsi="Calibri" w:cs="Calibri"/>
          <w:b/>
          <w:bCs/>
          <w:sz w:val="24"/>
          <w:lang w:val="en-US"/>
        </w:rPr>
        <w:t>Threats: Superficial Interventions and Managerial Complacency</w:t>
      </w:r>
    </w:p>
    <w:p w14:paraId="755CC8FF"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However, real threats remain. Most hospitality organizations use ad hoc, short-term solutions, such as mindfulness sessions or resiliency workshops, which do not focus on the structural factors of stress. These temporary solutions pose a threat of pushing the responsibility of well-being on the employees instead of alleviating working conditions. These programs are not a long-run solution unless the underlying causes of low pay, high workload and inconsistent scheduling are addressed.</w:t>
      </w:r>
    </w:p>
    <w:p w14:paraId="0397C930" w14:textId="06AF0D81"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There is also changing </w:t>
      </w:r>
      <w:proofErr w:type="gramStart"/>
      <w:r w:rsidRPr="00306C43">
        <w:rPr>
          <w:rFonts w:ascii="Calibri" w:hAnsi="Calibri" w:cs="Calibri"/>
          <w:sz w:val="24"/>
          <w:lang w:val="en-US"/>
        </w:rPr>
        <w:t>of</w:t>
      </w:r>
      <w:proofErr w:type="gramEnd"/>
      <w:r w:rsidRPr="00306C43">
        <w:rPr>
          <w:rFonts w:ascii="Calibri" w:hAnsi="Calibri" w:cs="Calibri"/>
          <w:sz w:val="24"/>
          <w:lang w:val="en-US"/>
        </w:rPr>
        <w:t xml:space="preserve"> workers’ expectations. The psychological safety, the constant support and the ethical leadership offered to employees now are real. Any inability to live up to them may result in image attacks and massive turnover (</w:t>
      </w:r>
      <w:proofErr w:type="spellStart"/>
      <w:r w:rsidRPr="00306C43">
        <w:rPr>
          <w:rFonts w:ascii="Calibri" w:hAnsi="Calibri" w:cs="Calibri"/>
          <w:sz w:val="24"/>
          <w:lang w:val="en-US"/>
        </w:rPr>
        <w:t>Bufquin</w:t>
      </w:r>
      <w:proofErr w:type="spellEnd"/>
      <w:r w:rsidRPr="00306C43">
        <w:rPr>
          <w:rFonts w:ascii="Calibri" w:hAnsi="Calibri" w:cs="Calibri"/>
          <w:sz w:val="24"/>
          <w:lang w:val="en-US"/>
        </w:rPr>
        <w:t xml:space="preserve"> et al., 2021; Wong et al., 2025). Those companies who fail to notice these changes will lose their credibility, as well as their staff, to other companies that take mental health seriously.</w:t>
      </w:r>
    </w:p>
    <w:p w14:paraId="5F7AEEB8" w14:textId="77777777" w:rsidR="00306C43" w:rsidRDefault="00306C43" w:rsidP="00306C43">
      <w:pPr>
        <w:spacing w:after="0" w:line="360" w:lineRule="auto"/>
        <w:jc w:val="both"/>
        <w:rPr>
          <w:rFonts w:ascii="Calibri" w:hAnsi="Calibri" w:cs="Calibri"/>
          <w:sz w:val="24"/>
          <w:lang w:val="en-US"/>
        </w:rPr>
      </w:pPr>
      <w:r>
        <w:rPr>
          <w:rFonts w:ascii="Calibri" w:hAnsi="Calibri" w:cs="Calibri"/>
          <w:b/>
          <w:bCs/>
          <w:sz w:val="24"/>
          <w:lang w:val="en-US"/>
        </w:rPr>
        <w:t>Mixed Results: Lessons from Practice</w:t>
      </w:r>
    </w:p>
    <w:p w14:paraId="3F887406"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The practical results are inconclusive. As an example, quarantine hotels also created temporary mental health initiatives during the pandemic stress that led to a reduction in stress to disappear after the money ran out (</w:t>
      </w:r>
      <w:proofErr w:type="spellStart"/>
      <w:r w:rsidRPr="00306C43">
        <w:rPr>
          <w:rFonts w:ascii="Calibri" w:hAnsi="Calibri" w:cs="Calibri"/>
          <w:sz w:val="24"/>
          <w:lang w:val="en-US"/>
        </w:rPr>
        <w:t>Hadodra</w:t>
      </w:r>
      <w:proofErr w:type="spellEnd"/>
      <w:r w:rsidRPr="00306C43">
        <w:rPr>
          <w:rFonts w:ascii="Calibri" w:hAnsi="Calibri" w:cs="Calibri"/>
          <w:sz w:val="24"/>
          <w:lang w:val="en-US"/>
        </w:rPr>
        <w:t xml:space="preserve"> et al., 2023). Likewise, the bigger hotel chains tried manager training and changes in scheduling to have only slight improvements but random and long-term effects (Lai and Cai, 2023).</w:t>
      </w:r>
    </w:p>
    <w:p w14:paraId="2364FBBC" w14:textId="635430D5"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These trends show that individual efforts may be </w:t>
      </w:r>
      <w:proofErr w:type="gramStart"/>
      <w:r w:rsidRPr="00306C43">
        <w:rPr>
          <w:rFonts w:ascii="Calibri" w:hAnsi="Calibri" w:cs="Calibri"/>
          <w:sz w:val="24"/>
          <w:lang w:val="en-US"/>
        </w:rPr>
        <w:t>useful</w:t>
      </w:r>
      <w:proofErr w:type="gramEnd"/>
      <w:r w:rsidRPr="00306C43">
        <w:rPr>
          <w:rFonts w:ascii="Calibri" w:hAnsi="Calibri" w:cs="Calibri"/>
          <w:sz w:val="24"/>
          <w:lang w:val="en-US"/>
        </w:rPr>
        <w:t xml:space="preserve"> but they should be included in a larger strategy that has to be continuous. To offer sustainable solutions, it is necessary to incorporate employee assistance, peer support, stable income systems, and just scheduling between th</w:t>
      </w:r>
      <w:r w:rsidR="00403B94">
        <w:rPr>
          <w:rFonts w:ascii="Calibri" w:hAnsi="Calibri" w:cs="Calibri"/>
          <w:sz w:val="24"/>
          <w:lang w:val="en-US"/>
        </w:rPr>
        <w:t>e select day-to-day operations.</w:t>
      </w:r>
    </w:p>
    <w:p w14:paraId="1801010B" w14:textId="77777777" w:rsidR="00306C43" w:rsidRDefault="00306C43" w:rsidP="00306C43">
      <w:pPr>
        <w:pStyle w:val="Heading1"/>
      </w:pPr>
      <w:bookmarkStart w:id="4" w:name="_Toc211432156"/>
      <w:r>
        <w:lastRenderedPageBreak/>
        <w:t xml:space="preserve">5. </w:t>
      </w:r>
      <w:r w:rsidRPr="00306C43">
        <w:t>Conclusion</w:t>
      </w:r>
      <w:bookmarkEnd w:id="4"/>
    </w:p>
    <w:p w14:paraId="00EF9A3F" w14:textId="0C500C24"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The issue of mental health within </w:t>
      </w:r>
      <w:proofErr w:type="gramStart"/>
      <w:r w:rsidRPr="00306C43">
        <w:rPr>
          <w:rFonts w:ascii="Calibri" w:hAnsi="Calibri" w:cs="Calibri"/>
          <w:sz w:val="24"/>
          <w:lang w:val="en-US"/>
        </w:rPr>
        <w:t>a hospitality</w:t>
      </w:r>
      <w:proofErr w:type="gramEnd"/>
      <w:r w:rsidRPr="00306C43">
        <w:rPr>
          <w:rFonts w:ascii="Calibri" w:hAnsi="Calibri" w:cs="Calibri"/>
          <w:sz w:val="24"/>
          <w:lang w:val="en-US"/>
        </w:rPr>
        <w:t xml:space="preserve"> sector creates severe threats to the employees and their business. Burnout and turnover are caused by the factors such as unstable work conditions, emotional stress, and poor leadership. Nevertheless, stress can be decreased through ethical leadership, reasonable schedules, and well-being proactive efforts, which enhances retention. Actual improvement</w:t>
      </w:r>
      <w:r>
        <w:rPr>
          <w:rFonts w:ascii="Calibri" w:hAnsi="Calibri" w:cs="Calibri"/>
          <w:sz w:val="24"/>
          <w:lang w:val="en-US"/>
        </w:rPr>
        <w:t xml:space="preserve"> requires institutional change,</w:t>
      </w:r>
      <w:r w:rsidRPr="00306C43">
        <w:rPr>
          <w:rFonts w:ascii="Calibri" w:hAnsi="Calibri" w:cs="Calibri"/>
          <w:sz w:val="24"/>
          <w:lang w:val="en-US"/>
        </w:rPr>
        <w:t xml:space="preserve"> not only resilience training. Making mental health part of working strategy, the hospitality sector will be able to enhance </w:t>
      </w:r>
      <w:proofErr w:type="gramStart"/>
      <w:r w:rsidRPr="00306C43">
        <w:rPr>
          <w:rFonts w:ascii="Calibri" w:hAnsi="Calibri" w:cs="Calibri"/>
          <w:sz w:val="24"/>
          <w:lang w:val="en-US"/>
        </w:rPr>
        <w:t>the competitiveness</w:t>
      </w:r>
      <w:proofErr w:type="gramEnd"/>
      <w:r w:rsidRPr="00306C43">
        <w:rPr>
          <w:rFonts w:ascii="Calibri" w:hAnsi="Calibri" w:cs="Calibri"/>
          <w:sz w:val="24"/>
          <w:lang w:val="en-US"/>
        </w:rPr>
        <w:t>, maintain the quality of services and preserve the well-being of the emplo</w:t>
      </w:r>
      <w:r w:rsidR="00403B94">
        <w:rPr>
          <w:rFonts w:ascii="Calibri" w:hAnsi="Calibri" w:cs="Calibri"/>
          <w:sz w:val="24"/>
          <w:lang w:val="en-US"/>
        </w:rPr>
        <w:t xml:space="preserve">yed personnel in the long run. </w:t>
      </w:r>
    </w:p>
    <w:p w14:paraId="2758D033" w14:textId="77777777" w:rsidR="00306C43" w:rsidRDefault="00306C43" w:rsidP="00306C43">
      <w:pPr>
        <w:pStyle w:val="Heading1"/>
      </w:pPr>
      <w:bookmarkStart w:id="5" w:name="_Toc211432157"/>
      <w:r>
        <w:t xml:space="preserve">6. </w:t>
      </w:r>
      <w:r w:rsidRPr="00306C43">
        <w:t>Recommendations</w:t>
      </w:r>
      <w:bookmarkEnd w:id="5"/>
    </w:p>
    <w:p w14:paraId="1537FEDC" w14:textId="77777777" w:rsidR="00306C43" w:rsidRDefault="00306C43" w:rsidP="00306C43">
      <w:pPr>
        <w:spacing w:after="0" w:line="360" w:lineRule="auto"/>
        <w:jc w:val="both"/>
        <w:rPr>
          <w:rFonts w:ascii="Calibri" w:eastAsia="Times New Roman" w:hAnsi="Calibri" w:cs="Calibri"/>
          <w:sz w:val="24"/>
          <w:szCs w:val="24"/>
          <w:lang w:val="en-US" w:eastAsia="en-GB"/>
        </w:rPr>
      </w:pPr>
      <w:r>
        <w:rPr>
          <w:rFonts w:ascii="Calibri" w:eastAsia="Times New Roman" w:hAnsi="Calibri" w:cs="Calibri"/>
          <w:b/>
          <w:bCs/>
          <w:sz w:val="24"/>
          <w:szCs w:val="24"/>
          <w:lang w:val="en-US" w:eastAsia="en-GB"/>
        </w:rPr>
        <w:t>Psychosocial Risk Assessment</w:t>
      </w:r>
    </w:p>
    <w:p w14:paraId="33606FC3" w14:textId="77777777"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Psychosocial risk assessment should be included in the current health and safety systems in hospitality businesses. This is done by methodically detecting stressors like heavy workload, irregular shifts or inadequate rest periods. Signs of burnout are better identified at the early stages with the assistance of quarterly well-being audits, staff surveys and anonymous feedback tools. </w:t>
      </w:r>
      <w:proofErr w:type="gramStart"/>
      <w:r w:rsidRPr="00306C43">
        <w:rPr>
          <w:rFonts w:ascii="Calibri" w:hAnsi="Calibri" w:cs="Calibri"/>
          <w:sz w:val="24"/>
          <w:lang w:val="en-US"/>
        </w:rPr>
        <w:t>On the basis of</w:t>
      </w:r>
      <w:proofErr w:type="gramEnd"/>
      <w:r w:rsidRPr="00306C43">
        <w:rPr>
          <w:rFonts w:ascii="Calibri" w:hAnsi="Calibri" w:cs="Calibri"/>
          <w:sz w:val="24"/>
          <w:lang w:val="en-US"/>
        </w:rPr>
        <w:t xml:space="preserve"> these results, employers ought to implement </w:t>
      </w:r>
      <w:proofErr w:type="gramStart"/>
      <w:r w:rsidRPr="00306C43">
        <w:rPr>
          <w:rFonts w:ascii="Calibri" w:hAnsi="Calibri" w:cs="Calibri"/>
          <w:sz w:val="24"/>
          <w:lang w:val="en-US"/>
        </w:rPr>
        <w:t>the structural</w:t>
      </w:r>
      <w:proofErr w:type="gramEnd"/>
      <w:r w:rsidRPr="00306C43">
        <w:rPr>
          <w:rFonts w:ascii="Calibri" w:hAnsi="Calibri" w:cs="Calibri"/>
          <w:sz w:val="24"/>
          <w:lang w:val="en-US"/>
        </w:rPr>
        <w:t xml:space="preserve"> modifications, such as pre-programmed and regular shifts, restrictions on the number of working days in succession, as well as sufficient rest periods, to establish a healthier and more balanced work schedule.</w:t>
      </w:r>
    </w:p>
    <w:p w14:paraId="4D51E8CB" w14:textId="77777777" w:rsidR="00306C43" w:rsidRDefault="00306C43" w:rsidP="00306C43">
      <w:pPr>
        <w:spacing w:after="0" w:line="360" w:lineRule="auto"/>
        <w:jc w:val="both"/>
        <w:rPr>
          <w:rFonts w:ascii="Calibri" w:eastAsia="Times New Roman" w:hAnsi="Calibri" w:cs="Calibri"/>
          <w:sz w:val="24"/>
          <w:szCs w:val="24"/>
          <w:lang w:val="en-US" w:eastAsia="en-GB"/>
        </w:rPr>
      </w:pPr>
      <w:r>
        <w:rPr>
          <w:rFonts w:ascii="Calibri" w:eastAsia="Times New Roman" w:hAnsi="Calibri" w:cs="Calibri"/>
          <w:b/>
          <w:bCs/>
          <w:sz w:val="24"/>
          <w:szCs w:val="24"/>
          <w:lang w:val="en-US" w:eastAsia="en-GB"/>
        </w:rPr>
        <w:t>Leadership and Training</w:t>
      </w:r>
    </w:p>
    <w:p w14:paraId="15AC5293" w14:textId="313D3B3C"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Good and understanding leadership is necessary. Managers should be trained </w:t>
      </w:r>
      <w:proofErr w:type="gramStart"/>
      <w:r w:rsidRPr="00306C43">
        <w:rPr>
          <w:rFonts w:ascii="Calibri" w:hAnsi="Calibri" w:cs="Calibri"/>
          <w:sz w:val="24"/>
          <w:lang w:val="en-US"/>
        </w:rPr>
        <w:t>on</w:t>
      </w:r>
      <w:proofErr w:type="gramEnd"/>
      <w:r w:rsidRPr="00306C43">
        <w:rPr>
          <w:rFonts w:ascii="Calibri" w:hAnsi="Calibri" w:cs="Calibri"/>
          <w:sz w:val="24"/>
          <w:lang w:val="en-US"/>
        </w:rPr>
        <w:t xml:space="preserve"> ethical supervision, psychological, and emotional intelligence </w:t>
      </w:r>
      <w:proofErr w:type="gramStart"/>
      <w:r w:rsidRPr="00306C43">
        <w:rPr>
          <w:rFonts w:ascii="Calibri" w:hAnsi="Calibri" w:cs="Calibri"/>
          <w:sz w:val="24"/>
          <w:lang w:val="en-US"/>
        </w:rPr>
        <w:t>in order to</w:t>
      </w:r>
      <w:proofErr w:type="gramEnd"/>
      <w:r w:rsidRPr="00306C43">
        <w:rPr>
          <w:rFonts w:ascii="Calibri" w:hAnsi="Calibri" w:cs="Calibri"/>
          <w:sz w:val="24"/>
          <w:lang w:val="en-US"/>
        </w:rPr>
        <w:t xml:space="preserve"> identify the signs of distress in the staff early. Leaders </w:t>
      </w:r>
      <w:proofErr w:type="gramStart"/>
      <w:r w:rsidRPr="00306C43">
        <w:rPr>
          <w:rFonts w:ascii="Calibri" w:hAnsi="Calibri" w:cs="Calibri"/>
          <w:sz w:val="24"/>
          <w:lang w:val="en-US"/>
        </w:rPr>
        <w:t>are able to</w:t>
      </w:r>
      <w:proofErr w:type="gramEnd"/>
      <w:r w:rsidRPr="00306C43">
        <w:rPr>
          <w:rFonts w:ascii="Calibri" w:hAnsi="Calibri" w:cs="Calibri"/>
          <w:sz w:val="24"/>
          <w:lang w:val="en-US"/>
        </w:rPr>
        <w:t xml:space="preserve"> add trust and minimize workplace stress by exercising compassionate communication and proactive support. Job satisfaction and retention when employees feel genuinely taken care of is an automatic given (</w:t>
      </w:r>
      <w:proofErr w:type="spellStart"/>
      <w:r w:rsidRPr="00306C43">
        <w:rPr>
          <w:rFonts w:ascii="Calibri" w:hAnsi="Calibri" w:cs="Calibri"/>
          <w:sz w:val="24"/>
          <w:lang w:val="en-US"/>
        </w:rPr>
        <w:t>Schwepker</w:t>
      </w:r>
      <w:proofErr w:type="spellEnd"/>
      <w:r w:rsidRPr="00306C43">
        <w:rPr>
          <w:rFonts w:ascii="Calibri" w:hAnsi="Calibri" w:cs="Calibri"/>
          <w:sz w:val="24"/>
          <w:lang w:val="en-US"/>
        </w:rPr>
        <w:t xml:space="preserve"> and Dimitriou, 2021).</w:t>
      </w:r>
    </w:p>
    <w:p w14:paraId="0A312FA0" w14:textId="77777777" w:rsidR="00306C43" w:rsidRDefault="00306C43" w:rsidP="00306C43">
      <w:pPr>
        <w:spacing w:after="0" w:line="360" w:lineRule="auto"/>
        <w:jc w:val="both"/>
        <w:rPr>
          <w:rFonts w:ascii="Calibri" w:eastAsia="Times New Roman" w:hAnsi="Calibri" w:cs="Calibri"/>
          <w:sz w:val="24"/>
          <w:szCs w:val="24"/>
          <w:lang w:val="en-US" w:eastAsia="en-GB"/>
        </w:rPr>
      </w:pPr>
      <w:r>
        <w:rPr>
          <w:rFonts w:ascii="Calibri" w:eastAsia="Times New Roman" w:hAnsi="Calibri" w:cs="Calibri"/>
          <w:b/>
          <w:bCs/>
          <w:sz w:val="24"/>
          <w:szCs w:val="24"/>
          <w:lang w:val="en-US" w:eastAsia="en-GB"/>
        </w:rPr>
        <w:t>Support for Small Businesses</w:t>
      </w:r>
    </w:p>
    <w:p w14:paraId="0BF05E60" w14:textId="4DD4F0E5"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 xml:space="preserve">The small and medium enterprises do not have the resources to finance strong wellbeing programs. </w:t>
      </w:r>
      <w:proofErr w:type="gramStart"/>
      <w:r w:rsidRPr="00306C43">
        <w:rPr>
          <w:rFonts w:ascii="Calibri" w:hAnsi="Calibri" w:cs="Calibri"/>
          <w:sz w:val="24"/>
          <w:lang w:val="en-US"/>
        </w:rPr>
        <w:t>In order to</w:t>
      </w:r>
      <w:proofErr w:type="gramEnd"/>
      <w:r w:rsidRPr="00306C43">
        <w:rPr>
          <w:rFonts w:ascii="Calibri" w:hAnsi="Calibri" w:cs="Calibri"/>
          <w:sz w:val="24"/>
          <w:lang w:val="en-US"/>
        </w:rPr>
        <w:t xml:space="preserve"> fill this gap, regulatory bodies and trade associations are recommended </w:t>
      </w:r>
      <w:r w:rsidRPr="00306C43">
        <w:rPr>
          <w:rFonts w:ascii="Calibri" w:hAnsi="Calibri" w:cs="Calibri"/>
          <w:sz w:val="24"/>
          <w:lang w:val="en-US"/>
        </w:rPr>
        <w:lastRenderedPageBreak/>
        <w:t>to offer affordable mental health toolkits, shared service models and subsidies on occupational health initiatives. Moreover, shared networks and collaborative programs may assist small operators to introduce an efficient mental health support system without causing significant financial stress (Monteiro and Joseph, 2023).</w:t>
      </w:r>
    </w:p>
    <w:p w14:paraId="62B0B86A" w14:textId="77777777" w:rsidR="00306C43" w:rsidRDefault="00306C43" w:rsidP="00306C43">
      <w:pPr>
        <w:spacing w:after="0" w:line="360" w:lineRule="auto"/>
        <w:jc w:val="both"/>
        <w:rPr>
          <w:rFonts w:ascii="Calibri" w:eastAsia="Times New Roman" w:hAnsi="Calibri" w:cs="Calibri"/>
          <w:sz w:val="24"/>
          <w:szCs w:val="24"/>
          <w:lang w:val="en-US" w:eastAsia="en-GB"/>
        </w:rPr>
      </w:pPr>
      <w:r>
        <w:rPr>
          <w:rFonts w:ascii="Calibri" w:eastAsia="Times New Roman" w:hAnsi="Calibri" w:cs="Calibri"/>
          <w:b/>
          <w:bCs/>
          <w:sz w:val="24"/>
          <w:szCs w:val="24"/>
          <w:lang w:val="en-US" w:eastAsia="en-GB"/>
        </w:rPr>
        <w:t>Linking Well-Being with Pay</w:t>
      </w:r>
    </w:p>
    <w:p w14:paraId="7185CCA8" w14:textId="540BA25D" w:rsidR="00306C43" w:rsidRPr="00306C43" w:rsidRDefault="00306C43" w:rsidP="00306C43">
      <w:pPr>
        <w:spacing w:after="0" w:line="360" w:lineRule="auto"/>
        <w:jc w:val="both"/>
        <w:rPr>
          <w:rFonts w:ascii="Calibri" w:hAnsi="Calibri" w:cs="Calibri"/>
          <w:sz w:val="24"/>
          <w:lang w:val="en-US"/>
        </w:rPr>
      </w:pPr>
      <w:r w:rsidRPr="00306C43">
        <w:rPr>
          <w:rFonts w:ascii="Calibri" w:hAnsi="Calibri" w:cs="Calibri"/>
          <w:sz w:val="24"/>
          <w:lang w:val="en-US"/>
        </w:rPr>
        <w:t>Mental illness and economic stability are inextricably related. Another major way of alleviating stress and burnout is introducing industry-wide working hours’ norms and encouraging living wage programs, backed by tax subsidies or professional certification programs. Financial predictability enables employees, reduces turnover and boosts morale (Baquero, 2023).</w:t>
      </w:r>
    </w:p>
    <w:p w14:paraId="5AF40E08" w14:textId="77777777" w:rsidR="00306C43" w:rsidRDefault="00306C43" w:rsidP="00306C43">
      <w:pPr>
        <w:spacing w:after="0" w:line="360" w:lineRule="auto"/>
        <w:jc w:val="both"/>
        <w:rPr>
          <w:rFonts w:ascii="Calibri" w:eastAsia="Times New Roman" w:hAnsi="Calibri" w:cs="Calibri"/>
          <w:sz w:val="24"/>
          <w:szCs w:val="24"/>
          <w:lang w:val="en-US" w:eastAsia="en-GB"/>
        </w:rPr>
      </w:pPr>
      <w:r>
        <w:rPr>
          <w:rFonts w:ascii="Calibri" w:eastAsia="Times New Roman" w:hAnsi="Calibri" w:cs="Calibri"/>
          <w:b/>
          <w:bCs/>
          <w:sz w:val="24"/>
          <w:szCs w:val="24"/>
          <w:lang w:val="en-US" w:eastAsia="en-GB"/>
        </w:rPr>
        <w:t>Performance and Policy Standards</w:t>
      </w:r>
    </w:p>
    <w:p w14:paraId="0C926ED4" w14:textId="1B37723C" w:rsidR="00681EC9" w:rsidRPr="00681EC9" w:rsidRDefault="00306C43" w:rsidP="005648A7">
      <w:pPr>
        <w:spacing w:after="0" w:line="360" w:lineRule="auto"/>
        <w:jc w:val="both"/>
        <w:rPr>
          <w:rFonts w:ascii="Calibri" w:eastAsia="Times New Roman" w:hAnsi="Calibri" w:cs="Calibri"/>
          <w:sz w:val="24"/>
          <w:szCs w:val="24"/>
          <w:lang w:val="en-US" w:eastAsia="en-GB"/>
        </w:rPr>
      </w:pPr>
      <w:r w:rsidRPr="00306C43">
        <w:rPr>
          <w:rFonts w:ascii="Calibri" w:hAnsi="Calibri" w:cs="Calibri"/>
          <w:sz w:val="24"/>
          <w:lang w:val="en-US"/>
        </w:rPr>
        <w:t>All the mental health programs should be evidence-based. Pilot programs should also entail pre- and post-assessment of retention, service quality and employee well-being (Wong et al., 2025). Lastly, job security, working hours and mental health rights laws should be enhanced by the policymakers. The need to broaden cross-cultural studies over long terms will make certain that these changes are comprehensive, sustainable as well as efficient in the entire hospitality sector worldwide.</w:t>
      </w:r>
      <w:r w:rsidR="005648A7" w:rsidRPr="00681EC9">
        <w:rPr>
          <w:rFonts w:ascii="Calibri" w:eastAsia="Times New Roman" w:hAnsi="Calibri" w:cs="Calibri"/>
          <w:sz w:val="24"/>
          <w:szCs w:val="24"/>
          <w:lang w:val="en-US" w:eastAsia="en-GB"/>
        </w:rPr>
        <w:t xml:space="preserve"> </w:t>
      </w:r>
    </w:p>
    <w:p w14:paraId="37E4B862" w14:textId="64579779" w:rsidR="00681EC9" w:rsidRDefault="00681EC9">
      <w:pPr>
        <w:rPr>
          <w:lang w:val="en-US"/>
        </w:rPr>
      </w:pPr>
      <w:r>
        <w:rPr>
          <w:lang w:val="en-US"/>
        </w:rPr>
        <w:br w:type="page"/>
      </w:r>
    </w:p>
    <w:p w14:paraId="67487961" w14:textId="77777777" w:rsidR="00532341" w:rsidRPr="00532341" w:rsidRDefault="0013365E" w:rsidP="00681EC9">
      <w:pPr>
        <w:pStyle w:val="Heading1"/>
        <w:spacing w:before="0" w:after="0" w:line="360" w:lineRule="auto"/>
        <w:rPr>
          <w:lang w:val="en-US"/>
        </w:rPr>
      </w:pPr>
      <w:bookmarkStart w:id="6" w:name="_Toc211432158"/>
      <w:r>
        <w:rPr>
          <w:lang w:val="en-US"/>
        </w:rPr>
        <w:lastRenderedPageBreak/>
        <w:t>7. References</w:t>
      </w:r>
      <w:bookmarkEnd w:id="6"/>
    </w:p>
    <w:p w14:paraId="4E9C5DB6"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Baquero, A. (</w:t>
      </w:r>
      <w:proofErr w:type="gramStart"/>
      <w:r w:rsidRPr="00FA0886">
        <w:rPr>
          <w:rFonts w:ascii="Calibri" w:hAnsi="Calibri" w:cs="Calibri"/>
          <w:sz w:val="24"/>
          <w:lang w:val="en-US"/>
        </w:rPr>
        <w:t>2023) ‘</w:t>
      </w:r>
      <w:proofErr w:type="gramEnd"/>
      <w:r w:rsidRPr="00FA0886">
        <w:rPr>
          <w:rFonts w:ascii="Calibri" w:hAnsi="Calibri" w:cs="Calibri"/>
          <w:sz w:val="24"/>
          <w:lang w:val="en-US"/>
        </w:rPr>
        <w:t xml:space="preserve">Hotel </w:t>
      </w:r>
      <w:proofErr w:type="gramStart"/>
      <w:r w:rsidRPr="00FA0886">
        <w:rPr>
          <w:rFonts w:ascii="Calibri" w:hAnsi="Calibri" w:cs="Calibri"/>
          <w:sz w:val="24"/>
          <w:lang w:val="en-US"/>
        </w:rPr>
        <w:t>employees</w:t>
      </w:r>
      <w:proofErr w:type="gramEnd"/>
      <w:r w:rsidRPr="00FA0886">
        <w:rPr>
          <w:rFonts w:ascii="Calibri" w:hAnsi="Calibri" w:cs="Calibri"/>
          <w:sz w:val="24"/>
          <w:lang w:val="en-US"/>
        </w:rPr>
        <w:t xml:space="preserve"> burnout and intention to quit: the role of psychological distress and financial well-being in a moderation mediation model’, </w:t>
      </w:r>
      <w:r w:rsidRPr="00FA0886">
        <w:rPr>
          <w:rFonts w:ascii="Calibri" w:hAnsi="Calibri" w:cs="Calibri"/>
          <w:i/>
          <w:iCs/>
          <w:sz w:val="24"/>
          <w:lang w:val="en-US"/>
        </w:rPr>
        <w:t>Behavioral Sciences</w:t>
      </w:r>
      <w:r w:rsidRPr="00FA0886">
        <w:rPr>
          <w:rFonts w:ascii="Calibri" w:hAnsi="Calibri" w:cs="Calibri"/>
          <w:sz w:val="24"/>
          <w:lang w:val="en-US"/>
        </w:rPr>
        <w:t>, 13(2), p. 84.</w:t>
      </w:r>
    </w:p>
    <w:p w14:paraId="5FC3E32F" w14:textId="77777777" w:rsidR="001F4262" w:rsidRPr="00FA0886" w:rsidRDefault="001F4262" w:rsidP="00681EC9">
      <w:pPr>
        <w:spacing w:after="0" w:line="360" w:lineRule="auto"/>
        <w:jc w:val="both"/>
        <w:rPr>
          <w:rFonts w:ascii="Calibri" w:hAnsi="Calibri" w:cs="Calibri"/>
          <w:sz w:val="24"/>
          <w:lang w:val="en-US"/>
        </w:rPr>
      </w:pPr>
      <w:proofErr w:type="spellStart"/>
      <w:r w:rsidRPr="00FA0886">
        <w:rPr>
          <w:rFonts w:ascii="Calibri" w:hAnsi="Calibri" w:cs="Calibri"/>
          <w:sz w:val="24"/>
          <w:lang w:val="en-US"/>
        </w:rPr>
        <w:t>Batabyal</w:t>
      </w:r>
      <w:proofErr w:type="spellEnd"/>
      <w:r w:rsidRPr="00FA0886">
        <w:rPr>
          <w:rFonts w:ascii="Calibri" w:hAnsi="Calibri" w:cs="Calibri"/>
          <w:sz w:val="24"/>
          <w:lang w:val="en-US"/>
        </w:rPr>
        <w:t>, D. and Das, D.K. (eds) (2019) </w:t>
      </w:r>
      <w:r w:rsidRPr="00FA0886">
        <w:rPr>
          <w:rFonts w:ascii="Calibri" w:hAnsi="Calibri" w:cs="Calibri"/>
          <w:i/>
          <w:iCs/>
          <w:sz w:val="24"/>
          <w:lang w:val="en-US"/>
        </w:rPr>
        <w:t>Global trends, practices and challenges in contemporary tourism and hospitality management</w:t>
      </w:r>
      <w:r w:rsidRPr="00FA0886">
        <w:rPr>
          <w:rFonts w:ascii="Calibri" w:hAnsi="Calibri" w:cs="Calibri"/>
          <w:sz w:val="24"/>
          <w:lang w:val="en-US"/>
        </w:rPr>
        <w:t>. Hershey, Pennsylvania: Business Science Reference, an imprint of IGI Global.</w:t>
      </w:r>
    </w:p>
    <w:p w14:paraId="78EF7AA1"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Brotherton, B. (2015) </w:t>
      </w:r>
      <w:r w:rsidRPr="00FA0886">
        <w:rPr>
          <w:rFonts w:ascii="Calibri" w:hAnsi="Calibri" w:cs="Calibri"/>
          <w:i/>
          <w:iCs/>
          <w:sz w:val="24"/>
          <w:lang w:val="en-US"/>
        </w:rPr>
        <w:t>Researching Hospitality &amp; Tourism</w:t>
      </w:r>
      <w:r w:rsidRPr="00FA0886">
        <w:rPr>
          <w:rFonts w:ascii="Calibri" w:hAnsi="Calibri" w:cs="Calibri"/>
          <w:sz w:val="24"/>
          <w:lang w:val="en-US"/>
        </w:rPr>
        <w:t xml:space="preserve">. 2nd </w:t>
      </w:r>
      <w:proofErr w:type="spellStart"/>
      <w:proofErr w:type="gramStart"/>
      <w:r w:rsidRPr="00FA0886">
        <w:rPr>
          <w:rFonts w:ascii="Calibri" w:hAnsi="Calibri" w:cs="Calibri"/>
          <w:sz w:val="24"/>
          <w:lang w:val="en-US"/>
        </w:rPr>
        <w:t>edn</w:t>
      </w:r>
      <w:proofErr w:type="spellEnd"/>
      <w:proofErr w:type="gramEnd"/>
      <w:r w:rsidRPr="00FA0886">
        <w:rPr>
          <w:rFonts w:ascii="Calibri" w:hAnsi="Calibri" w:cs="Calibri"/>
          <w:sz w:val="24"/>
          <w:lang w:val="en-US"/>
        </w:rPr>
        <w:t>. London: Sage.</w:t>
      </w:r>
    </w:p>
    <w:p w14:paraId="16407CA9" w14:textId="77777777" w:rsidR="001F4262" w:rsidRPr="00FA0886" w:rsidRDefault="001F4262" w:rsidP="00681EC9">
      <w:pPr>
        <w:spacing w:after="0" w:line="360" w:lineRule="auto"/>
        <w:jc w:val="both"/>
        <w:rPr>
          <w:rFonts w:ascii="Calibri" w:hAnsi="Calibri" w:cs="Calibri"/>
          <w:sz w:val="24"/>
          <w:lang w:val="en-US"/>
        </w:rPr>
      </w:pPr>
      <w:proofErr w:type="spellStart"/>
      <w:r w:rsidRPr="00FA0886">
        <w:rPr>
          <w:rFonts w:ascii="Calibri" w:hAnsi="Calibri" w:cs="Calibri"/>
          <w:sz w:val="24"/>
          <w:lang w:val="en-US"/>
        </w:rPr>
        <w:t>Bufquin</w:t>
      </w:r>
      <w:proofErr w:type="spellEnd"/>
      <w:r w:rsidRPr="00FA0886">
        <w:rPr>
          <w:rFonts w:ascii="Calibri" w:hAnsi="Calibri" w:cs="Calibri"/>
          <w:sz w:val="24"/>
          <w:lang w:val="en-US"/>
        </w:rPr>
        <w:t>, D., Park, J.Y., Back, R.M., de Souza Meira, J.V. and Hight, S.K. (</w:t>
      </w:r>
      <w:proofErr w:type="gramStart"/>
      <w:r w:rsidRPr="00FA0886">
        <w:rPr>
          <w:rFonts w:ascii="Calibri" w:hAnsi="Calibri" w:cs="Calibri"/>
          <w:sz w:val="24"/>
          <w:lang w:val="en-US"/>
        </w:rPr>
        <w:t>2021) ‘</w:t>
      </w:r>
      <w:proofErr w:type="gramEnd"/>
      <w:r w:rsidRPr="00FA0886">
        <w:rPr>
          <w:rFonts w:ascii="Calibri" w:hAnsi="Calibri" w:cs="Calibri"/>
          <w:sz w:val="24"/>
          <w:lang w:val="en-US"/>
        </w:rPr>
        <w:t>Employee work status, mental health, substance use, and career turnover intentions: An examination of restaurant employees during COVID-19’, </w:t>
      </w:r>
      <w:r w:rsidRPr="00FA0886">
        <w:rPr>
          <w:rFonts w:ascii="Calibri" w:hAnsi="Calibri" w:cs="Calibri"/>
          <w:i/>
          <w:iCs/>
          <w:sz w:val="24"/>
          <w:lang w:val="en-US"/>
        </w:rPr>
        <w:t>International Journal of Hospitality Management</w:t>
      </w:r>
      <w:r w:rsidRPr="00FA0886">
        <w:rPr>
          <w:rFonts w:ascii="Calibri" w:hAnsi="Calibri" w:cs="Calibri"/>
          <w:sz w:val="24"/>
          <w:lang w:val="en-US"/>
        </w:rPr>
        <w:t>, 93, p. 102764.</w:t>
      </w:r>
    </w:p>
    <w:p w14:paraId="42FB10C6"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 xml:space="preserve">Clegg, S.R., </w:t>
      </w:r>
      <w:proofErr w:type="spellStart"/>
      <w:r w:rsidRPr="00FA0886">
        <w:rPr>
          <w:rFonts w:ascii="Calibri" w:hAnsi="Calibri" w:cs="Calibri"/>
          <w:sz w:val="24"/>
          <w:lang w:val="en-US"/>
        </w:rPr>
        <w:t>Skyttermoen</w:t>
      </w:r>
      <w:proofErr w:type="spellEnd"/>
      <w:r w:rsidRPr="00FA0886">
        <w:rPr>
          <w:rFonts w:ascii="Calibri" w:hAnsi="Calibri" w:cs="Calibri"/>
          <w:sz w:val="24"/>
          <w:lang w:val="en-US"/>
        </w:rPr>
        <w:t xml:space="preserve">, T. and </w:t>
      </w:r>
      <w:proofErr w:type="spellStart"/>
      <w:r w:rsidRPr="00FA0886">
        <w:rPr>
          <w:rFonts w:ascii="Calibri" w:hAnsi="Calibri" w:cs="Calibri"/>
          <w:sz w:val="24"/>
          <w:lang w:val="en-US"/>
        </w:rPr>
        <w:t>Vaagaasar</w:t>
      </w:r>
      <w:proofErr w:type="spellEnd"/>
      <w:r w:rsidRPr="00FA0886">
        <w:rPr>
          <w:rFonts w:ascii="Calibri" w:hAnsi="Calibri" w:cs="Calibri"/>
          <w:sz w:val="24"/>
          <w:lang w:val="en-US"/>
        </w:rPr>
        <w:t>, A.L. (2021) </w:t>
      </w:r>
      <w:r w:rsidRPr="00FA0886">
        <w:rPr>
          <w:rFonts w:ascii="Calibri" w:hAnsi="Calibri" w:cs="Calibri"/>
          <w:i/>
          <w:iCs/>
          <w:sz w:val="24"/>
          <w:lang w:val="en-US"/>
        </w:rPr>
        <w:t>Project Management: A Value Creation Approach</w:t>
      </w:r>
      <w:r w:rsidRPr="00FA0886">
        <w:rPr>
          <w:rFonts w:ascii="Calibri" w:hAnsi="Calibri" w:cs="Calibri"/>
          <w:sz w:val="24"/>
          <w:lang w:val="en-US"/>
        </w:rPr>
        <w:t>. London: Sage.</w:t>
      </w:r>
    </w:p>
    <w:p w14:paraId="34BF4A4E"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Cooper, C. and Hall, M. (2019) </w:t>
      </w:r>
      <w:r w:rsidRPr="00FA0886">
        <w:rPr>
          <w:rFonts w:ascii="Calibri" w:hAnsi="Calibri" w:cs="Calibri"/>
          <w:i/>
          <w:iCs/>
          <w:sz w:val="24"/>
          <w:lang w:val="en-US"/>
        </w:rPr>
        <w:t>Contemporary Tourism: An International Approach</w:t>
      </w:r>
      <w:r w:rsidRPr="00FA0886">
        <w:rPr>
          <w:rFonts w:ascii="Calibri" w:hAnsi="Calibri" w:cs="Calibri"/>
          <w:sz w:val="24"/>
          <w:lang w:val="en-US"/>
        </w:rPr>
        <w:t xml:space="preserve">. 4th </w:t>
      </w:r>
      <w:proofErr w:type="spellStart"/>
      <w:proofErr w:type="gramStart"/>
      <w:r w:rsidRPr="00FA0886">
        <w:rPr>
          <w:rFonts w:ascii="Calibri" w:hAnsi="Calibri" w:cs="Calibri"/>
          <w:sz w:val="24"/>
          <w:lang w:val="en-US"/>
        </w:rPr>
        <w:t>edn</w:t>
      </w:r>
      <w:proofErr w:type="spellEnd"/>
      <w:proofErr w:type="gramEnd"/>
      <w:r w:rsidRPr="00FA0886">
        <w:rPr>
          <w:rFonts w:ascii="Calibri" w:hAnsi="Calibri" w:cs="Calibri"/>
          <w:sz w:val="24"/>
          <w:lang w:val="en-US"/>
        </w:rPr>
        <w:t>. Oxford: Goodfellows.</w:t>
      </w:r>
    </w:p>
    <w:p w14:paraId="29926C07"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Costa, V. and Costa, C. (eds) (2022) </w:t>
      </w:r>
      <w:r w:rsidRPr="00FA0886">
        <w:rPr>
          <w:rFonts w:ascii="Calibri" w:hAnsi="Calibri" w:cs="Calibri"/>
          <w:i/>
          <w:iCs/>
          <w:sz w:val="24"/>
          <w:lang w:val="en-US"/>
        </w:rPr>
        <w:t>Sustainability and competitiveness in the hospitality industry</w:t>
      </w:r>
      <w:r w:rsidRPr="00FA0886">
        <w:rPr>
          <w:rFonts w:ascii="Calibri" w:hAnsi="Calibri" w:cs="Calibri"/>
          <w:sz w:val="24"/>
          <w:lang w:val="en-US"/>
        </w:rPr>
        <w:t>. Hershey, Pennsylvania: Business Science Reference.</w:t>
      </w:r>
    </w:p>
    <w:p w14:paraId="71470C47"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 xml:space="preserve">Darcy, S., Ambrose, I. and </w:t>
      </w:r>
      <w:proofErr w:type="spellStart"/>
      <w:r w:rsidRPr="00FA0886">
        <w:rPr>
          <w:rFonts w:ascii="Calibri" w:hAnsi="Calibri" w:cs="Calibri"/>
          <w:sz w:val="24"/>
          <w:lang w:val="en-US"/>
        </w:rPr>
        <w:t>Bulhalis</w:t>
      </w:r>
      <w:proofErr w:type="spellEnd"/>
      <w:r w:rsidRPr="00FA0886">
        <w:rPr>
          <w:rFonts w:ascii="Calibri" w:hAnsi="Calibri" w:cs="Calibri"/>
          <w:sz w:val="24"/>
          <w:lang w:val="en-US"/>
        </w:rPr>
        <w:t>, D. (2012) </w:t>
      </w:r>
      <w:r w:rsidRPr="00FA0886">
        <w:rPr>
          <w:rFonts w:ascii="Calibri" w:hAnsi="Calibri" w:cs="Calibri"/>
          <w:i/>
          <w:iCs/>
          <w:sz w:val="24"/>
          <w:lang w:val="en-US"/>
        </w:rPr>
        <w:t>Best Practice in Accessible Tourism: Inclusion, Disability, Ageing Population and Tourism</w:t>
      </w:r>
      <w:r w:rsidRPr="00FA0886">
        <w:rPr>
          <w:rFonts w:ascii="Calibri" w:hAnsi="Calibri" w:cs="Calibri"/>
          <w:sz w:val="24"/>
          <w:lang w:val="en-US"/>
        </w:rPr>
        <w:t>. London: Channel View.</w:t>
      </w:r>
    </w:p>
    <w:p w14:paraId="4DAEE16D"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Dawson, J., Lemelin, H. and Stewart, E. (2012) </w:t>
      </w:r>
      <w:r w:rsidRPr="00FA0886">
        <w:rPr>
          <w:rFonts w:ascii="Calibri" w:hAnsi="Calibri" w:cs="Calibri"/>
          <w:i/>
          <w:iCs/>
          <w:sz w:val="24"/>
          <w:lang w:val="en-US"/>
        </w:rPr>
        <w:t>Last Chance Tourism: Adapting Tourism Opportunities in a Changing World</w:t>
      </w:r>
      <w:r w:rsidRPr="00FA0886">
        <w:rPr>
          <w:rFonts w:ascii="Calibri" w:hAnsi="Calibri" w:cs="Calibri"/>
          <w:sz w:val="24"/>
          <w:lang w:val="en-US"/>
        </w:rPr>
        <w:t>. London: Routledge.</w:t>
      </w:r>
    </w:p>
    <w:p w14:paraId="490AE026"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 xml:space="preserve">Faulkner, B., </w:t>
      </w:r>
      <w:proofErr w:type="spellStart"/>
      <w:r w:rsidRPr="00FA0886">
        <w:rPr>
          <w:rFonts w:ascii="Calibri" w:hAnsi="Calibri" w:cs="Calibri"/>
          <w:sz w:val="24"/>
          <w:lang w:val="en-US"/>
        </w:rPr>
        <w:t>Moscardo</w:t>
      </w:r>
      <w:proofErr w:type="spellEnd"/>
      <w:r w:rsidRPr="00FA0886">
        <w:rPr>
          <w:rFonts w:ascii="Calibri" w:hAnsi="Calibri" w:cs="Calibri"/>
          <w:sz w:val="24"/>
          <w:lang w:val="en-US"/>
        </w:rPr>
        <w:t>, G. and Laws, E. (2001) </w:t>
      </w:r>
      <w:r w:rsidRPr="00FA0886">
        <w:rPr>
          <w:rFonts w:ascii="Calibri" w:hAnsi="Calibri" w:cs="Calibri"/>
          <w:i/>
          <w:iCs/>
          <w:sz w:val="24"/>
          <w:lang w:val="en-US"/>
        </w:rPr>
        <w:t>Tourism in 21st Century: Reflections on Experience</w:t>
      </w:r>
      <w:r w:rsidRPr="00FA0886">
        <w:rPr>
          <w:rFonts w:ascii="Calibri" w:hAnsi="Calibri" w:cs="Calibri"/>
          <w:sz w:val="24"/>
          <w:lang w:val="en-US"/>
        </w:rPr>
        <w:t>. London: Continuum.</w:t>
      </w:r>
    </w:p>
    <w:p w14:paraId="4145EB92"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Ford, R.C. and Sturman, M.C. (2020) </w:t>
      </w:r>
      <w:r w:rsidRPr="00FA0886">
        <w:rPr>
          <w:rFonts w:ascii="Calibri" w:hAnsi="Calibri" w:cs="Calibri"/>
          <w:i/>
          <w:iCs/>
          <w:sz w:val="24"/>
          <w:lang w:val="en-US"/>
        </w:rPr>
        <w:t>Managing Hospitality Organizations</w:t>
      </w:r>
      <w:r w:rsidRPr="00FA0886">
        <w:rPr>
          <w:rFonts w:ascii="Calibri" w:hAnsi="Calibri" w:cs="Calibri"/>
          <w:sz w:val="24"/>
          <w:lang w:val="en-US"/>
        </w:rPr>
        <w:t xml:space="preserve">. 2nd </w:t>
      </w:r>
      <w:proofErr w:type="spellStart"/>
      <w:proofErr w:type="gramStart"/>
      <w:r w:rsidRPr="00FA0886">
        <w:rPr>
          <w:rFonts w:ascii="Calibri" w:hAnsi="Calibri" w:cs="Calibri"/>
          <w:sz w:val="24"/>
          <w:lang w:val="en-US"/>
        </w:rPr>
        <w:t>edn</w:t>
      </w:r>
      <w:proofErr w:type="spellEnd"/>
      <w:proofErr w:type="gramEnd"/>
      <w:r w:rsidRPr="00FA0886">
        <w:rPr>
          <w:rFonts w:ascii="Calibri" w:hAnsi="Calibri" w:cs="Calibri"/>
          <w:sz w:val="24"/>
          <w:lang w:val="en-US"/>
        </w:rPr>
        <w:t>. London: Sage.</w:t>
      </w:r>
    </w:p>
    <w:p w14:paraId="326B0ABE" w14:textId="77777777" w:rsidR="001F4262" w:rsidRPr="00FA0886" w:rsidRDefault="001F4262" w:rsidP="00681EC9">
      <w:pPr>
        <w:spacing w:after="0" w:line="360" w:lineRule="auto"/>
        <w:jc w:val="both"/>
        <w:rPr>
          <w:rFonts w:ascii="Calibri" w:hAnsi="Calibri" w:cs="Calibri"/>
          <w:sz w:val="24"/>
          <w:lang w:val="en-US"/>
        </w:rPr>
      </w:pPr>
      <w:proofErr w:type="spellStart"/>
      <w:r w:rsidRPr="00FA0886">
        <w:rPr>
          <w:rFonts w:ascii="Calibri" w:hAnsi="Calibri" w:cs="Calibri"/>
          <w:sz w:val="24"/>
          <w:lang w:val="en-US"/>
        </w:rPr>
        <w:t>Haldorai</w:t>
      </w:r>
      <w:proofErr w:type="spellEnd"/>
      <w:r w:rsidRPr="00FA0886">
        <w:rPr>
          <w:rFonts w:ascii="Calibri" w:hAnsi="Calibri" w:cs="Calibri"/>
          <w:sz w:val="24"/>
          <w:lang w:val="en-US"/>
        </w:rPr>
        <w:t xml:space="preserve">, K., Kim, W.G., </w:t>
      </w:r>
      <w:proofErr w:type="spellStart"/>
      <w:r w:rsidRPr="00FA0886">
        <w:rPr>
          <w:rFonts w:ascii="Calibri" w:hAnsi="Calibri" w:cs="Calibri"/>
          <w:sz w:val="24"/>
          <w:lang w:val="en-US"/>
        </w:rPr>
        <w:t>Agmapisarn</w:t>
      </w:r>
      <w:proofErr w:type="spellEnd"/>
      <w:r w:rsidRPr="00FA0886">
        <w:rPr>
          <w:rFonts w:ascii="Calibri" w:hAnsi="Calibri" w:cs="Calibri"/>
          <w:sz w:val="24"/>
          <w:lang w:val="en-US"/>
        </w:rPr>
        <w:t>, C. and Li, J.J. (2023) ‘Fear of COVID-19 and employee mental health in quarantine hotels: The role of self-compassion and psychological resilience at work’, </w:t>
      </w:r>
      <w:r w:rsidRPr="00FA0886">
        <w:rPr>
          <w:rFonts w:ascii="Calibri" w:hAnsi="Calibri" w:cs="Calibri"/>
          <w:i/>
          <w:iCs/>
          <w:sz w:val="24"/>
          <w:lang w:val="en-US"/>
        </w:rPr>
        <w:t>International Journal of Hospitality Management</w:t>
      </w:r>
      <w:r w:rsidRPr="00FA0886">
        <w:rPr>
          <w:rFonts w:ascii="Calibri" w:hAnsi="Calibri" w:cs="Calibri"/>
          <w:sz w:val="24"/>
          <w:lang w:val="en-US"/>
        </w:rPr>
        <w:t>, 111, p. 103491.</w:t>
      </w:r>
    </w:p>
    <w:p w14:paraId="4F87F889"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lastRenderedPageBreak/>
        <w:t>Heath, C., Sommerfield, A. and von Ungern-Sternberg, B.S. (2020) ‘Resilience strategies to manage psychological distress among healthcare workers during the COVID-19 pandemic’, </w:t>
      </w:r>
      <w:proofErr w:type="spellStart"/>
      <w:r w:rsidRPr="00FA0886">
        <w:rPr>
          <w:rFonts w:ascii="Calibri" w:hAnsi="Calibri" w:cs="Calibri"/>
          <w:i/>
          <w:iCs/>
          <w:sz w:val="24"/>
          <w:lang w:val="en-US"/>
        </w:rPr>
        <w:t>Anaesthesia</w:t>
      </w:r>
      <w:proofErr w:type="spellEnd"/>
      <w:r w:rsidRPr="00FA0886">
        <w:rPr>
          <w:rFonts w:ascii="Calibri" w:hAnsi="Calibri" w:cs="Calibri"/>
          <w:sz w:val="24"/>
          <w:lang w:val="en-US"/>
        </w:rPr>
        <w:t>, 75(10), pp. 1364-1371.</w:t>
      </w:r>
    </w:p>
    <w:p w14:paraId="2E566D9F"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Ivanov, S. and Webster, C. (eds) (2019) </w:t>
      </w:r>
      <w:r w:rsidRPr="00FA0886">
        <w:rPr>
          <w:rFonts w:ascii="Calibri" w:hAnsi="Calibri" w:cs="Calibri"/>
          <w:i/>
          <w:iCs/>
          <w:sz w:val="24"/>
          <w:lang w:val="en-US"/>
        </w:rPr>
        <w:t>Robots, artificial intelligence and service automation in travel, tourism and hospitality</w:t>
      </w:r>
      <w:r w:rsidRPr="00FA0886">
        <w:rPr>
          <w:rFonts w:ascii="Calibri" w:hAnsi="Calibri" w:cs="Calibri"/>
          <w:sz w:val="24"/>
          <w:lang w:val="en-US"/>
        </w:rPr>
        <w:t>. Bingley: Emerald Publishing.</w:t>
      </w:r>
    </w:p>
    <w:p w14:paraId="44B83C09"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 xml:space="preserve">Jaaffar, A.H., Alzoubi, R.H., </w:t>
      </w:r>
      <w:proofErr w:type="spellStart"/>
      <w:r w:rsidRPr="00FA0886">
        <w:rPr>
          <w:rFonts w:ascii="Calibri" w:hAnsi="Calibri" w:cs="Calibri"/>
          <w:sz w:val="24"/>
          <w:lang w:val="en-US"/>
        </w:rPr>
        <w:t>Alkharabsheh</w:t>
      </w:r>
      <w:proofErr w:type="spellEnd"/>
      <w:r w:rsidRPr="00FA0886">
        <w:rPr>
          <w:rFonts w:ascii="Calibri" w:hAnsi="Calibri" w:cs="Calibri"/>
          <w:sz w:val="24"/>
          <w:lang w:val="en-US"/>
        </w:rPr>
        <w:t>, O.H.M. and Rajadurai, J. (2023) ‘Leadership and crisis management and their link to improvement of hotel performance’, </w:t>
      </w:r>
      <w:proofErr w:type="spellStart"/>
      <w:r w:rsidRPr="00FA0886">
        <w:rPr>
          <w:rFonts w:ascii="Calibri" w:hAnsi="Calibri" w:cs="Calibri"/>
          <w:i/>
          <w:iCs/>
          <w:sz w:val="24"/>
          <w:lang w:val="en-US"/>
        </w:rPr>
        <w:t>Heliyon</w:t>
      </w:r>
      <w:proofErr w:type="spellEnd"/>
      <w:r w:rsidRPr="00FA0886">
        <w:rPr>
          <w:rFonts w:ascii="Calibri" w:hAnsi="Calibri" w:cs="Calibri"/>
          <w:sz w:val="24"/>
          <w:lang w:val="en-US"/>
        </w:rPr>
        <w:t>, 9(7).</w:t>
      </w:r>
    </w:p>
    <w:p w14:paraId="6AE405DA" w14:textId="77777777" w:rsidR="001F4262" w:rsidRPr="00FA0886" w:rsidRDefault="001F4262" w:rsidP="00681EC9">
      <w:pPr>
        <w:spacing w:after="0" w:line="360" w:lineRule="auto"/>
        <w:jc w:val="both"/>
        <w:rPr>
          <w:rFonts w:ascii="Calibri" w:hAnsi="Calibri" w:cs="Calibri"/>
          <w:sz w:val="24"/>
          <w:lang w:val="en-US"/>
        </w:rPr>
      </w:pPr>
      <w:proofErr w:type="spellStart"/>
      <w:r w:rsidRPr="00FA0886">
        <w:rPr>
          <w:rFonts w:ascii="Calibri" w:hAnsi="Calibri" w:cs="Calibri"/>
          <w:sz w:val="24"/>
          <w:lang w:val="en-US"/>
        </w:rPr>
        <w:t>Koniari</w:t>
      </w:r>
      <w:proofErr w:type="spellEnd"/>
      <w:r w:rsidRPr="00FA0886">
        <w:rPr>
          <w:rFonts w:ascii="Calibri" w:hAnsi="Calibri" w:cs="Calibri"/>
          <w:sz w:val="24"/>
          <w:lang w:val="en-US"/>
        </w:rPr>
        <w:t>, A. (2025) </w:t>
      </w:r>
      <w:r w:rsidRPr="00FA0886">
        <w:rPr>
          <w:rFonts w:ascii="Calibri" w:hAnsi="Calibri" w:cs="Calibri"/>
          <w:i/>
          <w:iCs/>
          <w:sz w:val="24"/>
          <w:lang w:val="en-US"/>
        </w:rPr>
        <w:t>The effect of burnout on employee wellbeing and job satisfaction in the hospitality industry</w:t>
      </w:r>
      <w:r w:rsidRPr="00FA0886">
        <w:rPr>
          <w:rFonts w:ascii="Calibri" w:hAnsi="Calibri" w:cs="Calibri"/>
          <w:sz w:val="24"/>
          <w:lang w:val="en-US"/>
        </w:rPr>
        <w:t> (working paper or forthcoming 2025).</w:t>
      </w:r>
    </w:p>
    <w:p w14:paraId="48C15B34"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Krippendorf, J. (2011) </w:t>
      </w:r>
      <w:r w:rsidRPr="00FA0886">
        <w:rPr>
          <w:rFonts w:ascii="Calibri" w:hAnsi="Calibri" w:cs="Calibri"/>
          <w:i/>
          <w:iCs/>
          <w:sz w:val="24"/>
          <w:lang w:val="en-US"/>
        </w:rPr>
        <w:t>The Holiday Makers: Understanding the Impact of Leisure &amp; Travel</w:t>
      </w:r>
      <w:r w:rsidRPr="00FA0886">
        <w:rPr>
          <w:rFonts w:ascii="Calibri" w:hAnsi="Calibri" w:cs="Calibri"/>
          <w:sz w:val="24"/>
          <w:lang w:val="en-US"/>
        </w:rPr>
        <w:t>. London: Routledge.</w:t>
      </w:r>
    </w:p>
    <w:p w14:paraId="3CD4C005"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Lai, Y.L. and Cai, W. (2023) ‘Enhancing post-COVID-19 work resilience in hospitality: a micro-level crisis management framework’, </w:t>
      </w:r>
      <w:r w:rsidRPr="00FA0886">
        <w:rPr>
          <w:rFonts w:ascii="Calibri" w:hAnsi="Calibri" w:cs="Calibri"/>
          <w:i/>
          <w:iCs/>
          <w:sz w:val="24"/>
          <w:lang w:val="en-US"/>
        </w:rPr>
        <w:t>Tourism and Hospitality Research</w:t>
      </w:r>
      <w:r w:rsidRPr="00FA0886">
        <w:rPr>
          <w:rFonts w:ascii="Calibri" w:hAnsi="Calibri" w:cs="Calibri"/>
          <w:sz w:val="24"/>
          <w:lang w:val="en-US"/>
        </w:rPr>
        <w:t>, 23(1), pp. 88-100.</w:t>
      </w:r>
    </w:p>
    <w:p w14:paraId="48D74965"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Laws, E., Prideaux, B. and Chon, K. (2007) </w:t>
      </w:r>
      <w:r w:rsidRPr="00FA0886">
        <w:rPr>
          <w:rFonts w:ascii="Calibri" w:hAnsi="Calibri" w:cs="Calibri"/>
          <w:i/>
          <w:iCs/>
          <w:sz w:val="24"/>
          <w:lang w:val="en-US"/>
        </w:rPr>
        <w:t>Crisis Management in Tourism</w:t>
      </w:r>
      <w:r w:rsidRPr="00FA0886">
        <w:rPr>
          <w:rFonts w:ascii="Calibri" w:hAnsi="Calibri" w:cs="Calibri"/>
          <w:sz w:val="24"/>
          <w:lang w:val="en-US"/>
        </w:rPr>
        <w:t>. Wallingford: CABI.</w:t>
      </w:r>
    </w:p>
    <w:p w14:paraId="06278FC5"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Mill, R. (2012) </w:t>
      </w:r>
      <w:r w:rsidRPr="00FA0886">
        <w:rPr>
          <w:rFonts w:ascii="Calibri" w:hAnsi="Calibri" w:cs="Calibri"/>
          <w:i/>
          <w:iCs/>
          <w:sz w:val="24"/>
          <w:lang w:val="en-US"/>
        </w:rPr>
        <w:t>Resorts management and Operations</w:t>
      </w:r>
      <w:r w:rsidRPr="00FA0886">
        <w:rPr>
          <w:rFonts w:ascii="Calibri" w:hAnsi="Calibri" w:cs="Calibri"/>
          <w:sz w:val="24"/>
          <w:lang w:val="en-US"/>
        </w:rPr>
        <w:t xml:space="preserve">. 3rd </w:t>
      </w:r>
      <w:proofErr w:type="spellStart"/>
      <w:proofErr w:type="gramStart"/>
      <w:r w:rsidRPr="00FA0886">
        <w:rPr>
          <w:rFonts w:ascii="Calibri" w:hAnsi="Calibri" w:cs="Calibri"/>
          <w:sz w:val="24"/>
          <w:lang w:val="en-US"/>
        </w:rPr>
        <w:t>edn</w:t>
      </w:r>
      <w:proofErr w:type="spellEnd"/>
      <w:proofErr w:type="gramEnd"/>
      <w:r w:rsidRPr="00FA0886">
        <w:rPr>
          <w:rFonts w:ascii="Calibri" w:hAnsi="Calibri" w:cs="Calibri"/>
          <w:sz w:val="24"/>
          <w:lang w:val="en-US"/>
        </w:rPr>
        <w:t>. London: Wiley.</w:t>
      </w:r>
    </w:p>
    <w:p w14:paraId="36C33782"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Monteiro, E. and Joseph, J. (</w:t>
      </w:r>
      <w:proofErr w:type="gramStart"/>
      <w:r w:rsidRPr="00FA0886">
        <w:rPr>
          <w:rFonts w:ascii="Calibri" w:hAnsi="Calibri" w:cs="Calibri"/>
          <w:sz w:val="24"/>
          <w:lang w:val="en-US"/>
        </w:rPr>
        <w:t>2023) ‘</w:t>
      </w:r>
      <w:proofErr w:type="gramEnd"/>
      <w:r w:rsidRPr="00FA0886">
        <w:rPr>
          <w:rFonts w:ascii="Calibri" w:hAnsi="Calibri" w:cs="Calibri"/>
          <w:sz w:val="24"/>
          <w:lang w:val="en-US"/>
        </w:rPr>
        <w:t>A review on the impact of workplace culture on employee mental health and well-being’, </w:t>
      </w:r>
      <w:r w:rsidRPr="00FA0886">
        <w:rPr>
          <w:rFonts w:ascii="Calibri" w:hAnsi="Calibri" w:cs="Calibri"/>
          <w:i/>
          <w:iCs/>
          <w:sz w:val="24"/>
          <w:lang w:val="en-US"/>
        </w:rPr>
        <w:t>International Journal of Case Studies in Business, IT and Education</w:t>
      </w:r>
      <w:r w:rsidRPr="00FA0886">
        <w:rPr>
          <w:rFonts w:ascii="Calibri" w:hAnsi="Calibri" w:cs="Calibri"/>
          <w:sz w:val="24"/>
          <w:lang w:val="en-US"/>
        </w:rPr>
        <w:t>, 7(2), pp. 291-316.</w:t>
      </w:r>
    </w:p>
    <w:p w14:paraId="7A353FE1"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Robson, C. (2016) </w:t>
      </w:r>
      <w:r w:rsidRPr="00FA0886">
        <w:rPr>
          <w:rFonts w:ascii="Calibri" w:hAnsi="Calibri" w:cs="Calibri"/>
          <w:i/>
          <w:iCs/>
          <w:sz w:val="24"/>
          <w:lang w:val="en-US"/>
        </w:rPr>
        <w:t>Real World Research</w:t>
      </w:r>
      <w:r w:rsidRPr="00FA0886">
        <w:rPr>
          <w:rFonts w:ascii="Calibri" w:hAnsi="Calibri" w:cs="Calibri"/>
          <w:sz w:val="24"/>
          <w:lang w:val="en-US"/>
        </w:rPr>
        <w:t>. Chichester: Wiley.</w:t>
      </w:r>
    </w:p>
    <w:p w14:paraId="67E089C8"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Santos, J.D. and Silva, O.L. (2019) </w:t>
      </w:r>
      <w:r w:rsidRPr="00FA0886">
        <w:rPr>
          <w:rFonts w:ascii="Calibri" w:hAnsi="Calibri" w:cs="Calibri"/>
          <w:i/>
          <w:iCs/>
          <w:sz w:val="24"/>
          <w:lang w:val="en-US"/>
        </w:rPr>
        <w:t>Digital Marketing Strategies for Tourism, Hospitality and Airline Industries</w:t>
      </w:r>
      <w:r w:rsidRPr="00FA0886">
        <w:rPr>
          <w:rFonts w:ascii="Calibri" w:hAnsi="Calibri" w:cs="Calibri"/>
          <w:sz w:val="24"/>
          <w:lang w:val="en-US"/>
        </w:rPr>
        <w:t>. Hershey: IGI Global.</w:t>
      </w:r>
    </w:p>
    <w:p w14:paraId="2C129EFD" w14:textId="77777777" w:rsidR="001F4262" w:rsidRPr="00FA0886" w:rsidRDefault="001F4262" w:rsidP="00681EC9">
      <w:pPr>
        <w:spacing w:after="0" w:line="360" w:lineRule="auto"/>
        <w:jc w:val="both"/>
        <w:rPr>
          <w:rFonts w:ascii="Calibri" w:hAnsi="Calibri" w:cs="Calibri"/>
          <w:sz w:val="24"/>
          <w:lang w:val="en-US"/>
        </w:rPr>
      </w:pPr>
      <w:proofErr w:type="spellStart"/>
      <w:r w:rsidRPr="00FA0886">
        <w:rPr>
          <w:rFonts w:ascii="Calibri" w:hAnsi="Calibri" w:cs="Calibri"/>
          <w:sz w:val="24"/>
          <w:lang w:val="en-US"/>
        </w:rPr>
        <w:t>Schwepker</w:t>
      </w:r>
      <w:proofErr w:type="spellEnd"/>
      <w:r w:rsidRPr="00FA0886">
        <w:rPr>
          <w:rFonts w:ascii="Calibri" w:hAnsi="Calibri" w:cs="Calibri"/>
          <w:sz w:val="24"/>
          <w:lang w:val="en-US"/>
        </w:rPr>
        <w:t>, C.H. Jr. and Dimitriou, C.K. (</w:t>
      </w:r>
      <w:proofErr w:type="gramStart"/>
      <w:r w:rsidRPr="00FA0886">
        <w:rPr>
          <w:rFonts w:ascii="Calibri" w:hAnsi="Calibri" w:cs="Calibri"/>
          <w:sz w:val="24"/>
          <w:lang w:val="en-US"/>
        </w:rPr>
        <w:t>2021) ‘</w:t>
      </w:r>
      <w:proofErr w:type="gramEnd"/>
      <w:r w:rsidRPr="00FA0886">
        <w:rPr>
          <w:rFonts w:ascii="Calibri" w:hAnsi="Calibri" w:cs="Calibri"/>
          <w:sz w:val="24"/>
          <w:lang w:val="en-US"/>
        </w:rPr>
        <w:t>Using ethical leadership to reduce job stress and improve performance quality in the hospitality industry’, </w:t>
      </w:r>
      <w:r w:rsidRPr="00FA0886">
        <w:rPr>
          <w:rFonts w:ascii="Calibri" w:hAnsi="Calibri" w:cs="Calibri"/>
          <w:i/>
          <w:iCs/>
          <w:sz w:val="24"/>
          <w:lang w:val="en-US"/>
        </w:rPr>
        <w:t>International Journal of Hospitality Management</w:t>
      </w:r>
      <w:r w:rsidRPr="00FA0886">
        <w:rPr>
          <w:rFonts w:ascii="Calibri" w:hAnsi="Calibri" w:cs="Calibri"/>
          <w:sz w:val="24"/>
          <w:lang w:val="en-US"/>
        </w:rPr>
        <w:t>, 94, p. 102860.</w:t>
      </w:r>
    </w:p>
    <w:p w14:paraId="616A27E0"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Sharma, M., Singh, A.K. and Tyagi, P. (eds) (2024) </w:t>
      </w:r>
      <w:r w:rsidRPr="00FA0886">
        <w:rPr>
          <w:rFonts w:ascii="Calibri" w:hAnsi="Calibri" w:cs="Calibri"/>
          <w:i/>
          <w:iCs/>
          <w:sz w:val="24"/>
          <w:lang w:val="en-US"/>
        </w:rPr>
        <w:t>Proceedings of the International Conference on Innovation and Regenerative Trends in Tourism and Hospitality Industry (IRTTHI 2024)</w:t>
      </w:r>
      <w:r w:rsidRPr="00FA0886">
        <w:rPr>
          <w:rFonts w:ascii="Calibri" w:hAnsi="Calibri" w:cs="Calibri"/>
          <w:sz w:val="24"/>
          <w:lang w:val="en-US"/>
        </w:rPr>
        <w:t>. Dordrecht: Atlantis Press Zeger Karssen.</w:t>
      </w:r>
    </w:p>
    <w:p w14:paraId="40889FA8"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Tribe, J. (2009) </w:t>
      </w:r>
      <w:r w:rsidRPr="00FA0886">
        <w:rPr>
          <w:rFonts w:ascii="Calibri" w:hAnsi="Calibri" w:cs="Calibri"/>
          <w:i/>
          <w:iCs/>
          <w:sz w:val="24"/>
          <w:lang w:val="en-US"/>
        </w:rPr>
        <w:t>Philosophical issues in Tourism</w:t>
      </w:r>
      <w:r w:rsidRPr="00FA0886">
        <w:rPr>
          <w:rFonts w:ascii="Calibri" w:hAnsi="Calibri" w:cs="Calibri"/>
          <w:sz w:val="24"/>
          <w:lang w:val="en-US"/>
        </w:rPr>
        <w:t>. Bristol: Channel View.</w:t>
      </w:r>
    </w:p>
    <w:p w14:paraId="5461BD5B"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Wahab, S. and Cooper, C. (2005) </w:t>
      </w:r>
      <w:r w:rsidRPr="00FA0886">
        <w:rPr>
          <w:rFonts w:ascii="Calibri" w:hAnsi="Calibri" w:cs="Calibri"/>
          <w:i/>
          <w:iCs/>
          <w:sz w:val="24"/>
          <w:lang w:val="en-US"/>
        </w:rPr>
        <w:t xml:space="preserve">Tourism in the Age of </w:t>
      </w:r>
      <w:proofErr w:type="spellStart"/>
      <w:r w:rsidRPr="00FA0886">
        <w:rPr>
          <w:rFonts w:ascii="Calibri" w:hAnsi="Calibri" w:cs="Calibri"/>
          <w:i/>
          <w:iCs/>
          <w:sz w:val="24"/>
          <w:lang w:val="en-US"/>
        </w:rPr>
        <w:t>Globalisation</w:t>
      </w:r>
      <w:proofErr w:type="spellEnd"/>
      <w:r w:rsidRPr="00FA0886">
        <w:rPr>
          <w:rFonts w:ascii="Calibri" w:hAnsi="Calibri" w:cs="Calibri"/>
          <w:sz w:val="24"/>
          <w:lang w:val="en-US"/>
        </w:rPr>
        <w:t>. Abingdon: Routledge.</w:t>
      </w:r>
    </w:p>
    <w:p w14:paraId="44AA3748" w14:textId="77777777" w:rsidR="001F4262" w:rsidRPr="00FA0886" w:rsidRDefault="001F4262" w:rsidP="00681EC9">
      <w:pPr>
        <w:spacing w:after="0" w:line="360" w:lineRule="auto"/>
        <w:jc w:val="both"/>
        <w:rPr>
          <w:rFonts w:ascii="Calibri" w:hAnsi="Calibri" w:cs="Calibri"/>
          <w:sz w:val="24"/>
          <w:lang w:val="en-US"/>
        </w:rPr>
      </w:pPr>
      <w:proofErr w:type="spellStart"/>
      <w:r w:rsidRPr="00FA0886">
        <w:rPr>
          <w:rFonts w:ascii="Calibri" w:hAnsi="Calibri" w:cs="Calibri"/>
          <w:sz w:val="24"/>
          <w:lang w:val="en-US"/>
        </w:rPr>
        <w:lastRenderedPageBreak/>
        <w:t>Weerakit</w:t>
      </w:r>
      <w:proofErr w:type="spellEnd"/>
      <w:r w:rsidRPr="00FA0886">
        <w:rPr>
          <w:rFonts w:ascii="Calibri" w:hAnsi="Calibri" w:cs="Calibri"/>
          <w:sz w:val="24"/>
          <w:lang w:val="en-US"/>
        </w:rPr>
        <w:t xml:space="preserve">, N., Eason, D. and </w:t>
      </w:r>
      <w:proofErr w:type="spellStart"/>
      <w:r w:rsidRPr="00FA0886">
        <w:rPr>
          <w:rFonts w:ascii="Calibri" w:hAnsi="Calibri" w:cs="Calibri"/>
          <w:sz w:val="24"/>
          <w:lang w:val="en-US"/>
        </w:rPr>
        <w:t>Chaiyasain</w:t>
      </w:r>
      <w:proofErr w:type="spellEnd"/>
      <w:r w:rsidRPr="00FA0886">
        <w:rPr>
          <w:rFonts w:ascii="Calibri" w:hAnsi="Calibri" w:cs="Calibri"/>
          <w:sz w:val="24"/>
          <w:lang w:val="en-US"/>
        </w:rPr>
        <w:t>, C. (2025) ‘Workplace Mental Well-Being: Exploring Its Effects on Employee Turnover Intention in the Thai Hotel Industry’, </w:t>
      </w:r>
      <w:r w:rsidRPr="00FA0886">
        <w:rPr>
          <w:rFonts w:ascii="Calibri" w:hAnsi="Calibri" w:cs="Calibri"/>
          <w:i/>
          <w:iCs/>
          <w:sz w:val="24"/>
          <w:lang w:val="en-US"/>
        </w:rPr>
        <w:t>Journal of Quality Assurance in Hospitality &amp; Tourism</w:t>
      </w:r>
      <w:r w:rsidRPr="00FA0886">
        <w:rPr>
          <w:rFonts w:ascii="Calibri" w:hAnsi="Calibri" w:cs="Calibri"/>
          <w:sz w:val="24"/>
          <w:lang w:val="en-US"/>
        </w:rPr>
        <w:t>, (forthcoming).</w:t>
      </w:r>
    </w:p>
    <w:p w14:paraId="51179C39"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 xml:space="preserve">Wong, A.K.F., Kim, S., </w:t>
      </w:r>
      <w:proofErr w:type="spellStart"/>
      <w:r w:rsidRPr="00FA0886">
        <w:rPr>
          <w:rFonts w:ascii="Calibri" w:hAnsi="Calibri" w:cs="Calibri"/>
          <w:sz w:val="24"/>
          <w:lang w:val="en-US"/>
        </w:rPr>
        <w:t>Gamor</w:t>
      </w:r>
      <w:proofErr w:type="spellEnd"/>
      <w:r w:rsidRPr="00FA0886">
        <w:rPr>
          <w:rFonts w:ascii="Calibri" w:hAnsi="Calibri" w:cs="Calibri"/>
          <w:sz w:val="24"/>
          <w:lang w:val="en-US"/>
        </w:rPr>
        <w:t xml:space="preserve">, E., </w:t>
      </w:r>
      <w:proofErr w:type="spellStart"/>
      <w:r w:rsidRPr="00FA0886">
        <w:rPr>
          <w:rFonts w:ascii="Calibri" w:hAnsi="Calibri" w:cs="Calibri"/>
          <w:sz w:val="24"/>
          <w:lang w:val="en-US"/>
        </w:rPr>
        <w:t>Koseoglu</w:t>
      </w:r>
      <w:proofErr w:type="spellEnd"/>
      <w:r w:rsidRPr="00FA0886">
        <w:rPr>
          <w:rFonts w:ascii="Calibri" w:hAnsi="Calibri" w:cs="Calibri"/>
          <w:sz w:val="24"/>
          <w:lang w:val="en-US"/>
        </w:rPr>
        <w:t>, M.A. and Liu, Y. (2025) ‘Advancing Employees’ Mental Health and Psychological Well-being Research in Hospitality and Tourism: Systematic Review, Critical Reflections and Future Prospects’, </w:t>
      </w:r>
      <w:r w:rsidRPr="00FA0886">
        <w:rPr>
          <w:rFonts w:ascii="Calibri" w:hAnsi="Calibri" w:cs="Calibri"/>
          <w:i/>
          <w:iCs/>
          <w:sz w:val="24"/>
          <w:lang w:val="en-US"/>
        </w:rPr>
        <w:t>Journal of Hospitality &amp; Tourism Research</w:t>
      </w:r>
      <w:r w:rsidRPr="00FA0886">
        <w:rPr>
          <w:rFonts w:ascii="Calibri" w:hAnsi="Calibri" w:cs="Calibri"/>
          <w:sz w:val="24"/>
          <w:lang w:val="en-US"/>
        </w:rPr>
        <w:t>, 49(5), pp. 1014-1031.</w:t>
      </w:r>
    </w:p>
    <w:p w14:paraId="11D11319" w14:textId="77777777" w:rsidR="001F4262" w:rsidRPr="00FA0886" w:rsidRDefault="001F4262" w:rsidP="00681EC9">
      <w:pPr>
        <w:spacing w:after="0" w:line="360" w:lineRule="auto"/>
        <w:jc w:val="both"/>
        <w:rPr>
          <w:rFonts w:ascii="Calibri" w:hAnsi="Calibri" w:cs="Calibri"/>
          <w:sz w:val="24"/>
          <w:lang w:val="en-US"/>
        </w:rPr>
      </w:pPr>
      <w:r w:rsidRPr="00FA0886">
        <w:rPr>
          <w:rFonts w:ascii="Calibri" w:hAnsi="Calibri" w:cs="Calibri"/>
          <w:sz w:val="24"/>
          <w:lang w:val="en-US"/>
        </w:rPr>
        <w:t>Yousaf, S., Rasheed, M.I., Hameed, Z. and Luqman, A. (</w:t>
      </w:r>
      <w:proofErr w:type="gramStart"/>
      <w:r w:rsidRPr="00FA0886">
        <w:rPr>
          <w:rFonts w:ascii="Calibri" w:hAnsi="Calibri" w:cs="Calibri"/>
          <w:sz w:val="24"/>
          <w:lang w:val="en-US"/>
        </w:rPr>
        <w:t>2020) ‘</w:t>
      </w:r>
      <w:proofErr w:type="gramEnd"/>
      <w:r w:rsidRPr="00FA0886">
        <w:rPr>
          <w:rFonts w:ascii="Calibri" w:hAnsi="Calibri" w:cs="Calibri"/>
          <w:sz w:val="24"/>
          <w:lang w:val="en-US"/>
        </w:rPr>
        <w:t xml:space="preserve">Occupational stress and its outcomes: the role </w:t>
      </w:r>
      <w:proofErr w:type="gramStart"/>
      <w:r w:rsidRPr="00FA0886">
        <w:rPr>
          <w:rFonts w:ascii="Calibri" w:hAnsi="Calibri" w:cs="Calibri"/>
          <w:sz w:val="24"/>
          <w:lang w:val="en-US"/>
        </w:rPr>
        <w:t>of work</w:t>
      </w:r>
      <w:proofErr w:type="gramEnd"/>
      <w:r w:rsidRPr="00FA0886">
        <w:rPr>
          <w:rFonts w:ascii="Calibri" w:hAnsi="Calibri" w:cs="Calibri"/>
          <w:sz w:val="24"/>
          <w:lang w:val="en-US"/>
        </w:rPr>
        <w:t xml:space="preserve"> social support in the hospitality industry’, </w:t>
      </w:r>
      <w:r w:rsidRPr="00FA0886">
        <w:rPr>
          <w:rFonts w:ascii="Calibri" w:hAnsi="Calibri" w:cs="Calibri"/>
          <w:i/>
          <w:iCs/>
          <w:sz w:val="24"/>
          <w:lang w:val="en-US"/>
        </w:rPr>
        <w:t>Personnel Review</w:t>
      </w:r>
      <w:r w:rsidRPr="00FA0886">
        <w:rPr>
          <w:rFonts w:ascii="Calibri" w:hAnsi="Calibri" w:cs="Calibri"/>
          <w:sz w:val="24"/>
          <w:lang w:val="en-US"/>
        </w:rPr>
        <w:t>, 49(3), pp. 755-773.</w:t>
      </w:r>
    </w:p>
    <w:sectPr w:rsidR="001F4262" w:rsidRPr="00FA0886" w:rsidSect="00200177">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DEF3C" w14:textId="77777777" w:rsidR="00BF24BA" w:rsidRDefault="00BF24BA" w:rsidP="00200177">
      <w:pPr>
        <w:spacing w:after="0" w:line="240" w:lineRule="auto"/>
      </w:pPr>
      <w:r>
        <w:separator/>
      </w:r>
    </w:p>
  </w:endnote>
  <w:endnote w:type="continuationSeparator" w:id="0">
    <w:p w14:paraId="631DBC6E" w14:textId="77777777" w:rsidR="00BF24BA" w:rsidRDefault="00BF24BA" w:rsidP="00200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9E783" w14:textId="77777777" w:rsidR="00200177" w:rsidRDefault="002001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461158"/>
      <w:docPartObj>
        <w:docPartGallery w:val="Page Numbers (Bottom of Page)"/>
        <w:docPartUnique/>
      </w:docPartObj>
    </w:sdtPr>
    <w:sdtEndPr>
      <w:rPr>
        <w:noProof/>
      </w:rPr>
    </w:sdtEndPr>
    <w:sdtContent>
      <w:p w14:paraId="730399A6" w14:textId="43969E69" w:rsidR="00200177" w:rsidRDefault="00200177">
        <w:pPr>
          <w:pStyle w:val="Footer"/>
          <w:jc w:val="center"/>
        </w:pPr>
        <w:r>
          <w:fldChar w:fldCharType="begin"/>
        </w:r>
        <w:r>
          <w:instrText xml:space="preserve"> PAGE   \* MERGEFORMAT </w:instrText>
        </w:r>
        <w:r>
          <w:fldChar w:fldCharType="separate"/>
        </w:r>
        <w:r w:rsidR="00666282">
          <w:rPr>
            <w:noProof/>
          </w:rPr>
          <w:t>2</w:t>
        </w:r>
        <w:r>
          <w:rPr>
            <w:noProof/>
          </w:rPr>
          <w:fldChar w:fldCharType="end"/>
        </w:r>
      </w:p>
    </w:sdtContent>
  </w:sdt>
  <w:p w14:paraId="6C2A78BA" w14:textId="77777777" w:rsidR="00200177" w:rsidRDefault="002001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8C2FF" w14:textId="77777777" w:rsidR="00200177" w:rsidRDefault="00200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FE4C8" w14:textId="77777777" w:rsidR="00BF24BA" w:rsidRDefault="00BF24BA" w:rsidP="00200177">
      <w:pPr>
        <w:spacing w:after="0" w:line="240" w:lineRule="auto"/>
      </w:pPr>
      <w:r>
        <w:separator/>
      </w:r>
    </w:p>
  </w:footnote>
  <w:footnote w:type="continuationSeparator" w:id="0">
    <w:p w14:paraId="0CB640B3" w14:textId="77777777" w:rsidR="00BF24BA" w:rsidRDefault="00BF24BA" w:rsidP="002001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E0FAE" w14:textId="77777777" w:rsidR="00200177" w:rsidRDefault="002001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16212" w14:textId="77777777" w:rsidR="00200177" w:rsidRDefault="002001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C3530F" w14:textId="77777777" w:rsidR="00200177" w:rsidRDefault="002001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F51F8"/>
    <w:multiLevelType w:val="hybridMultilevel"/>
    <w:tmpl w:val="DADCA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4300B0"/>
    <w:multiLevelType w:val="hybridMultilevel"/>
    <w:tmpl w:val="009CA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2818764">
    <w:abstractNumId w:val="1"/>
  </w:num>
  <w:num w:numId="2" w16cid:durableId="500245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32341"/>
    <w:rsid w:val="000319B4"/>
    <w:rsid w:val="0005165E"/>
    <w:rsid w:val="000773F6"/>
    <w:rsid w:val="00115C13"/>
    <w:rsid w:val="0013365E"/>
    <w:rsid w:val="00133ECB"/>
    <w:rsid w:val="00163D5D"/>
    <w:rsid w:val="001A7081"/>
    <w:rsid w:val="001B7052"/>
    <w:rsid w:val="001F17B2"/>
    <w:rsid w:val="001F4262"/>
    <w:rsid w:val="00200177"/>
    <w:rsid w:val="00237F06"/>
    <w:rsid w:val="002458C8"/>
    <w:rsid w:val="00270106"/>
    <w:rsid w:val="002772BB"/>
    <w:rsid w:val="002A74A1"/>
    <w:rsid w:val="002A756A"/>
    <w:rsid w:val="002C40B9"/>
    <w:rsid w:val="00306C43"/>
    <w:rsid w:val="00314CAB"/>
    <w:rsid w:val="00315F4D"/>
    <w:rsid w:val="0032671A"/>
    <w:rsid w:val="0033189C"/>
    <w:rsid w:val="003D5D35"/>
    <w:rsid w:val="00403B94"/>
    <w:rsid w:val="00404D78"/>
    <w:rsid w:val="0040710C"/>
    <w:rsid w:val="00410581"/>
    <w:rsid w:val="00442A51"/>
    <w:rsid w:val="00462BD4"/>
    <w:rsid w:val="00474CB0"/>
    <w:rsid w:val="004968CA"/>
    <w:rsid w:val="004E42D1"/>
    <w:rsid w:val="004F3E66"/>
    <w:rsid w:val="00514F7F"/>
    <w:rsid w:val="00532341"/>
    <w:rsid w:val="005648A7"/>
    <w:rsid w:val="005C785B"/>
    <w:rsid w:val="005D7984"/>
    <w:rsid w:val="00610903"/>
    <w:rsid w:val="0064428F"/>
    <w:rsid w:val="006511EC"/>
    <w:rsid w:val="00666282"/>
    <w:rsid w:val="006736CF"/>
    <w:rsid w:val="00681EC9"/>
    <w:rsid w:val="00697EF4"/>
    <w:rsid w:val="0073405E"/>
    <w:rsid w:val="00770D87"/>
    <w:rsid w:val="0079001B"/>
    <w:rsid w:val="007A3B47"/>
    <w:rsid w:val="007C076C"/>
    <w:rsid w:val="007D6DEC"/>
    <w:rsid w:val="007E7530"/>
    <w:rsid w:val="00823A0B"/>
    <w:rsid w:val="008949B0"/>
    <w:rsid w:val="00911832"/>
    <w:rsid w:val="00925A90"/>
    <w:rsid w:val="00951F85"/>
    <w:rsid w:val="0095477D"/>
    <w:rsid w:val="009610A5"/>
    <w:rsid w:val="00964A71"/>
    <w:rsid w:val="00966EF5"/>
    <w:rsid w:val="009D6A7F"/>
    <w:rsid w:val="00A17D8B"/>
    <w:rsid w:val="00A25332"/>
    <w:rsid w:val="00A84C50"/>
    <w:rsid w:val="00A95448"/>
    <w:rsid w:val="00A95A64"/>
    <w:rsid w:val="00AF5022"/>
    <w:rsid w:val="00B32801"/>
    <w:rsid w:val="00B32AEC"/>
    <w:rsid w:val="00B65F2B"/>
    <w:rsid w:val="00B87ABC"/>
    <w:rsid w:val="00B96BEA"/>
    <w:rsid w:val="00BF24BA"/>
    <w:rsid w:val="00C13024"/>
    <w:rsid w:val="00C606F6"/>
    <w:rsid w:val="00C8626F"/>
    <w:rsid w:val="00CC2D8B"/>
    <w:rsid w:val="00D1421F"/>
    <w:rsid w:val="00D150A4"/>
    <w:rsid w:val="00D40468"/>
    <w:rsid w:val="00D942AE"/>
    <w:rsid w:val="00DA4F09"/>
    <w:rsid w:val="00E22B42"/>
    <w:rsid w:val="00E87F8C"/>
    <w:rsid w:val="00F256A1"/>
    <w:rsid w:val="00F30499"/>
    <w:rsid w:val="00FA0886"/>
    <w:rsid w:val="00FE35D3"/>
    <w:rsid w:val="00FE4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C315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3365E"/>
    <w:pPr>
      <w:keepNext/>
      <w:keepLines/>
      <w:spacing w:before="360" w:after="120"/>
      <w:jc w:val="both"/>
      <w:outlineLvl w:val="0"/>
    </w:pPr>
    <w:rPr>
      <w:rFonts w:ascii="Calibri" w:eastAsiaTheme="majorEastAsia" w:hAnsi="Calibri" w:cstheme="majorBidi"/>
      <w:b/>
      <w:color w:val="1F3864" w:themeColor="accent5" w:themeShade="80"/>
      <w:sz w:val="32"/>
      <w:szCs w:val="32"/>
    </w:rPr>
  </w:style>
  <w:style w:type="paragraph" w:styleId="Heading2">
    <w:name w:val="heading 2"/>
    <w:basedOn w:val="Normal"/>
    <w:next w:val="Normal"/>
    <w:link w:val="Heading2Char"/>
    <w:uiPriority w:val="9"/>
    <w:semiHidden/>
    <w:unhideWhenUsed/>
    <w:qFormat/>
    <w:rsid w:val="00A95A64"/>
    <w:pPr>
      <w:keepNext/>
      <w:keepLines/>
      <w:spacing w:before="40" w:after="0"/>
      <w:outlineLvl w:val="1"/>
    </w:pPr>
    <w:rPr>
      <w:rFonts w:ascii="Times New Roman" w:eastAsiaTheme="majorEastAsia" w:hAnsi="Times New Roman" w:cstheme="majorBidi"/>
      <w:b/>
      <w:color w:val="2F5496"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95A64"/>
    <w:rPr>
      <w:rFonts w:ascii="Times New Roman" w:eastAsiaTheme="majorEastAsia" w:hAnsi="Times New Roman" w:cstheme="majorBidi"/>
      <w:b/>
      <w:color w:val="2F5496" w:themeColor="accent5" w:themeShade="BF"/>
      <w:sz w:val="26"/>
      <w:szCs w:val="26"/>
    </w:rPr>
  </w:style>
  <w:style w:type="character" w:customStyle="1" w:styleId="Heading1Char">
    <w:name w:val="Heading 1 Char"/>
    <w:basedOn w:val="DefaultParagraphFont"/>
    <w:link w:val="Heading1"/>
    <w:uiPriority w:val="9"/>
    <w:rsid w:val="0013365E"/>
    <w:rPr>
      <w:rFonts w:ascii="Calibri" w:eastAsiaTheme="majorEastAsia" w:hAnsi="Calibri" w:cstheme="majorBidi"/>
      <w:b/>
      <w:color w:val="1F3864" w:themeColor="accent5" w:themeShade="80"/>
      <w:sz w:val="32"/>
      <w:szCs w:val="32"/>
      <w:lang w:val="en-GB"/>
    </w:rPr>
  </w:style>
  <w:style w:type="paragraph" w:styleId="NormalWeb">
    <w:name w:val="Normal (Web)"/>
    <w:basedOn w:val="Normal"/>
    <w:uiPriority w:val="99"/>
    <w:semiHidden/>
    <w:unhideWhenUsed/>
    <w:rsid w:val="00237F0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40710C"/>
    <w:pPr>
      <w:spacing w:before="240" w:after="0"/>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0710C"/>
    <w:pPr>
      <w:spacing w:after="100"/>
    </w:pPr>
  </w:style>
  <w:style w:type="character" w:styleId="Hyperlink">
    <w:name w:val="Hyperlink"/>
    <w:basedOn w:val="DefaultParagraphFont"/>
    <w:uiPriority w:val="99"/>
    <w:unhideWhenUsed/>
    <w:rsid w:val="0040710C"/>
    <w:rPr>
      <w:color w:val="0563C1" w:themeColor="hyperlink"/>
      <w:u w:val="single"/>
    </w:rPr>
  </w:style>
  <w:style w:type="character" w:styleId="Strong">
    <w:name w:val="Strong"/>
    <w:basedOn w:val="DefaultParagraphFont"/>
    <w:uiPriority w:val="22"/>
    <w:qFormat/>
    <w:rsid w:val="00404D78"/>
    <w:rPr>
      <w:b/>
      <w:bCs/>
    </w:rPr>
  </w:style>
  <w:style w:type="paragraph" w:styleId="Header">
    <w:name w:val="header"/>
    <w:basedOn w:val="Normal"/>
    <w:link w:val="HeaderChar"/>
    <w:uiPriority w:val="99"/>
    <w:unhideWhenUsed/>
    <w:rsid w:val="002001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177"/>
    <w:rPr>
      <w:lang w:val="en-GB"/>
    </w:rPr>
  </w:style>
  <w:style w:type="paragraph" w:styleId="Footer">
    <w:name w:val="footer"/>
    <w:basedOn w:val="Normal"/>
    <w:link w:val="FooterChar"/>
    <w:uiPriority w:val="99"/>
    <w:unhideWhenUsed/>
    <w:rsid w:val="002001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177"/>
    <w:rPr>
      <w:lang w:val="en-GB"/>
    </w:rPr>
  </w:style>
  <w:style w:type="paragraph" w:styleId="BalloonText">
    <w:name w:val="Balloon Text"/>
    <w:basedOn w:val="Normal"/>
    <w:link w:val="BalloonTextChar"/>
    <w:uiPriority w:val="99"/>
    <w:semiHidden/>
    <w:unhideWhenUsed/>
    <w:rsid w:val="006442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428F"/>
    <w:rPr>
      <w:rFonts w:ascii="Tahoma" w:hAnsi="Tahoma" w:cs="Tahoma"/>
      <w:sz w:val="16"/>
      <w:szCs w:val="16"/>
      <w:lang w:val="en-GB"/>
    </w:rPr>
  </w:style>
  <w:style w:type="paragraph" w:styleId="ListParagraph">
    <w:name w:val="List Paragraph"/>
    <w:basedOn w:val="Normal"/>
    <w:uiPriority w:val="34"/>
    <w:qFormat/>
    <w:rsid w:val="00FA0886"/>
    <w:pPr>
      <w:ind w:left="720"/>
      <w:contextualSpacing/>
    </w:pPr>
  </w:style>
  <w:style w:type="paragraph" w:styleId="TOC3">
    <w:name w:val="toc 3"/>
    <w:basedOn w:val="Normal"/>
    <w:next w:val="Normal"/>
    <w:autoRedefine/>
    <w:uiPriority w:val="39"/>
    <w:unhideWhenUsed/>
    <w:rsid w:val="007340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575060">
      <w:bodyDiv w:val="1"/>
      <w:marLeft w:val="0"/>
      <w:marRight w:val="0"/>
      <w:marTop w:val="0"/>
      <w:marBottom w:val="0"/>
      <w:divBdr>
        <w:top w:val="none" w:sz="0" w:space="0" w:color="auto"/>
        <w:left w:val="none" w:sz="0" w:space="0" w:color="auto"/>
        <w:bottom w:val="none" w:sz="0" w:space="0" w:color="auto"/>
        <w:right w:val="none" w:sz="0" w:space="0" w:color="auto"/>
      </w:divBdr>
    </w:div>
    <w:div w:id="187109551">
      <w:bodyDiv w:val="1"/>
      <w:marLeft w:val="0"/>
      <w:marRight w:val="0"/>
      <w:marTop w:val="0"/>
      <w:marBottom w:val="0"/>
      <w:divBdr>
        <w:top w:val="none" w:sz="0" w:space="0" w:color="auto"/>
        <w:left w:val="none" w:sz="0" w:space="0" w:color="auto"/>
        <w:bottom w:val="none" w:sz="0" w:space="0" w:color="auto"/>
        <w:right w:val="none" w:sz="0" w:space="0" w:color="auto"/>
      </w:divBdr>
    </w:div>
    <w:div w:id="265692760">
      <w:bodyDiv w:val="1"/>
      <w:marLeft w:val="0"/>
      <w:marRight w:val="0"/>
      <w:marTop w:val="0"/>
      <w:marBottom w:val="0"/>
      <w:divBdr>
        <w:top w:val="none" w:sz="0" w:space="0" w:color="auto"/>
        <w:left w:val="none" w:sz="0" w:space="0" w:color="auto"/>
        <w:bottom w:val="none" w:sz="0" w:space="0" w:color="auto"/>
        <w:right w:val="none" w:sz="0" w:space="0" w:color="auto"/>
      </w:divBdr>
    </w:div>
    <w:div w:id="363141027">
      <w:bodyDiv w:val="1"/>
      <w:marLeft w:val="0"/>
      <w:marRight w:val="0"/>
      <w:marTop w:val="0"/>
      <w:marBottom w:val="0"/>
      <w:divBdr>
        <w:top w:val="none" w:sz="0" w:space="0" w:color="auto"/>
        <w:left w:val="none" w:sz="0" w:space="0" w:color="auto"/>
        <w:bottom w:val="none" w:sz="0" w:space="0" w:color="auto"/>
        <w:right w:val="none" w:sz="0" w:space="0" w:color="auto"/>
      </w:divBdr>
    </w:div>
    <w:div w:id="420493607">
      <w:bodyDiv w:val="1"/>
      <w:marLeft w:val="0"/>
      <w:marRight w:val="0"/>
      <w:marTop w:val="0"/>
      <w:marBottom w:val="0"/>
      <w:divBdr>
        <w:top w:val="none" w:sz="0" w:space="0" w:color="auto"/>
        <w:left w:val="none" w:sz="0" w:space="0" w:color="auto"/>
        <w:bottom w:val="none" w:sz="0" w:space="0" w:color="auto"/>
        <w:right w:val="none" w:sz="0" w:space="0" w:color="auto"/>
      </w:divBdr>
    </w:div>
    <w:div w:id="621115995">
      <w:bodyDiv w:val="1"/>
      <w:marLeft w:val="0"/>
      <w:marRight w:val="0"/>
      <w:marTop w:val="0"/>
      <w:marBottom w:val="0"/>
      <w:divBdr>
        <w:top w:val="none" w:sz="0" w:space="0" w:color="auto"/>
        <w:left w:val="none" w:sz="0" w:space="0" w:color="auto"/>
        <w:bottom w:val="none" w:sz="0" w:space="0" w:color="auto"/>
        <w:right w:val="none" w:sz="0" w:space="0" w:color="auto"/>
      </w:divBdr>
    </w:div>
    <w:div w:id="717780919">
      <w:bodyDiv w:val="1"/>
      <w:marLeft w:val="0"/>
      <w:marRight w:val="0"/>
      <w:marTop w:val="0"/>
      <w:marBottom w:val="0"/>
      <w:divBdr>
        <w:top w:val="none" w:sz="0" w:space="0" w:color="auto"/>
        <w:left w:val="none" w:sz="0" w:space="0" w:color="auto"/>
        <w:bottom w:val="none" w:sz="0" w:space="0" w:color="auto"/>
        <w:right w:val="none" w:sz="0" w:space="0" w:color="auto"/>
      </w:divBdr>
    </w:div>
    <w:div w:id="751052670">
      <w:bodyDiv w:val="1"/>
      <w:marLeft w:val="0"/>
      <w:marRight w:val="0"/>
      <w:marTop w:val="0"/>
      <w:marBottom w:val="0"/>
      <w:divBdr>
        <w:top w:val="none" w:sz="0" w:space="0" w:color="auto"/>
        <w:left w:val="none" w:sz="0" w:space="0" w:color="auto"/>
        <w:bottom w:val="none" w:sz="0" w:space="0" w:color="auto"/>
        <w:right w:val="none" w:sz="0" w:space="0" w:color="auto"/>
      </w:divBdr>
    </w:div>
    <w:div w:id="852299810">
      <w:bodyDiv w:val="1"/>
      <w:marLeft w:val="0"/>
      <w:marRight w:val="0"/>
      <w:marTop w:val="0"/>
      <w:marBottom w:val="0"/>
      <w:divBdr>
        <w:top w:val="none" w:sz="0" w:space="0" w:color="auto"/>
        <w:left w:val="none" w:sz="0" w:space="0" w:color="auto"/>
        <w:bottom w:val="none" w:sz="0" w:space="0" w:color="auto"/>
        <w:right w:val="none" w:sz="0" w:space="0" w:color="auto"/>
      </w:divBdr>
    </w:div>
    <w:div w:id="899369253">
      <w:bodyDiv w:val="1"/>
      <w:marLeft w:val="0"/>
      <w:marRight w:val="0"/>
      <w:marTop w:val="0"/>
      <w:marBottom w:val="0"/>
      <w:divBdr>
        <w:top w:val="none" w:sz="0" w:space="0" w:color="auto"/>
        <w:left w:val="none" w:sz="0" w:space="0" w:color="auto"/>
        <w:bottom w:val="none" w:sz="0" w:space="0" w:color="auto"/>
        <w:right w:val="none" w:sz="0" w:space="0" w:color="auto"/>
      </w:divBdr>
      <w:divsChild>
        <w:div w:id="651642900">
          <w:marLeft w:val="0"/>
          <w:marRight w:val="0"/>
          <w:marTop w:val="0"/>
          <w:marBottom w:val="0"/>
          <w:divBdr>
            <w:top w:val="none" w:sz="0" w:space="0" w:color="auto"/>
            <w:left w:val="none" w:sz="0" w:space="0" w:color="auto"/>
            <w:bottom w:val="none" w:sz="0" w:space="0" w:color="auto"/>
            <w:right w:val="none" w:sz="0" w:space="0" w:color="auto"/>
          </w:divBdr>
          <w:divsChild>
            <w:div w:id="2082098723">
              <w:marLeft w:val="0"/>
              <w:marRight w:val="0"/>
              <w:marTop w:val="0"/>
              <w:marBottom w:val="0"/>
              <w:divBdr>
                <w:top w:val="none" w:sz="0" w:space="0" w:color="auto"/>
                <w:left w:val="none" w:sz="0" w:space="0" w:color="auto"/>
                <w:bottom w:val="none" w:sz="0" w:space="0" w:color="auto"/>
                <w:right w:val="none" w:sz="0" w:space="0" w:color="auto"/>
              </w:divBdr>
            </w:div>
          </w:divsChild>
        </w:div>
        <w:div w:id="404690017">
          <w:marLeft w:val="0"/>
          <w:marRight w:val="0"/>
          <w:marTop w:val="0"/>
          <w:marBottom w:val="0"/>
          <w:divBdr>
            <w:top w:val="none" w:sz="0" w:space="0" w:color="auto"/>
            <w:left w:val="none" w:sz="0" w:space="0" w:color="auto"/>
            <w:bottom w:val="none" w:sz="0" w:space="0" w:color="auto"/>
            <w:right w:val="none" w:sz="0" w:space="0" w:color="auto"/>
          </w:divBdr>
          <w:divsChild>
            <w:div w:id="1280532377">
              <w:marLeft w:val="0"/>
              <w:marRight w:val="0"/>
              <w:marTop w:val="0"/>
              <w:marBottom w:val="0"/>
              <w:divBdr>
                <w:top w:val="none" w:sz="0" w:space="0" w:color="auto"/>
                <w:left w:val="none" w:sz="0" w:space="0" w:color="auto"/>
                <w:bottom w:val="none" w:sz="0" w:space="0" w:color="auto"/>
                <w:right w:val="none" w:sz="0" w:space="0" w:color="auto"/>
              </w:divBdr>
            </w:div>
          </w:divsChild>
        </w:div>
        <w:div w:id="551581689">
          <w:marLeft w:val="0"/>
          <w:marRight w:val="0"/>
          <w:marTop w:val="0"/>
          <w:marBottom w:val="0"/>
          <w:divBdr>
            <w:top w:val="none" w:sz="0" w:space="0" w:color="auto"/>
            <w:left w:val="none" w:sz="0" w:space="0" w:color="auto"/>
            <w:bottom w:val="none" w:sz="0" w:space="0" w:color="auto"/>
            <w:right w:val="none" w:sz="0" w:space="0" w:color="auto"/>
          </w:divBdr>
          <w:divsChild>
            <w:div w:id="1326934635">
              <w:marLeft w:val="0"/>
              <w:marRight w:val="0"/>
              <w:marTop w:val="0"/>
              <w:marBottom w:val="0"/>
              <w:divBdr>
                <w:top w:val="none" w:sz="0" w:space="0" w:color="auto"/>
                <w:left w:val="none" w:sz="0" w:space="0" w:color="auto"/>
                <w:bottom w:val="none" w:sz="0" w:space="0" w:color="auto"/>
                <w:right w:val="none" w:sz="0" w:space="0" w:color="auto"/>
              </w:divBdr>
            </w:div>
          </w:divsChild>
        </w:div>
        <w:div w:id="1382747756">
          <w:marLeft w:val="0"/>
          <w:marRight w:val="0"/>
          <w:marTop w:val="0"/>
          <w:marBottom w:val="0"/>
          <w:divBdr>
            <w:top w:val="none" w:sz="0" w:space="0" w:color="auto"/>
            <w:left w:val="none" w:sz="0" w:space="0" w:color="auto"/>
            <w:bottom w:val="none" w:sz="0" w:space="0" w:color="auto"/>
            <w:right w:val="none" w:sz="0" w:space="0" w:color="auto"/>
          </w:divBdr>
          <w:divsChild>
            <w:div w:id="735861815">
              <w:marLeft w:val="0"/>
              <w:marRight w:val="0"/>
              <w:marTop w:val="0"/>
              <w:marBottom w:val="0"/>
              <w:divBdr>
                <w:top w:val="none" w:sz="0" w:space="0" w:color="auto"/>
                <w:left w:val="none" w:sz="0" w:space="0" w:color="auto"/>
                <w:bottom w:val="none" w:sz="0" w:space="0" w:color="auto"/>
                <w:right w:val="none" w:sz="0" w:space="0" w:color="auto"/>
              </w:divBdr>
            </w:div>
          </w:divsChild>
        </w:div>
        <w:div w:id="1945843405">
          <w:marLeft w:val="0"/>
          <w:marRight w:val="0"/>
          <w:marTop w:val="0"/>
          <w:marBottom w:val="0"/>
          <w:divBdr>
            <w:top w:val="none" w:sz="0" w:space="0" w:color="auto"/>
            <w:left w:val="none" w:sz="0" w:space="0" w:color="auto"/>
            <w:bottom w:val="none" w:sz="0" w:space="0" w:color="auto"/>
            <w:right w:val="none" w:sz="0" w:space="0" w:color="auto"/>
          </w:divBdr>
          <w:divsChild>
            <w:div w:id="131918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135397">
      <w:bodyDiv w:val="1"/>
      <w:marLeft w:val="0"/>
      <w:marRight w:val="0"/>
      <w:marTop w:val="0"/>
      <w:marBottom w:val="0"/>
      <w:divBdr>
        <w:top w:val="none" w:sz="0" w:space="0" w:color="auto"/>
        <w:left w:val="none" w:sz="0" w:space="0" w:color="auto"/>
        <w:bottom w:val="none" w:sz="0" w:space="0" w:color="auto"/>
        <w:right w:val="none" w:sz="0" w:space="0" w:color="auto"/>
      </w:divBdr>
    </w:div>
    <w:div w:id="1086002839">
      <w:bodyDiv w:val="1"/>
      <w:marLeft w:val="0"/>
      <w:marRight w:val="0"/>
      <w:marTop w:val="0"/>
      <w:marBottom w:val="0"/>
      <w:divBdr>
        <w:top w:val="none" w:sz="0" w:space="0" w:color="auto"/>
        <w:left w:val="none" w:sz="0" w:space="0" w:color="auto"/>
        <w:bottom w:val="none" w:sz="0" w:space="0" w:color="auto"/>
        <w:right w:val="none" w:sz="0" w:space="0" w:color="auto"/>
      </w:divBdr>
    </w:div>
    <w:div w:id="1125390987">
      <w:bodyDiv w:val="1"/>
      <w:marLeft w:val="0"/>
      <w:marRight w:val="0"/>
      <w:marTop w:val="0"/>
      <w:marBottom w:val="0"/>
      <w:divBdr>
        <w:top w:val="none" w:sz="0" w:space="0" w:color="auto"/>
        <w:left w:val="none" w:sz="0" w:space="0" w:color="auto"/>
        <w:bottom w:val="none" w:sz="0" w:space="0" w:color="auto"/>
        <w:right w:val="none" w:sz="0" w:space="0" w:color="auto"/>
      </w:divBdr>
    </w:div>
    <w:div w:id="1427385713">
      <w:bodyDiv w:val="1"/>
      <w:marLeft w:val="0"/>
      <w:marRight w:val="0"/>
      <w:marTop w:val="0"/>
      <w:marBottom w:val="0"/>
      <w:divBdr>
        <w:top w:val="none" w:sz="0" w:space="0" w:color="auto"/>
        <w:left w:val="none" w:sz="0" w:space="0" w:color="auto"/>
        <w:bottom w:val="none" w:sz="0" w:space="0" w:color="auto"/>
        <w:right w:val="none" w:sz="0" w:space="0" w:color="auto"/>
      </w:divBdr>
    </w:div>
    <w:div w:id="1430272785">
      <w:bodyDiv w:val="1"/>
      <w:marLeft w:val="0"/>
      <w:marRight w:val="0"/>
      <w:marTop w:val="0"/>
      <w:marBottom w:val="0"/>
      <w:divBdr>
        <w:top w:val="none" w:sz="0" w:space="0" w:color="auto"/>
        <w:left w:val="none" w:sz="0" w:space="0" w:color="auto"/>
        <w:bottom w:val="none" w:sz="0" w:space="0" w:color="auto"/>
        <w:right w:val="none" w:sz="0" w:space="0" w:color="auto"/>
      </w:divBdr>
    </w:div>
    <w:div w:id="1456483873">
      <w:bodyDiv w:val="1"/>
      <w:marLeft w:val="0"/>
      <w:marRight w:val="0"/>
      <w:marTop w:val="0"/>
      <w:marBottom w:val="0"/>
      <w:divBdr>
        <w:top w:val="none" w:sz="0" w:space="0" w:color="auto"/>
        <w:left w:val="none" w:sz="0" w:space="0" w:color="auto"/>
        <w:bottom w:val="none" w:sz="0" w:space="0" w:color="auto"/>
        <w:right w:val="none" w:sz="0" w:space="0" w:color="auto"/>
      </w:divBdr>
      <w:divsChild>
        <w:div w:id="214901908">
          <w:marLeft w:val="0"/>
          <w:marRight w:val="0"/>
          <w:marTop w:val="0"/>
          <w:marBottom w:val="0"/>
          <w:divBdr>
            <w:top w:val="none" w:sz="0" w:space="0" w:color="auto"/>
            <w:left w:val="none" w:sz="0" w:space="0" w:color="auto"/>
            <w:bottom w:val="none" w:sz="0" w:space="0" w:color="auto"/>
            <w:right w:val="none" w:sz="0" w:space="0" w:color="auto"/>
          </w:divBdr>
          <w:divsChild>
            <w:div w:id="88159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197171">
      <w:bodyDiv w:val="1"/>
      <w:marLeft w:val="0"/>
      <w:marRight w:val="0"/>
      <w:marTop w:val="0"/>
      <w:marBottom w:val="0"/>
      <w:divBdr>
        <w:top w:val="none" w:sz="0" w:space="0" w:color="auto"/>
        <w:left w:val="none" w:sz="0" w:space="0" w:color="auto"/>
        <w:bottom w:val="none" w:sz="0" w:space="0" w:color="auto"/>
        <w:right w:val="none" w:sz="0" w:space="0" w:color="auto"/>
      </w:divBdr>
    </w:div>
    <w:div w:id="1583295643">
      <w:bodyDiv w:val="1"/>
      <w:marLeft w:val="0"/>
      <w:marRight w:val="0"/>
      <w:marTop w:val="0"/>
      <w:marBottom w:val="0"/>
      <w:divBdr>
        <w:top w:val="none" w:sz="0" w:space="0" w:color="auto"/>
        <w:left w:val="none" w:sz="0" w:space="0" w:color="auto"/>
        <w:bottom w:val="none" w:sz="0" w:space="0" w:color="auto"/>
        <w:right w:val="none" w:sz="0" w:space="0" w:color="auto"/>
      </w:divBdr>
    </w:div>
    <w:div w:id="1597058261">
      <w:bodyDiv w:val="1"/>
      <w:marLeft w:val="0"/>
      <w:marRight w:val="0"/>
      <w:marTop w:val="0"/>
      <w:marBottom w:val="0"/>
      <w:divBdr>
        <w:top w:val="none" w:sz="0" w:space="0" w:color="auto"/>
        <w:left w:val="none" w:sz="0" w:space="0" w:color="auto"/>
        <w:bottom w:val="none" w:sz="0" w:space="0" w:color="auto"/>
        <w:right w:val="none" w:sz="0" w:space="0" w:color="auto"/>
      </w:divBdr>
    </w:div>
    <w:div w:id="1600869068">
      <w:bodyDiv w:val="1"/>
      <w:marLeft w:val="0"/>
      <w:marRight w:val="0"/>
      <w:marTop w:val="0"/>
      <w:marBottom w:val="0"/>
      <w:divBdr>
        <w:top w:val="none" w:sz="0" w:space="0" w:color="auto"/>
        <w:left w:val="none" w:sz="0" w:space="0" w:color="auto"/>
        <w:bottom w:val="none" w:sz="0" w:space="0" w:color="auto"/>
        <w:right w:val="none" w:sz="0" w:space="0" w:color="auto"/>
      </w:divBdr>
    </w:div>
    <w:div w:id="1623030083">
      <w:bodyDiv w:val="1"/>
      <w:marLeft w:val="0"/>
      <w:marRight w:val="0"/>
      <w:marTop w:val="0"/>
      <w:marBottom w:val="0"/>
      <w:divBdr>
        <w:top w:val="none" w:sz="0" w:space="0" w:color="auto"/>
        <w:left w:val="none" w:sz="0" w:space="0" w:color="auto"/>
        <w:bottom w:val="none" w:sz="0" w:space="0" w:color="auto"/>
        <w:right w:val="none" w:sz="0" w:space="0" w:color="auto"/>
      </w:divBdr>
    </w:div>
    <w:div w:id="1639334460">
      <w:bodyDiv w:val="1"/>
      <w:marLeft w:val="0"/>
      <w:marRight w:val="0"/>
      <w:marTop w:val="0"/>
      <w:marBottom w:val="0"/>
      <w:divBdr>
        <w:top w:val="none" w:sz="0" w:space="0" w:color="auto"/>
        <w:left w:val="none" w:sz="0" w:space="0" w:color="auto"/>
        <w:bottom w:val="none" w:sz="0" w:space="0" w:color="auto"/>
        <w:right w:val="none" w:sz="0" w:space="0" w:color="auto"/>
      </w:divBdr>
    </w:div>
    <w:div w:id="1642151326">
      <w:bodyDiv w:val="1"/>
      <w:marLeft w:val="0"/>
      <w:marRight w:val="0"/>
      <w:marTop w:val="0"/>
      <w:marBottom w:val="0"/>
      <w:divBdr>
        <w:top w:val="none" w:sz="0" w:space="0" w:color="auto"/>
        <w:left w:val="none" w:sz="0" w:space="0" w:color="auto"/>
        <w:bottom w:val="none" w:sz="0" w:space="0" w:color="auto"/>
        <w:right w:val="none" w:sz="0" w:space="0" w:color="auto"/>
      </w:divBdr>
    </w:div>
    <w:div w:id="1860002164">
      <w:bodyDiv w:val="1"/>
      <w:marLeft w:val="0"/>
      <w:marRight w:val="0"/>
      <w:marTop w:val="0"/>
      <w:marBottom w:val="0"/>
      <w:divBdr>
        <w:top w:val="none" w:sz="0" w:space="0" w:color="auto"/>
        <w:left w:val="none" w:sz="0" w:space="0" w:color="auto"/>
        <w:bottom w:val="none" w:sz="0" w:space="0" w:color="auto"/>
        <w:right w:val="none" w:sz="0" w:space="0" w:color="auto"/>
      </w:divBdr>
      <w:divsChild>
        <w:div w:id="361512601">
          <w:marLeft w:val="0"/>
          <w:marRight w:val="0"/>
          <w:marTop w:val="0"/>
          <w:marBottom w:val="0"/>
          <w:divBdr>
            <w:top w:val="none" w:sz="0" w:space="0" w:color="auto"/>
            <w:left w:val="none" w:sz="0" w:space="0" w:color="auto"/>
            <w:bottom w:val="none" w:sz="0" w:space="0" w:color="auto"/>
            <w:right w:val="none" w:sz="0" w:space="0" w:color="auto"/>
          </w:divBdr>
          <w:divsChild>
            <w:div w:id="440224217">
              <w:marLeft w:val="0"/>
              <w:marRight w:val="0"/>
              <w:marTop w:val="0"/>
              <w:marBottom w:val="0"/>
              <w:divBdr>
                <w:top w:val="none" w:sz="0" w:space="0" w:color="auto"/>
                <w:left w:val="none" w:sz="0" w:space="0" w:color="auto"/>
                <w:bottom w:val="none" w:sz="0" w:space="0" w:color="auto"/>
                <w:right w:val="none" w:sz="0" w:space="0" w:color="auto"/>
              </w:divBdr>
            </w:div>
          </w:divsChild>
        </w:div>
        <w:div w:id="170489331">
          <w:marLeft w:val="0"/>
          <w:marRight w:val="0"/>
          <w:marTop w:val="0"/>
          <w:marBottom w:val="0"/>
          <w:divBdr>
            <w:top w:val="none" w:sz="0" w:space="0" w:color="auto"/>
            <w:left w:val="none" w:sz="0" w:space="0" w:color="auto"/>
            <w:bottom w:val="none" w:sz="0" w:space="0" w:color="auto"/>
            <w:right w:val="none" w:sz="0" w:space="0" w:color="auto"/>
          </w:divBdr>
          <w:divsChild>
            <w:div w:id="180898288">
              <w:marLeft w:val="0"/>
              <w:marRight w:val="0"/>
              <w:marTop w:val="0"/>
              <w:marBottom w:val="0"/>
              <w:divBdr>
                <w:top w:val="none" w:sz="0" w:space="0" w:color="auto"/>
                <w:left w:val="none" w:sz="0" w:space="0" w:color="auto"/>
                <w:bottom w:val="none" w:sz="0" w:space="0" w:color="auto"/>
                <w:right w:val="none" w:sz="0" w:space="0" w:color="auto"/>
              </w:divBdr>
            </w:div>
          </w:divsChild>
        </w:div>
        <w:div w:id="1296714605">
          <w:marLeft w:val="0"/>
          <w:marRight w:val="0"/>
          <w:marTop w:val="0"/>
          <w:marBottom w:val="0"/>
          <w:divBdr>
            <w:top w:val="none" w:sz="0" w:space="0" w:color="auto"/>
            <w:left w:val="none" w:sz="0" w:space="0" w:color="auto"/>
            <w:bottom w:val="none" w:sz="0" w:space="0" w:color="auto"/>
            <w:right w:val="none" w:sz="0" w:space="0" w:color="auto"/>
          </w:divBdr>
          <w:divsChild>
            <w:div w:id="247884990">
              <w:marLeft w:val="0"/>
              <w:marRight w:val="0"/>
              <w:marTop w:val="0"/>
              <w:marBottom w:val="0"/>
              <w:divBdr>
                <w:top w:val="none" w:sz="0" w:space="0" w:color="auto"/>
                <w:left w:val="none" w:sz="0" w:space="0" w:color="auto"/>
                <w:bottom w:val="none" w:sz="0" w:space="0" w:color="auto"/>
                <w:right w:val="none" w:sz="0" w:space="0" w:color="auto"/>
              </w:divBdr>
            </w:div>
          </w:divsChild>
        </w:div>
        <w:div w:id="1315646327">
          <w:marLeft w:val="0"/>
          <w:marRight w:val="0"/>
          <w:marTop w:val="0"/>
          <w:marBottom w:val="0"/>
          <w:divBdr>
            <w:top w:val="none" w:sz="0" w:space="0" w:color="auto"/>
            <w:left w:val="none" w:sz="0" w:space="0" w:color="auto"/>
            <w:bottom w:val="none" w:sz="0" w:space="0" w:color="auto"/>
            <w:right w:val="none" w:sz="0" w:space="0" w:color="auto"/>
          </w:divBdr>
          <w:divsChild>
            <w:div w:id="74226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975938">
      <w:bodyDiv w:val="1"/>
      <w:marLeft w:val="0"/>
      <w:marRight w:val="0"/>
      <w:marTop w:val="0"/>
      <w:marBottom w:val="0"/>
      <w:divBdr>
        <w:top w:val="none" w:sz="0" w:space="0" w:color="auto"/>
        <w:left w:val="none" w:sz="0" w:space="0" w:color="auto"/>
        <w:bottom w:val="none" w:sz="0" w:space="0" w:color="auto"/>
        <w:right w:val="none" w:sz="0" w:space="0" w:color="auto"/>
      </w:divBdr>
    </w:div>
    <w:div w:id="1984576472">
      <w:bodyDiv w:val="1"/>
      <w:marLeft w:val="0"/>
      <w:marRight w:val="0"/>
      <w:marTop w:val="0"/>
      <w:marBottom w:val="0"/>
      <w:divBdr>
        <w:top w:val="none" w:sz="0" w:space="0" w:color="auto"/>
        <w:left w:val="none" w:sz="0" w:space="0" w:color="auto"/>
        <w:bottom w:val="none" w:sz="0" w:space="0" w:color="auto"/>
        <w:right w:val="none" w:sz="0" w:space="0" w:color="auto"/>
      </w:divBdr>
    </w:div>
    <w:div w:id="2015572721">
      <w:bodyDiv w:val="1"/>
      <w:marLeft w:val="0"/>
      <w:marRight w:val="0"/>
      <w:marTop w:val="0"/>
      <w:marBottom w:val="0"/>
      <w:divBdr>
        <w:top w:val="none" w:sz="0" w:space="0" w:color="auto"/>
        <w:left w:val="none" w:sz="0" w:space="0" w:color="auto"/>
        <w:bottom w:val="none" w:sz="0" w:space="0" w:color="auto"/>
        <w:right w:val="none" w:sz="0" w:space="0" w:color="auto"/>
      </w:divBdr>
    </w:div>
    <w:div w:id="202088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microsoft.com/office/2007/relationships/hdphoto" Target="media/hdphoto1.wd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33BCE-F566-4804-9BBC-FA5FBB5CB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3639</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2025-10-06T06:33:00Z</dcterms:created>
  <dcterms:modified xsi:type="dcterms:W3CDTF">2025-10-28T10:05:00Z</dcterms:modified>
</cp:coreProperties>
</file>