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Y="1936"/>
        <w:tblW w:w="8856" w:type="dxa"/>
        <w:tblLook w:val="04A0" w:firstRow="1" w:lastRow="0" w:firstColumn="1" w:lastColumn="0" w:noHBand="0" w:noVBand="1"/>
      </w:tblPr>
      <w:tblGrid>
        <w:gridCol w:w="8856"/>
      </w:tblGrid>
      <w:tr w:rsidR="005232C6" w:rsidRPr="005E3CBD" w14:paraId="7A9F3B34" w14:textId="77777777" w:rsidTr="00906997">
        <w:trPr>
          <w:trHeight w:val="1622"/>
        </w:trPr>
        <w:tc>
          <w:tcPr>
            <w:tcW w:w="8856" w:type="dxa"/>
          </w:tcPr>
          <w:p w14:paraId="2D6E46CF" w14:textId="77777777" w:rsidR="005232C6" w:rsidRPr="005E3CBD" w:rsidRDefault="005232C6" w:rsidP="00906997">
            <w:pPr>
              <w:spacing w:line="360" w:lineRule="auto"/>
              <w:rPr>
                <w:rFonts w:ascii="Arial" w:hAnsi="Arial" w:cs="Arial"/>
              </w:rPr>
            </w:pPr>
            <w:r w:rsidRPr="005E3CBD">
              <w:rPr>
                <w:rFonts w:ascii="Arial" w:hAnsi="Arial" w:cs="Arial"/>
              </w:rPr>
              <w:t xml:space="preserve">Student Name: Nyandeng Malek </w:t>
            </w:r>
          </w:p>
        </w:tc>
      </w:tr>
      <w:tr w:rsidR="005232C6" w:rsidRPr="005E3CBD" w14:paraId="5FC7F9BF" w14:textId="77777777" w:rsidTr="00906997">
        <w:trPr>
          <w:trHeight w:val="1684"/>
        </w:trPr>
        <w:tc>
          <w:tcPr>
            <w:tcW w:w="8856" w:type="dxa"/>
          </w:tcPr>
          <w:p w14:paraId="49AF2915" w14:textId="77777777" w:rsidR="005232C6" w:rsidRPr="005E3CBD" w:rsidRDefault="005232C6" w:rsidP="00906997">
            <w:pPr>
              <w:spacing w:line="360" w:lineRule="auto"/>
              <w:rPr>
                <w:rFonts w:ascii="Arial" w:hAnsi="Arial" w:cs="Arial"/>
              </w:rPr>
            </w:pPr>
            <w:r w:rsidRPr="005E3CBD">
              <w:rPr>
                <w:rFonts w:ascii="Arial" w:hAnsi="Arial" w:cs="Arial"/>
              </w:rPr>
              <w:t>Student ID number: 1911902</w:t>
            </w:r>
          </w:p>
        </w:tc>
      </w:tr>
      <w:tr w:rsidR="005232C6" w:rsidRPr="005E3CBD" w14:paraId="4119000B" w14:textId="77777777" w:rsidTr="00906997">
        <w:trPr>
          <w:trHeight w:val="1622"/>
        </w:trPr>
        <w:tc>
          <w:tcPr>
            <w:tcW w:w="8856" w:type="dxa"/>
          </w:tcPr>
          <w:p w14:paraId="15C4FC8A" w14:textId="72747DB1" w:rsidR="005232C6" w:rsidRPr="005E3CBD" w:rsidRDefault="005232C6" w:rsidP="00906997">
            <w:pPr>
              <w:spacing w:line="360" w:lineRule="auto"/>
              <w:rPr>
                <w:rFonts w:ascii="Arial" w:hAnsi="Arial" w:cs="Arial"/>
              </w:rPr>
            </w:pPr>
            <w:r w:rsidRPr="005E3CBD">
              <w:rPr>
                <w:rFonts w:ascii="Arial" w:hAnsi="Arial" w:cs="Arial"/>
              </w:rPr>
              <w:t>BMS</w:t>
            </w:r>
            <w:r w:rsidR="00B816EB">
              <w:rPr>
                <w:rFonts w:ascii="Arial" w:hAnsi="Arial" w:cs="Arial"/>
              </w:rPr>
              <w:t>W</w:t>
            </w:r>
            <w:r>
              <w:rPr>
                <w:rFonts w:ascii="Arial" w:hAnsi="Arial" w:cs="Arial"/>
              </w:rPr>
              <w:t xml:space="preserve"> 5101</w:t>
            </w:r>
          </w:p>
        </w:tc>
      </w:tr>
      <w:tr w:rsidR="005232C6" w:rsidRPr="005E3CBD" w14:paraId="24E10977" w14:textId="77777777" w:rsidTr="00906997">
        <w:trPr>
          <w:trHeight w:val="1622"/>
        </w:trPr>
        <w:tc>
          <w:tcPr>
            <w:tcW w:w="8856" w:type="dxa"/>
          </w:tcPr>
          <w:p w14:paraId="3AAB63B8" w14:textId="77777777" w:rsidR="005232C6" w:rsidRPr="005232C6" w:rsidRDefault="005232C6" w:rsidP="005232C6">
            <w:pPr>
              <w:spacing w:line="360" w:lineRule="auto"/>
              <w:rPr>
                <w:rFonts w:ascii="Arial" w:hAnsi="Arial" w:cs="Arial"/>
                <w:bCs/>
              </w:rPr>
            </w:pPr>
            <w:r w:rsidRPr="005232C6">
              <w:rPr>
                <w:rFonts w:ascii="Arial" w:hAnsi="Arial" w:cs="Arial"/>
                <w:bCs/>
              </w:rPr>
              <w:t>Developing Workplace Critical Thinking</w:t>
            </w:r>
          </w:p>
          <w:p w14:paraId="77236B87" w14:textId="77697CB4" w:rsidR="005232C6" w:rsidRPr="005E3CBD" w:rsidRDefault="005232C6" w:rsidP="00906997">
            <w:pPr>
              <w:tabs>
                <w:tab w:val="left" w:pos="8205"/>
              </w:tabs>
              <w:spacing w:line="360" w:lineRule="auto"/>
              <w:rPr>
                <w:rFonts w:ascii="Arial" w:hAnsi="Arial" w:cs="Arial"/>
              </w:rPr>
            </w:pPr>
            <w:r>
              <w:rPr>
                <w:rFonts w:ascii="Arial" w:hAnsi="Arial" w:cs="Arial"/>
              </w:rPr>
              <w:t>Part B</w:t>
            </w:r>
          </w:p>
        </w:tc>
      </w:tr>
      <w:tr w:rsidR="005232C6" w:rsidRPr="005E3CBD" w14:paraId="4D59E3B3" w14:textId="77777777" w:rsidTr="00906997">
        <w:trPr>
          <w:trHeight w:val="2109"/>
        </w:trPr>
        <w:tc>
          <w:tcPr>
            <w:tcW w:w="8856" w:type="dxa"/>
          </w:tcPr>
          <w:p w14:paraId="6834D19A" w14:textId="43097F9C" w:rsidR="005232C6" w:rsidRPr="005E3CBD" w:rsidRDefault="005232C6" w:rsidP="00906997">
            <w:pPr>
              <w:spacing w:line="360" w:lineRule="auto"/>
              <w:rPr>
                <w:rFonts w:ascii="Arial" w:hAnsi="Arial" w:cs="Arial"/>
              </w:rPr>
            </w:pPr>
            <w:r w:rsidRPr="005E3CBD">
              <w:rPr>
                <w:rFonts w:ascii="Arial" w:hAnsi="Arial" w:cs="Arial"/>
              </w:rPr>
              <w:t xml:space="preserve">Lecturers Name: </w:t>
            </w:r>
            <w:r>
              <w:rPr>
                <w:rFonts w:ascii="Arial" w:hAnsi="Arial" w:cs="Arial"/>
              </w:rPr>
              <w:t>Dr Obinna Nkwocha</w:t>
            </w:r>
          </w:p>
        </w:tc>
      </w:tr>
    </w:tbl>
    <w:p w14:paraId="0C81334E" w14:textId="77777777" w:rsidR="005232C6" w:rsidRPr="005E3CBD" w:rsidRDefault="005232C6" w:rsidP="005232C6">
      <w:pPr>
        <w:spacing w:line="360" w:lineRule="auto"/>
        <w:rPr>
          <w:rFonts w:ascii="Arial" w:hAnsi="Arial" w:cs="Arial"/>
        </w:rPr>
      </w:pPr>
    </w:p>
    <w:p w14:paraId="2395A295" w14:textId="269CBDBE" w:rsidR="005232C6" w:rsidRDefault="005232C6"/>
    <w:p w14:paraId="6627EE26" w14:textId="24E816A0" w:rsidR="000F489F" w:rsidRDefault="000F489F"/>
    <w:p w14:paraId="76B8C466" w14:textId="295379D0" w:rsidR="000F489F" w:rsidRDefault="000F489F"/>
    <w:p w14:paraId="0274E4AD" w14:textId="59757898" w:rsidR="000F489F" w:rsidRDefault="000F489F"/>
    <w:p w14:paraId="0AA03E75" w14:textId="77777777" w:rsidR="000F489F" w:rsidRDefault="000F489F"/>
    <w:p w14:paraId="3A2FA476" w14:textId="50C505A1" w:rsidR="00B816EB" w:rsidRDefault="00B816EB"/>
    <w:p w14:paraId="3175C542" w14:textId="0E1D51AB" w:rsidR="00B816EB" w:rsidRDefault="00B816EB"/>
    <w:p w14:paraId="15D2B4B0" w14:textId="77777777" w:rsidR="00B816EB" w:rsidRDefault="00B816EB"/>
    <w:p w14:paraId="72DAAAC0" w14:textId="5722B81F" w:rsidR="00B816EB" w:rsidRDefault="00B816EB"/>
    <w:p w14:paraId="1FC1EDE8" w14:textId="6DD0A7C2" w:rsidR="00B816EB" w:rsidRDefault="00B816EB"/>
    <w:sdt>
      <w:sdtPr>
        <w:rPr>
          <w:rFonts w:asciiTheme="minorHAnsi" w:eastAsiaTheme="minorHAnsi" w:hAnsiTheme="minorHAnsi" w:cstheme="minorBidi"/>
          <w:b w:val="0"/>
          <w:bCs w:val="0"/>
          <w:color w:val="auto"/>
          <w:sz w:val="22"/>
          <w:szCs w:val="22"/>
          <w:lang w:val="en-GB"/>
        </w:rPr>
        <w:id w:val="1760340549"/>
        <w:docPartObj>
          <w:docPartGallery w:val="Table of Contents"/>
          <w:docPartUnique/>
        </w:docPartObj>
      </w:sdtPr>
      <w:sdtEndPr/>
      <w:sdtContent>
        <w:p w14:paraId="0E07EA51" w14:textId="77777777" w:rsidR="00B816EB" w:rsidRDefault="00B816EB" w:rsidP="00B816EB">
          <w:pPr>
            <w:pStyle w:val="TOCHeading"/>
          </w:pPr>
          <w:r>
            <w:rPr>
              <w:rFonts w:ascii="Arial" w:hAnsi="Arial" w:cs="Arial"/>
              <w:color w:val="000000" w:themeColor="text1"/>
              <w:sz w:val="22"/>
              <w:szCs w:val="22"/>
            </w:rPr>
            <w:t>Table of Contents</w:t>
          </w:r>
        </w:p>
        <w:p w14:paraId="60B4D29B" w14:textId="77777777" w:rsidR="00B816EB" w:rsidRDefault="00B816EB" w:rsidP="00B816EB">
          <w:pPr>
            <w:pStyle w:val="TOC1"/>
            <w:tabs>
              <w:tab w:val="right" w:leader="dot" w:pos="9350"/>
            </w:tabs>
            <w:rPr>
              <w:rFonts w:eastAsiaTheme="minorEastAsia"/>
              <w:noProof/>
            </w:rPr>
          </w:pPr>
          <w:r>
            <w:fldChar w:fldCharType="begin"/>
          </w:r>
          <w:r>
            <w:instrText xml:space="preserve"> TOC \o "1-3" \h \z \u </w:instrText>
          </w:r>
          <w:r>
            <w:fldChar w:fldCharType="separate"/>
          </w:r>
          <w:hyperlink r:id="rId8" w:anchor="_Toc76682470" w:history="1">
            <w:r>
              <w:rPr>
                <w:rStyle w:val="Hyperlink"/>
                <w:rFonts w:ascii="Arial" w:hAnsi="Arial" w:cs="Arial"/>
                <w:noProof/>
              </w:rPr>
              <w:t>Question 1</w:t>
            </w:r>
            <w:r>
              <w:rPr>
                <w:rStyle w:val="Hyperlink"/>
                <w:noProof/>
                <w:webHidden/>
              </w:rPr>
              <w:tab/>
            </w:r>
            <w:r>
              <w:rPr>
                <w:rStyle w:val="Hyperlink"/>
                <w:noProof/>
                <w:webHidden/>
              </w:rPr>
              <w:fldChar w:fldCharType="begin"/>
            </w:r>
            <w:r>
              <w:rPr>
                <w:rStyle w:val="Hyperlink"/>
                <w:noProof/>
                <w:webHidden/>
              </w:rPr>
              <w:instrText xml:space="preserve"> PAGEREF _Toc76682470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14007275" w14:textId="77777777" w:rsidR="00B816EB" w:rsidRDefault="006E6D17" w:rsidP="00B816EB">
          <w:pPr>
            <w:pStyle w:val="TOC2"/>
            <w:tabs>
              <w:tab w:val="right" w:leader="dot" w:pos="9350"/>
            </w:tabs>
            <w:rPr>
              <w:rFonts w:eastAsiaTheme="minorEastAsia"/>
              <w:noProof/>
            </w:rPr>
          </w:pPr>
          <w:hyperlink r:id="rId9" w:anchor="_Toc76682471" w:history="1">
            <w:r w:rsidR="00B816EB">
              <w:rPr>
                <w:rStyle w:val="Hyperlink"/>
                <w:rFonts w:ascii="Arial" w:hAnsi="Arial" w:cs="Arial"/>
                <w:noProof/>
              </w:rPr>
              <w:t>1.1 Introduction</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_Toc76682471 \h </w:instrText>
            </w:r>
            <w:r w:rsidR="00B816EB">
              <w:rPr>
                <w:rStyle w:val="Hyperlink"/>
                <w:noProof/>
                <w:webHidden/>
              </w:rPr>
            </w:r>
            <w:r w:rsidR="00B816EB">
              <w:rPr>
                <w:rStyle w:val="Hyperlink"/>
                <w:noProof/>
                <w:webHidden/>
              </w:rPr>
              <w:fldChar w:fldCharType="separate"/>
            </w:r>
            <w:r w:rsidR="00B816EB">
              <w:rPr>
                <w:rStyle w:val="Hyperlink"/>
                <w:noProof/>
                <w:webHidden/>
              </w:rPr>
              <w:t>3</w:t>
            </w:r>
            <w:r w:rsidR="00B816EB">
              <w:rPr>
                <w:rStyle w:val="Hyperlink"/>
                <w:noProof/>
                <w:webHidden/>
              </w:rPr>
              <w:fldChar w:fldCharType="end"/>
            </w:r>
          </w:hyperlink>
        </w:p>
        <w:p w14:paraId="7033A66D" w14:textId="77777777" w:rsidR="00B816EB" w:rsidRDefault="006E6D17" w:rsidP="00B816EB">
          <w:pPr>
            <w:pStyle w:val="TOC2"/>
            <w:tabs>
              <w:tab w:val="right" w:leader="dot" w:pos="9350"/>
            </w:tabs>
            <w:rPr>
              <w:rFonts w:eastAsiaTheme="minorEastAsia"/>
              <w:noProof/>
            </w:rPr>
          </w:pPr>
          <w:hyperlink r:id="rId10" w:anchor="_Toc76682472" w:history="1">
            <w:r w:rsidR="00B816EB">
              <w:rPr>
                <w:rStyle w:val="Hyperlink"/>
                <w:rFonts w:ascii="Arial" w:hAnsi="Arial" w:cs="Arial"/>
                <w:noProof/>
              </w:rPr>
              <w:t>1.2 Believes and its Origin</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_Toc76682472 \h </w:instrText>
            </w:r>
            <w:r w:rsidR="00B816EB">
              <w:rPr>
                <w:rStyle w:val="Hyperlink"/>
                <w:noProof/>
                <w:webHidden/>
              </w:rPr>
            </w:r>
            <w:r w:rsidR="00B816EB">
              <w:rPr>
                <w:rStyle w:val="Hyperlink"/>
                <w:noProof/>
                <w:webHidden/>
              </w:rPr>
              <w:fldChar w:fldCharType="separate"/>
            </w:r>
            <w:r w:rsidR="00B816EB">
              <w:rPr>
                <w:rStyle w:val="Hyperlink"/>
                <w:noProof/>
                <w:webHidden/>
              </w:rPr>
              <w:t>3</w:t>
            </w:r>
            <w:r w:rsidR="00B816EB">
              <w:rPr>
                <w:rStyle w:val="Hyperlink"/>
                <w:noProof/>
                <w:webHidden/>
              </w:rPr>
              <w:fldChar w:fldCharType="end"/>
            </w:r>
          </w:hyperlink>
        </w:p>
        <w:p w14:paraId="08849F15" w14:textId="77777777" w:rsidR="00B816EB" w:rsidRDefault="006E6D17" w:rsidP="00B816EB">
          <w:pPr>
            <w:pStyle w:val="TOC2"/>
            <w:tabs>
              <w:tab w:val="right" w:leader="dot" w:pos="9350"/>
            </w:tabs>
            <w:rPr>
              <w:rFonts w:eastAsiaTheme="minorEastAsia"/>
              <w:noProof/>
            </w:rPr>
          </w:pPr>
          <w:hyperlink r:id="rId11" w:anchor="_Toc76682473" w:history="1">
            <w:r w:rsidR="00B816EB">
              <w:rPr>
                <w:rStyle w:val="Hyperlink"/>
                <w:rFonts w:ascii="Arial" w:hAnsi="Arial" w:cs="Arial"/>
                <w:noProof/>
              </w:rPr>
              <w:t>1.3 Different types of belief and their impacts on workplace culture</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_Toc76682473 \h </w:instrText>
            </w:r>
            <w:r w:rsidR="00B816EB">
              <w:rPr>
                <w:rStyle w:val="Hyperlink"/>
                <w:noProof/>
                <w:webHidden/>
              </w:rPr>
            </w:r>
            <w:r w:rsidR="00B816EB">
              <w:rPr>
                <w:rStyle w:val="Hyperlink"/>
                <w:noProof/>
                <w:webHidden/>
              </w:rPr>
              <w:fldChar w:fldCharType="separate"/>
            </w:r>
            <w:r w:rsidR="00B816EB">
              <w:rPr>
                <w:rStyle w:val="Hyperlink"/>
                <w:noProof/>
                <w:webHidden/>
              </w:rPr>
              <w:t>4</w:t>
            </w:r>
            <w:r w:rsidR="00B816EB">
              <w:rPr>
                <w:rStyle w:val="Hyperlink"/>
                <w:noProof/>
                <w:webHidden/>
              </w:rPr>
              <w:fldChar w:fldCharType="end"/>
            </w:r>
          </w:hyperlink>
        </w:p>
        <w:p w14:paraId="62D7A94A" w14:textId="77777777" w:rsidR="00B816EB" w:rsidRDefault="006E6D17" w:rsidP="00B816EB">
          <w:pPr>
            <w:pStyle w:val="TOC3"/>
            <w:tabs>
              <w:tab w:val="right" w:leader="dot" w:pos="9350"/>
            </w:tabs>
            <w:rPr>
              <w:rFonts w:eastAsiaTheme="minorEastAsia"/>
              <w:noProof/>
            </w:rPr>
          </w:pPr>
          <w:hyperlink r:id="rId12" w:anchor="_Toc76682474" w:history="1">
            <w:r w:rsidR="00B816EB">
              <w:rPr>
                <w:rStyle w:val="Hyperlink"/>
                <w:rFonts w:ascii="Arial" w:hAnsi="Arial" w:cs="Arial"/>
                <w:noProof/>
              </w:rPr>
              <w:t>1.3.1 Moral belief</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_Toc76682474 \h </w:instrText>
            </w:r>
            <w:r w:rsidR="00B816EB">
              <w:rPr>
                <w:rStyle w:val="Hyperlink"/>
                <w:noProof/>
                <w:webHidden/>
              </w:rPr>
            </w:r>
            <w:r w:rsidR="00B816EB">
              <w:rPr>
                <w:rStyle w:val="Hyperlink"/>
                <w:noProof/>
                <w:webHidden/>
              </w:rPr>
              <w:fldChar w:fldCharType="separate"/>
            </w:r>
            <w:r w:rsidR="00B816EB">
              <w:rPr>
                <w:rStyle w:val="Hyperlink"/>
                <w:noProof/>
                <w:webHidden/>
              </w:rPr>
              <w:t>5</w:t>
            </w:r>
            <w:r w:rsidR="00B816EB">
              <w:rPr>
                <w:rStyle w:val="Hyperlink"/>
                <w:noProof/>
                <w:webHidden/>
              </w:rPr>
              <w:fldChar w:fldCharType="end"/>
            </w:r>
          </w:hyperlink>
        </w:p>
        <w:p w14:paraId="068672B9" w14:textId="77777777" w:rsidR="00B816EB" w:rsidRDefault="006E6D17" w:rsidP="00B816EB">
          <w:pPr>
            <w:pStyle w:val="TOC3"/>
            <w:tabs>
              <w:tab w:val="right" w:leader="dot" w:pos="9350"/>
            </w:tabs>
            <w:rPr>
              <w:rFonts w:eastAsiaTheme="minorEastAsia"/>
              <w:noProof/>
            </w:rPr>
          </w:pPr>
          <w:hyperlink r:id="rId13" w:anchor="_Toc76682475" w:history="1">
            <w:r w:rsidR="00B816EB">
              <w:rPr>
                <w:rStyle w:val="Hyperlink"/>
                <w:rFonts w:ascii="Arial" w:hAnsi="Arial" w:cs="Arial"/>
                <w:noProof/>
              </w:rPr>
              <w:t>1.3.2 Intellectual belief</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_Toc76682475 \h </w:instrText>
            </w:r>
            <w:r w:rsidR="00B816EB">
              <w:rPr>
                <w:rStyle w:val="Hyperlink"/>
                <w:noProof/>
                <w:webHidden/>
              </w:rPr>
            </w:r>
            <w:r w:rsidR="00B816EB">
              <w:rPr>
                <w:rStyle w:val="Hyperlink"/>
                <w:noProof/>
                <w:webHidden/>
              </w:rPr>
              <w:fldChar w:fldCharType="separate"/>
            </w:r>
            <w:r w:rsidR="00B816EB">
              <w:rPr>
                <w:rStyle w:val="Hyperlink"/>
                <w:noProof/>
                <w:webHidden/>
              </w:rPr>
              <w:t>5</w:t>
            </w:r>
            <w:r w:rsidR="00B816EB">
              <w:rPr>
                <w:rStyle w:val="Hyperlink"/>
                <w:noProof/>
                <w:webHidden/>
              </w:rPr>
              <w:fldChar w:fldCharType="end"/>
            </w:r>
          </w:hyperlink>
        </w:p>
        <w:p w14:paraId="6EEBD9D4" w14:textId="77777777" w:rsidR="00B816EB" w:rsidRDefault="006E6D17" w:rsidP="00B816EB">
          <w:pPr>
            <w:pStyle w:val="TOC3"/>
            <w:tabs>
              <w:tab w:val="right" w:leader="dot" w:pos="9350"/>
            </w:tabs>
            <w:rPr>
              <w:rFonts w:eastAsiaTheme="minorEastAsia"/>
              <w:noProof/>
            </w:rPr>
          </w:pPr>
          <w:hyperlink r:id="rId14" w:anchor="_Toc76682476" w:history="1">
            <w:r w:rsidR="00B816EB">
              <w:rPr>
                <w:rStyle w:val="Hyperlink"/>
                <w:rFonts w:ascii="Arial" w:hAnsi="Arial" w:cs="Arial"/>
                <w:noProof/>
              </w:rPr>
              <w:t>1.3.3 Economic beliefs</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_Toc76682476 \h </w:instrText>
            </w:r>
            <w:r w:rsidR="00B816EB">
              <w:rPr>
                <w:rStyle w:val="Hyperlink"/>
                <w:noProof/>
                <w:webHidden/>
              </w:rPr>
            </w:r>
            <w:r w:rsidR="00B816EB">
              <w:rPr>
                <w:rStyle w:val="Hyperlink"/>
                <w:noProof/>
                <w:webHidden/>
              </w:rPr>
              <w:fldChar w:fldCharType="separate"/>
            </w:r>
            <w:r w:rsidR="00B816EB">
              <w:rPr>
                <w:rStyle w:val="Hyperlink"/>
                <w:noProof/>
                <w:webHidden/>
              </w:rPr>
              <w:t>6</w:t>
            </w:r>
            <w:r w:rsidR="00B816EB">
              <w:rPr>
                <w:rStyle w:val="Hyperlink"/>
                <w:noProof/>
                <w:webHidden/>
              </w:rPr>
              <w:fldChar w:fldCharType="end"/>
            </w:r>
          </w:hyperlink>
        </w:p>
        <w:p w14:paraId="691083D0" w14:textId="77777777" w:rsidR="00B816EB" w:rsidRDefault="006E6D17" w:rsidP="00B816EB">
          <w:pPr>
            <w:pStyle w:val="TOC3"/>
            <w:tabs>
              <w:tab w:val="right" w:leader="dot" w:pos="9350"/>
            </w:tabs>
            <w:rPr>
              <w:rFonts w:eastAsiaTheme="minorEastAsia"/>
              <w:noProof/>
            </w:rPr>
          </w:pPr>
          <w:hyperlink r:id="rId15" w:anchor="_Toc76682477" w:history="1">
            <w:r w:rsidR="00B816EB">
              <w:rPr>
                <w:rStyle w:val="Hyperlink"/>
                <w:rFonts w:ascii="Arial" w:hAnsi="Arial" w:cs="Arial"/>
                <w:noProof/>
              </w:rPr>
              <w:t>1.3.4 Political belief</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_Toc76682477 \h </w:instrText>
            </w:r>
            <w:r w:rsidR="00B816EB">
              <w:rPr>
                <w:rStyle w:val="Hyperlink"/>
                <w:noProof/>
                <w:webHidden/>
              </w:rPr>
            </w:r>
            <w:r w:rsidR="00B816EB">
              <w:rPr>
                <w:rStyle w:val="Hyperlink"/>
                <w:noProof/>
                <w:webHidden/>
              </w:rPr>
              <w:fldChar w:fldCharType="separate"/>
            </w:r>
            <w:r w:rsidR="00B816EB">
              <w:rPr>
                <w:rStyle w:val="Hyperlink"/>
                <w:noProof/>
                <w:webHidden/>
              </w:rPr>
              <w:t>6</w:t>
            </w:r>
            <w:r w:rsidR="00B816EB">
              <w:rPr>
                <w:rStyle w:val="Hyperlink"/>
                <w:noProof/>
                <w:webHidden/>
              </w:rPr>
              <w:fldChar w:fldCharType="end"/>
            </w:r>
          </w:hyperlink>
        </w:p>
        <w:p w14:paraId="399DAEAF" w14:textId="77777777" w:rsidR="00B816EB" w:rsidRDefault="006E6D17" w:rsidP="00B816EB">
          <w:pPr>
            <w:pStyle w:val="TOC2"/>
            <w:tabs>
              <w:tab w:val="right" w:leader="dot" w:pos="9350"/>
            </w:tabs>
            <w:rPr>
              <w:rFonts w:eastAsiaTheme="minorEastAsia"/>
              <w:noProof/>
            </w:rPr>
          </w:pPr>
          <w:hyperlink r:id="rId16" w:anchor="_Toc76682478" w:history="1">
            <w:r w:rsidR="00B816EB">
              <w:rPr>
                <w:rStyle w:val="Hyperlink"/>
                <w:rFonts w:ascii="Arial" w:hAnsi="Arial" w:cs="Arial"/>
                <w:noProof/>
              </w:rPr>
              <w:t>1.4 Recommendations</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_Toc76682478 \h </w:instrText>
            </w:r>
            <w:r w:rsidR="00B816EB">
              <w:rPr>
                <w:rStyle w:val="Hyperlink"/>
                <w:noProof/>
                <w:webHidden/>
              </w:rPr>
            </w:r>
            <w:r w:rsidR="00B816EB">
              <w:rPr>
                <w:rStyle w:val="Hyperlink"/>
                <w:noProof/>
                <w:webHidden/>
              </w:rPr>
              <w:fldChar w:fldCharType="separate"/>
            </w:r>
            <w:r w:rsidR="00B816EB">
              <w:rPr>
                <w:rStyle w:val="Hyperlink"/>
                <w:noProof/>
                <w:webHidden/>
              </w:rPr>
              <w:t>7</w:t>
            </w:r>
            <w:r w:rsidR="00B816EB">
              <w:rPr>
                <w:rStyle w:val="Hyperlink"/>
                <w:noProof/>
                <w:webHidden/>
              </w:rPr>
              <w:fldChar w:fldCharType="end"/>
            </w:r>
          </w:hyperlink>
        </w:p>
        <w:p w14:paraId="71434D88" w14:textId="77777777" w:rsidR="00B816EB" w:rsidRDefault="006E6D17" w:rsidP="00B816EB">
          <w:pPr>
            <w:pStyle w:val="TOC2"/>
            <w:tabs>
              <w:tab w:val="right" w:leader="dot" w:pos="9350"/>
            </w:tabs>
            <w:rPr>
              <w:rFonts w:eastAsiaTheme="minorEastAsia"/>
              <w:noProof/>
            </w:rPr>
          </w:pPr>
          <w:hyperlink r:id="rId17" w:anchor="_Toc76682479" w:history="1">
            <w:r w:rsidR="00B816EB">
              <w:rPr>
                <w:rStyle w:val="Hyperlink"/>
                <w:rFonts w:ascii="Arial" w:hAnsi="Arial" w:cs="Arial"/>
                <w:noProof/>
              </w:rPr>
              <w:t>1.5 Conclusion</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_Toc76682479 \h </w:instrText>
            </w:r>
            <w:r w:rsidR="00B816EB">
              <w:rPr>
                <w:rStyle w:val="Hyperlink"/>
                <w:noProof/>
                <w:webHidden/>
              </w:rPr>
            </w:r>
            <w:r w:rsidR="00B816EB">
              <w:rPr>
                <w:rStyle w:val="Hyperlink"/>
                <w:noProof/>
                <w:webHidden/>
              </w:rPr>
              <w:fldChar w:fldCharType="separate"/>
            </w:r>
            <w:r w:rsidR="00B816EB">
              <w:rPr>
                <w:rStyle w:val="Hyperlink"/>
                <w:noProof/>
                <w:webHidden/>
              </w:rPr>
              <w:t>8</w:t>
            </w:r>
            <w:r w:rsidR="00B816EB">
              <w:rPr>
                <w:rStyle w:val="Hyperlink"/>
                <w:noProof/>
                <w:webHidden/>
              </w:rPr>
              <w:fldChar w:fldCharType="end"/>
            </w:r>
          </w:hyperlink>
        </w:p>
        <w:p w14:paraId="3E025211" w14:textId="77777777" w:rsidR="00B816EB" w:rsidRDefault="006E6D17" w:rsidP="00B816EB">
          <w:pPr>
            <w:pStyle w:val="TOC2"/>
            <w:tabs>
              <w:tab w:val="right" w:leader="dot" w:pos="9350"/>
            </w:tabs>
            <w:rPr>
              <w:rFonts w:eastAsiaTheme="minorEastAsia"/>
              <w:noProof/>
            </w:rPr>
          </w:pPr>
          <w:hyperlink r:id="rId18" w:anchor="_Toc76682480" w:history="1">
            <w:r w:rsidR="00B816EB">
              <w:rPr>
                <w:rStyle w:val="Hyperlink"/>
                <w:rFonts w:ascii="Arial" w:hAnsi="Arial" w:cs="Arial"/>
                <w:noProof/>
              </w:rPr>
              <w:t>1.6 References</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_Toc76682480 \h </w:instrText>
            </w:r>
            <w:r w:rsidR="00B816EB">
              <w:rPr>
                <w:rStyle w:val="Hyperlink"/>
                <w:noProof/>
                <w:webHidden/>
              </w:rPr>
            </w:r>
            <w:r w:rsidR="00B816EB">
              <w:rPr>
                <w:rStyle w:val="Hyperlink"/>
                <w:noProof/>
                <w:webHidden/>
              </w:rPr>
              <w:fldChar w:fldCharType="separate"/>
            </w:r>
            <w:r w:rsidR="00B816EB">
              <w:rPr>
                <w:rStyle w:val="Hyperlink"/>
                <w:noProof/>
                <w:webHidden/>
              </w:rPr>
              <w:t>9</w:t>
            </w:r>
            <w:r w:rsidR="00B816EB">
              <w:rPr>
                <w:rStyle w:val="Hyperlink"/>
                <w:noProof/>
                <w:webHidden/>
              </w:rPr>
              <w:fldChar w:fldCharType="end"/>
            </w:r>
          </w:hyperlink>
        </w:p>
        <w:p w14:paraId="7A133329" w14:textId="77777777" w:rsidR="00B816EB" w:rsidRDefault="006E6D17" w:rsidP="00B816EB">
          <w:pPr>
            <w:pStyle w:val="TOC1"/>
            <w:tabs>
              <w:tab w:val="right" w:leader="dot" w:pos="9350"/>
            </w:tabs>
            <w:rPr>
              <w:rFonts w:eastAsiaTheme="minorEastAsia"/>
              <w:noProof/>
            </w:rPr>
          </w:pPr>
          <w:hyperlink r:id="rId19" w:anchor="_Toc76682481" w:history="1">
            <w:r w:rsidR="00B816EB">
              <w:rPr>
                <w:rStyle w:val="Hyperlink"/>
                <w:rFonts w:ascii="Arial" w:hAnsi="Arial" w:cs="Arial"/>
                <w:noProof/>
              </w:rPr>
              <w:t>Question 2</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_Toc76682481 \h </w:instrText>
            </w:r>
            <w:r w:rsidR="00B816EB">
              <w:rPr>
                <w:rStyle w:val="Hyperlink"/>
                <w:noProof/>
                <w:webHidden/>
              </w:rPr>
            </w:r>
            <w:r w:rsidR="00B816EB">
              <w:rPr>
                <w:rStyle w:val="Hyperlink"/>
                <w:noProof/>
                <w:webHidden/>
              </w:rPr>
              <w:fldChar w:fldCharType="separate"/>
            </w:r>
            <w:r w:rsidR="00B816EB">
              <w:rPr>
                <w:rStyle w:val="Hyperlink"/>
                <w:noProof/>
                <w:webHidden/>
              </w:rPr>
              <w:t>11</w:t>
            </w:r>
            <w:r w:rsidR="00B816EB">
              <w:rPr>
                <w:rStyle w:val="Hyperlink"/>
                <w:noProof/>
                <w:webHidden/>
              </w:rPr>
              <w:fldChar w:fldCharType="end"/>
            </w:r>
          </w:hyperlink>
        </w:p>
        <w:p w14:paraId="4D9E95B1" w14:textId="77777777" w:rsidR="00B816EB" w:rsidRDefault="006E6D17" w:rsidP="00B816EB">
          <w:pPr>
            <w:pStyle w:val="TOC2"/>
            <w:tabs>
              <w:tab w:val="right" w:leader="dot" w:pos="9350"/>
            </w:tabs>
            <w:rPr>
              <w:rFonts w:eastAsiaTheme="minorEastAsia"/>
              <w:noProof/>
            </w:rPr>
          </w:pPr>
          <w:hyperlink r:id="rId20" w:anchor="_Toc76682482" w:history="1">
            <w:r w:rsidR="00B816EB">
              <w:rPr>
                <w:rStyle w:val="Hyperlink"/>
                <w:rFonts w:ascii="Arial" w:hAnsi="Arial" w:cs="Arial"/>
                <w:noProof/>
              </w:rPr>
              <w:t>2.1 Introduction</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_Toc76682482 \h </w:instrText>
            </w:r>
            <w:r w:rsidR="00B816EB">
              <w:rPr>
                <w:rStyle w:val="Hyperlink"/>
                <w:noProof/>
                <w:webHidden/>
              </w:rPr>
            </w:r>
            <w:r w:rsidR="00B816EB">
              <w:rPr>
                <w:rStyle w:val="Hyperlink"/>
                <w:noProof/>
                <w:webHidden/>
              </w:rPr>
              <w:fldChar w:fldCharType="separate"/>
            </w:r>
            <w:r w:rsidR="00B816EB">
              <w:rPr>
                <w:rStyle w:val="Hyperlink"/>
                <w:noProof/>
                <w:webHidden/>
              </w:rPr>
              <w:t>11</w:t>
            </w:r>
            <w:r w:rsidR="00B816EB">
              <w:rPr>
                <w:rStyle w:val="Hyperlink"/>
                <w:noProof/>
                <w:webHidden/>
              </w:rPr>
              <w:fldChar w:fldCharType="end"/>
            </w:r>
          </w:hyperlink>
        </w:p>
        <w:p w14:paraId="57E1936C" w14:textId="77777777" w:rsidR="00B816EB" w:rsidRDefault="006E6D17" w:rsidP="00B816EB">
          <w:pPr>
            <w:pStyle w:val="TOC2"/>
            <w:tabs>
              <w:tab w:val="right" w:leader="dot" w:pos="9350"/>
            </w:tabs>
            <w:rPr>
              <w:rFonts w:eastAsiaTheme="minorEastAsia"/>
              <w:noProof/>
            </w:rPr>
          </w:pPr>
          <w:hyperlink r:id="rId21" w:anchor="_Toc76682483" w:history="1">
            <w:r w:rsidR="00B816EB">
              <w:rPr>
                <w:rStyle w:val="Hyperlink"/>
                <w:rFonts w:ascii="Arial" w:hAnsi="Arial" w:cs="Arial"/>
                <w:noProof/>
              </w:rPr>
              <w:t>2.2 Learning Module</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_Toc76682483 \h </w:instrText>
            </w:r>
            <w:r w:rsidR="00B816EB">
              <w:rPr>
                <w:rStyle w:val="Hyperlink"/>
                <w:noProof/>
                <w:webHidden/>
              </w:rPr>
            </w:r>
            <w:r w:rsidR="00B816EB">
              <w:rPr>
                <w:rStyle w:val="Hyperlink"/>
                <w:noProof/>
                <w:webHidden/>
              </w:rPr>
              <w:fldChar w:fldCharType="separate"/>
            </w:r>
            <w:r w:rsidR="00B816EB">
              <w:rPr>
                <w:rStyle w:val="Hyperlink"/>
                <w:noProof/>
                <w:webHidden/>
              </w:rPr>
              <w:t>11</w:t>
            </w:r>
            <w:r w:rsidR="00B816EB">
              <w:rPr>
                <w:rStyle w:val="Hyperlink"/>
                <w:noProof/>
                <w:webHidden/>
              </w:rPr>
              <w:fldChar w:fldCharType="end"/>
            </w:r>
          </w:hyperlink>
        </w:p>
        <w:p w14:paraId="03E17433" w14:textId="77777777" w:rsidR="00B816EB" w:rsidRDefault="006E6D17" w:rsidP="00B816EB">
          <w:pPr>
            <w:pStyle w:val="TOC2"/>
            <w:tabs>
              <w:tab w:val="right" w:leader="dot" w:pos="9350"/>
            </w:tabs>
            <w:rPr>
              <w:rFonts w:eastAsiaTheme="minorEastAsia"/>
              <w:noProof/>
            </w:rPr>
          </w:pPr>
          <w:hyperlink r:id="rId22" w:anchor="_Toc76682484" w:history="1">
            <w:r w:rsidR="00B816EB">
              <w:rPr>
                <w:rStyle w:val="Hyperlink"/>
                <w:rFonts w:ascii="Arial" w:hAnsi="Arial" w:cs="Arial"/>
                <w:noProof/>
              </w:rPr>
              <w:t>2.3 Review of critical thinking abilities and skills developed in preparation for future engagements</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_Toc76682484 \h </w:instrText>
            </w:r>
            <w:r w:rsidR="00B816EB">
              <w:rPr>
                <w:rStyle w:val="Hyperlink"/>
                <w:noProof/>
                <w:webHidden/>
              </w:rPr>
            </w:r>
            <w:r w:rsidR="00B816EB">
              <w:rPr>
                <w:rStyle w:val="Hyperlink"/>
                <w:noProof/>
                <w:webHidden/>
              </w:rPr>
              <w:fldChar w:fldCharType="separate"/>
            </w:r>
            <w:r w:rsidR="00B816EB">
              <w:rPr>
                <w:rStyle w:val="Hyperlink"/>
                <w:noProof/>
                <w:webHidden/>
              </w:rPr>
              <w:t>12</w:t>
            </w:r>
            <w:r w:rsidR="00B816EB">
              <w:rPr>
                <w:rStyle w:val="Hyperlink"/>
                <w:noProof/>
                <w:webHidden/>
              </w:rPr>
              <w:fldChar w:fldCharType="end"/>
            </w:r>
          </w:hyperlink>
        </w:p>
        <w:p w14:paraId="7B337375" w14:textId="77777777" w:rsidR="00B816EB" w:rsidRDefault="006E6D17" w:rsidP="00B816EB">
          <w:pPr>
            <w:pStyle w:val="TOC2"/>
            <w:tabs>
              <w:tab w:val="right" w:leader="dot" w:pos="9350"/>
            </w:tabs>
            <w:rPr>
              <w:rFonts w:eastAsiaTheme="minorEastAsia"/>
              <w:noProof/>
            </w:rPr>
          </w:pPr>
          <w:hyperlink r:id="rId23" w:anchor="_Toc76682485" w:history="1">
            <w:r w:rsidR="00B816EB">
              <w:rPr>
                <w:rStyle w:val="Hyperlink"/>
                <w:rFonts w:ascii="Arial" w:hAnsi="Arial" w:cs="Arial"/>
                <w:noProof/>
              </w:rPr>
              <w:t>2.4 References</w:t>
            </w:r>
            <w:r w:rsidR="00B816EB">
              <w:rPr>
                <w:rStyle w:val="Hyperlink"/>
                <w:noProof/>
                <w:webHidden/>
              </w:rPr>
              <w:tab/>
            </w:r>
            <w:r w:rsidR="00B816EB">
              <w:rPr>
                <w:rStyle w:val="Hyperlink"/>
                <w:noProof/>
                <w:webHidden/>
              </w:rPr>
              <w:fldChar w:fldCharType="begin"/>
            </w:r>
            <w:r w:rsidR="00B816EB">
              <w:rPr>
                <w:rStyle w:val="Hyperlink"/>
                <w:noProof/>
                <w:webHidden/>
              </w:rPr>
              <w:instrText xml:space="preserve"> PAGEREF _Toc76682485 \h </w:instrText>
            </w:r>
            <w:r w:rsidR="00B816EB">
              <w:rPr>
                <w:rStyle w:val="Hyperlink"/>
                <w:noProof/>
                <w:webHidden/>
              </w:rPr>
            </w:r>
            <w:r w:rsidR="00B816EB">
              <w:rPr>
                <w:rStyle w:val="Hyperlink"/>
                <w:noProof/>
                <w:webHidden/>
              </w:rPr>
              <w:fldChar w:fldCharType="separate"/>
            </w:r>
            <w:r w:rsidR="00B816EB">
              <w:rPr>
                <w:rStyle w:val="Hyperlink"/>
                <w:noProof/>
                <w:webHidden/>
              </w:rPr>
              <w:t>14</w:t>
            </w:r>
            <w:r w:rsidR="00B816EB">
              <w:rPr>
                <w:rStyle w:val="Hyperlink"/>
                <w:noProof/>
                <w:webHidden/>
              </w:rPr>
              <w:fldChar w:fldCharType="end"/>
            </w:r>
          </w:hyperlink>
        </w:p>
        <w:p w14:paraId="7FE152C6" w14:textId="77777777" w:rsidR="00B816EB" w:rsidRDefault="00B816EB" w:rsidP="00B816EB">
          <w:r>
            <w:fldChar w:fldCharType="end"/>
          </w:r>
        </w:p>
      </w:sdtContent>
    </w:sdt>
    <w:p w14:paraId="02317F21" w14:textId="77777777" w:rsidR="00B816EB" w:rsidRDefault="00B816EB" w:rsidP="00B816EB">
      <w:pPr>
        <w:rPr>
          <w:rFonts w:ascii="Arial" w:eastAsiaTheme="majorEastAsia" w:hAnsi="Arial" w:cs="Arial"/>
          <w:b/>
          <w:bCs/>
          <w:color w:val="000000" w:themeColor="text1"/>
        </w:rPr>
      </w:pPr>
      <w:r>
        <w:rPr>
          <w:rFonts w:ascii="Arial" w:hAnsi="Arial" w:cs="Arial"/>
          <w:color w:val="000000" w:themeColor="text1"/>
        </w:rPr>
        <w:br w:type="page"/>
      </w:r>
    </w:p>
    <w:p w14:paraId="3FE6B894" w14:textId="77777777" w:rsidR="00B816EB" w:rsidRDefault="00B816EB" w:rsidP="00B816EB">
      <w:pPr>
        <w:pStyle w:val="Heading1"/>
        <w:spacing w:line="360" w:lineRule="auto"/>
        <w:jc w:val="both"/>
        <w:rPr>
          <w:rFonts w:ascii="Arial" w:hAnsi="Arial" w:cs="Arial"/>
          <w:color w:val="000000" w:themeColor="text1"/>
          <w:sz w:val="22"/>
          <w:szCs w:val="22"/>
        </w:rPr>
      </w:pPr>
      <w:bookmarkStart w:id="0" w:name="_Toc76682470"/>
      <w:r>
        <w:rPr>
          <w:rFonts w:ascii="Arial" w:hAnsi="Arial" w:cs="Arial"/>
          <w:color w:val="000000" w:themeColor="text1"/>
          <w:sz w:val="22"/>
          <w:szCs w:val="22"/>
        </w:rPr>
        <w:lastRenderedPageBreak/>
        <w:t>Question 1</w:t>
      </w:r>
      <w:bookmarkEnd w:id="0"/>
    </w:p>
    <w:p w14:paraId="1143EA53" w14:textId="77777777" w:rsidR="00B816EB" w:rsidRDefault="00B816EB" w:rsidP="00B816EB">
      <w:pPr>
        <w:pStyle w:val="Heading2"/>
        <w:spacing w:line="360" w:lineRule="auto"/>
        <w:jc w:val="both"/>
        <w:rPr>
          <w:rFonts w:ascii="Arial" w:hAnsi="Arial" w:cs="Arial"/>
          <w:color w:val="000000" w:themeColor="text1"/>
          <w:sz w:val="22"/>
          <w:szCs w:val="22"/>
        </w:rPr>
      </w:pPr>
      <w:bookmarkStart w:id="1" w:name="_Toc76682471"/>
      <w:r>
        <w:rPr>
          <w:rFonts w:ascii="Arial" w:hAnsi="Arial" w:cs="Arial"/>
          <w:color w:val="000000" w:themeColor="text1"/>
          <w:sz w:val="22"/>
          <w:szCs w:val="22"/>
        </w:rPr>
        <w:t>1.1 Introduction</w:t>
      </w:r>
      <w:bookmarkEnd w:id="1"/>
      <w:r>
        <w:rPr>
          <w:rFonts w:ascii="Arial" w:hAnsi="Arial" w:cs="Arial"/>
          <w:color w:val="000000" w:themeColor="text1"/>
          <w:sz w:val="22"/>
          <w:szCs w:val="22"/>
        </w:rPr>
        <w:t xml:space="preserve"> </w:t>
      </w:r>
    </w:p>
    <w:p w14:paraId="7581337D" w14:textId="77777777" w:rsidR="00B816EB" w:rsidRDefault="00B816EB" w:rsidP="00B816EB">
      <w:pPr>
        <w:spacing w:line="360" w:lineRule="auto"/>
        <w:jc w:val="both"/>
        <w:rPr>
          <w:rFonts w:ascii="Arial" w:hAnsi="Arial" w:cs="Arial"/>
        </w:rPr>
      </w:pPr>
      <w:r>
        <w:rPr>
          <w:rFonts w:ascii="Arial" w:hAnsi="Arial" w:cs="Arial"/>
        </w:rPr>
        <w:t xml:space="preserve">At different phases of a professional life, it is vital to define basic values, beliefs, and attitudes. These are the ideas that allow you to make important decisions and duties. Defining the values that are essential to an individual might help them develop personal and professional goals. It can also help people find jobs and industry that are compatible with their interests. Core principles are a set of beliefs, ideas, and </w:t>
      </w:r>
      <w:proofErr w:type="spellStart"/>
      <w:r>
        <w:rPr>
          <w:rFonts w:ascii="Arial" w:hAnsi="Arial" w:cs="Arial"/>
        </w:rPr>
        <w:t>behaviors</w:t>
      </w:r>
      <w:proofErr w:type="spellEnd"/>
      <w:r>
        <w:rPr>
          <w:rFonts w:ascii="Arial" w:hAnsi="Arial" w:cs="Arial"/>
        </w:rPr>
        <w:t xml:space="preserve"> that determine how well an individual conducts his life, for both professional and personal growth. Businesses, too, can have and follow core beliefs. These can help a </w:t>
      </w:r>
      <w:proofErr w:type="gramStart"/>
      <w:r>
        <w:rPr>
          <w:rFonts w:ascii="Arial" w:hAnsi="Arial" w:cs="Arial"/>
        </w:rPr>
        <w:t>business</w:t>
      </w:r>
      <w:proofErr w:type="gramEnd"/>
      <w:r>
        <w:rPr>
          <w:rFonts w:ascii="Arial" w:hAnsi="Arial" w:cs="Arial"/>
        </w:rPr>
        <w:t xml:space="preserve"> or an individual decide how to allocate resources, make wise decisions, and thrive. The study's main goal is to examine the impact of personal beliefs on the workplace. In addition, the study emphasises the need of critical thinking and critical reflection in gaining a thorough comprehension of the module. The report reviews the critical thinking skills and capabilities learned in view of the potential encounters using Kolb's Reflective model.</w:t>
      </w:r>
    </w:p>
    <w:p w14:paraId="78A12B3B" w14:textId="77777777" w:rsidR="00B816EB" w:rsidRDefault="00B816EB" w:rsidP="00B816EB">
      <w:pPr>
        <w:pStyle w:val="Heading2"/>
        <w:spacing w:line="360" w:lineRule="auto"/>
        <w:jc w:val="both"/>
        <w:rPr>
          <w:rFonts w:ascii="Arial" w:hAnsi="Arial" w:cs="Arial"/>
          <w:color w:val="000000" w:themeColor="text1"/>
          <w:sz w:val="22"/>
          <w:szCs w:val="22"/>
        </w:rPr>
      </w:pPr>
      <w:bookmarkStart w:id="2" w:name="_Toc76682472"/>
      <w:r>
        <w:rPr>
          <w:rFonts w:ascii="Arial" w:hAnsi="Arial" w:cs="Arial"/>
          <w:color w:val="000000" w:themeColor="text1"/>
          <w:sz w:val="22"/>
          <w:szCs w:val="22"/>
        </w:rPr>
        <w:t>1.2 Believes and its Origin</w:t>
      </w:r>
      <w:bookmarkEnd w:id="2"/>
    </w:p>
    <w:p w14:paraId="5A047B21" w14:textId="77777777" w:rsidR="00B816EB" w:rsidRDefault="00B816EB" w:rsidP="00B816EB">
      <w:pPr>
        <w:spacing w:line="360" w:lineRule="auto"/>
        <w:jc w:val="both"/>
        <w:rPr>
          <w:rFonts w:ascii="Arial" w:hAnsi="Arial" w:cs="Arial"/>
        </w:rPr>
      </w:pPr>
      <w:r>
        <w:rPr>
          <w:rFonts w:ascii="Arial" w:hAnsi="Arial" w:cs="Arial"/>
        </w:rPr>
        <w:t xml:space="preserve">Belief is a mental condition of agreement or acquiescence towards some notion without having </w:t>
      </w:r>
      <w:proofErr w:type="gramStart"/>
      <w:r>
        <w:rPr>
          <w:rFonts w:ascii="Arial" w:hAnsi="Arial" w:cs="Arial"/>
        </w:rPr>
        <w:t>all of</w:t>
      </w:r>
      <w:proofErr w:type="gramEnd"/>
      <w:r>
        <w:rPr>
          <w:rFonts w:ascii="Arial" w:hAnsi="Arial" w:cs="Arial"/>
        </w:rPr>
        <w:t xml:space="preserve"> the necessary innate knowledge to ensure its reality. Believing is either a logical judgment or, as </w:t>
      </w:r>
      <w:proofErr w:type="spellStart"/>
      <w:r>
        <w:rPr>
          <w:rFonts w:ascii="Arial" w:hAnsi="Arial" w:cs="Arial"/>
        </w:rPr>
        <w:t>skeptical</w:t>
      </w:r>
      <w:proofErr w:type="spellEnd"/>
      <w:r>
        <w:rPr>
          <w:rFonts w:ascii="Arial" w:hAnsi="Arial" w:cs="Arial"/>
        </w:rPr>
        <w:t xml:space="preserve"> David Hume, an 18th-century Scottish maintained a specific kind of emotion with connotations distinct from disbelieving (</w:t>
      </w:r>
      <w:proofErr w:type="spellStart"/>
      <w:r>
        <w:rPr>
          <w:rFonts w:ascii="Arial" w:hAnsi="Arial" w:cs="Arial"/>
          <w:color w:val="222222"/>
          <w:shd w:val="clear" w:color="auto" w:fill="FFFFFF"/>
        </w:rPr>
        <w:t>Jiroušek</w:t>
      </w:r>
      <w:proofErr w:type="spellEnd"/>
      <w:r>
        <w:rPr>
          <w:rFonts w:ascii="Arial" w:hAnsi="Arial" w:cs="Arial"/>
          <w:color w:val="222222"/>
          <w:shd w:val="clear" w:color="auto" w:fill="FFFFFF"/>
        </w:rPr>
        <w:t xml:space="preserve"> and Shenoy, 2018)</w:t>
      </w:r>
      <w:r>
        <w:rPr>
          <w:rFonts w:ascii="Arial" w:hAnsi="Arial" w:cs="Arial"/>
        </w:rPr>
        <w:t>. A supposition or suspicion, an idea, or a certainty has all been used to classify beliefs based on their level of assurance. Only when the reality of a statement gets apparent to a believer, the belief becomes knowledge. Belief in somebody or somewhere is not the same as belief in the truth of a claim.</w:t>
      </w:r>
    </w:p>
    <w:p w14:paraId="78F49533" w14:textId="77777777" w:rsidR="00B816EB" w:rsidRDefault="00B816EB" w:rsidP="00B816EB">
      <w:pPr>
        <w:spacing w:line="360" w:lineRule="auto"/>
        <w:jc w:val="both"/>
        <w:rPr>
          <w:rFonts w:ascii="Arial" w:hAnsi="Arial" w:cs="Arial"/>
        </w:rPr>
      </w:pPr>
      <w:r>
        <w:rPr>
          <w:rFonts w:ascii="Arial" w:hAnsi="Arial" w:cs="Arial"/>
        </w:rPr>
        <w:t xml:space="preserve">People occasionally criticise others' opinions by claiming that if they had a different life experience, they might think differently. These opinions are referred to as "etiological challenges" in some cases. Everyone else's beliefs have quite a unique </w:t>
      </w:r>
      <w:proofErr w:type="spellStart"/>
      <w:r>
        <w:rPr>
          <w:rFonts w:ascii="Arial" w:hAnsi="Arial" w:cs="Arial"/>
        </w:rPr>
        <w:t>etiology</w:t>
      </w:r>
      <w:proofErr w:type="spellEnd"/>
      <w:r>
        <w:rPr>
          <w:rFonts w:ascii="Arial" w:hAnsi="Arial" w:cs="Arial"/>
        </w:rPr>
        <w:t xml:space="preserve"> or causative basis (</w:t>
      </w:r>
      <w:proofErr w:type="spellStart"/>
      <w:r>
        <w:rPr>
          <w:rFonts w:ascii="Arial" w:hAnsi="Arial" w:cs="Arial"/>
          <w:color w:val="222222"/>
          <w:shd w:val="clear" w:color="auto" w:fill="FFFFFF"/>
        </w:rPr>
        <w:t>Jiroušek</w:t>
      </w:r>
      <w:proofErr w:type="spellEnd"/>
      <w:r>
        <w:rPr>
          <w:rFonts w:ascii="Arial" w:hAnsi="Arial" w:cs="Arial"/>
          <w:color w:val="222222"/>
          <w:shd w:val="clear" w:color="auto" w:fill="FFFFFF"/>
        </w:rPr>
        <w:t xml:space="preserve"> and Shenoy, 2018)</w:t>
      </w:r>
      <w:r>
        <w:rPr>
          <w:rFonts w:ascii="Arial" w:hAnsi="Arial" w:cs="Arial"/>
        </w:rPr>
        <w:t>. One who has experienced certain experiences in life, received educational instruction and witness testimony from everyone else, thought about bigger concerns for a while—or not at all—and eventually came to his conclusions. An etiological threat to his views implies that some facts regarding the causal roots make things questionable. In diverse geographical civilizations, etiological difficulties can perform several functions (</w:t>
      </w:r>
      <w:r>
        <w:rPr>
          <w:rFonts w:ascii="Arial" w:hAnsi="Arial" w:cs="Arial"/>
          <w:color w:val="222222"/>
          <w:shd w:val="clear" w:color="auto" w:fill="FFFFFF"/>
        </w:rPr>
        <w:t>Jiang, 2018)</w:t>
      </w:r>
      <w:r>
        <w:rPr>
          <w:rFonts w:ascii="Arial" w:hAnsi="Arial" w:cs="Arial"/>
        </w:rPr>
        <w:t xml:space="preserve">. They can help people cultivate intellectual humility, for example. An etiological threat could be an attempt to confuse things in a person's thinking and </w:t>
      </w:r>
      <w:proofErr w:type="spellStart"/>
      <w:r>
        <w:rPr>
          <w:rFonts w:ascii="Arial" w:hAnsi="Arial" w:cs="Arial"/>
        </w:rPr>
        <w:t>instill</w:t>
      </w:r>
      <w:proofErr w:type="spellEnd"/>
      <w:r>
        <w:rPr>
          <w:rFonts w:ascii="Arial" w:hAnsi="Arial" w:cs="Arial"/>
        </w:rPr>
        <w:t xml:space="preserve"> concern in him by persuading him that he would hold a different opinion if he had grown differently in numerous circumstances. An etiological challenge encourages the single-minded </w:t>
      </w:r>
      <w:r>
        <w:rPr>
          <w:rFonts w:ascii="Arial" w:hAnsi="Arial" w:cs="Arial"/>
        </w:rPr>
        <w:lastRenderedPageBreak/>
        <w:t>zealot to be modest in condemning everyone else for the errors he believes they're committing, even though he appears to claim his motives for believing are legitimate ones.</w:t>
      </w:r>
    </w:p>
    <w:p w14:paraId="5A0CBB2A" w14:textId="77777777" w:rsidR="00B816EB" w:rsidRDefault="00B816EB" w:rsidP="00B816EB">
      <w:pPr>
        <w:spacing w:line="360" w:lineRule="auto"/>
        <w:jc w:val="both"/>
        <w:rPr>
          <w:rFonts w:ascii="Arial" w:hAnsi="Arial" w:cs="Arial"/>
        </w:rPr>
      </w:pPr>
      <w:r>
        <w:rPr>
          <w:rFonts w:ascii="Arial" w:hAnsi="Arial" w:cs="Arial"/>
        </w:rPr>
        <w:t>This is good as far as it extends because intellectual humility is a commonly held value. Nonetheless, it appears that etiological challenges are intended to achieve more than mere shame or worry. These difficulties frequently appear to request that people change their minds (</w:t>
      </w:r>
      <w:r>
        <w:rPr>
          <w:rFonts w:ascii="Arial" w:hAnsi="Arial" w:cs="Arial"/>
          <w:color w:val="222222"/>
          <w:shd w:val="clear" w:color="auto" w:fill="FFFFFF"/>
        </w:rPr>
        <w:t>Jiang, 2018)</w:t>
      </w:r>
      <w:r>
        <w:rPr>
          <w:rFonts w:ascii="Arial" w:hAnsi="Arial" w:cs="Arial"/>
        </w:rPr>
        <w:t>. It's not merely a demand for intellectual humility if somebody tells atheists, "You just believe in God because you have been reared in a Christian household." It's used as a justification for not believing in God.</w:t>
      </w:r>
    </w:p>
    <w:p w14:paraId="35751AFE" w14:textId="77777777" w:rsidR="00B816EB" w:rsidRDefault="00B816EB" w:rsidP="00B816EB">
      <w:pPr>
        <w:spacing w:line="360" w:lineRule="auto"/>
        <w:jc w:val="both"/>
        <w:rPr>
          <w:rFonts w:ascii="Arial" w:hAnsi="Arial" w:cs="Arial"/>
        </w:rPr>
      </w:pPr>
      <w:r>
        <w:rPr>
          <w:rFonts w:ascii="Arial" w:hAnsi="Arial" w:cs="Arial"/>
        </w:rPr>
        <w:t>The dilemma then becomes whether examining evidence about the belief's causal roots requires belief change. The essence of the problem can't be the chance that one's beliefs are incorrect. One wouldn't have to deal with etiological issues to realise that he can't always protect himself from the danger of making a mistake. As a result, if etiological objections are simply a technique of underlining that fact, they do not influence the logic of belief (</w:t>
      </w:r>
      <w:proofErr w:type="spellStart"/>
      <w:r>
        <w:rPr>
          <w:rFonts w:ascii="Arial" w:hAnsi="Arial" w:cs="Arial"/>
          <w:color w:val="222222"/>
          <w:shd w:val="clear" w:color="auto" w:fill="FFFFFF"/>
        </w:rPr>
        <w:t>Yuanling</w:t>
      </w:r>
      <w:proofErr w:type="spellEnd"/>
      <w:r>
        <w:rPr>
          <w:rFonts w:ascii="Arial" w:hAnsi="Arial" w:cs="Arial"/>
          <w:color w:val="222222"/>
          <w:shd w:val="clear" w:color="auto" w:fill="FFFFFF"/>
        </w:rPr>
        <w:t xml:space="preserve"> and </w:t>
      </w:r>
      <w:proofErr w:type="spellStart"/>
      <w:r>
        <w:rPr>
          <w:rFonts w:ascii="Arial" w:hAnsi="Arial" w:cs="Arial"/>
          <w:color w:val="222222"/>
          <w:shd w:val="clear" w:color="auto" w:fill="FFFFFF"/>
        </w:rPr>
        <w:t>Qingxiang</w:t>
      </w:r>
      <w:proofErr w:type="spellEnd"/>
      <w:r>
        <w:rPr>
          <w:rFonts w:ascii="Arial" w:hAnsi="Arial" w:cs="Arial"/>
          <w:color w:val="222222"/>
          <w:shd w:val="clear" w:color="auto" w:fill="FFFFFF"/>
        </w:rPr>
        <w:t>, 2020)</w:t>
      </w:r>
      <w:r>
        <w:rPr>
          <w:rFonts w:ascii="Arial" w:hAnsi="Arial" w:cs="Arial"/>
        </w:rPr>
        <w:t>.</w:t>
      </w:r>
    </w:p>
    <w:p w14:paraId="689948DB" w14:textId="77777777" w:rsidR="00B816EB" w:rsidRDefault="00B816EB" w:rsidP="00B816EB">
      <w:pPr>
        <w:spacing w:line="360" w:lineRule="auto"/>
        <w:jc w:val="both"/>
        <w:rPr>
          <w:rFonts w:ascii="Arial" w:hAnsi="Arial" w:cs="Arial"/>
        </w:rPr>
      </w:pPr>
      <w:r>
        <w:rPr>
          <w:rFonts w:ascii="Arial" w:hAnsi="Arial" w:cs="Arial"/>
        </w:rPr>
        <w:t xml:space="preserve">Etiological obstacles may be merely supposed to inform one how diverse education and upbringing yield different beliefs in individuals who </w:t>
      </w:r>
      <w:proofErr w:type="gramStart"/>
      <w:r>
        <w:rPr>
          <w:rFonts w:ascii="Arial" w:hAnsi="Arial" w:cs="Arial"/>
        </w:rPr>
        <w:t>are considered to be</w:t>
      </w:r>
      <w:proofErr w:type="gramEnd"/>
      <w:r>
        <w:rPr>
          <w:rFonts w:ascii="Arial" w:hAnsi="Arial" w:cs="Arial"/>
        </w:rPr>
        <w:t xml:space="preserve"> as honest, clever, and well-informed as oneself. An etiological threat, according to this theory, challenges one to acknowledge the evident rationality of many other people’s personal alternative beliefs, which, in response, logically compels one to lower trust in his belief systems (</w:t>
      </w:r>
      <w:r>
        <w:rPr>
          <w:rFonts w:ascii="Arial" w:hAnsi="Arial" w:cs="Arial"/>
          <w:color w:val="222222"/>
          <w:shd w:val="clear" w:color="auto" w:fill="FFFFFF"/>
        </w:rPr>
        <w:t>Morgan and Sutton, 2021)</w:t>
      </w:r>
      <w:r>
        <w:rPr>
          <w:rFonts w:ascii="Arial" w:hAnsi="Arial" w:cs="Arial"/>
        </w:rPr>
        <w:t xml:space="preserve">. Indeed, a lot of philosophers working on the subject lately came to the same conclusion. However, if it is the correct assessment of the situation, then etiological difficulties become </w:t>
      </w:r>
      <w:proofErr w:type="gramStart"/>
      <w:r>
        <w:rPr>
          <w:rFonts w:ascii="Arial" w:hAnsi="Arial" w:cs="Arial"/>
        </w:rPr>
        <w:t>more or less superfluous</w:t>
      </w:r>
      <w:proofErr w:type="gramEnd"/>
      <w:r>
        <w:rPr>
          <w:rFonts w:ascii="Arial" w:hAnsi="Arial" w:cs="Arial"/>
        </w:rPr>
        <w:t>. Etiological problems can provide an oblique cause to reconsider the beliefs, and only by directing the mind to general factors that one could have and should have considered right from the beginning.</w:t>
      </w:r>
    </w:p>
    <w:p w14:paraId="5B8CD771" w14:textId="77777777" w:rsidR="00B816EB" w:rsidRDefault="00B816EB" w:rsidP="00B816EB">
      <w:pPr>
        <w:pStyle w:val="Heading2"/>
        <w:spacing w:line="360" w:lineRule="auto"/>
        <w:jc w:val="both"/>
        <w:rPr>
          <w:rFonts w:ascii="Arial" w:hAnsi="Arial" w:cs="Arial"/>
          <w:color w:val="000000" w:themeColor="text1"/>
          <w:sz w:val="22"/>
          <w:szCs w:val="22"/>
        </w:rPr>
      </w:pPr>
      <w:bookmarkStart w:id="3" w:name="_Toc76682473"/>
      <w:r>
        <w:rPr>
          <w:rFonts w:ascii="Arial" w:hAnsi="Arial" w:cs="Arial"/>
          <w:color w:val="000000" w:themeColor="text1"/>
          <w:sz w:val="22"/>
          <w:szCs w:val="22"/>
        </w:rPr>
        <w:t>1.3 Different types of belief and their impacts on workplace culture</w:t>
      </w:r>
      <w:bookmarkEnd w:id="3"/>
    </w:p>
    <w:p w14:paraId="4531FABE" w14:textId="77777777" w:rsidR="00B816EB" w:rsidRDefault="00B816EB" w:rsidP="00B816EB">
      <w:pPr>
        <w:spacing w:line="360" w:lineRule="auto"/>
        <w:jc w:val="both"/>
        <w:rPr>
          <w:rFonts w:ascii="Arial" w:hAnsi="Arial" w:cs="Arial"/>
        </w:rPr>
      </w:pPr>
      <w:r>
        <w:rPr>
          <w:rFonts w:ascii="Arial" w:hAnsi="Arial" w:cs="Arial"/>
        </w:rPr>
        <w:t xml:space="preserve">Beliefs are formed by real-world experiences, yet people frequently overlook the fact that the original experience is not the same as what is currently </w:t>
      </w:r>
      <w:proofErr w:type="gramStart"/>
      <w:r>
        <w:rPr>
          <w:rFonts w:ascii="Arial" w:hAnsi="Arial" w:cs="Arial"/>
        </w:rPr>
        <w:t>occurring in reality</w:t>
      </w:r>
      <w:proofErr w:type="gramEnd"/>
      <w:r>
        <w:rPr>
          <w:rFonts w:ascii="Arial" w:hAnsi="Arial" w:cs="Arial"/>
        </w:rPr>
        <w:t xml:space="preserve">. Because what one believes is what one experiences. The quality of one's work and all interactions </w:t>
      </w:r>
      <w:proofErr w:type="gramStart"/>
      <w:r>
        <w:rPr>
          <w:rFonts w:ascii="Arial" w:hAnsi="Arial" w:cs="Arial"/>
        </w:rPr>
        <w:t>is</w:t>
      </w:r>
      <w:proofErr w:type="gramEnd"/>
      <w:r>
        <w:rPr>
          <w:rFonts w:ascii="Arial" w:hAnsi="Arial" w:cs="Arial"/>
        </w:rPr>
        <w:t xml:space="preserve"> influenced by one's values and beliefs. People prefer to believe that their beliefs are based on truth, but beliefs control their experiences. In a working culture, beliefs serve as a pillar of support. Spiritual, moral, social, economic, intellectual, and political views are among the various forms of beliefs (</w:t>
      </w:r>
      <w:r>
        <w:rPr>
          <w:rFonts w:ascii="Arial" w:hAnsi="Arial" w:cs="Arial"/>
          <w:color w:val="222222"/>
          <w:shd w:val="clear" w:color="auto" w:fill="FFFFFF"/>
        </w:rPr>
        <w:t>Deng, 2018)</w:t>
      </w:r>
      <w:r>
        <w:rPr>
          <w:rFonts w:ascii="Arial" w:hAnsi="Arial" w:cs="Arial"/>
        </w:rPr>
        <w:t>.</w:t>
      </w:r>
    </w:p>
    <w:p w14:paraId="296D2C0F" w14:textId="77777777" w:rsidR="00B816EB" w:rsidRDefault="00B816EB" w:rsidP="00B816EB">
      <w:pPr>
        <w:pStyle w:val="Heading3"/>
        <w:spacing w:line="360" w:lineRule="auto"/>
        <w:jc w:val="both"/>
        <w:rPr>
          <w:rFonts w:ascii="Arial" w:hAnsi="Arial" w:cs="Arial"/>
          <w:color w:val="000000" w:themeColor="text1"/>
        </w:rPr>
      </w:pPr>
      <w:bookmarkStart w:id="4" w:name="_Toc76682474"/>
      <w:r>
        <w:rPr>
          <w:rFonts w:ascii="Arial" w:hAnsi="Arial" w:cs="Arial"/>
          <w:color w:val="000000" w:themeColor="text1"/>
        </w:rPr>
        <w:lastRenderedPageBreak/>
        <w:t>1.3.1 Moral belief</w:t>
      </w:r>
      <w:bookmarkEnd w:id="4"/>
    </w:p>
    <w:p w14:paraId="5C3FF78A" w14:textId="77777777" w:rsidR="00B816EB" w:rsidRDefault="00B816EB" w:rsidP="00B816EB">
      <w:pPr>
        <w:spacing w:line="360" w:lineRule="auto"/>
        <w:jc w:val="both"/>
        <w:rPr>
          <w:rFonts w:ascii="Arial" w:hAnsi="Arial" w:cs="Arial"/>
        </w:rPr>
      </w:pPr>
      <w:r>
        <w:rPr>
          <w:rFonts w:ascii="Arial" w:hAnsi="Arial" w:cs="Arial"/>
        </w:rPr>
        <w:t xml:space="preserve">Moral conviction is knowing what is good and what is bad assessing circumstances and making an informed decision depending on individual and/or professional principles. It is not necessary to apply the same set of principles to both personal and professional situations and settings. For instance, one may hold different beliefs in one’s private life than one does as a worker or business owner. A set of principles that impact how a company serves its clients and manages its </w:t>
      </w:r>
      <w:proofErr w:type="gramStart"/>
      <w:r>
        <w:rPr>
          <w:rFonts w:ascii="Arial" w:hAnsi="Arial" w:cs="Arial"/>
        </w:rPr>
        <w:t>staff, and</w:t>
      </w:r>
      <w:proofErr w:type="gramEnd"/>
      <w:r>
        <w:rPr>
          <w:rFonts w:ascii="Arial" w:hAnsi="Arial" w:cs="Arial"/>
        </w:rPr>
        <w:t xml:space="preserve"> is generally based on the team's founder or manager's moral views. Every sector and every corporation </w:t>
      </w:r>
      <w:proofErr w:type="gramStart"/>
      <w:r>
        <w:rPr>
          <w:rFonts w:ascii="Arial" w:hAnsi="Arial" w:cs="Arial"/>
        </w:rPr>
        <w:t>has</w:t>
      </w:r>
      <w:proofErr w:type="gramEnd"/>
      <w:r>
        <w:rPr>
          <w:rFonts w:ascii="Arial" w:hAnsi="Arial" w:cs="Arial"/>
        </w:rPr>
        <w:t xml:space="preserve"> its moral code, which influences its operational methods and practices (</w:t>
      </w:r>
      <w:r>
        <w:rPr>
          <w:rFonts w:ascii="Arial" w:hAnsi="Arial" w:cs="Arial"/>
          <w:color w:val="222222"/>
          <w:shd w:val="clear" w:color="auto" w:fill="FFFFFF"/>
        </w:rPr>
        <w:t>Ng and Sears, 2020)</w:t>
      </w:r>
      <w:r>
        <w:rPr>
          <w:rFonts w:ascii="Arial" w:hAnsi="Arial" w:cs="Arial"/>
        </w:rPr>
        <w:t>.</w:t>
      </w:r>
    </w:p>
    <w:p w14:paraId="1D085CE6" w14:textId="77777777" w:rsidR="00B816EB" w:rsidRDefault="00B816EB" w:rsidP="00B816EB">
      <w:pPr>
        <w:spacing w:line="360" w:lineRule="auto"/>
        <w:jc w:val="both"/>
        <w:rPr>
          <w:rFonts w:ascii="Arial" w:hAnsi="Arial" w:cs="Arial"/>
          <w:b/>
        </w:rPr>
      </w:pPr>
      <w:r>
        <w:rPr>
          <w:rFonts w:ascii="Arial" w:hAnsi="Arial" w:cs="Arial"/>
          <w:b/>
        </w:rPr>
        <w:t>The impacts of moral beliefs in the workplace areas:</w:t>
      </w:r>
    </w:p>
    <w:p w14:paraId="64E0AF61" w14:textId="77777777" w:rsidR="00B816EB" w:rsidRDefault="00B816EB" w:rsidP="00B816EB">
      <w:pPr>
        <w:pStyle w:val="ListParagraph"/>
        <w:numPr>
          <w:ilvl w:val="0"/>
          <w:numId w:val="1"/>
        </w:numPr>
        <w:spacing w:line="360" w:lineRule="auto"/>
        <w:jc w:val="both"/>
        <w:rPr>
          <w:rFonts w:ascii="Arial" w:hAnsi="Arial" w:cs="Arial"/>
        </w:rPr>
      </w:pPr>
      <w:r>
        <w:rPr>
          <w:rFonts w:ascii="Arial" w:hAnsi="Arial" w:cs="Arial"/>
          <w:b/>
        </w:rPr>
        <w:t>Transparency</w:t>
      </w:r>
      <w:r>
        <w:rPr>
          <w:rFonts w:ascii="Arial" w:hAnsi="Arial" w:cs="Arial"/>
        </w:rPr>
        <w:t xml:space="preserve">: Transparency requires accurately disclosing facts, telling the entire picture, and communicating effectively and freely about all a company does and </w:t>
      </w:r>
      <w:proofErr w:type="gramStart"/>
      <w:r>
        <w:rPr>
          <w:rFonts w:ascii="Arial" w:hAnsi="Arial" w:cs="Arial"/>
        </w:rPr>
        <w:t>says</w:t>
      </w:r>
      <w:proofErr w:type="gramEnd"/>
      <w:r>
        <w:rPr>
          <w:rFonts w:ascii="Arial" w:hAnsi="Arial" w:cs="Arial"/>
        </w:rPr>
        <w:t>. It is the basis of a solid client relationship, which has a serious influence on a business's performance and competitiveness, and success. If a corporation is upfront and honest about its service, products, or mission, the client is more inclined to believe it. This is especially true during public relations crises, when full transparency is essential for managing workplace issues (</w:t>
      </w:r>
      <w:r>
        <w:rPr>
          <w:rFonts w:ascii="Arial" w:hAnsi="Arial" w:cs="Arial"/>
          <w:color w:val="222222"/>
          <w:shd w:val="clear" w:color="auto" w:fill="FFFFFF"/>
        </w:rPr>
        <w:t xml:space="preserve">Krishna, </w:t>
      </w:r>
      <w:proofErr w:type="gramStart"/>
      <w:r>
        <w:rPr>
          <w:rFonts w:ascii="Arial" w:hAnsi="Arial" w:cs="Arial"/>
          <w:color w:val="222222"/>
          <w:shd w:val="clear" w:color="auto" w:fill="FFFFFF"/>
        </w:rPr>
        <w:t>Kim</w:t>
      </w:r>
      <w:proofErr w:type="gramEnd"/>
      <w:r>
        <w:rPr>
          <w:rFonts w:ascii="Arial" w:hAnsi="Arial" w:cs="Arial"/>
          <w:color w:val="222222"/>
          <w:shd w:val="clear" w:color="auto" w:fill="FFFFFF"/>
        </w:rPr>
        <w:t xml:space="preserve"> and Shim, 2021)</w:t>
      </w:r>
      <w:r>
        <w:rPr>
          <w:rFonts w:ascii="Arial" w:hAnsi="Arial" w:cs="Arial"/>
        </w:rPr>
        <w:t>.</w:t>
      </w:r>
    </w:p>
    <w:p w14:paraId="1AB5158D" w14:textId="77777777" w:rsidR="00B816EB" w:rsidRDefault="00B816EB" w:rsidP="00B816EB">
      <w:pPr>
        <w:pStyle w:val="ListParagraph"/>
        <w:numPr>
          <w:ilvl w:val="0"/>
          <w:numId w:val="1"/>
        </w:numPr>
        <w:spacing w:line="360" w:lineRule="auto"/>
        <w:jc w:val="both"/>
        <w:rPr>
          <w:rFonts w:ascii="Arial" w:hAnsi="Arial" w:cs="Arial"/>
        </w:rPr>
      </w:pPr>
      <w:r>
        <w:rPr>
          <w:rFonts w:ascii="Arial" w:hAnsi="Arial" w:cs="Arial"/>
          <w:b/>
        </w:rPr>
        <w:t>Trustworthiness</w:t>
      </w:r>
      <w:r>
        <w:rPr>
          <w:rFonts w:ascii="Arial" w:hAnsi="Arial" w:cs="Arial"/>
        </w:rPr>
        <w:t xml:space="preserve">: Companies who keep their promises and stick to their obligations to their employees, business partners, and customers show their devotion to business morals. Trustworthiness is a vital component of professional success because people want to work with </w:t>
      </w:r>
      <w:proofErr w:type="gramStart"/>
      <w:r>
        <w:rPr>
          <w:rFonts w:ascii="Arial" w:hAnsi="Arial" w:cs="Arial"/>
        </w:rPr>
        <w:t>people</w:t>
      </w:r>
      <w:proofErr w:type="gramEnd"/>
      <w:r>
        <w:rPr>
          <w:rFonts w:ascii="Arial" w:hAnsi="Arial" w:cs="Arial"/>
        </w:rPr>
        <w:t xml:space="preserve"> they perceive are reliable and ethical (</w:t>
      </w:r>
      <w:proofErr w:type="spellStart"/>
      <w:r>
        <w:rPr>
          <w:rFonts w:ascii="Arial" w:hAnsi="Arial" w:cs="Arial"/>
          <w:color w:val="222222"/>
          <w:shd w:val="clear" w:color="auto" w:fill="FFFFFF"/>
        </w:rPr>
        <w:t>Gok</w:t>
      </w:r>
      <w:proofErr w:type="spellEnd"/>
      <w:r>
        <w:rPr>
          <w:rFonts w:ascii="Arial" w:hAnsi="Arial" w:cs="Arial"/>
          <w:color w:val="222222"/>
          <w:shd w:val="clear" w:color="auto" w:fill="FFFFFF"/>
        </w:rPr>
        <w:t xml:space="preserve"> et al</w:t>
      </w:r>
      <w:r>
        <w:rPr>
          <w:rFonts w:ascii="Arial" w:hAnsi="Arial" w:cs="Arial"/>
        </w:rPr>
        <w:t>., 2017).</w:t>
      </w:r>
    </w:p>
    <w:p w14:paraId="3008789F" w14:textId="77777777" w:rsidR="00B816EB" w:rsidRDefault="00B816EB" w:rsidP="00B816EB">
      <w:pPr>
        <w:pStyle w:val="Heading3"/>
        <w:spacing w:line="360" w:lineRule="auto"/>
        <w:jc w:val="both"/>
        <w:rPr>
          <w:rFonts w:ascii="Arial" w:hAnsi="Arial" w:cs="Arial"/>
          <w:color w:val="000000" w:themeColor="text1"/>
        </w:rPr>
      </w:pPr>
      <w:bookmarkStart w:id="5" w:name="_Toc76682475"/>
      <w:r>
        <w:rPr>
          <w:rFonts w:ascii="Arial" w:hAnsi="Arial" w:cs="Arial"/>
          <w:color w:val="000000" w:themeColor="text1"/>
        </w:rPr>
        <w:t>1.3.2 Intellectual belief</w:t>
      </w:r>
      <w:bookmarkEnd w:id="5"/>
    </w:p>
    <w:p w14:paraId="500840A8" w14:textId="77777777" w:rsidR="00B816EB" w:rsidRDefault="00B816EB" w:rsidP="00B816EB">
      <w:pPr>
        <w:spacing w:line="360" w:lineRule="auto"/>
        <w:jc w:val="both"/>
        <w:rPr>
          <w:rFonts w:ascii="Arial" w:hAnsi="Arial" w:cs="Arial"/>
        </w:rPr>
      </w:pPr>
      <w:r>
        <w:rPr>
          <w:rFonts w:ascii="Arial" w:hAnsi="Arial" w:cs="Arial"/>
        </w:rPr>
        <w:t>The term "intellectual" refers to our ability to use our minds creatively and discover answers to problems through logic and reasoning. Intellectual belief is an individual's ability, talent, or qualities that enable him or her to effectively do a task when given a specific obligation. Intellectual belief refers to the abilities needed to complete mental tasks in both academic and professional settings. As a result, intellectual aptitude is crucial in the workplace (</w:t>
      </w:r>
      <w:r>
        <w:rPr>
          <w:rFonts w:ascii="Arial" w:hAnsi="Arial" w:cs="Arial"/>
          <w:color w:val="222222"/>
          <w:shd w:val="clear" w:color="auto" w:fill="FFFFFF"/>
        </w:rPr>
        <w:t xml:space="preserve">Savolainen, </w:t>
      </w:r>
      <w:proofErr w:type="spellStart"/>
      <w:r>
        <w:rPr>
          <w:rFonts w:ascii="Arial" w:hAnsi="Arial" w:cs="Arial"/>
          <w:color w:val="222222"/>
          <w:shd w:val="clear" w:color="auto" w:fill="FFFFFF"/>
        </w:rPr>
        <w:t>Ivakko</w:t>
      </w:r>
      <w:proofErr w:type="spellEnd"/>
      <w:r>
        <w:rPr>
          <w:rFonts w:ascii="Arial" w:hAnsi="Arial" w:cs="Arial"/>
          <w:color w:val="222222"/>
          <w:shd w:val="clear" w:color="auto" w:fill="FFFFFF"/>
        </w:rPr>
        <w:t xml:space="preserve"> and </w:t>
      </w:r>
      <w:proofErr w:type="spellStart"/>
      <w:r>
        <w:rPr>
          <w:rFonts w:ascii="Arial" w:hAnsi="Arial" w:cs="Arial"/>
          <w:color w:val="222222"/>
          <w:shd w:val="clear" w:color="auto" w:fill="FFFFFF"/>
        </w:rPr>
        <w:t>Ikonen</w:t>
      </w:r>
      <w:proofErr w:type="spellEnd"/>
      <w:r>
        <w:rPr>
          <w:rFonts w:ascii="Arial" w:hAnsi="Arial" w:cs="Arial"/>
          <w:color w:val="222222"/>
          <w:shd w:val="clear" w:color="auto" w:fill="FFFFFF"/>
        </w:rPr>
        <w:t>, 2017)</w:t>
      </w:r>
      <w:r>
        <w:rPr>
          <w:rFonts w:ascii="Arial" w:hAnsi="Arial" w:cs="Arial"/>
        </w:rPr>
        <w:t>.</w:t>
      </w:r>
    </w:p>
    <w:p w14:paraId="67A53F27" w14:textId="77777777" w:rsidR="00B816EB" w:rsidRDefault="00B816EB" w:rsidP="00B816EB">
      <w:pPr>
        <w:spacing w:line="360" w:lineRule="auto"/>
        <w:jc w:val="both"/>
        <w:rPr>
          <w:rFonts w:ascii="Arial" w:hAnsi="Arial" w:cs="Arial"/>
          <w:b/>
        </w:rPr>
      </w:pPr>
      <w:r>
        <w:rPr>
          <w:rFonts w:ascii="Arial" w:hAnsi="Arial" w:cs="Arial"/>
          <w:b/>
        </w:rPr>
        <w:t>The impacts of intellectual beliefs in the workplace areas:</w:t>
      </w:r>
    </w:p>
    <w:p w14:paraId="49749801" w14:textId="77777777" w:rsidR="00B816EB" w:rsidRDefault="00B816EB" w:rsidP="00B816EB">
      <w:pPr>
        <w:pStyle w:val="ListParagraph"/>
        <w:numPr>
          <w:ilvl w:val="0"/>
          <w:numId w:val="2"/>
        </w:numPr>
        <w:spacing w:line="360" w:lineRule="auto"/>
        <w:jc w:val="both"/>
        <w:rPr>
          <w:rFonts w:ascii="Arial" w:hAnsi="Arial" w:cs="Arial"/>
        </w:rPr>
      </w:pPr>
      <w:r>
        <w:rPr>
          <w:rFonts w:ascii="Arial" w:hAnsi="Arial" w:cs="Arial"/>
          <w:b/>
        </w:rPr>
        <w:t>Verbal interpretation</w:t>
      </w:r>
      <w:r>
        <w:rPr>
          <w:rFonts w:ascii="Arial" w:hAnsi="Arial" w:cs="Arial"/>
        </w:rPr>
        <w:t>: The intellectual belief in the workplace is verbal understanding. Verbal recognition is the ability to comprehend words and sentences and then respond appropriately by using previously held beliefs. This aids in making good working judgments (</w:t>
      </w:r>
      <w:r>
        <w:rPr>
          <w:rFonts w:ascii="Arial" w:hAnsi="Arial" w:cs="Arial"/>
          <w:color w:val="222222"/>
          <w:shd w:val="clear" w:color="auto" w:fill="FFFFFF"/>
        </w:rPr>
        <w:t xml:space="preserve">Allen, </w:t>
      </w:r>
      <w:proofErr w:type="gramStart"/>
      <w:r>
        <w:rPr>
          <w:rFonts w:ascii="Arial" w:hAnsi="Arial" w:cs="Arial"/>
          <w:color w:val="222222"/>
          <w:shd w:val="clear" w:color="auto" w:fill="FFFFFF"/>
        </w:rPr>
        <w:t>Williams</w:t>
      </w:r>
      <w:proofErr w:type="gramEnd"/>
      <w:r>
        <w:rPr>
          <w:rFonts w:ascii="Arial" w:hAnsi="Arial" w:cs="Arial"/>
          <w:color w:val="222222"/>
          <w:shd w:val="clear" w:color="auto" w:fill="FFFFFF"/>
        </w:rPr>
        <w:t xml:space="preserve"> and Allen, 2018)</w:t>
      </w:r>
      <w:r>
        <w:rPr>
          <w:rFonts w:ascii="Arial" w:hAnsi="Arial" w:cs="Arial"/>
        </w:rPr>
        <w:t>.</w:t>
      </w:r>
    </w:p>
    <w:p w14:paraId="18F83A3A" w14:textId="77777777" w:rsidR="00B816EB" w:rsidRDefault="00B816EB" w:rsidP="00B816EB">
      <w:pPr>
        <w:pStyle w:val="ListParagraph"/>
        <w:numPr>
          <w:ilvl w:val="0"/>
          <w:numId w:val="2"/>
        </w:numPr>
        <w:spacing w:line="360" w:lineRule="auto"/>
        <w:jc w:val="both"/>
        <w:rPr>
          <w:rFonts w:ascii="Arial" w:hAnsi="Arial" w:cs="Arial"/>
        </w:rPr>
      </w:pPr>
      <w:r>
        <w:rPr>
          <w:rFonts w:ascii="Arial" w:hAnsi="Arial" w:cs="Arial"/>
          <w:b/>
        </w:rPr>
        <w:lastRenderedPageBreak/>
        <w:t>Efficient task performance</w:t>
      </w:r>
      <w:r>
        <w:rPr>
          <w:rFonts w:ascii="Arial" w:hAnsi="Arial" w:cs="Arial"/>
        </w:rPr>
        <w:t>: Individuals with intellectual beliefs in the workplace can complete tasks more quickly and efficiently, as well as assist their employer in reducing labor expenses, training, and improving productivity (</w:t>
      </w:r>
      <w:r>
        <w:rPr>
          <w:rFonts w:ascii="Arial" w:hAnsi="Arial" w:cs="Arial"/>
          <w:color w:val="222222"/>
          <w:shd w:val="clear" w:color="auto" w:fill="FFFFFF"/>
        </w:rPr>
        <w:t>Carvalho</w:t>
      </w:r>
      <w:r>
        <w:rPr>
          <w:rFonts w:ascii="Cambria Math" w:hAnsi="Cambria Math" w:cs="Arial"/>
          <w:color w:val="222222"/>
          <w:shd w:val="clear" w:color="auto" w:fill="FFFFFF"/>
        </w:rPr>
        <w:t>‐</w:t>
      </w:r>
      <w:r>
        <w:rPr>
          <w:rFonts w:ascii="Arial" w:hAnsi="Arial" w:cs="Arial"/>
          <w:color w:val="222222"/>
          <w:shd w:val="clear" w:color="auto" w:fill="FFFFFF"/>
        </w:rPr>
        <w:t xml:space="preserve">Freitas and </w:t>
      </w:r>
      <w:proofErr w:type="spellStart"/>
      <w:r>
        <w:rPr>
          <w:rFonts w:ascii="Arial" w:hAnsi="Arial" w:cs="Arial"/>
          <w:color w:val="222222"/>
          <w:shd w:val="clear" w:color="auto" w:fill="FFFFFF"/>
        </w:rPr>
        <w:t>Stathi</w:t>
      </w:r>
      <w:proofErr w:type="spellEnd"/>
      <w:r>
        <w:rPr>
          <w:rFonts w:ascii="Arial" w:hAnsi="Arial" w:cs="Arial"/>
          <w:color w:val="222222"/>
          <w:shd w:val="clear" w:color="auto" w:fill="FFFFFF"/>
        </w:rPr>
        <w:t>, 2017)</w:t>
      </w:r>
      <w:r>
        <w:rPr>
          <w:rFonts w:ascii="Arial" w:hAnsi="Arial" w:cs="Arial"/>
        </w:rPr>
        <w:t>.</w:t>
      </w:r>
    </w:p>
    <w:p w14:paraId="05DE9113" w14:textId="77777777" w:rsidR="00B816EB" w:rsidRDefault="00B816EB" w:rsidP="00B816EB">
      <w:pPr>
        <w:pStyle w:val="Heading3"/>
        <w:spacing w:line="360" w:lineRule="auto"/>
        <w:jc w:val="both"/>
        <w:rPr>
          <w:rFonts w:ascii="Arial" w:hAnsi="Arial" w:cs="Arial"/>
          <w:color w:val="000000" w:themeColor="text1"/>
        </w:rPr>
      </w:pPr>
      <w:bookmarkStart w:id="6" w:name="_Toc76682476"/>
      <w:r>
        <w:rPr>
          <w:rFonts w:ascii="Arial" w:hAnsi="Arial" w:cs="Arial"/>
          <w:color w:val="000000" w:themeColor="text1"/>
        </w:rPr>
        <w:t>1.3.3 Economic beliefs</w:t>
      </w:r>
      <w:bookmarkEnd w:id="6"/>
      <w:r>
        <w:rPr>
          <w:rFonts w:ascii="Arial" w:hAnsi="Arial" w:cs="Arial"/>
          <w:color w:val="000000" w:themeColor="text1"/>
        </w:rPr>
        <w:tab/>
      </w:r>
    </w:p>
    <w:p w14:paraId="46703CC0" w14:textId="77777777" w:rsidR="00B816EB" w:rsidRDefault="00B816EB" w:rsidP="00B816EB">
      <w:pPr>
        <w:spacing w:line="360" w:lineRule="auto"/>
        <w:jc w:val="both"/>
        <w:rPr>
          <w:rFonts w:ascii="Arial" w:hAnsi="Arial" w:cs="Arial"/>
        </w:rPr>
      </w:pPr>
      <w:r>
        <w:rPr>
          <w:rFonts w:ascii="Arial" w:hAnsi="Arial" w:cs="Arial"/>
        </w:rPr>
        <w:t xml:space="preserve">Economic beliefs in a workplace are the intuitions that govern the management of corporate resources. In a business setting, it's how people make the most of what they </w:t>
      </w:r>
      <w:proofErr w:type="gramStart"/>
      <w:r>
        <w:rPr>
          <w:rFonts w:ascii="Arial" w:hAnsi="Arial" w:cs="Arial"/>
        </w:rPr>
        <w:t>have to</w:t>
      </w:r>
      <w:proofErr w:type="gramEnd"/>
      <w:r>
        <w:rPr>
          <w:rFonts w:ascii="Arial" w:hAnsi="Arial" w:cs="Arial"/>
        </w:rPr>
        <w:t xml:space="preserve"> suit their needs and expectations (</w:t>
      </w:r>
      <w:proofErr w:type="spellStart"/>
      <w:r>
        <w:rPr>
          <w:rFonts w:ascii="Arial" w:hAnsi="Arial" w:cs="Arial"/>
          <w:color w:val="222222"/>
          <w:shd w:val="clear" w:color="auto" w:fill="FFFFFF"/>
        </w:rPr>
        <w:t>Salin</w:t>
      </w:r>
      <w:proofErr w:type="spellEnd"/>
      <w:r>
        <w:rPr>
          <w:rFonts w:ascii="Arial" w:hAnsi="Arial" w:cs="Arial"/>
          <w:color w:val="222222"/>
          <w:shd w:val="clear" w:color="auto" w:fill="FFFFFF"/>
        </w:rPr>
        <w:t xml:space="preserve"> et al</w:t>
      </w:r>
      <w:r>
        <w:rPr>
          <w:rFonts w:ascii="Arial" w:hAnsi="Arial" w:cs="Arial"/>
        </w:rPr>
        <w:t>., 2019).</w:t>
      </w:r>
    </w:p>
    <w:p w14:paraId="5AD76A17" w14:textId="77777777" w:rsidR="00B816EB" w:rsidRDefault="00B816EB" w:rsidP="00B816EB">
      <w:pPr>
        <w:spacing w:line="360" w:lineRule="auto"/>
        <w:jc w:val="both"/>
        <w:rPr>
          <w:rFonts w:ascii="Arial" w:hAnsi="Arial" w:cs="Arial"/>
          <w:b/>
        </w:rPr>
      </w:pPr>
      <w:r>
        <w:rPr>
          <w:rFonts w:ascii="Arial" w:hAnsi="Arial" w:cs="Arial"/>
          <w:b/>
        </w:rPr>
        <w:t>The impacts of economic beliefs in the workplace areas:</w:t>
      </w:r>
    </w:p>
    <w:p w14:paraId="150DD41E" w14:textId="77777777" w:rsidR="00B816EB" w:rsidRDefault="00B816EB" w:rsidP="00B816EB">
      <w:pPr>
        <w:pStyle w:val="ListParagraph"/>
        <w:numPr>
          <w:ilvl w:val="0"/>
          <w:numId w:val="3"/>
        </w:numPr>
        <w:spacing w:line="360" w:lineRule="auto"/>
        <w:jc w:val="both"/>
        <w:rPr>
          <w:rFonts w:ascii="Arial" w:hAnsi="Arial" w:cs="Arial"/>
        </w:rPr>
      </w:pPr>
      <w:r>
        <w:rPr>
          <w:rFonts w:ascii="Arial" w:hAnsi="Arial" w:cs="Arial"/>
          <w:b/>
        </w:rPr>
        <w:t>Meeting the Labor Force's Demand</w:t>
      </w:r>
      <w:r>
        <w:rPr>
          <w:rFonts w:ascii="Arial" w:hAnsi="Arial" w:cs="Arial"/>
        </w:rPr>
        <w:t xml:space="preserve">: The ability of workers to meet the demand or wants of the </w:t>
      </w:r>
      <w:proofErr w:type="spellStart"/>
      <w:r>
        <w:rPr>
          <w:rFonts w:ascii="Arial" w:hAnsi="Arial" w:cs="Arial"/>
        </w:rPr>
        <w:t>labour</w:t>
      </w:r>
      <w:proofErr w:type="spellEnd"/>
      <w:r>
        <w:rPr>
          <w:rFonts w:ascii="Arial" w:hAnsi="Arial" w:cs="Arial"/>
        </w:rPr>
        <w:t xml:space="preserve"> force in a workplace is influenced by their economic beliefs. It necessitates ongoing skill upgrading, particularly in areas that face fast technological and </w:t>
      </w:r>
      <w:proofErr w:type="spellStart"/>
      <w:r>
        <w:rPr>
          <w:rFonts w:ascii="Arial" w:hAnsi="Arial" w:cs="Arial"/>
        </w:rPr>
        <w:t>organisational</w:t>
      </w:r>
      <w:proofErr w:type="spellEnd"/>
      <w:r>
        <w:rPr>
          <w:rFonts w:ascii="Arial" w:hAnsi="Arial" w:cs="Arial"/>
        </w:rPr>
        <w:t xml:space="preserve"> change, to avoid human capital or </w:t>
      </w:r>
      <w:proofErr w:type="spellStart"/>
      <w:r>
        <w:rPr>
          <w:rFonts w:ascii="Arial" w:hAnsi="Arial" w:cs="Arial"/>
        </w:rPr>
        <w:t>labour</w:t>
      </w:r>
      <w:proofErr w:type="spellEnd"/>
      <w:r>
        <w:rPr>
          <w:rFonts w:ascii="Arial" w:hAnsi="Arial" w:cs="Arial"/>
        </w:rPr>
        <w:t xml:space="preserve"> force depreciation (</w:t>
      </w:r>
      <w:r>
        <w:rPr>
          <w:rFonts w:ascii="Arial" w:hAnsi="Arial" w:cs="Arial"/>
          <w:color w:val="222222"/>
          <w:shd w:val="clear" w:color="auto" w:fill="FFFFFF"/>
        </w:rPr>
        <w:t>Johnson, 2020)</w:t>
      </w:r>
      <w:r>
        <w:rPr>
          <w:rFonts w:ascii="Arial" w:hAnsi="Arial" w:cs="Arial"/>
        </w:rPr>
        <w:t>.</w:t>
      </w:r>
    </w:p>
    <w:p w14:paraId="4E8F3B9E" w14:textId="77777777" w:rsidR="00B816EB" w:rsidRDefault="00B816EB" w:rsidP="00B816EB">
      <w:pPr>
        <w:pStyle w:val="ListParagraph"/>
        <w:numPr>
          <w:ilvl w:val="0"/>
          <w:numId w:val="3"/>
        </w:numPr>
        <w:spacing w:line="360" w:lineRule="auto"/>
        <w:jc w:val="both"/>
        <w:rPr>
          <w:rFonts w:ascii="Arial" w:hAnsi="Arial" w:cs="Arial"/>
        </w:rPr>
      </w:pPr>
      <w:r>
        <w:rPr>
          <w:rFonts w:ascii="Arial" w:hAnsi="Arial" w:cs="Arial"/>
          <w:b/>
        </w:rPr>
        <w:t>Proper worker incentives in a workplace</w:t>
      </w:r>
      <w:r>
        <w:rPr>
          <w:rFonts w:ascii="Arial" w:hAnsi="Arial" w:cs="Arial"/>
        </w:rPr>
        <w:t xml:space="preserve">: Because revenues are retained by owners, there is a strong incentive to </w:t>
      </w:r>
      <w:proofErr w:type="spellStart"/>
      <w:r>
        <w:rPr>
          <w:rFonts w:ascii="Arial" w:hAnsi="Arial" w:cs="Arial"/>
        </w:rPr>
        <w:t>labour</w:t>
      </w:r>
      <w:proofErr w:type="spellEnd"/>
      <w:r>
        <w:rPr>
          <w:rFonts w:ascii="Arial" w:hAnsi="Arial" w:cs="Arial"/>
        </w:rPr>
        <w:t xml:space="preserve"> and innovation in the workplace (</w:t>
      </w:r>
      <w:r>
        <w:rPr>
          <w:rFonts w:ascii="Arial" w:hAnsi="Arial" w:cs="Arial"/>
          <w:color w:val="222222"/>
          <w:shd w:val="clear" w:color="auto" w:fill="FFFFFF"/>
        </w:rPr>
        <w:t xml:space="preserve">Cooke, </w:t>
      </w:r>
      <w:proofErr w:type="gramStart"/>
      <w:r>
        <w:rPr>
          <w:rFonts w:ascii="Arial" w:hAnsi="Arial" w:cs="Arial"/>
          <w:color w:val="222222"/>
          <w:shd w:val="clear" w:color="auto" w:fill="FFFFFF"/>
        </w:rPr>
        <w:t>Schuler</w:t>
      </w:r>
      <w:proofErr w:type="gramEnd"/>
      <w:r>
        <w:rPr>
          <w:rFonts w:ascii="Arial" w:hAnsi="Arial" w:cs="Arial"/>
          <w:color w:val="222222"/>
          <w:shd w:val="clear" w:color="auto" w:fill="FFFFFF"/>
        </w:rPr>
        <w:t xml:space="preserve"> and Varma, 2020)</w:t>
      </w:r>
      <w:r>
        <w:rPr>
          <w:rFonts w:ascii="Arial" w:hAnsi="Arial" w:cs="Arial"/>
        </w:rPr>
        <w:t>.</w:t>
      </w:r>
    </w:p>
    <w:p w14:paraId="67EF097E" w14:textId="77777777" w:rsidR="00B816EB" w:rsidRDefault="00B816EB" w:rsidP="00B816EB">
      <w:pPr>
        <w:pStyle w:val="Heading3"/>
        <w:spacing w:line="360" w:lineRule="auto"/>
        <w:jc w:val="both"/>
        <w:rPr>
          <w:rFonts w:ascii="Arial" w:hAnsi="Arial" w:cs="Arial"/>
          <w:color w:val="000000" w:themeColor="text1"/>
        </w:rPr>
      </w:pPr>
      <w:bookmarkStart w:id="7" w:name="_Toc76682477"/>
      <w:r>
        <w:rPr>
          <w:rFonts w:ascii="Arial" w:hAnsi="Arial" w:cs="Arial"/>
          <w:color w:val="000000" w:themeColor="text1"/>
        </w:rPr>
        <w:t>1.3.4 Political belief</w:t>
      </w:r>
      <w:bookmarkEnd w:id="7"/>
    </w:p>
    <w:p w14:paraId="584C1298" w14:textId="77777777" w:rsidR="00B816EB" w:rsidRDefault="00B816EB" w:rsidP="00B816EB">
      <w:pPr>
        <w:spacing w:line="360" w:lineRule="auto"/>
        <w:jc w:val="both"/>
        <w:rPr>
          <w:rFonts w:ascii="Arial" w:hAnsi="Arial" w:cs="Arial"/>
        </w:rPr>
      </w:pPr>
      <w:r>
        <w:rPr>
          <w:rFonts w:ascii="Arial" w:hAnsi="Arial" w:cs="Arial"/>
        </w:rPr>
        <w:t>Workplace politics or political belief is the process and conduct that incorporates power and influence in interpersonal contact. The terms "office politics" and "organisational politics" are interchangeable. It comprises the use of power and social contact in the workplace to effect changes that benefit the corporation or its workers (</w:t>
      </w:r>
      <w:proofErr w:type="spellStart"/>
      <w:r>
        <w:rPr>
          <w:rFonts w:ascii="Arial" w:hAnsi="Arial" w:cs="Arial"/>
          <w:color w:val="222222"/>
          <w:shd w:val="clear" w:color="auto" w:fill="FFFFFF"/>
        </w:rPr>
        <w:t>Angouri</w:t>
      </w:r>
      <w:proofErr w:type="spellEnd"/>
      <w:r>
        <w:rPr>
          <w:rFonts w:ascii="Arial" w:hAnsi="Arial" w:cs="Arial"/>
          <w:color w:val="222222"/>
          <w:shd w:val="clear" w:color="auto" w:fill="FFFFFF"/>
        </w:rPr>
        <w:t>, 2018)</w:t>
      </w:r>
      <w:r>
        <w:rPr>
          <w:rFonts w:ascii="Arial" w:hAnsi="Arial" w:cs="Arial"/>
        </w:rPr>
        <w:t>.</w:t>
      </w:r>
    </w:p>
    <w:p w14:paraId="797239AA" w14:textId="77777777" w:rsidR="00B816EB" w:rsidRDefault="00B816EB" w:rsidP="00B816EB">
      <w:pPr>
        <w:spacing w:line="360" w:lineRule="auto"/>
        <w:jc w:val="both"/>
        <w:rPr>
          <w:rFonts w:ascii="Arial" w:hAnsi="Arial" w:cs="Arial"/>
          <w:b/>
        </w:rPr>
      </w:pPr>
      <w:r>
        <w:rPr>
          <w:rFonts w:ascii="Arial" w:hAnsi="Arial" w:cs="Arial"/>
          <w:b/>
        </w:rPr>
        <w:t>The impacts of political beliefs in the workplace areas:</w:t>
      </w:r>
    </w:p>
    <w:p w14:paraId="2E1B36E7" w14:textId="77777777" w:rsidR="00B816EB" w:rsidRDefault="00B816EB" w:rsidP="00B816EB">
      <w:pPr>
        <w:pStyle w:val="ListParagraph"/>
        <w:numPr>
          <w:ilvl w:val="0"/>
          <w:numId w:val="4"/>
        </w:numPr>
        <w:spacing w:line="360" w:lineRule="auto"/>
        <w:jc w:val="both"/>
        <w:rPr>
          <w:rFonts w:ascii="Arial" w:hAnsi="Arial" w:cs="Arial"/>
        </w:rPr>
      </w:pPr>
      <w:r>
        <w:rPr>
          <w:rFonts w:ascii="Arial" w:hAnsi="Arial" w:cs="Arial"/>
          <w:b/>
        </w:rPr>
        <w:t>Affects employee concentration</w:t>
      </w:r>
      <w:r>
        <w:rPr>
          <w:rFonts w:ascii="Arial" w:hAnsi="Arial" w:cs="Arial"/>
        </w:rPr>
        <w:t>: It is difficult for people to concentrate on their tasks in the workplace.</w:t>
      </w:r>
      <w:r>
        <w:t xml:space="preserve"> </w:t>
      </w:r>
      <w:r>
        <w:rPr>
          <w:rFonts w:ascii="Arial" w:hAnsi="Arial" w:cs="Arial"/>
        </w:rPr>
        <w:t>They care a lot more about smearing the other person's name in front of their bosses. Because the mind is elsewhere, an individual involved in politics is more prone to make mistakes (</w:t>
      </w:r>
      <w:r>
        <w:rPr>
          <w:rFonts w:ascii="Arial" w:hAnsi="Arial" w:cs="Arial"/>
          <w:color w:val="222222"/>
          <w:shd w:val="clear" w:color="auto" w:fill="FFFFFF"/>
        </w:rPr>
        <w:t>Williams et al</w:t>
      </w:r>
      <w:r>
        <w:rPr>
          <w:rFonts w:ascii="Arial" w:hAnsi="Arial" w:cs="Arial"/>
        </w:rPr>
        <w:t>., 2017).</w:t>
      </w:r>
    </w:p>
    <w:p w14:paraId="65161767" w14:textId="77777777" w:rsidR="00B816EB" w:rsidRDefault="00B816EB" w:rsidP="00B816EB">
      <w:pPr>
        <w:pStyle w:val="ListParagraph"/>
        <w:numPr>
          <w:ilvl w:val="0"/>
          <w:numId w:val="4"/>
        </w:numPr>
        <w:spacing w:line="360" w:lineRule="auto"/>
        <w:jc w:val="both"/>
        <w:rPr>
          <w:rFonts w:ascii="Arial" w:hAnsi="Arial" w:cs="Arial"/>
        </w:rPr>
      </w:pPr>
      <w:r>
        <w:rPr>
          <w:rFonts w:ascii="Arial" w:hAnsi="Arial" w:cs="Arial"/>
          <w:b/>
        </w:rPr>
        <w:t>Employees are de-motivated</w:t>
      </w:r>
      <w:r>
        <w:rPr>
          <w:rFonts w:ascii="Arial" w:hAnsi="Arial" w:cs="Arial"/>
        </w:rPr>
        <w:t xml:space="preserve">: Because of political belief, a non-performer can be the focus of his employer's sight, de-motivating the achievers. Conversations are required at work </w:t>
      </w:r>
      <w:proofErr w:type="gramStart"/>
      <w:r>
        <w:rPr>
          <w:rFonts w:ascii="Arial" w:hAnsi="Arial" w:cs="Arial"/>
        </w:rPr>
        <w:t>in order to</w:t>
      </w:r>
      <w:proofErr w:type="gramEnd"/>
      <w:r>
        <w:rPr>
          <w:rFonts w:ascii="Arial" w:hAnsi="Arial" w:cs="Arial"/>
        </w:rPr>
        <w:t xml:space="preserve"> get the most out of employees. Weighing the benefits and drawbacks of a notion is always advantageous in the long run. Employees who play politics are continuously looking for ways to smear their coworkers' reputations. Workers are also </w:t>
      </w:r>
      <w:proofErr w:type="spellStart"/>
      <w:r>
        <w:rPr>
          <w:rFonts w:ascii="Arial" w:hAnsi="Arial" w:cs="Arial"/>
        </w:rPr>
        <w:t>demoralised</w:t>
      </w:r>
      <w:proofErr w:type="spellEnd"/>
      <w:r>
        <w:rPr>
          <w:rFonts w:ascii="Arial" w:hAnsi="Arial" w:cs="Arial"/>
        </w:rPr>
        <w:t xml:space="preserve"> when they are not appropriately compensated or when </w:t>
      </w:r>
      <w:r>
        <w:rPr>
          <w:rFonts w:ascii="Arial" w:hAnsi="Arial" w:cs="Arial"/>
        </w:rPr>
        <w:lastRenderedPageBreak/>
        <w:t>someone that hasn't worked extremely hard receives rewards owing to a political belief (</w:t>
      </w:r>
      <w:r>
        <w:rPr>
          <w:rFonts w:ascii="Arial" w:hAnsi="Arial" w:cs="Arial"/>
          <w:color w:val="222222"/>
          <w:shd w:val="clear" w:color="auto" w:fill="FFFFFF"/>
        </w:rPr>
        <w:t>Weeden and Kurzban, 2017)</w:t>
      </w:r>
      <w:r>
        <w:rPr>
          <w:rFonts w:ascii="Arial" w:hAnsi="Arial" w:cs="Arial"/>
        </w:rPr>
        <w:t>.</w:t>
      </w:r>
    </w:p>
    <w:p w14:paraId="1B8CC24E" w14:textId="77777777" w:rsidR="00B816EB" w:rsidRDefault="00B816EB" w:rsidP="00B816EB">
      <w:pPr>
        <w:pStyle w:val="Heading2"/>
        <w:spacing w:line="360" w:lineRule="auto"/>
        <w:jc w:val="both"/>
        <w:rPr>
          <w:rFonts w:ascii="Arial" w:hAnsi="Arial" w:cs="Arial"/>
          <w:color w:val="000000" w:themeColor="text1"/>
          <w:sz w:val="22"/>
          <w:szCs w:val="22"/>
        </w:rPr>
      </w:pPr>
      <w:bookmarkStart w:id="8" w:name="_Toc76682478"/>
      <w:r>
        <w:rPr>
          <w:rFonts w:ascii="Arial" w:hAnsi="Arial" w:cs="Arial"/>
          <w:color w:val="000000" w:themeColor="text1"/>
          <w:sz w:val="22"/>
          <w:szCs w:val="22"/>
        </w:rPr>
        <w:t>1.4 Recommendations</w:t>
      </w:r>
      <w:bookmarkEnd w:id="8"/>
    </w:p>
    <w:p w14:paraId="0206F5CB" w14:textId="77777777" w:rsidR="00B816EB" w:rsidRDefault="00B816EB" w:rsidP="00B816EB">
      <w:pPr>
        <w:spacing w:line="360" w:lineRule="auto"/>
        <w:jc w:val="both"/>
        <w:rPr>
          <w:rFonts w:ascii="Arial" w:hAnsi="Arial" w:cs="Arial"/>
        </w:rPr>
      </w:pPr>
      <w:r>
        <w:rPr>
          <w:rFonts w:ascii="Arial" w:hAnsi="Arial" w:cs="Arial"/>
        </w:rPr>
        <w:t>Hardly anything has a more subtle impact on employees’ morale than chronic workplace negativity. It depletes the company's vitality and distracts serious attention away from the office and effectiveness. Negativity might manifest itself in a single departmental employee's attitude, viewpoint, believes, and speech, or as a chorus of voices reacting to a workplace choice or occurrence (</w:t>
      </w:r>
      <w:r>
        <w:rPr>
          <w:rFonts w:ascii="Arial" w:hAnsi="Arial" w:cs="Arial"/>
          <w:color w:val="222222"/>
          <w:shd w:val="clear" w:color="auto" w:fill="FFFFFF"/>
        </w:rPr>
        <w:t>Roberts et al., 2019)</w:t>
      </w:r>
      <w:r>
        <w:rPr>
          <w:rFonts w:ascii="Arial" w:hAnsi="Arial" w:cs="Arial"/>
        </w:rPr>
        <w:t>. Some suggestions for reducing the detrimental impact of beliefs in the workplace are provided below.</w:t>
      </w:r>
    </w:p>
    <w:p w14:paraId="60101CD9" w14:textId="77777777" w:rsidR="00B816EB" w:rsidRDefault="00B816EB" w:rsidP="00B816EB">
      <w:pPr>
        <w:pStyle w:val="ListParagraph"/>
        <w:numPr>
          <w:ilvl w:val="0"/>
          <w:numId w:val="5"/>
        </w:numPr>
        <w:spacing w:line="360" w:lineRule="auto"/>
        <w:jc w:val="both"/>
        <w:rPr>
          <w:rFonts w:ascii="Arial" w:hAnsi="Arial" w:cs="Arial"/>
        </w:rPr>
      </w:pPr>
      <w:proofErr w:type="gramStart"/>
      <w:r>
        <w:rPr>
          <w:rFonts w:ascii="Arial" w:hAnsi="Arial" w:cs="Arial"/>
          <w:b/>
        </w:rPr>
        <w:t>Make an effort</w:t>
      </w:r>
      <w:proofErr w:type="gramEnd"/>
      <w:r>
        <w:rPr>
          <w:rFonts w:ascii="Arial" w:hAnsi="Arial" w:cs="Arial"/>
          <w:b/>
        </w:rPr>
        <w:t xml:space="preserve"> to engage in constructive conflict</w:t>
      </w:r>
      <w:r>
        <w:rPr>
          <w:rFonts w:ascii="Arial" w:hAnsi="Arial" w:cs="Arial"/>
        </w:rPr>
        <w:t xml:space="preserve"> - Fueling passion via positive conflict and vigorous debate is the first solution to decrease belief negativity in the workplace. While the terms "conflict" and "discussion" may conjure up images of bad encounters, it's critical to </w:t>
      </w:r>
      <w:proofErr w:type="spellStart"/>
      <w:r>
        <w:rPr>
          <w:rFonts w:ascii="Arial" w:hAnsi="Arial" w:cs="Arial"/>
        </w:rPr>
        <w:t>recognise</w:t>
      </w:r>
      <w:proofErr w:type="spellEnd"/>
      <w:r>
        <w:rPr>
          <w:rFonts w:ascii="Arial" w:hAnsi="Arial" w:cs="Arial"/>
        </w:rPr>
        <w:t xml:space="preserve"> the distinction between healthy, passionate confrontation and negative. The healthy conflict focuses on enhancing the knowledge of somebody else's perspective, believes, learning from one another, and coming up with fresh ideas. To put it another way, good conflict is all about asking questions first and arguing later (</w:t>
      </w:r>
      <w:r>
        <w:rPr>
          <w:rFonts w:ascii="Arial" w:hAnsi="Arial" w:cs="Arial"/>
          <w:color w:val="222222"/>
          <w:shd w:val="clear" w:color="auto" w:fill="FFFFFF"/>
        </w:rPr>
        <w:t>Roberts et al., 2019)</w:t>
      </w:r>
      <w:r>
        <w:rPr>
          <w:rFonts w:ascii="Arial" w:hAnsi="Arial" w:cs="Arial"/>
        </w:rPr>
        <w:t xml:space="preserve">. While competing viewpoints on a given problem may exist, </w:t>
      </w:r>
      <w:proofErr w:type="gramStart"/>
      <w:r>
        <w:rPr>
          <w:rFonts w:ascii="Arial" w:hAnsi="Arial" w:cs="Arial"/>
        </w:rPr>
        <w:t>as long as</w:t>
      </w:r>
      <w:proofErr w:type="gramEnd"/>
      <w:r>
        <w:rPr>
          <w:rFonts w:ascii="Arial" w:hAnsi="Arial" w:cs="Arial"/>
        </w:rPr>
        <w:t xml:space="preserve"> both parties are involved directly in doing what is best for the </w:t>
      </w:r>
      <w:proofErr w:type="spellStart"/>
      <w:r>
        <w:rPr>
          <w:rFonts w:ascii="Arial" w:hAnsi="Arial" w:cs="Arial"/>
        </w:rPr>
        <w:t>organisation</w:t>
      </w:r>
      <w:proofErr w:type="spellEnd"/>
      <w:r>
        <w:rPr>
          <w:rFonts w:ascii="Arial" w:hAnsi="Arial" w:cs="Arial"/>
        </w:rPr>
        <w:t xml:space="preserve"> by gaining more knowledge into other individual's perspectives (or any other opinions in the group), a climate conducive to growth and development is created. Healthy disagreement </w:t>
      </w:r>
      <w:proofErr w:type="spellStart"/>
      <w:r>
        <w:rPr>
          <w:rFonts w:ascii="Arial" w:hAnsi="Arial" w:cs="Arial"/>
        </w:rPr>
        <w:t>fuelled</w:t>
      </w:r>
      <w:proofErr w:type="spellEnd"/>
      <w:r>
        <w:rPr>
          <w:rFonts w:ascii="Arial" w:hAnsi="Arial" w:cs="Arial"/>
        </w:rPr>
        <w:t xml:space="preserve"> by enthusiasm aids teams in finding the best solution by including all viewpoints. It's understandable if the conversation feels chaotic at times, as it often does. The effects will be beneficial, not bad, if that enthusiasm for a specific stance is channeled towards achieving common knowledge and, eventually, what is ideal for the corporation.</w:t>
      </w:r>
    </w:p>
    <w:p w14:paraId="652FA233" w14:textId="77777777" w:rsidR="00B816EB" w:rsidRDefault="00B816EB" w:rsidP="00B816EB">
      <w:pPr>
        <w:pStyle w:val="ListParagraph"/>
        <w:numPr>
          <w:ilvl w:val="0"/>
          <w:numId w:val="5"/>
        </w:numPr>
        <w:spacing w:line="360" w:lineRule="auto"/>
        <w:jc w:val="both"/>
        <w:rPr>
          <w:rFonts w:ascii="Arial" w:hAnsi="Arial" w:cs="Arial"/>
        </w:rPr>
      </w:pPr>
      <w:r>
        <w:rPr>
          <w:rFonts w:ascii="Arial" w:hAnsi="Arial" w:cs="Arial"/>
          <w:b/>
        </w:rPr>
        <w:t>Opportunity to Voice believes and opinions</w:t>
      </w:r>
      <w:r>
        <w:rPr>
          <w:rFonts w:ascii="Arial" w:hAnsi="Arial" w:cs="Arial"/>
        </w:rPr>
        <w:t xml:space="preserve"> - To lessen the detrimental impact of opinions in the workplace, each employee should be allowed to share their ideas and beliefs on a particular subject, with no prejudice and discrimination (</w:t>
      </w:r>
      <w:r>
        <w:rPr>
          <w:rFonts w:ascii="Arial" w:hAnsi="Arial" w:cs="Arial"/>
          <w:color w:val="222222"/>
          <w:shd w:val="clear" w:color="auto" w:fill="FFFFFF"/>
        </w:rPr>
        <w:t>Carvalho</w:t>
      </w:r>
      <w:r>
        <w:rPr>
          <w:rFonts w:ascii="Cambria Math" w:hAnsi="Cambria Math" w:cs="Arial"/>
          <w:color w:val="222222"/>
          <w:shd w:val="clear" w:color="auto" w:fill="FFFFFF"/>
        </w:rPr>
        <w:t>‐</w:t>
      </w:r>
      <w:r>
        <w:rPr>
          <w:rFonts w:ascii="Arial" w:hAnsi="Arial" w:cs="Arial"/>
          <w:color w:val="222222"/>
          <w:shd w:val="clear" w:color="auto" w:fill="FFFFFF"/>
        </w:rPr>
        <w:t xml:space="preserve">Freitas and </w:t>
      </w:r>
      <w:proofErr w:type="spellStart"/>
      <w:r>
        <w:rPr>
          <w:rFonts w:ascii="Arial" w:hAnsi="Arial" w:cs="Arial"/>
          <w:color w:val="222222"/>
          <w:shd w:val="clear" w:color="auto" w:fill="FFFFFF"/>
        </w:rPr>
        <w:t>Stathi</w:t>
      </w:r>
      <w:proofErr w:type="spellEnd"/>
      <w:r>
        <w:rPr>
          <w:rFonts w:ascii="Arial" w:hAnsi="Arial" w:cs="Arial"/>
          <w:color w:val="222222"/>
          <w:shd w:val="clear" w:color="auto" w:fill="FFFFFF"/>
        </w:rPr>
        <w:t>, 2017)</w:t>
      </w:r>
      <w:r>
        <w:rPr>
          <w:rFonts w:ascii="Arial" w:hAnsi="Arial" w:cs="Arial"/>
        </w:rPr>
        <w:t>.</w:t>
      </w:r>
    </w:p>
    <w:p w14:paraId="6F6E688C" w14:textId="77777777" w:rsidR="00B816EB" w:rsidRDefault="00B816EB" w:rsidP="00B816EB">
      <w:pPr>
        <w:pStyle w:val="ListParagraph"/>
        <w:numPr>
          <w:ilvl w:val="0"/>
          <w:numId w:val="5"/>
        </w:numPr>
        <w:spacing w:line="360" w:lineRule="auto"/>
        <w:jc w:val="both"/>
        <w:rPr>
          <w:rFonts w:ascii="Arial" w:hAnsi="Arial" w:cs="Arial"/>
        </w:rPr>
      </w:pPr>
      <w:r>
        <w:rPr>
          <w:rFonts w:ascii="Arial" w:hAnsi="Arial" w:cs="Arial"/>
          <w:b/>
        </w:rPr>
        <w:t>Give people the chance to develop</w:t>
      </w:r>
      <w:r>
        <w:rPr>
          <w:rFonts w:ascii="Arial" w:hAnsi="Arial" w:cs="Arial"/>
        </w:rPr>
        <w:t xml:space="preserve"> - Giving people the chance to explore and flourish and work out their beliefs. Training, projected chances for advancement, lateral movements for growth, and cross-training are all apparent evidence of a company's dedication to its employees. Create mutually established future career goals for each worker to demonstrate the dedication to career planning and development.</w:t>
      </w:r>
    </w:p>
    <w:p w14:paraId="79ADC3E2" w14:textId="77777777" w:rsidR="00B816EB" w:rsidRDefault="00B816EB" w:rsidP="00B816EB">
      <w:pPr>
        <w:pStyle w:val="Heading2"/>
        <w:spacing w:line="360" w:lineRule="auto"/>
        <w:jc w:val="both"/>
        <w:rPr>
          <w:rFonts w:ascii="Arial" w:hAnsi="Arial" w:cs="Arial"/>
          <w:color w:val="000000" w:themeColor="text1"/>
          <w:sz w:val="22"/>
          <w:szCs w:val="22"/>
        </w:rPr>
      </w:pPr>
      <w:bookmarkStart w:id="9" w:name="_Toc76682479"/>
      <w:r>
        <w:rPr>
          <w:rFonts w:ascii="Arial" w:hAnsi="Arial" w:cs="Arial"/>
          <w:color w:val="000000" w:themeColor="text1"/>
          <w:sz w:val="22"/>
          <w:szCs w:val="22"/>
        </w:rPr>
        <w:lastRenderedPageBreak/>
        <w:t>1.5 Conclusion</w:t>
      </w:r>
      <w:bookmarkEnd w:id="9"/>
    </w:p>
    <w:p w14:paraId="1A40AD37" w14:textId="77777777" w:rsidR="00B816EB" w:rsidRDefault="00B816EB" w:rsidP="00B816EB">
      <w:pPr>
        <w:spacing w:line="360" w:lineRule="auto"/>
        <w:jc w:val="both"/>
        <w:rPr>
          <w:rFonts w:ascii="Arial" w:hAnsi="Arial" w:cs="Arial"/>
        </w:rPr>
      </w:pPr>
      <w:r>
        <w:rPr>
          <w:rFonts w:ascii="Arial" w:hAnsi="Arial" w:cs="Arial"/>
        </w:rPr>
        <w:t xml:space="preserve">In conclusion, the study outlines professional leadership and management skills. It discusses what belief is, the various forms of beliefs and their impacts of beliefs on workplace behaviour. The study highlights how the various attributes of beliefs impacts a workplace positively or negatively. Individual beliefs and values might influence how they react to certain situations and how they change their behaviour, experiences, and how one changes </w:t>
      </w:r>
      <w:proofErr w:type="gramStart"/>
      <w:r>
        <w:rPr>
          <w:rFonts w:ascii="Arial" w:hAnsi="Arial" w:cs="Arial"/>
        </w:rPr>
        <w:t>as a result of</w:t>
      </w:r>
      <w:proofErr w:type="gramEnd"/>
      <w:r>
        <w:rPr>
          <w:rFonts w:ascii="Arial" w:hAnsi="Arial" w:cs="Arial"/>
        </w:rPr>
        <w:t xml:space="preserve"> them.</w:t>
      </w:r>
    </w:p>
    <w:p w14:paraId="3E41D10D" w14:textId="77777777" w:rsidR="00B816EB" w:rsidRDefault="00B816EB" w:rsidP="00B816EB">
      <w:pPr>
        <w:spacing w:line="360" w:lineRule="auto"/>
        <w:jc w:val="both"/>
        <w:rPr>
          <w:rFonts w:ascii="Arial" w:hAnsi="Arial" w:cs="Arial"/>
        </w:rPr>
      </w:pPr>
      <w:r>
        <w:rPr>
          <w:rFonts w:ascii="Arial" w:hAnsi="Arial" w:cs="Arial"/>
        </w:rPr>
        <w:br w:type="page"/>
      </w:r>
    </w:p>
    <w:p w14:paraId="7DFDB0CB" w14:textId="77777777" w:rsidR="00B816EB" w:rsidRDefault="00B816EB" w:rsidP="00B816EB">
      <w:pPr>
        <w:pStyle w:val="Heading2"/>
        <w:spacing w:line="360" w:lineRule="auto"/>
        <w:jc w:val="both"/>
        <w:rPr>
          <w:rFonts w:ascii="Arial" w:hAnsi="Arial" w:cs="Arial"/>
          <w:color w:val="000000" w:themeColor="text1"/>
          <w:sz w:val="22"/>
          <w:szCs w:val="22"/>
        </w:rPr>
      </w:pPr>
      <w:bookmarkStart w:id="10" w:name="_Toc76682480"/>
      <w:r>
        <w:rPr>
          <w:rFonts w:ascii="Arial" w:hAnsi="Arial" w:cs="Arial"/>
          <w:color w:val="000000" w:themeColor="text1"/>
          <w:sz w:val="22"/>
          <w:szCs w:val="22"/>
        </w:rPr>
        <w:lastRenderedPageBreak/>
        <w:t>1.6 References</w:t>
      </w:r>
      <w:bookmarkEnd w:id="10"/>
    </w:p>
    <w:p w14:paraId="08744A1F"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Allen, S., Williams, P. and Allen, D., 2018. Human resource professionals' competencies for pluralistic workplaces. </w:t>
      </w:r>
      <w:r>
        <w:rPr>
          <w:rFonts w:ascii="Arial" w:hAnsi="Arial" w:cs="Arial"/>
          <w:i/>
          <w:iCs/>
          <w:color w:val="222222"/>
          <w:shd w:val="clear" w:color="auto" w:fill="FFFFFF"/>
        </w:rPr>
        <w:t>The international journal of management education</w:t>
      </w:r>
      <w:r>
        <w:rPr>
          <w:rFonts w:ascii="Arial" w:hAnsi="Arial" w:cs="Arial"/>
          <w:color w:val="222222"/>
          <w:shd w:val="clear" w:color="auto" w:fill="FFFFFF"/>
        </w:rPr>
        <w:t>, </w:t>
      </w:r>
      <w:r>
        <w:rPr>
          <w:rFonts w:ascii="Arial" w:hAnsi="Arial" w:cs="Arial"/>
          <w:i/>
          <w:iCs/>
          <w:color w:val="222222"/>
          <w:shd w:val="clear" w:color="auto" w:fill="FFFFFF"/>
        </w:rPr>
        <w:t>16</w:t>
      </w:r>
      <w:r>
        <w:rPr>
          <w:rFonts w:ascii="Arial" w:hAnsi="Arial" w:cs="Arial"/>
          <w:color w:val="222222"/>
          <w:shd w:val="clear" w:color="auto" w:fill="FFFFFF"/>
        </w:rPr>
        <w:t>(2), pp.309-320.</w:t>
      </w:r>
    </w:p>
    <w:p w14:paraId="704C29CD" w14:textId="77777777" w:rsidR="00B816EB" w:rsidRDefault="00B816EB" w:rsidP="00B816EB">
      <w:pPr>
        <w:spacing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Angouri</w:t>
      </w:r>
      <w:proofErr w:type="spellEnd"/>
      <w:r>
        <w:rPr>
          <w:rFonts w:ascii="Arial" w:hAnsi="Arial" w:cs="Arial"/>
          <w:color w:val="222222"/>
          <w:shd w:val="clear" w:color="auto" w:fill="FFFFFF"/>
        </w:rPr>
        <w:t>, J., 2018. </w:t>
      </w:r>
      <w:r>
        <w:rPr>
          <w:rFonts w:ascii="Arial" w:hAnsi="Arial" w:cs="Arial"/>
          <w:i/>
          <w:iCs/>
          <w:color w:val="222222"/>
          <w:shd w:val="clear" w:color="auto" w:fill="FFFFFF"/>
        </w:rPr>
        <w:t>Culture, discourse, and the workplace</w:t>
      </w:r>
      <w:r>
        <w:rPr>
          <w:rFonts w:ascii="Arial" w:hAnsi="Arial" w:cs="Arial"/>
          <w:color w:val="222222"/>
          <w:shd w:val="clear" w:color="auto" w:fill="FFFFFF"/>
        </w:rPr>
        <w:t>. Routledge.</w:t>
      </w:r>
    </w:p>
    <w:p w14:paraId="34EC9390"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Carvalho</w:t>
      </w:r>
      <w:r>
        <w:rPr>
          <w:rFonts w:ascii="Cambria Math" w:hAnsi="Cambria Math" w:cs="Arial"/>
          <w:color w:val="222222"/>
          <w:shd w:val="clear" w:color="auto" w:fill="FFFFFF"/>
        </w:rPr>
        <w:t>‐</w:t>
      </w:r>
      <w:r>
        <w:rPr>
          <w:rFonts w:ascii="Arial" w:hAnsi="Arial" w:cs="Arial"/>
          <w:color w:val="222222"/>
          <w:shd w:val="clear" w:color="auto" w:fill="FFFFFF"/>
        </w:rPr>
        <w:t xml:space="preserve">Freitas, M.N.D. and </w:t>
      </w:r>
      <w:proofErr w:type="spellStart"/>
      <w:r>
        <w:rPr>
          <w:rFonts w:ascii="Arial" w:hAnsi="Arial" w:cs="Arial"/>
          <w:color w:val="222222"/>
          <w:shd w:val="clear" w:color="auto" w:fill="FFFFFF"/>
        </w:rPr>
        <w:t>Stathi</w:t>
      </w:r>
      <w:proofErr w:type="spellEnd"/>
      <w:r>
        <w:rPr>
          <w:rFonts w:ascii="Arial" w:hAnsi="Arial" w:cs="Arial"/>
          <w:color w:val="222222"/>
          <w:shd w:val="clear" w:color="auto" w:fill="FFFFFF"/>
        </w:rPr>
        <w:t>, S., 2017. Reducing workplace bias toward people with disabilities with the use of imagined contact. </w:t>
      </w:r>
      <w:r>
        <w:rPr>
          <w:rFonts w:ascii="Arial" w:hAnsi="Arial" w:cs="Arial"/>
          <w:i/>
          <w:iCs/>
          <w:color w:val="222222"/>
          <w:shd w:val="clear" w:color="auto" w:fill="FFFFFF"/>
        </w:rPr>
        <w:t>Journal of Applied Social Psychology</w:t>
      </w:r>
      <w:r>
        <w:rPr>
          <w:rFonts w:ascii="Arial" w:hAnsi="Arial" w:cs="Arial"/>
          <w:color w:val="222222"/>
          <w:shd w:val="clear" w:color="auto" w:fill="FFFFFF"/>
        </w:rPr>
        <w:t>, </w:t>
      </w:r>
      <w:r>
        <w:rPr>
          <w:rFonts w:ascii="Arial" w:hAnsi="Arial" w:cs="Arial"/>
          <w:i/>
          <w:iCs/>
          <w:color w:val="222222"/>
          <w:shd w:val="clear" w:color="auto" w:fill="FFFFFF"/>
        </w:rPr>
        <w:t>47</w:t>
      </w:r>
      <w:r>
        <w:rPr>
          <w:rFonts w:ascii="Arial" w:hAnsi="Arial" w:cs="Arial"/>
          <w:color w:val="222222"/>
          <w:shd w:val="clear" w:color="auto" w:fill="FFFFFF"/>
        </w:rPr>
        <w:t>(5), pp.256-266.</w:t>
      </w:r>
    </w:p>
    <w:p w14:paraId="72E5B8FA"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Cooke, F.L., Schuler, R. and Varma, A., 2020. Human resource management research and practice in Asia: Past, present and future. </w:t>
      </w:r>
      <w:r>
        <w:rPr>
          <w:rFonts w:ascii="Arial" w:hAnsi="Arial" w:cs="Arial"/>
          <w:i/>
          <w:iCs/>
          <w:color w:val="222222"/>
          <w:shd w:val="clear" w:color="auto" w:fill="FFFFFF"/>
        </w:rPr>
        <w:t>Human Resource Management Review</w:t>
      </w:r>
      <w:r>
        <w:rPr>
          <w:rFonts w:ascii="Arial" w:hAnsi="Arial" w:cs="Arial"/>
          <w:color w:val="222222"/>
          <w:shd w:val="clear" w:color="auto" w:fill="FFFFFF"/>
        </w:rPr>
        <w:t>, </w:t>
      </w:r>
      <w:r>
        <w:rPr>
          <w:rFonts w:ascii="Arial" w:hAnsi="Arial" w:cs="Arial"/>
          <w:i/>
          <w:iCs/>
          <w:color w:val="222222"/>
          <w:shd w:val="clear" w:color="auto" w:fill="FFFFFF"/>
        </w:rPr>
        <w:t>30</w:t>
      </w:r>
      <w:r>
        <w:rPr>
          <w:rFonts w:ascii="Arial" w:hAnsi="Arial" w:cs="Arial"/>
          <w:color w:val="222222"/>
          <w:shd w:val="clear" w:color="auto" w:fill="FFFFFF"/>
        </w:rPr>
        <w:t>(4), p.100778.</w:t>
      </w:r>
    </w:p>
    <w:p w14:paraId="71F63B77"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Deng, X., 2018. </w:t>
      </w:r>
      <w:proofErr w:type="spellStart"/>
      <w:r>
        <w:rPr>
          <w:rFonts w:ascii="Arial" w:hAnsi="Arial" w:cs="Arial"/>
          <w:color w:val="222222"/>
          <w:shd w:val="clear" w:color="auto" w:fill="FFFFFF"/>
        </w:rPr>
        <w:t>Analyzing</w:t>
      </w:r>
      <w:proofErr w:type="spellEnd"/>
      <w:r>
        <w:rPr>
          <w:rFonts w:ascii="Arial" w:hAnsi="Arial" w:cs="Arial"/>
          <w:color w:val="222222"/>
          <w:shd w:val="clear" w:color="auto" w:fill="FFFFFF"/>
        </w:rPr>
        <w:t xml:space="preserve"> the monotonicity of belief </w:t>
      </w:r>
      <w:proofErr w:type="gramStart"/>
      <w:r>
        <w:rPr>
          <w:rFonts w:ascii="Arial" w:hAnsi="Arial" w:cs="Arial"/>
          <w:color w:val="222222"/>
          <w:shd w:val="clear" w:color="auto" w:fill="FFFFFF"/>
        </w:rPr>
        <w:t>interval based</w:t>
      </w:r>
      <w:proofErr w:type="gramEnd"/>
      <w:r>
        <w:rPr>
          <w:rFonts w:ascii="Arial" w:hAnsi="Arial" w:cs="Arial"/>
          <w:color w:val="222222"/>
          <w:shd w:val="clear" w:color="auto" w:fill="FFFFFF"/>
        </w:rPr>
        <w:t xml:space="preserve"> uncertainty measures in belief function theory. </w:t>
      </w:r>
      <w:r>
        <w:rPr>
          <w:rFonts w:ascii="Arial" w:hAnsi="Arial" w:cs="Arial"/>
          <w:i/>
          <w:iCs/>
          <w:color w:val="222222"/>
          <w:shd w:val="clear" w:color="auto" w:fill="FFFFFF"/>
        </w:rPr>
        <w:t>International Journal of Intelligent Systems</w:t>
      </w:r>
      <w:r>
        <w:rPr>
          <w:rFonts w:ascii="Arial" w:hAnsi="Arial" w:cs="Arial"/>
          <w:color w:val="222222"/>
          <w:shd w:val="clear" w:color="auto" w:fill="FFFFFF"/>
        </w:rPr>
        <w:t>, </w:t>
      </w:r>
      <w:r>
        <w:rPr>
          <w:rFonts w:ascii="Arial" w:hAnsi="Arial" w:cs="Arial"/>
          <w:i/>
          <w:iCs/>
          <w:color w:val="222222"/>
          <w:shd w:val="clear" w:color="auto" w:fill="FFFFFF"/>
        </w:rPr>
        <w:t>33</w:t>
      </w:r>
      <w:r>
        <w:rPr>
          <w:rFonts w:ascii="Arial" w:hAnsi="Arial" w:cs="Arial"/>
          <w:color w:val="222222"/>
          <w:shd w:val="clear" w:color="auto" w:fill="FFFFFF"/>
        </w:rPr>
        <w:t>(9), pp.1869-1879.</w:t>
      </w:r>
    </w:p>
    <w:p w14:paraId="0E542CC2" w14:textId="77777777" w:rsidR="00B816EB" w:rsidRDefault="00B816EB" w:rsidP="00B816EB">
      <w:pPr>
        <w:spacing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Gok</w:t>
      </w:r>
      <w:proofErr w:type="spellEnd"/>
      <w:r>
        <w:rPr>
          <w:rFonts w:ascii="Arial" w:hAnsi="Arial" w:cs="Arial"/>
          <w:color w:val="222222"/>
          <w:shd w:val="clear" w:color="auto" w:fill="FFFFFF"/>
        </w:rPr>
        <w:t xml:space="preserve">, K., Sumanth, J.J., </w:t>
      </w:r>
      <w:proofErr w:type="spellStart"/>
      <w:r>
        <w:rPr>
          <w:rFonts w:ascii="Arial" w:hAnsi="Arial" w:cs="Arial"/>
          <w:color w:val="222222"/>
          <w:shd w:val="clear" w:color="auto" w:fill="FFFFFF"/>
        </w:rPr>
        <w:t>Bommer</w:t>
      </w:r>
      <w:proofErr w:type="spellEnd"/>
      <w:r>
        <w:rPr>
          <w:rFonts w:ascii="Arial" w:hAnsi="Arial" w:cs="Arial"/>
          <w:color w:val="222222"/>
          <w:shd w:val="clear" w:color="auto" w:fill="FFFFFF"/>
        </w:rPr>
        <w:t xml:space="preserve">, W.H., </w:t>
      </w:r>
      <w:proofErr w:type="spellStart"/>
      <w:r>
        <w:rPr>
          <w:rFonts w:ascii="Arial" w:hAnsi="Arial" w:cs="Arial"/>
          <w:color w:val="222222"/>
          <w:shd w:val="clear" w:color="auto" w:fill="FFFFFF"/>
        </w:rPr>
        <w:t>Demirtas</w:t>
      </w:r>
      <w:proofErr w:type="spellEnd"/>
      <w:r>
        <w:rPr>
          <w:rFonts w:ascii="Arial" w:hAnsi="Arial" w:cs="Arial"/>
          <w:color w:val="222222"/>
          <w:shd w:val="clear" w:color="auto" w:fill="FFFFFF"/>
        </w:rPr>
        <w:t xml:space="preserve">, O., Arslan, A., Eberhard, J., </w:t>
      </w:r>
      <w:proofErr w:type="spellStart"/>
      <w:r>
        <w:rPr>
          <w:rFonts w:ascii="Arial" w:hAnsi="Arial" w:cs="Arial"/>
          <w:color w:val="222222"/>
          <w:shd w:val="clear" w:color="auto" w:fill="FFFFFF"/>
        </w:rPr>
        <w:t>Ozdemir</w:t>
      </w:r>
      <w:proofErr w:type="spellEnd"/>
      <w:r>
        <w:rPr>
          <w:rFonts w:ascii="Arial" w:hAnsi="Arial" w:cs="Arial"/>
          <w:color w:val="222222"/>
          <w:shd w:val="clear" w:color="auto" w:fill="FFFFFF"/>
        </w:rPr>
        <w:t xml:space="preserve">, A.I. and </w:t>
      </w:r>
      <w:proofErr w:type="spellStart"/>
      <w:r>
        <w:rPr>
          <w:rFonts w:ascii="Arial" w:hAnsi="Arial" w:cs="Arial"/>
          <w:color w:val="222222"/>
          <w:shd w:val="clear" w:color="auto" w:fill="FFFFFF"/>
        </w:rPr>
        <w:t>Yigit</w:t>
      </w:r>
      <w:proofErr w:type="spellEnd"/>
      <w:r>
        <w:rPr>
          <w:rFonts w:ascii="Arial" w:hAnsi="Arial" w:cs="Arial"/>
          <w:color w:val="222222"/>
          <w:shd w:val="clear" w:color="auto" w:fill="FFFFFF"/>
        </w:rPr>
        <w:t>, A., 2017. You may not reap what you sow: How employees’ moral awareness minimizes ethical leadership’s positive impact on workplace deviance. </w:t>
      </w:r>
      <w:r>
        <w:rPr>
          <w:rFonts w:ascii="Arial" w:hAnsi="Arial" w:cs="Arial"/>
          <w:i/>
          <w:iCs/>
          <w:color w:val="222222"/>
          <w:shd w:val="clear" w:color="auto" w:fill="FFFFFF"/>
        </w:rPr>
        <w:t>Journal of Business Ethics</w:t>
      </w:r>
      <w:r>
        <w:rPr>
          <w:rFonts w:ascii="Arial" w:hAnsi="Arial" w:cs="Arial"/>
          <w:color w:val="222222"/>
          <w:shd w:val="clear" w:color="auto" w:fill="FFFFFF"/>
        </w:rPr>
        <w:t>, </w:t>
      </w:r>
      <w:r>
        <w:rPr>
          <w:rFonts w:ascii="Arial" w:hAnsi="Arial" w:cs="Arial"/>
          <w:i/>
          <w:iCs/>
          <w:color w:val="222222"/>
          <w:shd w:val="clear" w:color="auto" w:fill="FFFFFF"/>
        </w:rPr>
        <w:t>146</w:t>
      </w:r>
      <w:r>
        <w:rPr>
          <w:rFonts w:ascii="Arial" w:hAnsi="Arial" w:cs="Arial"/>
          <w:color w:val="222222"/>
          <w:shd w:val="clear" w:color="auto" w:fill="FFFFFF"/>
        </w:rPr>
        <w:t>(2), pp.257-277.</w:t>
      </w:r>
    </w:p>
    <w:p w14:paraId="4E45D0F0"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Jiang, W., 2018. A correlation coefficient for belief functions. </w:t>
      </w:r>
      <w:r>
        <w:rPr>
          <w:rFonts w:ascii="Arial" w:hAnsi="Arial" w:cs="Arial"/>
          <w:i/>
          <w:iCs/>
          <w:color w:val="222222"/>
          <w:shd w:val="clear" w:color="auto" w:fill="FFFFFF"/>
        </w:rPr>
        <w:t>International Journal of Approximate Reasoning</w:t>
      </w:r>
      <w:r>
        <w:rPr>
          <w:rFonts w:ascii="Arial" w:hAnsi="Arial" w:cs="Arial"/>
          <w:color w:val="222222"/>
          <w:shd w:val="clear" w:color="auto" w:fill="FFFFFF"/>
        </w:rPr>
        <w:t>, </w:t>
      </w:r>
      <w:r>
        <w:rPr>
          <w:rFonts w:ascii="Arial" w:hAnsi="Arial" w:cs="Arial"/>
          <w:i/>
          <w:iCs/>
          <w:color w:val="222222"/>
          <w:shd w:val="clear" w:color="auto" w:fill="FFFFFF"/>
        </w:rPr>
        <w:t>103</w:t>
      </w:r>
      <w:r>
        <w:rPr>
          <w:rFonts w:ascii="Arial" w:hAnsi="Arial" w:cs="Arial"/>
          <w:color w:val="222222"/>
          <w:shd w:val="clear" w:color="auto" w:fill="FFFFFF"/>
        </w:rPr>
        <w:t>, pp.94-106.</w:t>
      </w:r>
    </w:p>
    <w:p w14:paraId="676D6572" w14:textId="77777777" w:rsidR="00B816EB" w:rsidRDefault="00B816EB" w:rsidP="00B816EB">
      <w:pPr>
        <w:spacing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Jiroušek</w:t>
      </w:r>
      <w:proofErr w:type="spellEnd"/>
      <w:r>
        <w:rPr>
          <w:rFonts w:ascii="Arial" w:hAnsi="Arial" w:cs="Arial"/>
          <w:color w:val="222222"/>
          <w:shd w:val="clear" w:color="auto" w:fill="FFFFFF"/>
        </w:rPr>
        <w:t>, R. and Shenoy, P.P., 2018. A new definition of entropy of belief functions in the Dempster–Shafer theory. </w:t>
      </w:r>
      <w:r>
        <w:rPr>
          <w:rFonts w:ascii="Arial" w:hAnsi="Arial" w:cs="Arial"/>
          <w:i/>
          <w:iCs/>
          <w:color w:val="222222"/>
          <w:shd w:val="clear" w:color="auto" w:fill="FFFFFF"/>
        </w:rPr>
        <w:t>International Journal of Approximate Reasoning</w:t>
      </w:r>
      <w:r>
        <w:rPr>
          <w:rFonts w:ascii="Arial" w:hAnsi="Arial" w:cs="Arial"/>
          <w:color w:val="222222"/>
          <w:shd w:val="clear" w:color="auto" w:fill="FFFFFF"/>
        </w:rPr>
        <w:t>, </w:t>
      </w:r>
      <w:r>
        <w:rPr>
          <w:rFonts w:ascii="Arial" w:hAnsi="Arial" w:cs="Arial"/>
          <w:i/>
          <w:iCs/>
          <w:color w:val="222222"/>
          <w:shd w:val="clear" w:color="auto" w:fill="FFFFFF"/>
        </w:rPr>
        <w:t>92</w:t>
      </w:r>
      <w:r>
        <w:rPr>
          <w:rFonts w:ascii="Arial" w:hAnsi="Arial" w:cs="Arial"/>
          <w:color w:val="222222"/>
          <w:shd w:val="clear" w:color="auto" w:fill="FFFFFF"/>
        </w:rPr>
        <w:t>, pp.49-65.</w:t>
      </w:r>
    </w:p>
    <w:p w14:paraId="6AD9B395"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Johnson, M.S., 2020. Regulation by shaming: Deterrence effects of publicizing violations of workplace safety and health laws. </w:t>
      </w:r>
      <w:r>
        <w:rPr>
          <w:rFonts w:ascii="Arial" w:hAnsi="Arial" w:cs="Arial"/>
          <w:i/>
          <w:iCs/>
          <w:color w:val="222222"/>
          <w:shd w:val="clear" w:color="auto" w:fill="FFFFFF"/>
        </w:rPr>
        <w:t>American economic review</w:t>
      </w:r>
      <w:r>
        <w:rPr>
          <w:rFonts w:ascii="Arial" w:hAnsi="Arial" w:cs="Arial"/>
          <w:color w:val="222222"/>
          <w:shd w:val="clear" w:color="auto" w:fill="FFFFFF"/>
        </w:rPr>
        <w:t>, </w:t>
      </w:r>
      <w:r>
        <w:rPr>
          <w:rFonts w:ascii="Arial" w:hAnsi="Arial" w:cs="Arial"/>
          <w:i/>
          <w:iCs/>
          <w:color w:val="222222"/>
          <w:shd w:val="clear" w:color="auto" w:fill="FFFFFF"/>
        </w:rPr>
        <w:t>110</w:t>
      </w:r>
      <w:r>
        <w:rPr>
          <w:rFonts w:ascii="Arial" w:hAnsi="Arial" w:cs="Arial"/>
          <w:color w:val="222222"/>
          <w:shd w:val="clear" w:color="auto" w:fill="FFFFFF"/>
        </w:rPr>
        <w:t>(6), pp.1866-1904.</w:t>
      </w:r>
    </w:p>
    <w:p w14:paraId="3CCB4DEB" w14:textId="77777777" w:rsidR="00B816EB" w:rsidRDefault="00B816EB" w:rsidP="00B816EB">
      <w:pPr>
        <w:spacing w:line="360" w:lineRule="auto"/>
        <w:jc w:val="both"/>
        <w:rPr>
          <w:rFonts w:ascii="Arial" w:hAnsi="Arial" w:cs="Arial"/>
          <w:color w:val="000000"/>
          <w:shd w:val="clear" w:color="auto" w:fill="FFFFFF"/>
        </w:rPr>
      </w:pPr>
      <w:r>
        <w:rPr>
          <w:rFonts w:ascii="Arial" w:hAnsi="Arial" w:cs="Arial"/>
          <w:color w:val="222222"/>
          <w:shd w:val="clear" w:color="auto" w:fill="FFFFFF"/>
        </w:rPr>
        <w:t>Krishna, A., Kim, S. and Shim, K., 2021. Unpacking the effects of alleged gender discrimination in the corporate workplace on consumers’ affective responses and relational perceptions. </w:t>
      </w:r>
      <w:r>
        <w:rPr>
          <w:rFonts w:ascii="Arial" w:hAnsi="Arial" w:cs="Arial"/>
          <w:i/>
          <w:iCs/>
          <w:color w:val="222222"/>
          <w:shd w:val="clear" w:color="auto" w:fill="FFFFFF"/>
        </w:rPr>
        <w:t>Communication Research</w:t>
      </w:r>
      <w:r>
        <w:rPr>
          <w:rFonts w:ascii="Arial" w:hAnsi="Arial" w:cs="Arial"/>
          <w:color w:val="222222"/>
          <w:shd w:val="clear" w:color="auto" w:fill="FFFFFF"/>
        </w:rPr>
        <w:t>, </w:t>
      </w:r>
      <w:r>
        <w:rPr>
          <w:rFonts w:ascii="Arial" w:hAnsi="Arial" w:cs="Arial"/>
          <w:i/>
          <w:iCs/>
          <w:color w:val="222222"/>
          <w:shd w:val="clear" w:color="auto" w:fill="FFFFFF"/>
        </w:rPr>
        <w:t>48</w:t>
      </w:r>
      <w:r>
        <w:rPr>
          <w:rFonts w:ascii="Arial" w:hAnsi="Arial" w:cs="Arial"/>
          <w:color w:val="222222"/>
          <w:shd w:val="clear" w:color="auto" w:fill="FFFFFF"/>
        </w:rPr>
        <w:t>(3), pp.426-453.</w:t>
      </w:r>
    </w:p>
    <w:p w14:paraId="5E7914B3" w14:textId="77777777" w:rsidR="00B816EB" w:rsidRDefault="00B816EB" w:rsidP="00B816EB">
      <w:pPr>
        <w:spacing w:line="360" w:lineRule="auto"/>
        <w:jc w:val="both"/>
        <w:rPr>
          <w:rFonts w:ascii="Arial" w:hAnsi="Arial" w:cs="Arial"/>
          <w:color w:val="000000"/>
          <w:shd w:val="clear" w:color="auto" w:fill="FFFFFF"/>
        </w:rPr>
      </w:pPr>
      <w:proofErr w:type="spellStart"/>
      <w:r>
        <w:rPr>
          <w:rFonts w:ascii="Arial" w:hAnsi="Arial" w:cs="Arial"/>
          <w:color w:val="000000"/>
          <w:shd w:val="clear" w:color="auto" w:fill="FFFFFF"/>
        </w:rPr>
        <w:t>Mainemelis</w:t>
      </w:r>
      <w:proofErr w:type="spellEnd"/>
      <w:r>
        <w:rPr>
          <w:rFonts w:ascii="Arial" w:hAnsi="Arial" w:cs="Arial"/>
          <w:color w:val="000000"/>
          <w:shd w:val="clear" w:color="auto" w:fill="FFFFFF"/>
        </w:rPr>
        <w:t>, C., Boyatzis, R. and Kolb, D., 2002. Learning Styles and Adaptive Flexibility. </w:t>
      </w:r>
      <w:r>
        <w:rPr>
          <w:rFonts w:ascii="Arial" w:hAnsi="Arial" w:cs="Arial"/>
          <w:i/>
          <w:iCs/>
          <w:color w:val="000000"/>
          <w:shd w:val="clear" w:color="auto" w:fill="FFFFFF"/>
        </w:rPr>
        <w:t>Management Learning</w:t>
      </w:r>
      <w:r>
        <w:rPr>
          <w:rFonts w:ascii="Arial" w:hAnsi="Arial" w:cs="Arial"/>
          <w:color w:val="000000"/>
          <w:shd w:val="clear" w:color="auto" w:fill="FFFFFF"/>
        </w:rPr>
        <w:t>, 33(1), pp.5-33.</w:t>
      </w:r>
    </w:p>
    <w:p w14:paraId="661BF92E"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Morgan, W. and Sutton, K., 2021. Networks of Belief: An Introduction.</w:t>
      </w:r>
    </w:p>
    <w:p w14:paraId="5A3357F7"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Ng, E.S. and Sears, G.J., 2020. Walking the talk on diversity: CEO beliefs, moral values, and the implementation of workplace diversity practices. </w:t>
      </w:r>
      <w:r>
        <w:rPr>
          <w:rFonts w:ascii="Arial" w:hAnsi="Arial" w:cs="Arial"/>
          <w:i/>
          <w:iCs/>
          <w:color w:val="222222"/>
          <w:shd w:val="clear" w:color="auto" w:fill="FFFFFF"/>
        </w:rPr>
        <w:t>Journal of Business Ethics</w:t>
      </w:r>
      <w:r>
        <w:rPr>
          <w:rFonts w:ascii="Arial" w:hAnsi="Arial" w:cs="Arial"/>
          <w:color w:val="222222"/>
          <w:shd w:val="clear" w:color="auto" w:fill="FFFFFF"/>
        </w:rPr>
        <w:t>, </w:t>
      </w:r>
      <w:r>
        <w:rPr>
          <w:rFonts w:ascii="Arial" w:hAnsi="Arial" w:cs="Arial"/>
          <w:i/>
          <w:iCs/>
          <w:color w:val="222222"/>
          <w:shd w:val="clear" w:color="auto" w:fill="FFFFFF"/>
        </w:rPr>
        <w:t>164</w:t>
      </w:r>
      <w:r>
        <w:rPr>
          <w:rFonts w:ascii="Arial" w:hAnsi="Arial" w:cs="Arial"/>
          <w:color w:val="222222"/>
          <w:shd w:val="clear" w:color="auto" w:fill="FFFFFF"/>
        </w:rPr>
        <w:t>(3), pp.437-450.</w:t>
      </w:r>
    </w:p>
    <w:p w14:paraId="7EC27B0A"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lastRenderedPageBreak/>
        <w:t xml:space="preserve">Roberts, A.M., Gallagher, K.C., </w:t>
      </w:r>
      <w:proofErr w:type="spellStart"/>
      <w:r>
        <w:rPr>
          <w:rFonts w:ascii="Arial" w:hAnsi="Arial" w:cs="Arial"/>
          <w:color w:val="222222"/>
          <w:shd w:val="clear" w:color="auto" w:fill="FFFFFF"/>
        </w:rPr>
        <w:t>Daro</w:t>
      </w:r>
      <w:proofErr w:type="spellEnd"/>
      <w:r>
        <w:rPr>
          <w:rFonts w:ascii="Arial" w:hAnsi="Arial" w:cs="Arial"/>
          <w:color w:val="222222"/>
          <w:shd w:val="clear" w:color="auto" w:fill="FFFFFF"/>
        </w:rPr>
        <w:t>, A.M., Iruka, I.U. and Sarver, S.L., 2019. Workforce well-being: Personal and workplace contributions to early educators' depression across settings. </w:t>
      </w:r>
      <w:r>
        <w:rPr>
          <w:rFonts w:ascii="Arial" w:hAnsi="Arial" w:cs="Arial"/>
          <w:i/>
          <w:iCs/>
          <w:color w:val="222222"/>
          <w:shd w:val="clear" w:color="auto" w:fill="FFFFFF"/>
        </w:rPr>
        <w:t>Journal of applied developmental psychology</w:t>
      </w:r>
      <w:r>
        <w:rPr>
          <w:rFonts w:ascii="Arial" w:hAnsi="Arial" w:cs="Arial"/>
          <w:color w:val="222222"/>
          <w:shd w:val="clear" w:color="auto" w:fill="FFFFFF"/>
        </w:rPr>
        <w:t>, </w:t>
      </w:r>
      <w:r>
        <w:rPr>
          <w:rFonts w:ascii="Arial" w:hAnsi="Arial" w:cs="Arial"/>
          <w:i/>
          <w:iCs/>
          <w:color w:val="222222"/>
          <w:shd w:val="clear" w:color="auto" w:fill="FFFFFF"/>
        </w:rPr>
        <w:t>61</w:t>
      </w:r>
      <w:r>
        <w:rPr>
          <w:rFonts w:ascii="Arial" w:hAnsi="Arial" w:cs="Arial"/>
          <w:color w:val="222222"/>
          <w:shd w:val="clear" w:color="auto" w:fill="FFFFFF"/>
        </w:rPr>
        <w:t>, pp.4-12.</w:t>
      </w:r>
    </w:p>
    <w:p w14:paraId="05F72672" w14:textId="77777777" w:rsidR="00B816EB" w:rsidRDefault="00B816EB" w:rsidP="00B816EB">
      <w:pPr>
        <w:spacing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Salin</w:t>
      </w:r>
      <w:proofErr w:type="spellEnd"/>
      <w:r>
        <w:rPr>
          <w:rFonts w:ascii="Arial" w:hAnsi="Arial" w:cs="Arial"/>
          <w:color w:val="222222"/>
          <w:shd w:val="clear" w:color="auto" w:fill="FFFFFF"/>
        </w:rPr>
        <w:t xml:space="preserve">, D., Cowan, R., </w:t>
      </w:r>
      <w:proofErr w:type="spellStart"/>
      <w:r>
        <w:rPr>
          <w:rFonts w:ascii="Arial" w:hAnsi="Arial" w:cs="Arial"/>
          <w:color w:val="222222"/>
          <w:shd w:val="clear" w:color="auto" w:fill="FFFFFF"/>
        </w:rPr>
        <w:t>Adewumi</w:t>
      </w:r>
      <w:proofErr w:type="spellEnd"/>
      <w:r>
        <w:rPr>
          <w:rFonts w:ascii="Arial" w:hAnsi="Arial" w:cs="Arial"/>
          <w:color w:val="222222"/>
          <w:shd w:val="clear" w:color="auto" w:fill="FFFFFF"/>
        </w:rPr>
        <w:t xml:space="preserve">, O., </w:t>
      </w:r>
      <w:proofErr w:type="spellStart"/>
      <w:r>
        <w:rPr>
          <w:rFonts w:ascii="Arial" w:hAnsi="Arial" w:cs="Arial"/>
          <w:color w:val="222222"/>
          <w:shd w:val="clear" w:color="auto" w:fill="FFFFFF"/>
        </w:rPr>
        <w:t>Apospori</w:t>
      </w:r>
      <w:proofErr w:type="spellEnd"/>
      <w:r>
        <w:rPr>
          <w:rFonts w:ascii="Arial" w:hAnsi="Arial" w:cs="Arial"/>
          <w:color w:val="222222"/>
          <w:shd w:val="clear" w:color="auto" w:fill="FFFFFF"/>
        </w:rPr>
        <w:t xml:space="preserve">, E., </w:t>
      </w:r>
      <w:proofErr w:type="spellStart"/>
      <w:r>
        <w:rPr>
          <w:rFonts w:ascii="Arial" w:hAnsi="Arial" w:cs="Arial"/>
          <w:color w:val="222222"/>
          <w:shd w:val="clear" w:color="auto" w:fill="FFFFFF"/>
        </w:rPr>
        <w:t>Bochantin</w:t>
      </w:r>
      <w:proofErr w:type="spellEnd"/>
      <w:r>
        <w:rPr>
          <w:rFonts w:ascii="Arial" w:hAnsi="Arial" w:cs="Arial"/>
          <w:color w:val="222222"/>
          <w:shd w:val="clear" w:color="auto" w:fill="FFFFFF"/>
        </w:rPr>
        <w:t xml:space="preserve">, J., </w:t>
      </w:r>
      <w:proofErr w:type="spellStart"/>
      <w:r>
        <w:rPr>
          <w:rFonts w:ascii="Arial" w:hAnsi="Arial" w:cs="Arial"/>
          <w:color w:val="222222"/>
          <w:shd w:val="clear" w:color="auto" w:fill="FFFFFF"/>
        </w:rPr>
        <w:t>D’Cruz</w:t>
      </w:r>
      <w:proofErr w:type="spellEnd"/>
      <w:r>
        <w:rPr>
          <w:rFonts w:ascii="Arial" w:hAnsi="Arial" w:cs="Arial"/>
          <w:color w:val="222222"/>
          <w:shd w:val="clear" w:color="auto" w:fill="FFFFFF"/>
        </w:rPr>
        <w:t xml:space="preserve">, P., </w:t>
      </w:r>
      <w:proofErr w:type="spellStart"/>
      <w:r>
        <w:rPr>
          <w:rFonts w:ascii="Arial" w:hAnsi="Arial" w:cs="Arial"/>
          <w:color w:val="222222"/>
          <w:shd w:val="clear" w:color="auto" w:fill="FFFFFF"/>
        </w:rPr>
        <w:t>Djurkovic</w:t>
      </w:r>
      <w:proofErr w:type="spellEnd"/>
      <w:r>
        <w:rPr>
          <w:rFonts w:ascii="Arial" w:hAnsi="Arial" w:cs="Arial"/>
          <w:color w:val="222222"/>
          <w:shd w:val="clear" w:color="auto" w:fill="FFFFFF"/>
        </w:rPr>
        <w:t xml:space="preserve">, N., </w:t>
      </w:r>
      <w:proofErr w:type="spellStart"/>
      <w:r>
        <w:rPr>
          <w:rFonts w:ascii="Arial" w:hAnsi="Arial" w:cs="Arial"/>
          <w:color w:val="222222"/>
          <w:shd w:val="clear" w:color="auto" w:fill="FFFFFF"/>
        </w:rPr>
        <w:t>Durniat</w:t>
      </w:r>
      <w:proofErr w:type="spellEnd"/>
      <w:r>
        <w:rPr>
          <w:rFonts w:ascii="Arial" w:hAnsi="Arial" w:cs="Arial"/>
          <w:color w:val="222222"/>
          <w:shd w:val="clear" w:color="auto" w:fill="FFFFFF"/>
        </w:rPr>
        <w:t xml:space="preserve">, K., </w:t>
      </w:r>
      <w:proofErr w:type="spellStart"/>
      <w:r>
        <w:rPr>
          <w:rFonts w:ascii="Arial" w:hAnsi="Arial" w:cs="Arial"/>
          <w:color w:val="222222"/>
          <w:shd w:val="clear" w:color="auto" w:fill="FFFFFF"/>
        </w:rPr>
        <w:t>Escartín</w:t>
      </w:r>
      <w:proofErr w:type="spellEnd"/>
      <w:r>
        <w:rPr>
          <w:rFonts w:ascii="Arial" w:hAnsi="Arial" w:cs="Arial"/>
          <w:color w:val="222222"/>
          <w:shd w:val="clear" w:color="auto" w:fill="FFFFFF"/>
        </w:rPr>
        <w:t xml:space="preserve">, J., Guo, J. and </w:t>
      </w:r>
      <w:proofErr w:type="spellStart"/>
      <w:r>
        <w:rPr>
          <w:rFonts w:ascii="Arial" w:hAnsi="Arial" w:cs="Arial"/>
          <w:color w:val="222222"/>
          <w:shd w:val="clear" w:color="auto" w:fill="FFFFFF"/>
        </w:rPr>
        <w:t>Išik</w:t>
      </w:r>
      <w:proofErr w:type="spellEnd"/>
      <w:r>
        <w:rPr>
          <w:rFonts w:ascii="Arial" w:hAnsi="Arial" w:cs="Arial"/>
          <w:color w:val="222222"/>
          <w:shd w:val="clear" w:color="auto" w:fill="FFFFFF"/>
        </w:rPr>
        <w:t>, I., 2019. Workplace bullying across the globe: A cross-cultural comparison. </w:t>
      </w:r>
      <w:r>
        <w:rPr>
          <w:rFonts w:ascii="Arial" w:hAnsi="Arial" w:cs="Arial"/>
          <w:i/>
          <w:iCs/>
          <w:color w:val="222222"/>
          <w:shd w:val="clear" w:color="auto" w:fill="FFFFFF"/>
        </w:rPr>
        <w:t>Personnel Review</w:t>
      </w:r>
      <w:r>
        <w:rPr>
          <w:rFonts w:ascii="Arial" w:hAnsi="Arial" w:cs="Arial"/>
          <w:color w:val="222222"/>
          <w:shd w:val="clear" w:color="auto" w:fill="FFFFFF"/>
        </w:rPr>
        <w:t>.</w:t>
      </w:r>
    </w:p>
    <w:p w14:paraId="758AA7F8"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Savolainen, T., </w:t>
      </w:r>
      <w:proofErr w:type="spellStart"/>
      <w:r>
        <w:rPr>
          <w:rFonts w:ascii="Arial" w:hAnsi="Arial" w:cs="Arial"/>
          <w:color w:val="222222"/>
          <w:shd w:val="clear" w:color="auto" w:fill="FFFFFF"/>
        </w:rPr>
        <w:t>Ivakko</w:t>
      </w:r>
      <w:proofErr w:type="spellEnd"/>
      <w:r>
        <w:rPr>
          <w:rFonts w:ascii="Arial" w:hAnsi="Arial" w:cs="Arial"/>
          <w:color w:val="222222"/>
          <w:shd w:val="clear" w:color="auto" w:fill="FFFFFF"/>
        </w:rPr>
        <w:t xml:space="preserve">, E. and </w:t>
      </w:r>
      <w:proofErr w:type="spellStart"/>
      <w:r>
        <w:rPr>
          <w:rFonts w:ascii="Arial" w:hAnsi="Arial" w:cs="Arial"/>
          <w:color w:val="222222"/>
          <w:shd w:val="clear" w:color="auto" w:fill="FFFFFF"/>
        </w:rPr>
        <w:t>Ikonen</w:t>
      </w:r>
      <w:proofErr w:type="spellEnd"/>
      <w:r>
        <w:rPr>
          <w:rFonts w:ascii="Arial" w:hAnsi="Arial" w:cs="Arial"/>
          <w:color w:val="222222"/>
          <w:shd w:val="clear" w:color="auto" w:fill="FFFFFF"/>
        </w:rPr>
        <w:t>, M., 2017, March. Trust development in workplace relations during change: A multi-level analysis of narratives from leaders and followers. In </w:t>
      </w:r>
      <w:r>
        <w:rPr>
          <w:rFonts w:ascii="Arial" w:hAnsi="Arial" w:cs="Arial"/>
          <w:i/>
          <w:iCs/>
          <w:color w:val="222222"/>
          <w:shd w:val="clear" w:color="auto" w:fill="FFFFFF"/>
        </w:rPr>
        <w:t>Proceedings of the 5th International Conference on Management Leadership and Governance</w:t>
      </w:r>
      <w:r>
        <w:rPr>
          <w:rFonts w:ascii="Arial" w:hAnsi="Arial" w:cs="Arial"/>
          <w:color w:val="222222"/>
          <w:shd w:val="clear" w:color="auto" w:fill="FFFFFF"/>
        </w:rPr>
        <w:t> (pp. 393-400).</w:t>
      </w:r>
    </w:p>
    <w:p w14:paraId="635ADD03"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Weeden, J. and Kurzban, R., 2017. Self</w:t>
      </w:r>
      <w:r>
        <w:rPr>
          <w:rFonts w:ascii="Cambria Math" w:hAnsi="Cambria Math" w:cs="Arial"/>
          <w:color w:val="222222"/>
          <w:shd w:val="clear" w:color="auto" w:fill="FFFFFF"/>
        </w:rPr>
        <w:t>‐</w:t>
      </w:r>
      <w:r>
        <w:rPr>
          <w:rFonts w:ascii="Arial" w:hAnsi="Arial" w:cs="Arial"/>
          <w:color w:val="222222"/>
          <w:shd w:val="clear" w:color="auto" w:fill="FFFFFF"/>
        </w:rPr>
        <w:t>interest is often a major determinant of issue attitudes. </w:t>
      </w:r>
      <w:r>
        <w:rPr>
          <w:rFonts w:ascii="Arial" w:hAnsi="Arial" w:cs="Arial"/>
          <w:i/>
          <w:iCs/>
          <w:color w:val="222222"/>
          <w:shd w:val="clear" w:color="auto" w:fill="FFFFFF"/>
        </w:rPr>
        <w:t>Political Psychology</w:t>
      </w:r>
      <w:r>
        <w:rPr>
          <w:rFonts w:ascii="Arial" w:hAnsi="Arial" w:cs="Arial"/>
          <w:color w:val="222222"/>
          <w:shd w:val="clear" w:color="auto" w:fill="FFFFFF"/>
        </w:rPr>
        <w:t>, </w:t>
      </w:r>
      <w:r>
        <w:rPr>
          <w:rFonts w:ascii="Arial" w:hAnsi="Arial" w:cs="Arial"/>
          <w:i/>
          <w:iCs/>
          <w:color w:val="222222"/>
          <w:shd w:val="clear" w:color="auto" w:fill="FFFFFF"/>
        </w:rPr>
        <w:t>38</w:t>
      </w:r>
      <w:r>
        <w:rPr>
          <w:rFonts w:ascii="Arial" w:hAnsi="Arial" w:cs="Arial"/>
          <w:color w:val="222222"/>
          <w:shd w:val="clear" w:color="auto" w:fill="FFFFFF"/>
        </w:rPr>
        <w:t>, pp.67-90.</w:t>
      </w:r>
    </w:p>
    <w:p w14:paraId="2FDDA91D"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Williams, W.A., Brandon, R.S., Hayek, M., Haden, S.P. and </w:t>
      </w:r>
      <w:proofErr w:type="spellStart"/>
      <w:r>
        <w:rPr>
          <w:rFonts w:ascii="Arial" w:hAnsi="Arial" w:cs="Arial"/>
          <w:color w:val="222222"/>
          <w:shd w:val="clear" w:color="auto" w:fill="FFFFFF"/>
        </w:rPr>
        <w:t>Atinc</w:t>
      </w:r>
      <w:proofErr w:type="spellEnd"/>
      <w:r>
        <w:rPr>
          <w:rFonts w:ascii="Arial" w:hAnsi="Arial" w:cs="Arial"/>
          <w:color w:val="222222"/>
          <w:shd w:val="clear" w:color="auto" w:fill="FFFFFF"/>
        </w:rPr>
        <w:t>, G., 2017. Servant leadership and followership creativity: The influence of workplace spirituality and political skill. </w:t>
      </w:r>
      <w:r>
        <w:rPr>
          <w:rFonts w:ascii="Arial" w:hAnsi="Arial" w:cs="Arial"/>
          <w:i/>
          <w:iCs/>
          <w:color w:val="222222"/>
          <w:shd w:val="clear" w:color="auto" w:fill="FFFFFF"/>
        </w:rPr>
        <w:t>Leadership &amp; Organization Development Journal</w:t>
      </w:r>
      <w:r>
        <w:rPr>
          <w:rFonts w:ascii="Arial" w:hAnsi="Arial" w:cs="Arial"/>
          <w:color w:val="222222"/>
          <w:shd w:val="clear" w:color="auto" w:fill="FFFFFF"/>
        </w:rPr>
        <w:t>.</w:t>
      </w:r>
    </w:p>
    <w:p w14:paraId="65AD7C06" w14:textId="77777777" w:rsidR="00B816EB" w:rsidRDefault="00B816EB" w:rsidP="00B816EB">
      <w:pPr>
        <w:spacing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Yuanling</w:t>
      </w:r>
      <w:proofErr w:type="spellEnd"/>
      <w:r>
        <w:rPr>
          <w:rFonts w:ascii="Arial" w:hAnsi="Arial" w:cs="Arial"/>
          <w:color w:val="222222"/>
          <w:shd w:val="clear" w:color="auto" w:fill="FFFFFF"/>
        </w:rPr>
        <w:t xml:space="preserve">, Q. and </w:t>
      </w:r>
      <w:proofErr w:type="spellStart"/>
      <w:r>
        <w:rPr>
          <w:rFonts w:ascii="Arial" w:hAnsi="Arial" w:cs="Arial"/>
          <w:color w:val="222222"/>
          <w:shd w:val="clear" w:color="auto" w:fill="FFFFFF"/>
        </w:rPr>
        <w:t>Qingxiang</w:t>
      </w:r>
      <w:proofErr w:type="spellEnd"/>
      <w:r>
        <w:rPr>
          <w:rFonts w:ascii="Arial" w:hAnsi="Arial" w:cs="Arial"/>
          <w:color w:val="222222"/>
          <w:shd w:val="clear" w:color="auto" w:fill="FFFFFF"/>
        </w:rPr>
        <w:t>, Z., 2020. Analysis of the origin of the belief that" the heart governs the mind" from the perspective of phylogeny. </w:t>
      </w:r>
      <w:r>
        <w:rPr>
          <w:rFonts w:ascii="Arial" w:hAnsi="Arial" w:cs="Arial"/>
          <w:i/>
          <w:iCs/>
          <w:color w:val="222222"/>
          <w:shd w:val="clear" w:color="auto" w:fill="FFFFFF"/>
        </w:rPr>
        <w:t>Journal of Beijing University of Traditional Chinese Medicine</w:t>
      </w:r>
      <w:r>
        <w:rPr>
          <w:rFonts w:ascii="Arial" w:hAnsi="Arial" w:cs="Arial"/>
          <w:color w:val="222222"/>
          <w:shd w:val="clear" w:color="auto" w:fill="FFFFFF"/>
        </w:rPr>
        <w:t>, </w:t>
      </w:r>
      <w:r>
        <w:rPr>
          <w:rFonts w:ascii="Arial" w:hAnsi="Arial" w:cs="Arial"/>
          <w:i/>
          <w:iCs/>
          <w:color w:val="222222"/>
          <w:shd w:val="clear" w:color="auto" w:fill="FFFFFF"/>
        </w:rPr>
        <w:t>43</w:t>
      </w:r>
      <w:r>
        <w:rPr>
          <w:rFonts w:ascii="Arial" w:hAnsi="Arial" w:cs="Arial"/>
          <w:color w:val="222222"/>
          <w:shd w:val="clear" w:color="auto" w:fill="FFFFFF"/>
        </w:rPr>
        <w:t>(6).</w:t>
      </w:r>
    </w:p>
    <w:p w14:paraId="4B7BDEC0" w14:textId="77777777" w:rsidR="00B816EB" w:rsidRDefault="00B816EB" w:rsidP="00B816EB">
      <w:pPr>
        <w:spacing w:line="360" w:lineRule="auto"/>
        <w:jc w:val="both"/>
        <w:rPr>
          <w:rFonts w:ascii="Arial" w:hAnsi="Arial" w:cs="Arial"/>
        </w:rPr>
      </w:pPr>
    </w:p>
    <w:p w14:paraId="6A1D4D28" w14:textId="77777777" w:rsidR="00B816EB" w:rsidRDefault="00B816EB" w:rsidP="00B816EB">
      <w:pPr>
        <w:spacing w:line="360" w:lineRule="auto"/>
        <w:jc w:val="both"/>
        <w:rPr>
          <w:rFonts w:ascii="Arial" w:eastAsiaTheme="majorEastAsia" w:hAnsi="Arial" w:cs="Arial"/>
          <w:b/>
          <w:bCs/>
          <w:color w:val="000000" w:themeColor="text1"/>
        </w:rPr>
      </w:pPr>
      <w:r>
        <w:rPr>
          <w:rFonts w:ascii="Arial" w:hAnsi="Arial" w:cs="Arial"/>
          <w:color w:val="000000" w:themeColor="text1"/>
        </w:rPr>
        <w:br w:type="page"/>
      </w:r>
    </w:p>
    <w:p w14:paraId="0125D678" w14:textId="77777777" w:rsidR="00B816EB" w:rsidRDefault="00B816EB" w:rsidP="00B816EB">
      <w:pPr>
        <w:pStyle w:val="Heading1"/>
        <w:spacing w:line="360" w:lineRule="auto"/>
        <w:jc w:val="both"/>
        <w:rPr>
          <w:rFonts w:ascii="Arial" w:hAnsi="Arial" w:cs="Arial"/>
          <w:color w:val="000000" w:themeColor="text1"/>
          <w:sz w:val="22"/>
          <w:szCs w:val="22"/>
        </w:rPr>
      </w:pPr>
      <w:bookmarkStart w:id="11" w:name="_Toc76682481"/>
      <w:r>
        <w:rPr>
          <w:rFonts w:ascii="Arial" w:hAnsi="Arial" w:cs="Arial"/>
          <w:color w:val="000000" w:themeColor="text1"/>
          <w:sz w:val="22"/>
          <w:szCs w:val="22"/>
        </w:rPr>
        <w:lastRenderedPageBreak/>
        <w:t>Question 2</w:t>
      </w:r>
      <w:bookmarkEnd w:id="11"/>
    </w:p>
    <w:p w14:paraId="23A17264" w14:textId="77777777" w:rsidR="00B816EB" w:rsidRDefault="00B816EB" w:rsidP="00B816EB">
      <w:pPr>
        <w:pStyle w:val="Heading2"/>
        <w:spacing w:line="360" w:lineRule="auto"/>
        <w:jc w:val="both"/>
        <w:rPr>
          <w:rFonts w:ascii="Arial" w:hAnsi="Arial" w:cs="Arial"/>
          <w:color w:val="000000" w:themeColor="text1"/>
          <w:sz w:val="22"/>
          <w:szCs w:val="22"/>
        </w:rPr>
      </w:pPr>
      <w:bookmarkStart w:id="12" w:name="_Toc76682482"/>
      <w:r>
        <w:rPr>
          <w:rFonts w:ascii="Arial" w:hAnsi="Arial" w:cs="Arial"/>
          <w:color w:val="000000" w:themeColor="text1"/>
          <w:sz w:val="22"/>
          <w:szCs w:val="22"/>
        </w:rPr>
        <w:t>2.1 Introduction</w:t>
      </w:r>
      <w:bookmarkEnd w:id="12"/>
      <w:r>
        <w:rPr>
          <w:rFonts w:ascii="Arial" w:hAnsi="Arial" w:cs="Arial"/>
          <w:color w:val="000000" w:themeColor="text1"/>
          <w:sz w:val="22"/>
          <w:szCs w:val="22"/>
        </w:rPr>
        <w:t xml:space="preserve"> </w:t>
      </w:r>
    </w:p>
    <w:p w14:paraId="03AE3409" w14:textId="77777777" w:rsidR="00B816EB" w:rsidRDefault="00B816EB" w:rsidP="00B816EB">
      <w:pPr>
        <w:spacing w:line="360" w:lineRule="auto"/>
        <w:jc w:val="both"/>
        <w:rPr>
          <w:rFonts w:ascii="Arial" w:hAnsi="Arial" w:cs="Arial"/>
        </w:rPr>
      </w:pPr>
      <w:r>
        <w:rPr>
          <w:rFonts w:ascii="Arial" w:hAnsi="Arial" w:cs="Arial"/>
        </w:rPr>
        <w:t xml:space="preserve">While working on this leadership and management skill in the workplace assignment, I realised that critical thinking is a logical, rational, introspective technique based on determining what and how to accept or do. I learned that a critical thinker is an open-minded individual and aware of alternatives; strives to be very well informed; assesses the credibility of information; recognises findings, justifications, and assertions; assesses the efficiency of a line of reasoning, along with the social acceptance of its main reason, presumptions, and proof; and evaluates the credibility of information; can effectively establish and explain a valid argument; asks relevant explanatory queries; develops viable ideas and investigations; explains terminology in a context-appropriate manner. When making the decisions, the individual takes care; and when deciding how and what to think about or do, the person considers </w:t>
      </w:r>
      <w:proofErr w:type="gramStart"/>
      <w:r>
        <w:rPr>
          <w:rFonts w:ascii="Arial" w:hAnsi="Arial" w:cs="Arial"/>
        </w:rPr>
        <w:t>all of</w:t>
      </w:r>
      <w:proofErr w:type="gramEnd"/>
      <w:r>
        <w:rPr>
          <w:rFonts w:ascii="Arial" w:hAnsi="Arial" w:cs="Arial"/>
        </w:rPr>
        <w:t xml:space="preserve"> the elements on this checklist. Critical thinkers, in my opinion, are more preoccupied with the validity of their beliefs </w:t>
      </w:r>
      <w:proofErr w:type="gramStart"/>
      <w:r>
        <w:rPr>
          <w:rFonts w:ascii="Arial" w:hAnsi="Arial" w:cs="Arial"/>
        </w:rPr>
        <w:t>and also</w:t>
      </w:r>
      <w:proofErr w:type="gramEnd"/>
      <w:r>
        <w:rPr>
          <w:rFonts w:ascii="Arial" w:hAnsi="Arial" w:cs="Arial"/>
        </w:rPr>
        <w:t xml:space="preserve"> the explanation of their judgment, which includes each individual's personal inherent dignity and value. I learned that critical thinking is an important aspect of an institution's future vision and outcome evaluation.</w:t>
      </w:r>
    </w:p>
    <w:p w14:paraId="4D0EE3BF" w14:textId="77777777" w:rsidR="00B816EB" w:rsidRDefault="00B816EB" w:rsidP="00B816EB">
      <w:pPr>
        <w:pStyle w:val="Heading2"/>
        <w:spacing w:line="360" w:lineRule="auto"/>
        <w:jc w:val="both"/>
        <w:rPr>
          <w:rFonts w:ascii="Arial" w:hAnsi="Arial" w:cs="Arial"/>
          <w:color w:val="000000" w:themeColor="text1"/>
          <w:sz w:val="22"/>
          <w:szCs w:val="22"/>
        </w:rPr>
      </w:pPr>
      <w:bookmarkStart w:id="13" w:name="_Toc76682483"/>
      <w:r>
        <w:rPr>
          <w:rFonts w:ascii="Arial" w:hAnsi="Arial" w:cs="Arial"/>
          <w:color w:val="000000" w:themeColor="text1"/>
          <w:sz w:val="22"/>
          <w:szCs w:val="22"/>
        </w:rPr>
        <w:t>2.2 Learning Module</w:t>
      </w:r>
      <w:bookmarkEnd w:id="13"/>
    </w:p>
    <w:p w14:paraId="4F43E77F" w14:textId="77777777" w:rsidR="00B816EB" w:rsidRDefault="00B816EB" w:rsidP="00B816EB">
      <w:pPr>
        <w:spacing w:line="360" w:lineRule="auto"/>
        <w:jc w:val="both"/>
        <w:rPr>
          <w:rFonts w:ascii="Arial" w:hAnsi="Arial" w:cs="Arial"/>
        </w:rPr>
      </w:pPr>
      <w:r>
        <w:rPr>
          <w:rFonts w:ascii="Arial" w:hAnsi="Arial" w:cs="Arial"/>
        </w:rPr>
        <w:t>Kolb's learning process is a four-stage paradigm for developing and embedding new information. According to the view, people alter the dynamics of encounters, reflection, interpretation, and experimentation (</w:t>
      </w:r>
      <w:proofErr w:type="spellStart"/>
      <w:r>
        <w:rPr>
          <w:rFonts w:ascii="Arial" w:hAnsi="Arial" w:cs="Arial"/>
          <w:color w:val="222222"/>
          <w:shd w:val="clear" w:color="auto" w:fill="FFFFFF"/>
        </w:rPr>
        <w:t>Fewster-Thuente</w:t>
      </w:r>
      <w:proofErr w:type="spellEnd"/>
      <w:r>
        <w:rPr>
          <w:rFonts w:ascii="Arial" w:hAnsi="Arial" w:cs="Arial"/>
          <w:color w:val="222222"/>
          <w:shd w:val="clear" w:color="auto" w:fill="FFFFFF"/>
        </w:rPr>
        <w:t xml:space="preserve"> and </w:t>
      </w:r>
      <w:proofErr w:type="spellStart"/>
      <w:r>
        <w:rPr>
          <w:rFonts w:ascii="Arial" w:hAnsi="Arial" w:cs="Arial"/>
          <w:color w:val="222222"/>
          <w:shd w:val="clear" w:color="auto" w:fill="FFFFFF"/>
        </w:rPr>
        <w:t>Batteson</w:t>
      </w:r>
      <w:proofErr w:type="spellEnd"/>
      <w:r>
        <w:rPr>
          <w:rFonts w:ascii="Arial" w:hAnsi="Arial" w:cs="Arial"/>
          <w:color w:val="222222"/>
          <w:shd w:val="clear" w:color="auto" w:fill="FFFFFF"/>
        </w:rPr>
        <w:t>, 2018)</w:t>
      </w:r>
      <w:r>
        <w:rPr>
          <w:rFonts w:ascii="Arial" w:hAnsi="Arial" w:cs="Arial"/>
        </w:rPr>
        <w:t xml:space="preserve">. It's usually described as a four-step procedure, with practical experience in the field. This may imply a reference </w:t>
      </w:r>
      <w:proofErr w:type="gramStart"/>
      <w:r>
        <w:rPr>
          <w:rFonts w:ascii="Arial" w:hAnsi="Arial" w:cs="Arial"/>
        </w:rPr>
        <w:t>point,</w:t>
      </w:r>
      <w:proofErr w:type="gramEnd"/>
      <w:r>
        <w:rPr>
          <w:rFonts w:ascii="Arial" w:hAnsi="Arial" w:cs="Arial"/>
        </w:rPr>
        <w:t xml:space="preserve"> however it is countered how one can begin anywhere. Kolb claims that </w:t>
      </w:r>
      <w:proofErr w:type="gramStart"/>
      <w:r>
        <w:rPr>
          <w:rFonts w:ascii="Arial" w:hAnsi="Arial" w:cs="Arial"/>
        </w:rPr>
        <w:t>in an attempt to</w:t>
      </w:r>
      <w:proofErr w:type="gramEnd"/>
      <w:r>
        <w:rPr>
          <w:rFonts w:ascii="Arial" w:hAnsi="Arial" w:cs="Arial"/>
        </w:rPr>
        <w:t xml:space="preserve"> successfully learn new information, a person needs to go through all these 4 phases. Whenever an individual has an experience, he or she thinks about it, which helps with interpretation and the creation of abstract conceptions and generalisations, which are then used in an experiment to prove a claim (Wallace, 2019).</w:t>
      </w:r>
    </w:p>
    <w:p w14:paraId="7B14D1D8" w14:textId="77777777" w:rsidR="00B816EB" w:rsidRDefault="00B816EB" w:rsidP="00B816EB">
      <w:pPr>
        <w:spacing w:line="360" w:lineRule="auto"/>
        <w:jc w:val="both"/>
        <w:rPr>
          <w:rFonts w:ascii="Arial" w:hAnsi="Arial" w:cs="Arial"/>
        </w:rPr>
      </w:pPr>
      <w:r>
        <w:rPr>
          <w:rFonts w:ascii="Arial" w:hAnsi="Arial" w:cs="Arial"/>
        </w:rPr>
        <w:t>It is not enough to get an adventure to learn, as per Kolb's Learning Cycle; it is also essential to recognise that event, rely on the body of knowledge, and find fresh thoughts and ideas that could then be adapted to other circumstances (</w:t>
      </w:r>
      <w:proofErr w:type="spellStart"/>
      <w:r>
        <w:rPr>
          <w:rFonts w:ascii="Arial" w:hAnsi="Arial" w:cs="Arial"/>
          <w:color w:val="222222"/>
          <w:shd w:val="clear" w:color="auto" w:fill="FFFFFF"/>
        </w:rPr>
        <w:t>Fewster-Thuente</w:t>
      </w:r>
      <w:proofErr w:type="spellEnd"/>
      <w:r>
        <w:rPr>
          <w:rFonts w:ascii="Arial" w:hAnsi="Arial" w:cs="Arial"/>
          <w:color w:val="222222"/>
          <w:shd w:val="clear" w:color="auto" w:fill="FFFFFF"/>
        </w:rPr>
        <w:t xml:space="preserve"> and </w:t>
      </w:r>
      <w:proofErr w:type="spellStart"/>
      <w:r>
        <w:rPr>
          <w:rFonts w:ascii="Arial" w:hAnsi="Arial" w:cs="Arial"/>
          <w:color w:val="222222"/>
          <w:shd w:val="clear" w:color="auto" w:fill="FFFFFF"/>
        </w:rPr>
        <w:t>Batteson</w:t>
      </w:r>
      <w:proofErr w:type="spellEnd"/>
      <w:r>
        <w:rPr>
          <w:rFonts w:ascii="Arial" w:hAnsi="Arial" w:cs="Arial"/>
          <w:color w:val="222222"/>
          <w:shd w:val="clear" w:color="auto" w:fill="FFFFFF"/>
        </w:rPr>
        <w:t>, 2018)</w:t>
      </w:r>
      <w:r>
        <w:rPr>
          <w:rFonts w:ascii="Arial" w:hAnsi="Arial" w:cs="Arial"/>
        </w:rPr>
        <w:t>. He also emphasises that if people don't reflect, they will simply keep making the same mistakes.</w:t>
      </w:r>
    </w:p>
    <w:p w14:paraId="68C33C15" w14:textId="77777777" w:rsidR="00B816EB" w:rsidRDefault="00B816EB" w:rsidP="00B816EB">
      <w:pPr>
        <w:pStyle w:val="Heading2"/>
        <w:spacing w:line="360" w:lineRule="auto"/>
        <w:jc w:val="both"/>
        <w:rPr>
          <w:rFonts w:ascii="Arial" w:hAnsi="Arial" w:cs="Arial"/>
          <w:color w:val="000000" w:themeColor="text1"/>
          <w:sz w:val="22"/>
          <w:szCs w:val="22"/>
        </w:rPr>
      </w:pPr>
      <w:bookmarkStart w:id="14" w:name="_Toc76682484"/>
      <w:r>
        <w:rPr>
          <w:rFonts w:ascii="Arial" w:hAnsi="Arial" w:cs="Arial"/>
          <w:color w:val="000000" w:themeColor="text1"/>
          <w:sz w:val="22"/>
          <w:szCs w:val="22"/>
        </w:rPr>
        <w:t>2.3 Review of critical thinking abilities and skills developed in preparation for future engagements</w:t>
      </w:r>
      <w:bookmarkEnd w:id="14"/>
    </w:p>
    <w:p w14:paraId="24E4F222" w14:textId="77777777" w:rsidR="00B816EB" w:rsidRDefault="00B816EB" w:rsidP="00B816EB">
      <w:pPr>
        <w:spacing w:line="360" w:lineRule="auto"/>
        <w:jc w:val="both"/>
        <w:rPr>
          <w:rFonts w:ascii="Arial" w:hAnsi="Arial" w:cs="Arial"/>
        </w:rPr>
      </w:pPr>
      <w:r>
        <w:rPr>
          <w:rFonts w:ascii="Arial" w:hAnsi="Arial" w:cs="Arial"/>
        </w:rPr>
        <w:t xml:space="preserve">Kolb's Learning Cycle is based on the premise that people learn by interacting with their environment. </w:t>
      </w:r>
      <w:proofErr w:type="gramStart"/>
      <w:r>
        <w:rPr>
          <w:rFonts w:ascii="Arial" w:hAnsi="Arial" w:cs="Arial"/>
        </w:rPr>
        <w:t>Despite the fact that</w:t>
      </w:r>
      <w:proofErr w:type="gramEnd"/>
      <w:r>
        <w:rPr>
          <w:rFonts w:ascii="Arial" w:hAnsi="Arial" w:cs="Arial"/>
        </w:rPr>
        <w:t xml:space="preserve"> the phases work together to form a learning process, some people may prefer certain elements over others (</w:t>
      </w:r>
      <w:r>
        <w:rPr>
          <w:rFonts w:ascii="Arial" w:hAnsi="Arial" w:cs="Arial"/>
          <w:color w:val="222222"/>
          <w:shd w:val="clear" w:color="auto" w:fill="FFFFFF"/>
        </w:rPr>
        <w:t>Morris, 2020)</w:t>
      </w:r>
      <w:r>
        <w:rPr>
          <w:rFonts w:ascii="Arial" w:hAnsi="Arial" w:cs="Arial"/>
        </w:rPr>
        <w:t xml:space="preserve">. While tangible and </w:t>
      </w:r>
      <w:r>
        <w:rPr>
          <w:rFonts w:ascii="Arial" w:hAnsi="Arial" w:cs="Arial"/>
        </w:rPr>
        <w:lastRenderedPageBreak/>
        <w:t>contemplative experiences are important, some people, like me, prefer to spend a little time on the conceptual and dynamic phases. The four stages of learning are as follows:</w:t>
      </w:r>
    </w:p>
    <w:p w14:paraId="7E29C988" w14:textId="235BED64" w:rsidR="00B816EB" w:rsidRDefault="00B816EB" w:rsidP="00B816EB">
      <w:pPr>
        <w:spacing w:line="360" w:lineRule="auto"/>
        <w:jc w:val="center"/>
        <w:rPr>
          <w:rFonts w:ascii="Arial" w:hAnsi="Arial" w:cs="Arial"/>
        </w:rPr>
      </w:pPr>
      <w:r>
        <w:rPr>
          <w:rFonts w:ascii="Arial" w:hAnsi="Arial" w:cs="Arial"/>
          <w:noProof/>
        </w:rPr>
        <w:drawing>
          <wp:inline distT="0" distB="0" distL="0" distR="0" wp14:anchorId="6BF0C023" wp14:editId="3825F605">
            <wp:extent cx="4152900" cy="3571875"/>
            <wp:effectExtent l="0" t="0" r="0" b="9525"/>
            <wp:docPr id="1" name="Picture 1" descr="Kolb-st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Kolb-stages.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52900" cy="3571875"/>
                    </a:xfrm>
                    <a:prstGeom prst="rect">
                      <a:avLst/>
                    </a:prstGeom>
                    <a:noFill/>
                    <a:ln>
                      <a:noFill/>
                    </a:ln>
                  </pic:spPr>
                </pic:pic>
              </a:graphicData>
            </a:graphic>
          </wp:inline>
        </w:drawing>
      </w:r>
    </w:p>
    <w:p w14:paraId="242555AD" w14:textId="77777777" w:rsidR="00B816EB" w:rsidRDefault="00B816EB" w:rsidP="00B816EB">
      <w:pPr>
        <w:spacing w:line="360" w:lineRule="auto"/>
        <w:jc w:val="center"/>
        <w:rPr>
          <w:rFonts w:ascii="Arial" w:hAnsi="Arial" w:cs="Arial"/>
          <w:b/>
        </w:rPr>
      </w:pPr>
      <w:r>
        <w:rPr>
          <w:rFonts w:ascii="Arial" w:hAnsi="Arial" w:cs="Arial"/>
          <w:b/>
        </w:rPr>
        <w:t>Kolb’s cycle</w:t>
      </w:r>
    </w:p>
    <w:p w14:paraId="47549DA5" w14:textId="77777777" w:rsidR="00B816EB" w:rsidRDefault="00B816EB" w:rsidP="00B816EB">
      <w:pPr>
        <w:spacing w:line="360" w:lineRule="auto"/>
        <w:jc w:val="center"/>
        <w:rPr>
          <w:rFonts w:ascii="Arial" w:hAnsi="Arial" w:cs="Arial"/>
        </w:rPr>
      </w:pPr>
      <w:r>
        <w:rPr>
          <w:rFonts w:ascii="Arial" w:hAnsi="Arial" w:cs="Arial"/>
        </w:rPr>
        <w:t>Source</w:t>
      </w:r>
    </w:p>
    <w:p w14:paraId="1430ADF1" w14:textId="77777777" w:rsidR="00B816EB" w:rsidRDefault="00B816EB" w:rsidP="00B816EB">
      <w:pPr>
        <w:spacing w:line="360" w:lineRule="auto"/>
        <w:jc w:val="center"/>
        <w:rPr>
          <w:rFonts w:ascii="Arial" w:hAnsi="Arial" w:cs="Arial"/>
        </w:rPr>
      </w:pPr>
      <w:r>
        <w:rPr>
          <w:rFonts w:ascii="Arial" w:hAnsi="Arial" w:cs="Arial"/>
          <w:color w:val="000000"/>
          <w:shd w:val="clear" w:color="auto" w:fill="FFFFFF"/>
        </w:rPr>
        <w:t>(</w:t>
      </w:r>
      <w:proofErr w:type="spellStart"/>
      <w:r>
        <w:rPr>
          <w:rFonts w:ascii="Arial" w:hAnsi="Arial" w:cs="Arial"/>
          <w:color w:val="000000"/>
          <w:shd w:val="clear" w:color="auto" w:fill="FFFFFF"/>
        </w:rPr>
        <w:t>Mainemelis</w:t>
      </w:r>
      <w:proofErr w:type="spellEnd"/>
      <w:r>
        <w:rPr>
          <w:rFonts w:ascii="Arial" w:hAnsi="Arial" w:cs="Arial"/>
          <w:color w:val="000000"/>
          <w:shd w:val="clear" w:color="auto" w:fill="FFFFFF"/>
        </w:rPr>
        <w:t>, Boyatzis and Kolb, 2002)</w:t>
      </w:r>
    </w:p>
    <w:p w14:paraId="2A8DB8B7" w14:textId="77777777" w:rsidR="00B816EB" w:rsidRDefault="00B816EB" w:rsidP="00B816EB">
      <w:pPr>
        <w:spacing w:line="360" w:lineRule="auto"/>
        <w:jc w:val="both"/>
        <w:rPr>
          <w:rFonts w:ascii="Arial" w:hAnsi="Arial" w:cs="Arial"/>
        </w:rPr>
      </w:pPr>
      <w:r>
        <w:rPr>
          <w:rFonts w:ascii="Arial" w:hAnsi="Arial" w:cs="Arial"/>
          <w:b/>
        </w:rPr>
        <w:t>Concrete experience</w:t>
      </w:r>
      <w:r>
        <w:rPr>
          <w:rFonts w:ascii="Arial" w:hAnsi="Arial" w:cs="Arial"/>
        </w:rPr>
        <w:t xml:space="preserve">: A tangible experience is the first phase in Kolb's learning process. It can be a whole new experience or a reimagined version of one that already exists. During a concrete experience, I </w:t>
      </w:r>
      <w:proofErr w:type="gramStart"/>
      <w:r>
        <w:rPr>
          <w:rFonts w:ascii="Arial" w:hAnsi="Arial" w:cs="Arial"/>
        </w:rPr>
        <w:t>took  part</w:t>
      </w:r>
      <w:proofErr w:type="gramEnd"/>
      <w:r>
        <w:rPr>
          <w:rFonts w:ascii="Arial" w:hAnsi="Arial" w:cs="Arial"/>
        </w:rPr>
        <w:t xml:space="preserve"> as a learner in an event, which took place in my previous workplace. Involvement, according to Kolb, is the key </w:t>
      </w:r>
      <w:proofErr w:type="gramStart"/>
      <w:r>
        <w:rPr>
          <w:rFonts w:ascii="Arial" w:hAnsi="Arial" w:cs="Arial"/>
        </w:rPr>
        <w:t>of</w:t>
      </w:r>
      <w:proofErr w:type="gramEnd"/>
      <w:r>
        <w:rPr>
          <w:rFonts w:ascii="Arial" w:hAnsi="Arial" w:cs="Arial"/>
        </w:rPr>
        <w:t xml:space="preserve"> learning for which I was involved in a political belief at my workplace. One of my employees had troubles with his political beliefs, which were different from the rest of his </w:t>
      </w:r>
      <w:proofErr w:type="spellStart"/>
      <w:r>
        <w:rPr>
          <w:rFonts w:ascii="Arial" w:hAnsi="Arial" w:cs="Arial"/>
        </w:rPr>
        <w:t>coworkers</w:t>
      </w:r>
      <w:proofErr w:type="spellEnd"/>
      <w:r>
        <w:rPr>
          <w:rFonts w:ascii="Arial" w:hAnsi="Arial" w:cs="Arial"/>
        </w:rPr>
        <w:t xml:space="preserve">', and they sullied his reputation in front of other supervisors as a result. This affected his concentration at the workplace at large. It was insufficient for me to simply read about it or witness it in action. Therefore, I actively participated in the work </w:t>
      </w:r>
      <w:proofErr w:type="gramStart"/>
      <w:r>
        <w:rPr>
          <w:rFonts w:ascii="Arial" w:hAnsi="Arial" w:cs="Arial"/>
        </w:rPr>
        <w:t>in order to</w:t>
      </w:r>
      <w:proofErr w:type="gramEnd"/>
      <w:r>
        <w:rPr>
          <w:rFonts w:ascii="Arial" w:hAnsi="Arial" w:cs="Arial"/>
        </w:rPr>
        <w:t xml:space="preserve"> gain new information regarding the issue.</w:t>
      </w:r>
    </w:p>
    <w:p w14:paraId="19F406DF" w14:textId="77777777" w:rsidR="00B816EB" w:rsidRDefault="00B816EB" w:rsidP="00B816EB">
      <w:pPr>
        <w:spacing w:line="360" w:lineRule="auto"/>
        <w:jc w:val="both"/>
        <w:rPr>
          <w:rFonts w:ascii="Arial" w:hAnsi="Arial" w:cs="Arial"/>
        </w:rPr>
      </w:pPr>
      <w:r>
        <w:rPr>
          <w:rFonts w:ascii="Arial" w:hAnsi="Arial" w:cs="Arial"/>
          <w:b/>
        </w:rPr>
        <w:t>Reflective observation</w:t>
      </w:r>
      <w:r>
        <w:rPr>
          <w:rFonts w:ascii="Arial" w:hAnsi="Arial" w:cs="Arial"/>
        </w:rPr>
        <w:t>: I took a step back after engaging in the concrete experience to reflect on the assignment. This stage of the learning cycle allowed me to ask questions and talk with others about their experiences (</w:t>
      </w:r>
      <w:r>
        <w:rPr>
          <w:rFonts w:ascii="Arial" w:hAnsi="Arial" w:cs="Arial"/>
          <w:color w:val="222222"/>
          <w:shd w:val="clear" w:color="auto" w:fill="FFFFFF"/>
        </w:rPr>
        <w:t>Morris, 2020)</w:t>
      </w:r>
      <w:r>
        <w:rPr>
          <w:rFonts w:ascii="Arial" w:hAnsi="Arial" w:cs="Arial"/>
        </w:rPr>
        <w:t>. Communication was critical at this stage since it allowed me to spot any differences in my perceptions and the experience itself. A solid assessment of the events that took place is also possible with a good vocabulary.</w:t>
      </w:r>
    </w:p>
    <w:p w14:paraId="41B849F1" w14:textId="77777777" w:rsidR="00B816EB" w:rsidRDefault="00B816EB" w:rsidP="00B816EB">
      <w:pPr>
        <w:spacing w:line="360" w:lineRule="auto"/>
        <w:jc w:val="both"/>
        <w:rPr>
          <w:rFonts w:ascii="Arial" w:hAnsi="Arial" w:cs="Arial"/>
        </w:rPr>
      </w:pPr>
      <w:r>
        <w:rPr>
          <w:rFonts w:ascii="Arial" w:hAnsi="Arial" w:cs="Arial"/>
          <w:b/>
        </w:rPr>
        <w:lastRenderedPageBreak/>
        <w:t>Abstract conceptualisation</w:t>
      </w:r>
      <w:r>
        <w:rPr>
          <w:rFonts w:ascii="Arial" w:hAnsi="Arial" w:cs="Arial"/>
        </w:rPr>
        <w:t xml:space="preserve">: Making sense of these events is the next phase in the learning cycle. By reflecting on prior information, applying ideas I am familiar with, or discussing plausible theories with peers, I seek to draw inferences from the experience. When I begin to classify concepts and draw conclusions about what happened, I shift from introspective observation to abstract conceptualisation as a learner. This entails analysing the event and drawing parallels with my present understanding of the subject. I then proceeded to question other </w:t>
      </w:r>
      <w:proofErr w:type="spellStart"/>
      <w:r>
        <w:rPr>
          <w:rFonts w:ascii="Arial" w:hAnsi="Arial" w:cs="Arial"/>
        </w:rPr>
        <w:t>coworkers</w:t>
      </w:r>
      <w:proofErr w:type="spellEnd"/>
      <w:r>
        <w:rPr>
          <w:rFonts w:ascii="Arial" w:hAnsi="Arial" w:cs="Arial"/>
        </w:rPr>
        <w:t xml:space="preserve"> about their political beliefs in comparison to his (one being sullied). I could have handled the matter differently if I had reminded the </w:t>
      </w:r>
      <w:proofErr w:type="spellStart"/>
      <w:r>
        <w:rPr>
          <w:rFonts w:ascii="Arial" w:hAnsi="Arial" w:cs="Arial"/>
        </w:rPr>
        <w:t>coworkers</w:t>
      </w:r>
      <w:proofErr w:type="spellEnd"/>
      <w:r>
        <w:rPr>
          <w:rFonts w:ascii="Arial" w:hAnsi="Arial" w:cs="Arial"/>
        </w:rPr>
        <w:t xml:space="preserve"> that his political beliefs differed from the rest of the group. No one has the right to control anyone's beliefs, as it is a human right to have own convictions. I can assess new information and adjust my findings based on previously held beliefs; concepts do not have to be "fresh."</w:t>
      </w:r>
    </w:p>
    <w:p w14:paraId="55F96D7A" w14:textId="77777777" w:rsidR="00B816EB" w:rsidRDefault="00B816EB" w:rsidP="00B816EB">
      <w:pPr>
        <w:spacing w:line="360" w:lineRule="auto"/>
        <w:jc w:val="both"/>
        <w:rPr>
          <w:rFonts w:ascii="Arial" w:hAnsi="Arial" w:cs="Arial"/>
        </w:rPr>
      </w:pPr>
      <w:r>
        <w:rPr>
          <w:rFonts w:ascii="Arial" w:hAnsi="Arial" w:cs="Arial"/>
          <w:b/>
        </w:rPr>
        <w:t>Active experimentation</w:t>
      </w:r>
      <w:r>
        <w:rPr>
          <w:rFonts w:ascii="Arial" w:hAnsi="Arial" w:cs="Arial"/>
        </w:rPr>
        <w:t xml:space="preserve">: This is the testing step of the cycle. I return to a task, this time with the purpose of applying what I have learned to new situations. I can create forecasts, analyse assignments, and make </w:t>
      </w:r>
      <w:proofErr w:type="gramStart"/>
      <w:r>
        <w:rPr>
          <w:rFonts w:ascii="Arial" w:hAnsi="Arial" w:cs="Arial"/>
        </w:rPr>
        <w:t>plans for the future</w:t>
      </w:r>
      <w:proofErr w:type="gramEnd"/>
      <w:r>
        <w:rPr>
          <w:rFonts w:ascii="Arial" w:hAnsi="Arial" w:cs="Arial"/>
        </w:rPr>
        <w:t xml:space="preserve"> based on what I've learned. I ensure that the material will be remembered in the future by allowing me to apply what I've learned and demonstrate how it applies to my life. If I ever find myself in a similar circumstance again, I'll make sure to do the same thing I could have done this time, which I realised later.</w:t>
      </w:r>
    </w:p>
    <w:p w14:paraId="5CE9D3BC" w14:textId="77777777" w:rsidR="00B816EB" w:rsidRDefault="00B816EB" w:rsidP="00B816EB">
      <w:pPr>
        <w:spacing w:line="360" w:lineRule="auto"/>
        <w:jc w:val="both"/>
        <w:rPr>
          <w:rFonts w:ascii="Arial" w:hAnsi="Arial" w:cs="Arial"/>
        </w:rPr>
      </w:pPr>
      <w:r>
        <w:rPr>
          <w:rFonts w:ascii="Arial" w:hAnsi="Arial" w:cs="Arial"/>
        </w:rPr>
        <w:t xml:space="preserve">Kolb's learning theory is </w:t>
      </w:r>
      <w:proofErr w:type="gramStart"/>
      <w:r>
        <w:rPr>
          <w:rFonts w:ascii="Arial" w:hAnsi="Arial" w:cs="Arial"/>
        </w:rPr>
        <w:t>periodic,</w:t>
      </w:r>
      <w:proofErr w:type="gramEnd"/>
      <w:r>
        <w:rPr>
          <w:rFonts w:ascii="Arial" w:hAnsi="Arial" w:cs="Arial"/>
        </w:rPr>
        <w:t xml:space="preserve"> thus anyone can join at any point during the cycle. Furthermore, to ensure that meaningful learning has occurred, the cycle must be finished in its totality. Each stage is interconnected, and all must be finished to gain new learning (</w:t>
      </w:r>
      <w:r>
        <w:rPr>
          <w:rFonts w:ascii="Arial" w:hAnsi="Arial" w:cs="Arial"/>
          <w:color w:val="222222"/>
          <w:shd w:val="clear" w:color="auto" w:fill="FFFFFF"/>
        </w:rPr>
        <w:t xml:space="preserve">Long and </w:t>
      </w:r>
      <w:proofErr w:type="spellStart"/>
      <w:r>
        <w:rPr>
          <w:rFonts w:ascii="Arial" w:hAnsi="Arial" w:cs="Arial"/>
          <w:color w:val="222222"/>
          <w:shd w:val="clear" w:color="auto" w:fill="FFFFFF"/>
        </w:rPr>
        <w:t>Gummelt</w:t>
      </w:r>
      <w:proofErr w:type="spellEnd"/>
      <w:r>
        <w:rPr>
          <w:rFonts w:ascii="Arial" w:hAnsi="Arial" w:cs="Arial"/>
          <w:color w:val="222222"/>
          <w:shd w:val="clear" w:color="auto" w:fill="FFFFFF"/>
        </w:rPr>
        <w:t>, 2020)</w:t>
      </w:r>
      <w:r>
        <w:rPr>
          <w:rFonts w:ascii="Arial" w:hAnsi="Arial" w:cs="Arial"/>
        </w:rPr>
        <w:t>.</w:t>
      </w:r>
    </w:p>
    <w:p w14:paraId="116CBB27" w14:textId="77777777" w:rsidR="00B816EB" w:rsidRDefault="00B816EB" w:rsidP="00B816EB">
      <w:pPr>
        <w:spacing w:line="360" w:lineRule="auto"/>
        <w:jc w:val="both"/>
        <w:rPr>
          <w:rFonts w:ascii="Arial" w:eastAsiaTheme="majorEastAsia" w:hAnsi="Arial" w:cs="Arial"/>
          <w:b/>
          <w:bCs/>
          <w:color w:val="000000" w:themeColor="text1"/>
        </w:rPr>
      </w:pPr>
      <w:r>
        <w:rPr>
          <w:rFonts w:ascii="Arial" w:hAnsi="Arial" w:cs="Arial"/>
          <w:color w:val="000000" w:themeColor="text1"/>
        </w:rPr>
        <w:br w:type="page"/>
      </w:r>
    </w:p>
    <w:p w14:paraId="13547135" w14:textId="77777777" w:rsidR="00B816EB" w:rsidRDefault="00B816EB" w:rsidP="00B816EB">
      <w:pPr>
        <w:pStyle w:val="Heading2"/>
        <w:spacing w:line="360" w:lineRule="auto"/>
        <w:jc w:val="both"/>
        <w:rPr>
          <w:rFonts w:ascii="Arial" w:hAnsi="Arial" w:cs="Arial"/>
          <w:color w:val="000000" w:themeColor="text1"/>
          <w:sz w:val="22"/>
          <w:szCs w:val="22"/>
        </w:rPr>
      </w:pPr>
      <w:bookmarkStart w:id="15" w:name="_Toc76682485"/>
      <w:r>
        <w:rPr>
          <w:rFonts w:ascii="Arial" w:hAnsi="Arial" w:cs="Arial"/>
          <w:color w:val="000000" w:themeColor="text1"/>
          <w:sz w:val="22"/>
          <w:szCs w:val="22"/>
        </w:rPr>
        <w:lastRenderedPageBreak/>
        <w:t>2.4 References</w:t>
      </w:r>
      <w:bookmarkEnd w:id="15"/>
    </w:p>
    <w:p w14:paraId="2987ADE9" w14:textId="77777777" w:rsidR="00B816EB" w:rsidRDefault="00B816EB" w:rsidP="00B816EB">
      <w:pPr>
        <w:spacing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Fewster-Thuente</w:t>
      </w:r>
      <w:proofErr w:type="spellEnd"/>
      <w:r>
        <w:rPr>
          <w:rFonts w:ascii="Arial" w:hAnsi="Arial" w:cs="Arial"/>
          <w:color w:val="222222"/>
          <w:shd w:val="clear" w:color="auto" w:fill="FFFFFF"/>
        </w:rPr>
        <w:t xml:space="preserve">, L. and </w:t>
      </w:r>
      <w:proofErr w:type="spellStart"/>
      <w:r>
        <w:rPr>
          <w:rFonts w:ascii="Arial" w:hAnsi="Arial" w:cs="Arial"/>
          <w:color w:val="222222"/>
          <w:shd w:val="clear" w:color="auto" w:fill="FFFFFF"/>
        </w:rPr>
        <w:t>Batteson</w:t>
      </w:r>
      <w:proofErr w:type="spellEnd"/>
      <w:r>
        <w:rPr>
          <w:rFonts w:ascii="Arial" w:hAnsi="Arial" w:cs="Arial"/>
          <w:color w:val="222222"/>
          <w:shd w:val="clear" w:color="auto" w:fill="FFFFFF"/>
        </w:rPr>
        <w:t>, T.J., 2018. Kolb's Experiential Learning Theory as a theoretical underpinning for interprofessional education. </w:t>
      </w:r>
      <w:r>
        <w:rPr>
          <w:rFonts w:ascii="Arial" w:hAnsi="Arial" w:cs="Arial"/>
          <w:i/>
          <w:iCs/>
          <w:color w:val="222222"/>
          <w:shd w:val="clear" w:color="auto" w:fill="FFFFFF"/>
        </w:rPr>
        <w:t>Journal of allied health</w:t>
      </w:r>
      <w:r>
        <w:rPr>
          <w:rFonts w:ascii="Arial" w:hAnsi="Arial" w:cs="Arial"/>
          <w:color w:val="222222"/>
          <w:shd w:val="clear" w:color="auto" w:fill="FFFFFF"/>
        </w:rPr>
        <w:t>, </w:t>
      </w:r>
      <w:r>
        <w:rPr>
          <w:rFonts w:ascii="Arial" w:hAnsi="Arial" w:cs="Arial"/>
          <w:i/>
          <w:iCs/>
          <w:color w:val="222222"/>
          <w:shd w:val="clear" w:color="auto" w:fill="FFFFFF"/>
        </w:rPr>
        <w:t>47</w:t>
      </w:r>
      <w:r>
        <w:rPr>
          <w:rFonts w:ascii="Arial" w:hAnsi="Arial" w:cs="Arial"/>
          <w:color w:val="222222"/>
          <w:shd w:val="clear" w:color="auto" w:fill="FFFFFF"/>
        </w:rPr>
        <w:t>(1), pp.3-8.</w:t>
      </w:r>
    </w:p>
    <w:p w14:paraId="55278B33" w14:textId="77777777" w:rsidR="00B816EB" w:rsidRDefault="00B816EB" w:rsidP="00B816EB">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Long, E.M. and </w:t>
      </w:r>
      <w:proofErr w:type="spellStart"/>
      <w:r>
        <w:rPr>
          <w:rFonts w:ascii="Arial" w:hAnsi="Arial" w:cs="Arial"/>
          <w:color w:val="222222"/>
          <w:shd w:val="clear" w:color="auto" w:fill="FFFFFF"/>
        </w:rPr>
        <w:t>Gummelt</w:t>
      </w:r>
      <w:proofErr w:type="spellEnd"/>
      <w:r>
        <w:rPr>
          <w:rFonts w:ascii="Arial" w:hAnsi="Arial" w:cs="Arial"/>
          <w:color w:val="222222"/>
          <w:shd w:val="clear" w:color="auto" w:fill="FFFFFF"/>
        </w:rPr>
        <w:t>, G., 2020. Experiential Service Learning: Building skills and sensitivity with Kolb’s learning theory. </w:t>
      </w:r>
      <w:r>
        <w:rPr>
          <w:rFonts w:ascii="Arial" w:hAnsi="Arial" w:cs="Arial"/>
          <w:i/>
          <w:iCs/>
          <w:color w:val="222222"/>
          <w:shd w:val="clear" w:color="auto" w:fill="FFFFFF"/>
        </w:rPr>
        <w:t>Gerontology &amp; geriatrics education</w:t>
      </w:r>
      <w:r>
        <w:rPr>
          <w:rFonts w:ascii="Arial" w:hAnsi="Arial" w:cs="Arial"/>
          <w:color w:val="222222"/>
          <w:shd w:val="clear" w:color="auto" w:fill="FFFFFF"/>
        </w:rPr>
        <w:t>, </w:t>
      </w:r>
      <w:r>
        <w:rPr>
          <w:rFonts w:ascii="Arial" w:hAnsi="Arial" w:cs="Arial"/>
          <w:i/>
          <w:iCs/>
          <w:color w:val="222222"/>
          <w:shd w:val="clear" w:color="auto" w:fill="FFFFFF"/>
        </w:rPr>
        <w:t>41</w:t>
      </w:r>
      <w:r>
        <w:rPr>
          <w:rFonts w:ascii="Arial" w:hAnsi="Arial" w:cs="Arial"/>
          <w:color w:val="222222"/>
          <w:shd w:val="clear" w:color="auto" w:fill="FFFFFF"/>
        </w:rPr>
        <w:t>(2), pp.219-232.</w:t>
      </w:r>
    </w:p>
    <w:p w14:paraId="69140F46" w14:textId="77777777" w:rsidR="00B816EB" w:rsidRDefault="00B816EB" w:rsidP="00B816EB">
      <w:pPr>
        <w:spacing w:line="360" w:lineRule="auto"/>
        <w:jc w:val="both"/>
        <w:rPr>
          <w:rFonts w:ascii="Arial" w:hAnsi="Arial" w:cs="Arial"/>
          <w:color w:val="000000"/>
          <w:shd w:val="clear" w:color="auto" w:fill="FFFFFF"/>
        </w:rPr>
      </w:pPr>
      <w:r>
        <w:rPr>
          <w:rFonts w:ascii="Arial" w:hAnsi="Arial" w:cs="Arial"/>
          <w:color w:val="222222"/>
          <w:shd w:val="clear" w:color="auto" w:fill="FFFFFF"/>
        </w:rPr>
        <w:t>Morris, T.H., 2020. Experiential learning–a systematic review and revision of Kolb’s model. </w:t>
      </w:r>
      <w:r>
        <w:rPr>
          <w:rFonts w:ascii="Arial" w:hAnsi="Arial" w:cs="Arial"/>
          <w:i/>
          <w:iCs/>
          <w:color w:val="222222"/>
          <w:shd w:val="clear" w:color="auto" w:fill="FFFFFF"/>
        </w:rPr>
        <w:t>Interactive Learning Environments</w:t>
      </w:r>
      <w:r>
        <w:rPr>
          <w:rFonts w:ascii="Arial" w:hAnsi="Arial" w:cs="Arial"/>
          <w:color w:val="222222"/>
          <w:shd w:val="clear" w:color="auto" w:fill="FFFFFF"/>
        </w:rPr>
        <w:t>, </w:t>
      </w:r>
      <w:r>
        <w:rPr>
          <w:rFonts w:ascii="Arial" w:hAnsi="Arial" w:cs="Arial"/>
          <w:i/>
          <w:iCs/>
          <w:color w:val="222222"/>
          <w:shd w:val="clear" w:color="auto" w:fill="FFFFFF"/>
        </w:rPr>
        <w:t>28</w:t>
      </w:r>
      <w:r>
        <w:rPr>
          <w:rFonts w:ascii="Arial" w:hAnsi="Arial" w:cs="Arial"/>
          <w:color w:val="222222"/>
          <w:shd w:val="clear" w:color="auto" w:fill="FFFFFF"/>
        </w:rPr>
        <w:t>(8), pp.1064-1077.</w:t>
      </w:r>
    </w:p>
    <w:p w14:paraId="419AD1E9" w14:textId="77777777" w:rsidR="00B816EB" w:rsidRDefault="00B816EB" w:rsidP="00B816EB">
      <w:pPr>
        <w:spacing w:line="360" w:lineRule="auto"/>
        <w:jc w:val="both"/>
        <w:rPr>
          <w:rFonts w:ascii="Arial" w:hAnsi="Arial" w:cs="Arial"/>
        </w:rPr>
      </w:pPr>
    </w:p>
    <w:p w14:paraId="78C0AC71" w14:textId="77777777" w:rsidR="00B816EB" w:rsidRDefault="00B816EB"/>
    <w:sectPr w:rsidR="00B816EB">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D2B74" w14:textId="77777777" w:rsidR="006E6D17" w:rsidRDefault="006E6D17" w:rsidP="00B816EB">
      <w:pPr>
        <w:spacing w:after="0" w:line="240" w:lineRule="auto"/>
      </w:pPr>
      <w:r>
        <w:separator/>
      </w:r>
    </w:p>
  </w:endnote>
  <w:endnote w:type="continuationSeparator" w:id="0">
    <w:p w14:paraId="60A151FF" w14:textId="77777777" w:rsidR="006E6D17" w:rsidRDefault="006E6D17" w:rsidP="00B81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D37D6" w14:textId="67DECCD6" w:rsidR="00B816EB" w:rsidRDefault="00B816EB">
    <w:pPr>
      <w:pStyle w:val="Footer"/>
    </w:pPr>
    <w:r>
      <w:t xml:space="preserve">Nyandeng Malek 1911902 </w:t>
    </w:r>
  </w:p>
  <w:p w14:paraId="10F8F0EF" w14:textId="77777777" w:rsidR="00B816EB" w:rsidRDefault="00B816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B8E84" w14:textId="77777777" w:rsidR="006E6D17" w:rsidRDefault="006E6D17" w:rsidP="00B816EB">
      <w:pPr>
        <w:spacing w:after="0" w:line="240" w:lineRule="auto"/>
      </w:pPr>
      <w:r>
        <w:separator/>
      </w:r>
    </w:p>
  </w:footnote>
  <w:footnote w:type="continuationSeparator" w:id="0">
    <w:p w14:paraId="635C0F08" w14:textId="77777777" w:rsidR="006E6D17" w:rsidRDefault="006E6D17" w:rsidP="00B81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7327F"/>
    <w:multiLevelType w:val="hybridMultilevel"/>
    <w:tmpl w:val="E55A463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D6A3E0D"/>
    <w:multiLevelType w:val="hybridMultilevel"/>
    <w:tmpl w:val="8C4473C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43E772E"/>
    <w:multiLevelType w:val="hybridMultilevel"/>
    <w:tmpl w:val="E0386B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B1652A9"/>
    <w:multiLevelType w:val="hybridMultilevel"/>
    <w:tmpl w:val="A77CDB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5C917EF0"/>
    <w:multiLevelType w:val="hybridMultilevel"/>
    <w:tmpl w:val="47D64B5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2C6"/>
    <w:rsid w:val="000F489F"/>
    <w:rsid w:val="003267E1"/>
    <w:rsid w:val="005232C6"/>
    <w:rsid w:val="006E6D17"/>
    <w:rsid w:val="008F2E2F"/>
    <w:rsid w:val="00B81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87403D"/>
  <w15:chartTrackingRefBased/>
  <w15:docId w15:val="{65BF34DE-3F03-4EE8-8625-D93F30A36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2C6"/>
  </w:style>
  <w:style w:type="paragraph" w:styleId="Heading1">
    <w:name w:val="heading 1"/>
    <w:basedOn w:val="Normal"/>
    <w:next w:val="Normal"/>
    <w:link w:val="Heading1Char"/>
    <w:uiPriority w:val="9"/>
    <w:qFormat/>
    <w:rsid w:val="00B816EB"/>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semiHidden/>
    <w:unhideWhenUsed/>
    <w:qFormat/>
    <w:rsid w:val="00B816EB"/>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val="en-US"/>
    </w:rPr>
  </w:style>
  <w:style w:type="paragraph" w:styleId="Heading3">
    <w:name w:val="heading 3"/>
    <w:basedOn w:val="Normal"/>
    <w:next w:val="Normal"/>
    <w:link w:val="Heading3Char"/>
    <w:uiPriority w:val="9"/>
    <w:semiHidden/>
    <w:unhideWhenUsed/>
    <w:qFormat/>
    <w:rsid w:val="00B816EB"/>
    <w:pPr>
      <w:keepNext/>
      <w:keepLines/>
      <w:spacing w:before="200" w:after="0" w:line="276" w:lineRule="auto"/>
      <w:outlineLvl w:val="2"/>
    </w:pPr>
    <w:rPr>
      <w:rFonts w:asciiTheme="majorHAnsi" w:eastAsiaTheme="majorEastAsia" w:hAnsiTheme="majorHAnsi" w:cstheme="majorBidi"/>
      <w:b/>
      <w:bCs/>
      <w:color w:val="4472C4" w:themeColor="accen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32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816EB"/>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semiHidden/>
    <w:rsid w:val="00B816EB"/>
    <w:rPr>
      <w:rFonts w:asciiTheme="majorHAnsi" w:eastAsiaTheme="majorEastAsia" w:hAnsiTheme="majorHAnsi" w:cstheme="majorBidi"/>
      <w:b/>
      <w:bCs/>
      <w:color w:val="4472C4" w:themeColor="accent1"/>
      <w:sz w:val="26"/>
      <w:szCs w:val="26"/>
      <w:lang w:val="en-US"/>
    </w:rPr>
  </w:style>
  <w:style w:type="character" w:customStyle="1" w:styleId="Heading3Char">
    <w:name w:val="Heading 3 Char"/>
    <w:basedOn w:val="DefaultParagraphFont"/>
    <w:link w:val="Heading3"/>
    <w:uiPriority w:val="9"/>
    <w:semiHidden/>
    <w:rsid w:val="00B816EB"/>
    <w:rPr>
      <w:rFonts w:asciiTheme="majorHAnsi" w:eastAsiaTheme="majorEastAsia" w:hAnsiTheme="majorHAnsi" w:cstheme="majorBidi"/>
      <w:b/>
      <w:bCs/>
      <w:color w:val="4472C4" w:themeColor="accent1"/>
      <w:lang w:val="en-US"/>
    </w:rPr>
  </w:style>
  <w:style w:type="character" w:styleId="Hyperlink">
    <w:name w:val="Hyperlink"/>
    <w:basedOn w:val="DefaultParagraphFont"/>
    <w:uiPriority w:val="99"/>
    <w:semiHidden/>
    <w:unhideWhenUsed/>
    <w:rsid w:val="00B816EB"/>
    <w:rPr>
      <w:color w:val="0563C1" w:themeColor="hyperlink"/>
      <w:u w:val="single"/>
    </w:rPr>
  </w:style>
  <w:style w:type="paragraph" w:styleId="TOC1">
    <w:name w:val="toc 1"/>
    <w:basedOn w:val="Normal"/>
    <w:next w:val="Normal"/>
    <w:autoRedefine/>
    <w:uiPriority w:val="39"/>
    <w:semiHidden/>
    <w:unhideWhenUsed/>
    <w:rsid w:val="00B816EB"/>
    <w:pPr>
      <w:spacing w:after="100" w:line="276" w:lineRule="auto"/>
    </w:pPr>
    <w:rPr>
      <w:lang w:val="en-US"/>
    </w:rPr>
  </w:style>
  <w:style w:type="paragraph" w:styleId="TOC2">
    <w:name w:val="toc 2"/>
    <w:basedOn w:val="Normal"/>
    <w:next w:val="Normal"/>
    <w:autoRedefine/>
    <w:uiPriority w:val="39"/>
    <w:semiHidden/>
    <w:unhideWhenUsed/>
    <w:rsid w:val="00B816EB"/>
    <w:pPr>
      <w:spacing w:after="100" w:line="276" w:lineRule="auto"/>
      <w:ind w:left="220"/>
    </w:pPr>
    <w:rPr>
      <w:lang w:val="en-US"/>
    </w:rPr>
  </w:style>
  <w:style w:type="paragraph" w:styleId="TOC3">
    <w:name w:val="toc 3"/>
    <w:basedOn w:val="Normal"/>
    <w:next w:val="Normal"/>
    <w:autoRedefine/>
    <w:uiPriority w:val="39"/>
    <w:semiHidden/>
    <w:unhideWhenUsed/>
    <w:rsid w:val="00B816EB"/>
    <w:pPr>
      <w:spacing w:after="100" w:line="276" w:lineRule="auto"/>
      <w:ind w:left="440"/>
    </w:pPr>
    <w:rPr>
      <w:lang w:val="en-US"/>
    </w:rPr>
  </w:style>
  <w:style w:type="paragraph" w:styleId="ListParagraph">
    <w:name w:val="List Paragraph"/>
    <w:basedOn w:val="Normal"/>
    <w:uiPriority w:val="34"/>
    <w:qFormat/>
    <w:rsid w:val="00B816EB"/>
    <w:pPr>
      <w:spacing w:after="200" w:line="276" w:lineRule="auto"/>
      <w:ind w:left="720"/>
      <w:contextualSpacing/>
    </w:pPr>
    <w:rPr>
      <w:lang w:val="en-US"/>
    </w:rPr>
  </w:style>
  <w:style w:type="paragraph" w:styleId="TOCHeading">
    <w:name w:val="TOC Heading"/>
    <w:basedOn w:val="Heading1"/>
    <w:next w:val="Normal"/>
    <w:uiPriority w:val="39"/>
    <w:semiHidden/>
    <w:unhideWhenUsed/>
    <w:qFormat/>
    <w:rsid w:val="00B816EB"/>
    <w:pPr>
      <w:outlineLvl w:val="9"/>
    </w:pPr>
  </w:style>
  <w:style w:type="paragraph" w:styleId="Header">
    <w:name w:val="header"/>
    <w:basedOn w:val="Normal"/>
    <w:link w:val="HeaderChar"/>
    <w:uiPriority w:val="99"/>
    <w:unhideWhenUsed/>
    <w:rsid w:val="00B81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6EB"/>
  </w:style>
  <w:style w:type="paragraph" w:styleId="Footer">
    <w:name w:val="footer"/>
    <w:basedOn w:val="Normal"/>
    <w:link w:val="FooterChar"/>
    <w:uiPriority w:val="99"/>
    <w:unhideWhenUsed/>
    <w:rsid w:val="00B81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6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609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Leadership%20and%20Management%20Skills%20for%20the%20Workplace%20(1).docx" TargetMode="External"/><Relationship Id="rId13" Type="http://schemas.openxmlformats.org/officeDocument/2006/relationships/hyperlink" Target="file:///C:\Users\User\Downloads\Leadership%20and%20Management%20Skills%20for%20the%20Workplace%20(1).docx" TargetMode="External"/><Relationship Id="rId18" Type="http://schemas.openxmlformats.org/officeDocument/2006/relationships/hyperlink" Target="file:///C:\Users\User\Downloads\Leadership%20and%20Management%20Skills%20for%20the%20Workplace%20(1).docx"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file:///C:\Users\User\Downloads\Leadership%20and%20Management%20Skills%20for%20the%20Workplace%20(1).docx" TargetMode="External"/><Relationship Id="rId7" Type="http://schemas.openxmlformats.org/officeDocument/2006/relationships/endnotes" Target="endnotes.xml"/><Relationship Id="rId12" Type="http://schemas.openxmlformats.org/officeDocument/2006/relationships/hyperlink" Target="file:///C:\Users\User\Downloads\Leadership%20and%20Management%20Skills%20for%20the%20Workplace%20(1).docx" TargetMode="External"/><Relationship Id="rId17" Type="http://schemas.openxmlformats.org/officeDocument/2006/relationships/hyperlink" Target="file:///C:\Users\User\Downloads\Leadership%20and%20Management%20Skills%20for%20the%20Workplace%20(1).docx"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C:\Users\User\Downloads\Leadership%20and%20Management%20Skills%20for%20the%20Workplace%20(1).docx" TargetMode="External"/><Relationship Id="rId20" Type="http://schemas.openxmlformats.org/officeDocument/2006/relationships/hyperlink" Target="file:///C:\Users\User\Downloads\Leadership%20and%20Management%20Skills%20for%20the%20Workplace%20(1).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ownloads\Leadership%20and%20Management%20Skills%20for%20the%20Workplace%20(1).docx" TargetMode="External"/><Relationship Id="rId24"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hyperlink" Target="file:///C:\Users\User\Downloads\Leadership%20and%20Management%20Skills%20for%20the%20Workplace%20(1).docx" TargetMode="External"/><Relationship Id="rId23" Type="http://schemas.openxmlformats.org/officeDocument/2006/relationships/hyperlink" Target="file:///C:\Users\User\Downloads\Leadership%20and%20Management%20Skills%20for%20the%20Workplace%20(1).docx" TargetMode="External"/><Relationship Id="rId10" Type="http://schemas.openxmlformats.org/officeDocument/2006/relationships/hyperlink" Target="file:///C:\Users\User\Downloads\Leadership%20and%20Management%20Skills%20for%20the%20Workplace%20(1).docx" TargetMode="External"/><Relationship Id="rId19" Type="http://schemas.openxmlformats.org/officeDocument/2006/relationships/hyperlink" Target="file:///C:\Users\User\Downloads\Leadership%20and%20Management%20Skills%20for%20the%20Workplace%20(1).docx" TargetMode="External"/><Relationship Id="rId4" Type="http://schemas.openxmlformats.org/officeDocument/2006/relationships/settings" Target="settings.xml"/><Relationship Id="rId9" Type="http://schemas.openxmlformats.org/officeDocument/2006/relationships/hyperlink" Target="file:///C:\Users\User\Downloads\Leadership%20and%20Management%20Skills%20for%20the%20Workplace%20(1).docx" TargetMode="External"/><Relationship Id="rId14" Type="http://schemas.openxmlformats.org/officeDocument/2006/relationships/hyperlink" Target="file:///C:\Users\User\Downloads\Leadership%20and%20Management%20Skills%20for%20the%20Workplace%20(1).docx" TargetMode="External"/><Relationship Id="rId22" Type="http://schemas.openxmlformats.org/officeDocument/2006/relationships/hyperlink" Target="file:///C:\Users\User\Downloads\Leadership%20and%20Management%20Skills%20for%20the%20Workplace%20(1).doc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D99E0D-E8B8-4C2C-9DFA-276D03833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4091</Words>
  <Characters>23321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 nyang</dc:creator>
  <cp:keywords/>
  <dc:description/>
  <cp:lastModifiedBy>nyinti suzy</cp:lastModifiedBy>
  <cp:revision>3</cp:revision>
  <dcterms:created xsi:type="dcterms:W3CDTF">2021-07-22T13:31:00Z</dcterms:created>
  <dcterms:modified xsi:type="dcterms:W3CDTF">2021-07-22T17:41:00Z</dcterms:modified>
</cp:coreProperties>
</file>