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drawings/drawing1.xml" ContentType="application/vnd.openxmlformats-officedocument.drawingml.chartshapes+xml"/>
  <Override PartName="/word/charts/chart4.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86761" w:rsidRDefault="004235FA">
      <w:r>
        <w:rPr>
          <w:noProof/>
          <w:lang w:eastAsia="en-GB"/>
        </w:rPr>
        <w:pict>
          <v:rect id="Rectangle 2" o:spid="_x0000_s1028" style="position:absolute;margin-left:42.6pt;margin-top:84.65pt;width:506.6pt;height:697.9pt;flip:x;z-index:251665408;visibility:visible;mso-position-horizontal-relative:page;mso-position-vertical-relative:page" fillcolor="#8064a2 [3207]" strokecolor="#f2f2f2 [3041]" strokeweight="3pt">
            <v:shadow on="t" type="perspective" color="#3f3151 [1607]" opacity=".5" offset="1pt" offset2="-1pt"/>
            <v:textbox style="mso-next-textbox:#Rectangle 2;mso-rotate-with-shape:t" inset="21.6pt,21.6pt,21.6pt,21.6pt">
              <w:txbxContent>
                <w:p w:rsidR="00686761" w:rsidRDefault="00686761" w:rsidP="00686761">
                  <w:pPr>
                    <w:jc w:val="both"/>
                    <w:rPr>
                      <w:b/>
                      <w:sz w:val="32"/>
                      <w:szCs w:val="32"/>
                    </w:rPr>
                  </w:pPr>
                </w:p>
                <w:p w:rsidR="00686761" w:rsidRDefault="00686761" w:rsidP="00686761">
                  <w:pPr>
                    <w:jc w:val="both"/>
                    <w:rPr>
                      <w:b/>
                      <w:sz w:val="32"/>
                      <w:szCs w:val="32"/>
                    </w:rPr>
                  </w:pPr>
                </w:p>
                <w:p w:rsidR="00686761" w:rsidRPr="00BF5C2B" w:rsidRDefault="00686761" w:rsidP="00686761">
                  <w:pPr>
                    <w:pStyle w:val="Title"/>
                    <w:jc w:val="both"/>
                    <w:rPr>
                      <w:sz w:val="40"/>
                      <w:szCs w:val="40"/>
                    </w:rPr>
                  </w:pPr>
                  <w:r w:rsidRPr="00BF5C2B">
                    <w:rPr>
                      <w:sz w:val="40"/>
                      <w:szCs w:val="40"/>
                    </w:rPr>
                    <w:t>Would you agree that urban growth during the nineteenth century resulted in poor sanitation within the towns of South West Wales which re</w:t>
                  </w:r>
                  <w:r w:rsidR="00E24BDC">
                    <w:rPr>
                      <w:sz w:val="40"/>
                      <w:szCs w:val="40"/>
                    </w:rPr>
                    <w:t>sulted in a high mortality rate?</w:t>
                  </w:r>
                </w:p>
                <w:p w:rsidR="00686761" w:rsidRDefault="00686761" w:rsidP="00686761">
                  <w:pPr>
                    <w:rPr>
                      <w:b/>
                      <w:sz w:val="32"/>
                      <w:szCs w:val="32"/>
                    </w:rPr>
                  </w:pPr>
                </w:p>
                <w:p w:rsidR="00686761" w:rsidRDefault="00686761" w:rsidP="00686761">
                  <w:pPr>
                    <w:rPr>
                      <w:b/>
                      <w:sz w:val="32"/>
                      <w:szCs w:val="32"/>
                    </w:rPr>
                  </w:pPr>
                </w:p>
                <w:p w:rsidR="00686761" w:rsidRDefault="00686761" w:rsidP="00686761">
                  <w:pPr>
                    <w:spacing w:after="0"/>
                    <w:rPr>
                      <w:color w:val="FFFFFF"/>
                      <w:sz w:val="18"/>
                      <w:szCs w:val="18"/>
                    </w:rPr>
                  </w:pPr>
                </w:p>
                <w:p w:rsidR="00686761" w:rsidRDefault="00686761" w:rsidP="00686761">
                  <w:pPr>
                    <w:rPr>
                      <w:color w:val="FFFFFF"/>
                      <w:sz w:val="18"/>
                      <w:szCs w:val="18"/>
                    </w:rPr>
                  </w:pPr>
                </w:p>
                <w:p w:rsidR="00686761" w:rsidRDefault="00686761" w:rsidP="00686761">
                  <w:pPr>
                    <w:rPr>
                      <w:color w:val="FFFFFF"/>
                      <w:sz w:val="18"/>
                      <w:szCs w:val="18"/>
                    </w:rPr>
                  </w:pPr>
                </w:p>
                <w:p w:rsidR="00686761" w:rsidRDefault="00686761" w:rsidP="00686761">
                  <w:pPr>
                    <w:rPr>
                      <w:color w:val="FFFFFF"/>
                      <w:sz w:val="18"/>
                      <w:szCs w:val="18"/>
                    </w:rPr>
                  </w:pPr>
                </w:p>
                <w:p w:rsidR="00686761" w:rsidRDefault="00686761" w:rsidP="00686761">
                  <w:pPr>
                    <w:rPr>
                      <w:color w:val="FFFFFF"/>
                      <w:sz w:val="18"/>
                      <w:szCs w:val="18"/>
                    </w:rPr>
                  </w:pPr>
                </w:p>
                <w:p w:rsidR="00686761" w:rsidRDefault="00686761" w:rsidP="00686761">
                  <w:pPr>
                    <w:rPr>
                      <w:color w:val="FFFFFF"/>
                      <w:sz w:val="18"/>
                      <w:szCs w:val="18"/>
                    </w:rPr>
                  </w:pPr>
                </w:p>
              </w:txbxContent>
            </v:textbox>
            <w10:wrap type="square" anchorx="page" anchory="page"/>
          </v:rect>
        </w:pict>
      </w:r>
      <w:r w:rsidR="00686761">
        <w:br w:type="page"/>
      </w:r>
    </w:p>
    <w:p w:rsidR="003C1BEA" w:rsidRDefault="003C1BEA" w:rsidP="00353068">
      <w:pPr>
        <w:spacing w:line="360" w:lineRule="auto"/>
        <w:ind w:firstLine="720"/>
        <w:jc w:val="both"/>
      </w:pPr>
    </w:p>
    <w:p w:rsidR="00686761" w:rsidRDefault="00686761" w:rsidP="00353068">
      <w:pPr>
        <w:spacing w:line="360" w:lineRule="auto"/>
        <w:ind w:firstLine="720"/>
        <w:jc w:val="both"/>
      </w:pPr>
    </w:p>
    <w:p w:rsidR="003C1BEA" w:rsidRDefault="003C1BEA" w:rsidP="00353068">
      <w:pPr>
        <w:spacing w:line="360" w:lineRule="auto"/>
        <w:ind w:firstLine="720"/>
        <w:jc w:val="both"/>
      </w:pPr>
    </w:p>
    <w:p w:rsidR="00026DFB" w:rsidRDefault="00E4176A" w:rsidP="00353068">
      <w:pPr>
        <w:spacing w:line="360" w:lineRule="auto"/>
        <w:ind w:firstLine="720"/>
        <w:jc w:val="both"/>
      </w:pPr>
      <w:r w:rsidRPr="00E4176A">
        <w:t xml:space="preserve">The histiography of nineteenth century public health has consistently </w:t>
      </w:r>
      <w:r w:rsidR="00353068">
        <w:t xml:space="preserve">identified changing demographics and overcrowding </w:t>
      </w:r>
      <w:r w:rsidRPr="00E4176A">
        <w:t>as the major contributor to disease and high mortality</w:t>
      </w:r>
      <w:r w:rsidR="00686761">
        <w:t>.  F</w:t>
      </w:r>
      <w:r w:rsidRPr="00E4176A">
        <w:t xml:space="preserve">rom Sir Edwin Chadwick onwards the </w:t>
      </w:r>
      <w:r w:rsidR="00353068">
        <w:t xml:space="preserve">large </w:t>
      </w:r>
      <w:r w:rsidRPr="00E4176A">
        <w:t>industrial towns have been identified as the main culprit.</w:t>
      </w:r>
      <w:r w:rsidR="00747B72">
        <w:rPr>
          <w:rStyle w:val="FootnoteReference"/>
        </w:rPr>
        <w:footnoteReference w:id="1"/>
      </w:r>
      <w:r w:rsidRPr="00E4176A">
        <w:t xml:space="preserve">  Chadwick and his fellow </w:t>
      </w:r>
      <w:proofErr w:type="spellStart"/>
      <w:r w:rsidRPr="00E4176A">
        <w:t>Benthamites</w:t>
      </w:r>
      <w:proofErr w:type="spellEnd"/>
      <w:r w:rsidRPr="00E4176A">
        <w:t xml:space="preserve"> focused their attention on the </w:t>
      </w:r>
      <w:r w:rsidR="00686761">
        <w:t>‘</w:t>
      </w:r>
      <w:r w:rsidRPr="00E4176A">
        <w:t>filthy poor</w:t>
      </w:r>
      <w:r w:rsidR="00686761">
        <w:t>’</w:t>
      </w:r>
      <w:r w:rsidRPr="00E4176A">
        <w:t xml:space="preserve"> and the cost to society of their sickness and early death</w:t>
      </w:r>
      <w:r w:rsidR="00686761">
        <w:t xml:space="preserve">.  They </w:t>
      </w:r>
      <w:r w:rsidRPr="00E4176A">
        <w:t xml:space="preserve">were evangelical in </w:t>
      </w:r>
      <w:r w:rsidR="00353068">
        <w:t xml:space="preserve">offering </w:t>
      </w:r>
      <w:r w:rsidRPr="00E4176A">
        <w:t xml:space="preserve">improved drainage and clean water </w:t>
      </w:r>
      <w:r w:rsidR="00353068">
        <w:t xml:space="preserve">as the panacea, </w:t>
      </w:r>
      <w:r w:rsidRPr="00E4176A">
        <w:t>preferring to avoid tackling the underlying causes of poverty.</w:t>
      </w:r>
      <w:r>
        <w:t xml:space="preserve">  With Chadwick’s fellow </w:t>
      </w:r>
      <w:proofErr w:type="spellStart"/>
      <w:r>
        <w:t>Benthamite</w:t>
      </w:r>
      <w:proofErr w:type="spellEnd"/>
      <w:r w:rsidR="00353068">
        <w:t>,</w:t>
      </w:r>
      <w:r>
        <w:t xml:space="preserve"> </w:t>
      </w:r>
      <w:r w:rsidR="00686761">
        <w:t xml:space="preserve">William </w:t>
      </w:r>
      <w:r>
        <w:t>Farr</w:t>
      </w:r>
      <w:r w:rsidR="00747B72">
        <w:rPr>
          <w:rStyle w:val="FootnoteReference"/>
        </w:rPr>
        <w:footnoteReference w:id="2"/>
      </w:r>
      <w:r w:rsidR="00353068">
        <w:t>,</w:t>
      </w:r>
      <w:r>
        <w:t xml:space="preserve"> in the Registrar</w:t>
      </w:r>
      <w:r w:rsidR="00686761">
        <w:t xml:space="preserve"> General</w:t>
      </w:r>
      <w:r>
        <w:t xml:space="preserve">’s Office, the data produced zeroed in on this urban/rural split with Farr selecting </w:t>
      </w:r>
      <w:r w:rsidR="003C1BEA">
        <w:t>heavily populated areas</w:t>
      </w:r>
      <w:r w:rsidR="00353068">
        <w:t xml:space="preserve"> </w:t>
      </w:r>
      <w:r>
        <w:t xml:space="preserve">to represent the </w:t>
      </w:r>
      <w:r w:rsidR="00353068">
        <w:t xml:space="preserve">‘unhealthy’ urban group and </w:t>
      </w:r>
      <w:r>
        <w:t>everyone else in the</w:t>
      </w:r>
      <w:r w:rsidR="00353068">
        <w:t xml:space="preserve"> </w:t>
      </w:r>
      <w:r>
        <w:t>‘healthier’ group</w:t>
      </w:r>
      <w:r w:rsidR="000D3DD4">
        <w:rPr>
          <w:rStyle w:val="FootnoteReference"/>
        </w:rPr>
        <w:footnoteReference w:id="3"/>
      </w:r>
      <w:r>
        <w:t xml:space="preserve">.  Later historians such as Thomas </w:t>
      </w:r>
      <w:proofErr w:type="spellStart"/>
      <w:r>
        <w:t>McKeown</w:t>
      </w:r>
      <w:proofErr w:type="spellEnd"/>
      <w:r>
        <w:t xml:space="preserve"> and Simon </w:t>
      </w:r>
      <w:proofErr w:type="spellStart"/>
      <w:r>
        <w:t>Szreter</w:t>
      </w:r>
      <w:proofErr w:type="spellEnd"/>
      <w:r>
        <w:t xml:space="preserve"> have</w:t>
      </w:r>
      <w:r w:rsidR="00353068">
        <w:t xml:space="preserve"> </w:t>
      </w:r>
      <w:r>
        <w:t xml:space="preserve">argued about what </w:t>
      </w:r>
      <w:r w:rsidR="00353068">
        <w:t xml:space="preserve">had </w:t>
      </w:r>
      <w:r>
        <w:t>improved</w:t>
      </w:r>
      <w:r w:rsidR="00353068">
        <w:t xml:space="preserve"> mortality towards the end of the century, far less attention has been paid to what caused it. And just as Chadwick and Farr carefully chose their large towns, later historians have focused their studies and conclusions on the mill towns of the North West and the coalfields of South Wales as well as rural parishes in Surrey and Leicestershire.  As a result their findings, while reflecting the situation in England and Wales as a whole, do not accurately portray what was happening in South West Wales during this period. </w:t>
      </w:r>
    </w:p>
    <w:p w:rsidR="00353068" w:rsidRDefault="00353068" w:rsidP="00353068">
      <w:pPr>
        <w:spacing w:line="360" w:lineRule="auto"/>
        <w:jc w:val="both"/>
      </w:pPr>
      <w:r>
        <w:tab/>
        <w:t xml:space="preserve">South West Wales only had </w:t>
      </w:r>
      <w:r w:rsidR="00686761">
        <w:t xml:space="preserve">two </w:t>
      </w:r>
      <w:r>
        <w:t>town</w:t>
      </w:r>
      <w:r w:rsidR="00686761">
        <w:t>s</w:t>
      </w:r>
      <w:r>
        <w:t xml:space="preserve"> which made Farr’s list and th</w:t>
      </w:r>
      <w:r w:rsidR="00686761">
        <w:t xml:space="preserve">ey were </w:t>
      </w:r>
      <w:r>
        <w:t>Llanelli</w:t>
      </w:r>
      <w:r w:rsidR="00747B72">
        <w:t xml:space="preserve"> </w:t>
      </w:r>
      <w:r w:rsidR="00686761">
        <w:t xml:space="preserve">and Pembroke, the former </w:t>
      </w:r>
      <w:r w:rsidR="00747B72">
        <w:t>witness</w:t>
      </w:r>
      <w:r w:rsidR="00686761">
        <w:t xml:space="preserve">ing </w:t>
      </w:r>
      <w:r w:rsidR="00747B72">
        <w:t xml:space="preserve">phenomenal growth during the nineteenth century with all its attendant problems.  </w:t>
      </w:r>
      <w:r>
        <w:t xml:space="preserve">  </w:t>
      </w:r>
      <w:r w:rsidR="00686761">
        <w:t>O</w:t>
      </w:r>
      <w:r>
        <w:t xml:space="preserve">ther towns in the area, Carmarthen in particular, could be argued to have suffered worse sanitation and mortality despite </w:t>
      </w:r>
      <w:r w:rsidR="00747B72">
        <w:t xml:space="preserve">much </w:t>
      </w:r>
      <w:r>
        <w:t>less of an increase in popula</w:t>
      </w:r>
      <w:r w:rsidR="00747B72">
        <w:t>tion.  And the country areas, which were depopulating in the latter stages of the century</w:t>
      </w:r>
      <w:r w:rsidR="00686761">
        <w:t xml:space="preserve"> and were </w:t>
      </w:r>
      <w:r>
        <w:t xml:space="preserve">statistically healthier than their urban counterparts nevertheless </w:t>
      </w:r>
      <w:r w:rsidR="00747B72">
        <w:t xml:space="preserve">harboured hotspots of </w:t>
      </w:r>
      <w:r>
        <w:t>horrific infant mortality</w:t>
      </w:r>
      <w:r w:rsidR="00747B72">
        <w:t xml:space="preserve"> rates</w:t>
      </w:r>
      <w:r>
        <w:t>.</w:t>
      </w:r>
    </w:p>
    <w:p w:rsidR="00686761" w:rsidRDefault="00686761" w:rsidP="00353068">
      <w:pPr>
        <w:spacing w:line="360" w:lineRule="auto"/>
        <w:jc w:val="both"/>
      </w:pPr>
    </w:p>
    <w:p w:rsidR="00686761" w:rsidRDefault="00747B72" w:rsidP="00353068">
      <w:pPr>
        <w:spacing w:line="360" w:lineRule="auto"/>
        <w:jc w:val="both"/>
      </w:pPr>
      <w:r>
        <w:tab/>
      </w:r>
    </w:p>
    <w:p w:rsidR="00686761" w:rsidRDefault="00686761" w:rsidP="00353068">
      <w:pPr>
        <w:spacing w:line="360" w:lineRule="auto"/>
        <w:jc w:val="both"/>
      </w:pPr>
    </w:p>
    <w:p w:rsidR="00266DD9" w:rsidRDefault="004235FA" w:rsidP="00686761">
      <w:pPr>
        <w:spacing w:line="360" w:lineRule="auto"/>
        <w:ind w:firstLine="720"/>
        <w:jc w:val="both"/>
      </w:pPr>
      <w:r>
        <w:rPr>
          <w:noProof/>
        </w:rPr>
        <w:pict>
          <v:shapetype id="_x0000_t202" coordsize="21600,21600" o:spt="202" path="m,l,21600r21600,l21600,xe">
            <v:stroke joinstyle="miter"/>
            <v:path gradientshapeok="t" o:connecttype="rect"/>
          </v:shapetype>
          <v:shape id="_x0000_s1029" type="#_x0000_t202" style="position:absolute;left:0;text-align:left;margin-left:261.85pt;margin-top:169.1pt;width:195.1pt;height:25.7pt;z-index:251667456" stroked="f">
            <v:textbox inset="0,0,0,0">
              <w:txbxContent>
                <w:p w:rsidR="00CB1272" w:rsidRPr="00A6449E" w:rsidRDefault="00CB1272" w:rsidP="00CB1272">
                  <w:pPr>
                    <w:pStyle w:val="Caption"/>
                  </w:pPr>
                  <w:proofErr w:type="gramStart"/>
                  <w:r>
                    <w:t xml:space="preserve">Figure </w:t>
                  </w:r>
                  <w:r w:rsidR="00135F6D">
                    <w:fldChar w:fldCharType="begin"/>
                  </w:r>
                  <w:r>
                    <w:instrText xml:space="preserve"> SEQ Figure \* ARABIC </w:instrText>
                  </w:r>
                  <w:r w:rsidR="00135F6D">
                    <w:fldChar w:fldCharType="separate"/>
                  </w:r>
                  <w:r w:rsidR="00E24BDC">
                    <w:rPr>
                      <w:noProof/>
                    </w:rPr>
                    <w:t>1</w:t>
                  </w:r>
                  <w:r w:rsidR="00135F6D">
                    <w:fldChar w:fldCharType="end"/>
                  </w:r>
                  <w:r>
                    <w:t>.</w:t>
                  </w:r>
                  <w:proofErr w:type="gramEnd"/>
                  <w:r w:rsidR="00E24BDC">
                    <w:t xml:space="preserve"> Source Anthony S </w:t>
                  </w:r>
                  <w:proofErr w:type="spellStart"/>
                  <w:r w:rsidR="00E24BDC">
                    <w:t>Wohl</w:t>
                  </w:r>
                  <w:proofErr w:type="spellEnd"/>
                  <w:r w:rsidR="00E24BDC">
                    <w:t>, Endangered Lives/ P3</w:t>
                  </w:r>
                </w:p>
              </w:txbxContent>
            </v:textbox>
            <w10:wrap type="square"/>
          </v:shape>
        </w:pict>
      </w:r>
      <w:r w:rsidR="00747B72">
        <w:t xml:space="preserve">So what was the picture nationally?   No one doubts that population growth in the nineteenth century was unprecedented and this is documented in the decennial censuses which were introduced in 1801, although the data only becomes reliable from mid-century.  They show us that </w:t>
      </w:r>
      <w:r w:rsidR="00CE01AD">
        <w:t>after the Napoleonic War</w:t>
      </w:r>
      <w:r w:rsidR="00747B72">
        <w:t xml:space="preserve">s virtually every town and village in England and Wales witnessed growth </w:t>
      </w:r>
      <w:r w:rsidR="00CB1272">
        <w:t xml:space="preserve">with the population doubling in the first half of the nineteenth century </w:t>
      </w:r>
      <w:r w:rsidR="00CE01AD">
        <w:t xml:space="preserve">and this inevitably resulted </w:t>
      </w:r>
      <w:r w:rsidR="00747B72">
        <w:t xml:space="preserve">in social problems with </w:t>
      </w:r>
      <w:r w:rsidR="00CE01AD">
        <w:t xml:space="preserve">lack of employment, </w:t>
      </w:r>
      <w:r w:rsidR="00F948BF">
        <w:rPr>
          <w:noProof/>
          <w:lang w:val="en-US"/>
        </w:rPr>
        <w:drawing>
          <wp:anchor distT="0" distB="0" distL="114300" distR="114300" simplePos="0" relativeHeight="251659264" behindDoc="0" locked="0" layoutInCell="1" allowOverlap="1">
            <wp:simplePos x="0" y="0"/>
            <wp:positionH relativeFrom="column">
              <wp:posOffset>3325495</wp:posOffset>
            </wp:positionH>
            <wp:positionV relativeFrom="paragraph">
              <wp:posOffset>254635</wp:posOffset>
            </wp:positionV>
            <wp:extent cx="2477770" cy="1849755"/>
            <wp:effectExtent l="19050" t="0" r="17780" b="0"/>
            <wp:wrapSquare wrapText="bothSides"/>
            <wp:docPr id="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r w:rsidR="00CE01AD">
        <w:t xml:space="preserve">increased poverty and pressure on the </w:t>
      </w:r>
      <w:r w:rsidR="00CB1272">
        <w:t>P</w:t>
      </w:r>
      <w:r w:rsidR="00CE01AD">
        <w:t xml:space="preserve">oor </w:t>
      </w:r>
      <w:r w:rsidR="00CB1272">
        <w:t>R</w:t>
      </w:r>
      <w:r w:rsidR="00CE01AD">
        <w:t xml:space="preserve">ates.  </w:t>
      </w:r>
      <w:r w:rsidR="00E24BDC">
        <w:t>As shown in Figure 1., t</w:t>
      </w:r>
      <w:r w:rsidR="00CE01AD">
        <w:t xml:space="preserve">he population in towns was growing at a faster rate than in the countryside and the proportion of people living in towns and cities increased from 30% in 1801 to 54% in 1851 and 78% in 1901 which means a lack of available housing leading to overcrowding and pressure on the sanitation systems as we shall see.  </w:t>
      </w:r>
    </w:p>
    <w:p w:rsidR="00CE01AD" w:rsidRDefault="004235FA" w:rsidP="00266DD9">
      <w:pPr>
        <w:spacing w:line="360" w:lineRule="auto"/>
        <w:ind w:firstLine="720"/>
        <w:jc w:val="both"/>
        <w:rPr>
          <w:noProof/>
          <w:lang w:eastAsia="en-GB"/>
        </w:rPr>
      </w:pPr>
      <w:r>
        <w:rPr>
          <w:noProof/>
        </w:rPr>
        <w:pict>
          <v:shape id="_x0000_s1030" type="#_x0000_t202" style="position:absolute;left:0;text-align:left;margin-left:1.5pt;margin-top:249.15pt;width:244.6pt;height:.05pt;z-index:251669504" stroked="f">
            <v:textbox style="mso-fit-shape-to-text:t" inset="0,0,0,0">
              <w:txbxContent>
                <w:p w:rsidR="00E24BDC" w:rsidRPr="000F1C75" w:rsidRDefault="00E24BDC" w:rsidP="00E24BDC">
                  <w:pPr>
                    <w:pStyle w:val="Caption"/>
                    <w:rPr>
                      <w:noProof/>
                    </w:rPr>
                  </w:pPr>
                  <w:proofErr w:type="gramStart"/>
                  <w:r>
                    <w:t xml:space="preserve">Figure </w:t>
                  </w:r>
                  <w:r w:rsidR="004235FA">
                    <w:fldChar w:fldCharType="begin"/>
                  </w:r>
                  <w:r w:rsidR="004235FA">
                    <w:instrText xml:space="preserve"> SEQ Figure \* A</w:instrText>
                  </w:r>
                  <w:r w:rsidR="004235FA">
                    <w:instrText xml:space="preserve">RABIC </w:instrText>
                  </w:r>
                  <w:r w:rsidR="004235FA">
                    <w:fldChar w:fldCharType="separate"/>
                  </w:r>
                  <w:r>
                    <w:rPr>
                      <w:noProof/>
                    </w:rPr>
                    <w:t>2</w:t>
                  </w:r>
                  <w:r w:rsidR="004235FA">
                    <w:rPr>
                      <w:noProof/>
                    </w:rPr>
                    <w:fldChar w:fldCharType="end"/>
                  </w:r>
                  <w:r>
                    <w:t>.</w:t>
                  </w:r>
                  <w:proofErr w:type="gramEnd"/>
                  <w:r>
                    <w:t xml:space="preserve">  Source: Census returns 1801-1901 via www.histpop.org</w:t>
                  </w:r>
                </w:p>
              </w:txbxContent>
            </v:textbox>
            <w10:wrap type="square"/>
          </v:shape>
        </w:pict>
      </w:r>
      <w:r w:rsidR="00F948BF">
        <w:rPr>
          <w:noProof/>
          <w:lang w:val="en-US"/>
        </w:rPr>
        <w:drawing>
          <wp:anchor distT="0" distB="0" distL="114300" distR="114300" simplePos="0" relativeHeight="251661312" behindDoc="0" locked="0" layoutInCell="1" allowOverlap="1">
            <wp:simplePos x="0" y="0"/>
            <wp:positionH relativeFrom="column">
              <wp:posOffset>19050</wp:posOffset>
            </wp:positionH>
            <wp:positionV relativeFrom="paragraph">
              <wp:posOffset>1108710</wp:posOffset>
            </wp:positionV>
            <wp:extent cx="3106420" cy="1998345"/>
            <wp:effectExtent l="19050" t="0" r="17780" b="1905"/>
            <wp:wrapSquare wrapText="bothSides"/>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00CE01AD">
        <w:t xml:space="preserve">This picture </w:t>
      </w:r>
      <w:r w:rsidR="00E24BDC">
        <w:t xml:space="preserve">was replicated </w:t>
      </w:r>
      <w:r w:rsidR="00CE01AD">
        <w:t xml:space="preserve">across South Wales </w:t>
      </w:r>
      <w:r w:rsidR="00E24BDC">
        <w:t xml:space="preserve">as, </w:t>
      </w:r>
      <w:r w:rsidR="00CE01AD">
        <w:t>by mid-century</w:t>
      </w:r>
      <w:r w:rsidR="00E24BDC">
        <w:t>,</w:t>
      </w:r>
      <w:r w:rsidR="00CE01AD">
        <w:t xml:space="preserve"> the industrial revolution was in full swing, creating new jobs and attracting people from rural areas into the new smelting towns, and later </w:t>
      </w:r>
      <w:r w:rsidR="00E24BDC">
        <w:t xml:space="preserve">to </w:t>
      </w:r>
      <w:r w:rsidR="00CE01AD">
        <w:t xml:space="preserve">the coal fields.  Llanelli, the only industrial town in South West Wales, </w:t>
      </w:r>
      <w:r w:rsidR="00266DD9">
        <w:t>w</w:t>
      </w:r>
      <w:r w:rsidR="00CE01AD">
        <w:t xml:space="preserve">as </w:t>
      </w:r>
      <w:r w:rsidR="00266DD9">
        <w:t xml:space="preserve">establishing itself as one of the </w:t>
      </w:r>
      <w:r w:rsidR="00CE01AD">
        <w:t>world’s largest producers of tinplate</w:t>
      </w:r>
      <w:r w:rsidR="00266DD9">
        <w:t>, and with it meteoric growth that continued until a peak in 1931.</w:t>
      </w:r>
      <w:r w:rsidR="00266DD9">
        <w:rPr>
          <w:rStyle w:val="FootnoteReference"/>
        </w:rPr>
        <w:footnoteReference w:id="4"/>
      </w:r>
      <w:r w:rsidR="00266DD9">
        <w:t xml:space="preserve">  </w:t>
      </w:r>
      <w:r w:rsidR="00E24BDC">
        <w:t xml:space="preserve">AS Figure </w:t>
      </w:r>
      <w:proofErr w:type="gramStart"/>
      <w:r w:rsidR="00E24BDC">
        <w:t>2.,</w:t>
      </w:r>
      <w:proofErr w:type="gramEnd"/>
      <w:r w:rsidR="00E24BDC">
        <w:t xml:space="preserve"> shows it was h</w:t>
      </w:r>
      <w:r w:rsidR="00266DD9">
        <w:t xml:space="preserve">alf the size of Carmarthen at the beginning of the century </w:t>
      </w:r>
      <w:r w:rsidR="00E24BDC">
        <w:t xml:space="preserve">and </w:t>
      </w:r>
      <w:r w:rsidR="00266DD9">
        <w:t xml:space="preserve">almost three times its size by the end, and its experience far more typical of its neighbour Swansea and other South Wales towns than those of the South West.  </w:t>
      </w:r>
      <w:r w:rsidR="00CE01AD">
        <w:t xml:space="preserve"> </w:t>
      </w:r>
      <w:r w:rsidR="00266DD9">
        <w:t xml:space="preserve"> After an initial bout of population growth, </w:t>
      </w:r>
      <w:r w:rsidR="00E24BDC">
        <w:t xml:space="preserve">other </w:t>
      </w:r>
      <w:r w:rsidR="00266DD9">
        <w:t xml:space="preserve">towns settled with the population of Carmarthen for example peaking in 1881 and then hovering around the 10,000 mark until after World War II.  Pembroke grew dramatically up to 1861 then levelled into a steadier climb while the port town of Cardigan also grew to 1861 but </w:t>
      </w:r>
      <w:r w:rsidR="00266DD9">
        <w:lastRenderedPageBreak/>
        <w:t>then began its long decline</w:t>
      </w:r>
      <w:r w:rsidR="00266DD9" w:rsidRPr="00266DD9">
        <w:rPr>
          <w:b/>
        </w:rPr>
        <w:t xml:space="preserve">.  </w:t>
      </w:r>
      <w:r w:rsidR="00266DD9">
        <w:rPr>
          <w:b/>
        </w:rPr>
        <w:t xml:space="preserve"> </w:t>
      </w:r>
      <w:r w:rsidR="00266DD9" w:rsidRPr="00266DD9">
        <w:t>Almost half</w:t>
      </w:r>
      <w:r w:rsidR="00266DD9">
        <w:rPr>
          <w:b/>
        </w:rPr>
        <w:t xml:space="preserve"> </w:t>
      </w:r>
      <w:r w:rsidR="00CE01AD">
        <w:t>the rural parishes in Carmarthenshire had reached their peak population by 1871.</w:t>
      </w:r>
      <w:r w:rsidR="00266DD9">
        <w:rPr>
          <w:rStyle w:val="FootnoteReference"/>
          <w:noProof/>
          <w:lang w:eastAsia="en-GB"/>
        </w:rPr>
        <w:footnoteReference w:id="5"/>
      </w:r>
    </w:p>
    <w:p w:rsidR="00593B0B" w:rsidRDefault="00F948BF" w:rsidP="00593B0B">
      <w:pPr>
        <w:spacing w:line="360" w:lineRule="auto"/>
        <w:ind w:firstLine="720"/>
        <w:jc w:val="both"/>
      </w:pPr>
      <w:r>
        <w:t>One of the most immediate impacts of this rise in urban population was on housing, or rather the lack of it.  Lord Shaftesbury, who dedicated much of his life to this subject</w:t>
      </w:r>
      <w:r w:rsidR="00E24BDC">
        <w:t>,</w:t>
      </w:r>
      <w:r>
        <w:t xml:space="preserve"> claimed that “of all the agencies which disposed the human body to disease none were </w:t>
      </w:r>
      <w:proofErr w:type="gramStart"/>
      <w:r>
        <w:t>so</w:t>
      </w:r>
      <w:proofErr w:type="gramEnd"/>
      <w:r>
        <w:t xml:space="preserve"> fatal as overcrowding in small dwellings.”</w:t>
      </w:r>
      <w:r>
        <w:rPr>
          <w:rStyle w:val="FootnoteReference"/>
        </w:rPr>
        <w:footnoteReference w:id="6"/>
      </w:r>
      <w:r>
        <w:t xml:space="preserve">  The rapid increase in urban population meant demand outstripped housing supply leading to inevitable overcrowding.   Families were forced to share rooms, even beds, and houses were sub-divided to maximise profits. In the poorer parts of towns whole families would live in just two rooms with communal washing and privy facilities shared with more than half a dozen other households.   </w:t>
      </w:r>
      <w:r w:rsidR="00593B0B">
        <w:t>Anthony</w:t>
      </w:r>
      <w:r w:rsidR="0091212E">
        <w:t xml:space="preserve"> </w:t>
      </w:r>
      <w:r>
        <w:t>Wohl points out that sharing of beds was common in cramped accommodation and cites a case in Darlington where six children aged two to seventeen shared a single room with their parents, an adult brother and an uncle.</w:t>
      </w:r>
      <w:r>
        <w:rPr>
          <w:rStyle w:val="FootnoteReference"/>
        </w:rPr>
        <w:footnoteReference w:id="7"/>
      </w:r>
      <w:r>
        <w:t xml:space="preserve">    The casual nature of most manual work, together with the impracticality of travel for the poorer classes, meant workers had to live near their place of work leading to pressure on space in town centres resulting in slums with back-to-back housing, courts and tenements being favoured means for landlords to maximise their returns.    The yards and courts usually consisted of one or two rooms, with no rear entrances or lighting, minimal or none existent sewerage, drainage or water supplies and often without paved access.  Practically, even where people living in such conditions were keen to keep their environments clean there was nowhere to dispose of their waste. The resulting atmosphere was so putrefying that the middle classes soon began an exodus to the ‘cleaner air’ of the suburbs and in doing so exacerbated the situation.</w:t>
      </w:r>
      <w:r w:rsidR="00593B0B">
        <w:t xml:space="preserve">  Things were no better in Carmarthen town where: </w:t>
      </w:r>
    </w:p>
    <w:p w:rsidR="00593B0B" w:rsidRDefault="00593B0B" w:rsidP="00593B0B">
      <w:pPr>
        <w:spacing w:line="360" w:lineRule="auto"/>
        <w:ind w:left="850" w:right="567"/>
        <w:jc w:val="both"/>
      </w:pPr>
      <w:r>
        <w:t>“Mary Ann Bowen and her six children inhabit a damp filthy room, 12 feet by 13 feet, with no back opening whatever.  There is no privy; a vessel stands in the common room and is emptied daily into the street.”</w:t>
      </w:r>
      <w:r>
        <w:rPr>
          <w:rStyle w:val="FootnoteReference"/>
        </w:rPr>
        <w:footnoteReference w:id="8"/>
      </w:r>
    </w:p>
    <w:p w:rsidR="006933F6" w:rsidRDefault="00593B0B" w:rsidP="006933F6">
      <w:pPr>
        <w:spacing w:line="360" w:lineRule="auto"/>
        <w:ind w:firstLine="720"/>
        <w:jc w:val="both"/>
      </w:pPr>
      <w:r>
        <w:t xml:space="preserve">And it wasn’t only the lack of housing that was a </w:t>
      </w:r>
      <w:proofErr w:type="gramStart"/>
      <w:r>
        <w:t>problem,</w:t>
      </w:r>
      <w:proofErr w:type="gramEnd"/>
      <w:r>
        <w:t xml:space="preserve"> the quality of the housing stock was very poor for most of the nineteenth century, particularly in impoverished parts of the country such as South West Wales.   The home of the working man </w:t>
      </w:r>
      <w:r w:rsidR="006933F6">
        <w:t>was often “</w:t>
      </w:r>
      <w:r>
        <w:t>built of defective materials</w:t>
      </w:r>
      <w:r w:rsidR="006933F6">
        <w:t xml:space="preserve"> ... </w:t>
      </w:r>
      <w:r w:rsidR="006933F6">
        <w:lastRenderedPageBreak/>
        <w:t>damp walls ... floors laid on un</w:t>
      </w:r>
      <w:r w:rsidR="00B67CE9">
        <w:t>-</w:t>
      </w:r>
      <w:r w:rsidR="006933F6">
        <w:t>drained soil ... no through ventilation”</w:t>
      </w:r>
      <w:proofErr w:type="gramStart"/>
      <w:r w:rsidR="006933F6">
        <w:t>,</w:t>
      </w:r>
      <w:proofErr w:type="gramEnd"/>
      <w:r w:rsidR="006933F6">
        <w:rPr>
          <w:rStyle w:val="FootnoteReference"/>
        </w:rPr>
        <w:footnoteReference w:id="9"/>
      </w:r>
      <w:r w:rsidR="006933F6" w:rsidRPr="006933F6">
        <w:t xml:space="preserve"> </w:t>
      </w:r>
      <w:r w:rsidR="006933F6">
        <w:t xml:space="preserve">little wonder then that so little of it survived.   </w:t>
      </w:r>
      <w:r>
        <w:t xml:space="preserve">In many ways the problems were </w:t>
      </w:r>
      <w:r w:rsidR="006933F6">
        <w:t xml:space="preserve">even </w:t>
      </w:r>
      <w:r>
        <w:t>greater in the already cramped medieval towns such as Carmarthen than the new sprawling industrial communities</w:t>
      </w:r>
      <w:r w:rsidR="00E24BDC">
        <w:t>. N</w:t>
      </w:r>
      <w:r w:rsidR="006933F6">
        <w:t>ew house</w:t>
      </w:r>
      <w:r w:rsidR="00B67CE9">
        <w:t>s</w:t>
      </w:r>
      <w:r w:rsidR="006933F6">
        <w:t xml:space="preserve"> built at this time were barely adequate with statutory building regulations not implemented until the 1870s and then often ignored by opportunistic builders.  As late as 1883 H. C. Buckley, Llanelli’s Medical Officer of Health, complained that in the newer houses of Llanelli:</w:t>
      </w:r>
      <w:r w:rsidR="006933F6" w:rsidRPr="006933F6">
        <w:t xml:space="preserve"> </w:t>
      </w:r>
      <w:r w:rsidR="006933F6">
        <w:t>“the hand of jerry builders is conspicuous.”</w:t>
      </w:r>
      <w:r w:rsidR="006933F6">
        <w:rPr>
          <w:rStyle w:val="FootnoteReference"/>
        </w:rPr>
        <w:footnoteReference w:id="10"/>
      </w:r>
      <w:r w:rsidR="006933F6">
        <w:t xml:space="preserve">    It must be borne in mind however, that even these desperately inadequate houses were an improvement on many rural hovels.  An 1870 Government report was scathing in its condemnation of the cottages of rural Carmarthenshire:</w:t>
      </w:r>
    </w:p>
    <w:p w:rsidR="006933F6" w:rsidRDefault="006933F6" w:rsidP="006933F6">
      <w:pPr>
        <w:spacing w:line="360" w:lineRule="auto"/>
        <w:ind w:left="720" w:right="680"/>
        <w:jc w:val="both"/>
      </w:pPr>
      <w:r>
        <w:t>“ most disgraceful ... too frequently built without any regard to the health, comfort morality, or convenience of the occupants; generally badly ventilated and as badly lighted, damp unhealthy walls and floors, the former of earth ... overcrowding is the universal consequence and gross immorality the result.  Privies are very unusual and oftener than not the piggery is attached to the dwelling. No attention is to be paid to the sewerage, which is constantly to be seen at the cottage door.”</w:t>
      </w:r>
      <w:r>
        <w:rPr>
          <w:rStyle w:val="FootnoteReference"/>
        </w:rPr>
        <w:footnoteReference w:id="11"/>
      </w:r>
    </w:p>
    <w:p w:rsidR="00B67CE9" w:rsidRDefault="00B67CE9" w:rsidP="00E24BDC">
      <w:pPr>
        <w:spacing w:line="360" w:lineRule="auto"/>
        <w:ind w:firstLine="720"/>
        <w:jc w:val="both"/>
      </w:pPr>
      <w:r>
        <w:t>Another result of supply failing to keep up with demand was the growth of common lodging houses which were to be found in every town in the country and particularly prevalent in the industrial areas where itinerant men came in to find work – they were a breeding ground for disease and pestilence.</w:t>
      </w:r>
      <w:r>
        <w:rPr>
          <w:rStyle w:val="FootnoteReference"/>
        </w:rPr>
        <w:footnoteReference w:id="12"/>
      </w:r>
      <w:r>
        <w:t xml:space="preserve">   A good example of the lack of hygiene is found in a description of Michael Harrington’s lodging house in Merthyr Tydfil in the early 1850s where it was “common practice for lodging house rooms to be occupied be relays of sleepers, some of them being engaged on work during the night and some during the day.”</w:t>
      </w:r>
      <w:r>
        <w:rPr>
          <w:rStyle w:val="FootnoteReference"/>
        </w:rPr>
        <w:footnoteReference w:id="13"/>
      </w:r>
    </w:p>
    <w:p w:rsidR="00CB365A" w:rsidRDefault="00B67CE9" w:rsidP="00CB365A">
      <w:pPr>
        <w:spacing w:line="360" w:lineRule="auto"/>
        <w:jc w:val="both"/>
      </w:pPr>
      <w:r>
        <w:tab/>
        <w:t xml:space="preserve">Housing conditions was not the only consequence of the overcrowding.  </w:t>
      </w:r>
      <w:r w:rsidR="00593B0B">
        <w:t>Poor sanitation with resulting stench and disease had been a feature of Britain’s towns since their inception</w:t>
      </w:r>
      <w:r w:rsidR="00CA758F">
        <w:t xml:space="preserve"> and was exacerbated by the influx</w:t>
      </w:r>
      <w:r w:rsidR="00593B0B">
        <w:t xml:space="preserve">.  </w:t>
      </w:r>
      <w:r>
        <w:t>At the time of the 1848 Health Act sanitary conditions “were universally bad and, in some places, appalling“</w:t>
      </w:r>
      <w:r>
        <w:rPr>
          <w:rStyle w:val="FootnoteReference"/>
        </w:rPr>
        <w:footnoteReference w:id="14"/>
      </w:r>
      <w:r>
        <w:t xml:space="preserve"> nowhere was this more apparent than in the overcrowded towns.  Drainage was bad, sewers insufficient or non-existent and there were inadequate supplies of </w:t>
      </w:r>
      <w:r>
        <w:lastRenderedPageBreak/>
        <w:t xml:space="preserve">clean water.   </w:t>
      </w:r>
      <w:r w:rsidRPr="007C04C8">
        <w:t>Chadwick, in his 1842 survey, had concluded that 62 per cent of the towns in England and Wales had inadequate or impure water</w:t>
      </w:r>
      <w:r w:rsidRPr="007C04C8">
        <w:rPr>
          <w:rStyle w:val="FootnoteReference"/>
        </w:rPr>
        <w:footnoteReference w:id="15"/>
      </w:r>
      <w:r>
        <w:t xml:space="preserve"> and </w:t>
      </w:r>
      <w:proofErr w:type="spellStart"/>
      <w:r>
        <w:t>Wohl</w:t>
      </w:r>
      <w:proofErr w:type="spellEnd"/>
      <w:r>
        <w:t xml:space="preserve"> points out that water was by no means universally available even by 1900. “In 1879 over one quarter of all the authorities in Great Britain still had no piped water whatsoever,”</w:t>
      </w:r>
      <w:r w:rsidRPr="00B67CE9">
        <w:t xml:space="preserve"> </w:t>
      </w:r>
      <w:r>
        <w:t>he wrote.</w:t>
      </w:r>
      <w:r>
        <w:rPr>
          <w:rStyle w:val="FootnoteReference"/>
        </w:rPr>
        <w:footnoteReference w:id="16"/>
      </w:r>
      <w:r>
        <w:t xml:space="preserve"> </w:t>
      </w:r>
      <w:r w:rsidR="00CB365A">
        <w:t xml:space="preserve">  Described as “miserably scanty” in Llanelli in 1850</w:t>
      </w:r>
      <w:r w:rsidR="00CB365A">
        <w:rPr>
          <w:rStyle w:val="FootnoteReference"/>
        </w:rPr>
        <w:footnoteReference w:id="17"/>
      </w:r>
      <w:r w:rsidR="00CB365A">
        <w:t xml:space="preserve"> it was still “wholly insufficient” there in 1866 and not until 1870 was it described, albeit by its own </w:t>
      </w:r>
      <w:proofErr w:type="spellStart"/>
      <w:r w:rsidR="00CB365A">
        <w:t>MoH</w:t>
      </w:r>
      <w:proofErr w:type="spellEnd"/>
      <w:r w:rsidR="00CB365A">
        <w:t>, as “abundant.”</w:t>
      </w:r>
      <w:r w:rsidR="00CB365A">
        <w:rPr>
          <w:rStyle w:val="FootnoteReference"/>
        </w:rPr>
        <w:footnoteReference w:id="18"/>
      </w:r>
      <w:r w:rsidR="00CB365A">
        <w:t xml:space="preserve">   </w:t>
      </w:r>
      <w:r w:rsidR="00CB365A" w:rsidRPr="007C04C8">
        <w:t xml:space="preserve">It was 1893 before the Llanelli </w:t>
      </w:r>
      <w:proofErr w:type="spellStart"/>
      <w:r w:rsidR="00CB365A" w:rsidRPr="007C04C8">
        <w:t>MoH</w:t>
      </w:r>
      <w:proofErr w:type="spellEnd"/>
      <w:r w:rsidR="00CB365A" w:rsidRPr="007C04C8">
        <w:t xml:space="preserve"> was confident to claim that the water tested in its reservoirs was “very fair quality for domestic uses”. </w:t>
      </w:r>
      <w:r w:rsidR="00CB365A" w:rsidRPr="007C04C8">
        <w:rPr>
          <w:rStyle w:val="FootnoteReference"/>
        </w:rPr>
        <w:footnoteReference w:id="19"/>
      </w:r>
      <w:r w:rsidR="00CB365A" w:rsidRPr="007C04C8">
        <w:t xml:space="preserve">  </w:t>
      </w:r>
      <w:r w:rsidR="00CB365A">
        <w:t xml:space="preserve">  Industrial towns such as Llanelli and Merthyr Tydfil were early investors in new reservoirs</w:t>
      </w:r>
      <w:r w:rsidR="00E24BDC">
        <w:t>,</w:t>
      </w:r>
      <w:r w:rsidR="00CB365A">
        <w:t xml:space="preserve"> although, ironically, not due to any great concern for their inhabitants. Rather the industrialists, with their deep pockets, needed water as a source of power.  In </w:t>
      </w:r>
      <w:r w:rsidR="00E24BDC">
        <w:t xml:space="preserve">fact in </w:t>
      </w:r>
      <w:r w:rsidR="00CB365A">
        <w:t xml:space="preserve">Merthyr the water from the </w:t>
      </w:r>
      <w:proofErr w:type="spellStart"/>
      <w:r w:rsidR="00CB365A">
        <w:t>Taf</w:t>
      </w:r>
      <w:proofErr w:type="spellEnd"/>
      <w:r w:rsidR="00CB365A">
        <w:t xml:space="preserve"> was diverted to the ironworks leaving little for its inhabitants with massive sanitary consequences.  On a trip to the town in 1853 Dr Holland of the General Board of Health observed:</w:t>
      </w:r>
    </w:p>
    <w:p w:rsidR="00CB365A" w:rsidRDefault="00CB365A" w:rsidP="00CB365A">
      <w:pPr>
        <w:spacing w:line="360" w:lineRule="auto"/>
        <w:ind w:left="850" w:right="680"/>
        <w:jc w:val="both"/>
      </w:pPr>
      <w:r>
        <w:t xml:space="preserve">“I saw a young woman filling her pitcher from a little stream of water ... in which I saw intestinal </w:t>
      </w:r>
      <w:proofErr w:type="gramStart"/>
      <w:r>
        <w:t>worms ..</w:t>
      </w:r>
      <w:proofErr w:type="gramEnd"/>
      <w:r>
        <w:t xml:space="preserve"> </w:t>
      </w:r>
      <w:proofErr w:type="gramStart"/>
      <w:r>
        <w:t>and</w:t>
      </w:r>
      <w:proofErr w:type="gramEnd"/>
      <w:r>
        <w:t xml:space="preserve"> the rain ... was washing the feculent matter into  the water the girl was filling into her pitcher, no doubt for domestic use.”</w:t>
      </w:r>
      <w:r>
        <w:rPr>
          <w:rStyle w:val="FootnoteReference"/>
        </w:rPr>
        <w:footnoteReference w:id="20"/>
      </w:r>
      <w:r>
        <w:t xml:space="preserve"> </w:t>
      </w:r>
    </w:p>
    <w:p w:rsidR="001E6122" w:rsidRDefault="00CA758F" w:rsidP="001E6122">
      <w:pPr>
        <w:spacing w:line="360" w:lineRule="auto"/>
        <w:ind w:firstLine="720"/>
        <w:jc w:val="both"/>
      </w:pPr>
      <w:r>
        <w:t>Ineffective d</w:t>
      </w:r>
      <w:r w:rsidR="009D276F">
        <w:t>rain</w:t>
      </w:r>
      <w:r>
        <w:t xml:space="preserve">s </w:t>
      </w:r>
      <w:r w:rsidR="009D276F">
        <w:t xml:space="preserve">and sewers </w:t>
      </w:r>
      <w:r>
        <w:t>polluted the subsoil and added to the general state of filth that prevailed in Britain’s towns</w:t>
      </w:r>
      <w:r w:rsidR="001E6122">
        <w:t xml:space="preserve">.  In the absence of connection with the sewerage systems, scavengers were relied on to dispose of excrement, both human and animal, an unpleasant subject but one which </w:t>
      </w:r>
      <w:proofErr w:type="spellStart"/>
      <w:r w:rsidR="001E6122">
        <w:t>Wohl</w:t>
      </w:r>
      <w:proofErr w:type="spellEnd"/>
      <w:r w:rsidR="001E6122">
        <w:t xml:space="preserve"> believes deserves far greater historical attention.</w:t>
      </w:r>
      <w:r w:rsidR="001E6122">
        <w:rPr>
          <w:rStyle w:val="FootnoteReference"/>
        </w:rPr>
        <w:footnoteReference w:id="21"/>
      </w:r>
      <w:r w:rsidR="001E6122">
        <w:t xml:space="preserve"> G.T. Clark was typical of many Victorian reformers in believing that the commercial recycling of sewage as manure offered opportunity for considerable revenue” an approach he was almost evangelical in recommending to Carmarthen.</w:t>
      </w:r>
      <w:r w:rsidR="001E6122">
        <w:rPr>
          <w:rStyle w:val="FootnoteReference"/>
        </w:rPr>
        <w:footnoteReference w:id="22"/>
      </w:r>
      <w:r w:rsidR="001E6122">
        <w:t xml:space="preserve"> But haphazard storage brought its own problems as he discovered in Llanelli where recent immigrants continued their country tradition of using excrement to fertilise their pathetic small potato patches. </w:t>
      </w:r>
      <w:r w:rsidR="001E6122">
        <w:rPr>
          <w:rStyle w:val="FootnoteReference"/>
        </w:rPr>
        <w:footnoteReference w:id="23"/>
      </w:r>
      <w:r w:rsidR="001E6122">
        <w:t xml:space="preserve">  The issue of privies was a toxic one, figuratively and literally.  Human excrement could be disposed of in one of a number of ways</w:t>
      </w:r>
      <w:r w:rsidR="00E24BDC">
        <w:t xml:space="preserve"> and, </w:t>
      </w:r>
      <w:r w:rsidR="001E6122">
        <w:t>at its wors</w:t>
      </w:r>
      <w:r w:rsidR="00E24BDC">
        <w:t xml:space="preserve">t, </w:t>
      </w:r>
      <w:r w:rsidR="001E6122">
        <w:t xml:space="preserve">could simply be </w:t>
      </w:r>
      <w:r w:rsidR="001E6122">
        <w:lastRenderedPageBreak/>
        <w:t>deposited in the street as  Rammel’s report on Merthyr illustrates: “streets covered up to eighteen inches deep in a mix of ash and excrement ... children voided themselves in open chairs in the street”.</w:t>
      </w:r>
      <w:r w:rsidR="001E6122">
        <w:rPr>
          <w:rStyle w:val="FootnoteReference"/>
        </w:rPr>
        <w:footnoteReference w:id="24"/>
      </w:r>
      <w:r w:rsidR="001E6122">
        <w:t xml:space="preserve">    Privies, which were usually communal, emptied into cesspits which drained into the soil or ash pits which were emptied by scavengers.   It was only towards the end of the century that they were connected to the main sewers and water closets began to be introduced into domestic dwellings.  Things were just as bad in rural areas.  </w:t>
      </w:r>
      <w:proofErr w:type="spellStart"/>
      <w:r w:rsidR="001E6122">
        <w:t>Llanybydder’s</w:t>
      </w:r>
      <w:proofErr w:type="spellEnd"/>
      <w:r w:rsidR="001E6122">
        <w:t xml:space="preserve"> waste disposal was described as “sadly defective, pails emptied and collected at night by ‘y cart </w:t>
      </w:r>
      <w:proofErr w:type="spellStart"/>
      <w:r w:rsidR="001E6122">
        <w:t>cachu</w:t>
      </w:r>
      <w:proofErr w:type="spellEnd"/>
      <w:r w:rsidR="001E6122">
        <w:t>’ ... dripped and germs of disease escaped into the air that we breathe”</w:t>
      </w:r>
      <w:r w:rsidR="001E6122">
        <w:rPr>
          <w:rStyle w:val="FootnoteReference"/>
        </w:rPr>
        <w:footnoteReference w:id="25"/>
      </w:r>
    </w:p>
    <w:p w:rsidR="00CA758F" w:rsidRDefault="00CA758F" w:rsidP="00CA758F">
      <w:pPr>
        <w:spacing w:line="360" w:lineRule="auto"/>
        <w:ind w:firstLine="720"/>
        <w:jc w:val="both"/>
      </w:pPr>
      <w:r>
        <w:t xml:space="preserve">A source of continual irritation to people of the nineteenth century were the numerous ‘nuisances’ which abounded on their doorstep ranging from dung heaps to overflowing cesspits.  As people moved into the towns from the countryside they had brought their traditions with them and, </w:t>
      </w:r>
      <w:proofErr w:type="spellStart"/>
      <w:r>
        <w:t>Wohl</w:t>
      </w:r>
      <w:proofErr w:type="spellEnd"/>
      <w:r>
        <w:t xml:space="preserve"> observes: “what was time honoured practice in the countryside  ... became dangerous on health ... in the densely packed towns.”</w:t>
      </w:r>
      <w:r>
        <w:rPr>
          <w:rStyle w:val="FootnoteReference"/>
        </w:rPr>
        <w:footnoteReference w:id="26"/>
      </w:r>
      <w:r>
        <w:t xml:space="preserve">  Dung heaps and pigstyes within overcrowded residential areas featured largely in the list of nuisances.  Despite progress in public sanitation surface foulness remained a problem in Llanelli in 1866 “due to storage of human and porcine ordure and the vast numbers of pigstyes”. </w:t>
      </w:r>
      <w:r>
        <w:rPr>
          <w:rStyle w:val="FootnoteReference"/>
        </w:rPr>
        <w:footnoteReference w:id="27"/>
      </w:r>
      <w:r>
        <w:t xml:space="preserve"> In Carmarthen George Children was ordered to clean out his </w:t>
      </w:r>
      <w:proofErr w:type="spellStart"/>
      <w:r>
        <w:t>pigstyes</w:t>
      </w:r>
      <w:proofErr w:type="spellEnd"/>
      <w:r>
        <w:t xml:space="preserve"> and </w:t>
      </w:r>
      <w:proofErr w:type="spellStart"/>
      <w:r>
        <w:t>limewash</w:t>
      </w:r>
      <w:proofErr w:type="spellEnd"/>
      <w:r>
        <w:t xml:space="preserve"> them and “not to keep decayed fish and offal as pig food in the densely populated area of </w:t>
      </w:r>
      <w:proofErr w:type="spellStart"/>
      <w:r>
        <w:t>Kidwelly</w:t>
      </w:r>
      <w:proofErr w:type="spellEnd"/>
      <w:r>
        <w:t xml:space="preserve"> </w:t>
      </w:r>
      <w:proofErr w:type="spellStart"/>
      <w:r>
        <w:t>Fach</w:t>
      </w:r>
      <w:proofErr w:type="spellEnd"/>
      <w:r>
        <w:t>”.</w:t>
      </w:r>
      <w:r>
        <w:rPr>
          <w:rStyle w:val="FootnoteReference"/>
        </w:rPr>
        <w:footnoteReference w:id="28"/>
      </w:r>
      <w:r>
        <w:t xml:space="preserve">  Eventually local byelaws were passed such as one in Llanelli in 1897 which stated that “no pig shall be kept within 100 feet of any dwelling house”</w:t>
      </w:r>
      <w:r>
        <w:rPr>
          <w:rStyle w:val="FootnoteReference"/>
        </w:rPr>
        <w:footnoteReference w:id="29"/>
      </w:r>
    </w:p>
    <w:p w:rsidR="00557F57" w:rsidRDefault="00CA758F" w:rsidP="00557F57">
      <w:pPr>
        <w:spacing w:line="360" w:lineRule="auto"/>
        <w:ind w:firstLine="720"/>
        <w:jc w:val="both"/>
      </w:pPr>
      <w:r>
        <w:t>The filth and squalor was naturally worse in the centres of towns, the slum areas, but the people who lived there were in no position to challenge the status quo and although the situation vexed the sensibilities of the middle and upper classes they were not sufficiently affected to warrant the heavy investment necessary to remedy the situation.  The great driver of change was to be the first Cholera epidemic which hit Britain in 1832.  Its effects were devastating and over 400 people died in Wales alone.  Its legacy was to highlight the need for sanitary reform and trigger the investigations of the decade 1834-1844</w:t>
      </w:r>
      <w:r>
        <w:rPr>
          <w:rStyle w:val="FootnoteReference"/>
        </w:rPr>
        <w:footnoteReference w:id="30"/>
      </w:r>
      <w:r>
        <w:t xml:space="preserve">, the most influential of which was Edwin Chadwick’s report </w:t>
      </w:r>
      <w:r>
        <w:lastRenderedPageBreak/>
        <w:t>of 1842.</w:t>
      </w:r>
      <w:r>
        <w:rPr>
          <w:rStyle w:val="FootnoteReference"/>
        </w:rPr>
        <w:footnoteReference w:id="31"/>
      </w:r>
      <w:r>
        <w:t xml:space="preserve">  He highlighted the correlation between the physical environment and life expectancy and argued that ill-health and premature death cost society which then had to maintain the widows and orphans.</w:t>
      </w:r>
      <w:r>
        <w:rPr>
          <w:rStyle w:val="FootnoteReference"/>
        </w:rPr>
        <w:footnoteReference w:id="32"/>
      </w:r>
      <w:r>
        <w:t xml:space="preserve">   Unfortunately an inherent suspicion of Chadwick’s centralism and reluctance on the parts of ratepayers to spend money meant little progress was made in the years immediately following the report.</w:t>
      </w:r>
      <w:r w:rsidR="00557F57">
        <w:t xml:space="preserve">  However, the gradual accumulation of public health enquiries and reports, together with the availability of statistics into numbers and causes of death produced after 1837 by the Registrar General had strengthened the clamour for sanitary improvement. </w:t>
      </w:r>
      <w:r w:rsidR="00557F57" w:rsidRPr="00FD2E07">
        <w:t>In 1848 Parliament passed the Public Health Act</w:t>
      </w:r>
      <w:r w:rsidR="00557F57" w:rsidRPr="00FD2E07">
        <w:rPr>
          <w:rStyle w:val="FootnoteReference"/>
        </w:rPr>
        <w:footnoteReference w:id="33"/>
      </w:r>
      <w:r w:rsidR="00557F57">
        <w:t xml:space="preserve"> which allowed for the establishment of Local Health Boards and gave them </w:t>
      </w:r>
      <w:r w:rsidR="00557F57" w:rsidRPr="00FD2E07">
        <w:t>powers to control sewers, clean the streets</w:t>
      </w:r>
      <w:r w:rsidR="00557F57" w:rsidRPr="00557F57">
        <w:t xml:space="preserve">, </w:t>
      </w:r>
      <w:r w:rsidR="00557F57">
        <w:t xml:space="preserve">regulate slaughterhouses and common lodging houses, </w:t>
      </w:r>
      <w:r w:rsidR="00557F57" w:rsidRPr="00FD2E07">
        <w:t>and ensure the proper supply of water to their districts</w:t>
      </w:r>
      <w:r w:rsidR="00557F57">
        <w:t xml:space="preserve">.  However, it was a permissive Act and only applied where the town had a death rate over 23 per thousand of population or where 10 per cent of its ratepayers petitioned in favour but it did allow authorities to appoint Medical Officers of Health without recourse to Parliament.  </w:t>
      </w:r>
    </w:p>
    <w:p w:rsidR="00557F57" w:rsidRDefault="00557F57" w:rsidP="00557F57">
      <w:pPr>
        <w:spacing w:line="360" w:lineRule="auto"/>
        <w:ind w:firstLine="720"/>
        <w:jc w:val="both"/>
      </w:pPr>
      <w:r>
        <w:t xml:space="preserve">A team of temporary inspectors, including G.T. Clark in West Wales, were dispatched and, unsurprisingly, they all reached the same conclusion: drains, sewers and clean water were necessary. </w:t>
      </w:r>
      <w:r>
        <w:rPr>
          <w:rStyle w:val="FootnoteReference"/>
        </w:rPr>
        <w:footnoteReference w:id="34"/>
      </w:r>
      <w:r>
        <w:t xml:space="preserve">    Their reports were universally peppered with grim and sensational examples of urban poverty and disease.  Visiting Llanelli in 1949 Clark concluded that Llanelli was “deficient in almost everything that is usually considered necessary for the good government of town and the health and comfort of its inhabitants” and recommended the Public Health Act be applied forthwith. </w:t>
      </w:r>
      <w:r>
        <w:rPr>
          <w:rStyle w:val="FootnoteReference"/>
        </w:rPr>
        <w:footnoteReference w:id="35"/>
      </w:r>
      <w:r>
        <w:t xml:space="preserve">   In Carmarthen during the same year Clark was particularly horrified by the conditions in the public slaughter house above which was a school for 100 children. He had no hesitation in recommending the Public Health Act be applied “with as little delay as possible” and recommended that “these evils may be wholly remedied by a constant supply of soft filtered water ... and a complete system of main and house drainage.”</w:t>
      </w:r>
      <w:r>
        <w:rPr>
          <w:rStyle w:val="FootnoteReference"/>
        </w:rPr>
        <w:footnoteReference w:id="36"/>
      </w:r>
      <w:r>
        <w:t xml:space="preserve">    Matters were much the same in Tenby (1850), </w:t>
      </w:r>
      <w:proofErr w:type="spellStart"/>
      <w:r>
        <w:t>Llangadock</w:t>
      </w:r>
      <w:proofErr w:type="spellEnd"/>
      <w:r>
        <w:t xml:space="preserve"> (1851) and </w:t>
      </w:r>
      <w:proofErr w:type="spellStart"/>
      <w:r>
        <w:t>Llandeilo</w:t>
      </w:r>
      <w:proofErr w:type="spellEnd"/>
      <w:r>
        <w:t xml:space="preserve"> (1850).    Investment on the scale required to have any significant impact on the overall situation was considerable and towns who had been clamouring for improvements in sanitary reform before the inspectors’ visits often became muted once the cost became known which meant it was some time before actual progress was made.  This was certainly the case in Carmarthen where it wasn’t easy to ‘modernise’ the sanitation of an old and, in parts, densely populated area governed by a parsimonious Town Council.  Plans to update drainage and sewerage in the town first got </w:t>
      </w:r>
      <w:r>
        <w:lastRenderedPageBreak/>
        <w:t>bogged down in discussions about cost, and then the compromise solution to join the old existing drains to a new system was turned down by the General Board of Health.  Eventually the works were carried out between 1855 and 1857 but, as Heather James points out: “for the next two decades there was little fresh action.”</w:t>
      </w:r>
      <w:r>
        <w:rPr>
          <w:rStyle w:val="FootnoteReference"/>
        </w:rPr>
        <w:footnoteReference w:id="37"/>
      </w:r>
      <w:r>
        <w:t xml:space="preserve">  This helps to explain why Carmarthen’s mortality rate exceeded the national average</w:t>
      </w:r>
      <w:r>
        <w:rPr>
          <w:rStyle w:val="FootnoteReference"/>
        </w:rPr>
        <w:footnoteReference w:id="38"/>
      </w:r>
      <w:r>
        <w:t xml:space="preserve">    </w:t>
      </w:r>
    </w:p>
    <w:p w:rsidR="00557F57" w:rsidRDefault="00557F57" w:rsidP="00557F57">
      <w:pPr>
        <w:spacing w:line="360" w:lineRule="auto"/>
        <w:ind w:firstLine="720"/>
        <w:jc w:val="both"/>
      </w:pPr>
      <w:r>
        <w:t>The citizens of Llanelli were possibly more disposed to bit</w:t>
      </w:r>
      <w:r w:rsidR="00DE3669">
        <w:t>e</w:t>
      </w:r>
      <w:r>
        <w:t xml:space="preserve"> the bullet and possibly had less sanitation legacy to deal with enabling them to make more progress</w:t>
      </w:r>
      <w:proofErr w:type="gramStart"/>
      <w:r>
        <w:t>,  Nevertheless</w:t>
      </w:r>
      <w:proofErr w:type="gramEnd"/>
      <w:r>
        <w:t xml:space="preserve"> progress was initially slow, a second report in 1866 showed that a new main drainage system had been “to some extent carried out ... and put into operation the previous year”</w:t>
      </w:r>
      <w:r>
        <w:rPr>
          <w:rStyle w:val="FootnoteReference"/>
        </w:rPr>
        <w:footnoteReference w:id="39"/>
      </w:r>
      <w:r>
        <w:t xml:space="preserve">  reflecting slow progress over the first fifteen years that was typical of many towns in England and Wales.  However, by 1870 things had improved and in the next decade 23,000 yards of sewer laid, two reservoirs built</w:t>
      </w:r>
      <w:r w:rsidR="00DE3669">
        <w:t>,</w:t>
      </w:r>
      <w:r>
        <w:t xml:space="preserve"> and</w:t>
      </w:r>
      <w:r w:rsidR="00DE3669">
        <w:t>,</w:t>
      </w:r>
      <w:r>
        <w:t xml:space="preserve"> in </w:t>
      </w:r>
      <w:proofErr w:type="gramStart"/>
      <w:r>
        <w:t xml:space="preserve">1887  </w:t>
      </w:r>
      <w:r w:rsidRPr="00D6012E">
        <w:t>Sydney</w:t>
      </w:r>
      <w:proofErr w:type="gramEnd"/>
      <w:r w:rsidRPr="00D6012E">
        <w:t xml:space="preserve"> J Roderick, </w:t>
      </w:r>
      <w:r>
        <w:t>Llanelli’s Medical Officer of Health</w:t>
      </w:r>
      <w:r w:rsidRPr="00D6012E">
        <w:t xml:space="preserve">, </w:t>
      </w:r>
      <w:r>
        <w:t>also reported progress being made with “old cottages with thatched roofs are practically extinct, and houses having earthen floors and small windows admitting little light and no air are few in number and receiving attention yearly</w:t>
      </w:r>
      <w:r w:rsidR="00DE3669">
        <w:t>”</w:t>
      </w:r>
      <w:r>
        <w:t xml:space="preserve">. </w:t>
      </w:r>
      <w:r>
        <w:rPr>
          <w:rStyle w:val="FootnoteReference"/>
        </w:rPr>
        <w:footnoteReference w:id="40"/>
      </w:r>
      <w:r>
        <w:t xml:space="preserve">  By 1897 he was more ebullient: “The representatives and inhabitants of </w:t>
      </w:r>
      <w:proofErr w:type="spellStart"/>
      <w:r>
        <w:t>Llanelly</w:t>
      </w:r>
      <w:proofErr w:type="spellEnd"/>
      <w:r>
        <w:t xml:space="preserve"> aroused themselves from a state of apathy as regards their well-being and endeavoured to make use of the powers vested n them by the Local Government Act of 1850.”  It is always worth bearing in mind that Roderick’s reports are likely to have been influenced by the views of his political masters and others were not so positive of the progress being made, especially in the area of housing.  The South Wales Sentinel, in an expose on the slums of Llanelli in 1911, wrote:  “We never saw anything like the awful evil-stinking and devitalising conditions of </w:t>
      </w:r>
      <w:proofErr w:type="spellStart"/>
      <w:r>
        <w:t>Llanelly’s</w:t>
      </w:r>
      <w:proofErr w:type="spellEnd"/>
      <w:r>
        <w:t xml:space="preserve"> little ‘hell-holes’</w:t>
      </w:r>
      <w:r w:rsidR="00DE3669">
        <w:t>”</w:t>
      </w:r>
      <w:r>
        <w:t>.</w:t>
      </w:r>
      <w:r>
        <w:rPr>
          <w:rStyle w:val="FootnoteReference"/>
        </w:rPr>
        <w:footnoteReference w:id="41"/>
      </w:r>
      <w:r>
        <w:t xml:space="preserve">  </w:t>
      </w:r>
    </w:p>
    <w:p w:rsidR="00557F57" w:rsidRDefault="00557F57" w:rsidP="00557F57">
      <w:pPr>
        <w:spacing w:line="360" w:lineRule="auto"/>
        <w:ind w:firstLine="720"/>
        <w:jc w:val="both"/>
      </w:pPr>
      <w:r w:rsidRPr="00557F57">
        <w:t xml:space="preserve">Looking back from the twenty first century a mortality rate of 22 per thousand of population seems horrifically high and an infant mortality rate which saw more than one in ten babies dying before their first birthday is scarcely comprehensible and yet that was the reality for much of the nineteenth </w:t>
      </w:r>
      <w:r>
        <w:t>century in Britain</w:t>
      </w:r>
      <w:r w:rsidRPr="00557F57">
        <w:rPr>
          <w:rStyle w:val="FootnoteReference"/>
        </w:rPr>
        <w:footnoteReference w:id="42"/>
      </w:r>
      <w:r w:rsidRPr="00557F57">
        <w:t xml:space="preserve">.  Improved sanitation and hygiene, clean water, the introduction of food standards, medical advances especially vaccinations, improved living standards and education all played their part in reducing mortality.  What is less clear is the degree to which mortality in the nineteenth century was higher than previous times as reliable statistics are not available prior to the registration of deaths in 1837 and even then early data has to be treated with caution as many </w:t>
      </w:r>
      <w:r w:rsidRPr="00557F57">
        <w:lastRenderedPageBreak/>
        <w:t>people, particularly in rural areas simply didn’t comply, and illegitimate and stillbirths were routinely discounted.  Nevertheless examination of the Registrar General’s reports does provide us with clear trends which are best examined in decennial averages</w:t>
      </w:r>
      <w:r w:rsidR="00DE3669">
        <w:t>, as seen in Figure 3</w:t>
      </w:r>
      <w:proofErr w:type="gramStart"/>
      <w:r w:rsidR="00DE3669">
        <w:t>.</w:t>
      </w:r>
      <w:r w:rsidRPr="00557F57">
        <w:t>.</w:t>
      </w:r>
      <w:proofErr w:type="gramEnd"/>
      <w:r w:rsidRPr="00557F57">
        <w:t xml:space="preserve">  </w:t>
      </w:r>
    </w:p>
    <w:p w:rsidR="00557F57" w:rsidRPr="00557F57" w:rsidRDefault="004235FA" w:rsidP="00557F57">
      <w:pPr>
        <w:spacing w:line="360" w:lineRule="auto"/>
        <w:ind w:firstLine="720"/>
        <w:jc w:val="both"/>
      </w:pPr>
      <w:r>
        <w:rPr>
          <w:noProof/>
          <w:lang w:eastAsia="en-GB"/>
        </w:rPr>
        <w:pict>
          <v:shape id="_x0000_s1026" type="#_x0000_t202" style="position:absolute;left:0;text-align:left;margin-left:36pt;margin-top:178.45pt;width:372.55pt;height:40.15pt;z-index:251662336" stroked="f">
            <v:textbox>
              <w:txbxContent>
                <w:p w:rsidR="001E6122" w:rsidRPr="00557F57" w:rsidRDefault="001E6122" w:rsidP="00557F57">
                  <w:pPr>
                    <w:pStyle w:val="Caption"/>
                    <w:ind w:left="850" w:right="737"/>
                    <w:jc w:val="both"/>
                    <w:rPr>
                      <w:b w:val="0"/>
                      <w:noProof/>
                      <w:color w:val="auto"/>
                    </w:rPr>
                  </w:pPr>
                  <w:proofErr w:type="gramStart"/>
                  <w:r w:rsidRPr="00557F57">
                    <w:rPr>
                      <w:b w:val="0"/>
                      <w:color w:val="auto"/>
                    </w:rPr>
                    <w:t xml:space="preserve">Figure </w:t>
                  </w:r>
                  <w:r w:rsidR="00135F6D" w:rsidRPr="00557F57">
                    <w:rPr>
                      <w:b w:val="0"/>
                      <w:color w:val="auto"/>
                    </w:rPr>
                    <w:fldChar w:fldCharType="begin"/>
                  </w:r>
                  <w:r w:rsidRPr="00557F57">
                    <w:rPr>
                      <w:b w:val="0"/>
                      <w:color w:val="auto"/>
                    </w:rPr>
                    <w:instrText xml:space="preserve"> SEQ Figure \* ARABIC </w:instrText>
                  </w:r>
                  <w:r w:rsidR="00135F6D" w:rsidRPr="00557F57">
                    <w:rPr>
                      <w:b w:val="0"/>
                      <w:color w:val="auto"/>
                    </w:rPr>
                    <w:fldChar w:fldCharType="separate"/>
                  </w:r>
                  <w:r w:rsidR="00E24BDC">
                    <w:rPr>
                      <w:b w:val="0"/>
                      <w:noProof/>
                      <w:color w:val="auto"/>
                    </w:rPr>
                    <w:t>3</w:t>
                  </w:r>
                  <w:r w:rsidR="00135F6D" w:rsidRPr="00557F57">
                    <w:rPr>
                      <w:b w:val="0"/>
                      <w:color w:val="auto"/>
                    </w:rPr>
                    <w:fldChar w:fldCharType="end"/>
                  </w:r>
                  <w:r w:rsidRPr="00557F57">
                    <w:rPr>
                      <w:b w:val="0"/>
                      <w:color w:val="auto"/>
                    </w:rPr>
                    <w:t>.</w:t>
                  </w:r>
                  <w:proofErr w:type="gramEnd"/>
                  <w:r w:rsidRPr="00557F57">
                    <w:rPr>
                      <w:b w:val="0"/>
                      <w:color w:val="auto"/>
                    </w:rPr>
                    <w:t xml:space="preserve">   Source: [1895] Supplement to the 55th Annual report of the registrar general of births, deaths and marriages in England.  Chart in Appendix A.</w:t>
                  </w:r>
                </w:p>
                <w:p w:rsidR="001E6122" w:rsidRDefault="001E6122"/>
              </w:txbxContent>
            </v:textbox>
          </v:shape>
        </w:pict>
      </w:r>
      <w:r w:rsidR="00557F57" w:rsidRPr="00557F57">
        <w:rPr>
          <w:noProof/>
          <w:lang w:val="en-US"/>
        </w:rPr>
        <w:drawing>
          <wp:inline distT="0" distB="0" distL="0" distR="0">
            <wp:extent cx="4676775" cy="2257425"/>
            <wp:effectExtent l="19050" t="0" r="9525" b="0"/>
            <wp:docPr id="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557F57" w:rsidRDefault="00557F57" w:rsidP="00557F57">
      <w:pPr>
        <w:spacing w:line="360" w:lineRule="auto"/>
        <w:ind w:firstLine="720"/>
        <w:jc w:val="both"/>
      </w:pPr>
    </w:p>
    <w:p w:rsidR="00557F57" w:rsidRDefault="00557F57" w:rsidP="00557F57">
      <w:pPr>
        <w:spacing w:line="360" w:lineRule="auto"/>
        <w:ind w:firstLine="720"/>
        <w:jc w:val="both"/>
      </w:pPr>
    </w:p>
    <w:p w:rsidR="008A6F39" w:rsidRDefault="008A6F39" w:rsidP="008A6F39">
      <w:pPr>
        <w:spacing w:line="360" w:lineRule="auto"/>
        <w:ind w:firstLine="720"/>
        <w:jc w:val="both"/>
      </w:pPr>
      <w:r w:rsidRPr="008A6F39">
        <w:t xml:space="preserve">The statistics show that adult deaths per thousand of population remained consistent </w:t>
      </w:r>
      <w:r>
        <w:t xml:space="preserve">across England and Wales </w:t>
      </w:r>
      <w:r w:rsidRPr="008A6F39">
        <w:t>between 1851 and 1880, despite increasing population, mortality declined slightly in the decade 1881-1890 and gained momentum thereafter</w:t>
      </w:r>
      <w:r>
        <w:t xml:space="preserve"> and that trend lines of Wales, Llanelli, Carmarthen and rural </w:t>
      </w:r>
      <w:proofErr w:type="spellStart"/>
      <w:r>
        <w:t>Llandeilo</w:t>
      </w:r>
      <w:proofErr w:type="spellEnd"/>
      <w:r>
        <w:t xml:space="preserve"> </w:t>
      </w:r>
      <w:proofErr w:type="spellStart"/>
      <w:r>
        <w:t>Fawr</w:t>
      </w:r>
      <w:proofErr w:type="spellEnd"/>
      <w:r>
        <w:t xml:space="preserve"> are broadly similar.</w:t>
      </w:r>
      <w:r w:rsidRPr="008A6F39">
        <w:t xml:space="preserve"> Th</w:t>
      </w:r>
      <w:r>
        <w:t xml:space="preserve">is could be taken to suggest that </w:t>
      </w:r>
      <w:r w:rsidRPr="008A6F39">
        <w:t xml:space="preserve">the causes of high mortality and its eventual decline </w:t>
      </w:r>
      <w:r w:rsidR="00DE3669">
        <w:t xml:space="preserve">were </w:t>
      </w:r>
      <w:r w:rsidRPr="008A6F39">
        <w:t xml:space="preserve">common across the whole country the only difference being a matter of degree. However, Woods, Walters and Woodward caution against such an approach warning that the concentration of population into relatively few large towns and cities meant that a statistical shift </w:t>
      </w:r>
      <w:r w:rsidR="00DE3669">
        <w:t xml:space="preserve">in these </w:t>
      </w:r>
      <w:r w:rsidRPr="008A6F39">
        <w:t xml:space="preserve">could </w:t>
      </w:r>
      <w:r w:rsidR="00DE3669">
        <w:t xml:space="preserve">disproportionately </w:t>
      </w:r>
      <w:r w:rsidRPr="008A6F39">
        <w:t>affect national statistics and therefore disguise huge differences at local level.</w:t>
      </w:r>
      <w:r w:rsidRPr="008A6F39">
        <w:rPr>
          <w:rStyle w:val="FootnoteReference"/>
        </w:rPr>
        <w:footnoteReference w:id="43"/>
      </w:r>
      <w:r w:rsidRPr="008A6F39">
        <w:t xml:space="preserve"> </w:t>
      </w:r>
      <w:r>
        <w:t xml:space="preserve">  Interestingly</w:t>
      </w:r>
      <w:r w:rsidR="00DE3669">
        <w:t>,</w:t>
      </w:r>
      <w:r>
        <w:t xml:space="preserve"> in </w:t>
      </w:r>
      <w:r w:rsidRPr="008A6F39">
        <w:t xml:space="preserve">Llanelli there </w:t>
      </w:r>
      <w:r>
        <w:t xml:space="preserve">is </w:t>
      </w:r>
      <w:r w:rsidRPr="008A6F39">
        <w:t xml:space="preserve">no correlation between growth and high mortality, in fact </w:t>
      </w:r>
      <w:r>
        <w:t xml:space="preserve">the town’s </w:t>
      </w:r>
      <w:r w:rsidRPr="008A6F39">
        <w:t xml:space="preserve">most intensive growth corresponds with </w:t>
      </w:r>
      <w:r>
        <w:t xml:space="preserve">a </w:t>
      </w:r>
      <w:r w:rsidRPr="008A6F39">
        <w:t>decline in mortality</w:t>
      </w:r>
      <w:r w:rsidR="00DE3669">
        <w:t>,</w:t>
      </w:r>
      <w:r w:rsidRPr="008A6F39">
        <w:t xml:space="preserve"> suggesting that by Llanelli’s period of highest growth from 1861 onwards actions were already being taken to ameliorate the impact on sanitation.  For example</w:t>
      </w:r>
      <w:r w:rsidR="00DE3669">
        <w:t>,</w:t>
      </w:r>
      <w:r w:rsidRPr="008A6F39">
        <w:t xml:space="preserve"> whereas in 1850 the town only had 2,530 yards of drains with no bottom and only 530 yards of sewers, by 1870 some 7,000 yards of main sewers had been laid and 1,400 yards of pipe drains.</w:t>
      </w:r>
      <w:r w:rsidRPr="008A6F39">
        <w:rPr>
          <w:rStyle w:val="FootnoteReference"/>
        </w:rPr>
        <w:footnoteReference w:id="44"/>
      </w:r>
      <w:r w:rsidRPr="008A6F39">
        <w:t xml:space="preserve">  It is also worth considering that by the latter part of the century workmen in the industrial towns were better paid than their counterparts</w:t>
      </w:r>
      <w:r w:rsidR="00DE3669">
        <w:t>,</w:t>
      </w:r>
      <w:r w:rsidRPr="008A6F39">
        <w:t xml:space="preserve"> which may have contributed to improved diets. </w:t>
      </w:r>
    </w:p>
    <w:p w:rsidR="008A6F39" w:rsidRDefault="008A6F39" w:rsidP="008A6F39">
      <w:pPr>
        <w:spacing w:line="360" w:lineRule="auto"/>
        <w:ind w:firstLine="720"/>
        <w:jc w:val="both"/>
      </w:pPr>
    </w:p>
    <w:p w:rsidR="008A6F39" w:rsidRDefault="00DE3669" w:rsidP="00DE3669">
      <w:pPr>
        <w:spacing w:line="360" w:lineRule="auto"/>
        <w:ind w:firstLine="720"/>
        <w:jc w:val="both"/>
      </w:pPr>
      <w:r>
        <w:rPr>
          <w:noProof/>
          <w:color w:val="E36C0A" w:themeColor="accent6" w:themeShade="BF"/>
          <w:lang w:val="en-US"/>
        </w:rPr>
        <w:drawing>
          <wp:anchor distT="0" distB="0" distL="114300" distR="114300" simplePos="0" relativeHeight="251664384" behindDoc="0" locked="0" layoutInCell="1" allowOverlap="1">
            <wp:simplePos x="0" y="0"/>
            <wp:positionH relativeFrom="column">
              <wp:posOffset>2953385</wp:posOffset>
            </wp:positionH>
            <wp:positionV relativeFrom="paragraph">
              <wp:posOffset>573405</wp:posOffset>
            </wp:positionV>
            <wp:extent cx="2940685" cy="2349500"/>
            <wp:effectExtent l="19050" t="0" r="12065" b="0"/>
            <wp:wrapSquare wrapText="bothSides"/>
            <wp:docPr id="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rsidR="004235FA">
        <w:rPr>
          <w:noProof/>
          <w:color w:val="E36C0A" w:themeColor="accent6" w:themeShade="BF"/>
        </w:rPr>
        <w:pict>
          <v:shape id="_x0000_s1027" type="#_x0000_t202" style="position:absolute;left:0;text-align:left;margin-left:232.9pt;margin-top:232.8pt;width:239.25pt;height:34.2pt;z-index:251658240;mso-position-horizontal-relative:text;mso-position-vertical-relative:text" stroked="f">
            <v:textbox style="mso-next-textbox:#_x0000_s1027" inset="0,0,0,0">
              <w:txbxContent>
                <w:p w:rsidR="001E6122" w:rsidRDefault="001E6122" w:rsidP="008A6F39">
                  <w:pPr>
                    <w:pStyle w:val="Caption"/>
                    <w:jc w:val="both"/>
                  </w:pPr>
                  <w:proofErr w:type="gramStart"/>
                  <w:r>
                    <w:t xml:space="preserve">Figure </w:t>
                  </w:r>
                  <w:r w:rsidR="00135F6D">
                    <w:fldChar w:fldCharType="begin"/>
                  </w:r>
                  <w:r>
                    <w:instrText xml:space="preserve"> SEQ Figure \* ARABIC </w:instrText>
                  </w:r>
                  <w:r w:rsidR="00135F6D">
                    <w:fldChar w:fldCharType="separate"/>
                  </w:r>
                  <w:r w:rsidR="00E24BDC">
                    <w:rPr>
                      <w:noProof/>
                    </w:rPr>
                    <w:t>4</w:t>
                  </w:r>
                  <w:r w:rsidR="00135F6D">
                    <w:fldChar w:fldCharType="end"/>
                  </w:r>
                  <w:r>
                    <w:t>.</w:t>
                  </w:r>
                  <w:proofErr w:type="gramEnd"/>
                  <w:r>
                    <w:t xml:space="preserve">  Source 24</w:t>
                  </w:r>
                  <w:r w:rsidRPr="00306ACD">
                    <w:rPr>
                      <w:vertAlign w:val="superscript"/>
                    </w:rPr>
                    <w:t>th</w:t>
                  </w:r>
                  <w:r>
                    <w:t xml:space="preserve"> Annual Report of the Registrar General of birth, death and marriage in England.  [1863] P. xxvi</w:t>
                  </w:r>
                </w:p>
                <w:p w:rsidR="001E6122" w:rsidRPr="0091035A" w:rsidRDefault="001E6122" w:rsidP="008A6F39">
                  <w:pPr>
                    <w:pStyle w:val="Caption"/>
                    <w:rPr>
                      <w:noProof/>
                    </w:rPr>
                  </w:pPr>
                </w:p>
              </w:txbxContent>
            </v:textbox>
            <w10:wrap type="square"/>
          </v:shape>
        </w:pict>
      </w:r>
      <w:r w:rsidR="008A6F39" w:rsidRPr="008A6F39">
        <w:rPr>
          <w:noProof/>
        </w:rPr>
        <w:t xml:space="preserve">As previously mentioned there was widespread acceptance that </w:t>
      </w:r>
      <w:r w:rsidR="008A6F39" w:rsidRPr="008A6F39">
        <w:t xml:space="preserve">mortality was higher in urban areas than in rural ones and this would appear to be borne out by the </w:t>
      </w:r>
      <w:r w:rsidR="008A6F39" w:rsidRPr="008A6F39">
        <w:rPr>
          <w:noProof/>
        </w:rPr>
        <w:t>data in F</w:t>
      </w:r>
      <w:r w:rsidR="008A6F39" w:rsidRPr="008A6F39">
        <w:t xml:space="preserve">igure </w:t>
      </w:r>
      <w:r>
        <w:t>4</w:t>
      </w:r>
      <w:r w:rsidR="008A6F39" w:rsidRPr="008A6F39">
        <w:t xml:space="preserve">. However, we must bear in mind that ‘town’ in this case only refers to </w:t>
      </w:r>
      <w:r>
        <w:t xml:space="preserve">139 districts </w:t>
      </w:r>
      <w:r w:rsidR="008A6F39" w:rsidRPr="008A6F39">
        <w:t>across the whole of England and Wales and applies only to Llanelli and Pembroke in South West Wales</w:t>
      </w:r>
      <w:r w:rsidR="008A6F39">
        <w:rPr>
          <w:color w:val="E36C0A" w:themeColor="accent6" w:themeShade="BF"/>
        </w:rPr>
        <w:t xml:space="preserve">.   </w:t>
      </w:r>
      <w:r w:rsidR="008A6F39" w:rsidRPr="00EF17E4">
        <w:t xml:space="preserve">The theory was that density of population in the new urban areas, which caused overcrowding and commensurate sanitary problems, was responsible for the higher mortality rate.   According to Dr John Hughes, Carmarthen’s Medical Officer of Health, in </w:t>
      </w:r>
      <w:r w:rsidRPr="00EF17E4">
        <w:t xml:space="preserve">1873 </w:t>
      </w:r>
      <w:proofErr w:type="gramStart"/>
      <w:r w:rsidRPr="00EF17E4">
        <w:t>the</w:t>
      </w:r>
      <w:r w:rsidR="008A6F39" w:rsidRPr="00EF17E4">
        <w:t xml:space="preserve">  lifetime</w:t>
      </w:r>
      <w:proofErr w:type="gramEnd"/>
      <w:r w:rsidR="008A6F39" w:rsidRPr="00EF17E4">
        <w:t xml:space="preserve"> of someone living in Carmarthen town was just short of 34 years  compared to an average of 41 years across England and Wales, illustrating the exceptional sanitary problems affecting this ancient town. T</w:t>
      </w:r>
      <w:r>
        <w:t xml:space="preserve">in contrast the </w:t>
      </w:r>
      <w:r w:rsidR="008A6F39" w:rsidRPr="00EF17E4">
        <w:t>rural areas around Carmarthen offered its inhabitants the prospect of living until 39 years.</w:t>
      </w:r>
      <w:r w:rsidR="008A6F39" w:rsidRPr="00EF17E4">
        <w:rPr>
          <w:rStyle w:val="FootnoteReference"/>
        </w:rPr>
        <w:footnoteReference w:id="45"/>
      </w:r>
      <w:r w:rsidR="008A6F39" w:rsidRPr="00EF17E4">
        <w:t xml:space="preserve">  However, as Anthony </w:t>
      </w:r>
      <w:proofErr w:type="spellStart"/>
      <w:r w:rsidR="008A6F39" w:rsidRPr="00EF17E4">
        <w:t>Wohl</w:t>
      </w:r>
      <w:proofErr w:type="spellEnd"/>
      <w:r w:rsidR="008A6F39" w:rsidRPr="00EF17E4">
        <w:t xml:space="preserve"> observed, Dublin, with a population density of only 14.1 per acre had a higher general death rate than Liverpool with over 106 persons per acre.  Highly dense urban areas, he said, were usually areas of great poverty which had significant impact on mortality rates.</w:t>
      </w:r>
      <w:r w:rsidR="008A6F39" w:rsidRPr="00EF17E4">
        <w:rPr>
          <w:rStyle w:val="FootnoteReference"/>
        </w:rPr>
        <w:footnoteReference w:id="46"/>
      </w:r>
      <w:r w:rsidR="008A6F39" w:rsidRPr="00EF17E4">
        <w:t xml:space="preserve"> </w:t>
      </w:r>
    </w:p>
    <w:p w:rsidR="00EF17E4" w:rsidRPr="00EF17E4" w:rsidRDefault="00EF17E4" w:rsidP="00EF17E4">
      <w:pPr>
        <w:spacing w:line="360" w:lineRule="auto"/>
        <w:ind w:firstLine="720"/>
        <w:jc w:val="both"/>
      </w:pPr>
      <w:r w:rsidRPr="00EF17E4">
        <w:t>So what were the main killers?  The annual reports of the Registrar General show that</w:t>
      </w:r>
      <w:r>
        <w:t>,</w:t>
      </w:r>
      <w:r w:rsidRPr="00EF17E4">
        <w:t xml:space="preserve"> excluding localised epidemics in individual years</w:t>
      </w:r>
      <w:r>
        <w:t>,</w:t>
      </w:r>
      <w:r w:rsidRPr="00EF17E4">
        <w:t xml:space="preserve"> the main killers were common throughout England and Wales during the period 1837-1900</w:t>
      </w:r>
      <w:r w:rsidR="00DE3669">
        <w:t xml:space="preserve"> regardless or density of population and the highest cause of mortality was </w:t>
      </w:r>
      <w:r w:rsidRPr="00EF17E4">
        <w:t>Tuberculosis, also known as Phthisis or Consumption</w:t>
      </w:r>
      <w:r w:rsidR="00DE3669">
        <w:t>.  [See data for Wales in Appendix B]</w:t>
      </w:r>
      <w:r w:rsidRPr="00EF17E4">
        <w:rPr>
          <w:rStyle w:val="FootnoteReference"/>
        </w:rPr>
        <w:footnoteReference w:id="47"/>
      </w:r>
      <w:r w:rsidRPr="00EF17E4">
        <w:t xml:space="preserve">.  </w:t>
      </w:r>
      <w:r w:rsidR="00DE3669">
        <w:t xml:space="preserve">For most of the century the most fatal category was Zymotic, consisting </w:t>
      </w:r>
      <w:r w:rsidRPr="00EF17E4">
        <w:t>epidemic, endemic and contagious diseases</w:t>
      </w:r>
      <w:r w:rsidR="00DE3669">
        <w:t>, and whereas these were universal they were at their most lethal in congested towns. Later, with improved sanitation and vaccinations</w:t>
      </w:r>
      <w:r w:rsidR="00E717D5">
        <w:t xml:space="preserve">, we see a change and in 1881 only 11% </w:t>
      </w:r>
      <w:r w:rsidRPr="00EF17E4">
        <w:t xml:space="preserve">of </w:t>
      </w:r>
      <w:r w:rsidR="00E717D5">
        <w:t xml:space="preserve"> </w:t>
      </w:r>
      <w:r w:rsidRPr="00EF17E4">
        <w:t>deaths In Llanelli were Zymotic</w:t>
      </w:r>
      <w:r w:rsidR="00E717D5">
        <w:t xml:space="preserve"> overtaken by respiratory disease</w:t>
      </w:r>
      <w:r w:rsidRPr="00EF17E4">
        <w:t>,</w:t>
      </w:r>
      <w:r w:rsidR="00E717D5">
        <w:t xml:space="preserve"> </w:t>
      </w:r>
      <w:r w:rsidRPr="00EF17E4">
        <w:t xml:space="preserve">perhaps signifying the start of industrially-related disease that were to account for so many deaths in South Wales.  </w:t>
      </w:r>
      <w:proofErr w:type="gramStart"/>
      <w:r w:rsidRPr="00EF17E4">
        <w:t xml:space="preserve">As Russell </w:t>
      </w:r>
      <w:r w:rsidRPr="00EF17E4">
        <w:lastRenderedPageBreak/>
        <w:t>Davies points out: “Llanelli was permeated by the grey billowing smoke and the night and day rattle of its industrial enterprises.”</w:t>
      </w:r>
      <w:proofErr w:type="gramEnd"/>
      <w:r w:rsidRPr="00EF17E4">
        <w:rPr>
          <w:rStyle w:val="FootnoteReference"/>
        </w:rPr>
        <w:footnoteReference w:id="48"/>
      </w:r>
      <w:r w:rsidRPr="00EF17E4">
        <w:t xml:space="preserve">   The industrial landscape and its poisonous by-products such as sulphuric acid, along with the widespread adoption of tobacco smoking from 1850s, would also account for the appearance of cancer as a major cause of death in Wales from 1887 onwards.</w:t>
      </w:r>
    </w:p>
    <w:p w:rsidR="00EF17E4" w:rsidRPr="00EF17E4" w:rsidRDefault="00EF17E4" w:rsidP="00EF17E4">
      <w:pPr>
        <w:spacing w:line="360" w:lineRule="auto"/>
        <w:ind w:firstLine="720"/>
        <w:jc w:val="both"/>
      </w:pPr>
      <w:r w:rsidRPr="00EF17E4">
        <w:t xml:space="preserve">If we study the causes of disease then the links to sanitation soon become apparent. [APPENDIX C]  Like all airborne diseases TB was rife in overcrowded areas but also in damp and dark accommodation where the bacteria thrived.  In 1872 it accounted directly for one in ten deaths in England and Wales overall but 16-17 per cent in Llanelli and Carmarthen and 26 per cent in </w:t>
      </w:r>
      <w:proofErr w:type="spellStart"/>
      <w:r w:rsidRPr="00EF17E4">
        <w:t>Llandeilo</w:t>
      </w:r>
      <w:proofErr w:type="spellEnd"/>
      <w:r w:rsidRPr="00EF17E4">
        <w:t xml:space="preserve"> </w:t>
      </w:r>
      <w:proofErr w:type="spellStart"/>
      <w:r w:rsidRPr="00EF17E4">
        <w:t>Fawr</w:t>
      </w:r>
      <w:proofErr w:type="spellEnd"/>
      <w:r w:rsidRPr="00EF17E4">
        <w:rPr>
          <w:rStyle w:val="FootnoteReference"/>
        </w:rPr>
        <w:footnoteReference w:id="49"/>
      </w:r>
      <w:r w:rsidRPr="00EF17E4">
        <w:t xml:space="preserve">  and as with the other contagious diseases, survival often meant a lifetime of poor health and reduced capacity for work which would impoverish a family thus making it more susceptible to other disease.  As Carmarthen’s Town Council dragged its feet in investing in an effective sewerage system, Dr Hughes pointed to the belief that “wetness of soil is a cause of Phthisis to a population living on it” to argue for progress.</w:t>
      </w:r>
      <w:r w:rsidRPr="00EF17E4">
        <w:rPr>
          <w:rStyle w:val="FootnoteReference"/>
        </w:rPr>
        <w:footnoteReference w:id="50"/>
      </w:r>
      <w:r w:rsidRPr="00EF17E4">
        <w:t xml:space="preserve">  Smallpox was another highly contagious airborne disease but advances in medicine meant that by 1840 vaccinations were available through the Boards of Guardians and in 1853 universal vaccination became compulsory in England and Wales after which it is virtually eradicated.   </w:t>
      </w:r>
    </w:p>
    <w:p w:rsidR="00EF17E4" w:rsidRPr="00EF17E4" w:rsidRDefault="00EF17E4" w:rsidP="00EF17E4">
      <w:pPr>
        <w:spacing w:line="360" w:lineRule="auto"/>
        <w:jc w:val="both"/>
      </w:pPr>
      <w:r w:rsidRPr="00EF17E4">
        <w:tab/>
        <w:t>As already discussed the spectre of Cholera had a huge effect on nineteenth century sanitary reform.  In addition to 1832 there were epidemics in Wales in 1849-50, 1854 and, to a lesser degree, in 1866.   Approximately 140,000 people died from the disease in the UK</w:t>
      </w:r>
      <w:r w:rsidRPr="00EF17E4">
        <w:rPr>
          <w:rStyle w:val="FootnoteReference"/>
        </w:rPr>
        <w:footnoteReference w:id="51"/>
      </w:r>
      <w:r w:rsidRPr="00EF17E4">
        <w:t xml:space="preserve"> and as we see from his annual reports just the prospect of the disease had the Llanelli Medical Officer of Health racing down to the Port to examine inbound ships and set up a fever hospital</w:t>
      </w:r>
      <w:r w:rsidRPr="00EF17E4">
        <w:rPr>
          <w:rStyle w:val="FootnoteReference"/>
        </w:rPr>
        <w:footnoteReference w:id="52"/>
      </w:r>
      <w:r w:rsidRPr="00EF17E4">
        <w:t>. The first person to link Cholera to contaminated water supply was Dr John Snow in 1855</w:t>
      </w:r>
      <w:r w:rsidRPr="00EF17E4">
        <w:rPr>
          <w:rStyle w:val="FootnoteReference"/>
        </w:rPr>
        <w:footnoteReference w:id="53"/>
      </w:r>
      <w:r w:rsidRPr="00EF17E4">
        <w:t xml:space="preserve"> and the quality of water was at its poorest in the overcrowded towns. </w:t>
      </w:r>
      <w:r w:rsidRPr="00EF17E4">
        <w:rPr>
          <w:i/>
        </w:rPr>
        <w:t xml:space="preserve"> </w:t>
      </w:r>
      <w:r w:rsidRPr="00EF17E4">
        <w:t>Contaminated food and water was also the main cause of the killer diseases Typhoid and Scarlet Fever (</w:t>
      </w:r>
      <w:proofErr w:type="spellStart"/>
      <w:r w:rsidRPr="00EF17E4">
        <w:t>Scarletina</w:t>
      </w:r>
      <w:proofErr w:type="spellEnd"/>
      <w:r w:rsidRPr="00EF17E4">
        <w:t>), the latter an on-going problem in Llanelli.</w:t>
      </w:r>
      <w:r w:rsidRPr="00EF17E4">
        <w:rPr>
          <w:rStyle w:val="FootnoteReference"/>
        </w:rPr>
        <w:footnoteReference w:id="54"/>
      </w:r>
      <w:r w:rsidRPr="00EF17E4">
        <w:t xml:space="preserve">  Typhoid was also a frequent visitor to Llanelli, an outbreak in 1882 had the </w:t>
      </w:r>
      <w:proofErr w:type="spellStart"/>
      <w:r w:rsidRPr="00EF17E4">
        <w:t>MoH</w:t>
      </w:r>
      <w:proofErr w:type="spellEnd"/>
      <w:r w:rsidRPr="00EF17E4">
        <w:t xml:space="preserve"> visiting all the homes affected and found them uniformly mired in filth and commented that it was exceptional to find any of the houses connected to the drainage system and that their privies were “overflowing and </w:t>
      </w:r>
      <w:r w:rsidRPr="00EF17E4">
        <w:lastRenderedPageBreak/>
        <w:t>disgustingly filthy”.</w:t>
      </w:r>
      <w:r w:rsidRPr="00EF17E4">
        <w:rPr>
          <w:rStyle w:val="FootnoteReference"/>
        </w:rPr>
        <w:footnoteReference w:id="55"/>
      </w:r>
      <w:r w:rsidRPr="00EF17E4">
        <w:t xml:space="preserve">   In 1861 the registrar general had described Wales as suffering extensively from the [typhoid] fever with great numbers of people dying in Llanelli, Pembroke and </w:t>
      </w:r>
      <w:proofErr w:type="spellStart"/>
      <w:r w:rsidRPr="00EF17E4">
        <w:t>Haverfordwest</w:t>
      </w:r>
      <w:proofErr w:type="spellEnd"/>
      <w:r w:rsidRPr="00EF17E4">
        <w:t xml:space="preserve"> as well as Merthyr Tydfil, </w:t>
      </w:r>
      <w:proofErr w:type="gramStart"/>
      <w:r w:rsidRPr="00EF17E4">
        <w:t>Neath</w:t>
      </w:r>
      <w:proofErr w:type="gramEnd"/>
      <w:r w:rsidRPr="00EF17E4">
        <w:t xml:space="preserve"> and Swansea.  “The sanitary arrangements of the principality are not yet at all adapted to meet the wants of dense populations”, he wrote.</w:t>
      </w:r>
      <w:r w:rsidRPr="00EF17E4">
        <w:rPr>
          <w:rStyle w:val="FootnoteReference"/>
        </w:rPr>
        <w:footnoteReference w:id="56"/>
      </w:r>
      <w:r w:rsidRPr="00EF17E4">
        <w:t xml:space="preserve"> </w:t>
      </w:r>
    </w:p>
    <w:p w:rsidR="00EF17E4" w:rsidRPr="00EF17E4" w:rsidRDefault="00EF17E4" w:rsidP="00EF17E4">
      <w:pPr>
        <w:spacing w:line="360" w:lineRule="auto"/>
        <w:ind w:firstLine="720"/>
        <w:jc w:val="both"/>
      </w:pPr>
      <w:r w:rsidRPr="00EF17E4">
        <w:t>To many the greatest blot on the Victorian public health landscape was the high rate of infant mortality which stubbornly remained constant at around 153 deaths per 1,000 live births.</w:t>
      </w:r>
      <w:r w:rsidRPr="00EF17E4">
        <w:rPr>
          <w:rStyle w:val="FootnoteReference"/>
        </w:rPr>
        <w:footnoteReference w:id="57"/>
      </w:r>
      <w:r w:rsidRPr="00EF17E4">
        <w:t xml:space="preserve"> Despite general mortality decreasing towards the end of the nineteenth century the infant mortality rate in England and Wales increased between 1880s and 1890</w:t>
      </w:r>
      <w:r w:rsidRPr="00EF17E4">
        <w:rPr>
          <w:rStyle w:val="FootnoteReference"/>
        </w:rPr>
        <w:footnoteReference w:id="58"/>
      </w:r>
      <w:r w:rsidRPr="00EF17E4">
        <w:t xml:space="preserve"> with a 1904 Government Committee concluding that “infant mortality remains a dark page”</w:t>
      </w:r>
      <w:r w:rsidRPr="00EF17E4">
        <w:rPr>
          <w:rStyle w:val="FootnoteReference"/>
        </w:rPr>
        <w:footnoteReference w:id="59"/>
      </w:r>
      <w:r w:rsidRPr="00EF17E4">
        <w:t xml:space="preserve"> - it wasn’t until 1915 that the mortality rate dropped below 100 for the first time.</w:t>
      </w:r>
      <w:r w:rsidRPr="00EF17E4">
        <w:rPr>
          <w:rStyle w:val="FootnoteReference"/>
        </w:rPr>
        <w:footnoteReference w:id="60"/>
      </w:r>
      <w:r w:rsidRPr="00EF17E4">
        <w:t xml:space="preserve">    Infant mortality was particularly high in industrial areas among the worst of which was Merthyr Tydfil, where in the decade 1846-1855 nearly twenty per cent of babies died before their first birthday.</w:t>
      </w:r>
      <w:r w:rsidRPr="00EF17E4">
        <w:rPr>
          <w:rStyle w:val="FootnoteReference"/>
        </w:rPr>
        <w:footnoteReference w:id="61"/>
      </w:r>
      <w:r w:rsidRPr="00EF17E4">
        <w:t xml:space="preserve">   South Wales figured prominently in the league table of infant mortality in 1908: Glamorgan heading the table with a rate of 151 and Carmarthenshire fifth with 139.</w:t>
      </w:r>
      <w:r w:rsidRPr="00EF17E4">
        <w:rPr>
          <w:rStyle w:val="FootnoteReference"/>
        </w:rPr>
        <w:footnoteReference w:id="62"/>
      </w:r>
      <w:r w:rsidRPr="00EF17E4">
        <w:t xml:space="preserve">  The urban districts of </w:t>
      </w:r>
      <w:proofErr w:type="spellStart"/>
      <w:r w:rsidRPr="00EF17E4">
        <w:t>Kidwelly</w:t>
      </w:r>
      <w:proofErr w:type="spellEnd"/>
      <w:r w:rsidRPr="00EF17E4">
        <w:t xml:space="preserve"> and Llanelli accounted for 143 and 157 respectively but how then to account for rural </w:t>
      </w:r>
      <w:proofErr w:type="spellStart"/>
      <w:r w:rsidRPr="00EF17E4">
        <w:t>Llandeilo</w:t>
      </w:r>
      <w:proofErr w:type="spellEnd"/>
      <w:r w:rsidRPr="00EF17E4">
        <w:t xml:space="preserve"> </w:t>
      </w:r>
      <w:proofErr w:type="spellStart"/>
      <w:r w:rsidRPr="00EF17E4">
        <w:t>Fawr</w:t>
      </w:r>
      <w:proofErr w:type="spellEnd"/>
      <w:r w:rsidRPr="00EF17E4">
        <w:t xml:space="preserve"> with 155 and Newcastle </w:t>
      </w:r>
      <w:proofErr w:type="spellStart"/>
      <w:r w:rsidRPr="00EF17E4">
        <w:t>Emlyn</w:t>
      </w:r>
      <w:proofErr w:type="spellEnd"/>
      <w:r w:rsidRPr="00EF17E4">
        <w:t xml:space="preserve"> with a staggering rate of 246</w:t>
      </w:r>
      <w:r w:rsidR="00E717D5">
        <w:t xml:space="preserve"> comparable to Calcutta or Bombay in the 1930s</w:t>
      </w:r>
      <w:r w:rsidRPr="00EF17E4">
        <w:rPr>
          <w:rStyle w:val="FootnoteReference"/>
        </w:rPr>
        <w:footnoteReference w:id="63"/>
      </w:r>
      <w:r w:rsidR="00440828">
        <w:t xml:space="preserve"> </w:t>
      </w:r>
      <w:r w:rsidR="00440828">
        <w:rPr>
          <w:rStyle w:val="FootnoteReference"/>
        </w:rPr>
        <w:footnoteReference w:id="64"/>
      </w:r>
      <w:r w:rsidRPr="00EF17E4">
        <w:t xml:space="preserve">   </w:t>
      </w:r>
    </w:p>
    <w:p w:rsidR="00EF17E4" w:rsidRPr="00EF17E4" w:rsidRDefault="00EF17E4" w:rsidP="00440828">
      <w:pPr>
        <w:spacing w:line="360" w:lineRule="auto"/>
        <w:jc w:val="both"/>
      </w:pPr>
      <w:r w:rsidRPr="00EF17E4">
        <w:tab/>
        <w:t>The causes of infant mortality were complex, reflecting as they did the health of the mother and the environments in which they lived as well as direct causes such as disease. The poor and unsanitary standards of midwifery make it remarkable that any survived at all</w:t>
      </w:r>
      <w:r w:rsidR="00440828">
        <w:t>!</w:t>
      </w:r>
      <w:r w:rsidRPr="00EF17E4">
        <w:t xml:space="preserve">  For those babies not fortunate enough to be breast-fed, and in industrial areas the pressure on mothers to work was such that breast feeding was often impractical, the odds shortened.  Not only did they not benefit from the mother’s immune system but </w:t>
      </w:r>
      <w:proofErr w:type="gramStart"/>
      <w:r w:rsidRPr="00EF17E4">
        <w:t>cows</w:t>
      </w:r>
      <w:proofErr w:type="gramEnd"/>
      <w:r w:rsidRPr="00EF17E4">
        <w:t xml:space="preserve"> milk, the most common replacement</w:t>
      </w:r>
      <w:r w:rsidR="00440828">
        <w:t>,</w:t>
      </w:r>
      <w:r w:rsidRPr="00EF17E4">
        <w:t xml:space="preserve"> was often lethal and water contaminated so it is hardly surprising that the main cause of death of infants in 1891 was diarrhoeal diseases.  This </w:t>
      </w:r>
      <w:r w:rsidR="00440828">
        <w:t xml:space="preserve">causal </w:t>
      </w:r>
      <w:r w:rsidRPr="00EF17E4">
        <w:t>combination of disease, environment and social factors</w:t>
      </w:r>
      <w:r w:rsidR="00440828">
        <w:t xml:space="preserve"> are </w:t>
      </w:r>
      <w:r w:rsidRPr="00EF17E4">
        <w:t xml:space="preserve">the reason infant mortality can be seen as a more reliable </w:t>
      </w:r>
      <w:r w:rsidR="00440828">
        <w:t xml:space="preserve">overall </w:t>
      </w:r>
      <w:r w:rsidRPr="00EF17E4">
        <w:t>barometer of the health of a community.  That’s not to say that</w:t>
      </w:r>
      <w:r w:rsidR="00440828">
        <w:t>,</w:t>
      </w:r>
      <w:r w:rsidRPr="00EF17E4">
        <w:t xml:space="preserve"> as with adult mortality</w:t>
      </w:r>
      <w:r w:rsidR="00440828">
        <w:t>,</w:t>
      </w:r>
      <w:r w:rsidRPr="00EF17E4">
        <w:t xml:space="preserve"> living in unhygienic and insanitary overcrowded conditions was often a death sentence</w:t>
      </w:r>
      <w:r w:rsidR="00440828">
        <w:t>.  T</w:t>
      </w:r>
      <w:r w:rsidRPr="00EF17E4">
        <w:t xml:space="preserve">hroughout England and Wales there were </w:t>
      </w:r>
      <w:r w:rsidRPr="00EF17E4">
        <w:lastRenderedPageBreak/>
        <w:t>eight times as many infant deaths from diarrhoea in urban areas and three times as many of “crowd diseases” such as Scarlet Fever and Measles.</w:t>
      </w:r>
      <w:r w:rsidRPr="00EF17E4">
        <w:rPr>
          <w:rStyle w:val="FootnoteReference"/>
        </w:rPr>
        <w:footnoteReference w:id="65"/>
      </w:r>
      <w:r w:rsidRPr="00EF17E4">
        <w:t xml:space="preserve">  In 1912, when Carmarthenshire’s infant mortality rate had dropped to 108 deaths per thousand live births</w:t>
      </w:r>
      <w:r w:rsidR="00440828">
        <w:t>,</w:t>
      </w:r>
      <w:r w:rsidRPr="00EF17E4">
        <w:t xml:space="preserve"> Carmarthenshire’s County Medical Officer for Health, D. Arthur Hughes, attributed the reduction to “improved sanitation and diffusion of knowledge” but pointed out that deaths of middle class babies was only sixty per cent that of poorer ones, suggesting that much loss of life could be avoided if the health conditions of the infant, and its mother, were improved.</w:t>
      </w:r>
      <w:r w:rsidRPr="00EF17E4">
        <w:rPr>
          <w:rStyle w:val="FootnoteReference"/>
        </w:rPr>
        <w:footnoteReference w:id="66"/>
      </w:r>
      <w:r w:rsidRPr="00EF17E4">
        <w:t xml:space="preserve">  </w:t>
      </w:r>
      <w:r w:rsidR="00440828">
        <w:t xml:space="preserve"> This clearly demonstrates that poverty was the causal and the most likely underlying cause.</w:t>
      </w:r>
    </w:p>
    <w:p w:rsidR="00EF17E4" w:rsidRPr="00EF17E4" w:rsidRDefault="00EF17E4" w:rsidP="00EF17E4">
      <w:pPr>
        <w:spacing w:line="360" w:lineRule="auto"/>
        <w:ind w:firstLine="720"/>
        <w:jc w:val="both"/>
      </w:pPr>
      <w:r w:rsidRPr="00EF17E4">
        <w:t xml:space="preserve">Given the overcrowding, poor drainage, </w:t>
      </w:r>
      <w:r w:rsidR="00440828">
        <w:t xml:space="preserve">lack of </w:t>
      </w:r>
      <w:r w:rsidRPr="00EF17E4">
        <w:t xml:space="preserve">water supplies and general state of filth that prevailed in Britain’s towns, it is not surprising that improvements in these areas were seen as the key to improving health.  The great strides made in sanitation towards the end of the nineteenth century </w:t>
      </w:r>
      <w:r w:rsidR="00440828">
        <w:t xml:space="preserve">and </w:t>
      </w:r>
      <w:r w:rsidRPr="00EF17E4">
        <w:t xml:space="preserve">widely regarded as the reason for subsequent drop in mortality rates and this is reflected in the writings of contemporary public health reformers, Medical Officers of Health and the Health Board who were </w:t>
      </w:r>
      <w:r w:rsidR="00440828">
        <w:t xml:space="preserve">all </w:t>
      </w:r>
      <w:r w:rsidRPr="00EF17E4">
        <w:t xml:space="preserve">confident of the link between lowered mortality rate and improved public sanitation.  The first to seriously challenge this view was Thomas </w:t>
      </w:r>
      <w:proofErr w:type="spellStart"/>
      <w:r w:rsidRPr="00EF17E4">
        <w:t>McKeown</w:t>
      </w:r>
      <w:proofErr w:type="spellEnd"/>
      <w:r w:rsidRPr="00EF17E4">
        <w:t xml:space="preserve"> in 1976</w:t>
      </w:r>
      <w:r w:rsidRPr="00EF17E4">
        <w:rPr>
          <w:rStyle w:val="FootnoteReference"/>
        </w:rPr>
        <w:footnoteReference w:id="67"/>
      </w:r>
      <w:r w:rsidRPr="00EF17E4">
        <w:t xml:space="preserve"> who claimed that an improvement in the standard of living, in particular nutrition, was more significant than either public health improvement or the advancement of medicine.   This was subsequently challenged by Simon </w:t>
      </w:r>
      <w:proofErr w:type="spellStart"/>
      <w:r w:rsidRPr="00EF17E4">
        <w:t>Szreter</w:t>
      </w:r>
      <w:proofErr w:type="spellEnd"/>
      <w:r w:rsidRPr="00EF17E4">
        <w:rPr>
          <w:rStyle w:val="FootnoteReference"/>
        </w:rPr>
        <w:footnoteReference w:id="68"/>
      </w:r>
      <w:r w:rsidRPr="00EF17E4">
        <w:t xml:space="preserve"> who raised a number of objections to the validity of </w:t>
      </w:r>
      <w:proofErr w:type="spellStart"/>
      <w:r w:rsidRPr="00EF17E4">
        <w:t>McKeown’s</w:t>
      </w:r>
      <w:proofErr w:type="spellEnd"/>
      <w:r w:rsidRPr="00EF17E4">
        <w:t xml:space="preserve"> research and claimed that it was the decline in the major killers of tuberculosis, smallpox, cholera and typhoid through public health measures that was the real cause of a fall in mortality and this view has been widely adopted by later historians including Anne Hardy.</w:t>
      </w:r>
      <w:r w:rsidRPr="00EF17E4">
        <w:rPr>
          <w:rStyle w:val="FootnoteReference"/>
        </w:rPr>
        <w:footnoteReference w:id="69"/>
      </w:r>
      <w:r>
        <w:t xml:space="preserve">  </w:t>
      </w:r>
      <w:r w:rsidRPr="00EF17E4">
        <w:t xml:space="preserve">Although, as discussed, vaccinations to some diseases such as smallpox started to appear in the nineteenth century, the main impact of medical advances was not felt until the early years of the twentieth century.  </w:t>
      </w:r>
      <w:proofErr w:type="spellStart"/>
      <w:r w:rsidRPr="00EF17E4">
        <w:t>Szeter’s</w:t>
      </w:r>
      <w:proofErr w:type="spellEnd"/>
      <w:r w:rsidRPr="00EF17E4">
        <w:t xml:space="preserve"> apportioning the credit to public health measures is justified in the context of the England and Wales because as previously mentioned, the major towns were statistically dominant.  In South West Wales however, only Llanelli could lay claim to being in that company and as </w:t>
      </w:r>
      <w:proofErr w:type="spellStart"/>
      <w:r w:rsidRPr="00EF17E4">
        <w:t>Wohl</w:t>
      </w:r>
      <w:proofErr w:type="spellEnd"/>
      <w:r w:rsidRPr="00EF17E4">
        <w:t xml:space="preserve"> observes in those urban populations with their overcrowding and high urban densities there existed too: “casual labour, seasonal unemployment and year round underemployment ... and thus also poverty and all </w:t>
      </w:r>
      <w:r w:rsidRPr="00EF17E4">
        <w:lastRenderedPageBreak/>
        <w:t>its inevitable consequences, especially malnutrition, insanitary conditions and poor medical services.”</w:t>
      </w:r>
      <w:r w:rsidRPr="00EF17E4">
        <w:rPr>
          <w:rStyle w:val="FootnoteReference"/>
        </w:rPr>
        <w:footnoteReference w:id="70"/>
      </w:r>
    </w:p>
    <w:p w:rsidR="00EF17E4" w:rsidRDefault="00EF17E4" w:rsidP="00EF17E4">
      <w:pPr>
        <w:spacing w:line="360" w:lineRule="auto"/>
        <w:ind w:firstLine="720"/>
        <w:jc w:val="both"/>
      </w:pPr>
      <w:r w:rsidRPr="00EF17E4">
        <w:t>Dr George Gregory, in a lecture reported in The Lancet in 1843, said: “The greatest foe to health and long life is poverty.  Not only do all epidemic visitations fall with tenfold severity upon the poorer classes of society but all descriptions of disease find in them their chief victim”.</w:t>
      </w:r>
      <w:r w:rsidRPr="00EF17E4">
        <w:rPr>
          <w:rStyle w:val="FootnoteReference"/>
        </w:rPr>
        <w:footnoteReference w:id="71"/>
      </w:r>
      <w:r w:rsidRPr="00EF17E4">
        <w:t xml:space="preserve">   Poverty brought with it poor diet, physique and hygiene; a lack of education and access to medicine.  In 1839 Chadwick had commissioned Doctors Kay, </w:t>
      </w:r>
      <w:proofErr w:type="spellStart"/>
      <w:r w:rsidRPr="00EF17E4">
        <w:t>Arnott</w:t>
      </w:r>
      <w:proofErr w:type="spellEnd"/>
      <w:r w:rsidRPr="00EF17E4">
        <w:t xml:space="preserve"> and </w:t>
      </w:r>
      <w:proofErr w:type="spellStart"/>
      <w:r w:rsidRPr="00EF17E4">
        <w:t>Southwood</w:t>
      </w:r>
      <w:proofErr w:type="spellEnd"/>
      <w:r w:rsidRPr="00EF17E4">
        <w:t xml:space="preserve"> Smith to investigate the connection between disease and poverty and their findings point out, a vicious circle: poverty brought about disease which in turn brought about pauperism.</w:t>
      </w:r>
      <w:r w:rsidRPr="00EF17E4">
        <w:rPr>
          <w:rStyle w:val="FootnoteReference"/>
        </w:rPr>
        <w:footnoteReference w:id="72"/>
      </w:r>
      <w:r w:rsidRPr="00EF17E4">
        <w:t xml:space="preserve">   The presence of abject poverty in the towns and villages of South West Wales, poverty on a scale not commonly found in comparative populations in England, may well account for Carmarthen suffering higher mortality than Llanelli and for the high infant mortality rates in </w:t>
      </w:r>
      <w:proofErr w:type="spellStart"/>
      <w:r w:rsidRPr="00EF17E4">
        <w:t>Llandeilo</w:t>
      </w:r>
      <w:proofErr w:type="spellEnd"/>
      <w:r w:rsidRPr="00EF17E4">
        <w:t xml:space="preserve"> </w:t>
      </w:r>
      <w:proofErr w:type="spellStart"/>
      <w:r w:rsidRPr="00EF17E4">
        <w:t>Fawr</w:t>
      </w:r>
      <w:proofErr w:type="spellEnd"/>
      <w:r w:rsidRPr="00EF17E4">
        <w:t xml:space="preserve"> and </w:t>
      </w:r>
      <w:r w:rsidR="00EC395B" w:rsidRPr="00EF17E4">
        <w:t>Newcastle</w:t>
      </w:r>
      <w:r w:rsidRPr="00EF17E4">
        <w:t xml:space="preserve"> </w:t>
      </w:r>
      <w:proofErr w:type="spellStart"/>
      <w:r w:rsidRPr="00EF17E4">
        <w:t>Emlyn</w:t>
      </w:r>
      <w:proofErr w:type="spellEnd"/>
      <w:r w:rsidRPr="00EF17E4">
        <w:t>.</w:t>
      </w:r>
      <w:r w:rsidRPr="000B04DD">
        <w:rPr>
          <w:color w:val="FF0000"/>
        </w:rPr>
        <w:t xml:space="preserve"> </w:t>
      </w:r>
      <w:r w:rsidR="00EC395B">
        <w:rPr>
          <w:color w:val="FF0000"/>
        </w:rPr>
        <w:t xml:space="preserve">  </w:t>
      </w:r>
      <w:r>
        <w:t>In conclusion therefore I cannot wholly agree with the proposition “urban growth during the nineteenth century resulted in poor sanitation within the towns of South West Wales which resulted in a high mortality rate.”  Yes there was urban growth and yes it undoubtedly exacerbated poor sanitation in the region’s towns but the inadequate sanitary conditions predated the nineteenth century and were also prevalent in rural areas.  In many ways the rapidly growing industrial towns such as Llanelli were better able to rise to the sanitation challenge and lay the necessary drains, build the reservoirs. And while poor sanitary conditions were undoubtedly a major cause of mortality during the period I would argue that in South West Wales poverty was the underlying cause.</w:t>
      </w:r>
    </w:p>
    <w:p w:rsidR="00EC395B" w:rsidRDefault="00EC395B">
      <w:r>
        <w:br w:type="page"/>
      </w:r>
    </w:p>
    <w:p w:rsidR="00EC395B" w:rsidRDefault="00EC395B" w:rsidP="00EC395B">
      <w:pPr>
        <w:pStyle w:val="Subtitle"/>
      </w:pPr>
    </w:p>
    <w:p w:rsidR="00EC395B" w:rsidRDefault="00EC395B" w:rsidP="00EC395B">
      <w:pPr>
        <w:pStyle w:val="Subtitle"/>
      </w:pPr>
    </w:p>
    <w:p w:rsidR="00EC395B" w:rsidRDefault="00EC395B" w:rsidP="00EC395B">
      <w:pPr>
        <w:pStyle w:val="Subtitle"/>
      </w:pPr>
      <w:r>
        <w:t>Appendices</w:t>
      </w:r>
    </w:p>
    <w:p w:rsidR="00EC395B" w:rsidRDefault="00EC395B" w:rsidP="00EC395B">
      <w:pPr>
        <w:spacing w:line="360" w:lineRule="auto"/>
        <w:ind w:firstLine="720"/>
        <w:jc w:val="both"/>
      </w:pPr>
    </w:p>
    <w:p w:rsidR="00EC395B" w:rsidRDefault="00EC395B" w:rsidP="00EC395B">
      <w:pPr>
        <w:spacing w:line="360" w:lineRule="auto"/>
        <w:ind w:firstLine="720"/>
        <w:jc w:val="both"/>
      </w:pPr>
      <w:r>
        <w:t>Appendix A:</w:t>
      </w:r>
      <w:r>
        <w:tab/>
        <w:t>Decennial Mortality Rates 1841-1890</w:t>
      </w:r>
    </w:p>
    <w:p w:rsidR="00EC395B" w:rsidRDefault="00EC395B" w:rsidP="00EC395B">
      <w:pPr>
        <w:spacing w:line="360" w:lineRule="auto"/>
        <w:ind w:firstLine="720"/>
        <w:jc w:val="both"/>
      </w:pPr>
      <w:r>
        <w:t>Appendix B:</w:t>
      </w:r>
      <w:r>
        <w:tab/>
        <w:t>Causes of Death in Wales</w:t>
      </w:r>
    </w:p>
    <w:p w:rsidR="00EC395B" w:rsidRDefault="00EC395B" w:rsidP="00EC395B">
      <w:pPr>
        <w:spacing w:line="360" w:lineRule="auto"/>
        <w:ind w:firstLine="720"/>
        <w:jc w:val="both"/>
      </w:pPr>
      <w:r>
        <w:t>Appendix C:</w:t>
      </w:r>
      <w:r>
        <w:tab/>
        <w:t>Principal diseases and their causes</w:t>
      </w:r>
    </w:p>
    <w:p w:rsidR="00557F57" w:rsidRDefault="00557F57" w:rsidP="00557F57">
      <w:pPr>
        <w:spacing w:line="360" w:lineRule="auto"/>
        <w:ind w:firstLine="720"/>
        <w:jc w:val="both"/>
      </w:pPr>
    </w:p>
    <w:p w:rsidR="00557F57" w:rsidRDefault="00557F57" w:rsidP="00557F57">
      <w:pPr>
        <w:spacing w:line="360" w:lineRule="auto"/>
        <w:ind w:firstLine="720"/>
        <w:jc w:val="both"/>
      </w:pPr>
    </w:p>
    <w:p w:rsidR="00CA758F" w:rsidRDefault="00CA758F" w:rsidP="00F948BF">
      <w:pPr>
        <w:spacing w:line="360" w:lineRule="auto"/>
        <w:ind w:firstLine="720"/>
        <w:jc w:val="both"/>
      </w:pPr>
    </w:p>
    <w:sectPr w:rsidR="00CA758F" w:rsidSect="0091212E">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20F3F" w:rsidRDefault="00A20F3F" w:rsidP="00747B72">
      <w:pPr>
        <w:spacing w:after="0" w:line="240" w:lineRule="auto"/>
      </w:pPr>
      <w:r>
        <w:separator/>
      </w:r>
    </w:p>
  </w:endnote>
  <w:endnote w:type="continuationSeparator" w:id="0">
    <w:p w:rsidR="00A20F3F" w:rsidRDefault="00A20F3F" w:rsidP="00747B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557DD" w:rsidRDefault="008557D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557DD" w:rsidRDefault="008557DD">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557DD" w:rsidRDefault="008557D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20F3F" w:rsidRDefault="00A20F3F" w:rsidP="00747B72">
      <w:pPr>
        <w:spacing w:after="0" w:line="240" w:lineRule="auto"/>
      </w:pPr>
      <w:r>
        <w:separator/>
      </w:r>
    </w:p>
  </w:footnote>
  <w:footnote w:type="continuationSeparator" w:id="0">
    <w:p w:rsidR="00A20F3F" w:rsidRDefault="00A20F3F" w:rsidP="00747B72">
      <w:pPr>
        <w:spacing w:after="0" w:line="240" w:lineRule="auto"/>
      </w:pPr>
      <w:r>
        <w:continuationSeparator/>
      </w:r>
    </w:p>
  </w:footnote>
  <w:footnote w:id="1">
    <w:p w:rsidR="001E6122" w:rsidRDefault="001E6122">
      <w:pPr>
        <w:pStyle w:val="FootnoteText"/>
      </w:pPr>
      <w:r>
        <w:rPr>
          <w:rStyle w:val="FootnoteReference"/>
        </w:rPr>
        <w:footnoteRef/>
      </w:r>
      <w:r>
        <w:t xml:space="preserve">  Sir Edwin Chadwick, 19</w:t>
      </w:r>
      <w:r w:rsidRPr="00EC395B">
        <w:rPr>
          <w:vertAlign w:val="superscript"/>
        </w:rPr>
        <w:t>th</w:t>
      </w:r>
      <w:r>
        <w:t xml:space="preserve"> century social reformer, had previously addressed the issue of Poor Laws before turning his attention to public health.  He was deeply unpopular due to an overbearing and centralist </w:t>
      </w:r>
      <w:proofErr w:type="gramStart"/>
      <w:r>
        <w:t>attitude,</w:t>
      </w:r>
      <w:proofErr w:type="gramEnd"/>
      <w:r>
        <w:t xml:space="preserve"> was a confirmed </w:t>
      </w:r>
      <w:proofErr w:type="spellStart"/>
      <w:r>
        <w:t>Benthamite</w:t>
      </w:r>
      <w:proofErr w:type="spellEnd"/>
      <w:r>
        <w:t xml:space="preserve"> and had little sympathy for the poor of society. </w:t>
      </w:r>
    </w:p>
  </w:footnote>
  <w:footnote w:id="2">
    <w:p w:rsidR="001E6122" w:rsidRDefault="001E6122">
      <w:pPr>
        <w:pStyle w:val="FootnoteText"/>
      </w:pPr>
      <w:r>
        <w:rPr>
          <w:rStyle w:val="FootnoteReference"/>
        </w:rPr>
        <w:footnoteRef/>
      </w:r>
      <w:r>
        <w:t xml:space="preserve">  William Farr, medical statistician and first Registrar General</w:t>
      </w:r>
    </w:p>
  </w:footnote>
  <w:footnote w:id="3">
    <w:p w:rsidR="001E6122" w:rsidRDefault="001E6122">
      <w:pPr>
        <w:pStyle w:val="FootnoteText"/>
      </w:pPr>
      <w:r>
        <w:rPr>
          <w:rStyle w:val="FootnoteReference"/>
        </w:rPr>
        <w:footnoteRef/>
      </w:r>
      <w:r>
        <w:t xml:space="preserve">  In 1837 there were 139 districts of which Llanelli and Pembroke were the only two from S W Wales. </w:t>
      </w:r>
      <w:r w:rsidRPr="00F20550">
        <w:rPr>
          <w:i/>
        </w:rPr>
        <w:t>Annual Report of the Registrar General of births, deaths and marriages in England</w:t>
      </w:r>
      <w:r>
        <w:t xml:space="preserve">. [1863] p. </w:t>
      </w:r>
      <w:proofErr w:type="spellStart"/>
      <w:r>
        <w:t>xvvi</w:t>
      </w:r>
      <w:proofErr w:type="spellEnd"/>
    </w:p>
  </w:footnote>
  <w:footnote w:id="4">
    <w:p w:rsidR="001E6122" w:rsidRDefault="001E6122" w:rsidP="00266DD9">
      <w:pPr>
        <w:pStyle w:val="FootnoteText"/>
      </w:pPr>
      <w:r>
        <w:rPr>
          <w:rStyle w:val="FootnoteReference"/>
        </w:rPr>
        <w:footnoteRef/>
      </w:r>
      <w:r>
        <w:t xml:space="preserve"> Census returns 1801-1901 accessed via </w:t>
      </w:r>
      <w:hyperlink r:id="rId1" w:history="1">
        <w:r w:rsidRPr="00C7122C">
          <w:rPr>
            <w:rStyle w:val="Hyperlink"/>
          </w:rPr>
          <w:t>http://www.histpop.org</w:t>
        </w:r>
      </w:hyperlink>
    </w:p>
  </w:footnote>
  <w:footnote w:id="5">
    <w:p w:rsidR="001E6122" w:rsidRDefault="001E6122">
      <w:pPr>
        <w:pStyle w:val="FootnoteText"/>
      </w:pPr>
      <w:r>
        <w:rPr>
          <w:rStyle w:val="FootnoteReference"/>
        </w:rPr>
        <w:footnoteRef/>
      </w:r>
      <w:r>
        <w:t xml:space="preserve"> Russell Davies.  </w:t>
      </w:r>
      <w:r w:rsidRPr="00266DD9">
        <w:rPr>
          <w:i/>
        </w:rPr>
        <w:t>Secret Sins: Sex, Violence &amp; Society in Carmarthenshire 1870-1920</w:t>
      </w:r>
      <w:r>
        <w:t xml:space="preserve">, </w:t>
      </w:r>
      <w:proofErr w:type="gramStart"/>
      <w:r>
        <w:t>Cardiff</w:t>
      </w:r>
      <w:proofErr w:type="gramEnd"/>
      <w:r>
        <w:t>: UWP 1996 p16.</w:t>
      </w:r>
    </w:p>
  </w:footnote>
  <w:footnote w:id="6">
    <w:p w:rsidR="001E6122" w:rsidRPr="003C1BEA" w:rsidRDefault="001E6122" w:rsidP="00F948BF">
      <w:pPr>
        <w:pStyle w:val="FootnoteText"/>
      </w:pPr>
      <w:r w:rsidRPr="00593B0B">
        <w:rPr>
          <w:rStyle w:val="FootnoteReference"/>
          <w:sz w:val="18"/>
          <w:szCs w:val="18"/>
        </w:rPr>
        <w:footnoteRef/>
      </w:r>
      <w:r w:rsidRPr="00593B0B">
        <w:rPr>
          <w:sz w:val="18"/>
          <w:szCs w:val="18"/>
        </w:rPr>
        <w:t xml:space="preserve">  </w:t>
      </w:r>
      <w:r w:rsidRPr="003C1BEA">
        <w:t xml:space="preserve">Quoted in Bready, J. </w:t>
      </w:r>
      <w:r w:rsidRPr="003C1BEA">
        <w:rPr>
          <w:i/>
        </w:rPr>
        <w:t>Lord Shaftsbury and Socio-Industrial Progress</w:t>
      </w:r>
      <w:r w:rsidRPr="003C1BEA">
        <w:t xml:space="preserve">, London: </w:t>
      </w:r>
      <w:proofErr w:type="spellStart"/>
      <w:r w:rsidRPr="003C1BEA">
        <w:t>n.p</w:t>
      </w:r>
      <w:proofErr w:type="spellEnd"/>
      <w:r w:rsidRPr="003C1BEA">
        <w:t>, 1926, p118</w:t>
      </w:r>
    </w:p>
  </w:footnote>
  <w:footnote w:id="7">
    <w:p w:rsidR="001E6122" w:rsidRPr="003C1BEA" w:rsidRDefault="001E6122" w:rsidP="00F948BF">
      <w:pPr>
        <w:spacing w:after="0" w:line="240" w:lineRule="auto"/>
        <w:ind w:right="567"/>
        <w:jc w:val="both"/>
        <w:rPr>
          <w:sz w:val="20"/>
          <w:szCs w:val="20"/>
        </w:rPr>
      </w:pPr>
      <w:r w:rsidRPr="003C1BEA">
        <w:rPr>
          <w:rStyle w:val="FootnoteReference"/>
          <w:sz w:val="20"/>
          <w:szCs w:val="20"/>
        </w:rPr>
        <w:footnoteRef/>
      </w:r>
      <w:r w:rsidRPr="003C1BEA">
        <w:rPr>
          <w:sz w:val="20"/>
          <w:szCs w:val="20"/>
        </w:rPr>
        <w:t xml:space="preserve">  Anthony. S. </w:t>
      </w:r>
      <w:proofErr w:type="spellStart"/>
      <w:r w:rsidRPr="003C1BEA">
        <w:rPr>
          <w:sz w:val="20"/>
          <w:szCs w:val="20"/>
        </w:rPr>
        <w:t>Wohl</w:t>
      </w:r>
      <w:proofErr w:type="spellEnd"/>
      <w:r w:rsidRPr="003C1BEA">
        <w:rPr>
          <w:sz w:val="20"/>
          <w:szCs w:val="20"/>
        </w:rPr>
        <w:t xml:space="preserve">, </w:t>
      </w:r>
      <w:r w:rsidRPr="003C1BEA">
        <w:rPr>
          <w:i/>
          <w:sz w:val="20"/>
          <w:szCs w:val="20"/>
        </w:rPr>
        <w:t>Endangered Lives- - Public Health in Victorian Britain</w:t>
      </w:r>
      <w:r w:rsidRPr="003C1BEA">
        <w:rPr>
          <w:sz w:val="20"/>
          <w:szCs w:val="20"/>
        </w:rPr>
        <w:t>. Cambridge: CUP p288</w:t>
      </w:r>
    </w:p>
  </w:footnote>
  <w:footnote w:id="8">
    <w:p w:rsidR="001E6122" w:rsidRPr="003C1BEA" w:rsidRDefault="001E6122" w:rsidP="00593B0B">
      <w:pPr>
        <w:pStyle w:val="FootnoteText"/>
      </w:pPr>
      <w:r w:rsidRPr="003C1BEA">
        <w:rPr>
          <w:rStyle w:val="FootnoteReference"/>
        </w:rPr>
        <w:footnoteRef/>
      </w:r>
      <w:r w:rsidRPr="003C1BEA">
        <w:t xml:space="preserve">  </w:t>
      </w:r>
      <w:proofErr w:type="spellStart"/>
      <w:proofErr w:type="gramStart"/>
      <w:r>
        <w:t>G.T.Clark</w:t>
      </w:r>
      <w:proofErr w:type="spellEnd"/>
      <w:r>
        <w:t xml:space="preserve">. </w:t>
      </w:r>
      <w:r w:rsidRPr="00C2721B">
        <w:rPr>
          <w:i/>
        </w:rPr>
        <w:t xml:space="preserve">Report to the General Board of Health on a Preliminary Inquiry into the Sewerage, Drainage and Supply of Water and the Sanitary Condition of the Inhabitants of the County of the Borough of Carmarthen </w:t>
      </w:r>
      <w:r w:rsidRPr="00105079">
        <w:t>1849.</w:t>
      </w:r>
      <w:proofErr w:type="gramEnd"/>
    </w:p>
  </w:footnote>
  <w:footnote w:id="9">
    <w:p w:rsidR="001E6122" w:rsidRDefault="001E6122" w:rsidP="006933F6">
      <w:pPr>
        <w:pStyle w:val="FootnoteText"/>
      </w:pPr>
      <w:r w:rsidRPr="003C1BEA">
        <w:rPr>
          <w:rStyle w:val="FootnoteReference"/>
        </w:rPr>
        <w:footnoteRef/>
      </w:r>
      <w:r w:rsidRPr="003C1BEA">
        <w:t xml:space="preserve"> </w:t>
      </w:r>
      <w:r>
        <w:t xml:space="preserve"> </w:t>
      </w:r>
      <w:proofErr w:type="spellStart"/>
      <w:r w:rsidRPr="00105079">
        <w:t>H.C.Buckley</w:t>
      </w:r>
      <w:proofErr w:type="spellEnd"/>
      <w:proofErr w:type="gramStart"/>
      <w:r>
        <w:t xml:space="preserve">. </w:t>
      </w:r>
      <w:r w:rsidRPr="00105079">
        <w:t xml:space="preserve"> Annual</w:t>
      </w:r>
      <w:proofErr w:type="gramEnd"/>
      <w:r w:rsidRPr="00105079">
        <w:t xml:space="preserve"> Report on the Sanitary Condition of the Urban District of </w:t>
      </w:r>
      <w:proofErr w:type="spellStart"/>
      <w:r w:rsidRPr="00105079">
        <w:t>Llanelly</w:t>
      </w:r>
      <w:proofErr w:type="spellEnd"/>
      <w:r w:rsidRPr="00105079">
        <w:t xml:space="preserve"> 188</w:t>
      </w:r>
      <w:r>
        <w:t>3</w:t>
      </w:r>
      <w:r w:rsidRPr="00105079">
        <w:t>.  Llanelli Borough Library reference section</w:t>
      </w:r>
    </w:p>
  </w:footnote>
  <w:footnote w:id="10">
    <w:p w:rsidR="001E6122" w:rsidRDefault="001E6122" w:rsidP="006933F6">
      <w:pPr>
        <w:pStyle w:val="FootnoteText"/>
      </w:pPr>
      <w:r>
        <w:rPr>
          <w:rStyle w:val="FootnoteReference"/>
        </w:rPr>
        <w:footnoteRef/>
      </w:r>
      <w:r>
        <w:t xml:space="preserve"> </w:t>
      </w:r>
      <w:proofErr w:type="spellStart"/>
      <w:proofErr w:type="gramStart"/>
      <w:r>
        <w:t>H.C.Buckley</w:t>
      </w:r>
      <w:proofErr w:type="spellEnd"/>
      <w:r>
        <w:t>. 1883 report.</w:t>
      </w:r>
      <w:proofErr w:type="gramEnd"/>
      <w:r>
        <w:t xml:space="preserve">  </w:t>
      </w:r>
      <w:proofErr w:type="gramStart"/>
      <w:r>
        <w:t>Op.cit.</w:t>
      </w:r>
      <w:proofErr w:type="gramEnd"/>
    </w:p>
  </w:footnote>
  <w:footnote w:id="11">
    <w:p w:rsidR="001E6122" w:rsidRDefault="001E6122" w:rsidP="006933F6">
      <w:pPr>
        <w:pStyle w:val="FootnoteText"/>
      </w:pPr>
      <w:r>
        <w:rPr>
          <w:rStyle w:val="FootnoteReference"/>
        </w:rPr>
        <w:footnoteRef/>
      </w:r>
      <w:r>
        <w:t xml:space="preserve">  </w:t>
      </w:r>
      <w:proofErr w:type="gramStart"/>
      <w:r>
        <w:t>Third and Fourth Reports of the Commissioners on Employment of Woman and Children in Agriculture with Appendices [c70] 18870, Col XIII, p12.</w:t>
      </w:r>
      <w:proofErr w:type="gramEnd"/>
    </w:p>
  </w:footnote>
  <w:footnote w:id="12">
    <w:p w:rsidR="001E6122" w:rsidRDefault="001E6122" w:rsidP="00B67CE9">
      <w:pPr>
        <w:pStyle w:val="FootnoteText"/>
      </w:pPr>
      <w:r>
        <w:rPr>
          <w:rStyle w:val="FootnoteReference"/>
        </w:rPr>
        <w:footnoteRef/>
      </w:r>
      <w:r>
        <w:t xml:space="preserve">  </w:t>
      </w:r>
      <w:r w:rsidRPr="00105079">
        <w:t xml:space="preserve">Trinity St David’s MA Notes: The Urban Landscape 17 November </w:t>
      </w:r>
      <w:r w:rsidR="004235FA">
        <w:t>2014</w:t>
      </w:r>
    </w:p>
  </w:footnote>
  <w:footnote w:id="13">
    <w:p w:rsidR="001E6122" w:rsidRDefault="001E6122" w:rsidP="00B67CE9">
      <w:pPr>
        <w:pStyle w:val="FootnoteText"/>
      </w:pPr>
      <w:r>
        <w:rPr>
          <w:rStyle w:val="FootnoteReference"/>
        </w:rPr>
        <w:footnoteRef/>
      </w:r>
      <w:r>
        <w:t xml:space="preserve">  </w:t>
      </w:r>
      <w:proofErr w:type="gramStart"/>
      <w:r>
        <w:t>Keith Strange.</w:t>
      </w:r>
      <w:proofErr w:type="gramEnd"/>
      <w:r>
        <w:t xml:space="preserve"> Merthyr Tydfil: Iron Metropolis, Stroud, </w:t>
      </w:r>
      <w:proofErr w:type="spellStart"/>
      <w:r>
        <w:t>Glos</w:t>
      </w:r>
      <w:proofErr w:type="spellEnd"/>
      <w:r>
        <w:t>: Tempus 2005 p43</w:t>
      </w:r>
    </w:p>
  </w:footnote>
  <w:footnote w:id="14">
    <w:p w:rsidR="001E6122" w:rsidRDefault="001E6122" w:rsidP="00B67CE9">
      <w:pPr>
        <w:pStyle w:val="FootnoteText"/>
      </w:pPr>
      <w:r>
        <w:rPr>
          <w:rStyle w:val="FootnoteReference"/>
        </w:rPr>
        <w:footnoteRef/>
      </w:r>
      <w:r>
        <w:t xml:space="preserve"> </w:t>
      </w:r>
      <w:proofErr w:type="spellStart"/>
      <w:r>
        <w:t>Ieuan</w:t>
      </w:r>
      <w:proofErr w:type="spellEnd"/>
      <w:r>
        <w:t xml:space="preserve"> Gwynedd Jones. </w:t>
      </w:r>
      <w:r w:rsidRPr="00C2721B">
        <w:rPr>
          <w:i/>
        </w:rPr>
        <w:t>Mid-Victorian Wales: The Observers and the Observed</w:t>
      </w:r>
      <w:r>
        <w:t>, Cardiff: UWP 1992. P35</w:t>
      </w:r>
    </w:p>
  </w:footnote>
  <w:footnote w:id="15">
    <w:p w:rsidR="001E6122" w:rsidRDefault="001E6122" w:rsidP="00B67CE9">
      <w:pPr>
        <w:pStyle w:val="FootnoteText"/>
      </w:pPr>
      <w:r>
        <w:rPr>
          <w:rStyle w:val="FootnoteReference"/>
        </w:rPr>
        <w:footnoteRef/>
      </w:r>
      <w:r>
        <w:t xml:space="preserve">  </w:t>
      </w:r>
      <w:r w:rsidRPr="00105079">
        <w:t xml:space="preserve">Sir E. Chadwick. </w:t>
      </w:r>
      <w:r w:rsidRPr="00105079">
        <w:rPr>
          <w:i/>
        </w:rPr>
        <w:t>Report into the Sanitary Condition of the Labouring Population of Great Britain 1842,</w:t>
      </w:r>
      <w:r w:rsidRPr="00105079">
        <w:t xml:space="preserve"> Edinburgh: EUP 1965</w:t>
      </w:r>
    </w:p>
  </w:footnote>
  <w:footnote w:id="16">
    <w:p w:rsidR="001E6122" w:rsidRPr="003C1BEA" w:rsidRDefault="001E6122" w:rsidP="00B67CE9">
      <w:pPr>
        <w:pStyle w:val="FootnoteText"/>
      </w:pPr>
      <w:r>
        <w:rPr>
          <w:rStyle w:val="FootnoteReference"/>
        </w:rPr>
        <w:footnoteRef/>
      </w:r>
      <w:r>
        <w:t xml:space="preserve">  </w:t>
      </w:r>
      <w:r w:rsidRPr="003C1BEA">
        <w:t xml:space="preserve">Anthony S. </w:t>
      </w:r>
      <w:proofErr w:type="spellStart"/>
      <w:r w:rsidRPr="003C1BEA">
        <w:t>Wohl</w:t>
      </w:r>
      <w:proofErr w:type="spellEnd"/>
      <w:r w:rsidRPr="003C1BEA">
        <w:t xml:space="preserve">.  Op.cit.  P62/63 </w:t>
      </w:r>
    </w:p>
  </w:footnote>
  <w:footnote w:id="17">
    <w:p w:rsidR="001E6122" w:rsidRDefault="001E6122" w:rsidP="00CB365A">
      <w:pPr>
        <w:pStyle w:val="FootnoteText"/>
      </w:pPr>
      <w:r w:rsidRPr="003C1BEA">
        <w:rPr>
          <w:rStyle w:val="FootnoteReference"/>
        </w:rPr>
        <w:footnoteRef/>
      </w:r>
      <w:r w:rsidRPr="003C1BEA">
        <w:t xml:space="preserve"> </w:t>
      </w:r>
      <w:proofErr w:type="spellStart"/>
      <w:r w:rsidRPr="003C1BEA">
        <w:t>G.T.Clark</w:t>
      </w:r>
      <w:proofErr w:type="spellEnd"/>
      <w:r w:rsidRPr="003C1BEA">
        <w:t xml:space="preserve"> </w:t>
      </w:r>
      <w:r w:rsidRPr="003C1BEA">
        <w:rPr>
          <w:i/>
        </w:rPr>
        <w:t xml:space="preserve">Report to the General Board of Health on a Preliminary Inquiry into the Sewerage, Drainage and Supply of Water and the Sanitary Condition of the Inhabitants of the Borough of </w:t>
      </w:r>
      <w:proofErr w:type="spellStart"/>
      <w:r w:rsidRPr="003C1BEA">
        <w:rPr>
          <w:i/>
        </w:rPr>
        <w:t>Llanelly</w:t>
      </w:r>
      <w:proofErr w:type="spellEnd"/>
      <w:r w:rsidRPr="003C1BEA">
        <w:t xml:space="preserve"> 1849</w:t>
      </w:r>
    </w:p>
  </w:footnote>
  <w:footnote w:id="18">
    <w:p w:rsidR="001E6122" w:rsidRDefault="001E6122" w:rsidP="00CB365A">
      <w:pPr>
        <w:pStyle w:val="FootnoteText"/>
      </w:pPr>
      <w:r>
        <w:rPr>
          <w:rStyle w:val="FootnoteReference"/>
        </w:rPr>
        <w:footnoteRef/>
      </w:r>
      <w:r>
        <w:t xml:space="preserve"> </w:t>
      </w:r>
      <w:r w:rsidRPr="00D6012E">
        <w:t xml:space="preserve">Sydney J Roderick, </w:t>
      </w:r>
      <w:r w:rsidRPr="001E6122">
        <w:rPr>
          <w:i/>
        </w:rPr>
        <w:t xml:space="preserve">Annual Report on the Sanitary Condition of the Urban District of </w:t>
      </w:r>
      <w:proofErr w:type="spellStart"/>
      <w:r w:rsidRPr="001E6122">
        <w:rPr>
          <w:i/>
        </w:rPr>
        <w:t>Llanelly</w:t>
      </w:r>
      <w:proofErr w:type="spellEnd"/>
      <w:r w:rsidRPr="001E6122">
        <w:rPr>
          <w:i/>
        </w:rPr>
        <w:t xml:space="preserve"> 1897</w:t>
      </w:r>
      <w:r w:rsidRPr="00105079">
        <w:t>.  Llanelli Borough Library reference section</w:t>
      </w:r>
    </w:p>
  </w:footnote>
  <w:footnote w:id="19">
    <w:p w:rsidR="001E6122" w:rsidRDefault="001E6122" w:rsidP="00CB365A">
      <w:pPr>
        <w:pStyle w:val="FootnoteText"/>
      </w:pPr>
      <w:r>
        <w:rPr>
          <w:rStyle w:val="FootnoteReference"/>
        </w:rPr>
        <w:footnoteRef/>
      </w:r>
      <w:r>
        <w:t xml:space="preserve"> Sydney J Roderick, Annual </w:t>
      </w:r>
      <w:r w:rsidRPr="001E6122">
        <w:rPr>
          <w:i/>
        </w:rPr>
        <w:t xml:space="preserve">Report on the Sanitary Condition of the Urban District of </w:t>
      </w:r>
      <w:proofErr w:type="spellStart"/>
      <w:r w:rsidRPr="001E6122">
        <w:rPr>
          <w:i/>
        </w:rPr>
        <w:t>Llanelly</w:t>
      </w:r>
      <w:proofErr w:type="spellEnd"/>
      <w:r>
        <w:t xml:space="preserve"> 1893.</w:t>
      </w:r>
      <w:r w:rsidRPr="001E6122">
        <w:t xml:space="preserve"> </w:t>
      </w:r>
      <w:r w:rsidRPr="00105079">
        <w:t>Llanelli Borough Library reference section</w:t>
      </w:r>
    </w:p>
  </w:footnote>
  <w:footnote w:id="20">
    <w:p w:rsidR="001E6122" w:rsidRDefault="001E6122">
      <w:pPr>
        <w:pStyle w:val="FootnoteText"/>
      </w:pPr>
      <w:r>
        <w:rPr>
          <w:rStyle w:val="FootnoteReference"/>
        </w:rPr>
        <w:footnoteRef/>
      </w:r>
      <w:r>
        <w:t xml:space="preserve"> </w:t>
      </w:r>
      <w:proofErr w:type="gramStart"/>
      <w:r>
        <w:t>Keith Strange.</w:t>
      </w:r>
      <w:proofErr w:type="gramEnd"/>
      <w:r>
        <w:t xml:space="preserve"> Op.cit. P48</w:t>
      </w:r>
    </w:p>
  </w:footnote>
  <w:footnote w:id="21">
    <w:p w:rsidR="001E6122" w:rsidRDefault="001E6122" w:rsidP="001E6122">
      <w:pPr>
        <w:pStyle w:val="FootnoteText"/>
      </w:pPr>
      <w:r>
        <w:rPr>
          <w:rStyle w:val="FootnoteReference"/>
        </w:rPr>
        <w:footnoteRef/>
      </w:r>
      <w:r>
        <w:t xml:space="preserve"> Anthony S. </w:t>
      </w:r>
      <w:proofErr w:type="spellStart"/>
      <w:r>
        <w:t>Wohl</w:t>
      </w:r>
      <w:proofErr w:type="spellEnd"/>
      <w:r>
        <w:t>. Op.cit. p. 80</w:t>
      </w:r>
    </w:p>
  </w:footnote>
  <w:footnote w:id="22">
    <w:p w:rsidR="001E6122" w:rsidRDefault="001E6122" w:rsidP="001E6122">
      <w:pPr>
        <w:pStyle w:val="FootnoteText"/>
      </w:pPr>
      <w:r>
        <w:rPr>
          <w:rStyle w:val="FootnoteReference"/>
        </w:rPr>
        <w:footnoteRef/>
      </w:r>
      <w:r>
        <w:t xml:space="preserve"> </w:t>
      </w:r>
      <w:proofErr w:type="spellStart"/>
      <w:proofErr w:type="gramStart"/>
      <w:r>
        <w:t>G.T.Clark</w:t>
      </w:r>
      <w:proofErr w:type="spellEnd"/>
      <w:r>
        <w:t>. Carmarthen Op.cit.</w:t>
      </w:r>
      <w:proofErr w:type="gramEnd"/>
      <w:r>
        <w:t xml:space="preserve"> p121</w:t>
      </w:r>
    </w:p>
  </w:footnote>
  <w:footnote w:id="23">
    <w:p w:rsidR="001E6122" w:rsidRDefault="001E6122" w:rsidP="001E6122">
      <w:pPr>
        <w:pStyle w:val="FootnoteText"/>
      </w:pPr>
      <w:r>
        <w:rPr>
          <w:rStyle w:val="FootnoteReference"/>
        </w:rPr>
        <w:footnoteRef/>
      </w:r>
      <w:r>
        <w:t xml:space="preserve"> </w:t>
      </w:r>
      <w:proofErr w:type="spellStart"/>
      <w:proofErr w:type="gramStart"/>
      <w:r>
        <w:t>G.T.Clark</w:t>
      </w:r>
      <w:proofErr w:type="spellEnd"/>
      <w:r>
        <w:t>. Llanelli Op.cit.</w:t>
      </w:r>
      <w:proofErr w:type="gramEnd"/>
      <w:r>
        <w:t xml:space="preserve"> </w:t>
      </w:r>
    </w:p>
  </w:footnote>
  <w:footnote w:id="24">
    <w:p w:rsidR="001E6122" w:rsidRDefault="001E6122" w:rsidP="001E6122">
      <w:pPr>
        <w:pStyle w:val="FootnoteText"/>
      </w:pPr>
      <w:r>
        <w:rPr>
          <w:rStyle w:val="FootnoteReference"/>
        </w:rPr>
        <w:footnoteRef/>
      </w:r>
      <w:r>
        <w:t xml:space="preserve"> Keith </w:t>
      </w:r>
      <w:proofErr w:type="spellStart"/>
      <w:r>
        <w:t>Strange.Op.cit</w:t>
      </w:r>
      <w:proofErr w:type="spellEnd"/>
      <w:r>
        <w:t>. p46</w:t>
      </w:r>
    </w:p>
  </w:footnote>
  <w:footnote w:id="25">
    <w:p w:rsidR="001E6122" w:rsidRDefault="001E6122" w:rsidP="001E6122">
      <w:pPr>
        <w:pStyle w:val="FootnoteText"/>
      </w:pPr>
      <w:r>
        <w:rPr>
          <w:rStyle w:val="FootnoteReference"/>
        </w:rPr>
        <w:footnoteRef/>
      </w:r>
      <w:r>
        <w:t xml:space="preserve"> CROC WWH/3/</w:t>
      </w:r>
      <w:proofErr w:type="gramStart"/>
      <w:r>
        <w:t>1  Annual</w:t>
      </w:r>
      <w:proofErr w:type="gramEnd"/>
      <w:r>
        <w:t xml:space="preserve"> Report of the County medical Officer, Dr E. Cambrian Thomas, 1913, p24.</w:t>
      </w:r>
    </w:p>
  </w:footnote>
  <w:footnote w:id="26">
    <w:p w:rsidR="001E6122" w:rsidRDefault="001E6122" w:rsidP="00CA758F">
      <w:pPr>
        <w:pStyle w:val="FootnoteText"/>
      </w:pPr>
      <w:r>
        <w:rPr>
          <w:rStyle w:val="FootnoteReference"/>
        </w:rPr>
        <w:footnoteRef/>
      </w:r>
      <w:r>
        <w:t xml:space="preserve"> Anthony S. </w:t>
      </w:r>
      <w:proofErr w:type="spellStart"/>
      <w:r>
        <w:t>Wohl</w:t>
      </w:r>
      <w:proofErr w:type="spellEnd"/>
      <w:r>
        <w:t xml:space="preserve">.  Op.cit. </w:t>
      </w:r>
    </w:p>
  </w:footnote>
  <w:footnote w:id="27">
    <w:p w:rsidR="001E6122" w:rsidRDefault="001E6122" w:rsidP="00CA758F">
      <w:pPr>
        <w:pStyle w:val="FootnoteText"/>
      </w:pPr>
      <w:r>
        <w:rPr>
          <w:rStyle w:val="FootnoteReference"/>
        </w:rPr>
        <w:footnoteRef/>
      </w:r>
      <w:r>
        <w:t xml:space="preserve"> </w:t>
      </w:r>
      <w:r w:rsidRPr="00D6012E">
        <w:t xml:space="preserve">Sydney J Roderick, </w:t>
      </w:r>
      <w:r>
        <w:t xml:space="preserve">1897 report. </w:t>
      </w:r>
      <w:proofErr w:type="gramStart"/>
      <w:r>
        <w:t>Op.cit.</w:t>
      </w:r>
      <w:proofErr w:type="gramEnd"/>
    </w:p>
  </w:footnote>
  <w:footnote w:id="28">
    <w:p w:rsidR="001E6122" w:rsidRDefault="001E6122" w:rsidP="00CA758F">
      <w:pPr>
        <w:pStyle w:val="FootnoteText"/>
      </w:pPr>
      <w:r>
        <w:rPr>
          <w:rStyle w:val="FootnoteReference"/>
        </w:rPr>
        <w:footnoteRef/>
      </w:r>
      <w:r>
        <w:t xml:space="preserve"> Heather James. </w:t>
      </w:r>
      <w:proofErr w:type="gramStart"/>
      <w:r>
        <w:t>Op.cit. p98.</w:t>
      </w:r>
      <w:proofErr w:type="gramEnd"/>
    </w:p>
  </w:footnote>
  <w:footnote w:id="29">
    <w:p w:rsidR="001E6122" w:rsidRDefault="001E6122" w:rsidP="00CA758F">
      <w:pPr>
        <w:pStyle w:val="FootnoteText"/>
      </w:pPr>
      <w:r>
        <w:rPr>
          <w:rStyle w:val="FootnoteReference"/>
        </w:rPr>
        <w:footnoteRef/>
      </w:r>
      <w:r>
        <w:t xml:space="preserve">  </w:t>
      </w:r>
      <w:r w:rsidRPr="00D6012E">
        <w:t xml:space="preserve">Sydney J Roderick, </w:t>
      </w:r>
      <w:r>
        <w:t>1897 Report. Op.cit</w:t>
      </w:r>
    </w:p>
  </w:footnote>
  <w:footnote w:id="30">
    <w:p w:rsidR="001E6122" w:rsidRPr="00105079" w:rsidRDefault="001E6122" w:rsidP="00CA758F">
      <w:pPr>
        <w:pStyle w:val="FootnoteText"/>
      </w:pPr>
      <w:r>
        <w:rPr>
          <w:rStyle w:val="FootnoteReference"/>
        </w:rPr>
        <w:footnoteRef/>
      </w:r>
      <w:r>
        <w:t xml:space="preserve">  </w:t>
      </w:r>
      <w:r w:rsidRPr="00105079">
        <w:t xml:space="preserve">Between 1834 and 1844 a number of investigations into public health and housing took place starting with the Poor Law Report in 1834; 1838 saw the sanitary enquiries of Drs Kay, </w:t>
      </w:r>
      <w:proofErr w:type="spellStart"/>
      <w:r w:rsidRPr="00105079">
        <w:t>Arnott</w:t>
      </w:r>
      <w:proofErr w:type="spellEnd"/>
      <w:r w:rsidRPr="00105079">
        <w:t xml:space="preserve"> and </w:t>
      </w:r>
      <w:proofErr w:type="spellStart"/>
      <w:r w:rsidRPr="00105079">
        <w:t>Southwood</w:t>
      </w:r>
      <w:proofErr w:type="spellEnd"/>
      <w:r w:rsidRPr="00105079">
        <w:t xml:space="preserve"> Smith in London; there was a Select Committee on the Health of Towns in 1840; Edwin Chadwick produced a comprehensive Report into the Sanitary Condition of the Labouring Population of Great Britain in 1842, and a </w:t>
      </w:r>
      <w:proofErr w:type="spellStart"/>
      <w:r w:rsidRPr="00105079">
        <w:t>a</w:t>
      </w:r>
      <w:proofErr w:type="spellEnd"/>
      <w:r w:rsidRPr="00105079">
        <w:t xml:space="preserve"> Royal Commission followed in 1844.</w:t>
      </w:r>
    </w:p>
  </w:footnote>
  <w:footnote w:id="31">
    <w:p w:rsidR="001E6122" w:rsidRPr="00105079" w:rsidRDefault="001E6122" w:rsidP="00CA758F">
      <w:pPr>
        <w:pStyle w:val="FootnoteText"/>
      </w:pPr>
      <w:r w:rsidRPr="00105079">
        <w:rPr>
          <w:rStyle w:val="FootnoteReference"/>
        </w:rPr>
        <w:footnoteRef/>
      </w:r>
      <w:r w:rsidRPr="00105079">
        <w:t xml:space="preserve"> Sir E. Chadwick. </w:t>
      </w:r>
      <w:r>
        <w:rPr>
          <w:i/>
        </w:rPr>
        <w:t xml:space="preserve">Op.cit </w:t>
      </w:r>
    </w:p>
  </w:footnote>
  <w:footnote w:id="32">
    <w:p w:rsidR="001E6122" w:rsidRPr="00105079" w:rsidRDefault="001E6122" w:rsidP="00CA758F">
      <w:pPr>
        <w:pStyle w:val="FootnoteText"/>
      </w:pPr>
      <w:r w:rsidRPr="00105079">
        <w:rPr>
          <w:rStyle w:val="FootnoteReference"/>
        </w:rPr>
        <w:footnoteRef/>
      </w:r>
      <w:r w:rsidRPr="00105079">
        <w:t xml:space="preserve">  Trinity St David’s MA Notes: The Urban Landscape </w:t>
      </w:r>
      <w:r>
        <w:t>Op.cit</w:t>
      </w:r>
    </w:p>
  </w:footnote>
  <w:footnote w:id="33">
    <w:p w:rsidR="001E6122" w:rsidRPr="00105079" w:rsidRDefault="001E6122" w:rsidP="00557F57">
      <w:pPr>
        <w:pStyle w:val="FootnoteText"/>
      </w:pPr>
      <w:r w:rsidRPr="00105079">
        <w:rPr>
          <w:rStyle w:val="FootnoteReference"/>
        </w:rPr>
        <w:footnoteRef/>
      </w:r>
      <w:r w:rsidRPr="00105079">
        <w:t xml:space="preserve">  </w:t>
      </w:r>
      <w:proofErr w:type="gramStart"/>
      <w:r w:rsidRPr="00105079">
        <w:rPr>
          <w:bCs/>
        </w:rPr>
        <w:t>Public Health Act 1848</w:t>
      </w:r>
      <w:r w:rsidRPr="00105079">
        <w:t xml:space="preserve"> (11 &amp; 12 </w:t>
      </w:r>
      <w:proofErr w:type="spellStart"/>
      <w:r w:rsidRPr="00105079">
        <w:t>Vict</w:t>
      </w:r>
      <w:proofErr w:type="spellEnd"/>
      <w:r w:rsidRPr="00105079">
        <w:t>. c.63).</w:t>
      </w:r>
      <w:proofErr w:type="gramEnd"/>
    </w:p>
  </w:footnote>
  <w:footnote w:id="34">
    <w:p w:rsidR="001E6122" w:rsidRPr="00105079" w:rsidRDefault="001E6122" w:rsidP="00557F57">
      <w:pPr>
        <w:pStyle w:val="FootnoteText"/>
      </w:pPr>
      <w:r w:rsidRPr="00105079">
        <w:rPr>
          <w:rStyle w:val="FootnoteReference"/>
        </w:rPr>
        <w:footnoteRef/>
      </w:r>
      <w:r w:rsidRPr="00105079">
        <w:t xml:space="preserve"> Trinity St David’s MA Notes</w:t>
      </w:r>
      <w:r>
        <w:t>. Health in Nine</w:t>
      </w:r>
      <w:r w:rsidR="004235FA">
        <w:t>teenth Century Wales, 2014</w:t>
      </w:r>
    </w:p>
  </w:footnote>
  <w:footnote w:id="35">
    <w:p w:rsidR="001E6122" w:rsidRDefault="001E6122" w:rsidP="00557F57">
      <w:pPr>
        <w:pStyle w:val="FootnoteText"/>
      </w:pPr>
      <w:r>
        <w:rPr>
          <w:rStyle w:val="FootnoteReference"/>
        </w:rPr>
        <w:footnoteRef/>
      </w:r>
      <w:r>
        <w:t xml:space="preserve"> </w:t>
      </w:r>
      <w:proofErr w:type="spellStart"/>
      <w:r>
        <w:t>G.T.Clark</w:t>
      </w:r>
      <w:proofErr w:type="spellEnd"/>
      <w:r>
        <w:t xml:space="preserve"> 1849 </w:t>
      </w:r>
      <w:proofErr w:type="spellStart"/>
      <w:r>
        <w:t>Llanelly</w:t>
      </w:r>
      <w:proofErr w:type="spellEnd"/>
      <w:r>
        <w:t xml:space="preserve"> </w:t>
      </w:r>
      <w:proofErr w:type="spellStart"/>
      <w:r>
        <w:t>Op.cit</w:t>
      </w:r>
      <w:proofErr w:type="spellEnd"/>
      <w:r>
        <w:t xml:space="preserve"> </w:t>
      </w:r>
    </w:p>
  </w:footnote>
  <w:footnote w:id="36">
    <w:p w:rsidR="001E6122" w:rsidRDefault="001E6122" w:rsidP="00557F57">
      <w:pPr>
        <w:pStyle w:val="FootnoteText"/>
      </w:pPr>
      <w:r w:rsidRPr="00105079">
        <w:rPr>
          <w:rStyle w:val="FootnoteReference"/>
        </w:rPr>
        <w:footnoteRef/>
      </w:r>
      <w:r>
        <w:t xml:space="preserve"> G.T. Clark.  Idem</w:t>
      </w:r>
    </w:p>
  </w:footnote>
  <w:footnote w:id="37">
    <w:p w:rsidR="001E6122" w:rsidRDefault="001E6122" w:rsidP="00557F57">
      <w:pPr>
        <w:pStyle w:val="FootnoteText"/>
      </w:pPr>
      <w:r>
        <w:rPr>
          <w:rStyle w:val="FootnoteReference"/>
        </w:rPr>
        <w:footnoteRef/>
      </w:r>
      <w:r>
        <w:t xml:space="preserve"> Heather James. </w:t>
      </w:r>
      <w:r w:rsidRPr="005D76FE">
        <w:rPr>
          <w:i/>
        </w:rPr>
        <w:t>Cholera and the Public Health Movement in Carmarthen 1848-1856</w:t>
      </w:r>
      <w:r>
        <w:rPr>
          <w:i/>
        </w:rPr>
        <w:t xml:space="preserve">, </w:t>
      </w:r>
      <w:r>
        <w:t xml:space="preserve"> Carmarthen Antiquary 1988 </w:t>
      </w:r>
      <w:proofErr w:type="spellStart"/>
      <w:r>
        <w:t>Vol</w:t>
      </w:r>
      <w:proofErr w:type="spellEnd"/>
      <w:r>
        <w:t xml:space="preserve"> XXIV p103 </w:t>
      </w:r>
    </w:p>
  </w:footnote>
  <w:footnote w:id="38">
    <w:p w:rsidR="001E6122" w:rsidRDefault="001E6122" w:rsidP="00557F57">
      <w:pPr>
        <w:pStyle w:val="FootnoteText"/>
      </w:pPr>
      <w:r>
        <w:rPr>
          <w:rStyle w:val="FootnoteReference"/>
        </w:rPr>
        <w:footnoteRef/>
      </w:r>
      <w:r>
        <w:t xml:space="preserve">  </w:t>
      </w:r>
      <w:proofErr w:type="gramStart"/>
      <w:r w:rsidRPr="00C2721B">
        <w:rPr>
          <w:i/>
        </w:rPr>
        <w:t>Decennial Mortality Rates</w:t>
      </w:r>
      <w:r>
        <w:t>.</w:t>
      </w:r>
      <w:proofErr w:type="gramEnd"/>
      <w:r>
        <w:t xml:space="preserve"> See Appendix A</w:t>
      </w:r>
    </w:p>
  </w:footnote>
  <w:footnote w:id="39">
    <w:p w:rsidR="001E6122" w:rsidRDefault="001E6122" w:rsidP="00557F57">
      <w:pPr>
        <w:pStyle w:val="FootnoteText"/>
      </w:pPr>
      <w:r>
        <w:rPr>
          <w:rStyle w:val="FootnoteReference"/>
        </w:rPr>
        <w:footnoteRef/>
      </w:r>
      <w:r>
        <w:t xml:space="preserve"> Sydney J Roderick.  </w:t>
      </w:r>
      <w:proofErr w:type="gramStart"/>
      <w:r w:rsidRPr="00C2721B">
        <w:rPr>
          <w:i/>
        </w:rPr>
        <w:t>Annual Report 1897</w:t>
      </w:r>
      <w:r>
        <w:t>, Op cit.</w:t>
      </w:r>
      <w:proofErr w:type="gramEnd"/>
      <w:r>
        <w:t xml:space="preserve"> </w:t>
      </w:r>
    </w:p>
  </w:footnote>
  <w:footnote w:id="40">
    <w:p w:rsidR="001E6122" w:rsidRDefault="001E6122" w:rsidP="00557F57">
      <w:pPr>
        <w:pStyle w:val="FootnoteText"/>
      </w:pPr>
      <w:r>
        <w:rPr>
          <w:rStyle w:val="FootnoteReference"/>
        </w:rPr>
        <w:footnoteRef/>
      </w:r>
      <w:r>
        <w:t xml:space="preserve"> </w:t>
      </w:r>
      <w:r w:rsidRPr="00D6012E">
        <w:t>Sydney J Roderick</w:t>
      </w:r>
      <w:r>
        <w:t xml:space="preserve"> </w:t>
      </w:r>
      <w:r w:rsidRPr="007E0305">
        <w:rPr>
          <w:i/>
        </w:rPr>
        <w:t>1897 report</w:t>
      </w:r>
      <w:r>
        <w:t>, Op.cit</w:t>
      </w:r>
      <w:proofErr w:type="gramStart"/>
      <w:r>
        <w:t>..</w:t>
      </w:r>
      <w:proofErr w:type="gramEnd"/>
    </w:p>
  </w:footnote>
  <w:footnote w:id="41">
    <w:p w:rsidR="001E6122" w:rsidRPr="005E230C" w:rsidRDefault="001E6122" w:rsidP="00557F57">
      <w:pPr>
        <w:pStyle w:val="FootnoteText"/>
        <w:rPr>
          <w:color w:val="FF0000"/>
        </w:rPr>
      </w:pPr>
      <w:r>
        <w:rPr>
          <w:rStyle w:val="FootnoteReference"/>
        </w:rPr>
        <w:footnoteRef/>
      </w:r>
      <w:r>
        <w:t xml:space="preserve"> South Wales Sentinel 27 October 1911 </w:t>
      </w:r>
    </w:p>
  </w:footnote>
  <w:footnote w:id="42">
    <w:p w:rsidR="001E6122" w:rsidRDefault="001E6122" w:rsidP="00557F57">
      <w:pPr>
        <w:pStyle w:val="FootnoteText"/>
      </w:pPr>
      <w:r>
        <w:rPr>
          <w:rStyle w:val="FootnoteReference"/>
        </w:rPr>
        <w:footnoteRef/>
      </w:r>
      <w:r>
        <w:t xml:space="preserve"> Trinity St David’s MA notes. </w:t>
      </w:r>
      <w:r w:rsidRPr="00D11428">
        <w:rPr>
          <w:i/>
        </w:rPr>
        <w:t>Infant Mortality</w:t>
      </w:r>
      <w:r w:rsidR="004235FA">
        <w:t xml:space="preserve">, </w:t>
      </w:r>
      <w:r w:rsidR="004235FA">
        <w:t>2014</w:t>
      </w:r>
      <w:bookmarkStart w:id="0" w:name="_GoBack"/>
      <w:bookmarkEnd w:id="0"/>
    </w:p>
  </w:footnote>
  <w:footnote w:id="43">
    <w:p w:rsidR="001E6122" w:rsidRDefault="001E6122" w:rsidP="008A6F39">
      <w:pPr>
        <w:pStyle w:val="FootnoteText"/>
      </w:pPr>
      <w:r>
        <w:rPr>
          <w:rStyle w:val="FootnoteReference"/>
        </w:rPr>
        <w:footnoteRef/>
      </w:r>
      <w:r>
        <w:t xml:space="preserve"> Trinity St David’s MA Notes</w:t>
      </w:r>
      <w:r w:rsidRPr="009624EB">
        <w:rPr>
          <w:i/>
        </w:rPr>
        <w:t>.  Infant Mortality</w:t>
      </w:r>
      <w:r>
        <w:t xml:space="preserve"> op cit</w:t>
      </w:r>
    </w:p>
  </w:footnote>
  <w:footnote w:id="44">
    <w:p w:rsidR="001E6122" w:rsidRDefault="001E6122" w:rsidP="008A6F39">
      <w:pPr>
        <w:pStyle w:val="FootnoteText"/>
      </w:pPr>
      <w:r>
        <w:rPr>
          <w:rStyle w:val="FootnoteReference"/>
        </w:rPr>
        <w:footnoteRef/>
      </w:r>
      <w:r>
        <w:t xml:space="preserve"> Sydney J. Roderick, 1897 Report.  Op.cit </w:t>
      </w:r>
    </w:p>
  </w:footnote>
  <w:footnote w:id="45">
    <w:p w:rsidR="001E6122" w:rsidRDefault="001E6122" w:rsidP="008A6F39">
      <w:pPr>
        <w:pStyle w:val="FootnoteText"/>
      </w:pPr>
      <w:r>
        <w:rPr>
          <w:rStyle w:val="FootnoteReference"/>
        </w:rPr>
        <w:footnoteRef/>
      </w:r>
      <w:r>
        <w:t xml:space="preserve">  John Hughes. </w:t>
      </w:r>
      <w:proofErr w:type="gramStart"/>
      <w:r w:rsidRPr="002F4806">
        <w:rPr>
          <w:i/>
        </w:rPr>
        <w:t>First Annual Report of the Carmarthen Medical Officer of Health</w:t>
      </w:r>
      <w:r>
        <w:t>, 1873.</w:t>
      </w:r>
      <w:proofErr w:type="gramEnd"/>
      <w:r>
        <w:t xml:space="preserve"> p6. Carmarthen Reference Library</w:t>
      </w:r>
    </w:p>
  </w:footnote>
  <w:footnote w:id="46">
    <w:p w:rsidR="001E6122" w:rsidRDefault="001E6122" w:rsidP="008A6F39">
      <w:pPr>
        <w:pStyle w:val="FootnoteText"/>
      </w:pPr>
      <w:r>
        <w:rPr>
          <w:rStyle w:val="FootnoteReference"/>
        </w:rPr>
        <w:footnoteRef/>
      </w:r>
      <w:r>
        <w:t xml:space="preserve">  Anthony. S. </w:t>
      </w:r>
      <w:proofErr w:type="spellStart"/>
      <w:r>
        <w:t>Wohl</w:t>
      </w:r>
      <w:proofErr w:type="spellEnd"/>
      <w:r>
        <w:t xml:space="preserve">, </w:t>
      </w:r>
      <w:r w:rsidRPr="00B33CF0">
        <w:rPr>
          <w:i/>
        </w:rPr>
        <w:t>Endangered Lives- - Public Health in Victorian Britain</w:t>
      </w:r>
      <w:r>
        <w:t>. Cambridge: CUP 1983, p290</w:t>
      </w:r>
    </w:p>
  </w:footnote>
  <w:footnote w:id="47">
    <w:p w:rsidR="001E6122" w:rsidRDefault="001E6122" w:rsidP="00EF17E4">
      <w:pPr>
        <w:pStyle w:val="FootnoteText"/>
      </w:pPr>
      <w:r>
        <w:rPr>
          <w:rStyle w:val="FootnoteReference"/>
        </w:rPr>
        <w:footnoteRef/>
      </w:r>
      <w:r>
        <w:t xml:space="preserve">  Annual Reports of the Registrar General for 1837, 1849, 1856, 1871, 1887 and 1900 accessed through </w:t>
      </w:r>
      <w:hyperlink r:id="rId2" w:history="1">
        <w:r w:rsidRPr="00C7122C">
          <w:rPr>
            <w:rStyle w:val="Hyperlink"/>
          </w:rPr>
          <w:t>http://parlipapers.chadwyck.co.uk</w:t>
        </w:r>
      </w:hyperlink>
      <w:r>
        <w:t xml:space="preserve"> </w:t>
      </w:r>
    </w:p>
  </w:footnote>
  <w:footnote w:id="48">
    <w:p w:rsidR="001E6122" w:rsidRDefault="001E6122" w:rsidP="00EF17E4">
      <w:pPr>
        <w:pStyle w:val="FootnoteText"/>
      </w:pPr>
      <w:r>
        <w:rPr>
          <w:rStyle w:val="FootnoteReference"/>
        </w:rPr>
        <w:footnoteRef/>
      </w:r>
      <w:r>
        <w:t xml:space="preserve">  </w:t>
      </w:r>
      <w:proofErr w:type="spellStart"/>
      <w:r>
        <w:t>Russel</w:t>
      </w:r>
      <w:proofErr w:type="spellEnd"/>
      <w:r>
        <w:t xml:space="preserve"> Davies. </w:t>
      </w:r>
      <w:r w:rsidRPr="00C878F1">
        <w:rPr>
          <w:i/>
        </w:rPr>
        <w:t>Secret Sins</w:t>
      </w:r>
      <w:r>
        <w:rPr>
          <w:i/>
        </w:rPr>
        <w:t>, Op cit</w:t>
      </w:r>
      <w:proofErr w:type="gramStart"/>
      <w:r>
        <w:rPr>
          <w:i/>
        </w:rPr>
        <w:t xml:space="preserve">, </w:t>
      </w:r>
      <w:r w:rsidRPr="00C878F1">
        <w:t xml:space="preserve"> p</w:t>
      </w:r>
      <w:r>
        <w:t>24</w:t>
      </w:r>
      <w:proofErr w:type="gramEnd"/>
      <w:r w:rsidRPr="00C878F1">
        <w:t>.</w:t>
      </w:r>
    </w:p>
  </w:footnote>
  <w:footnote w:id="49">
    <w:p w:rsidR="001E6122" w:rsidRPr="00105079" w:rsidRDefault="001E6122" w:rsidP="00EF17E4">
      <w:pPr>
        <w:pStyle w:val="FootnoteText"/>
      </w:pPr>
      <w:r w:rsidRPr="00105079">
        <w:rPr>
          <w:rStyle w:val="FootnoteReference"/>
        </w:rPr>
        <w:footnoteRef/>
      </w:r>
      <w:r w:rsidRPr="00105079">
        <w:t xml:space="preserve"> </w:t>
      </w:r>
      <w:r>
        <w:t xml:space="preserve"> </w:t>
      </w:r>
      <w:r w:rsidRPr="00105079">
        <w:t>35</w:t>
      </w:r>
      <w:r w:rsidRPr="00105079">
        <w:rPr>
          <w:vertAlign w:val="superscript"/>
        </w:rPr>
        <w:t>th</w:t>
      </w:r>
      <w:r w:rsidRPr="00105079">
        <w:t xml:space="preserve"> Annual Report of the Registrar General </w:t>
      </w:r>
      <w:proofErr w:type="gramStart"/>
      <w:r w:rsidRPr="00105079">
        <w:t>op</w:t>
      </w:r>
      <w:proofErr w:type="gramEnd"/>
      <w:r w:rsidRPr="00105079">
        <w:t xml:space="preserve"> cit.</w:t>
      </w:r>
    </w:p>
  </w:footnote>
  <w:footnote w:id="50">
    <w:p w:rsidR="001E6122" w:rsidRPr="00105079" w:rsidRDefault="001E6122" w:rsidP="00EF17E4">
      <w:pPr>
        <w:pStyle w:val="FootnoteText"/>
      </w:pPr>
      <w:r w:rsidRPr="00105079">
        <w:rPr>
          <w:rStyle w:val="FootnoteReference"/>
        </w:rPr>
        <w:footnoteRef/>
      </w:r>
      <w:r w:rsidRPr="00105079">
        <w:t xml:space="preserve">  George Buchanan, quoted by John Hughes 1873 report, Op </w:t>
      </w:r>
      <w:proofErr w:type="gramStart"/>
      <w:r w:rsidRPr="00105079">
        <w:t>cit..</w:t>
      </w:r>
      <w:proofErr w:type="gramEnd"/>
      <w:r w:rsidRPr="00105079">
        <w:t xml:space="preserve"> </w:t>
      </w:r>
    </w:p>
  </w:footnote>
  <w:footnote w:id="51">
    <w:p w:rsidR="001E6122" w:rsidRPr="00105079" w:rsidRDefault="001E6122" w:rsidP="00EF17E4">
      <w:pPr>
        <w:pStyle w:val="FootnoteText"/>
      </w:pPr>
      <w:r w:rsidRPr="00105079">
        <w:rPr>
          <w:rStyle w:val="FootnoteReference"/>
        </w:rPr>
        <w:footnoteRef/>
      </w:r>
      <w:r w:rsidRPr="00105079">
        <w:t xml:space="preserve"> </w:t>
      </w:r>
      <w:r>
        <w:t xml:space="preserve"> </w:t>
      </w:r>
      <w:r w:rsidRPr="00105079">
        <w:t>Trinity St David’s MA Notes 19</w:t>
      </w:r>
      <w:r w:rsidRPr="00105079">
        <w:rPr>
          <w:vertAlign w:val="superscript"/>
        </w:rPr>
        <w:t>th</w:t>
      </w:r>
      <w:r w:rsidRPr="00105079">
        <w:t xml:space="preserve"> Century Cholera 24.11.2010</w:t>
      </w:r>
    </w:p>
  </w:footnote>
  <w:footnote w:id="52">
    <w:p w:rsidR="001E6122" w:rsidRPr="00105079" w:rsidRDefault="001E6122" w:rsidP="00EF17E4">
      <w:pPr>
        <w:pStyle w:val="FootnoteText"/>
      </w:pPr>
      <w:r w:rsidRPr="00105079">
        <w:rPr>
          <w:rStyle w:val="FootnoteReference"/>
        </w:rPr>
        <w:footnoteRef/>
      </w:r>
      <w:r w:rsidRPr="00105079">
        <w:t xml:space="preserve"> </w:t>
      </w:r>
      <w:r>
        <w:t xml:space="preserve"> </w:t>
      </w:r>
      <w:r w:rsidRPr="00105079">
        <w:t xml:space="preserve">Annual Reports of the Llanelli Medical Officer of Health 1880-1889 and 1890-1899,  Llanelli Borough Library </w:t>
      </w:r>
      <w:r>
        <w:t>reference section</w:t>
      </w:r>
    </w:p>
  </w:footnote>
  <w:footnote w:id="53">
    <w:p w:rsidR="001E6122" w:rsidRPr="00105079" w:rsidRDefault="001E6122" w:rsidP="00EF17E4">
      <w:pPr>
        <w:pStyle w:val="FootnoteText"/>
      </w:pPr>
      <w:r w:rsidRPr="00105079">
        <w:rPr>
          <w:rStyle w:val="FootnoteReference"/>
        </w:rPr>
        <w:footnoteRef/>
      </w:r>
      <w:r w:rsidRPr="00105079">
        <w:t xml:space="preserve"> </w:t>
      </w:r>
      <w:r>
        <w:t xml:space="preserve"> John </w:t>
      </w:r>
      <w:r w:rsidRPr="00105079">
        <w:t>Snow</w:t>
      </w:r>
      <w:r>
        <w:t>.</w:t>
      </w:r>
      <w:r w:rsidRPr="00105079">
        <w:t xml:space="preserve"> </w:t>
      </w:r>
      <w:proofErr w:type="gramStart"/>
      <w:r w:rsidRPr="00105079">
        <w:rPr>
          <w:i/>
        </w:rPr>
        <w:t>On the Mode of Communication of Cholera</w:t>
      </w:r>
      <w:r w:rsidRPr="00105079">
        <w:t>.</w:t>
      </w:r>
      <w:proofErr w:type="gramEnd"/>
      <w:r w:rsidRPr="00105079">
        <w:t xml:space="preserve"> London: John Churchill 1855. </w:t>
      </w:r>
    </w:p>
  </w:footnote>
  <w:footnote w:id="54">
    <w:p w:rsidR="001E6122" w:rsidRPr="00105079" w:rsidRDefault="001E6122" w:rsidP="00EF17E4">
      <w:pPr>
        <w:pStyle w:val="FootnoteText"/>
      </w:pPr>
      <w:r w:rsidRPr="00105079">
        <w:rPr>
          <w:rStyle w:val="FootnoteReference"/>
        </w:rPr>
        <w:footnoteRef/>
      </w:r>
      <w:r w:rsidRPr="00105079">
        <w:t xml:space="preserve">  </w:t>
      </w:r>
      <w:proofErr w:type="spellStart"/>
      <w:r w:rsidRPr="00105079">
        <w:t>H.C.Buckley</w:t>
      </w:r>
      <w:proofErr w:type="spellEnd"/>
      <w:proofErr w:type="gramStart"/>
      <w:r>
        <w:t xml:space="preserve">. </w:t>
      </w:r>
      <w:r w:rsidRPr="00105079">
        <w:t xml:space="preserve"> Annual</w:t>
      </w:r>
      <w:proofErr w:type="gramEnd"/>
      <w:r w:rsidRPr="00105079">
        <w:t xml:space="preserve"> Report on the Sanitary Condition of the Urban District of </w:t>
      </w:r>
      <w:proofErr w:type="spellStart"/>
      <w:r w:rsidRPr="00105079">
        <w:t>Llanelly</w:t>
      </w:r>
      <w:proofErr w:type="spellEnd"/>
      <w:r w:rsidRPr="00105079">
        <w:t xml:space="preserve"> 1882.  Llanelli Borough Library reference section </w:t>
      </w:r>
    </w:p>
  </w:footnote>
  <w:footnote w:id="55">
    <w:p w:rsidR="001E6122" w:rsidRPr="00105079" w:rsidRDefault="001E6122" w:rsidP="00EF17E4">
      <w:pPr>
        <w:pStyle w:val="FootnoteText"/>
      </w:pPr>
      <w:r w:rsidRPr="00105079">
        <w:rPr>
          <w:rStyle w:val="FootnoteReference"/>
        </w:rPr>
        <w:footnoteRef/>
      </w:r>
      <w:r w:rsidRPr="00105079">
        <w:t xml:space="preserve"> </w:t>
      </w:r>
      <w:r>
        <w:t xml:space="preserve"> </w:t>
      </w:r>
      <w:r w:rsidRPr="00105079">
        <w:t>H.C. Buckley</w:t>
      </w:r>
      <w:r>
        <w:t xml:space="preserve">.  </w:t>
      </w:r>
      <w:proofErr w:type="gramStart"/>
      <w:r>
        <w:t>Annual Report 1882.</w:t>
      </w:r>
      <w:proofErr w:type="gramEnd"/>
      <w:r>
        <w:t xml:space="preserve"> </w:t>
      </w:r>
      <w:r w:rsidRPr="00105079">
        <w:t xml:space="preserve"> Idem</w:t>
      </w:r>
    </w:p>
  </w:footnote>
  <w:footnote w:id="56">
    <w:p w:rsidR="001E6122" w:rsidRPr="00105079" w:rsidRDefault="001E6122" w:rsidP="00EF17E4">
      <w:pPr>
        <w:pStyle w:val="FootnoteText"/>
      </w:pPr>
      <w:r w:rsidRPr="00105079">
        <w:rPr>
          <w:rStyle w:val="FootnoteReference"/>
        </w:rPr>
        <w:footnoteRef/>
      </w:r>
      <w:r w:rsidRPr="00105079">
        <w:t xml:space="preserve"> </w:t>
      </w:r>
      <w:r>
        <w:t xml:space="preserve"> </w:t>
      </w:r>
      <w:r w:rsidRPr="00105079">
        <w:rPr>
          <w:i/>
        </w:rPr>
        <w:t>24</w:t>
      </w:r>
      <w:r w:rsidRPr="00105079">
        <w:rPr>
          <w:i/>
          <w:vertAlign w:val="superscript"/>
        </w:rPr>
        <w:t>th</w:t>
      </w:r>
      <w:r w:rsidRPr="00105079">
        <w:rPr>
          <w:i/>
        </w:rPr>
        <w:t xml:space="preserve"> Annual Report of the Registrar General, </w:t>
      </w:r>
      <w:r w:rsidRPr="00105079">
        <w:t>Op Cit,  p217</w:t>
      </w:r>
    </w:p>
  </w:footnote>
  <w:footnote w:id="57">
    <w:p w:rsidR="001E6122" w:rsidRDefault="001E6122" w:rsidP="00EF17E4">
      <w:pPr>
        <w:pStyle w:val="FootnoteText"/>
      </w:pPr>
      <w:r>
        <w:rPr>
          <w:rStyle w:val="FootnoteReference"/>
        </w:rPr>
        <w:footnoteRef/>
      </w:r>
      <w:r>
        <w:t xml:space="preserve">  Anthony S. </w:t>
      </w:r>
      <w:proofErr w:type="spellStart"/>
      <w:r>
        <w:t>Wohl</w:t>
      </w:r>
      <w:proofErr w:type="spellEnd"/>
      <w:r>
        <w:t>. Op cit, p10</w:t>
      </w:r>
    </w:p>
  </w:footnote>
  <w:footnote w:id="58">
    <w:p w:rsidR="001E6122" w:rsidRDefault="001E6122" w:rsidP="00EF17E4">
      <w:pPr>
        <w:pStyle w:val="FootnoteText"/>
      </w:pPr>
      <w:r>
        <w:rPr>
          <w:rStyle w:val="FootnoteReference"/>
        </w:rPr>
        <w:footnoteRef/>
      </w:r>
      <w:r>
        <w:t xml:space="preserve">  Trinity St David’s MA notes</w:t>
      </w:r>
      <w:r w:rsidRPr="008E4F31">
        <w:rPr>
          <w:i/>
        </w:rPr>
        <w:t>. Infant Mortality</w:t>
      </w:r>
      <w:r>
        <w:rPr>
          <w:i/>
        </w:rPr>
        <w:t xml:space="preserve"> op cit</w:t>
      </w:r>
    </w:p>
  </w:footnote>
  <w:footnote w:id="59">
    <w:p w:rsidR="001E6122" w:rsidRDefault="001E6122" w:rsidP="00EF17E4">
      <w:pPr>
        <w:pStyle w:val="FootnoteText"/>
      </w:pPr>
      <w:r>
        <w:rPr>
          <w:rStyle w:val="FootnoteReference"/>
        </w:rPr>
        <w:footnoteRef/>
      </w:r>
      <w:r>
        <w:t xml:space="preserve">  Report of the </w:t>
      </w:r>
      <w:r w:rsidRPr="00263AD1">
        <w:rPr>
          <w:i/>
        </w:rPr>
        <w:t>Inter-Departmental Committee on Physical Deterioration</w:t>
      </w:r>
      <w:r>
        <w:t xml:space="preserve"> London: HMSO, 1904, </w:t>
      </w:r>
      <w:proofErr w:type="spellStart"/>
      <w:r>
        <w:t>p.xxxiv</w:t>
      </w:r>
      <w:proofErr w:type="spellEnd"/>
    </w:p>
  </w:footnote>
  <w:footnote w:id="60">
    <w:p w:rsidR="001E6122" w:rsidRDefault="001E6122" w:rsidP="00EF17E4">
      <w:pPr>
        <w:pStyle w:val="FootnoteText"/>
      </w:pPr>
      <w:r>
        <w:rPr>
          <w:rStyle w:val="FootnoteReference"/>
        </w:rPr>
        <w:footnoteRef/>
      </w:r>
      <w:r>
        <w:t xml:space="preserve">  Trinity St David’s MA notes. </w:t>
      </w:r>
      <w:proofErr w:type="gramStart"/>
      <w:r w:rsidRPr="00D11428">
        <w:rPr>
          <w:i/>
        </w:rPr>
        <w:t>Infant Mortality</w:t>
      </w:r>
      <w:r>
        <w:t>, Op cit.</w:t>
      </w:r>
      <w:proofErr w:type="gramEnd"/>
    </w:p>
  </w:footnote>
  <w:footnote w:id="61">
    <w:p w:rsidR="001E6122" w:rsidRDefault="001E6122" w:rsidP="00EF17E4">
      <w:pPr>
        <w:pStyle w:val="FootnoteText"/>
      </w:pPr>
      <w:r>
        <w:rPr>
          <w:rStyle w:val="FootnoteReference"/>
        </w:rPr>
        <w:footnoteRef/>
      </w:r>
      <w:r>
        <w:t xml:space="preserve">  </w:t>
      </w:r>
      <w:proofErr w:type="gramStart"/>
      <w:r>
        <w:t>Keith Strange.</w:t>
      </w:r>
      <w:proofErr w:type="gramEnd"/>
      <w:r>
        <w:t xml:space="preserve">  Op.cit, p52</w:t>
      </w:r>
    </w:p>
  </w:footnote>
  <w:footnote w:id="62">
    <w:p w:rsidR="001E6122" w:rsidRDefault="001E6122" w:rsidP="00EF17E4">
      <w:pPr>
        <w:pStyle w:val="FootnoteText"/>
      </w:pPr>
      <w:r>
        <w:rPr>
          <w:rStyle w:val="FootnoteReference"/>
        </w:rPr>
        <w:footnoteRef/>
      </w:r>
      <w:r>
        <w:t xml:space="preserve">  </w:t>
      </w:r>
      <w:proofErr w:type="gramStart"/>
      <w:r>
        <w:t>Annual Report of the Registrar General for births, deaths and marriages in England.</w:t>
      </w:r>
      <w:proofErr w:type="gramEnd"/>
      <w:r>
        <w:t xml:space="preserve"> 1908</w:t>
      </w:r>
    </w:p>
  </w:footnote>
  <w:footnote w:id="63">
    <w:p w:rsidR="001E6122" w:rsidRDefault="001E6122" w:rsidP="00EF17E4">
      <w:pPr>
        <w:pStyle w:val="FootnoteText"/>
      </w:pPr>
      <w:r>
        <w:rPr>
          <w:rStyle w:val="FootnoteReference"/>
        </w:rPr>
        <w:footnoteRef/>
      </w:r>
      <w:r>
        <w:t xml:space="preserve">  </w:t>
      </w:r>
      <w:proofErr w:type="gramStart"/>
      <w:r w:rsidRPr="00105079">
        <w:rPr>
          <w:i/>
        </w:rPr>
        <w:t>39</w:t>
      </w:r>
      <w:r w:rsidRPr="00105079">
        <w:rPr>
          <w:i/>
          <w:vertAlign w:val="superscript"/>
        </w:rPr>
        <w:t>th</w:t>
      </w:r>
      <w:r w:rsidRPr="00105079">
        <w:rPr>
          <w:i/>
        </w:rPr>
        <w:t xml:space="preserve"> Report of the Medical Officer of the Local Government Board</w:t>
      </w:r>
      <w:r>
        <w:t>.</w:t>
      </w:r>
      <w:proofErr w:type="gramEnd"/>
      <w:r>
        <w:t xml:space="preserve"> P56</w:t>
      </w:r>
    </w:p>
  </w:footnote>
  <w:footnote w:id="64">
    <w:p w:rsidR="00440828" w:rsidRDefault="00440828">
      <w:pPr>
        <w:pStyle w:val="FootnoteText"/>
      </w:pPr>
      <w:r>
        <w:rPr>
          <w:rStyle w:val="FootnoteReference"/>
        </w:rPr>
        <w:footnoteRef/>
      </w:r>
      <w:r>
        <w:t xml:space="preserve"> Russell Davies. Op.cit p262</w:t>
      </w:r>
    </w:p>
  </w:footnote>
  <w:footnote w:id="65">
    <w:p w:rsidR="001E6122" w:rsidRDefault="001E6122" w:rsidP="00EF17E4">
      <w:pPr>
        <w:pStyle w:val="FootnoteText"/>
      </w:pPr>
      <w:r>
        <w:rPr>
          <w:rStyle w:val="FootnoteReference"/>
        </w:rPr>
        <w:footnoteRef/>
      </w:r>
      <w:r>
        <w:t xml:space="preserve">  Trinity St David’s MA Notes</w:t>
      </w:r>
      <w:r w:rsidRPr="00D11428">
        <w:rPr>
          <w:i/>
        </w:rPr>
        <w:t xml:space="preserve">.  </w:t>
      </w:r>
      <w:proofErr w:type="gramStart"/>
      <w:r w:rsidRPr="00D11428">
        <w:rPr>
          <w:i/>
        </w:rPr>
        <w:t>Infant Mortality</w:t>
      </w:r>
      <w:r>
        <w:t>, Op cit.</w:t>
      </w:r>
      <w:proofErr w:type="gramEnd"/>
      <w:r>
        <w:t xml:space="preserve"> </w:t>
      </w:r>
    </w:p>
  </w:footnote>
  <w:footnote w:id="66">
    <w:p w:rsidR="001E6122" w:rsidRDefault="001E6122" w:rsidP="00EF17E4">
      <w:pPr>
        <w:pStyle w:val="FootnoteText"/>
      </w:pPr>
      <w:r>
        <w:rPr>
          <w:rStyle w:val="FootnoteReference"/>
        </w:rPr>
        <w:footnoteRef/>
      </w:r>
      <w:r>
        <w:t xml:space="preserve">  D. Arthur Hughes:  </w:t>
      </w:r>
      <w:r w:rsidRPr="000F3458">
        <w:rPr>
          <w:i/>
        </w:rPr>
        <w:t>Annual Report of Carmarthenshire Medical Officer of Health</w:t>
      </w:r>
      <w:r>
        <w:t xml:space="preserve">, 1912.  Carmarthen Reference Library </w:t>
      </w:r>
    </w:p>
  </w:footnote>
  <w:footnote w:id="67">
    <w:p w:rsidR="001E6122" w:rsidRDefault="001E6122" w:rsidP="00EF17E4">
      <w:pPr>
        <w:pStyle w:val="FootnoteText"/>
      </w:pPr>
      <w:r>
        <w:rPr>
          <w:rStyle w:val="FootnoteReference"/>
        </w:rPr>
        <w:footnoteRef/>
      </w:r>
      <w:r>
        <w:t xml:space="preserve">  Thomas </w:t>
      </w:r>
      <w:proofErr w:type="spellStart"/>
      <w:r>
        <w:t>McKeown</w:t>
      </w:r>
      <w:proofErr w:type="spellEnd"/>
      <w:r>
        <w:t xml:space="preserve">. </w:t>
      </w:r>
      <w:r w:rsidRPr="00D444F6">
        <w:rPr>
          <w:i/>
        </w:rPr>
        <w:t>The Modern Rise of Population</w:t>
      </w:r>
      <w:r>
        <w:rPr>
          <w:i/>
        </w:rPr>
        <w:t xml:space="preserve">, London: </w:t>
      </w:r>
      <w:r>
        <w:t>Edward Arnold,1976</w:t>
      </w:r>
    </w:p>
  </w:footnote>
  <w:footnote w:id="68">
    <w:p w:rsidR="001E6122" w:rsidRDefault="001E6122" w:rsidP="00EF17E4">
      <w:pPr>
        <w:pStyle w:val="FootnoteText"/>
      </w:pPr>
      <w:r>
        <w:rPr>
          <w:rStyle w:val="FootnoteReference"/>
        </w:rPr>
        <w:footnoteRef/>
      </w:r>
      <w:r>
        <w:t xml:space="preserve">  Simon </w:t>
      </w:r>
      <w:proofErr w:type="spellStart"/>
      <w:r>
        <w:t>Szreter</w:t>
      </w:r>
      <w:proofErr w:type="spellEnd"/>
      <w:r>
        <w:t xml:space="preserve">. </w:t>
      </w:r>
      <w:r w:rsidRPr="00D444F6">
        <w:rPr>
          <w:i/>
        </w:rPr>
        <w:t>The Importance of Social Intervention in Britain’s Mortality Decline c. 1850-1914: A Reinterpretation of the Role of Public Health</w:t>
      </w:r>
      <w:r>
        <w:t>, Social History of Medicine [1988]</w:t>
      </w:r>
    </w:p>
  </w:footnote>
  <w:footnote w:id="69">
    <w:p w:rsidR="001E6122" w:rsidRDefault="001E6122" w:rsidP="00EF17E4">
      <w:pPr>
        <w:pStyle w:val="FootnoteText"/>
      </w:pPr>
      <w:r>
        <w:rPr>
          <w:rStyle w:val="FootnoteReference"/>
        </w:rPr>
        <w:footnoteRef/>
      </w:r>
      <w:r>
        <w:t xml:space="preserve">  Anne Hardy. </w:t>
      </w:r>
      <w:r w:rsidRPr="007E0305">
        <w:rPr>
          <w:i/>
        </w:rPr>
        <w:t>The Epidemic Streets: Infectious</w:t>
      </w:r>
      <w:r w:rsidRPr="00C045EF">
        <w:rPr>
          <w:i/>
        </w:rPr>
        <w:t xml:space="preserve"> Disease and the Rise of Preventative Medicine 1856 – 1900</w:t>
      </w:r>
      <w:r>
        <w:rPr>
          <w:i/>
        </w:rPr>
        <w:t>,</w:t>
      </w:r>
      <w:r>
        <w:t xml:space="preserve">  Oxford: OUP 1993</w:t>
      </w:r>
    </w:p>
  </w:footnote>
  <w:footnote w:id="70">
    <w:p w:rsidR="001E6122" w:rsidRDefault="001E6122" w:rsidP="00EF17E4">
      <w:pPr>
        <w:pStyle w:val="FootnoteText"/>
      </w:pPr>
      <w:r>
        <w:rPr>
          <w:rStyle w:val="FootnoteReference"/>
        </w:rPr>
        <w:footnoteRef/>
      </w:r>
      <w:r>
        <w:t xml:space="preserve">  Anthony S. </w:t>
      </w:r>
      <w:proofErr w:type="spellStart"/>
      <w:r>
        <w:t>Wohl</w:t>
      </w:r>
      <w:proofErr w:type="spellEnd"/>
      <w:r>
        <w:t>.  Op.cit. p289</w:t>
      </w:r>
    </w:p>
  </w:footnote>
  <w:footnote w:id="71">
    <w:p w:rsidR="001E6122" w:rsidRDefault="001E6122" w:rsidP="00EF17E4">
      <w:pPr>
        <w:pStyle w:val="FootnoteText"/>
      </w:pPr>
      <w:r>
        <w:rPr>
          <w:rStyle w:val="FootnoteReference"/>
        </w:rPr>
        <w:footnoteRef/>
      </w:r>
      <w:r>
        <w:t xml:space="preserve">  Lancet, 1 April 1943 </w:t>
      </w:r>
    </w:p>
  </w:footnote>
  <w:footnote w:id="72">
    <w:p w:rsidR="001E6122" w:rsidRPr="00EC395B" w:rsidRDefault="001E6122" w:rsidP="00EF17E4">
      <w:pPr>
        <w:pStyle w:val="FootnoteText"/>
        <w:rPr>
          <w:rFonts w:cstheme="minorHAnsi"/>
          <w:b/>
          <w:sz w:val="18"/>
          <w:szCs w:val="18"/>
        </w:rPr>
      </w:pPr>
      <w:r w:rsidRPr="00EC395B">
        <w:rPr>
          <w:rStyle w:val="FootnoteReference"/>
          <w:rFonts w:cstheme="minorHAnsi"/>
          <w:b/>
          <w:sz w:val="18"/>
          <w:szCs w:val="18"/>
        </w:rPr>
        <w:footnoteRef/>
      </w:r>
      <w:r w:rsidRPr="00EC395B">
        <w:rPr>
          <w:rFonts w:cstheme="minorHAnsi"/>
          <w:b/>
          <w:sz w:val="18"/>
          <w:szCs w:val="18"/>
        </w:rPr>
        <w:t xml:space="preserve">  </w:t>
      </w:r>
      <w:r w:rsidRPr="00EC395B">
        <w:rPr>
          <w:rFonts w:cstheme="minorHAnsi"/>
        </w:rPr>
        <w:t>The r</w:t>
      </w:r>
      <w:r w:rsidRPr="00EC395B">
        <w:rPr>
          <w:rStyle w:val="googqs-tidbit1"/>
          <w:rFonts w:cstheme="minorHAnsi"/>
          <w:color w:val="000000"/>
          <w:specVanish w:val="0"/>
        </w:rPr>
        <w:t>esults were published in the Annual Report of the Poor Law Commissioners</w:t>
      </w:r>
      <w:r w:rsidRPr="00EC395B">
        <w:rPr>
          <w:rFonts w:cstheme="minorHAnsi"/>
          <w:color w:val="000000"/>
        </w:rPr>
        <w:t xml:space="preserve"> 1838 (</w:t>
      </w:r>
      <w:r w:rsidRPr="00EC395B">
        <w:rPr>
          <w:rFonts w:cstheme="minorHAnsi"/>
          <w:iCs/>
          <w:color w:val="000000"/>
        </w:rPr>
        <w:t>HC 1837-8 xxvii</w:t>
      </w:r>
      <w:r w:rsidRPr="00EC395B">
        <w:rPr>
          <w:rStyle w:val="Heading1Char"/>
          <w:rFonts w:asciiTheme="minorHAnsi" w:hAnsiTheme="minorHAnsi" w:cstheme="minorHAnsi"/>
          <w:color w:val="000000"/>
          <w:sz w:val="20"/>
          <w:szCs w:val="20"/>
        </w:rPr>
        <w:t xml:space="preserve"> </w:t>
      </w:r>
      <w:r w:rsidRPr="00EC395B">
        <w:rPr>
          <w:rStyle w:val="Heading1Char"/>
          <w:rFonts w:asciiTheme="minorHAnsi" w:hAnsiTheme="minorHAnsi" w:cstheme="minorHAnsi"/>
          <w:b w:val="0"/>
          <w:color w:val="000000"/>
          <w:sz w:val="20"/>
          <w:szCs w:val="20"/>
        </w:rPr>
        <w:t xml:space="preserve">and quoted by Anthony S. </w:t>
      </w:r>
      <w:proofErr w:type="spellStart"/>
      <w:r w:rsidRPr="00EC395B">
        <w:rPr>
          <w:rStyle w:val="Heading1Char"/>
          <w:rFonts w:asciiTheme="minorHAnsi" w:hAnsiTheme="minorHAnsi" w:cstheme="minorHAnsi"/>
          <w:b w:val="0"/>
          <w:color w:val="000000"/>
          <w:sz w:val="20"/>
          <w:szCs w:val="20"/>
        </w:rPr>
        <w:t>Wohl</w:t>
      </w:r>
      <w:proofErr w:type="spellEnd"/>
      <w:r w:rsidR="007B0E8B">
        <w:rPr>
          <w:rStyle w:val="Heading1Char"/>
          <w:rFonts w:asciiTheme="minorHAnsi" w:hAnsiTheme="minorHAnsi" w:cstheme="minorHAnsi"/>
          <w:b w:val="0"/>
          <w:color w:val="000000"/>
          <w:sz w:val="20"/>
          <w:szCs w:val="20"/>
        </w:rPr>
        <w:t xml:space="preserve"> in </w:t>
      </w:r>
      <w:r w:rsidRPr="00EC395B">
        <w:rPr>
          <w:rStyle w:val="Heading1Char"/>
          <w:rFonts w:asciiTheme="minorHAnsi" w:hAnsiTheme="minorHAnsi" w:cstheme="minorHAnsi"/>
          <w:b w:val="0"/>
          <w:i/>
          <w:color w:val="000000"/>
          <w:sz w:val="20"/>
          <w:szCs w:val="20"/>
        </w:rPr>
        <w:t>Endangered Lives</w:t>
      </w:r>
      <w:r w:rsidRPr="00EC395B">
        <w:rPr>
          <w:rStyle w:val="Heading1Char"/>
          <w:rFonts w:asciiTheme="minorHAnsi" w:hAnsiTheme="minorHAnsi" w:cstheme="minorHAnsi"/>
          <w:color w:val="000000"/>
          <w:sz w:val="20"/>
          <w:szCs w:val="20"/>
        </w:rPr>
        <w:t xml:space="preserve">. </w:t>
      </w:r>
      <w:r w:rsidRPr="00EC395B">
        <w:rPr>
          <w:rStyle w:val="Heading1Char"/>
          <w:rFonts w:asciiTheme="minorHAnsi" w:hAnsiTheme="minorHAnsi" w:cstheme="minorHAnsi"/>
          <w:b w:val="0"/>
          <w:color w:val="000000"/>
          <w:sz w:val="20"/>
          <w:szCs w:val="20"/>
        </w:rPr>
        <w:t>Op.cit. p45</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557DD" w:rsidRDefault="008557DD">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86761" w:rsidRPr="008557DD" w:rsidRDefault="00686761" w:rsidP="008557DD">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557DD" w:rsidRDefault="008557D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drawingGridHorizontalSpacing w:val="110"/>
  <w:displayHorizontalDrawingGridEvery w:val="2"/>
  <w:characterSpacingControl w:val="doNotCompress"/>
  <w:hdrShapeDefaults>
    <o:shapedefaults v:ext="edit" spidmax="13313">
      <o:colormenu v:ext="edit" strokecolor="none"/>
    </o:shapedefaults>
  </w:hdrShapeDefaults>
  <w:footnotePr>
    <w:footnote w:id="-1"/>
    <w:footnote w:id="0"/>
  </w:footnotePr>
  <w:endnotePr>
    <w:endnote w:id="-1"/>
    <w:endnote w:id="0"/>
  </w:endnotePr>
  <w:compat>
    <w:compatSetting w:name="compatibilityMode" w:uri="http://schemas.microsoft.com/office/word" w:val="12"/>
  </w:compat>
  <w:rsids>
    <w:rsidRoot w:val="00E4176A"/>
    <w:rsid w:val="00026DFB"/>
    <w:rsid w:val="000D3DD4"/>
    <w:rsid w:val="00135F6D"/>
    <w:rsid w:val="001E6122"/>
    <w:rsid w:val="00266DD9"/>
    <w:rsid w:val="00353068"/>
    <w:rsid w:val="003C1BEA"/>
    <w:rsid w:val="003C23B5"/>
    <w:rsid w:val="004235FA"/>
    <w:rsid w:val="00440828"/>
    <w:rsid w:val="00557F57"/>
    <w:rsid w:val="00593B0B"/>
    <w:rsid w:val="00686761"/>
    <w:rsid w:val="006933F6"/>
    <w:rsid w:val="00747B72"/>
    <w:rsid w:val="007B0609"/>
    <w:rsid w:val="007B0E8B"/>
    <w:rsid w:val="008557DD"/>
    <w:rsid w:val="008A6F39"/>
    <w:rsid w:val="0091212E"/>
    <w:rsid w:val="00966164"/>
    <w:rsid w:val="009D276F"/>
    <w:rsid w:val="00A20F3F"/>
    <w:rsid w:val="00AF29E3"/>
    <w:rsid w:val="00B67CE9"/>
    <w:rsid w:val="00C85D6B"/>
    <w:rsid w:val="00CA758F"/>
    <w:rsid w:val="00CB1272"/>
    <w:rsid w:val="00CB365A"/>
    <w:rsid w:val="00CE01AD"/>
    <w:rsid w:val="00DE3669"/>
    <w:rsid w:val="00E24BDC"/>
    <w:rsid w:val="00E4176A"/>
    <w:rsid w:val="00E717D5"/>
    <w:rsid w:val="00EA6798"/>
    <w:rsid w:val="00EC395B"/>
    <w:rsid w:val="00EF17E4"/>
    <w:rsid w:val="00EF65DC"/>
    <w:rsid w:val="00F948BF"/>
    <w:rsid w:val="00FC62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3313">
      <o:colormenu v:ext="edit" strokecolor="none"/>
    </o:shapedefaults>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26DFB"/>
  </w:style>
  <w:style w:type="paragraph" w:styleId="Heading1">
    <w:name w:val="heading 1"/>
    <w:basedOn w:val="Normal"/>
    <w:next w:val="Normal"/>
    <w:link w:val="Heading1Char"/>
    <w:uiPriority w:val="9"/>
    <w:qFormat/>
    <w:rsid w:val="00EF17E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47B7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47B72"/>
    <w:rPr>
      <w:sz w:val="20"/>
      <w:szCs w:val="20"/>
    </w:rPr>
  </w:style>
  <w:style w:type="character" w:styleId="FootnoteReference">
    <w:name w:val="footnote reference"/>
    <w:basedOn w:val="DefaultParagraphFont"/>
    <w:uiPriority w:val="99"/>
    <w:semiHidden/>
    <w:unhideWhenUsed/>
    <w:rsid w:val="00747B72"/>
    <w:rPr>
      <w:vertAlign w:val="superscript"/>
    </w:rPr>
  </w:style>
  <w:style w:type="character" w:styleId="Hyperlink">
    <w:name w:val="Hyperlink"/>
    <w:basedOn w:val="DefaultParagraphFont"/>
    <w:uiPriority w:val="99"/>
    <w:unhideWhenUsed/>
    <w:rsid w:val="00266DD9"/>
    <w:rPr>
      <w:color w:val="0000FF" w:themeColor="hyperlink"/>
      <w:u w:val="single"/>
    </w:rPr>
  </w:style>
  <w:style w:type="character" w:customStyle="1" w:styleId="googqs-tidbit1">
    <w:name w:val="goog_qs-tidbit1"/>
    <w:basedOn w:val="DefaultParagraphFont"/>
    <w:rsid w:val="006933F6"/>
    <w:rPr>
      <w:vanish w:val="0"/>
      <w:webHidden w:val="0"/>
      <w:specVanish w:val="0"/>
    </w:rPr>
  </w:style>
  <w:style w:type="paragraph" w:styleId="BalloonText">
    <w:name w:val="Balloon Text"/>
    <w:basedOn w:val="Normal"/>
    <w:link w:val="BalloonTextChar"/>
    <w:uiPriority w:val="99"/>
    <w:semiHidden/>
    <w:unhideWhenUsed/>
    <w:rsid w:val="00557F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7F57"/>
    <w:rPr>
      <w:rFonts w:ascii="Tahoma" w:hAnsi="Tahoma" w:cs="Tahoma"/>
      <w:sz w:val="16"/>
      <w:szCs w:val="16"/>
    </w:rPr>
  </w:style>
  <w:style w:type="paragraph" w:styleId="Caption">
    <w:name w:val="caption"/>
    <w:basedOn w:val="Normal"/>
    <w:next w:val="Normal"/>
    <w:uiPriority w:val="35"/>
    <w:unhideWhenUsed/>
    <w:qFormat/>
    <w:rsid w:val="00557F57"/>
    <w:pPr>
      <w:spacing w:line="240" w:lineRule="auto"/>
    </w:pPr>
    <w:rPr>
      <w:b/>
      <w:bCs/>
      <w:color w:val="4F81BD" w:themeColor="accent1"/>
      <w:sz w:val="18"/>
      <w:szCs w:val="18"/>
    </w:rPr>
  </w:style>
  <w:style w:type="character" w:customStyle="1" w:styleId="Heading1Char">
    <w:name w:val="Heading 1 Char"/>
    <w:basedOn w:val="DefaultParagraphFont"/>
    <w:link w:val="Heading1"/>
    <w:uiPriority w:val="9"/>
    <w:rsid w:val="00EF17E4"/>
    <w:rPr>
      <w:rFonts w:asciiTheme="majorHAnsi" w:eastAsiaTheme="majorEastAsia" w:hAnsiTheme="majorHAnsi" w:cstheme="majorBidi"/>
      <w:b/>
      <w:bCs/>
      <w:color w:val="365F91" w:themeColor="accent1" w:themeShade="BF"/>
      <w:sz w:val="28"/>
      <w:szCs w:val="28"/>
    </w:rPr>
  </w:style>
  <w:style w:type="paragraph" w:styleId="Subtitle">
    <w:name w:val="Subtitle"/>
    <w:basedOn w:val="Normal"/>
    <w:next w:val="Normal"/>
    <w:link w:val="SubtitleChar"/>
    <w:uiPriority w:val="11"/>
    <w:qFormat/>
    <w:rsid w:val="00EC395B"/>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EC395B"/>
    <w:rPr>
      <w:rFonts w:asciiTheme="majorHAnsi" w:eastAsiaTheme="majorEastAsia" w:hAnsiTheme="majorHAnsi" w:cstheme="majorBidi"/>
      <w:i/>
      <w:iCs/>
      <w:color w:val="4F81BD" w:themeColor="accent1"/>
      <w:spacing w:val="15"/>
      <w:sz w:val="24"/>
      <w:szCs w:val="24"/>
    </w:rPr>
  </w:style>
  <w:style w:type="paragraph" w:styleId="Title">
    <w:name w:val="Title"/>
    <w:basedOn w:val="Normal"/>
    <w:next w:val="Normal"/>
    <w:link w:val="TitleChar"/>
    <w:uiPriority w:val="10"/>
    <w:qFormat/>
    <w:rsid w:val="0068676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86761"/>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6867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6761"/>
  </w:style>
  <w:style w:type="paragraph" w:styleId="Footer">
    <w:name w:val="footer"/>
    <w:basedOn w:val="Normal"/>
    <w:link w:val="FooterChar"/>
    <w:uiPriority w:val="99"/>
    <w:semiHidden/>
    <w:unhideWhenUsed/>
    <w:rsid w:val="00686761"/>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8676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eader" Target="header2.xml"/><Relationship Id="rId1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chart" Target="charts/chart3.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2" Type="http://schemas.openxmlformats.org/officeDocument/2006/relationships/hyperlink" Target="http://parlipapers.chadwyck.co.uk" TargetMode="External"/><Relationship Id="rId1" Type="http://schemas.openxmlformats.org/officeDocument/2006/relationships/hyperlink" Target="http://www.histpop.org"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oleObject" Target="file:///C:\Users\Joanna\Documents\COLLEGE\Assignment%2001_%20Public%20Health%20in%2019c\POp%20growth%201801%20-%201901%20v2.xlsx" TargetMode="External"/></Relationships>
</file>

<file path=word/charts/_rels/chart3.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oleObject" Target="file:///C:\Users\Joanna\Documents\COLLEGE\Assignment%2001_%20Public%20Health%20in%2019c\Mortality.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Joanna\Documents\COLLEGE\Assignment%2001_%20Public%20Health%20in%2019c\Mortality.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200"/>
              <a:t>19th century Population Growth </a:t>
            </a:r>
          </a:p>
        </c:rich>
      </c:tx>
      <c:layout/>
      <c:overlay val="0"/>
    </c:title>
    <c:autoTitleDeleted val="0"/>
    <c:plotArea>
      <c:layout/>
      <c:barChart>
        <c:barDir val="col"/>
        <c:grouping val="clustered"/>
        <c:varyColors val="0"/>
        <c:ser>
          <c:idx val="0"/>
          <c:order val="0"/>
          <c:tx>
            <c:strRef>
              <c:f>Sheet1!$B$1</c:f>
              <c:strCache>
                <c:ptCount val="1"/>
                <c:pt idx="0">
                  <c:v>urban</c:v>
                </c:pt>
              </c:strCache>
            </c:strRef>
          </c:tx>
          <c:invertIfNegative val="0"/>
          <c:cat>
            <c:numRef>
              <c:f>Sheet1!$A$2:$A$4</c:f>
              <c:numCache>
                <c:formatCode>General</c:formatCode>
                <c:ptCount val="3"/>
                <c:pt idx="0">
                  <c:v>1801</c:v>
                </c:pt>
                <c:pt idx="1">
                  <c:v>1851</c:v>
                </c:pt>
                <c:pt idx="2">
                  <c:v>1901</c:v>
                </c:pt>
              </c:numCache>
            </c:numRef>
          </c:cat>
          <c:val>
            <c:numRef>
              <c:f>Sheet1!$B$2:$B$4</c:f>
              <c:numCache>
                <c:formatCode>General</c:formatCode>
                <c:ptCount val="3"/>
                <c:pt idx="0">
                  <c:v>30</c:v>
                </c:pt>
                <c:pt idx="1">
                  <c:v>54</c:v>
                </c:pt>
                <c:pt idx="2">
                  <c:v>78</c:v>
                </c:pt>
              </c:numCache>
            </c:numRef>
          </c:val>
        </c:ser>
        <c:ser>
          <c:idx val="1"/>
          <c:order val="1"/>
          <c:tx>
            <c:strRef>
              <c:f>Sheet1!$C$1</c:f>
              <c:strCache>
                <c:ptCount val="1"/>
                <c:pt idx="0">
                  <c:v>rural</c:v>
                </c:pt>
              </c:strCache>
            </c:strRef>
          </c:tx>
          <c:invertIfNegative val="0"/>
          <c:cat>
            <c:numRef>
              <c:f>Sheet1!$A$2:$A$4</c:f>
              <c:numCache>
                <c:formatCode>General</c:formatCode>
                <c:ptCount val="3"/>
                <c:pt idx="0">
                  <c:v>1801</c:v>
                </c:pt>
                <c:pt idx="1">
                  <c:v>1851</c:v>
                </c:pt>
                <c:pt idx="2">
                  <c:v>1901</c:v>
                </c:pt>
              </c:numCache>
            </c:numRef>
          </c:cat>
          <c:val>
            <c:numRef>
              <c:f>Sheet1!$C$2:$C$4</c:f>
              <c:numCache>
                <c:formatCode>General</c:formatCode>
                <c:ptCount val="3"/>
                <c:pt idx="0">
                  <c:v>70</c:v>
                </c:pt>
                <c:pt idx="1">
                  <c:v>46</c:v>
                </c:pt>
                <c:pt idx="2">
                  <c:v>22</c:v>
                </c:pt>
              </c:numCache>
            </c:numRef>
          </c:val>
        </c:ser>
        <c:dLbls>
          <c:showLegendKey val="0"/>
          <c:showVal val="0"/>
          <c:showCatName val="0"/>
          <c:showSerName val="0"/>
          <c:showPercent val="0"/>
          <c:showBubbleSize val="0"/>
        </c:dLbls>
        <c:gapWidth val="150"/>
        <c:axId val="65094400"/>
        <c:axId val="108032000"/>
      </c:barChart>
      <c:catAx>
        <c:axId val="65094400"/>
        <c:scaling>
          <c:orientation val="minMax"/>
        </c:scaling>
        <c:delete val="0"/>
        <c:axPos val="b"/>
        <c:numFmt formatCode="General" sourceLinked="1"/>
        <c:majorTickMark val="out"/>
        <c:minorTickMark val="none"/>
        <c:tickLblPos val="nextTo"/>
        <c:crossAx val="108032000"/>
        <c:crosses val="autoZero"/>
        <c:auto val="1"/>
        <c:lblAlgn val="ctr"/>
        <c:lblOffset val="100"/>
        <c:noMultiLvlLbl val="0"/>
      </c:catAx>
      <c:valAx>
        <c:axId val="108032000"/>
        <c:scaling>
          <c:orientation val="minMax"/>
        </c:scaling>
        <c:delete val="0"/>
        <c:axPos val="l"/>
        <c:majorGridlines/>
        <c:title>
          <c:tx>
            <c:rich>
              <a:bodyPr rot="-5400000" vert="horz"/>
              <a:lstStyle/>
              <a:p>
                <a:pPr>
                  <a:defRPr/>
                </a:pPr>
                <a:r>
                  <a:rPr lang="en-GB" b="0"/>
                  <a:t>% Pop England &amp; Wales</a:t>
                </a:r>
              </a:p>
            </c:rich>
          </c:tx>
          <c:layout>
            <c:manualLayout>
              <c:xMode val="edge"/>
              <c:yMode val="edge"/>
              <c:x val="6.153846153846159E-2"/>
              <c:y val="0.23766852977574687"/>
            </c:manualLayout>
          </c:layout>
          <c:overlay val="0"/>
        </c:title>
        <c:numFmt formatCode="General" sourceLinked="1"/>
        <c:majorTickMark val="out"/>
        <c:minorTickMark val="none"/>
        <c:tickLblPos val="nextTo"/>
        <c:crossAx val="65094400"/>
        <c:crosses val="autoZero"/>
        <c:crossBetween val="between"/>
      </c:valAx>
    </c:plotArea>
    <c:legend>
      <c:legendPos val="r"/>
      <c:layou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200"/>
              <a:t>South West Wales</a:t>
            </a:r>
          </a:p>
          <a:p>
            <a:pPr>
              <a:defRPr/>
            </a:pPr>
            <a:r>
              <a:rPr lang="en-GB" sz="1200"/>
              <a:t>Population 1801</a:t>
            </a:r>
            <a:r>
              <a:rPr lang="en-GB" sz="1200" baseline="0"/>
              <a:t> - 1901</a:t>
            </a:r>
            <a:endParaRPr lang="en-GB" sz="1200"/>
          </a:p>
        </c:rich>
      </c:tx>
      <c:layout>
        <c:manualLayout>
          <c:xMode val="edge"/>
          <c:yMode val="edge"/>
          <c:x val="0.24590666551296553"/>
          <c:y val="0"/>
        </c:manualLayout>
      </c:layout>
      <c:overlay val="0"/>
    </c:title>
    <c:autoTitleDeleted val="0"/>
    <c:plotArea>
      <c:layout/>
      <c:barChart>
        <c:barDir val="col"/>
        <c:grouping val="clustered"/>
        <c:varyColors val="0"/>
        <c:ser>
          <c:idx val="0"/>
          <c:order val="0"/>
          <c:tx>
            <c:strRef>
              <c:f>Sheet1!$A$4</c:f>
              <c:strCache>
                <c:ptCount val="1"/>
                <c:pt idx="0">
                  <c:v>Carmarthen</c:v>
                </c:pt>
              </c:strCache>
            </c:strRef>
          </c:tx>
          <c:invertIfNegative val="0"/>
          <c:cat>
            <c:numRef>
              <c:f>Sheet1!$B$2:$M$3</c:f>
              <c:numCache>
                <c:formatCode>General</c:formatCode>
                <c:ptCount val="6"/>
                <c:pt idx="0">
                  <c:v>1801</c:v>
                </c:pt>
                <c:pt idx="1">
                  <c:v>1821</c:v>
                </c:pt>
                <c:pt idx="2">
                  <c:v>1841</c:v>
                </c:pt>
                <c:pt idx="3">
                  <c:v>1861</c:v>
                </c:pt>
                <c:pt idx="4">
                  <c:v>1881</c:v>
                </c:pt>
                <c:pt idx="5">
                  <c:v>1901</c:v>
                </c:pt>
              </c:numCache>
            </c:numRef>
          </c:cat>
          <c:val>
            <c:numRef>
              <c:f>Sheet1!$B$4:$M$4</c:f>
              <c:numCache>
                <c:formatCode>General</c:formatCode>
                <c:ptCount val="6"/>
                <c:pt idx="0">
                  <c:v>5548</c:v>
                </c:pt>
                <c:pt idx="1">
                  <c:v>9955</c:v>
                </c:pt>
                <c:pt idx="2">
                  <c:v>9525</c:v>
                </c:pt>
                <c:pt idx="3">
                  <c:v>9903</c:v>
                </c:pt>
                <c:pt idx="4">
                  <c:v>10514</c:v>
                </c:pt>
                <c:pt idx="5">
                  <c:v>10025</c:v>
                </c:pt>
              </c:numCache>
            </c:numRef>
          </c:val>
        </c:ser>
        <c:ser>
          <c:idx val="1"/>
          <c:order val="1"/>
          <c:tx>
            <c:strRef>
              <c:f>Sheet1!$A$5</c:f>
              <c:strCache>
                <c:ptCount val="1"/>
                <c:pt idx="0">
                  <c:v>Llanelli</c:v>
                </c:pt>
              </c:strCache>
            </c:strRef>
          </c:tx>
          <c:invertIfNegative val="0"/>
          <c:cat>
            <c:numRef>
              <c:f>Sheet1!$B$2:$M$3</c:f>
              <c:numCache>
                <c:formatCode>General</c:formatCode>
                <c:ptCount val="6"/>
                <c:pt idx="0">
                  <c:v>1801</c:v>
                </c:pt>
                <c:pt idx="1">
                  <c:v>1821</c:v>
                </c:pt>
                <c:pt idx="2">
                  <c:v>1841</c:v>
                </c:pt>
                <c:pt idx="3">
                  <c:v>1861</c:v>
                </c:pt>
                <c:pt idx="4">
                  <c:v>1881</c:v>
                </c:pt>
                <c:pt idx="5">
                  <c:v>1901</c:v>
                </c:pt>
              </c:numCache>
            </c:numRef>
          </c:cat>
          <c:val>
            <c:numRef>
              <c:f>Sheet1!$B$5:$M$5</c:f>
              <c:numCache>
                <c:formatCode>General</c:formatCode>
                <c:ptCount val="6"/>
                <c:pt idx="0">
                  <c:v>2972</c:v>
                </c:pt>
                <c:pt idx="1">
                  <c:v>7646</c:v>
                </c:pt>
                <c:pt idx="2">
                  <c:v>9438</c:v>
                </c:pt>
                <c:pt idx="3">
                  <c:v>11084</c:v>
                </c:pt>
                <c:pt idx="4">
                  <c:v>19655</c:v>
                </c:pt>
                <c:pt idx="5" formatCode="#,##0">
                  <c:v>28280</c:v>
                </c:pt>
              </c:numCache>
            </c:numRef>
          </c:val>
        </c:ser>
        <c:ser>
          <c:idx val="2"/>
          <c:order val="2"/>
          <c:tx>
            <c:strRef>
              <c:f>Sheet1!$A$6</c:f>
              <c:strCache>
                <c:ptCount val="1"/>
                <c:pt idx="0">
                  <c:v>Pembroke</c:v>
                </c:pt>
              </c:strCache>
            </c:strRef>
          </c:tx>
          <c:invertIfNegative val="0"/>
          <c:cat>
            <c:numRef>
              <c:f>Sheet1!$B$2:$M$3</c:f>
              <c:numCache>
                <c:formatCode>General</c:formatCode>
                <c:ptCount val="6"/>
                <c:pt idx="0">
                  <c:v>1801</c:v>
                </c:pt>
                <c:pt idx="1">
                  <c:v>1821</c:v>
                </c:pt>
                <c:pt idx="2">
                  <c:v>1841</c:v>
                </c:pt>
                <c:pt idx="3">
                  <c:v>1861</c:v>
                </c:pt>
                <c:pt idx="4">
                  <c:v>1881</c:v>
                </c:pt>
                <c:pt idx="5">
                  <c:v>1901</c:v>
                </c:pt>
              </c:numCache>
            </c:numRef>
          </c:cat>
          <c:val>
            <c:numRef>
              <c:f>Sheet1!$B$6:$M$6</c:f>
              <c:numCache>
                <c:formatCode>General</c:formatCode>
                <c:ptCount val="6"/>
                <c:pt idx="0">
                  <c:v>2515</c:v>
                </c:pt>
                <c:pt idx="1">
                  <c:v>4025</c:v>
                </c:pt>
                <c:pt idx="2">
                  <c:v>7412</c:v>
                </c:pt>
                <c:pt idx="3">
                  <c:v>12559</c:v>
                </c:pt>
                <c:pt idx="4">
                  <c:v>13647</c:v>
                </c:pt>
                <c:pt idx="5">
                  <c:v>15853</c:v>
                </c:pt>
              </c:numCache>
            </c:numRef>
          </c:val>
        </c:ser>
        <c:ser>
          <c:idx val="3"/>
          <c:order val="3"/>
          <c:tx>
            <c:strRef>
              <c:f>Sheet1!$A$7</c:f>
              <c:strCache>
                <c:ptCount val="1"/>
                <c:pt idx="0">
                  <c:v>Cardigan</c:v>
                </c:pt>
              </c:strCache>
            </c:strRef>
          </c:tx>
          <c:invertIfNegative val="0"/>
          <c:cat>
            <c:numRef>
              <c:f>Sheet1!$B$2:$M$3</c:f>
              <c:numCache>
                <c:formatCode>General</c:formatCode>
                <c:ptCount val="6"/>
                <c:pt idx="0">
                  <c:v>1801</c:v>
                </c:pt>
                <c:pt idx="1">
                  <c:v>1821</c:v>
                </c:pt>
                <c:pt idx="2">
                  <c:v>1841</c:v>
                </c:pt>
                <c:pt idx="3">
                  <c:v>1861</c:v>
                </c:pt>
                <c:pt idx="4">
                  <c:v>1881</c:v>
                </c:pt>
                <c:pt idx="5">
                  <c:v>1901</c:v>
                </c:pt>
              </c:numCache>
            </c:numRef>
          </c:cat>
          <c:val>
            <c:numRef>
              <c:f>Sheet1!$B$7:$M$7</c:f>
              <c:numCache>
                <c:formatCode>General</c:formatCode>
                <c:ptCount val="6"/>
                <c:pt idx="0">
                  <c:v>1911</c:v>
                </c:pt>
                <c:pt idx="1">
                  <c:v>2397</c:v>
                </c:pt>
                <c:pt idx="2">
                  <c:v>2925</c:v>
                </c:pt>
                <c:pt idx="3">
                  <c:v>2706</c:v>
                </c:pt>
                <c:pt idx="4">
                  <c:v>2727</c:v>
                </c:pt>
                <c:pt idx="5">
                  <c:v>2672</c:v>
                </c:pt>
              </c:numCache>
            </c:numRef>
          </c:val>
        </c:ser>
        <c:dLbls>
          <c:showLegendKey val="0"/>
          <c:showVal val="0"/>
          <c:showCatName val="0"/>
          <c:showSerName val="0"/>
          <c:showPercent val="0"/>
          <c:showBubbleSize val="0"/>
        </c:dLbls>
        <c:gapWidth val="150"/>
        <c:axId val="159726208"/>
        <c:axId val="57020800"/>
      </c:barChart>
      <c:catAx>
        <c:axId val="159726208"/>
        <c:scaling>
          <c:orientation val="minMax"/>
        </c:scaling>
        <c:delete val="0"/>
        <c:axPos val="b"/>
        <c:numFmt formatCode="General" sourceLinked="1"/>
        <c:majorTickMark val="out"/>
        <c:minorTickMark val="none"/>
        <c:tickLblPos val="nextTo"/>
        <c:crossAx val="57020800"/>
        <c:crosses val="autoZero"/>
        <c:auto val="1"/>
        <c:lblAlgn val="ctr"/>
        <c:lblOffset val="100"/>
        <c:noMultiLvlLbl val="0"/>
      </c:catAx>
      <c:valAx>
        <c:axId val="57020800"/>
        <c:scaling>
          <c:orientation val="minMax"/>
        </c:scaling>
        <c:delete val="0"/>
        <c:axPos val="l"/>
        <c:majorGridlines/>
        <c:numFmt formatCode="General" sourceLinked="1"/>
        <c:majorTickMark val="out"/>
        <c:minorTickMark val="none"/>
        <c:tickLblPos val="nextTo"/>
        <c:crossAx val="159726208"/>
        <c:crosses val="autoZero"/>
        <c:crossBetween val="between"/>
      </c:valAx>
    </c:plotArea>
    <c:legend>
      <c:legendPos val="r"/>
      <c:layou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200"/>
              <a:t>Decennial</a:t>
            </a:r>
            <a:r>
              <a:rPr lang="en-GB" sz="1200" baseline="0"/>
              <a:t> mortality rates</a:t>
            </a:r>
          </a:p>
          <a:p>
            <a:pPr>
              <a:defRPr/>
            </a:pPr>
            <a:r>
              <a:rPr lang="en-GB" sz="1200" baseline="0"/>
              <a:t>1841-90</a:t>
            </a:r>
            <a:endParaRPr lang="en-GB" sz="1200"/>
          </a:p>
        </c:rich>
      </c:tx>
      <c:layout/>
      <c:overlay val="0"/>
    </c:title>
    <c:autoTitleDeleted val="0"/>
    <c:plotArea>
      <c:layout/>
      <c:lineChart>
        <c:grouping val="standard"/>
        <c:varyColors val="0"/>
        <c:ser>
          <c:idx val="0"/>
          <c:order val="0"/>
          <c:tx>
            <c:strRef>
              <c:f>Sheet1!$A$4</c:f>
              <c:strCache>
                <c:ptCount val="1"/>
                <c:pt idx="0">
                  <c:v>England &amp; Wales</c:v>
                </c:pt>
              </c:strCache>
            </c:strRef>
          </c:tx>
          <c:marker>
            <c:symbol val="none"/>
          </c:marker>
          <c:cat>
            <c:strRef>
              <c:f>Sheet1!$B$3:$F$3</c:f>
              <c:strCache>
                <c:ptCount val="5"/>
                <c:pt idx="0">
                  <c:v>1841-50</c:v>
                </c:pt>
                <c:pt idx="1">
                  <c:v>1851-60</c:v>
                </c:pt>
                <c:pt idx="2">
                  <c:v>1861-70</c:v>
                </c:pt>
                <c:pt idx="3">
                  <c:v>1871-80</c:v>
                </c:pt>
                <c:pt idx="4">
                  <c:v>1881-90</c:v>
                </c:pt>
              </c:strCache>
            </c:strRef>
          </c:cat>
          <c:val>
            <c:numRef>
              <c:f>Sheet1!$B$4:$F$4</c:f>
              <c:numCache>
                <c:formatCode>General</c:formatCode>
                <c:ptCount val="5"/>
                <c:pt idx="0">
                  <c:v>22</c:v>
                </c:pt>
                <c:pt idx="1">
                  <c:v>22</c:v>
                </c:pt>
                <c:pt idx="2">
                  <c:v>22.4</c:v>
                </c:pt>
                <c:pt idx="3">
                  <c:v>21.27</c:v>
                </c:pt>
                <c:pt idx="4">
                  <c:v>19.899999999999999</c:v>
                </c:pt>
              </c:numCache>
            </c:numRef>
          </c:val>
          <c:smooth val="0"/>
        </c:ser>
        <c:ser>
          <c:idx val="1"/>
          <c:order val="1"/>
          <c:tx>
            <c:strRef>
              <c:f>Sheet1!$A$5</c:f>
              <c:strCache>
                <c:ptCount val="1"/>
                <c:pt idx="0">
                  <c:v>Wales</c:v>
                </c:pt>
              </c:strCache>
            </c:strRef>
          </c:tx>
          <c:marker>
            <c:symbol val="none"/>
          </c:marker>
          <c:cat>
            <c:strRef>
              <c:f>Sheet1!$B$3:$F$3</c:f>
              <c:strCache>
                <c:ptCount val="5"/>
                <c:pt idx="0">
                  <c:v>1841-50</c:v>
                </c:pt>
                <c:pt idx="1">
                  <c:v>1851-60</c:v>
                </c:pt>
                <c:pt idx="2">
                  <c:v>1861-70</c:v>
                </c:pt>
                <c:pt idx="3">
                  <c:v>1871-80</c:v>
                </c:pt>
                <c:pt idx="4">
                  <c:v>1881-90</c:v>
                </c:pt>
              </c:strCache>
            </c:strRef>
          </c:cat>
          <c:val>
            <c:numRef>
              <c:f>Sheet1!$B$5:$F$5</c:f>
              <c:numCache>
                <c:formatCode>General</c:formatCode>
                <c:ptCount val="5"/>
                <c:pt idx="0">
                  <c:v>21.1</c:v>
                </c:pt>
                <c:pt idx="1">
                  <c:v>22</c:v>
                </c:pt>
                <c:pt idx="2">
                  <c:v>21</c:v>
                </c:pt>
                <c:pt idx="3">
                  <c:v>21</c:v>
                </c:pt>
                <c:pt idx="4">
                  <c:v>19</c:v>
                </c:pt>
              </c:numCache>
            </c:numRef>
          </c:val>
          <c:smooth val="0"/>
        </c:ser>
        <c:ser>
          <c:idx val="2"/>
          <c:order val="2"/>
          <c:tx>
            <c:strRef>
              <c:f>Sheet1!$A$6</c:f>
              <c:strCache>
                <c:ptCount val="1"/>
                <c:pt idx="0">
                  <c:v>Llanelli</c:v>
                </c:pt>
              </c:strCache>
            </c:strRef>
          </c:tx>
          <c:marker>
            <c:symbol val="none"/>
          </c:marker>
          <c:cat>
            <c:strRef>
              <c:f>Sheet1!$B$3:$F$3</c:f>
              <c:strCache>
                <c:ptCount val="5"/>
                <c:pt idx="0">
                  <c:v>1841-50</c:v>
                </c:pt>
                <c:pt idx="1">
                  <c:v>1851-60</c:v>
                </c:pt>
                <c:pt idx="2">
                  <c:v>1861-70</c:v>
                </c:pt>
                <c:pt idx="3">
                  <c:v>1871-80</c:v>
                </c:pt>
                <c:pt idx="4">
                  <c:v>1881-90</c:v>
                </c:pt>
              </c:strCache>
            </c:strRef>
          </c:cat>
          <c:val>
            <c:numRef>
              <c:f>Sheet1!$B$6:$F$6</c:f>
              <c:numCache>
                <c:formatCode>General</c:formatCode>
                <c:ptCount val="5"/>
                <c:pt idx="0">
                  <c:v>21</c:v>
                </c:pt>
                <c:pt idx="1">
                  <c:v>22</c:v>
                </c:pt>
                <c:pt idx="2">
                  <c:v>21</c:v>
                </c:pt>
                <c:pt idx="3">
                  <c:v>21</c:v>
                </c:pt>
                <c:pt idx="4">
                  <c:v>16.8</c:v>
                </c:pt>
              </c:numCache>
            </c:numRef>
          </c:val>
          <c:smooth val="0"/>
        </c:ser>
        <c:ser>
          <c:idx val="3"/>
          <c:order val="3"/>
          <c:tx>
            <c:strRef>
              <c:f>Sheet1!$A$7</c:f>
              <c:strCache>
                <c:ptCount val="1"/>
                <c:pt idx="0">
                  <c:v>Carmarthen</c:v>
                </c:pt>
              </c:strCache>
            </c:strRef>
          </c:tx>
          <c:marker>
            <c:symbol val="none"/>
          </c:marker>
          <c:cat>
            <c:strRef>
              <c:f>Sheet1!$B$3:$F$3</c:f>
              <c:strCache>
                <c:ptCount val="5"/>
                <c:pt idx="0">
                  <c:v>1841-50</c:v>
                </c:pt>
                <c:pt idx="1">
                  <c:v>1851-60</c:v>
                </c:pt>
                <c:pt idx="2">
                  <c:v>1861-70</c:v>
                </c:pt>
                <c:pt idx="3">
                  <c:v>1871-80</c:v>
                </c:pt>
                <c:pt idx="4">
                  <c:v>1881-90</c:v>
                </c:pt>
              </c:strCache>
            </c:strRef>
          </c:cat>
          <c:val>
            <c:numRef>
              <c:f>Sheet1!$B$7:$F$7</c:f>
              <c:numCache>
                <c:formatCode>General</c:formatCode>
                <c:ptCount val="5"/>
                <c:pt idx="0">
                  <c:v>20</c:v>
                </c:pt>
                <c:pt idx="1">
                  <c:v>21</c:v>
                </c:pt>
                <c:pt idx="2">
                  <c:v>21</c:v>
                </c:pt>
                <c:pt idx="3">
                  <c:v>21.8</c:v>
                </c:pt>
                <c:pt idx="4">
                  <c:v>19.8</c:v>
                </c:pt>
              </c:numCache>
            </c:numRef>
          </c:val>
          <c:smooth val="0"/>
        </c:ser>
        <c:ser>
          <c:idx val="4"/>
          <c:order val="4"/>
          <c:tx>
            <c:strRef>
              <c:f>Sheet1!$A$8</c:f>
              <c:strCache>
                <c:ptCount val="1"/>
                <c:pt idx="0">
                  <c:v>Llandeilo Fawr</c:v>
                </c:pt>
              </c:strCache>
            </c:strRef>
          </c:tx>
          <c:marker>
            <c:symbol val="none"/>
          </c:marker>
          <c:cat>
            <c:strRef>
              <c:f>Sheet1!$B$3:$F$3</c:f>
              <c:strCache>
                <c:ptCount val="5"/>
                <c:pt idx="0">
                  <c:v>1841-50</c:v>
                </c:pt>
                <c:pt idx="1">
                  <c:v>1851-60</c:v>
                </c:pt>
                <c:pt idx="2">
                  <c:v>1861-70</c:v>
                </c:pt>
                <c:pt idx="3">
                  <c:v>1871-80</c:v>
                </c:pt>
                <c:pt idx="4">
                  <c:v>1881-90</c:v>
                </c:pt>
              </c:strCache>
            </c:strRef>
          </c:cat>
          <c:val>
            <c:numRef>
              <c:f>Sheet1!$B$8:$F$8</c:f>
              <c:numCache>
                <c:formatCode>General</c:formatCode>
                <c:ptCount val="5"/>
                <c:pt idx="0">
                  <c:v>19</c:v>
                </c:pt>
                <c:pt idx="1">
                  <c:v>19</c:v>
                </c:pt>
                <c:pt idx="2">
                  <c:v>19</c:v>
                </c:pt>
                <c:pt idx="3">
                  <c:v>18.7</c:v>
                </c:pt>
                <c:pt idx="4">
                  <c:v>16.5</c:v>
                </c:pt>
              </c:numCache>
            </c:numRef>
          </c:val>
          <c:smooth val="0"/>
        </c:ser>
        <c:dLbls>
          <c:showLegendKey val="0"/>
          <c:showVal val="0"/>
          <c:showCatName val="0"/>
          <c:showSerName val="0"/>
          <c:showPercent val="0"/>
          <c:showBubbleSize val="0"/>
        </c:dLbls>
        <c:marker val="1"/>
        <c:smooth val="0"/>
        <c:axId val="57314688"/>
        <c:axId val="57328768"/>
      </c:lineChart>
      <c:catAx>
        <c:axId val="57314688"/>
        <c:scaling>
          <c:orientation val="minMax"/>
        </c:scaling>
        <c:delete val="0"/>
        <c:axPos val="b"/>
        <c:majorTickMark val="out"/>
        <c:minorTickMark val="none"/>
        <c:tickLblPos val="nextTo"/>
        <c:crossAx val="57328768"/>
        <c:crosses val="autoZero"/>
        <c:auto val="1"/>
        <c:lblAlgn val="ctr"/>
        <c:lblOffset val="100"/>
        <c:noMultiLvlLbl val="0"/>
      </c:catAx>
      <c:valAx>
        <c:axId val="57328768"/>
        <c:scaling>
          <c:orientation val="minMax"/>
        </c:scaling>
        <c:delete val="0"/>
        <c:axPos val="l"/>
        <c:majorGridlines/>
        <c:title>
          <c:tx>
            <c:rich>
              <a:bodyPr rot="-5400000" vert="horz"/>
              <a:lstStyle/>
              <a:p>
                <a:pPr>
                  <a:defRPr/>
                </a:pPr>
                <a:r>
                  <a:rPr lang="en-GB" sz="900" b="0"/>
                  <a:t>deaths/1,000 pop</a:t>
                </a:r>
                <a:r>
                  <a:rPr lang="en-GB" sz="900"/>
                  <a:t>.</a:t>
                </a:r>
              </a:p>
            </c:rich>
          </c:tx>
          <c:layout/>
          <c:overlay val="0"/>
        </c:title>
        <c:numFmt formatCode="General" sourceLinked="1"/>
        <c:majorTickMark val="out"/>
        <c:minorTickMark val="none"/>
        <c:tickLblPos val="nextTo"/>
        <c:crossAx val="57314688"/>
        <c:crosses val="autoZero"/>
        <c:crossBetween val="between"/>
      </c:valAx>
    </c:plotArea>
    <c:legend>
      <c:legendPos val="r"/>
      <c:layout/>
      <c:overlay val="0"/>
    </c:legend>
    <c:plotVisOnly val="1"/>
    <c:dispBlanksAs val="gap"/>
    <c:showDLblsOverMax val="0"/>
  </c:chart>
  <c:externalData r:id="rId1">
    <c:autoUpdate val="0"/>
  </c:externalData>
  <c:userShapes r:id="rId2"/>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lgn="ctr">
              <a:defRPr/>
            </a:pPr>
            <a:r>
              <a:rPr lang="en-US" sz="1200"/>
              <a:t>Annual rate of mortality in town and country</a:t>
            </a:r>
          </a:p>
          <a:p>
            <a:pPr algn="ctr">
              <a:defRPr/>
            </a:pPr>
            <a:r>
              <a:rPr lang="en-US" sz="1200"/>
              <a:t> districts of England &amp; Wales 1852-1861</a:t>
            </a:r>
          </a:p>
        </c:rich>
      </c:tx>
      <c:layout/>
      <c:overlay val="0"/>
    </c:title>
    <c:autoTitleDeleted val="0"/>
    <c:plotArea>
      <c:layout/>
      <c:barChart>
        <c:barDir val="col"/>
        <c:grouping val="clustered"/>
        <c:varyColors val="0"/>
        <c:ser>
          <c:idx val="0"/>
          <c:order val="0"/>
          <c:tx>
            <c:strRef>
              <c:f>Sheet1!$A$33</c:f>
              <c:strCache>
                <c:ptCount val="1"/>
                <c:pt idx="0">
                  <c:v>Chief Towns</c:v>
                </c:pt>
              </c:strCache>
            </c:strRef>
          </c:tx>
          <c:invertIfNegative val="0"/>
          <c:cat>
            <c:strRef>
              <c:f>Sheet1!$B$32:$K$32</c:f>
              <c:strCache>
                <c:ptCount val="10"/>
                <c:pt idx="0">
                  <c:v>52</c:v>
                </c:pt>
                <c:pt idx="1">
                  <c:v>53</c:v>
                </c:pt>
                <c:pt idx="2">
                  <c:v>54</c:v>
                </c:pt>
                <c:pt idx="3">
                  <c:v>55</c:v>
                </c:pt>
                <c:pt idx="4">
                  <c:v>56</c:v>
                </c:pt>
                <c:pt idx="5">
                  <c:v>57</c:v>
                </c:pt>
                <c:pt idx="6">
                  <c:v>58</c:v>
                </c:pt>
                <c:pt idx="7">
                  <c:v>59</c:v>
                </c:pt>
                <c:pt idx="8">
                  <c:v>60</c:v>
                </c:pt>
                <c:pt idx="9">
                  <c:v>61</c:v>
                </c:pt>
              </c:strCache>
            </c:strRef>
          </c:cat>
          <c:val>
            <c:numRef>
              <c:f>Sheet1!$B$33:$K$33</c:f>
              <c:numCache>
                <c:formatCode>General</c:formatCode>
                <c:ptCount val="10"/>
                <c:pt idx="0">
                  <c:v>24</c:v>
                </c:pt>
                <c:pt idx="1">
                  <c:v>25</c:v>
                </c:pt>
                <c:pt idx="2">
                  <c:v>27</c:v>
                </c:pt>
                <c:pt idx="3">
                  <c:v>24</c:v>
                </c:pt>
                <c:pt idx="4">
                  <c:v>20</c:v>
                </c:pt>
                <c:pt idx="5">
                  <c:v>24</c:v>
                </c:pt>
                <c:pt idx="6">
                  <c:v>25</c:v>
                </c:pt>
                <c:pt idx="7">
                  <c:v>23</c:v>
                </c:pt>
                <c:pt idx="8">
                  <c:v>22</c:v>
                </c:pt>
                <c:pt idx="9">
                  <c:v>23</c:v>
                </c:pt>
              </c:numCache>
            </c:numRef>
          </c:val>
        </c:ser>
        <c:ser>
          <c:idx val="1"/>
          <c:order val="1"/>
          <c:tx>
            <c:strRef>
              <c:f>Sheet1!$A$34</c:f>
              <c:strCache>
                <c:ptCount val="1"/>
                <c:pt idx="0">
                  <c:v>Small towns &amp; rural</c:v>
                </c:pt>
              </c:strCache>
            </c:strRef>
          </c:tx>
          <c:invertIfNegative val="0"/>
          <c:cat>
            <c:strRef>
              <c:f>Sheet1!$B$32:$K$32</c:f>
              <c:strCache>
                <c:ptCount val="10"/>
                <c:pt idx="0">
                  <c:v>52</c:v>
                </c:pt>
                <c:pt idx="1">
                  <c:v>53</c:v>
                </c:pt>
                <c:pt idx="2">
                  <c:v>54</c:v>
                </c:pt>
                <c:pt idx="3">
                  <c:v>55</c:v>
                </c:pt>
                <c:pt idx="4">
                  <c:v>56</c:v>
                </c:pt>
                <c:pt idx="5">
                  <c:v>57</c:v>
                </c:pt>
                <c:pt idx="6">
                  <c:v>58</c:v>
                </c:pt>
                <c:pt idx="7">
                  <c:v>59</c:v>
                </c:pt>
                <c:pt idx="8">
                  <c:v>60</c:v>
                </c:pt>
                <c:pt idx="9">
                  <c:v>61</c:v>
                </c:pt>
              </c:strCache>
            </c:strRef>
          </c:cat>
          <c:val>
            <c:numRef>
              <c:f>Sheet1!$B$34:$K$34</c:f>
              <c:numCache>
                <c:formatCode>General</c:formatCode>
                <c:ptCount val="10"/>
                <c:pt idx="0">
                  <c:v>19</c:v>
                </c:pt>
                <c:pt idx="1">
                  <c:v>20</c:v>
                </c:pt>
                <c:pt idx="2">
                  <c:v>19</c:v>
                </c:pt>
                <c:pt idx="3">
                  <c:v>20</c:v>
                </c:pt>
                <c:pt idx="4">
                  <c:v>18</c:v>
                </c:pt>
                <c:pt idx="5">
                  <c:v>19</c:v>
                </c:pt>
                <c:pt idx="6">
                  <c:v>20</c:v>
                </c:pt>
                <c:pt idx="7">
                  <c:v>20</c:v>
                </c:pt>
                <c:pt idx="8">
                  <c:v>19</c:v>
                </c:pt>
                <c:pt idx="9">
                  <c:v>19</c:v>
                </c:pt>
              </c:numCache>
            </c:numRef>
          </c:val>
        </c:ser>
        <c:dLbls>
          <c:showLegendKey val="0"/>
          <c:showVal val="0"/>
          <c:showCatName val="0"/>
          <c:showSerName val="0"/>
          <c:showPercent val="0"/>
          <c:showBubbleSize val="0"/>
        </c:dLbls>
        <c:gapWidth val="150"/>
        <c:axId val="57474048"/>
        <c:axId val="65123072"/>
      </c:barChart>
      <c:catAx>
        <c:axId val="57474048"/>
        <c:scaling>
          <c:orientation val="minMax"/>
        </c:scaling>
        <c:delete val="0"/>
        <c:axPos val="b"/>
        <c:numFmt formatCode="General" sourceLinked="1"/>
        <c:majorTickMark val="out"/>
        <c:minorTickMark val="none"/>
        <c:tickLblPos val="nextTo"/>
        <c:crossAx val="65123072"/>
        <c:crosses val="autoZero"/>
        <c:auto val="1"/>
        <c:lblAlgn val="ctr"/>
        <c:lblOffset val="100"/>
        <c:noMultiLvlLbl val="0"/>
      </c:catAx>
      <c:valAx>
        <c:axId val="65123072"/>
        <c:scaling>
          <c:orientation val="minMax"/>
        </c:scaling>
        <c:delete val="0"/>
        <c:axPos val="l"/>
        <c:majorGridlines/>
        <c:title>
          <c:tx>
            <c:rich>
              <a:bodyPr rot="-5400000" vert="horz"/>
              <a:lstStyle/>
              <a:p>
                <a:pPr>
                  <a:defRPr/>
                </a:pPr>
                <a:r>
                  <a:rPr lang="en-US"/>
                  <a:t>deaths per 1,000 pop.</a:t>
                </a:r>
              </a:p>
            </c:rich>
          </c:tx>
          <c:layout/>
          <c:overlay val="0"/>
        </c:title>
        <c:numFmt formatCode="General" sourceLinked="1"/>
        <c:majorTickMark val="out"/>
        <c:minorTickMark val="none"/>
        <c:tickLblPos val="nextTo"/>
        <c:crossAx val="57474048"/>
        <c:crosses val="autoZero"/>
        <c:crossBetween val="between"/>
      </c:valAx>
    </c:plotArea>
    <c:legend>
      <c:legendPos val="r"/>
      <c:layout/>
      <c:overlay val="0"/>
    </c:legend>
    <c:plotVisOnly val="1"/>
    <c:dispBlanksAs val="gap"/>
    <c:showDLblsOverMax val="0"/>
  </c:chart>
  <c:externalData r:id="rId1">
    <c:autoUpdate val="0"/>
  </c:externalData>
</c:chartSpace>
</file>

<file path=word/drawings/drawing1.xml><?xml version="1.0" encoding="utf-8"?>
<c:userShapes xmlns:c="http://schemas.openxmlformats.org/drawingml/2006/chart">
  <cdr:relSizeAnchor xmlns:cdr="http://schemas.openxmlformats.org/drawingml/2006/chartDrawing">
    <cdr:from>
      <cdr:x>0</cdr:x>
      <cdr:y>0.875</cdr:y>
    </cdr:from>
    <cdr:to>
      <cdr:x>1</cdr:x>
      <cdr:y>1</cdr:y>
    </cdr:to>
    <cdr:sp macro="" textlink="">
      <cdr:nvSpPr>
        <cdr:cNvPr id="2" name="TextBox 1"/>
        <cdr:cNvSpPr txBox="1"/>
      </cdr:nvSpPr>
      <cdr:spPr>
        <a:xfrm xmlns:a="http://schemas.openxmlformats.org/drawingml/2006/main">
          <a:off x="0" y="2505075"/>
          <a:ext cx="3886200" cy="3048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7F3287-A982-4ED6-88B6-9D566ACF2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16</Pages>
  <Words>5314</Words>
  <Characters>27623</Characters>
  <Application>Microsoft Office Word</Application>
  <DocSecurity>0</DocSecurity>
  <Lines>230</Lines>
  <Paragraphs>65</Paragraphs>
  <ScaleCrop>false</ScaleCrop>
  <HeadingPairs>
    <vt:vector size="2" baseType="variant">
      <vt:variant>
        <vt:lpstr>Title</vt:lpstr>
      </vt:variant>
      <vt:variant>
        <vt:i4>1</vt:i4>
      </vt:variant>
    </vt:vector>
  </HeadingPairs>
  <TitlesOfParts>
    <vt:vector size="1" baseType="lpstr">
      <vt:lpstr/>
    </vt:vector>
  </TitlesOfParts>
  <Company>Masters Associates</Company>
  <LinksUpToDate>false</LinksUpToDate>
  <CharactersWithSpaces>32872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Joanna</dc:creator>
  <cp:lastModifiedBy>Administrator</cp:lastModifiedBy>
  <cp:revision>5</cp:revision>
  <cp:lastPrinted>2011-01-24T17:58:00Z</cp:lastPrinted>
  <dcterms:created xsi:type="dcterms:W3CDTF">2012-12-12T12:18:00Z</dcterms:created>
  <dcterms:modified xsi:type="dcterms:W3CDTF">2014-09-30T15:39:00Z</dcterms:modified>
</cp:coreProperties>
</file>