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0EBB7" w14:textId="77C25373" w:rsidR="00E32557" w:rsidRDefault="006E2B16" w:rsidP="006E2B16">
      <w:pPr>
        <w:spacing w:line="360" w:lineRule="auto"/>
        <w:jc w:val="center"/>
        <w:rPr>
          <w:rFonts w:ascii="Arial" w:hAnsi="Arial" w:cs="Arial"/>
          <w:b/>
          <w:i/>
          <w:iCs/>
          <w:sz w:val="40"/>
          <w:szCs w:val="40"/>
        </w:rPr>
      </w:pPr>
      <w:r>
        <w:rPr>
          <w:rFonts w:ascii="Arial" w:hAnsi="Arial" w:cs="Arial"/>
          <w:b/>
          <w:i/>
          <w:iCs/>
          <w:sz w:val="40"/>
          <w:szCs w:val="40"/>
        </w:rPr>
        <w:t xml:space="preserve">Restaurant Roles </w:t>
      </w:r>
      <w:proofErr w:type="gramStart"/>
      <w:r>
        <w:rPr>
          <w:rFonts w:ascii="Arial" w:hAnsi="Arial" w:cs="Arial"/>
          <w:b/>
          <w:i/>
          <w:iCs/>
          <w:sz w:val="40"/>
          <w:szCs w:val="40"/>
        </w:rPr>
        <w:t>And</w:t>
      </w:r>
      <w:proofErr w:type="gramEnd"/>
      <w:r>
        <w:rPr>
          <w:rFonts w:ascii="Arial" w:hAnsi="Arial" w:cs="Arial"/>
          <w:b/>
          <w:i/>
          <w:iCs/>
          <w:sz w:val="40"/>
          <w:szCs w:val="40"/>
        </w:rPr>
        <w:t xml:space="preserve"> Responsibilities</w:t>
      </w:r>
    </w:p>
    <w:p w14:paraId="75085BA2" w14:textId="5CB0559A" w:rsidR="006E2B16" w:rsidRDefault="006E2B16" w:rsidP="006E2B16">
      <w:pPr>
        <w:spacing w:line="360" w:lineRule="auto"/>
        <w:jc w:val="center"/>
        <w:rPr>
          <w:rFonts w:ascii="Arial" w:hAnsi="Arial" w:cs="Arial"/>
          <w:b/>
          <w:i/>
          <w:iCs/>
          <w:sz w:val="40"/>
          <w:szCs w:val="40"/>
        </w:rPr>
      </w:pPr>
    </w:p>
    <w:p w14:paraId="73D0E99B" w14:textId="309ED865" w:rsidR="006E2B16" w:rsidRDefault="006E2B16" w:rsidP="006E2B16">
      <w:pPr>
        <w:spacing w:line="360" w:lineRule="auto"/>
        <w:jc w:val="center"/>
        <w:rPr>
          <w:rFonts w:ascii="Arial" w:hAnsi="Arial" w:cs="Arial"/>
          <w:b/>
          <w:i/>
          <w:iCs/>
          <w:sz w:val="40"/>
          <w:szCs w:val="40"/>
        </w:rPr>
      </w:pPr>
    </w:p>
    <w:p w14:paraId="58E0628C" w14:textId="77777777" w:rsidR="006E2B16" w:rsidRDefault="006E2B16" w:rsidP="006E2B16">
      <w:pPr>
        <w:spacing w:line="360" w:lineRule="auto"/>
        <w:jc w:val="center"/>
        <w:rPr>
          <w:rFonts w:ascii="Arial" w:hAnsi="Arial" w:cs="Arial"/>
          <w:b/>
          <w:i/>
          <w:iCs/>
          <w:sz w:val="40"/>
          <w:szCs w:val="40"/>
        </w:rPr>
      </w:pPr>
    </w:p>
    <w:p w14:paraId="12D86255" w14:textId="1E167AE0" w:rsidR="006E2B16" w:rsidRDefault="006E2B16" w:rsidP="006E2B16">
      <w:pPr>
        <w:spacing w:line="360" w:lineRule="auto"/>
        <w:rPr>
          <w:rFonts w:ascii="Arial" w:hAnsi="Arial" w:cs="Arial"/>
          <w:b/>
          <w:i/>
          <w:iCs/>
          <w:sz w:val="40"/>
          <w:szCs w:val="40"/>
        </w:rPr>
      </w:pPr>
      <w:r>
        <w:rPr>
          <w:rFonts w:ascii="Arial" w:hAnsi="Arial" w:cs="Arial"/>
          <w:b/>
          <w:i/>
          <w:iCs/>
          <w:sz w:val="40"/>
          <w:szCs w:val="40"/>
        </w:rPr>
        <w:t xml:space="preserve">Student Name: Irimia Adina Roxana </w:t>
      </w:r>
    </w:p>
    <w:p w14:paraId="5F74A430" w14:textId="46F83E00" w:rsidR="006E2B16" w:rsidRDefault="006E2B16" w:rsidP="006E2B16">
      <w:pPr>
        <w:spacing w:line="360" w:lineRule="auto"/>
        <w:rPr>
          <w:rFonts w:ascii="Arial" w:hAnsi="Arial" w:cs="Arial"/>
          <w:b/>
          <w:i/>
          <w:iCs/>
          <w:sz w:val="40"/>
          <w:szCs w:val="40"/>
        </w:rPr>
      </w:pPr>
      <w:r>
        <w:rPr>
          <w:rFonts w:ascii="Arial" w:hAnsi="Arial" w:cs="Arial"/>
          <w:b/>
          <w:i/>
          <w:iCs/>
          <w:sz w:val="40"/>
          <w:szCs w:val="40"/>
        </w:rPr>
        <w:t>Student ID: 2125046</w:t>
      </w:r>
    </w:p>
    <w:p w14:paraId="3C6F6995" w14:textId="3F8931FA" w:rsidR="006E2B16" w:rsidRDefault="006E2B16" w:rsidP="006E2B16">
      <w:pPr>
        <w:spacing w:line="360" w:lineRule="auto"/>
        <w:rPr>
          <w:rFonts w:ascii="Arial" w:hAnsi="Arial" w:cs="Arial"/>
          <w:b/>
          <w:i/>
          <w:iCs/>
          <w:sz w:val="40"/>
          <w:szCs w:val="40"/>
        </w:rPr>
      </w:pPr>
      <w:proofErr w:type="spellStart"/>
      <w:r>
        <w:rPr>
          <w:rFonts w:ascii="Arial" w:hAnsi="Arial" w:cs="Arial"/>
          <w:b/>
          <w:i/>
          <w:iCs/>
          <w:sz w:val="40"/>
          <w:szCs w:val="40"/>
        </w:rPr>
        <w:t>Food&amp;Beverage</w:t>
      </w:r>
      <w:proofErr w:type="spellEnd"/>
      <w:r>
        <w:rPr>
          <w:rFonts w:ascii="Arial" w:hAnsi="Arial" w:cs="Arial"/>
          <w:b/>
          <w:i/>
          <w:iCs/>
          <w:sz w:val="40"/>
          <w:szCs w:val="40"/>
        </w:rPr>
        <w:t xml:space="preserve"> Operations BMIH4002</w:t>
      </w:r>
    </w:p>
    <w:p w14:paraId="0D4F2934" w14:textId="30744686" w:rsidR="006E2B16" w:rsidRDefault="006E2B16" w:rsidP="006E2B16">
      <w:pPr>
        <w:spacing w:line="360" w:lineRule="auto"/>
        <w:rPr>
          <w:rFonts w:ascii="Arial" w:hAnsi="Arial" w:cs="Arial"/>
          <w:b/>
          <w:i/>
          <w:iCs/>
          <w:sz w:val="40"/>
          <w:szCs w:val="40"/>
        </w:rPr>
      </w:pPr>
      <w:r>
        <w:rPr>
          <w:rFonts w:ascii="Arial" w:hAnsi="Arial" w:cs="Arial"/>
          <w:b/>
          <w:i/>
          <w:iCs/>
          <w:sz w:val="40"/>
          <w:szCs w:val="40"/>
        </w:rPr>
        <w:t>Steve Jones</w:t>
      </w:r>
    </w:p>
    <w:p w14:paraId="79303856" w14:textId="77777777" w:rsidR="00E32557" w:rsidRDefault="00E32557" w:rsidP="00E32557">
      <w:pPr>
        <w:spacing w:line="360" w:lineRule="auto"/>
        <w:rPr>
          <w:rFonts w:ascii="Arial" w:hAnsi="Arial" w:cs="Arial"/>
          <w:b/>
          <w:i/>
          <w:iCs/>
          <w:sz w:val="40"/>
          <w:szCs w:val="40"/>
        </w:rPr>
      </w:pPr>
    </w:p>
    <w:p w14:paraId="5947833B" w14:textId="77777777" w:rsidR="00E32557" w:rsidRDefault="00E32557" w:rsidP="00663A1F">
      <w:pPr>
        <w:spacing w:line="360" w:lineRule="auto"/>
        <w:jc w:val="both"/>
        <w:rPr>
          <w:rFonts w:ascii="Times New Roman" w:hAnsi="Times New Roman" w:cs="Times New Roman"/>
          <w:sz w:val="24"/>
          <w:szCs w:val="24"/>
        </w:rPr>
      </w:pPr>
    </w:p>
    <w:p w14:paraId="4F48F280" w14:textId="77777777" w:rsidR="00E32557" w:rsidRDefault="00E32557" w:rsidP="00663A1F">
      <w:pPr>
        <w:spacing w:line="360" w:lineRule="auto"/>
        <w:jc w:val="both"/>
        <w:rPr>
          <w:rFonts w:ascii="Times New Roman" w:hAnsi="Times New Roman" w:cs="Times New Roman"/>
          <w:sz w:val="24"/>
          <w:szCs w:val="24"/>
        </w:rPr>
      </w:pPr>
    </w:p>
    <w:p w14:paraId="633DFE59" w14:textId="77777777" w:rsidR="00E32557" w:rsidRDefault="00E32557" w:rsidP="00663A1F">
      <w:pPr>
        <w:spacing w:line="360" w:lineRule="auto"/>
        <w:jc w:val="both"/>
        <w:rPr>
          <w:rFonts w:ascii="Times New Roman" w:hAnsi="Times New Roman" w:cs="Times New Roman"/>
          <w:sz w:val="24"/>
          <w:szCs w:val="24"/>
        </w:rPr>
      </w:pPr>
    </w:p>
    <w:p w14:paraId="0CAC3C56" w14:textId="77777777" w:rsidR="00E32557" w:rsidRDefault="00E32557" w:rsidP="00663A1F">
      <w:pPr>
        <w:spacing w:line="360" w:lineRule="auto"/>
        <w:jc w:val="both"/>
        <w:rPr>
          <w:rFonts w:ascii="Times New Roman" w:hAnsi="Times New Roman" w:cs="Times New Roman"/>
          <w:sz w:val="24"/>
          <w:szCs w:val="24"/>
        </w:rPr>
      </w:pPr>
    </w:p>
    <w:p w14:paraId="1F41DE63" w14:textId="77777777" w:rsidR="00E32557" w:rsidRDefault="00E32557" w:rsidP="00663A1F">
      <w:pPr>
        <w:spacing w:line="360" w:lineRule="auto"/>
        <w:jc w:val="both"/>
        <w:rPr>
          <w:rFonts w:ascii="Times New Roman" w:hAnsi="Times New Roman" w:cs="Times New Roman"/>
          <w:sz w:val="24"/>
          <w:szCs w:val="24"/>
        </w:rPr>
      </w:pPr>
    </w:p>
    <w:p w14:paraId="5D223965" w14:textId="77777777" w:rsidR="00E32557" w:rsidRDefault="00E32557" w:rsidP="00663A1F">
      <w:pPr>
        <w:spacing w:line="360" w:lineRule="auto"/>
        <w:jc w:val="both"/>
        <w:rPr>
          <w:rFonts w:ascii="Times New Roman" w:hAnsi="Times New Roman" w:cs="Times New Roman"/>
          <w:sz w:val="24"/>
          <w:szCs w:val="24"/>
        </w:rPr>
      </w:pPr>
    </w:p>
    <w:p w14:paraId="09C3BC42" w14:textId="77777777" w:rsidR="00E32557" w:rsidRDefault="00E32557" w:rsidP="00663A1F">
      <w:pPr>
        <w:spacing w:line="360" w:lineRule="auto"/>
        <w:jc w:val="both"/>
        <w:rPr>
          <w:rFonts w:ascii="Times New Roman" w:hAnsi="Times New Roman" w:cs="Times New Roman"/>
          <w:sz w:val="24"/>
          <w:szCs w:val="24"/>
        </w:rPr>
      </w:pPr>
    </w:p>
    <w:p w14:paraId="648A1AC6" w14:textId="2E0AC534" w:rsidR="00E32557" w:rsidRDefault="00E32557" w:rsidP="00663A1F">
      <w:pPr>
        <w:spacing w:line="360" w:lineRule="auto"/>
        <w:jc w:val="both"/>
        <w:rPr>
          <w:rFonts w:ascii="Times New Roman" w:hAnsi="Times New Roman" w:cs="Times New Roman"/>
          <w:sz w:val="24"/>
          <w:szCs w:val="24"/>
        </w:rPr>
      </w:pPr>
    </w:p>
    <w:p w14:paraId="6E3C2DB6" w14:textId="77777777" w:rsidR="00E32557" w:rsidRDefault="00E32557" w:rsidP="00663A1F">
      <w:pPr>
        <w:spacing w:line="360" w:lineRule="auto"/>
        <w:jc w:val="both"/>
        <w:rPr>
          <w:rFonts w:ascii="Times New Roman" w:hAnsi="Times New Roman" w:cs="Times New Roman"/>
          <w:sz w:val="24"/>
          <w:szCs w:val="24"/>
        </w:rPr>
      </w:pPr>
    </w:p>
    <w:p w14:paraId="15684D54" w14:textId="77777777" w:rsidR="00E32557" w:rsidRDefault="00E32557" w:rsidP="00663A1F">
      <w:pPr>
        <w:spacing w:line="360" w:lineRule="auto"/>
        <w:jc w:val="both"/>
        <w:rPr>
          <w:rFonts w:ascii="Times New Roman" w:hAnsi="Times New Roman" w:cs="Times New Roman"/>
          <w:sz w:val="24"/>
          <w:szCs w:val="24"/>
        </w:rPr>
      </w:pPr>
    </w:p>
    <w:p w14:paraId="097F6AF5" w14:textId="2B426ADF" w:rsidR="00E32557" w:rsidRPr="00E32557" w:rsidRDefault="00E32557" w:rsidP="00DE5280">
      <w:pPr>
        <w:spacing w:line="360" w:lineRule="auto"/>
        <w:jc w:val="both"/>
        <w:rPr>
          <w:rFonts w:ascii="Arial" w:hAnsi="Arial" w:cs="Arial"/>
          <w:b/>
          <w:sz w:val="24"/>
          <w:szCs w:val="24"/>
        </w:rPr>
      </w:pPr>
    </w:p>
    <w:p w14:paraId="2B7A71AF" w14:textId="3F04C027" w:rsidR="001637BD" w:rsidRDefault="00AB1F30" w:rsidP="00DE5280">
      <w:pPr>
        <w:spacing w:line="360" w:lineRule="auto"/>
        <w:jc w:val="both"/>
        <w:rPr>
          <w:rFonts w:ascii="Arial" w:hAnsi="Arial" w:cs="Arial"/>
          <w:sz w:val="24"/>
          <w:szCs w:val="24"/>
        </w:rPr>
      </w:pPr>
      <w:r w:rsidRPr="00DE5280">
        <w:rPr>
          <w:rFonts w:ascii="Arial" w:hAnsi="Arial" w:cs="Arial"/>
          <w:sz w:val="24"/>
          <w:szCs w:val="24"/>
        </w:rPr>
        <w:t xml:space="preserve">Competency is a compilation of psychological characteristics that the incumbent must demonstrate to execute their responsibilities and responsibilities. It is a composite of experience, obligation, knowledge, and abilities. Professional competency is the term employed to describe the attitudes, abilities, and requisite knowledge for a specific role, which symbolizes the skills sought by the workplace. </w:t>
      </w:r>
      <w:r w:rsidR="00F55D5C" w:rsidRPr="00DE5280">
        <w:rPr>
          <w:rFonts w:ascii="Arial" w:hAnsi="Arial" w:cs="Arial"/>
          <w:sz w:val="24"/>
          <w:szCs w:val="24"/>
        </w:rPr>
        <w:t xml:space="preserve">  </w:t>
      </w:r>
      <w:r w:rsidRPr="00DE5280">
        <w:rPr>
          <w:rFonts w:ascii="Arial" w:hAnsi="Arial" w:cs="Arial"/>
          <w:sz w:val="24"/>
          <w:szCs w:val="24"/>
        </w:rPr>
        <w:t>Staff members that work in restaurants can connect organizations with customers while also ensuring outstanding service.</w:t>
      </w:r>
      <w:r w:rsidR="00F55D5C" w:rsidRPr="00DE5280">
        <w:rPr>
          <w:rFonts w:ascii="Arial" w:hAnsi="Arial" w:cs="Arial"/>
          <w:sz w:val="24"/>
          <w:szCs w:val="24"/>
        </w:rPr>
        <w:t xml:space="preserve"> </w:t>
      </w:r>
    </w:p>
    <w:p w14:paraId="177BC19C" w14:textId="77777777" w:rsidR="00386843" w:rsidRPr="00DE5280" w:rsidRDefault="00386843" w:rsidP="00DE5280">
      <w:pPr>
        <w:spacing w:line="360" w:lineRule="auto"/>
        <w:jc w:val="both"/>
        <w:rPr>
          <w:rFonts w:ascii="Arial" w:hAnsi="Arial" w:cs="Arial"/>
          <w:sz w:val="24"/>
          <w:szCs w:val="24"/>
        </w:rPr>
      </w:pPr>
      <w:r w:rsidRPr="00DE5280">
        <w:rPr>
          <w:rFonts w:ascii="Arial" w:hAnsi="Arial" w:cs="Arial"/>
          <w:sz w:val="24"/>
          <w:szCs w:val="24"/>
        </w:rPr>
        <w:t>This comprises</w:t>
      </w:r>
      <w:r w:rsidR="001637BD">
        <w:rPr>
          <w:rFonts w:ascii="Arial" w:hAnsi="Arial" w:cs="Arial"/>
          <w:sz w:val="24"/>
          <w:szCs w:val="24"/>
        </w:rPr>
        <w:t xml:space="preserve"> </w:t>
      </w:r>
      <w:r w:rsidRPr="00DE5280">
        <w:rPr>
          <w:rFonts w:ascii="Arial" w:hAnsi="Arial" w:cs="Arial"/>
          <w:sz w:val="24"/>
          <w:szCs w:val="24"/>
        </w:rPr>
        <w:t>all companies engaged</w:t>
      </w:r>
      <w:r w:rsidR="00383581" w:rsidRPr="00DE5280">
        <w:rPr>
          <w:rFonts w:ascii="Arial" w:hAnsi="Arial" w:cs="Arial"/>
          <w:sz w:val="24"/>
          <w:szCs w:val="24"/>
        </w:rPr>
        <w:t xml:space="preserve"> in the entertainment industry. “</w:t>
      </w:r>
      <w:r w:rsidRPr="00DE5280">
        <w:rPr>
          <w:rFonts w:ascii="Arial" w:hAnsi="Arial" w:cs="Arial"/>
          <w:sz w:val="24"/>
          <w:szCs w:val="24"/>
        </w:rPr>
        <w:t>It includes everything, including sporting events, musical performances, visual and performing arts exhibits, theme parks, escape rooms, and museums</w:t>
      </w:r>
      <w:r w:rsidR="00383581" w:rsidRPr="00DE5280">
        <w:rPr>
          <w:rFonts w:ascii="Arial" w:hAnsi="Arial" w:cs="Arial"/>
          <w:sz w:val="24"/>
          <w:szCs w:val="24"/>
        </w:rPr>
        <w:t>” (Lin, 2020)</w:t>
      </w:r>
      <w:r w:rsidRPr="00DE5280">
        <w:rPr>
          <w:rFonts w:ascii="Arial" w:hAnsi="Arial" w:cs="Arial"/>
          <w:sz w:val="24"/>
          <w:szCs w:val="24"/>
        </w:rPr>
        <w:t>.</w:t>
      </w:r>
    </w:p>
    <w:p w14:paraId="01BF3E90" w14:textId="77777777" w:rsidR="00386843" w:rsidRPr="00DE5280" w:rsidRDefault="00386843" w:rsidP="00DE5280">
      <w:pPr>
        <w:spacing w:line="360" w:lineRule="auto"/>
        <w:jc w:val="both"/>
        <w:rPr>
          <w:rFonts w:ascii="Arial" w:hAnsi="Arial" w:cs="Arial"/>
          <w:sz w:val="24"/>
          <w:szCs w:val="24"/>
        </w:rPr>
      </w:pPr>
      <w:r w:rsidRPr="00DE5280">
        <w:rPr>
          <w:rFonts w:ascii="Arial" w:hAnsi="Arial" w:cs="Arial"/>
          <w:sz w:val="24"/>
          <w:szCs w:val="24"/>
        </w:rPr>
        <w:t>The entertainment and recreation industry supports and offers services that let people engage in leisure activities for cultural, recreational, and educational reasons. It offers professional and amateur arts, theatre and music ensembles, a movie theatre, an arcade, and any other outing possibilities.</w:t>
      </w:r>
    </w:p>
    <w:p w14:paraId="60D13C24" w14:textId="27383036" w:rsidR="00386843" w:rsidRPr="00DE5280" w:rsidRDefault="00386843" w:rsidP="00DE5280">
      <w:pPr>
        <w:spacing w:line="360" w:lineRule="auto"/>
        <w:jc w:val="both"/>
        <w:rPr>
          <w:rFonts w:ascii="Arial" w:hAnsi="Arial" w:cs="Arial"/>
          <w:sz w:val="24"/>
          <w:szCs w:val="24"/>
        </w:rPr>
      </w:pPr>
      <w:r w:rsidRPr="00DE5280">
        <w:rPr>
          <w:rFonts w:ascii="Arial" w:hAnsi="Arial" w:cs="Arial"/>
          <w:sz w:val="24"/>
          <w:szCs w:val="24"/>
        </w:rPr>
        <w:t>The largest industry within hospitality is the food and beverage (F&amp;B) business. This segment consists of coffee shops, restaurants, food trucks, pubs and bars, drive-through fast food restaurants, nightclubs, bakeries, and tea and coffee shop</w:t>
      </w:r>
      <w:r w:rsidR="00F100C6">
        <w:rPr>
          <w:rFonts w:ascii="Arial" w:hAnsi="Arial" w:cs="Arial"/>
          <w:sz w:val="24"/>
          <w:szCs w:val="24"/>
        </w:rPr>
        <w:t xml:space="preserve">s </w:t>
      </w:r>
      <w:r w:rsidR="002D6A4C" w:rsidRPr="00DE5280">
        <w:rPr>
          <w:rFonts w:ascii="Arial" w:hAnsi="Arial" w:cs="Arial"/>
          <w:sz w:val="24"/>
          <w:szCs w:val="24"/>
        </w:rPr>
        <w:t xml:space="preserve"> (Pabbi, 2019)</w:t>
      </w:r>
      <w:r w:rsidRPr="00DE5280">
        <w:rPr>
          <w:rFonts w:ascii="Arial" w:hAnsi="Arial" w:cs="Arial"/>
          <w:sz w:val="24"/>
          <w:szCs w:val="24"/>
        </w:rPr>
        <w:t>.</w:t>
      </w:r>
    </w:p>
    <w:p w14:paraId="55FD0CA4" w14:textId="77777777" w:rsidR="00386843" w:rsidRPr="00DE5280" w:rsidRDefault="00386843" w:rsidP="00DE5280">
      <w:pPr>
        <w:spacing w:line="360" w:lineRule="auto"/>
        <w:jc w:val="both"/>
        <w:rPr>
          <w:rFonts w:ascii="Arial" w:hAnsi="Arial" w:cs="Arial"/>
          <w:sz w:val="24"/>
          <w:szCs w:val="24"/>
        </w:rPr>
      </w:pPr>
      <w:r w:rsidRPr="00DE5280">
        <w:rPr>
          <w:rFonts w:ascii="Arial" w:hAnsi="Arial" w:cs="Arial"/>
          <w:sz w:val="24"/>
          <w:szCs w:val="24"/>
        </w:rPr>
        <w:t>Sit-in, full-service, and take-away F&amp;B establishments are all possible. Since restaurants compete to offer the finest client experience in addition to the best food and drink, they also go beyond the scope of merely delivering meals.</w:t>
      </w:r>
    </w:p>
    <w:p w14:paraId="4F3A21DF" w14:textId="77777777" w:rsidR="00386843" w:rsidRPr="00DE5280" w:rsidRDefault="00386843" w:rsidP="00DE5280">
      <w:pPr>
        <w:spacing w:line="360" w:lineRule="auto"/>
        <w:jc w:val="both"/>
        <w:rPr>
          <w:rFonts w:ascii="Arial" w:hAnsi="Arial" w:cs="Arial"/>
          <w:sz w:val="24"/>
          <w:szCs w:val="24"/>
        </w:rPr>
      </w:pPr>
      <w:r w:rsidRPr="00DE5280">
        <w:rPr>
          <w:rFonts w:ascii="Arial" w:hAnsi="Arial" w:cs="Arial"/>
          <w:sz w:val="24"/>
          <w:szCs w:val="24"/>
        </w:rPr>
        <w:t>This sector's businesses offer accommodations to visitors. All types of hotels and guesthouses are included in the hospitality industry. In addition, there are resorts, bed and breakfasts, static, mobile, and hostel sites, log cabins, campgrounds, cottages, and chalets.</w:t>
      </w:r>
    </w:p>
    <w:p w14:paraId="04323EDC" w14:textId="7F66EEFD" w:rsidR="00D42823" w:rsidRPr="00DE5280" w:rsidRDefault="00D42823" w:rsidP="00DE5280">
      <w:pPr>
        <w:pStyle w:val="Titlu3"/>
        <w:spacing w:before="0" w:after="180" w:line="360" w:lineRule="auto"/>
        <w:jc w:val="both"/>
        <w:textAlignment w:val="baseline"/>
        <w:rPr>
          <w:rFonts w:ascii="Arial" w:hAnsi="Arial" w:cs="Arial"/>
          <w:b w:val="0"/>
          <w:color w:val="auto"/>
          <w:sz w:val="24"/>
          <w:szCs w:val="24"/>
        </w:rPr>
      </w:pPr>
      <w:r w:rsidRPr="00DE5280">
        <w:rPr>
          <w:rFonts w:ascii="Arial" w:hAnsi="Arial" w:cs="Arial"/>
          <w:b w:val="0"/>
          <w:color w:val="auto"/>
          <w:sz w:val="24"/>
          <w:szCs w:val="24"/>
        </w:rPr>
        <w:t xml:space="preserve"> </w:t>
      </w:r>
    </w:p>
    <w:p w14:paraId="16A21F0B" w14:textId="77777777" w:rsidR="00D42823" w:rsidRPr="00DE5280" w:rsidRDefault="00D42823" w:rsidP="00DE5280">
      <w:pPr>
        <w:spacing w:line="360" w:lineRule="auto"/>
        <w:jc w:val="both"/>
        <w:rPr>
          <w:rFonts w:ascii="Arial" w:hAnsi="Arial" w:cs="Arial"/>
          <w:sz w:val="24"/>
          <w:szCs w:val="24"/>
        </w:rPr>
      </w:pPr>
      <w:r w:rsidRPr="00DE5280">
        <w:rPr>
          <w:rFonts w:ascii="Arial" w:hAnsi="Arial" w:cs="Arial"/>
          <w:sz w:val="24"/>
          <w:szCs w:val="24"/>
        </w:rPr>
        <w:t>Travel and tourism are the fourth and final hospitality sector</w:t>
      </w:r>
      <w:r w:rsidR="00AF5D7F" w:rsidRPr="00DE5280">
        <w:rPr>
          <w:rFonts w:ascii="Arial" w:hAnsi="Arial" w:cs="Arial"/>
          <w:sz w:val="24"/>
          <w:szCs w:val="24"/>
        </w:rPr>
        <w:t>s</w:t>
      </w:r>
      <w:r w:rsidRPr="00DE5280">
        <w:rPr>
          <w:rFonts w:ascii="Arial" w:hAnsi="Arial" w:cs="Arial"/>
          <w:sz w:val="24"/>
          <w:szCs w:val="24"/>
        </w:rPr>
        <w:t>. Travel agencies, cruise ships, logistics firms, sightseeing, bus, and walking tours, airlines, taxis, and vehicle rental firms are all included.</w:t>
      </w:r>
    </w:p>
    <w:p w14:paraId="648DA769" w14:textId="77777777" w:rsidR="00D42823" w:rsidRPr="00DE5280" w:rsidRDefault="00D42823" w:rsidP="00DE5280">
      <w:pPr>
        <w:spacing w:line="360" w:lineRule="auto"/>
        <w:jc w:val="both"/>
        <w:rPr>
          <w:rFonts w:ascii="Arial" w:hAnsi="Arial" w:cs="Arial"/>
          <w:sz w:val="24"/>
          <w:szCs w:val="24"/>
        </w:rPr>
      </w:pPr>
      <w:r w:rsidRPr="00DE5280">
        <w:rPr>
          <w:rFonts w:ascii="Arial" w:hAnsi="Arial" w:cs="Arial"/>
          <w:sz w:val="24"/>
          <w:szCs w:val="24"/>
        </w:rPr>
        <w:lastRenderedPageBreak/>
        <w:t xml:space="preserve">Travelers can move throughout locations using the transportation services offered by the travel and tourist industry. </w:t>
      </w:r>
      <w:r w:rsidR="00E85855" w:rsidRPr="00DE5280">
        <w:rPr>
          <w:rFonts w:ascii="Arial" w:hAnsi="Arial" w:cs="Arial"/>
          <w:sz w:val="24"/>
          <w:szCs w:val="24"/>
        </w:rPr>
        <w:t>“</w:t>
      </w:r>
      <w:r w:rsidRPr="00DE5280">
        <w:rPr>
          <w:rFonts w:ascii="Arial" w:hAnsi="Arial" w:cs="Arial"/>
          <w:sz w:val="24"/>
          <w:szCs w:val="24"/>
        </w:rPr>
        <w:t>It serves as a crucial middleman for boosting both leisure and professional travel. Public transport system plays a significant role in this crucial industry</w:t>
      </w:r>
      <w:r w:rsidR="00E85855" w:rsidRPr="00DE5280">
        <w:rPr>
          <w:rFonts w:ascii="Arial" w:hAnsi="Arial" w:cs="Arial"/>
          <w:sz w:val="24"/>
          <w:szCs w:val="24"/>
        </w:rPr>
        <w:t>” (</w:t>
      </w:r>
      <w:proofErr w:type="spellStart"/>
      <w:r w:rsidR="00AF5D7F" w:rsidRPr="00DE5280">
        <w:rPr>
          <w:rFonts w:ascii="Arial" w:hAnsi="Arial" w:cs="Arial"/>
          <w:sz w:val="24"/>
          <w:szCs w:val="24"/>
        </w:rPr>
        <w:t>A</w:t>
      </w:r>
      <w:r w:rsidR="00E85855" w:rsidRPr="00DE5280">
        <w:rPr>
          <w:rFonts w:ascii="Arial" w:hAnsi="Arial" w:cs="Arial"/>
          <w:sz w:val="24"/>
          <w:szCs w:val="24"/>
        </w:rPr>
        <w:t>njeeb</w:t>
      </w:r>
      <w:proofErr w:type="spellEnd"/>
      <w:r w:rsidR="00E85855" w:rsidRPr="00DE5280">
        <w:rPr>
          <w:rFonts w:ascii="Arial" w:hAnsi="Arial" w:cs="Arial"/>
          <w:sz w:val="24"/>
          <w:szCs w:val="24"/>
        </w:rPr>
        <w:t xml:space="preserve"> Pal, 2019)</w:t>
      </w:r>
      <w:r w:rsidRPr="00DE5280">
        <w:rPr>
          <w:rFonts w:ascii="Arial" w:hAnsi="Arial" w:cs="Arial"/>
          <w:sz w:val="24"/>
          <w:szCs w:val="24"/>
        </w:rPr>
        <w:t>.</w:t>
      </w:r>
    </w:p>
    <w:p w14:paraId="1D40905C" w14:textId="77777777" w:rsidR="00D42823" w:rsidRPr="00DE5280" w:rsidRDefault="00D42823" w:rsidP="00DE5280">
      <w:pPr>
        <w:spacing w:line="360" w:lineRule="auto"/>
        <w:jc w:val="both"/>
        <w:rPr>
          <w:rFonts w:ascii="Arial" w:hAnsi="Arial" w:cs="Arial"/>
          <w:sz w:val="24"/>
          <w:szCs w:val="24"/>
        </w:rPr>
      </w:pPr>
      <w:r w:rsidRPr="00DE5280">
        <w:rPr>
          <w:rFonts w:ascii="Arial" w:hAnsi="Arial" w:cs="Arial"/>
          <w:sz w:val="24"/>
          <w:szCs w:val="24"/>
        </w:rPr>
        <w:t>As a result, we are aware that how you do something is just as fundamental as what you do. People in the hospitality industry are aware that when customers enter a restaurant, they anticipate more than just a meal. Customers anticipate a warm welcome, attentive, voice response, and well</w:t>
      </w:r>
      <w:r w:rsidR="00AF5D7F" w:rsidRPr="00DE5280">
        <w:rPr>
          <w:rFonts w:ascii="Arial" w:hAnsi="Arial" w:cs="Arial"/>
          <w:sz w:val="24"/>
          <w:szCs w:val="24"/>
        </w:rPr>
        <w:t>-</w:t>
      </w:r>
      <w:r w:rsidRPr="00DE5280">
        <w:rPr>
          <w:rFonts w:ascii="Arial" w:hAnsi="Arial" w:cs="Arial"/>
          <w:sz w:val="24"/>
          <w:szCs w:val="24"/>
        </w:rPr>
        <w:t>decorated space. All of these elements work collaboratively to provide a satisfying guest experience.</w:t>
      </w:r>
    </w:p>
    <w:p w14:paraId="757F167B" w14:textId="77777777" w:rsidR="001C3C75" w:rsidRPr="00DE5280" w:rsidRDefault="001C3C75" w:rsidP="00DE5280">
      <w:pPr>
        <w:shd w:val="clear" w:color="auto" w:fill="FFFFFF"/>
        <w:spacing w:after="0" w:line="360" w:lineRule="auto"/>
        <w:jc w:val="both"/>
        <w:rPr>
          <w:rFonts w:ascii="Arial" w:eastAsia="Times New Roman" w:hAnsi="Arial" w:cs="Arial"/>
          <w:sz w:val="24"/>
          <w:szCs w:val="24"/>
          <w:lang w:eastAsia="en-IN"/>
        </w:rPr>
      </w:pPr>
      <w:r w:rsidRPr="00DE5280">
        <w:rPr>
          <w:rFonts w:ascii="Arial" w:eastAsia="Times New Roman" w:hAnsi="Arial" w:cs="Arial"/>
          <w:sz w:val="24"/>
          <w:szCs w:val="24"/>
          <w:lang w:eastAsia="en-IN"/>
        </w:rPr>
        <w:t>It first clarifies the fundamental operational features of the cost structure of hotels, along with the fluctuating nature of demand and fixed capacity, which tend to transform them into revenue-oriented enterprises with revenue management as a key contributor to their profitability. Secondly, let's discuss the function of industrial associations.</w:t>
      </w:r>
    </w:p>
    <w:p w14:paraId="1C78A349" w14:textId="77777777" w:rsidR="001C3C75" w:rsidRPr="00DE5280" w:rsidRDefault="001C3C75" w:rsidP="00DE5280">
      <w:pPr>
        <w:shd w:val="clear" w:color="auto" w:fill="FFFFFF"/>
        <w:spacing w:after="0" w:line="360" w:lineRule="auto"/>
        <w:jc w:val="both"/>
        <w:rPr>
          <w:rFonts w:ascii="Arial" w:eastAsia="Times New Roman" w:hAnsi="Arial" w:cs="Arial"/>
          <w:sz w:val="24"/>
          <w:szCs w:val="24"/>
          <w:lang w:eastAsia="en-IN"/>
        </w:rPr>
      </w:pPr>
      <w:r w:rsidRPr="00DE5280">
        <w:rPr>
          <w:rFonts w:ascii="Arial" w:eastAsia="Times New Roman" w:hAnsi="Arial" w:cs="Arial"/>
          <w:sz w:val="24"/>
          <w:szCs w:val="24"/>
          <w:lang w:eastAsia="en-IN"/>
        </w:rPr>
        <w:t>Second, there is a two-stage examination of the literature since there are two groups in this field: academic literature and practi</w:t>
      </w:r>
      <w:r w:rsidR="00AF5D7F" w:rsidRPr="00DE5280">
        <w:rPr>
          <w:rFonts w:ascii="Arial" w:eastAsia="Times New Roman" w:hAnsi="Arial" w:cs="Arial"/>
          <w:sz w:val="24"/>
          <w:szCs w:val="24"/>
          <w:lang w:eastAsia="en-IN"/>
        </w:rPr>
        <w:t>c</w:t>
      </w:r>
      <w:r w:rsidRPr="00DE5280">
        <w:rPr>
          <w:rFonts w:ascii="Arial" w:eastAsia="Times New Roman" w:hAnsi="Arial" w:cs="Arial"/>
          <w:sz w:val="24"/>
          <w:szCs w:val="24"/>
          <w:lang w:eastAsia="en-IN"/>
        </w:rPr>
        <w:t>es, and practitioner literature and practi</w:t>
      </w:r>
      <w:r w:rsidR="00507E5B">
        <w:rPr>
          <w:rFonts w:ascii="Arial" w:eastAsia="Times New Roman" w:hAnsi="Arial" w:cs="Arial"/>
          <w:sz w:val="24"/>
          <w:szCs w:val="24"/>
          <w:lang w:eastAsia="en-IN"/>
        </w:rPr>
        <w:t>c</w:t>
      </w:r>
      <w:r w:rsidRPr="00DE5280">
        <w:rPr>
          <w:rFonts w:ascii="Arial" w:eastAsia="Times New Roman" w:hAnsi="Arial" w:cs="Arial"/>
          <w:sz w:val="24"/>
          <w:szCs w:val="24"/>
          <w:lang w:eastAsia="en-IN"/>
        </w:rPr>
        <w:t>es of hotel consulting companies and tourism industry bodies. This is because there are significant differences between the worldviews of academics and practitioners.</w:t>
      </w:r>
    </w:p>
    <w:p w14:paraId="5B1CE868" w14:textId="77777777" w:rsidR="001C3C75" w:rsidRDefault="001C3C75" w:rsidP="00DE5280">
      <w:pPr>
        <w:shd w:val="clear" w:color="auto" w:fill="FFFFFF"/>
        <w:spacing w:after="0" w:line="360" w:lineRule="auto"/>
        <w:jc w:val="both"/>
        <w:rPr>
          <w:rFonts w:ascii="Arial" w:eastAsia="Times New Roman" w:hAnsi="Arial" w:cs="Arial"/>
          <w:sz w:val="24"/>
          <w:szCs w:val="24"/>
          <w:lang w:eastAsia="en-IN"/>
        </w:rPr>
      </w:pPr>
      <w:r w:rsidRPr="00DE5280">
        <w:rPr>
          <w:rFonts w:ascii="Arial" w:eastAsia="Times New Roman" w:hAnsi="Arial" w:cs="Arial"/>
          <w:sz w:val="24"/>
          <w:szCs w:val="24"/>
          <w:lang w:eastAsia="en-IN"/>
        </w:rPr>
        <w:t xml:space="preserve">Since they only interact indirectly with the practitioners in the industry, the academic literature on hospitality is therefore considered to constitute a different constituency (the theoretical cohort). These classifications are </w:t>
      </w:r>
      <w:r w:rsidR="00AF5D7F" w:rsidRPr="00DE5280">
        <w:rPr>
          <w:rFonts w:ascii="Arial" w:eastAsia="Times New Roman" w:hAnsi="Arial" w:cs="Arial"/>
          <w:sz w:val="24"/>
          <w:szCs w:val="24"/>
          <w:lang w:eastAsia="en-IN"/>
        </w:rPr>
        <w:t>following</w:t>
      </w:r>
      <w:r w:rsidRPr="00DE5280">
        <w:rPr>
          <w:rFonts w:ascii="Arial" w:eastAsia="Times New Roman" w:hAnsi="Arial" w:cs="Arial"/>
          <w:sz w:val="24"/>
          <w:szCs w:val="24"/>
          <w:lang w:eastAsia="en-IN"/>
        </w:rPr>
        <w:t xml:space="preserve"> the findings of Van Helden et al. (2010), who identified researchers and consultants as discrete categories and noted variations in the knowledge</w:t>
      </w:r>
      <w:r w:rsidR="00AF5D7F" w:rsidRPr="00DE5280">
        <w:rPr>
          <w:rFonts w:ascii="Arial" w:eastAsia="Times New Roman" w:hAnsi="Arial" w:cs="Arial"/>
          <w:sz w:val="24"/>
          <w:szCs w:val="24"/>
          <w:lang w:eastAsia="en-IN"/>
        </w:rPr>
        <w:t>-</w:t>
      </w:r>
      <w:r w:rsidRPr="00DE5280">
        <w:rPr>
          <w:rFonts w:ascii="Arial" w:eastAsia="Times New Roman" w:hAnsi="Arial" w:cs="Arial"/>
          <w:sz w:val="24"/>
          <w:szCs w:val="24"/>
          <w:lang w:eastAsia="en-IN"/>
        </w:rPr>
        <w:t>generating processes between them.</w:t>
      </w:r>
    </w:p>
    <w:p w14:paraId="08D648EF" w14:textId="5EB254DA" w:rsidR="001637BD" w:rsidRPr="00E32557" w:rsidRDefault="00CB6FAE" w:rsidP="00DE5280">
      <w:pPr>
        <w:shd w:val="clear" w:color="auto" w:fill="FFFFFF"/>
        <w:spacing w:after="0" w:line="360" w:lineRule="auto"/>
        <w:jc w:val="both"/>
        <w:rPr>
          <w:rFonts w:ascii="Arial" w:eastAsia="Times New Roman" w:hAnsi="Arial" w:cs="Arial"/>
          <w:sz w:val="24"/>
          <w:szCs w:val="24"/>
          <w:lang w:eastAsia="en-IN"/>
        </w:rPr>
      </w:pPr>
      <w:r>
        <w:rPr>
          <w:rFonts w:ascii="Arial" w:eastAsia="Times New Roman" w:hAnsi="Arial" w:cs="Arial"/>
          <w:sz w:val="24"/>
          <w:szCs w:val="24"/>
          <w:lang w:eastAsia="en-IN"/>
        </w:rPr>
        <w:t xml:space="preserve"> </w:t>
      </w:r>
    </w:p>
    <w:p w14:paraId="1FB8BF7C" w14:textId="77777777" w:rsidR="001C3C75" w:rsidRPr="00CB6FAE" w:rsidRDefault="00CB6FAE" w:rsidP="00DE5280">
      <w:pPr>
        <w:shd w:val="clear" w:color="auto" w:fill="FFFFFF"/>
        <w:spacing w:after="51" w:line="360" w:lineRule="auto"/>
        <w:jc w:val="both"/>
        <w:rPr>
          <w:rFonts w:ascii="Arial" w:hAnsi="Arial" w:cs="Arial"/>
          <w:bCs/>
          <w:sz w:val="24"/>
          <w:szCs w:val="24"/>
        </w:rPr>
      </w:pPr>
      <w:r w:rsidRPr="00CB6FAE">
        <w:rPr>
          <w:rFonts w:ascii="Arial" w:hAnsi="Arial" w:cs="Arial"/>
          <w:bCs/>
          <w:sz w:val="24"/>
          <w:szCs w:val="24"/>
        </w:rPr>
        <w:t>To operate your restaurant economically and effortlessly, you must use a restaurant management system. A strong restaurant management solution enables you to access this data any time you require it, even if you aren't always in the restaurant.</w:t>
      </w:r>
    </w:p>
    <w:p w14:paraId="0D96B68A" w14:textId="77777777" w:rsidR="003417A0" w:rsidRPr="00DE5280" w:rsidRDefault="003417A0" w:rsidP="00DE5280">
      <w:pPr>
        <w:spacing w:line="360" w:lineRule="auto"/>
        <w:jc w:val="both"/>
        <w:rPr>
          <w:rFonts w:ascii="Arial" w:hAnsi="Arial" w:cs="Arial"/>
          <w:sz w:val="24"/>
          <w:szCs w:val="24"/>
        </w:rPr>
      </w:pPr>
    </w:p>
    <w:p w14:paraId="69E59257" w14:textId="77777777" w:rsidR="00686509" w:rsidRPr="00DE5280" w:rsidRDefault="00686509" w:rsidP="00DE5280">
      <w:pPr>
        <w:spacing w:line="360" w:lineRule="auto"/>
        <w:jc w:val="both"/>
        <w:rPr>
          <w:rFonts w:ascii="Arial" w:hAnsi="Arial" w:cs="Arial"/>
          <w:sz w:val="24"/>
          <w:szCs w:val="24"/>
        </w:rPr>
      </w:pPr>
    </w:p>
    <w:p w14:paraId="5C635306" w14:textId="785E1285" w:rsidR="003417A0" w:rsidRPr="00DE5280" w:rsidRDefault="003417A0" w:rsidP="00DE5280">
      <w:pPr>
        <w:spacing w:line="360" w:lineRule="auto"/>
        <w:jc w:val="both"/>
        <w:rPr>
          <w:rFonts w:ascii="Arial" w:hAnsi="Arial" w:cs="Arial"/>
          <w:b/>
          <w:sz w:val="24"/>
          <w:szCs w:val="24"/>
        </w:rPr>
      </w:pPr>
      <w:r w:rsidRPr="00DE5280">
        <w:rPr>
          <w:rFonts w:ascii="Arial" w:hAnsi="Arial" w:cs="Arial"/>
          <w:b/>
          <w:sz w:val="24"/>
          <w:szCs w:val="24"/>
        </w:rPr>
        <w:lastRenderedPageBreak/>
        <w:t>References</w:t>
      </w:r>
    </w:p>
    <w:p w14:paraId="6974EC56" w14:textId="77777777" w:rsidR="00231B7B" w:rsidRPr="00DE5280" w:rsidRDefault="00231B7B" w:rsidP="00DE5280">
      <w:pPr>
        <w:spacing w:line="360" w:lineRule="auto"/>
        <w:jc w:val="both"/>
        <w:rPr>
          <w:rFonts w:ascii="Arial" w:hAnsi="Arial" w:cs="Arial"/>
          <w:sz w:val="24"/>
          <w:szCs w:val="24"/>
          <w:shd w:val="clear" w:color="auto" w:fill="FEF1C4"/>
        </w:rPr>
      </w:pPr>
      <w:r w:rsidRPr="00DE5280">
        <w:rPr>
          <w:rFonts w:ascii="Arial" w:hAnsi="Arial" w:cs="Arial"/>
          <w:sz w:val="24"/>
          <w:szCs w:val="24"/>
        </w:rPr>
        <w:t>Ahmed, A. (2019). Factors affecting Customer Retention in the Restaurant Industry: Moderating Role of Restaurant Location. </w:t>
      </w:r>
      <w:r w:rsidRPr="00DE5280">
        <w:rPr>
          <w:rFonts w:ascii="Arial" w:hAnsi="Arial" w:cs="Arial"/>
          <w:i/>
          <w:iCs/>
          <w:sz w:val="24"/>
          <w:szCs w:val="24"/>
        </w:rPr>
        <w:t>IBT Journal of Business Studies</w:t>
      </w:r>
      <w:r w:rsidRPr="00DE5280">
        <w:rPr>
          <w:rFonts w:ascii="Arial" w:hAnsi="Arial" w:cs="Arial"/>
          <w:sz w:val="24"/>
          <w:szCs w:val="24"/>
        </w:rPr>
        <w:t xml:space="preserve">, 15(2), pp.95–108. </w:t>
      </w:r>
      <w:proofErr w:type="gramStart"/>
      <w:r w:rsidRPr="00DE5280">
        <w:rPr>
          <w:rFonts w:ascii="Arial" w:hAnsi="Arial" w:cs="Arial"/>
          <w:sz w:val="24"/>
          <w:szCs w:val="24"/>
        </w:rPr>
        <w:t>doi:10.46745/ilma.jbs</w:t>
      </w:r>
      <w:proofErr w:type="gramEnd"/>
      <w:r w:rsidRPr="00DE5280">
        <w:rPr>
          <w:rFonts w:ascii="Arial" w:hAnsi="Arial" w:cs="Arial"/>
          <w:sz w:val="24"/>
          <w:szCs w:val="24"/>
        </w:rPr>
        <w:t>.2019.15.02.07.</w:t>
      </w:r>
    </w:p>
    <w:p w14:paraId="7C6EFF09" w14:textId="77777777" w:rsidR="00231B7B" w:rsidRPr="00DE5280" w:rsidRDefault="00231B7B" w:rsidP="00DE5280">
      <w:pPr>
        <w:spacing w:line="360" w:lineRule="auto"/>
        <w:jc w:val="both"/>
        <w:rPr>
          <w:rFonts w:ascii="Arial" w:hAnsi="Arial" w:cs="Arial"/>
          <w:sz w:val="24"/>
          <w:szCs w:val="24"/>
          <w:shd w:val="clear" w:color="auto" w:fill="FEF1C4"/>
        </w:rPr>
      </w:pPr>
      <w:r w:rsidRPr="00DE5280">
        <w:rPr>
          <w:rFonts w:ascii="Arial" w:hAnsi="Arial" w:cs="Arial"/>
          <w:sz w:val="24"/>
          <w:szCs w:val="24"/>
        </w:rPr>
        <w:t>Aybek, G. and Özdemir, B. (2022). Effects of ethnic restaurant experience on prospective tourist intentions: Mediating role of food image. </w:t>
      </w:r>
      <w:r w:rsidRPr="00DE5280">
        <w:rPr>
          <w:rFonts w:ascii="Arial" w:hAnsi="Arial" w:cs="Arial"/>
          <w:i/>
          <w:iCs/>
          <w:sz w:val="24"/>
          <w:szCs w:val="24"/>
        </w:rPr>
        <w:t>Tourism Management Perspectives</w:t>
      </w:r>
      <w:r w:rsidRPr="00DE5280">
        <w:rPr>
          <w:rFonts w:ascii="Arial" w:hAnsi="Arial" w:cs="Arial"/>
          <w:sz w:val="24"/>
          <w:szCs w:val="24"/>
        </w:rPr>
        <w:t xml:space="preserve">, 44, p.101034. </w:t>
      </w:r>
      <w:proofErr w:type="gramStart"/>
      <w:r w:rsidRPr="00DE5280">
        <w:rPr>
          <w:rFonts w:ascii="Arial" w:hAnsi="Arial" w:cs="Arial"/>
          <w:sz w:val="24"/>
          <w:szCs w:val="24"/>
        </w:rPr>
        <w:t>doi:10.1016/j.tmp</w:t>
      </w:r>
      <w:proofErr w:type="gramEnd"/>
      <w:r w:rsidRPr="00DE5280">
        <w:rPr>
          <w:rFonts w:ascii="Arial" w:hAnsi="Arial" w:cs="Arial"/>
          <w:sz w:val="24"/>
          <w:szCs w:val="24"/>
        </w:rPr>
        <w:t>.2022.101034.</w:t>
      </w:r>
    </w:p>
    <w:p w14:paraId="493AE518" w14:textId="77777777" w:rsidR="00231B7B" w:rsidRPr="00DE5280" w:rsidRDefault="00231B7B" w:rsidP="00DE5280">
      <w:pPr>
        <w:spacing w:line="360" w:lineRule="auto"/>
        <w:jc w:val="both"/>
        <w:rPr>
          <w:rFonts w:ascii="Arial" w:hAnsi="Arial" w:cs="Arial"/>
          <w:sz w:val="24"/>
          <w:szCs w:val="24"/>
          <w:shd w:val="clear" w:color="auto" w:fill="FEF1C4"/>
        </w:rPr>
      </w:pPr>
      <w:r w:rsidRPr="00DE5280">
        <w:rPr>
          <w:rFonts w:ascii="Arial" w:hAnsi="Arial" w:cs="Arial"/>
          <w:sz w:val="24"/>
          <w:szCs w:val="24"/>
        </w:rPr>
        <w:t>Kim, B. and Lee, S. (2022). The impact of celebrity CEOs on restaurant firm performance: The moderating role of environmental dynamism. </w:t>
      </w:r>
      <w:r w:rsidRPr="00DE5280">
        <w:rPr>
          <w:rFonts w:ascii="Arial" w:hAnsi="Arial" w:cs="Arial"/>
          <w:i/>
          <w:iCs/>
          <w:sz w:val="24"/>
          <w:szCs w:val="24"/>
        </w:rPr>
        <w:t>Journal of Business Research</w:t>
      </w:r>
      <w:r w:rsidRPr="00DE5280">
        <w:rPr>
          <w:rFonts w:ascii="Arial" w:hAnsi="Arial" w:cs="Arial"/>
          <w:sz w:val="24"/>
          <w:szCs w:val="24"/>
        </w:rPr>
        <w:t xml:space="preserve">, 139, pp.869–880. </w:t>
      </w:r>
      <w:proofErr w:type="gramStart"/>
      <w:r w:rsidRPr="00DE5280">
        <w:rPr>
          <w:rFonts w:ascii="Arial" w:hAnsi="Arial" w:cs="Arial"/>
          <w:sz w:val="24"/>
          <w:szCs w:val="24"/>
        </w:rPr>
        <w:t>doi:10.1016/j.jbusres</w:t>
      </w:r>
      <w:proofErr w:type="gramEnd"/>
      <w:r w:rsidRPr="00DE5280">
        <w:rPr>
          <w:rFonts w:ascii="Arial" w:hAnsi="Arial" w:cs="Arial"/>
          <w:sz w:val="24"/>
          <w:szCs w:val="24"/>
        </w:rPr>
        <w:t>.2021.10.031.</w:t>
      </w:r>
    </w:p>
    <w:p w14:paraId="7373A80D" w14:textId="77777777" w:rsidR="00231B7B" w:rsidRPr="00DE5280" w:rsidRDefault="00231B7B" w:rsidP="00DE5280">
      <w:pPr>
        <w:spacing w:line="360" w:lineRule="auto"/>
        <w:jc w:val="both"/>
        <w:rPr>
          <w:rFonts w:ascii="Arial" w:hAnsi="Arial" w:cs="Arial"/>
          <w:sz w:val="24"/>
          <w:szCs w:val="24"/>
          <w:shd w:val="clear" w:color="auto" w:fill="FEF1C4"/>
        </w:rPr>
      </w:pPr>
      <w:proofErr w:type="spellStart"/>
      <w:r w:rsidRPr="00DE5280">
        <w:rPr>
          <w:rFonts w:ascii="Arial" w:hAnsi="Arial" w:cs="Arial"/>
          <w:sz w:val="24"/>
          <w:szCs w:val="24"/>
        </w:rPr>
        <w:t>Kukanja</w:t>
      </w:r>
      <w:proofErr w:type="spellEnd"/>
      <w:r w:rsidRPr="00DE5280">
        <w:rPr>
          <w:rFonts w:ascii="Arial" w:hAnsi="Arial" w:cs="Arial"/>
          <w:sz w:val="24"/>
          <w:szCs w:val="24"/>
        </w:rPr>
        <w:t xml:space="preserve">, M., Planinc, T. and Jere </w:t>
      </w:r>
      <w:proofErr w:type="spellStart"/>
      <w:r w:rsidRPr="00DE5280">
        <w:rPr>
          <w:rFonts w:ascii="Arial" w:hAnsi="Arial" w:cs="Arial"/>
          <w:sz w:val="24"/>
          <w:szCs w:val="24"/>
        </w:rPr>
        <w:t>Jakulin</w:t>
      </w:r>
      <w:proofErr w:type="spellEnd"/>
      <w:r w:rsidRPr="00DE5280">
        <w:rPr>
          <w:rFonts w:ascii="Arial" w:hAnsi="Arial" w:cs="Arial"/>
          <w:sz w:val="24"/>
          <w:szCs w:val="24"/>
        </w:rPr>
        <w:t>, T. (2020). RESTAURANT MANAGERS’ PERCEPTIONS OF SERVICE QUALITY: THE MEDIATING ROLE OF RESTAURANT SIZE AND SEATING CAPACITY. </w:t>
      </w:r>
      <w:r w:rsidRPr="00DE5280">
        <w:rPr>
          <w:rFonts w:ascii="Arial" w:hAnsi="Arial" w:cs="Arial"/>
          <w:i/>
          <w:iCs/>
          <w:sz w:val="24"/>
          <w:szCs w:val="24"/>
        </w:rPr>
        <w:t>International Journal for Quality Research</w:t>
      </w:r>
      <w:r w:rsidRPr="00DE5280">
        <w:rPr>
          <w:rFonts w:ascii="Arial" w:hAnsi="Arial" w:cs="Arial"/>
          <w:sz w:val="24"/>
          <w:szCs w:val="24"/>
        </w:rPr>
        <w:t>, 14(1), pp.237–252. doi:10.24874/ijqr14.01-15.</w:t>
      </w:r>
    </w:p>
    <w:p w14:paraId="3702EEDD" w14:textId="77777777" w:rsidR="00231B7B" w:rsidRPr="00DE5280" w:rsidRDefault="00231B7B" w:rsidP="00DE5280">
      <w:pPr>
        <w:spacing w:line="360" w:lineRule="auto"/>
        <w:jc w:val="both"/>
        <w:rPr>
          <w:rFonts w:ascii="Arial" w:hAnsi="Arial" w:cs="Arial"/>
          <w:sz w:val="24"/>
          <w:szCs w:val="24"/>
        </w:rPr>
      </w:pPr>
      <w:r w:rsidRPr="00DE5280">
        <w:rPr>
          <w:rFonts w:ascii="Arial" w:hAnsi="Arial" w:cs="Arial"/>
          <w:sz w:val="24"/>
          <w:szCs w:val="24"/>
        </w:rPr>
        <w:t>Lin, T.-C. (2020). Restaurant Tipping and Economic Efficiency in the Restaurant Market: An Economic Theoretical Analysis. </w:t>
      </w:r>
      <w:r w:rsidRPr="00DE5280">
        <w:rPr>
          <w:rFonts w:ascii="Arial" w:hAnsi="Arial" w:cs="Arial"/>
          <w:i/>
          <w:iCs/>
          <w:sz w:val="24"/>
          <w:szCs w:val="24"/>
        </w:rPr>
        <w:t>Theoretical Economics Letters</w:t>
      </w:r>
      <w:r w:rsidRPr="00DE5280">
        <w:rPr>
          <w:rFonts w:ascii="Arial" w:hAnsi="Arial" w:cs="Arial"/>
          <w:sz w:val="24"/>
          <w:szCs w:val="24"/>
        </w:rPr>
        <w:t>, 10(05), pp.1136–1145. doi:10.4236/tel.2020.105067.</w:t>
      </w:r>
    </w:p>
    <w:p w14:paraId="37FCB14D" w14:textId="77777777" w:rsidR="00231B7B" w:rsidRPr="00DE5280" w:rsidRDefault="00231B7B" w:rsidP="00DE5280">
      <w:pPr>
        <w:spacing w:line="360" w:lineRule="auto"/>
        <w:jc w:val="both"/>
        <w:rPr>
          <w:rFonts w:ascii="Arial" w:hAnsi="Arial" w:cs="Arial"/>
          <w:sz w:val="24"/>
          <w:szCs w:val="24"/>
          <w:shd w:val="clear" w:color="auto" w:fill="FEF1C4"/>
        </w:rPr>
      </w:pPr>
      <w:r w:rsidRPr="00DE5280">
        <w:rPr>
          <w:rFonts w:ascii="Arial" w:hAnsi="Arial" w:cs="Arial"/>
          <w:sz w:val="24"/>
          <w:szCs w:val="24"/>
        </w:rPr>
        <w:t>Pabbi, T. (2019). Antecedents of Customer loyalty in Quick Restaurant Sector. </w:t>
      </w:r>
      <w:r w:rsidRPr="00DE5280">
        <w:rPr>
          <w:rFonts w:ascii="Arial" w:hAnsi="Arial" w:cs="Arial"/>
          <w:i/>
          <w:iCs/>
          <w:sz w:val="24"/>
          <w:szCs w:val="24"/>
        </w:rPr>
        <w:t>International Journal of Psychosocial Rehabilitation</w:t>
      </w:r>
      <w:r w:rsidRPr="00DE5280">
        <w:rPr>
          <w:rFonts w:ascii="Arial" w:hAnsi="Arial" w:cs="Arial"/>
          <w:sz w:val="24"/>
          <w:szCs w:val="24"/>
        </w:rPr>
        <w:t>, 23(4), pp.1639–1650. doi:10.37200/</w:t>
      </w:r>
      <w:proofErr w:type="spellStart"/>
      <w:r w:rsidRPr="00DE5280">
        <w:rPr>
          <w:rFonts w:ascii="Arial" w:hAnsi="Arial" w:cs="Arial"/>
          <w:sz w:val="24"/>
          <w:szCs w:val="24"/>
        </w:rPr>
        <w:t>ijpr</w:t>
      </w:r>
      <w:proofErr w:type="spellEnd"/>
      <w:r w:rsidRPr="00DE5280">
        <w:rPr>
          <w:rFonts w:ascii="Arial" w:hAnsi="Arial" w:cs="Arial"/>
          <w:sz w:val="24"/>
          <w:szCs w:val="24"/>
        </w:rPr>
        <w:t>/v23i4/pr190489.</w:t>
      </w:r>
    </w:p>
    <w:p w14:paraId="2449B32F" w14:textId="77777777" w:rsidR="00231B7B" w:rsidRPr="00DE5280" w:rsidRDefault="00231B7B" w:rsidP="00DE5280">
      <w:pPr>
        <w:spacing w:line="360" w:lineRule="auto"/>
        <w:jc w:val="both"/>
        <w:rPr>
          <w:rFonts w:ascii="Arial" w:hAnsi="Arial" w:cs="Arial"/>
          <w:sz w:val="24"/>
          <w:szCs w:val="24"/>
          <w:shd w:val="clear" w:color="auto" w:fill="FEF1C4"/>
        </w:rPr>
      </w:pPr>
      <w:r w:rsidRPr="00DE5280">
        <w:rPr>
          <w:rFonts w:ascii="Arial" w:hAnsi="Arial" w:cs="Arial"/>
          <w:sz w:val="24"/>
          <w:szCs w:val="24"/>
        </w:rPr>
        <w:t>Sheldon, J.P. (2019). Restaurant Review. </w:t>
      </w:r>
      <w:r w:rsidRPr="00DE5280">
        <w:rPr>
          <w:rFonts w:ascii="Arial" w:hAnsi="Arial" w:cs="Arial"/>
          <w:i/>
          <w:iCs/>
          <w:sz w:val="24"/>
          <w:szCs w:val="24"/>
        </w:rPr>
        <w:t>The Mathematical Intelligencer</w:t>
      </w:r>
      <w:r w:rsidRPr="00DE5280">
        <w:rPr>
          <w:rFonts w:ascii="Arial" w:hAnsi="Arial" w:cs="Arial"/>
          <w:sz w:val="24"/>
          <w:szCs w:val="24"/>
        </w:rPr>
        <w:t>, 42(1), pp.89–89. doi:10.1007/s00283-019-09927-2.</w:t>
      </w:r>
    </w:p>
    <w:sectPr w:rsidR="00231B7B" w:rsidRPr="00DE5280" w:rsidSect="002C76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DQyNTYzMzA2B9EGSjpKwanFxZn5eSAFxrUASZ6MbSwAAAA="/>
  </w:docVars>
  <w:rsids>
    <w:rsidRoot w:val="00AB1F30"/>
    <w:rsid w:val="001637BD"/>
    <w:rsid w:val="00183B25"/>
    <w:rsid w:val="001C3C75"/>
    <w:rsid w:val="00231B7B"/>
    <w:rsid w:val="00274005"/>
    <w:rsid w:val="002C7669"/>
    <w:rsid w:val="002D6A4C"/>
    <w:rsid w:val="002E566D"/>
    <w:rsid w:val="003417A0"/>
    <w:rsid w:val="00383581"/>
    <w:rsid w:val="00386843"/>
    <w:rsid w:val="004D70E9"/>
    <w:rsid w:val="00507E5B"/>
    <w:rsid w:val="0052333C"/>
    <w:rsid w:val="00663A1F"/>
    <w:rsid w:val="00686509"/>
    <w:rsid w:val="006B47E2"/>
    <w:rsid w:val="006E2B16"/>
    <w:rsid w:val="00880A5E"/>
    <w:rsid w:val="008D7196"/>
    <w:rsid w:val="009E40DD"/>
    <w:rsid w:val="00AA5AFE"/>
    <w:rsid w:val="00AB1F30"/>
    <w:rsid w:val="00AD19C7"/>
    <w:rsid w:val="00AE35A4"/>
    <w:rsid w:val="00AF5D7F"/>
    <w:rsid w:val="00B540D5"/>
    <w:rsid w:val="00B777B3"/>
    <w:rsid w:val="00B83A74"/>
    <w:rsid w:val="00C0012A"/>
    <w:rsid w:val="00C2750C"/>
    <w:rsid w:val="00CA5165"/>
    <w:rsid w:val="00CB6FAE"/>
    <w:rsid w:val="00D42823"/>
    <w:rsid w:val="00D83678"/>
    <w:rsid w:val="00DA72CB"/>
    <w:rsid w:val="00DE5280"/>
    <w:rsid w:val="00E14D18"/>
    <w:rsid w:val="00E32557"/>
    <w:rsid w:val="00E361C7"/>
    <w:rsid w:val="00E85855"/>
    <w:rsid w:val="00F100C6"/>
    <w:rsid w:val="00F55D5C"/>
    <w:rsid w:val="00F71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EC656"/>
  <w15:docId w15:val="{1F98C769-AD44-4A30-A0DE-7B12A459C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669"/>
  </w:style>
  <w:style w:type="paragraph" w:styleId="Titlu1">
    <w:name w:val="heading 1"/>
    <w:basedOn w:val="Normal"/>
    <w:next w:val="Normal"/>
    <w:link w:val="Titlu1Caracter"/>
    <w:uiPriority w:val="9"/>
    <w:qFormat/>
    <w:rsid w:val="00AB1F3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semiHidden/>
    <w:unhideWhenUsed/>
    <w:qFormat/>
    <w:rsid w:val="0038684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semiHidden/>
    <w:unhideWhenUsed/>
    <w:qFormat/>
    <w:rsid w:val="00386843"/>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B1F30"/>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semiHidden/>
    <w:rsid w:val="00386843"/>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38684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Titlu3Caracter">
    <w:name w:val="Titlu 3 Caracter"/>
    <w:basedOn w:val="Fontdeparagrafimplicit"/>
    <w:link w:val="Titlu3"/>
    <w:uiPriority w:val="9"/>
    <w:semiHidden/>
    <w:rsid w:val="00386843"/>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824347">
      <w:bodyDiv w:val="1"/>
      <w:marLeft w:val="0"/>
      <w:marRight w:val="0"/>
      <w:marTop w:val="0"/>
      <w:marBottom w:val="0"/>
      <w:divBdr>
        <w:top w:val="none" w:sz="0" w:space="0" w:color="auto"/>
        <w:left w:val="none" w:sz="0" w:space="0" w:color="auto"/>
        <w:bottom w:val="none" w:sz="0" w:space="0" w:color="auto"/>
        <w:right w:val="none" w:sz="0" w:space="0" w:color="auto"/>
      </w:divBdr>
    </w:div>
    <w:div w:id="1771969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846</Words>
  <Characters>4828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Adina irimia</cp:lastModifiedBy>
  <cp:revision>13</cp:revision>
  <dcterms:created xsi:type="dcterms:W3CDTF">2022-10-26T11:27:00Z</dcterms:created>
  <dcterms:modified xsi:type="dcterms:W3CDTF">2022-10-27T22:21:00Z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e86751138cfcb44db51ed4cbbde13ea41de1e73a8c5d7ee7fb554245b8e8d5c4</vt:lpwstr>
  </property>
</Properties>
</file>