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E38BC" w14:textId="3A563E8D" w:rsidR="00D136AE" w:rsidRDefault="00C71AF5" w:rsidP="009A196C">
      <w:pPr>
        <w:spacing w:line="360" w:lineRule="auto"/>
        <w:rPr>
          <w:rFonts w:ascii="Arial" w:hAnsi="Arial" w:cs="Arial"/>
        </w:rPr>
      </w:pPr>
      <w:r w:rsidRPr="00A406E5">
        <w:rPr>
          <w:rFonts w:ascii="Arial" w:hAnsi="Arial" w:cs="Arial"/>
          <w:noProof/>
        </w:rPr>
        <w:drawing>
          <wp:anchor distT="0" distB="0" distL="114300" distR="114300" simplePos="0" relativeHeight="251661312" behindDoc="0" locked="0" layoutInCell="1" allowOverlap="1" wp14:anchorId="19AA88DB" wp14:editId="3DED274D">
            <wp:simplePos x="0" y="0"/>
            <wp:positionH relativeFrom="column">
              <wp:posOffset>-285750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12DFA14" w14:textId="77777777" w:rsidR="00C71AF5" w:rsidRDefault="00C71AF5" w:rsidP="009A196C">
      <w:pPr>
        <w:spacing w:line="360" w:lineRule="auto"/>
        <w:rPr>
          <w:rFonts w:ascii="Arial" w:hAnsi="Arial" w:cs="Arial"/>
        </w:rPr>
      </w:pPr>
    </w:p>
    <w:p w14:paraId="2040AAB6" w14:textId="77777777" w:rsidR="00C71AF5" w:rsidRDefault="00C71AF5" w:rsidP="009A196C">
      <w:pPr>
        <w:spacing w:line="360" w:lineRule="auto"/>
        <w:rPr>
          <w:rFonts w:ascii="Arial" w:hAnsi="Arial" w:cs="Arial"/>
        </w:rPr>
      </w:pPr>
    </w:p>
    <w:p w14:paraId="4FE35100" w14:textId="77777777" w:rsidR="00C71AF5" w:rsidRDefault="00C71AF5" w:rsidP="009A196C">
      <w:pPr>
        <w:spacing w:line="360" w:lineRule="auto"/>
        <w:rPr>
          <w:rFonts w:ascii="Arial" w:hAnsi="Arial" w:cs="Arial"/>
        </w:rPr>
      </w:pPr>
    </w:p>
    <w:p w14:paraId="28C3EDAA" w14:textId="77777777" w:rsidR="00E256F3" w:rsidRDefault="00E256F3" w:rsidP="009A196C">
      <w:pPr>
        <w:spacing w:line="360" w:lineRule="auto"/>
        <w:rPr>
          <w:rFonts w:ascii="Arial" w:hAnsi="Arial" w:cs="Arial"/>
        </w:rPr>
      </w:pPr>
    </w:p>
    <w:p w14:paraId="22D9BF23" w14:textId="77777777" w:rsidR="00E256F3" w:rsidRDefault="00E256F3" w:rsidP="009A196C">
      <w:pPr>
        <w:spacing w:line="360" w:lineRule="auto"/>
        <w:rPr>
          <w:rFonts w:ascii="Arial" w:hAnsi="Arial" w:cs="Arial"/>
        </w:rPr>
      </w:pPr>
    </w:p>
    <w:p w14:paraId="3BB57C82" w14:textId="77777777" w:rsidR="00E256F3" w:rsidRDefault="00E256F3" w:rsidP="009A196C">
      <w:pPr>
        <w:spacing w:line="360" w:lineRule="auto"/>
        <w:rPr>
          <w:rFonts w:ascii="Arial" w:hAnsi="Arial" w:cs="Arial"/>
        </w:rPr>
      </w:pPr>
    </w:p>
    <w:p w14:paraId="1E899B2C" w14:textId="3C76498A" w:rsidR="00294DAF" w:rsidRPr="00E256F3" w:rsidRDefault="00294DAF" w:rsidP="00E256F3">
      <w:pPr>
        <w:spacing w:line="360" w:lineRule="auto"/>
        <w:jc w:val="center"/>
        <w:rPr>
          <w:rFonts w:ascii="Arial" w:hAnsi="Arial" w:cs="Arial"/>
          <w:b/>
          <w:bCs/>
          <w:sz w:val="40"/>
          <w:szCs w:val="40"/>
        </w:rPr>
      </w:pPr>
      <w:r w:rsidRPr="00E256F3">
        <w:rPr>
          <w:rFonts w:ascii="Arial" w:hAnsi="Arial" w:cs="Arial"/>
          <w:b/>
          <w:bCs/>
          <w:sz w:val="40"/>
          <w:szCs w:val="40"/>
        </w:rPr>
        <w:t>Business Development Proposal</w:t>
      </w:r>
    </w:p>
    <w:p w14:paraId="1BF2EAFE" w14:textId="77777777" w:rsidR="00E256F3" w:rsidRDefault="00E256F3" w:rsidP="00294DAF">
      <w:pPr>
        <w:spacing w:line="360" w:lineRule="auto"/>
        <w:rPr>
          <w:rFonts w:ascii="Arial" w:hAnsi="Arial" w:cs="Arial"/>
        </w:rPr>
      </w:pPr>
    </w:p>
    <w:p w14:paraId="64FF5D4C" w14:textId="77777777" w:rsidR="00E256F3" w:rsidRDefault="00E256F3" w:rsidP="00294DAF">
      <w:pPr>
        <w:spacing w:line="360" w:lineRule="auto"/>
        <w:rPr>
          <w:rFonts w:ascii="Arial" w:hAnsi="Arial" w:cs="Arial"/>
        </w:rPr>
      </w:pPr>
    </w:p>
    <w:p w14:paraId="10264C2C" w14:textId="77777777" w:rsidR="007154F5" w:rsidRDefault="007154F5" w:rsidP="00294DAF">
      <w:pPr>
        <w:spacing w:line="360" w:lineRule="auto"/>
        <w:rPr>
          <w:rFonts w:ascii="Arial" w:hAnsi="Arial" w:cs="Arial"/>
        </w:rPr>
      </w:pPr>
    </w:p>
    <w:p w14:paraId="44A1A268" w14:textId="77777777" w:rsidR="00E256F3" w:rsidRDefault="00E256F3" w:rsidP="00294DAF">
      <w:pPr>
        <w:spacing w:line="360" w:lineRule="auto"/>
        <w:rPr>
          <w:rFonts w:ascii="Arial" w:hAnsi="Arial" w:cs="Arial"/>
        </w:rPr>
      </w:pPr>
    </w:p>
    <w:p w14:paraId="425B4B99" w14:textId="77777777" w:rsidR="00E256F3" w:rsidRDefault="00E256F3" w:rsidP="00294DAF">
      <w:pPr>
        <w:spacing w:line="360" w:lineRule="auto"/>
        <w:rPr>
          <w:rFonts w:ascii="Arial" w:hAnsi="Arial" w:cs="Arial"/>
        </w:rPr>
      </w:pPr>
    </w:p>
    <w:p w14:paraId="058E357F" w14:textId="77777777" w:rsidR="007154F5" w:rsidRPr="00893A7C" w:rsidRDefault="007154F5" w:rsidP="007154F5">
      <w:pPr>
        <w:spacing w:line="360" w:lineRule="auto"/>
        <w:jc w:val="center"/>
        <w:rPr>
          <w:rFonts w:ascii="Arial" w:hAnsi="Arial" w:cs="Arial"/>
        </w:rPr>
      </w:pPr>
      <w:r w:rsidRPr="00893A7C">
        <w:rPr>
          <w:rFonts w:ascii="Arial" w:hAnsi="Arial" w:cs="Arial"/>
        </w:rPr>
        <w:t>Student Name: Samir Mhanna</w:t>
      </w:r>
    </w:p>
    <w:p w14:paraId="3BA6FE09" w14:textId="77777777" w:rsidR="007154F5" w:rsidRPr="00893A7C" w:rsidRDefault="007154F5" w:rsidP="007154F5">
      <w:pPr>
        <w:spacing w:line="360" w:lineRule="auto"/>
        <w:jc w:val="center"/>
        <w:rPr>
          <w:rFonts w:ascii="Arial" w:hAnsi="Arial" w:cs="Arial"/>
        </w:rPr>
      </w:pPr>
      <w:r w:rsidRPr="00893A7C">
        <w:rPr>
          <w:rFonts w:ascii="Arial" w:hAnsi="Arial" w:cs="Arial"/>
        </w:rPr>
        <w:t>Student Number: 2119514</w:t>
      </w:r>
    </w:p>
    <w:p w14:paraId="106C8241" w14:textId="1FF7D85E" w:rsidR="007154F5" w:rsidRPr="00893A7C" w:rsidRDefault="006B70C8" w:rsidP="007154F5">
      <w:pPr>
        <w:spacing w:line="360" w:lineRule="auto"/>
        <w:jc w:val="center"/>
        <w:rPr>
          <w:rFonts w:ascii="Arial" w:hAnsi="Arial" w:cs="Arial"/>
        </w:rPr>
      </w:pPr>
      <w:r>
        <w:rPr>
          <w:rFonts w:ascii="Arial" w:hAnsi="Arial" w:cs="Arial"/>
        </w:rPr>
        <w:t>Supervi</w:t>
      </w:r>
      <w:r w:rsidR="0058052B">
        <w:rPr>
          <w:rFonts w:ascii="Arial" w:hAnsi="Arial" w:cs="Arial"/>
        </w:rPr>
        <w:t>so</w:t>
      </w:r>
      <w:r w:rsidR="007154F5" w:rsidRPr="00893A7C">
        <w:rPr>
          <w:rFonts w:ascii="Arial" w:hAnsi="Arial" w:cs="Arial"/>
        </w:rPr>
        <w:t xml:space="preserve">r Name: </w:t>
      </w:r>
      <w:r w:rsidR="004001FC">
        <w:rPr>
          <w:rFonts w:ascii="Arial" w:hAnsi="Arial" w:cs="Arial"/>
        </w:rPr>
        <w:t>Mas</w:t>
      </w:r>
      <w:r w:rsidR="000611D3">
        <w:rPr>
          <w:rFonts w:ascii="Arial" w:hAnsi="Arial" w:cs="Arial"/>
        </w:rPr>
        <w:t xml:space="preserve">ud Ibrahim </w:t>
      </w:r>
    </w:p>
    <w:p w14:paraId="5C52F0AA" w14:textId="77777777" w:rsidR="006B70C8" w:rsidRDefault="007154F5" w:rsidP="006B70C8">
      <w:pPr>
        <w:spacing w:line="360" w:lineRule="auto"/>
        <w:jc w:val="center"/>
        <w:rPr>
          <w:rFonts w:ascii="Arial" w:hAnsi="Arial" w:cs="Arial"/>
        </w:rPr>
      </w:pPr>
      <w:r w:rsidRPr="00893A7C">
        <w:rPr>
          <w:rFonts w:ascii="Arial" w:hAnsi="Arial" w:cs="Arial"/>
        </w:rPr>
        <w:t xml:space="preserve">Module Name: </w:t>
      </w:r>
      <w:r w:rsidR="006B70C8" w:rsidRPr="006B70C8">
        <w:rPr>
          <w:rFonts w:ascii="Arial" w:hAnsi="Arial" w:cs="Arial"/>
        </w:rPr>
        <w:t>Business Development Proposal</w:t>
      </w:r>
    </w:p>
    <w:p w14:paraId="45DBC685" w14:textId="6F103876" w:rsidR="007154F5" w:rsidRPr="00893A7C" w:rsidRDefault="007154F5" w:rsidP="006B70C8">
      <w:pPr>
        <w:spacing w:line="360" w:lineRule="auto"/>
        <w:jc w:val="center"/>
        <w:rPr>
          <w:rFonts w:ascii="Arial" w:hAnsi="Arial" w:cs="Arial"/>
        </w:rPr>
      </w:pPr>
      <w:r w:rsidRPr="00893A7C">
        <w:rPr>
          <w:rFonts w:ascii="Arial" w:hAnsi="Arial" w:cs="Arial"/>
        </w:rPr>
        <w:t>Module Code</w:t>
      </w:r>
      <w:r>
        <w:rPr>
          <w:rFonts w:ascii="Arial" w:hAnsi="Arial" w:cs="Arial"/>
        </w:rPr>
        <w:t xml:space="preserve">: </w:t>
      </w:r>
      <w:r w:rsidR="00D86939" w:rsidRPr="00D86939">
        <w:rPr>
          <w:rFonts w:ascii="Arial" w:hAnsi="Arial" w:cs="Arial"/>
        </w:rPr>
        <w:t>LCMB7037</w:t>
      </w:r>
    </w:p>
    <w:p w14:paraId="1B5BB1E3" w14:textId="77777777" w:rsidR="007154F5" w:rsidRPr="00893A7C" w:rsidRDefault="007154F5" w:rsidP="007154F5">
      <w:pPr>
        <w:spacing w:line="360" w:lineRule="auto"/>
        <w:jc w:val="center"/>
        <w:rPr>
          <w:rFonts w:ascii="Arial" w:hAnsi="Arial" w:cs="Arial"/>
        </w:rPr>
      </w:pPr>
      <w:r w:rsidRPr="00893A7C">
        <w:rPr>
          <w:rFonts w:ascii="Arial" w:hAnsi="Arial" w:cs="Arial"/>
        </w:rPr>
        <w:t>Course Name: Master of Business Administration</w:t>
      </w:r>
    </w:p>
    <w:p w14:paraId="5232F954" w14:textId="77777777" w:rsidR="00C71AF5" w:rsidRDefault="00C71AF5" w:rsidP="009A196C">
      <w:pPr>
        <w:spacing w:line="360" w:lineRule="auto"/>
        <w:rPr>
          <w:rFonts w:ascii="Arial" w:hAnsi="Arial" w:cs="Arial"/>
        </w:rPr>
      </w:pPr>
    </w:p>
    <w:p w14:paraId="7798F137" w14:textId="77777777" w:rsidR="0067237C" w:rsidRDefault="0067237C" w:rsidP="009A196C">
      <w:pPr>
        <w:spacing w:line="360" w:lineRule="auto"/>
        <w:rPr>
          <w:rFonts w:ascii="Arial" w:hAnsi="Arial" w:cs="Arial"/>
        </w:rPr>
      </w:pPr>
    </w:p>
    <w:p w14:paraId="0BB5ED2F" w14:textId="77777777" w:rsidR="009A196C" w:rsidRDefault="009A196C" w:rsidP="009A196C">
      <w:pPr>
        <w:spacing w:line="360" w:lineRule="auto"/>
        <w:rPr>
          <w:rFonts w:ascii="Arial" w:hAnsi="Arial" w:cs="Arial"/>
        </w:rPr>
      </w:pPr>
    </w:p>
    <w:p w14:paraId="5D58DDC4" w14:textId="77777777" w:rsidR="009A196C" w:rsidRDefault="009A196C" w:rsidP="009A196C">
      <w:pPr>
        <w:spacing w:line="360" w:lineRule="auto"/>
        <w:rPr>
          <w:rFonts w:ascii="Arial" w:hAnsi="Arial" w:cs="Arial"/>
        </w:rPr>
      </w:pPr>
    </w:p>
    <w:p w14:paraId="3540A329" w14:textId="77777777" w:rsidR="009A196C" w:rsidRDefault="009A196C" w:rsidP="009A196C">
      <w:pPr>
        <w:spacing w:line="360" w:lineRule="auto"/>
        <w:rPr>
          <w:rFonts w:ascii="Arial" w:hAnsi="Arial" w:cs="Arial"/>
        </w:rPr>
      </w:pPr>
    </w:p>
    <w:p w14:paraId="0BC03882" w14:textId="3B8A870C" w:rsidR="009A196C" w:rsidRDefault="00E256F3" w:rsidP="00E256F3">
      <w:pPr>
        <w:spacing w:line="360" w:lineRule="auto"/>
        <w:jc w:val="center"/>
        <w:rPr>
          <w:rFonts w:ascii="Arial" w:hAnsi="Arial" w:cs="Arial"/>
        </w:rPr>
      </w:pPr>
      <w:r>
        <w:rPr>
          <w:rFonts w:ascii="Arial" w:hAnsi="Arial" w:cs="Arial"/>
        </w:rPr>
        <w:t>2025</w:t>
      </w:r>
    </w:p>
    <w:p w14:paraId="68449A2E" w14:textId="77777777" w:rsidR="009A196C" w:rsidRDefault="009A196C" w:rsidP="009A196C">
      <w:pPr>
        <w:spacing w:line="360" w:lineRule="auto"/>
        <w:rPr>
          <w:rFonts w:ascii="Arial" w:hAnsi="Arial" w:cs="Arial"/>
        </w:rPr>
      </w:pPr>
    </w:p>
    <w:p w14:paraId="2A412AEF" w14:textId="77777777" w:rsidR="009A196C" w:rsidRPr="004176E1" w:rsidRDefault="009A196C" w:rsidP="009A196C">
      <w:pPr>
        <w:spacing w:line="360" w:lineRule="auto"/>
        <w:rPr>
          <w:rFonts w:ascii="Arial" w:hAnsi="Arial" w:cs="Arial"/>
          <w:b/>
          <w:bCs/>
          <w:lang w:val="en-GB"/>
        </w:rPr>
      </w:pPr>
      <w:r w:rsidRPr="00145690">
        <w:rPr>
          <w:rFonts w:ascii="Arial" w:hAnsi="Arial" w:cs="Arial"/>
          <w:b/>
          <w:bCs/>
          <w:lang w:val="en-GB"/>
        </w:rPr>
        <w:t>Declaration</w:t>
      </w:r>
      <w:r w:rsidRPr="004176E1">
        <w:rPr>
          <w:rFonts w:ascii="Arial" w:hAnsi="Arial" w:cs="Arial"/>
          <w:b/>
          <w:bCs/>
          <w:lang w:val="en-GB"/>
        </w:rPr>
        <w:t xml:space="preserve">: </w:t>
      </w:r>
    </w:p>
    <w:p w14:paraId="2118E8C5" w14:textId="77777777" w:rsidR="009A196C" w:rsidRPr="004176E1" w:rsidRDefault="009A196C" w:rsidP="009A196C">
      <w:pPr>
        <w:spacing w:line="360" w:lineRule="auto"/>
        <w:rPr>
          <w:rFonts w:ascii="Arial" w:hAnsi="Arial" w:cs="Arial"/>
          <w:lang w:val="en-GB"/>
        </w:rPr>
      </w:pPr>
      <w:r w:rsidRPr="004176E1">
        <w:rPr>
          <w:rFonts w:ascii="Arial" w:hAnsi="Arial" w:cs="Arial"/>
          <w:lang w:val="en-GB"/>
        </w:rPr>
        <w:t>I, Samir Mahanna declare that this Business Development Proposal has been composed by myself, that the work contained herein is entirely my own except where explicitly stated otherwise in the text, and that this work has not been submitted for any other degree or qualification, in whole or in part, except as specified. </w:t>
      </w:r>
    </w:p>
    <w:p w14:paraId="53A68E27" w14:textId="77777777" w:rsidR="009A196C" w:rsidRPr="004176E1" w:rsidRDefault="009A196C" w:rsidP="009A196C">
      <w:pPr>
        <w:spacing w:line="360" w:lineRule="auto"/>
        <w:rPr>
          <w:rFonts w:ascii="Arial" w:hAnsi="Arial" w:cs="Arial"/>
          <w:lang w:val="en-GB"/>
        </w:rPr>
      </w:pPr>
      <w:r w:rsidRPr="004176E1">
        <w:rPr>
          <w:rFonts w:ascii="Arial" w:hAnsi="Arial" w:cs="Arial"/>
          <w:lang w:val="en-GB"/>
        </w:rPr>
        <w:t>Signature Samir Mahanna </w:t>
      </w:r>
    </w:p>
    <w:p w14:paraId="37A85E09" w14:textId="77777777" w:rsidR="009A196C" w:rsidRPr="004176E1" w:rsidRDefault="009A196C" w:rsidP="009A196C">
      <w:pPr>
        <w:spacing w:line="360" w:lineRule="auto"/>
        <w:rPr>
          <w:rFonts w:ascii="Arial" w:hAnsi="Arial" w:cs="Arial"/>
          <w:lang w:val="en-GB"/>
        </w:rPr>
      </w:pPr>
      <w:r w:rsidRPr="004176E1">
        <w:rPr>
          <w:rFonts w:ascii="Arial" w:hAnsi="Arial" w:cs="Arial"/>
          <w:lang w:val="en-GB"/>
        </w:rPr>
        <w:t>Date: 26/ 09/2025 </w:t>
      </w:r>
    </w:p>
    <w:p w14:paraId="512C6060" w14:textId="77777777" w:rsidR="009A196C" w:rsidRPr="00145690" w:rsidRDefault="009A196C" w:rsidP="009A196C">
      <w:pPr>
        <w:spacing w:line="360" w:lineRule="auto"/>
        <w:rPr>
          <w:rFonts w:ascii="Arial" w:hAnsi="Arial" w:cs="Arial"/>
          <w:lang w:val="en-GB"/>
        </w:rPr>
      </w:pPr>
    </w:p>
    <w:p w14:paraId="2E7A2C4D" w14:textId="77777777" w:rsidR="009A196C" w:rsidRPr="00145690" w:rsidRDefault="009A196C" w:rsidP="009A196C">
      <w:pPr>
        <w:spacing w:line="360" w:lineRule="auto"/>
        <w:rPr>
          <w:rFonts w:ascii="Arial" w:hAnsi="Arial" w:cs="Arial"/>
          <w:b/>
          <w:bCs/>
          <w:lang w:val="en-GB"/>
        </w:rPr>
      </w:pPr>
      <w:r w:rsidRPr="00145690">
        <w:rPr>
          <w:rFonts w:ascii="Arial" w:hAnsi="Arial" w:cs="Arial"/>
          <w:b/>
          <w:bCs/>
          <w:lang w:val="en-GB"/>
        </w:rPr>
        <w:t>Acknowledgements</w:t>
      </w:r>
    </w:p>
    <w:p w14:paraId="13A73CD2" w14:textId="7528105A" w:rsidR="009A196C" w:rsidRDefault="00450CD4" w:rsidP="00450CD4">
      <w:pPr>
        <w:spacing w:line="360" w:lineRule="auto"/>
        <w:rPr>
          <w:rFonts w:ascii="Arial" w:hAnsi="Arial" w:cs="Arial"/>
        </w:rPr>
      </w:pPr>
      <w:r w:rsidRPr="00450CD4">
        <w:rPr>
          <w:rFonts w:ascii="Arial" w:hAnsi="Arial" w:cs="Arial"/>
        </w:rPr>
        <w:t>I thank Allah for granting me the strength and perseverance to continue my studies during an unbearably difficult period.</w:t>
      </w:r>
    </w:p>
    <w:p w14:paraId="11D4ED5A" w14:textId="77777777" w:rsidR="009A196C" w:rsidRDefault="009A196C" w:rsidP="009A196C">
      <w:pPr>
        <w:spacing w:line="360" w:lineRule="auto"/>
        <w:rPr>
          <w:rFonts w:ascii="Arial" w:hAnsi="Arial" w:cs="Arial"/>
        </w:rPr>
      </w:pPr>
    </w:p>
    <w:p w14:paraId="30A25DDA" w14:textId="77777777" w:rsidR="009A196C" w:rsidRDefault="009A196C" w:rsidP="009A196C">
      <w:pPr>
        <w:spacing w:line="360" w:lineRule="auto"/>
        <w:rPr>
          <w:rFonts w:ascii="Arial" w:hAnsi="Arial" w:cs="Arial"/>
        </w:rPr>
      </w:pPr>
    </w:p>
    <w:p w14:paraId="5FF74AF6" w14:textId="77777777" w:rsidR="009A196C" w:rsidRDefault="009A196C" w:rsidP="009A196C">
      <w:pPr>
        <w:spacing w:line="360" w:lineRule="auto"/>
        <w:rPr>
          <w:rFonts w:ascii="Arial" w:hAnsi="Arial" w:cs="Arial"/>
        </w:rPr>
      </w:pPr>
    </w:p>
    <w:p w14:paraId="2D03A63F" w14:textId="77777777" w:rsidR="009A196C" w:rsidRDefault="009A196C" w:rsidP="009A196C">
      <w:pPr>
        <w:spacing w:line="360" w:lineRule="auto"/>
        <w:rPr>
          <w:rFonts w:ascii="Arial" w:hAnsi="Arial" w:cs="Arial"/>
        </w:rPr>
      </w:pPr>
    </w:p>
    <w:p w14:paraId="000D816D" w14:textId="77777777" w:rsidR="009A196C" w:rsidRDefault="009A196C" w:rsidP="009A196C">
      <w:pPr>
        <w:spacing w:line="360" w:lineRule="auto"/>
        <w:rPr>
          <w:rFonts w:ascii="Arial" w:hAnsi="Arial" w:cs="Arial"/>
        </w:rPr>
      </w:pPr>
    </w:p>
    <w:p w14:paraId="212AF177" w14:textId="77777777" w:rsidR="009A196C" w:rsidRDefault="009A196C" w:rsidP="009A196C">
      <w:pPr>
        <w:spacing w:line="360" w:lineRule="auto"/>
        <w:rPr>
          <w:rFonts w:ascii="Arial" w:hAnsi="Arial" w:cs="Arial"/>
        </w:rPr>
      </w:pPr>
    </w:p>
    <w:p w14:paraId="077E24EC" w14:textId="77777777" w:rsidR="009A196C" w:rsidRDefault="009A196C" w:rsidP="009A196C">
      <w:pPr>
        <w:spacing w:line="360" w:lineRule="auto"/>
        <w:rPr>
          <w:rFonts w:ascii="Arial" w:hAnsi="Arial" w:cs="Arial"/>
        </w:rPr>
      </w:pPr>
    </w:p>
    <w:p w14:paraId="0D5B25D0" w14:textId="77777777" w:rsidR="009A196C" w:rsidRDefault="009A196C" w:rsidP="009A196C">
      <w:pPr>
        <w:spacing w:line="360" w:lineRule="auto"/>
        <w:rPr>
          <w:rFonts w:ascii="Arial" w:hAnsi="Arial" w:cs="Arial"/>
        </w:rPr>
      </w:pPr>
    </w:p>
    <w:p w14:paraId="7CC65940" w14:textId="77777777" w:rsidR="009A196C" w:rsidRDefault="009A196C" w:rsidP="009A196C">
      <w:pPr>
        <w:spacing w:line="360" w:lineRule="auto"/>
        <w:rPr>
          <w:rFonts w:ascii="Arial" w:hAnsi="Arial" w:cs="Arial"/>
        </w:rPr>
      </w:pPr>
    </w:p>
    <w:p w14:paraId="605AF165" w14:textId="77777777" w:rsidR="009A196C" w:rsidRDefault="009A196C" w:rsidP="009A196C">
      <w:pPr>
        <w:spacing w:line="360" w:lineRule="auto"/>
        <w:rPr>
          <w:rFonts w:ascii="Arial" w:hAnsi="Arial" w:cs="Arial"/>
        </w:rPr>
      </w:pPr>
    </w:p>
    <w:p w14:paraId="1BEBA75B" w14:textId="77777777" w:rsidR="009A196C" w:rsidRDefault="009A196C" w:rsidP="009A196C">
      <w:pPr>
        <w:spacing w:line="360" w:lineRule="auto"/>
        <w:rPr>
          <w:rFonts w:ascii="Arial" w:hAnsi="Arial" w:cs="Arial"/>
        </w:rPr>
      </w:pPr>
    </w:p>
    <w:p w14:paraId="3A80049B" w14:textId="77777777" w:rsidR="009A196C" w:rsidRDefault="009A196C" w:rsidP="009A196C">
      <w:pPr>
        <w:spacing w:line="360" w:lineRule="auto"/>
        <w:rPr>
          <w:rFonts w:ascii="Arial" w:hAnsi="Arial" w:cs="Arial"/>
        </w:rPr>
      </w:pPr>
    </w:p>
    <w:p w14:paraId="5C3D9123" w14:textId="77777777" w:rsidR="009A196C" w:rsidRDefault="009A196C" w:rsidP="009A196C">
      <w:pPr>
        <w:spacing w:line="360" w:lineRule="auto"/>
        <w:rPr>
          <w:rFonts w:ascii="Arial" w:hAnsi="Arial" w:cs="Arial"/>
        </w:rPr>
      </w:pPr>
    </w:p>
    <w:p w14:paraId="40F5DBF5" w14:textId="77777777" w:rsidR="009A196C" w:rsidRDefault="009A196C" w:rsidP="009A196C">
      <w:pPr>
        <w:spacing w:line="360" w:lineRule="auto"/>
        <w:rPr>
          <w:rFonts w:ascii="Arial" w:hAnsi="Arial" w:cs="Arial"/>
        </w:rPr>
      </w:pPr>
    </w:p>
    <w:p w14:paraId="33042397" w14:textId="77777777" w:rsidR="009A196C" w:rsidRDefault="009A196C" w:rsidP="009A196C">
      <w:pPr>
        <w:spacing w:line="360" w:lineRule="auto"/>
        <w:rPr>
          <w:rFonts w:ascii="Arial" w:hAnsi="Arial" w:cs="Arial"/>
        </w:rPr>
      </w:pPr>
    </w:p>
    <w:p w14:paraId="40D62CAD" w14:textId="77777777" w:rsidR="009A196C" w:rsidRDefault="009A196C" w:rsidP="009A196C">
      <w:pPr>
        <w:spacing w:line="360" w:lineRule="auto"/>
        <w:rPr>
          <w:rFonts w:ascii="Arial" w:hAnsi="Arial" w:cs="Arial"/>
        </w:rPr>
      </w:pPr>
    </w:p>
    <w:p w14:paraId="737CB3FF" w14:textId="77777777" w:rsidR="009A196C" w:rsidRDefault="009A196C" w:rsidP="009A196C">
      <w:pPr>
        <w:spacing w:line="360" w:lineRule="auto"/>
        <w:rPr>
          <w:rFonts w:ascii="Arial" w:hAnsi="Arial" w:cs="Arial"/>
        </w:rPr>
      </w:pPr>
    </w:p>
    <w:sdt>
      <w:sdtPr>
        <w:id w:val="-1446388190"/>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3932FEA1" w14:textId="64A2CED0" w:rsidR="004E6188" w:rsidRDefault="004E6188">
          <w:pPr>
            <w:pStyle w:val="TOCHeading"/>
          </w:pPr>
          <w:r>
            <w:t>Contents</w:t>
          </w:r>
        </w:p>
        <w:p w14:paraId="083F2D85" w14:textId="19403C97" w:rsidR="004E6188" w:rsidRDefault="004E6188">
          <w:pPr>
            <w:pStyle w:val="TOC1"/>
            <w:tabs>
              <w:tab w:val="right" w:leader="dot" w:pos="9016"/>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10939817" w:history="1">
            <w:r w:rsidRPr="00E852D2">
              <w:rPr>
                <w:rStyle w:val="Hyperlink"/>
                <w:noProof/>
              </w:rPr>
              <w:t>Introduction</w:t>
            </w:r>
            <w:r>
              <w:rPr>
                <w:noProof/>
                <w:webHidden/>
              </w:rPr>
              <w:tab/>
            </w:r>
            <w:r>
              <w:rPr>
                <w:noProof/>
                <w:webHidden/>
              </w:rPr>
              <w:fldChar w:fldCharType="begin"/>
            </w:r>
            <w:r>
              <w:rPr>
                <w:noProof/>
                <w:webHidden/>
              </w:rPr>
              <w:instrText xml:space="preserve"> PAGEREF _Toc210939817 \h </w:instrText>
            </w:r>
            <w:r>
              <w:rPr>
                <w:noProof/>
                <w:webHidden/>
              </w:rPr>
            </w:r>
            <w:r>
              <w:rPr>
                <w:noProof/>
                <w:webHidden/>
              </w:rPr>
              <w:fldChar w:fldCharType="separate"/>
            </w:r>
            <w:r>
              <w:rPr>
                <w:noProof/>
                <w:webHidden/>
              </w:rPr>
              <w:t>4</w:t>
            </w:r>
            <w:r>
              <w:rPr>
                <w:noProof/>
                <w:webHidden/>
              </w:rPr>
              <w:fldChar w:fldCharType="end"/>
            </w:r>
          </w:hyperlink>
        </w:p>
        <w:p w14:paraId="7AC1FEE9" w14:textId="380E3AF8" w:rsidR="004E6188" w:rsidRDefault="004E6188">
          <w:pPr>
            <w:pStyle w:val="TOC1"/>
            <w:tabs>
              <w:tab w:val="right" w:leader="dot" w:pos="9016"/>
            </w:tabs>
            <w:rPr>
              <w:noProof/>
              <w:kern w:val="2"/>
              <w:sz w:val="24"/>
              <w:szCs w:val="24"/>
              <w:lang w:val="en-GB" w:eastAsia="en-GB"/>
              <w14:ligatures w14:val="standardContextual"/>
            </w:rPr>
          </w:pPr>
          <w:hyperlink w:anchor="_Toc210939818" w:history="1">
            <w:r w:rsidRPr="00E852D2">
              <w:rPr>
                <w:rStyle w:val="Hyperlink"/>
                <w:noProof/>
                <w:lang w:val="en-GB"/>
              </w:rPr>
              <w:t>Business Description: 1 STATION LTD</w:t>
            </w:r>
            <w:r>
              <w:rPr>
                <w:noProof/>
                <w:webHidden/>
              </w:rPr>
              <w:tab/>
            </w:r>
            <w:r>
              <w:rPr>
                <w:noProof/>
                <w:webHidden/>
              </w:rPr>
              <w:fldChar w:fldCharType="begin"/>
            </w:r>
            <w:r>
              <w:rPr>
                <w:noProof/>
                <w:webHidden/>
              </w:rPr>
              <w:instrText xml:space="preserve"> PAGEREF _Toc210939818 \h </w:instrText>
            </w:r>
            <w:r>
              <w:rPr>
                <w:noProof/>
                <w:webHidden/>
              </w:rPr>
            </w:r>
            <w:r>
              <w:rPr>
                <w:noProof/>
                <w:webHidden/>
              </w:rPr>
              <w:fldChar w:fldCharType="separate"/>
            </w:r>
            <w:r>
              <w:rPr>
                <w:noProof/>
                <w:webHidden/>
              </w:rPr>
              <w:t>5</w:t>
            </w:r>
            <w:r>
              <w:rPr>
                <w:noProof/>
                <w:webHidden/>
              </w:rPr>
              <w:fldChar w:fldCharType="end"/>
            </w:r>
          </w:hyperlink>
        </w:p>
        <w:p w14:paraId="7F5D284D" w14:textId="2EC631CC" w:rsidR="004E6188" w:rsidRDefault="004E6188">
          <w:pPr>
            <w:pStyle w:val="TOC2"/>
            <w:tabs>
              <w:tab w:val="right" w:leader="dot" w:pos="9016"/>
            </w:tabs>
            <w:rPr>
              <w:noProof/>
              <w:kern w:val="2"/>
              <w:sz w:val="24"/>
              <w:szCs w:val="24"/>
              <w:lang w:val="en-GB" w:eastAsia="en-GB"/>
              <w14:ligatures w14:val="standardContextual"/>
            </w:rPr>
          </w:pPr>
          <w:hyperlink w:anchor="_Toc210939819" w:history="1">
            <w:r w:rsidRPr="00E852D2">
              <w:rPr>
                <w:rStyle w:val="Hyperlink"/>
                <w:noProof/>
                <w:lang w:val="en-GB"/>
              </w:rPr>
              <w:t>1.1 Brand Identity</w:t>
            </w:r>
            <w:r>
              <w:rPr>
                <w:noProof/>
                <w:webHidden/>
              </w:rPr>
              <w:tab/>
            </w:r>
            <w:r>
              <w:rPr>
                <w:noProof/>
                <w:webHidden/>
              </w:rPr>
              <w:fldChar w:fldCharType="begin"/>
            </w:r>
            <w:r>
              <w:rPr>
                <w:noProof/>
                <w:webHidden/>
              </w:rPr>
              <w:instrText xml:space="preserve"> PAGEREF _Toc210939819 \h </w:instrText>
            </w:r>
            <w:r>
              <w:rPr>
                <w:noProof/>
                <w:webHidden/>
              </w:rPr>
            </w:r>
            <w:r>
              <w:rPr>
                <w:noProof/>
                <w:webHidden/>
              </w:rPr>
              <w:fldChar w:fldCharType="separate"/>
            </w:r>
            <w:r>
              <w:rPr>
                <w:noProof/>
                <w:webHidden/>
              </w:rPr>
              <w:t>5</w:t>
            </w:r>
            <w:r>
              <w:rPr>
                <w:noProof/>
                <w:webHidden/>
              </w:rPr>
              <w:fldChar w:fldCharType="end"/>
            </w:r>
          </w:hyperlink>
        </w:p>
        <w:p w14:paraId="33E01553" w14:textId="037238AF" w:rsidR="004E6188" w:rsidRDefault="004E6188">
          <w:pPr>
            <w:pStyle w:val="TOC2"/>
            <w:tabs>
              <w:tab w:val="right" w:leader="dot" w:pos="9016"/>
            </w:tabs>
            <w:rPr>
              <w:noProof/>
              <w:kern w:val="2"/>
              <w:sz w:val="24"/>
              <w:szCs w:val="24"/>
              <w:lang w:val="en-GB" w:eastAsia="en-GB"/>
              <w14:ligatures w14:val="standardContextual"/>
            </w:rPr>
          </w:pPr>
          <w:hyperlink w:anchor="_Toc210939820" w:history="1">
            <w:r w:rsidRPr="00E852D2">
              <w:rPr>
                <w:rStyle w:val="Hyperlink"/>
                <w:noProof/>
                <w:lang w:val="en-GB"/>
              </w:rPr>
              <w:t>1.2 Legal Structure and Ownership</w:t>
            </w:r>
            <w:r>
              <w:rPr>
                <w:noProof/>
                <w:webHidden/>
              </w:rPr>
              <w:tab/>
            </w:r>
            <w:r>
              <w:rPr>
                <w:noProof/>
                <w:webHidden/>
              </w:rPr>
              <w:fldChar w:fldCharType="begin"/>
            </w:r>
            <w:r>
              <w:rPr>
                <w:noProof/>
                <w:webHidden/>
              </w:rPr>
              <w:instrText xml:space="preserve"> PAGEREF _Toc210939820 \h </w:instrText>
            </w:r>
            <w:r>
              <w:rPr>
                <w:noProof/>
                <w:webHidden/>
              </w:rPr>
            </w:r>
            <w:r>
              <w:rPr>
                <w:noProof/>
                <w:webHidden/>
              </w:rPr>
              <w:fldChar w:fldCharType="separate"/>
            </w:r>
            <w:r>
              <w:rPr>
                <w:noProof/>
                <w:webHidden/>
              </w:rPr>
              <w:t>6</w:t>
            </w:r>
            <w:r>
              <w:rPr>
                <w:noProof/>
                <w:webHidden/>
              </w:rPr>
              <w:fldChar w:fldCharType="end"/>
            </w:r>
          </w:hyperlink>
        </w:p>
        <w:p w14:paraId="369ED4AA" w14:textId="0C8136C4" w:rsidR="004E6188" w:rsidRDefault="004E6188">
          <w:pPr>
            <w:pStyle w:val="TOC2"/>
            <w:tabs>
              <w:tab w:val="right" w:leader="dot" w:pos="9016"/>
            </w:tabs>
            <w:rPr>
              <w:noProof/>
              <w:kern w:val="2"/>
              <w:sz w:val="24"/>
              <w:szCs w:val="24"/>
              <w:lang w:val="en-GB" w:eastAsia="en-GB"/>
              <w14:ligatures w14:val="standardContextual"/>
            </w:rPr>
          </w:pPr>
          <w:hyperlink w:anchor="_Toc210939821" w:history="1">
            <w:r w:rsidRPr="00E852D2">
              <w:rPr>
                <w:rStyle w:val="Hyperlink"/>
                <w:noProof/>
                <w:lang w:val="en-GB"/>
              </w:rPr>
              <w:t>1.3 Founder and Founding Idea</w:t>
            </w:r>
            <w:r>
              <w:rPr>
                <w:noProof/>
                <w:webHidden/>
              </w:rPr>
              <w:tab/>
            </w:r>
            <w:r>
              <w:rPr>
                <w:noProof/>
                <w:webHidden/>
              </w:rPr>
              <w:fldChar w:fldCharType="begin"/>
            </w:r>
            <w:r>
              <w:rPr>
                <w:noProof/>
                <w:webHidden/>
              </w:rPr>
              <w:instrText xml:space="preserve"> PAGEREF _Toc210939821 \h </w:instrText>
            </w:r>
            <w:r>
              <w:rPr>
                <w:noProof/>
                <w:webHidden/>
              </w:rPr>
            </w:r>
            <w:r>
              <w:rPr>
                <w:noProof/>
                <w:webHidden/>
              </w:rPr>
              <w:fldChar w:fldCharType="separate"/>
            </w:r>
            <w:r>
              <w:rPr>
                <w:noProof/>
                <w:webHidden/>
              </w:rPr>
              <w:t>6</w:t>
            </w:r>
            <w:r>
              <w:rPr>
                <w:noProof/>
                <w:webHidden/>
              </w:rPr>
              <w:fldChar w:fldCharType="end"/>
            </w:r>
          </w:hyperlink>
        </w:p>
        <w:p w14:paraId="06514A7D" w14:textId="36B7E88B" w:rsidR="004E6188" w:rsidRDefault="004E6188">
          <w:pPr>
            <w:pStyle w:val="TOC2"/>
            <w:tabs>
              <w:tab w:val="right" w:leader="dot" w:pos="9016"/>
            </w:tabs>
            <w:rPr>
              <w:noProof/>
              <w:kern w:val="2"/>
              <w:sz w:val="24"/>
              <w:szCs w:val="24"/>
              <w:lang w:val="en-GB" w:eastAsia="en-GB"/>
              <w14:ligatures w14:val="standardContextual"/>
            </w:rPr>
          </w:pPr>
          <w:hyperlink w:anchor="_Toc210939822" w:history="1">
            <w:r w:rsidRPr="00E852D2">
              <w:rPr>
                <w:rStyle w:val="Hyperlink"/>
                <w:noProof/>
                <w:lang w:val="en-GB"/>
              </w:rPr>
              <w:t>1.4 Business Objectives and Goals</w:t>
            </w:r>
            <w:r>
              <w:rPr>
                <w:noProof/>
                <w:webHidden/>
              </w:rPr>
              <w:tab/>
            </w:r>
            <w:r>
              <w:rPr>
                <w:noProof/>
                <w:webHidden/>
              </w:rPr>
              <w:fldChar w:fldCharType="begin"/>
            </w:r>
            <w:r>
              <w:rPr>
                <w:noProof/>
                <w:webHidden/>
              </w:rPr>
              <w:instrText xml:space="preserve"> PAGEREF _Toc210939822 \h </w:instrText>
            </w:r>
            <w:r>
              <w:rPr>
                <w:noProof/>
                <w:webHidden/>
              </w:rPr>
            </w:r>
            <w:r>
              <w:rPr>
                <w:noProof/>
                <w:webHidden/>
              </w:rPr>
              <w:fldChar w:fldCharType="separate"/>
            </w:r>
            <w:r>
              <w:rPr>
                <w:noProof/>
                <w:webHidden/>
              </w:rPr>
              <w:t>6</w:t>
            </w:r>
            <w:r>
              <w:rPr>
                <w:noProof/>
                <w:webHidden/>
              </w:rPr>
              <w:fldChar w:fldCharType="end"/>
            </w:r>
          </w:hyperlink>
        </w:p>
        <w:p w14:paraId="77A350E2" w14:textId="46E9002E" w:rsidR="004E6188" w:rsidRDefault="004E6188">
          <w:pPr>
            <w:pStyle w:val="TOC2"/>
            <w:tabs>
              <w:tab w:val="right" w:leader="dot" w:pos="9016"/>
            </w:tabs>
            <w:rPr>
              <w:noProof/>
              <w:kern w:val="2"/>
              <w:sz w:val="24"/>
              <w:szCs w:val="24"/>
              <w:lang w:val="en-GB" w:eastAsia="en-GB"/>
              <w14:ligatures w14:val="standardContextual"/>
            </w:rPr>
          </w:pPr>
          <w:hyperlink w:anchor="_Toc210939823" w:history="1">
            <w:r w:rsidRPr="00E852D2">
              <w:rPr>
                <w:rStyle w:val="Hyperlink"/>
                <w:noProof/>
                <w:lang w:val="en-GB"/>
              </w:rPr>
              <w:t>1.5 Services Offered</w:t>
            </w:r>
            <w:r>
              <w:rPr>
                <w:noProof/>
                <w:webHidden/>
              </w:rPr>
              <w:tab/>
            </w:r>
            <w:r>
              <w:rPr>
                <w:noProof/>
                <w:webHidden/>
              </w:rPr>
              <w:fldChar w:fldCharType="begin"/>
            </w:r>
            <w:r>
              <w:rPr>
                <w:noProof/>
                <w:webHidden/>
              </w:rPr>
              <w:instrText xml:space="preserve"> PAGEREF _Toc210939823 \h </w:instrText>
            </w:r>
            <w:r>
              <w:rPr>
                <w:noProof/>
                <w:webHidden/>
              </w:rPr>
            </w:r>
            <w:r>
              <w:rPr>
                <w:noProof/>
                <w:webHidden/>
              </w:rPr>
              <w:fldChar w:fldCharType="separate"/>
            </w:r>
            <w:r>
              <w:rPr>
                <w:noProof/>
                <w:webHidden/>
              </w:rPr>
              <w:t>7</w:t>
            </w:r>
            <w:r>
              <w:rPr>
                <w:noProof/>
                <w:webHidden/>
              </w:rPr>
              <w:fldChar w:fldCharType="end"/>
            </w:r>
          </w:hyperlink>
        </w:p>
        <w:p w14:paraId="4F62E623" w14:textId="0F119451" w:rsidR="004E6188" w:rsidRDefault="004E6188">
          <w:pPr>
            <w:pStyle w:val="TOC2"/>
            <w:tabs>
              <w:tab w:val="right" w:leader="dot" w:pos="9016"/>
            </w:tabs>
            <w:rPr>
              <w:noProof/>
              <w:kern w:val="2"/>
              <w:sz w:val="24"/>
              <w:szCs w:val="24"/>
              <w:lang w:val="en-GB" w:eastAsia="en-GB"/>
              <w14:ligatures w14:val="standardContextual"/>
            </w:rPr>
          </w:pPr>
          <w:hyperlink w:anchor="_Toc210939824" w:history="1">
            <w:r w:rsidRPr="00E852D2">
              <w:rPr>
                <w:rStyle w:val="Hyperlink"/>
                <w:noProof/>
                <w:lang w:val="en-GB"/>
              </w:rPr>
              <w:t>1.6 Economic and Social Contribution</w:t>
            </w:r>
            <w:r>
              <w:rPr>
                <w:noProof/>
                <w:webHidden/>
              </w:rPr>
              <w:tab/>
            </w:r>
            <w:r>
              <w:rPr>
                <w:noProof/>
                <w:webHidden/>
              </w:rPr>
              <w:fldChar w:fldCharType="begin"/>
            </w:r>
            <w:r>
              <w:rPr>
                <w:noProof/>
                <w:webHidden/>
              </w:rPr>
              <w:instrText xml:space="preserve"> PAGEREF _Toc210939824 \h </w:instrText>
            </w:r>
            <w:r>
              <w:rPr>
                <w:noProof/>
                <w:webHidden/>
              </w:rPr>
            </w:r>
            <w:r>
              <w:rPr>
                <w:noProof/>
                <w:webHidden/>
              </w:rPr>
              <w:fldChar w:fldCharType="separate"/>
            </w:r>
            <w:r>
              <w:rPr>
                <w:noProof/>
                <w:webHidden/>
              </w:rPr>
              <w:t>7</w:t>
            </w:r>
            <w:r>
              <w:rPr>
                <w:noProof/>
                <w:webHidden/>
              </w:rPr>
              <w:fldChar w:fldCharType="end"/>
            </w:r>
          </w:hyperlink>
        </w:p>
        <w:p w14:paraId="2023A642" w14:textId="5CB1711C" w:rsidR="004E6188" w:rsidRDefault="004E6188">
          <w:pPr>
            <w:pStyle w:val="TOC2"/>
            <w:tabs>
              <w:tab w:val="right" w:leader="dot" w:pos="9016"/>
            </w:tabs>
            <w:rPr>
              <w:noProof/>
              <w:kern w:val="2"/>
              <w:sz w:val="24"/>
              <w:szCs w:val="24"/>
              <w:lang w:val="en-GB" w:eastAsia="en-GB"/>
              <w14:ligatures w14:val="standardContextual"/>
            </w:rPr>
          </w:pPr>
          <w:hyperlink w:anchor="_Toc210939825" w:history="1">
            <w:r w:rsidRPr="00E852D2">
              <w:rPr>
                <w:rStyle w:val="Hyperlink"/>
                <w:noProof/>
                <w:lang w:val="en-GB"/>
              </w:rPr>
              <w:t>1.7 Revenue and Growth Potential</w:t>
            </w:r>
            <w:r>
              <w:rPr>
                <w:noProof/>
                <w:webHidden/>
              </w:rPr>
              <w:tab/>
            </w:r>
            <w:r>
              <w:rPr>
                <w:noProof/>
                <w:webHidden/>
              </w:rPr>
              <w:fldChar w:fldCharType="begin"/>
            </w:r>
            <w:r>
              <w:rPr>
                <w:noProof/>
                <w:webHidden/>
              </w:rPr>
              <w:instrText xml:space="preserve"> PAGEREF _Toc210939825 \h </w:instrText>
            </w:r>
            <w:r>
              <w:rPr>
                <w:noProof/>
                <w:webHidden/>
              </w:rPr>
            </w:r>
            <w:r>
              <w:rPr>
                <w:noProof/>
                <w:webHidden/>
              </w:rPr>
              <w:fldChar w:fldCharType="separate"/>
            </w:r>
            <w:r>
              <w:rPr>
                <w:noProof/>
                <w:webHidden/>
              </w:rPr>
              <w:t>7</w:t>
            </w:r>
            <w:r>
              <w:rPr>
                <w:noProof/>
                <w:webHidden/>
              </w:rPr>
              <w:fldChar w:fldCharType="end"/>
            </w:r>
          </w:hyperlink>
        </w:p>
        <w:p w14:paraId="12ADE7C7" w14:textId="0E1321C9" w:rsidR="004E6188" w:rsidRDefault="004E6188">
          <w:pPr>
            <w:pStyle w:val="TOC1"/>
            <w:tabs>
              <w:tab w:val="right" w:leader="dot" w:pos="9016"/>
            </w:tabs>
            <w:rPr>
              <w:noProof/>
              <w:kern w:val="2"/>
              <w:sz w:val="24"/>
              <w:szCs w:val="24"/>
              <w:lang w:val="en-GB" w:eastAsia="en-GB"/>
              <w14:ligatures w14:val="standardContextual"/>
            </w:rPr>
          </w:pPr>
          <w:hyperlink w:anchor="_Toc210939826" w:history="1">
            <w:r w:rsidRPr="00E852D2">
              <w:rPr>
                <w:rStyle w:val="Hyperlink"/>
                <w:noProof/>
                <w:lang w:val="en-GB"/>
              </w:rPr>
              <w:t>2. Methodology</w:t>
            </w:r>
            <w:r>
              <w:rPr>
                <w:noProof/>
                <w:webHidden/>
              </w:rPr>
              <w:tab/>
            </w:r>
            <w:r>
              <w:rPr>
                <w:noProof/>
                <w:webHidden/>
              </w:rPr>
              <w:fldChar w:fldCharType="begin"/>
            </w:r>
            <w:r>
              <w:rPr>
                <w:noProof/>
                <w:webHidden/>
              </w:rPr>
              <w:instrText xml:space="preserve"> PAGEREF _Toc210939826 \h </w:instrText>
            </w:r>
            <w:r>
              <w:rPr>
                <w:noProof/>
                <w:webHidden/>
              </w:rPr>
            </w:r>
            <w:r>
              <w:rPr>
                <w:noProof/>
                <w:webHidden/>
              </w:rPr>
              <w:fldChar w:fldCharType="separate"/>
            </w:r>
            <w:r>
              <w:rPr>
                <w:noProof/>
                <w:webHidden/>
              </w:rPr>
              <w:t>8</w:t>
            </w:r>
            <w:r>
              <w:rPr>
                <w:noProof/>
                <w:webHidden/>
              </w:rPr>
              <w:fldChar w:fldCharType="end"/>
            </w:r>
          </w:hyperlink>
        </w:p>
        <w:p w14:paraId="34A180CE" w14:textId="1E36A417" w:rsidR="004E6188" w:rsidRDefault="004E6188">
          <w:pPr>
            <w:pStyle w:val="TOC2"/>
            <w:tabs>
              <w:tab w:val="right" w:leader="dot" w:pos="9016"/>
            </w:tabs>
            <w:rPr>
              <w:noProof/>
              <w:kern w:val="2"/>
              <w:sz w:val="24"/>
              <w:szCs w:val="24"/>
              <w:lang w:val="en-GB" w:eastAsia="en-GB"/>
              <w14:ligatures w14:val="standardContextual"/>
            </w:rPr>
          </w:pPr>
          <w:hyperlink w:anchor="_Toc210939827" w:history="1">
            <w:r w:rsidRPr="00E852D2">
              <w:rPr>
                <w:rStyle w:val="Hyperlink"/>
                <w:noProof/>
                <w:lang w:val="en-GB"/>
              </w:rPr>
              <w:t>2.1 Research Design</w:t>
            </w:r>
            <w:r>
              <w:rPr>
                <w:noProof/>
                <w:webHidden/>
              </w:rPr>
              <w:tab/>
            </w:r>
            <w:r>
              <w:rPr>
                <w:noProof/>
                <w:webHidden/>
              </w:rPr>
              <w:fldChar w:fldCharType="begin"/>
            </w:r>
            <w:r>
              <w:rPr>
                <w:noProof/>
                <w:webHidden/>
              </w:rPr>
              <w:instrText xml:space="preserve"> PAGEREF _Toc210939827 \h </w:instrText>
            </w:r>
            <w:r>
              <w:rPr>
                <w:noProof/>
                <w:webHidden/>
              </w:rPr>
            </w:r>
            <w:r>
              <w:rPr>
                <w:noProof/>
                <w:webHidden/>
              </w:rPr>
              <w:fldChar w:fldCharType="separate"/>
            </w:r>
            <w:r>
              <w:rPr>
                <w:noProof/>
                <w:webHidden/>
              </w:rPr>
              <w:t>8</w:t>
            </w:r>
            <w:r>
              <w:rPr>
                <w:noProof/>
                <w:webHidden/>
              </w:rPr>
              <w:fldChar w:fldCharType="end"/>
            </w:r>
          </w:hyperlink>
        </w:p>
        <w:p w14:paraId="32D72B90" w14:textId="43601C95" w:rsidR="004E6188" w:rsidRDefault="004E6188">
          <w:pPr>
            <w:pStyle w:val="TOC2"/>
            <w:tabs>
              <w:tab w:val="right" w:leader="dot" w:pos="9016"/>
            </w:tabs>
            <w:rPr>
              <w:noProof/>
              <w:kern w:val="2"/>
              <w:sz w:val="24"/>
              <w:szCs w:val="24"/>
              <w:lang w:val="en-GB" w:eastAsia="en-GB"/>
              <w14:ligatures w14:val="standardContextual"/>
            </w:rPr>
          </w:pPr>
          <w:hyperlink w:anchor="_Toc210939828" w:history="1">
            <w:r w:rsidRPr="00E852D2">
              <w:rPr>
                <w:rStyle w:val="Hyperlink"/>
                <w:noProof/>
                <w:lang w:val="en-GB"/>
              </w:rPr>
              <w:t>2.2 Data Collection</w:t>
            </w:r>
            <w:r>
              <w:rPr>
                <w:noProof/>
                <w:webHidden/>
              </w:rPr>
              <w:tab/>
            </w:r>
            <w:r>
              <w:rPr>
                <w:noProof/>
                <w:webHidden/>
              </w:rPr>
              <w:fldChar w:fldCharType="begin"/>
            </w:r>
            <w:r>
              <w:rPr>
                <w:noProof/>
                <w:webHidden/>
              </w:rPr>
              <w:instrText xml:space="preserve"> PAGEREF _Toc210939828 \h </w:instrText>
            </w:r>
            <w:r>
              <w:rPr>
                <w:noProof/>
                <w:webHidden/>
              </w:rPr>
            </w:r>
            <w:r>
              <w:rPr>
                <w:noProof/>
                <w:webHidden/>
              </w:rPr>
              <w:fldChar w:fldCharType="separate"/>
            </w:r>
            <w:r>
              <w:rPr>
                <w:noProof/>
                <w:webHidden/>
              </w:rPr>
              <w:t>8</w:t>
            </w:r>
            <w:r>
              <w:rPr>
                <w:noProof/>
                <w:webHidden/>
              </w:rPr>
              <w:fldChar w:fldCharType="end"/>
            </w:r>
          </w:hyperlink>
        </w:p>
        <w:p w14:paraId="03AF0D28" w14:textId="6FAF466B" w:rsidR="004E6188" w:rsidRDefault="004E6188">
          <w:pPr>
            <w:pStyle w:val="TOC2"/>
            <w:tabs>
              <w:tab w:val="right" w:leader="dot" w:pos="9016"/>
            </w:tabs>
            <w:rPr>
              <w:noProof/>
              <w:kern w:val="2"/>
              <w:sz w:val="24"/>
              <w:szCs w:val="24"/>
              <w:lang w:val="en-GB" w:eastAsia="en-GB"/>
              <w14:ligatures w14:val="standardContextual"/>
            </w:rPr>
          </w:pPr>
          <w:hyperlink w:anchor="_Toc210939829" w:history="1">
            <w:r w:rsidRPr="00E852D2">
              <w:rPr>
                <w:rStyle w:val="Hyperlink"/>
                <w:noProof/>
                <w:lang w:val="en-GB"/>
              </w:rPr>
              <w:t>2.3 Data Analysis</w:t>
            </w:r>
            <w:r>
              <w:rPr>
                <w:noProof/>
                <w:webHidden/>
              </w:rPr>
              <w:tab/>
            </w:r>
            <w:r>
              <w:rPr>
                <w:noProof/>
                <w:webHidden/>
              </w:rPr>
              <w:fldChar w:fldCharType="begin"/>
            </w:r>
            <w:r>
              <w:rPr>
                <w:noProof/>
                <w:webHidden/>
              </w:rPr>
              <w:instrText xml:space="preserve"> PAGEREF _Toc210939829 \h </w:instrText>
            </w:r>
            <w:r>
              <w:rPr>
                <w:noProof/>
                <w:webHidden/>
              </w:rPr>
            </w:r>
            <w:r>
              <w:rPr>
                <w:noProof/>
                <w:webHidden/>
              </w:rPr>
              <w:fldChar w:fldCharType="separate"/>
            </w:r>
            <w:r>
              <w:rPr>
                <w:noProof/>
                <w:webHidden/>
              </w:rPr>
              <w:t>9</w:t>
            </w:r>
            <w:r>
              <w:rPr>
                <w:noProof/>
                <w:webHidden/>
              </w:rPr>
              <w:fldChar w:fldCharType="end"/>
            </w:r>
          </w:hyperlink>
        </w:p>
        <w:p w14:paraId="6D9862D6" w14:textId="11C2CDBE" w:rsidR="004E6188" w:rsidRDefault="004E6188">
          <w:pPr>
            <w:pStyle w:val="TOC1"/>
            <w:tabs>
              <w:tab w:val="right" w:leader="dot" w:pos="9016"/>
            </w:tabs>
            <w:rPr>
              <w:noProof/>
              <w:kern w:val="2"/>
              <w:sz w:val="24"/>
              <w:szCs w:val="24"/>
              <w:lang w:val="en-GB" w:eastAsia="en-GB"/>
              <w14:ligatures w14:val="standardContextual"/>
            </w:rPr>
          </w:pPr>
          <w:hyperlink w:anchor="_Toc210939830" w:history="1">
            <w:r w:rsidRPr="00E852D2">
              <w:rPr>
                <w:rStyle w:val="Hyperlink"/>
                <w:noProof/>
                <w:lang w:val="en-GB"/>
              </w:rPr>
              <w:t>3. Market Research and Validation</w:t>
            </w:r>
            <w:r>
              <w:rPr>
                <w:noProof/>
                <w:webHidden/>
              </w:rPr>
              <w:tab/>
            </w:r>
            <w:r>
              <w:rPr>
                <w:noProof/>
                <w:webHidden/>
              </w:rPr>
              <w:fldChar w:fldCharType="begin"/>
            </w:r>
            <w:r>
              <w:rPr>
                <w:noProof/>
                <w:webHidden/>
              </w:rPr>
              <w:instrText xml:space="preserve"> PAGEREF _Toc210939830 \h </w:instrText>
            </w:r>
            <w:r>
              <w:rPr>
                <w:noProof/>
                <w:webHidden/>
              </w:rPr>
            </w:r>
            <w:r>
              <w:rPr>
                <w:noProof/>
                <w:webHidden/>
              </w:rPr>
              <w:fldChar w:fldCharType="separate"/>
            </w:r>
            <w:r>
              <w:rPr>
                <w:noProof/>
                <w:webHidden/>
              </w:rPr>
              <w:t>9</w:t>
            </w:r>
            <w:r>
              <w:rPr>
                <w:noProof/>
                <w:webHidden/>
              </w:rPr>
              <w:fldChar w:fldCharType="end"/>
            </w:r>
          </w:hyperlink>
        </w:p>
        <w:p w14:paraId="0A14AB80" w14:textId="4E9DB201" w:rsidR="004E6188" w:rsidRDefault="004E6188">
          <w:pPr>
            <w:pStyle w:val="TOC2"/>
            <w:tabs>
              <w:tab w:val="right" w:leader="dot" w:pos="9016"/>
            </w:tabs>
            <w:rPr>
              <w:noProof/>
              <w:kern w:val="2"/>
              <w:sz w:val="24"/>
              <w:szCs w:val="24"/>
              <w:lang w:val="en-GB" w:eastAsia="en-GB"/>
              <w14:ligatures w14:val="standardContextual"/>
            </w:rPr>
          </w:pPr>
          <w:hyperlink w:anchor="_Toc210939831" w:history="1">
            <w:r w:rsidRPr="00E852D2">
              <w:rPr>
                <w:rStyle w:val="Hyperlink"/>
                <w:noProof/>
                <w:lang w:val="en-GB"/>
              </w:rPr>
              <w:t>3.1 National Market Context</w:t>
            </w:r>
            <w:r>
              <w:rPr>
                <w:noProof/>
                <w:webHidden/>
              </w:rPr>
              <w:tab/>
            </w:r>
            <w:r>
              <w:rPr>
                <w:noProof/>
                <w:webHidden/>
              </w:rPr>
              <w:fldChar w:fldCharType="begin"/>
            </w:r>
            <w:r>
              <w:rPr>
                <w:noProof/>
                <w:webHidden/>
              </w:rPr>
              <w:instrText xml:space="preserve"> PAGEREF _Toc210939831 \h </w:instrText>
            </w:r>
            <w:r>
              <w:rPr>
                <w:noProof/>
                <w:webHidden/>
              </w:rPr>
            </w:r>
            <w:r>
              <w:rPr>
                <w:noProof/>
                <w:webHidden/>
              </w:rPr>
              <w:fldChar w:fldCharType="separate"/>
            </w:r>
            <w:r>
              <w:rPr>
                <w:noProof/>
                <w:webHidden/>
              </w:rPr>
              <w:t>9</w:t>
            </w:r>
            <w:r>
              <w:rPr>
                <w:noProof/>
                <w:webHidden/>
              </w:rPr>
              <w:fldChar w:fldCharType="end"/>
            </w:r>
          </w:hyperlink>
        </w:p>
        <w:p w14:paraId="5603F570" w14:textId="519DD7D6" w:rsidR="004E6188" w:rsidRDefault="004E6188">
          <w:pPr>
            <w:pStyle w:val="TOC2"/>
            <w:tabs>
              <w:tab w:val="right" w:leader="dot" w:pos="9016"/>
            </w:tabs>
            <w:rPr>
              <w:noProof/>
              <w:kern w:val="2"/>
              <w:sz w:val="24"/>
              <w:szCs w:val="24"/>
              <w:lang w:val="en-GB" w:eastAsia="en-GB"/>
              <w14:ligatures w14:val="standardContextual"/>
            </w:rPr>
          </w:pPr>
          <w:hyperlink w:anchor="_Toc210939832" w:history="1">
            <w:r w:rsidRPr="00E852D2">
              <w:rPr>
                <w:rStyle w:val="Hyperlink"/>
                <w:noProof/>
                <w:lang w:val="en-GB"/>
              </w:rPr>
              <w:t>3.2 Regional &amp; Local Market: Sandwell</w:t>
            </w:r>
            <w:r>
              <w:rPr>
                <w:noProof/>
                <w:webHidden/>
              </w:rPr>
              <w:tab/>
            </w:r>
            <w:r>
              <w:rPr>
                <w:noProof/>
                <w:webHidden/>
              </w:rPr>
              <w:fldChar w:fldCharType="begin"/>
            </w:r>
            <w:r>
              <w:rPr>
                <w:noProof/>
                <w:webHidden/>
              </w:rPr>
              <w:instrText xml:space="preserve"> PAGEREF _Toc210939832 \h </w:instrText>
            </w:r>
            <w:r>
              <w:rPr>
                <w:noProof/>
                <w:webHidden/>
              </w:rPr>
            </w:r>
            <w:r>
              <w:rPr>
                <w:noProof/>
                <w:webHidden/>
              </w:rPr>
              <w:fldChar w:fldCharType="separate"/>
            </w:r>
            <w:r>
              <w:rPr>
                <w:noProof/>
                <w:webHidden/>
              </w:rPr>
              <w:t>10</w:t>
            </w:r>
            <w:r>
              <w:rPr>
                <w:noProof/>
                <w:webHidden/>
              </w:rPr>
              <w:fldChar w:fldCharType="end"/>
            </w:r>
          </w:hyperlink>
        </w:p>
        <w:p w14:paraId="70EB9C68" w14:textId="2D4F7929" w:rsidR="004E6188" w:rsidRDefault="004E6188">
          <w:pPr>
            <w:pStyle w:val="TOC2"/>
            <w:tabs>
              <w:tab w:val="right" w:leader="dot" w:pos="9016"/>
            </w:tabs>
            <w:rPr>
              <w:noProof/>
              <w:kern w:val="2"/>
              <w:sz w:val="24"/>
              <w:szCs w:val="24"/>
              <w:lang w:val="en-GB" w:eastAsia="en-GB"/>
              <w14:ligatures w14:val="standardContextual"/>
            </w:rPr>
          </w:pPr>
          <w:hyperlink w:anchor="_Toc210939833" w:history="1">
            <w:r w:rsidRPr="00E852D2">
              <w:rPr>
                <w:rStyle w:val="Hyperlink"/>
                <w:noProof/>
                <w:lang w:val="en-GB"/>
              </w:rPr>
              <w:t>3.3 Service-by-Service Demand Analysis</w:t>
            </w:r>
            <w:r>
              <w:rPr>
                <w:noProof/>
                <w:webHidden/>
              </w:rPr>
              <w:tab/>
            </w:r>
            <w:r>
              <w:rPr>
                <w:noProof/>
                <w:webHidden/>
              </w:rPr>
              <w:fldChar w:fldCharType="begin"/>
            </w:r>
            <w:r>
              <w:rPr>
                <w:noProof/>
                <w:webHidden/>
              </w:rPr>
              <w:instrText xml:space="preserve"> PAGEREF _Toc210939833 \h </w:instrText>
            </w:r>
            <w:r>
              <w:rPr>
                <w:noProof/>
                <w:webHidden/>
              </w:rPr>
            </w:r>
            <w:r>
              <w:rPr>
                <w:noProof/>
                <w:webHidden/>
              </w:rPr>
              <w:fldChar w:fldCharType="separate"/>
            </w:r>
            <w:r>
              <w:rPr>
                <w:noProof/>
                <w:webHidden/>
              </w:rPr>
              <w:t>11</w:t>
            </w:r>
            <w:r>
              <w:rPr>
                <w:noProof/>
                <w:webHidden/>
              </w:rPr>
              <w:fldChar w:fldCharType="end"/>
            </w:r>
          </w:hyperlink>
        </w:p>
        <w:p w14:paraId="19DC3001" w14:textId="48AF4E48" w:rsidR="004E6188" w:rsidRDefault="004E6188">
          <w:pPr>
            <w:pStyle w:val="TOC2"/>
            <w:tabs>
              <w:tab w:val="right" w:leader="dot" w:pos="9016"/>
            </w:tabs>
            <w:rPr>
              <w:noProof/>
              <w:kern w:val="2"/>
              <w:sz w:val="24"/>
              <w:szCs w:val="24"/>
              <w:lang w:val="en-GB" w:eastAsia="en-GB"/>
              <w14:ligatures w14:val="standardContextual"/>
            </w:rPr>
          </w:pPr>
          <w:hyperlink w:anchor="_Toc210939834" w:history="1">
            <w:r w:rsidRPr="00E852D2">
              <w:rPr>
                <w:rStyle w:val="Hyperlink"/>
                <w:noProof/>
                <w:lang w:val="en-GB"/>
              </w:rPr>
              <w:t>3.4 Consumer Behaviour and Market Trends</w:t>
            </w:r>
            <w:r>
              <w:rPr>
                <w:noProof/>
                <w:webHidden/>
              </w:rPr>
              <w:tab/>
            </w:r>
            <w:r>
              <w:rPr>
                <w:noProof/>
                <w:webHidden/>
              </w:rPr>
              <w:fldChar w:fldCharType="begin"/>
            </w:r>
            <w:r>
              <w:rPr>
                <w:noProof/>
                <w:webHidden/>
              </w:rPr>
              <w:instrText xml:space="preserve"> PAGEREF _Toc210939834 \h </w:instrText>
            </w:r>
            <w:r>
              <w:rPr>
                <w:noProof/>
                <w:webHidden/>
              </w:rPr>
            </w:r>
            <w:r>
              <w:rPr>
                <w:noProof/>
                <w:webHidden/>
              </w:rPr>
              <w:fldChar w:fldCharType="separate"/>
            </w:r>
            <w:r>
              <w:rPr>
                <w:noProof/>
                <w:webHidden/>
              </w:rPr>
              <w:t>13</w:t>
            </w:r>
            <w:r>
              <w:rPr>
                <w:noProof/>
                <w:webHidden/>
              </w:rPr>
              <w:fldChar w:fldCharType="end"/>
            </w:r>
          </w:hyperlink>
        </w:p>
        <w:p w14:paraId="2F2A5155" w14:textId="239D4FAD" w:rsidR="004E6188" w:rsidRDefault="004E6188">
          <w:pPr>
            <w:pStyle w:val="TOC2"/>
            <w:tabs>
              <w:tab w:val="right" w:leader="dot" w:pos="9016"/>
            </w:tabs>
            <w:rPr>
              <w:noProof/>
              <w:kern w:val="2"/>
              <w:sz w:val="24"/>
              <w:szCs w:val="24"/>
              <w:lang w:val="en-GB" w:eastAsia="en-GB"/>
              <w14:ligatures w14:val="standardContextual"/>
            </w:rPr>
          </w:pPr>
          <w:hyperlink w:anchor="_Toc210939835" w:history="1">
            <w:r w:rsidRPr="00E852D2">
              <w:rPr>
                <w:rStyle w:val="Hyperlink"/>
                <w:noProof/>
                <w:lang w:val="en-GB"/>
              </w:rPr>
              <w:t>3.5 Market Validation</w:t>
            </w:r>
            <w:r>
              <w:rPr>
                <w:noProof/>
                <w:webHidden/>
              </w:rPr>
              <w:tab/>
            </w:r>
            <w:r>
              <w:rPr>
                <w:noProof/>
                <w:webHidden/>
              </w:rPr>
              <w:fldChar w:fldCharType="begin"/>
            </w:r>
            <w:r>
              <w:rPr>
                <w:noProof/>
                <w:webHidden/>
              </w:rPr>
              <w:instrText xml:space="preserve"> PAGEREF _Toc210939835 \h </w:instrText>
            </w:r>
            <w:r>
              <w:rPr>
                <w:noProof/>
                <w:webHidden/>
              </w:rPr>
            </w:r>
            <w:r>
              <w:rPr>
                <w:noProof/>
                <w:webHidden/>
              </w:rPr>
              <w:fldChar w:fldCharType="separate"/>
            </w:r>
            <w:r>
              <w:rPr>
                <w:noProof/>
                <w:webHidden/>
              </w:rPr>
              <w:t>14</w:t>
            </w:r>
            <w:r>
              <w:rPr>
                <w:noProof/>
                <w:webHidden/>
              </w:rPr>
              <w:fldChar w:fldCharType="end"/>
            </w:r>
          </w:hyperlink>
        </w:p>
        <w:p w14:paraId="057F01D9" w14:textId="401BD8CA" w:rsidR="004E6188" w:rsidRDefault="004E6188">
          <w:pPr>
            <w:pStyle w:val="TOC1"/>
            <w:tabs>
              <w:tab w:val="right" w:leader="dot" w:pos="9016"/>
            </w:tabs>
            <w:rPr>
              <w:noProof/>
              <w:kern w:val="2"/>
              <w:sz w:val="24"/>
              <w:szCs w:val="24"/>
              <w:lang w:val="en-GB" w:eastAsia="en-GB"/>
              <w14:ligatures w14:val="standardContextual"/>
            </w:rPr>
          </w:pPr>
          <w:hyperlink w:anchor="_Toc210939836" w:history="1">
            <w:r w:rsidRPr="00E852D2">
              <w:rPr>
                <w:rStyle w:val="Hyperlink"/>
                <w:noProof/>
                <w:lang w:val="en-GB"/>
              </w:rPr>
              <w:t>4. Research Risks and Limitations</w:t>
            </w:r>
            <w:r>
              <w:rPr>
                <w:noProof/>
                <w:webHidden/>
              </w:rPr>
              <w:tab/>
            </w:r>
            <w:r>
              <w:rPr>
                <w:noProof/>
                <w:webHidden/>
              </w:rPr>
              <w:fldChar w:fldCharType="begin"/>
            </w:r>
            <w:r>
              <w:rPr>
                <w:noProof/>
                <w:webHidden/>
              </w:rPr>
              <w:instrText xml:space="preserve"> PAGEREF _Toc210939836 \h </w:instrText>
            </w:r>
            <w:r>
              <w:rPr>
                <w:noProof/>
                <w:webHidden/>
              </w:rPr>
            </w:r>
            <w:r>
              <w:rPr>
                <w:noProof/>
                <w:webHidden/>
              </w:rPr>
              <w:fldChar w:fldCharType="separate"/>
            </w:r>
            <w:r>
              <w:rPr>
                <w:noProof/>
                <w:webHidden/>
              </w:rPr>
              <w:t>15</w:t>
            </w:r>
            <w:r>
              <w:rPr>
                <w:noProof/>
                <w:webHidden/>
              </w:rPr>
              <w:fldChar w:fldCharType="end"/>
            </w:r>
          </w:hyperlink>
        </w:p>
        <w:p w14:paraId="74769EBF" w14:textId="6AC58D5D" w:rsidR="004E6188" w:rsidRDefault="004E6188">
          <w:pPr>
            <w:pStyle w:val="TOC2"/>
            <w:tabs>
              <w:tab w:val="right" w:leader="dot" w:pos="9016"/>
            </w:tabs>
            <w:rPr>
              <w:noProof/>
              <w:kern w:val="2"/>
              <w:sz w:val="24"/>
              <w:szCs w:val="24"/>
              <w:lang w:val="en-GB" w:eastAsia="en-GB"/>
              <w14:ligatures w14:val="standardContextual"/>
            </w:rPr>
          </w:pPr>
          <w:hyperlink w:anchor="_Toc210939837" w:history="1">
            <w:r w:rsidRPr="00E852D2">
              <w:rPr>
                <w:rStyle w:val="Hyperlink"/>
                <w:noProof/>
                <w:lang w:val="en-GB"/>
              </w:rPr>
              <w:t>4.1 Time Management and Workload</w:t>
            </w:r>
            <w:r>
              <w:rPr>
                <w:noProof/>
                <w:webHidden/>
              </w:rPr>
              <w:tab/>
            </w:r>
            <w:r>
              <w:rPr>
                <w:noProof/>
                <w:webHidden/>
              </w:rPr>
              <w:fldChar w:fldCharType="begin"/>
            </w:r>
            <w:r>
              <w:rPr>
                <w:noProof/>
                <w:webHidden/>
              </w:rPr>
              <w:instrText xml:space="preserve"> PAGEREF _Toc210939837 \h </w:instrText>
            </w:r>
            <w:r>
              <w:rPr>
                <w:noProof/>
                <w:webHidden/>
              </w:rPr>
            </w:r>
            <w:r>
              <w:rPr>
                <w:noProof/>
                <w:webHidden/>
              </w:rPr>
              <w:fldChar w:fldCharType="separate"/>
            </w:r>
            <w:r>
              <w:rPr>
                <w:noProof/>
                <w:webHidden/>
              </w:rPr>
              <w:t>15</w:t>
            </w:r>
            <w:r>
              <w:rPr>
                <w:noProof/>
                <w:webHidden/>
              </w:rPr>
              <w:fldChar w:fldCharType="end"/>
            </w:r>
          </w:hyperlink>
        </w:p>
        <w:p w14:paraId="05B4F914" w14:textId="505A7551" w:rsidR="004E6188" w:rsidRDefault="004E6188">
          <w:pPr>
            <w:pStyle w:val="TOC2"/>
            <w:tabs>
              <w:tab w:val="right" w:leader="dot" w:pos="9016"/>
            </w:tabs>
            <w:rPr>
              <w:noProof/>
              <w:kern w:val="2"/>
              <w:sz w:val="24"/>
              <w:szCs w:val="24"/>
              <w:lang w:val="en-GB" w:eastAsia="en-GB"/>
              <w14:ligatures w14:val="standardContextual"/>
            </w:rPr>
          </w:pPr>
          <w:hyperlink w:anchor="_Toc210939838" w:history="1">
            <w:r w:rsidRPr="00E852D2">
              <w:rPr>
                <w:rStyle w:val="Hyperlink"/>
                <w:noProof/>
                <w:lang w:val="en-GB"/>
              </w:rPr>
              <w:t>4.2 Data Access and Reliability.</w:t>
            </w:r>
            <w:r>
              <w:rPr>
                <w:noProof/>
                <w:webHidden/>
              </w:rPr>
              <w:tab/>
            </w:r>
            <w:r>
              <w:rPr>
                <w:noProof/>
                <w:webHidden/>
              </w:rPr>
              <w:fldChar w:fldCharType="begin"/>
            </w:r>
            <w:r>
              <w:rPr>
                <w:noProof/>
                <w:webHidden/>
              </w:rPr>
              <w:instrText xml:space="preserve"> PAGEREF _Toc210939838 \h </w:instrText>
            </w:r>
            <w:r>
              <w:rPr>
                <w:noProof/>
                <w:webHidden/>
              </w:rPr>
            </w:r>
            <w:r>
              <w:rPr>
                <w:noProof/>
                <w:webHidden/>
              </w:rPr>
              <w:fldChar w:fldCharType="separate"/>
            </w:r>
            <w:r>
              <w:rPr>
                <w:noProof/>
                <w:webHidden/>
              </w:rPr>
              <w:t>15</w:t>
            </w:r>
            <w:r>
              <w:rPr>
                <w:noProof/>
                <w:webHidden/>
              </w:rPr>
              <w:fldChar w:fldCharType="end"/>
            </w:r>
          </w:hyperlink>
        </w:p>
        <w:p w14:paraId="0AC43921" w14:textId="5589CC92" w:rsidR="004E6188" w:rsidRDefault="004E6188">
          <w:pPr>
            <w:pStyle w:val="TOC2"/>
            <w:tabs>
              <w:tab w:val="right" w:leader="dot" w:pos="9016"/>
            </w:tabs>
            <w:rPr>
              <w:noProof/>
              <w:kern w:val="2"/>
              <w:sz w:val="24"/>
              <w:szCs w:val="24"/>
              <w:lang w:val="en-GB" w:eastAsia="en-GB"/>
              <w14:ligatures w14:val="standardContextual"/>
            </w:rPr>
          </w:pPr>
          <w:hyperlink w:anchor="_Toc210939839" w:history="1">
            <w:r w:rsidRPr="00E852D2">
              <w:rPr>
                <w:rStyle w:val="Hyperlink"/>
                <w:noProof/>
                <w:lang w:val="en-GB"/>
              </w:rPr>
              <w:t>4.3 Methodological Scope and Interpretation.</w:t>
            </w:r>
            <w:r>
              <w:rPr>
                <w:noProof/>
                <w:webHidden/>
              </w:rPr>
              <w:tab/>
            </w:r>
            <w:r>
              <w:rPr>
                <w:noProof/>
                <w:webHidden/>
              </w:rPr>
              <w:fldChar w:fldCharType="begin"/>
            </w:r>
            <w:r>
              <w:rPr>
                <w:noProof/>
                <w:webHidden/>
              </w:rPr>
              <w:instrText xml:space="preserve"> PAGEREF _Toc210939839 \h </w:instrText>
            </w:r>
            <w:r>
              <w:rPr>
                <w:noProof/>
                <w:webHidden/>
              </w:rPr>
            </w:r>
            <w:r>
              <w:rPr>
                <w:noProof/>
                <w:webHidden/>
              </w:rPr>
              <w:fldChar w:fldCharType="separate"/>
            </w:r>
            <w:r>
              <w:rPr>
                <w:noProof/>
                <w:webHidden/>
              </w:rPr>
              <w:t>16</w:t>
            </w:r>
            <w:r>
              <w:rPr>
                <w:noProof/>
                <w:webHidden/>
              </w:rPr>
              <w:fldChar w:fldCharType="end"/>
            </w:r>
          </w:hyperlink>
        </w:p>
        <w:p w14:paraId="24D057B2" w14:textId="36972E86" w:rsidR="004E6188" w:rsidRDefault="004E6188">
          <w:pPr>
            <w:pStyle w:val="TOC2"/>
            <w:tabs>
              <w:tab w:val="right" w:leader="dot" w:pos="9016"/>
            </w:tabs>
            <w:rPr>
              <w:noProof/>
              <w:kern w:val="2"/>
              <w:sz w:val="24"/>
              <w:szCs w:val="24"/>
              <w:lang w:val="en-GB" w:eastAsia="en-GB"/>
              <w14:ligatures w14:val="standardContextual"/>
            </w:rPr>
          </w:pPr>
          <w:hyperlink w:anchor="_Toc210939840" w:history="1">
            <w:r w:rsidRPr="00E852D2">
              <w:rPr>
                <w:rStyle w:val="Hyperlink"/>
                <w:noProof/>
                <w:lang w:val="en-GB"/>
              </w:rPr>
              <w:t>4.4 Academic Integrity and Ethics.</w:t>
            </w:r>
            <w:r>
              <w:rPr>
                <w:noProof/>
                <w:webHidden/>
              </w:rPr>
              <w:tab/>
            </w:r>
            <w:r>
              <w:rPr>
                <w:noProof/>
                <w:webHidden/>
              </w:rPr>
              <w:fldChar w:fldCharType="begin"/>
            </w:r>
            <w:r>
              <w:rPr>
                <w:noProof/>
                <w:webHidden/>
              </w:rPr>
              <w:instrText xml:space="preserve"> PAGEREF _Toc210939840 \h </w:instrText>
            </w:r>
            <w:r>
              <w:rPr>
                <w:noProof/>
                <w:webHidden/>
              </w:rPr>
            </w:r>
            <w:r>
              <w:rPr>
                <w:noProof/>
                <w:webHidden/>
              </w:rPr>
              <w:fldChar w:fldCharType="separate"/>
            </w:r>
            <w:r>
              <w:rPr>
                <w:noProof/>
                <w:webHidden/>
              </w:rPr>
              <w:t>16</w:t>
            </w:r>
            <w:r>
              <w:rPr>
                <w:noProof/>
                <w:webHidden/>
              </w:rPr>
              <w:fldChar w:fldCharType="end"/>
            </w:r>
          </w:hyperlink>
        </w:p>
        <w:p w14:paraId="67C0FDAF" w14:textId="247BFAD8" w:rsidR="004E6188" w:rsidRDefault="004E6188">
          <w:pPr>
            <w:pStyle w:val="TOC2"/>
            <w:tabs>
              <w:tab w:val="right" w:leader="dot" w:pos="9016"/>
            </w:tabs>
            <w:rPr>
              <w:noProof/>
              <w:kern w:val="2"/>
              <w:sz w:val="24"/>
              <w:szCs w:val="24"/>
              <w:lang w:val="en-GB" w:eastAsia="en-GB"/>
              <w14:ligatures w14:val="standardContextual"/>
            </w:rPr>
          </w:pPr>
          <w:hyperlink w:anchor="_Toc210939841" w:history="1">
            <w:r w:rsidRPr="00E852D2">
              <w:rPr>
                <w:rStyle w:val="Hyperlink"/>
                <w:noProof/>
                <w:lang w:val="en-GB"/>
              </w:rPr>
              <w:t>4.5 Personal and Resource Factors.</w:t>
            </w:r>
            <w:r>
              <w:rPr>
                <w:noProof/>
                <w:webHidden/>
              </w:rPr>
              <w:tab/>
            </w:r>
            <w:r>
              <w:rPr>
                <w:noProof/>
                <w:webHidden/>
              </w:rPr>
              <w:fldChar w:fldCharType="begin"/>
            </w:r>
            <w:r>
              <w:rPr>
                <w:noProof/>
                <w:webHidden/>
              </w:rPr>
              <w:instrText xml:space="preserve"> PAGEREF _Toc210939841 \h </w:instrText>
            </w:r>
            <w:r>
              <w:rPr>
                <w:noProof/>
                <w:webHidden/>
              </w:rPr>
            </w:r>
            <w:r>
              <w:rPr>
                <w:noProof/>
                <w:webHidden/>
              </w:rPr>
              <w:fldChar w:fldCharType="separate"/>
            </w:r>
            <w:r>
              <w:rPr>
                <w:noProof/>
                <w:webHidden/>
              </w:rPr>
              <w:t>16</w:t>
            </w:r>
            <w:r>
              <w:rPr>
                <w:noProof/>
                <w:webHidden/>
              </w:rPr>
              <w:fldChar w:fldCharType="end"/>
            </w:r>
          </w:hyperlink>
        </w:p>
        <w:p w14:paraId="71D1215A" w14:textId="61EABF73" w:rsidR="004E6188" w:rsidRDefault="004E6188">
          <w:pPr>
            <w:pStyle w:val="TOC1"/>
            <w:tabs>
              <w:tab w:val="right" w:leader="dot" w:pos="9016"/>
            </w:tabs>
            <w:rPr>
              <w:noProof/>
              <w:kern w:val="2"/>
              <w:sz w:val="24"/>
              <w:szCs w:val="24"/>
              <w:lang w:val="en-GB" w:eastAsia="en-GB"/>
              <w14:ligatures w14:val="standardContextual"/>
            </w:rPr>
          </w:pPr>
          <w:hyperlink w:anchor="_Toc210939842" w:history="1">
            <w:r w:rsidRPr="00E852D2">
              <w:rPr>
                <w:rStyle w:val="Hyperlink"/>
                <w:noProof/>
                <w:lang w:val="en-GB"/>
              </w:rPr>
              <w:t>5. Research Timeline and Gantt Plan</w:t>
            </w:r>
            <w:r>
              <w:rPr>
                <w:noProof/>
                <w:webHidden/>
              </w:rPr>
              <w:tab/>
            </w:r>
            <w:r>
              <w:rPr>
                <w:noProof/>
                <w:webHidden/>
              </w:rPr>
              <w:fldChar w:fldCharType="begin"/>
            </w:r>
            <w:r>
              <w:rPr>
                <w:noProof/>
                <w:webHidden/>
              </w:rPr>
              <w:instrText xml:space="preserve"> PAGEREF _Toc210939842 \h </w:instrText>
            </w:r>
            <w:r>
              <w:rPr>
                <w:noProof/>
                <w:webHidden/>
              </w:rPr>
            </w:r>
            <w:r>
              <w:rPr>
                <w:noProof/>
                <w:webHidden/>
              </w:rPr>
              <w:fldChar w:fldCharType="separate"/>
            </w:r>
            <w:r>
              <w:rPr>
                <w:noProof/>
                <w:webHidden/>
              </w:rPr>
              <w:t>17</w:t>
            </w:r>
            <w:r>
              <w:rPr>
                <w:noProof/>
                <w:webHidden/>
              </w:rPr>
              <w:fldChar w:fldCharType="end"/>
            </w:r>
          </w:hyperlink>
        </w:p>
        <w:p w14:paraId="7EF9606B" w14:textId="20601618" w:rsidR="004E6188" w:rsidRDefault="004E6188">
          <w:pPr>
            <w:pStyle w:val="TOC2"/>
            <w:tabs>
              <w:tab w:val="right" w:leader="dot" w:pos="9016"/>
            </w:tabs>
            <w:rPr>
              <w:noProof/>
              <w:kern w:val="2"/>
              <w:sz w:val="24"/>
              <w:szCs w:val="24"/>
              <w:lang w:val="en-GB" w:eastAsia="en-GB"/>
              <w14:ligatures w14:val="standardContextual"/>
            </w:rPr>
          </w:pPr>
          <w:hyperlink w:anchor="_Toc210939843" w:history="1">
            <w:r w:rsidRPr="00E852D2">
              <w:rPr>
                <w:rStyle w:val="Hyperlink"/>
                <w:noProof/>
                <w:lang w:val="en-GB"/>
              </w:rPr>
              <w:t>5.1 Summary Timeline.</w:t>
            </w:r>
            <w:r>
              <w:rPr>
                <w:noProof/>
                <w:webHidden/>
              </w:rPr>
              <w:tab/>
            </w:r>
            <w:r>
              <w:rPr>
                <w:noProof/>
                <w:webHidden/>
              </w:rPr>
              <w:fldChar w:fldCharType="begin"/>
            </w:r>
            <w:r>
              <w:rPr>
                <w:noProof/>
                <w:webHidden/>
              </w:rPr>
              <w:instrText xml:space="preserve"> PAGEREF _Toc210939843 \h </w:instrText>
            </w:r>
            <w:r>
              <w:rPr>
                <w:noProof/>
                <w:webHidden/>
              </w:rPr>
            </w:r>
            <w:r>
              <w:rPr>
                <w:noProof/>
                <w:webHidden/>
              </w:rPr>
              <w:fldChar w:fldCharType="separate"/>
            </w:r>
            <w:r>
              <w:rPr>
                <w:noProof/>
                <w:webHidden/>
              </w:rPr>
              <w:t>17</w:t>
            </w:r>
            <w:r>
              <w:rPr>
                <w:noProof/>
                <w:webHidden/>
              </w:rPr>
              <w:fldChar w:fldCharType="end"/>
            </w:r>
          </w:hyperlink>
        </w:p>
        <w:p w14:paraId="3FF4EA46" w14:textId="2463EA65" w:rsidR="004E6188" w:rsidRDefault="004E6188">
          <w:pPr>
            <w:pStyle w:val="TOC2"/>
            <w:tabs>
              <w:tab w:val="right" w:leader="dot" w:pos="9016"/>
            </w:tabs>
            <w:rPr>
              <w:noProof/>
              <w:kern w:val="2"/>
              <w:sz w:val="24"/>
              <w:szCs w:val="24"/>
              <w:lang w:val="en-GB" w:eastAsia="en-GB"/>
              <w14:ligatures w14:val="standardContextual"/>
            </w:rPr>
          </w:pPr>
          <w:hyperlink w:anchor="_Toc210939844" w:history="1">
            <w:r w:rsidRPr="00E852D2">
              <w:rPr>
                <w:rStyle w:val="Hyperlink"/>
                <w:noProof/>
                <w:lang w:val="en-GB"/>
              </w:rPr>
              <w:t>5.2 Monitoring and Review</w:t>
            </w:r>
            <w:r>
              <w:rPr>
                <w:noProof/>
                <w:webHidden/>
              </w:rPr>
              <w:tab/>
            </w:r>
            <w:r>
              <w:rPr>
                <w:noProof/>
                <w:webHidden/>
              </w:rPr>
              <w:fldChar w:fldCharType="begin"/>
            </w:r>
            <w:r>
              <w:rPr>
                <w:noProof/>
                <w:webHidden/>
              </w:rPr>
              <w:instrText xml:space="preserve"> PAGEREF _Toc210939844 \h </w:instrText>
            </w:r>
            <w:r>
              <w:rPr>
                <w:noProof/>
                <w:webHidden/>
              </w:rPr>
            </w:r>
            <w:r>
              <w:rPr>
                <w:noProof/>
                <w:webHidden/>
              </w:rPr>
              <w:fldChar w:fldCharType="separate"/>
            </w:r>
            <w:r>
              <w:rPr>
                <w:noProof/>
                <w:webHidden/>
              </w:rPr>
              <w:t>17</w:t>
            </w:r>
            <w:r>
              <w:rPr>
                <w:noProof/>
                <w:webHidden/>
              </w:rPr>
              <w:fldChar w:fldCharType="end"/>
            </w:r>
          </w:hyperlink>
        </w:p>
        <w:p w14:paraId="31CC4D95" w14:textId="03734C6D" w:rsidR="004E6188" w:rsidRDefault="004E6188">
          <w:pPr>
            <w:pStyle w:val="TOC1"/>
            <w:tabs>
              <w:tab w:val="right" w:leader="dot" w:pos="9016"/>
            </w:tabs>
            <w:rPr>
              <w:noProof/>
              <w:kern w:val="2"/>
              <w:sz w:val="24"/>
              <w:szCs w:val="24"/>
              <w:lang w:val="en-GB" w:eastAsia="en-GB"/>
              <w14:ligatures w14:val="standardContextual"/>
            </w:rPr>
          </w:pPr>
          <w:hyperlink w:anchor="_Toc210939845" w:history="1">
            <w:r w:rsidRPr="00E852D2">
              <w:rPr>
                <w:rStyle w:val="Hyperlink"/>
                <w:noProof/>
                <w:lang w:val="en-GB"/>
              </w:rPr>
              <w:t>References</w:t>
            </w:r>
            <w:r>
              <w:rPr>
                <w:noProof/>
                <w:webHidden/>
              </w:rPr>
              <w:tab/>
            </w:r>
            <w:r>
              <w:rPr>
                <w:noProof/>
                <w:webHidden/>
              </w:rPr>
              <w:fldChar w:fldCharType="begin"/>
            </w:r>
            <w:r>
              <w:rPr>
                <w:noProof/>
                <w:webHidden/>
              </w:rPr>
              <w:instrText xml:space="preserve"> PAGEREF _Toc210939845 \h </w:instrText>
            </w:r>
            <w:r>
              <w:rPr>
                <w:noProof/>
                <w:webHidden/>
              </w:rPr>
            </w:r>
            <w:r>
              <w:rPr>
                <w:noProof/>
                <w:webHidden/>
              </w:rPr>
              <w:fldChar w:fldCharType="separate"/>
            </w:r>
            <w:r>
              <w:rPr>
                <w:noProof/>
                <w:webHidden/>
              </w:rPr>
              <w:t>18</w:t>
            </w:r>
            <w:r>
              <w:rPr>
                <w:noProof/>
                <w:webHidden/>
              </w:rPr>
              <w:fldChar w:fldCharType="end"/>
            </w:r>
          </w:hyperlink>
        </w:p>
        <w:p w14:paraId="745F390E" w14:textId="05C911EB" w:rsidR="004E6188" w:rsidRDefault="004E6188">
          <w:r>
            <w:rPr>
              <w:b/>
              <w:bCs/>
              <w:noProof/>
            </w:rPr>
            <w:fldChar w:fldCharType="end"/>
          </w:r>
        </w:p>
      </w:sdtContent>
    </w:sdt>
    <w:p w14:paraId="121244F6" w14:textId="77777777" w:rsidR="009A196C" w:rsidRDefault="009A196C" w:rsidP="009A196C">
      <w:pPr>
        <w:spacing w:line="360" w:lineRule="auto"/>
        <w:rPr>
          <w:rFonts w:ascii="Arial" w:hAnsi="Arial" w:cs="Arial"/>
        </w:rPr>
      </w:pPr>
    </w:p>
    <w:p w14:paraId="61EC46A4" w14:textId="77777777" w:rsidR="009A196C" w:rsidRDefault="009A196C" w:rsidP="009A196C">
      <w:pPr>
        <w:spacing w:line="360" w:lineRule="auto"/>
        <w:rPr>
          <w:rFonts w:ascii="Arial" w:hAnsi="Arial" w:cs="Arial"/>
        </w:rPr>
      </w:pPr>
    </w:p>
    <w:p w14:paraId="04986006" w14:textId="77777777" w:rsidR="00986426" w:rsidRDefault="00986426" w:rsidP="009A196C">
      <w:pPr>
        <w:pStyle w:val="Heading1"/>
      </w:pPr>
    </w:p>
    <w:p w14:paraId="763CD2D0" w14:textId="5A5B88B5" w:rsidR="009A196C" w:rsidRDefault="009A196C" w:rsidP="009A196C">
      <w:pPr>
        <w:pStyle w:val="Heading1"/>
      </w:pPr>
      <w:bookmarkStart w:id="0" w:name="_Toc210939817"/>
      <w:r>
        <w:t>Introduction</w:t>
      </w:r>
      <w:bookmarkEnd w:id="0"/>
      <w:r>
        <w:t xml:space="preserve"> </w:t>
      </w:r>
    </w:p>
    <w:p w14:paraId="16A9B747" w14:textId="511CE177" w:rsidR="009B4118" w:rsidRPr="009B4118" w:rsidRDefault="009B4118" w:rsidP="009B4118">
      <w:pPr>
        <w:spacing w:line="360" w:lineRule="auto"/>
        <w:rPr>
          <w:rFonts w:ascii="Arial" w:hAnsi="Arial" w:cs="Arial"/>
        </w:rPr>
      </w:pPr>
      <w:r w:rsidRPr="009B4118">
        <w:rPr>
          <w:rFonts w:ascii="Arial" w:hAnsi="Arial" w:cs="Arial"/>
        </w:rPr>
        <w:t xml:space="preserve">This Business Development Proposal Outline presents the concept and research plan for 1 STATION Ltd, a multi-service automotive hub designed to address the fragmented nature of the UK vehicle services industry. The business will be established in Sandwell, West Midlands, an area </w:t>
      </w:r>
      <w:r w:rsidR="00513D0E" w:rsidRPr="009B4118">
        <w:rPr>
          <w:rFonts w:ascii="Arial" w:hAnsi="Arial" w:cs="Arial"/>
        </w:rPr>
        <w:t>characterized</w:t>
      </w:r>
      <w:r w:rsidRPr="009B4118">
        <w:rPr>
          <w:rFonts w:ascii="Arial" w:hAnsi="Arial" w:cs="Arial"/>
        </w:rPr>
        <w:t xml:space="preserve"> by high car dependency, a growing vehicle parc of over 136,000 licensed cars, and limited integrated service provision. According to IBISWorld (2024), the UK automotive service and repair market is valued at more than £34 billion, yet remains highly decentralized, with most garages operating as small independents. Similarly, Department for Transport (</w:t>
      </w:r>
      <w:proofErr w:type="spellStart"/>
      <w:r w:rsidRPr="009B4118">
        <w:rPr>
          <w:rFonts w:ascii="Arial" w:hAnsi="Arial" w:cs="Arial"/>
        </w:rPr>
        <w:t>DfT</w:t>
      </w:r>
      <w:proofErr w:type="spellEnd"/>
      <w:r w:rsidRPr="009B4118">
        <w:rPr>
          <w:rFonts w:ascii="Arial" w:hAnsi="Arial" w:cs="Arial"/>
        </w:rPr>
        <w:t>, 2024) data highlights rising vehicle ownership and an ageing fleet, both of which increase demand for reliable, one-stop maintenance solutions.</w:t>
      </w:r>
    </w:p>
    <w:p w14:paraId="777B68C8" w14:textId="68E790C5" w:rsidR="006F6DD6" w:rsidRPr="006F6DD6" w:rsidRDefault="006F6DD6" w:rsidP="009B4118">
      <w:pPr>
        <w:spacing w:line="360" w:lineRule="auto"/>
        <w:rPr>
          <w:rFonts w:ascii="Arial" w:hAnsi="Arial" w:cs="Arial"/>
          <w:lang w:val="en-GB"/>
        </w:rPr>
      </w:pPr>
      <w:r w:rsidRPr="006F6DD6">
        <w:rPr>
          <w:rFonts w:ascii="Arial" w:hAnsi="Arial" w:cs="Arial"/>
          <w:lang w:val="en-GB"/>
        </w:rPr>
        <w:t>The outline demonstrates both the academic and practical relevance of the proposed venture. Using secondary data sources such as the Department for Transport (DfT), Office for National Statistics (ONS), and IBISWorld, the research applies established frameworks including the Business Model Canvas and Porter’s Five Forces to analyse market dynamics and service gaps. The study also aligns with Sandwell Council’s sustainability agenda, integrating environmentally responsible technologies such as water-recycling systems and certified EV servicing.</w:t>
      </w:r>
    </w:p>
    <w:p w14:paraId="546FB9AA" w14:textId="77777777" w:rsidR="006F6DD6" w:rsidRPr="006F6DD6" w:rsidRDefault="006F6DD6" w:rsidP="006F6DD6">
      <w:pPr>
        <w:spacing w:line="360" w:lineRule="auto"/>
        <w:rPr>
          <w:rFonts w:ascii="Arial" w:hAnsi="Arial" w:cs="Arial"/>
          <w:lang w:val="en-GB"/>
        </w:rPr>
      </w:pPr>
      <w:r w:rsidRPr="006F6DD6">
        <w:rPr>
          <w:rFonts w:ascii="Arial" w:hAnsi="Arial" w:cs="Arial"/>
          <w:lang w:val="en-GB"/>
        </w:rPr>
        <w:t>This document forms the foundation for the forthcoming 15,000-word Business Development Proposal. It outlines the methodological design, expected research outcomes, and key risks associated with data collection, time management, and analytical scope. A 16-week timeline, incorporating workshops, supervision meetings, and formative milestones, ensures structured progress from concept development to final submission on 7 January 2026. Ultimately, the project seeks to produce a robust, evidence-based plan for a business that combines commercial innovation with local economic and environmental contribution.</w:t>
      </w:r>
    </w:p>
    <w:p w14:paraId="1747F28C" w14:textId="5D329615" w:rsidR="009A196C" w:rsidRPr="009F6A5A" w:rsidRDefault="009A196C" w:rsidP="006F6DD6">
      <w:pPr>
        <w:spacing w:line="360" w:lineRule="auto"/>
        <w:rPr>
          <w:rFonts w:ascii="Arial" w:hAnsi="Arial" w:cs="Arial"/>
          <w:lang w:val="en-GB"/>
        </w:rPr>
      </w:pPr>
      <w:r w:rsidRPr="009F6A5A">
        <w:rPr>
          <w:rFonts w:ascii="Arial" w:hAnsi="Arial" w:cs="Arial"/>
          <w:lang w:val="en-GB"/>
        </w:rPr>
        <w:t>.</w:t>
      </w:r>
    </w:p>
    <w:p w14:paraId="3E30A560" w14:textId="77777777" w:rsidR="009A196C" w:rsidRDefault="009A196C" w:rsidP="009A196C">
      <w:pPr>
        <w:spacing w:line="360" w:lineRule="auto"/>
        <w:rPr>
          <w:rFonts w:ascii="Arial" w:hAnsi="Arial" w:cs="Arial"/>
        </w:rPr>
      </w:pPr>
    </w:p>
    <w:p w14:paraId="6B451669" w14:textId="77777777" w:rsidR="009A196C" w:rsidRDefault="009A196C" w:rsidP="009A196C">
      <w:pPr>
        <w:spacing w:line="360" w:lineRule="auto"/>
        <w:rPr>
          <w:rFonts w:ascii="Arial" w:hAnsi="Arial" w:cs="Arial"/>
        </w:rPr>
      </w:pPr>
    </w:p>
    <w:p w14:paraId="54799F5F" w14:textId="77777777" w:rsidR="009A196C" w:rsidRDefault="009A196C" w:rsidP="009A196C">
      <w:pPr>
        <w:spacing w:line="360" w:lineRule="auto"/>
        <w:rPr>
          <w:rFonts w:ascii="Arial" w:hAnsi="Arial" w:cs="Arial"/>
        </w:rPr>
      </w:pPr>
    </w:p>
    <w:p w14:paraId="58E3E8A3" w14:textId="77777777" w:rsidR="009A196C" w:rsidRDefault="009A196C" w:rsidP="009A196C">
      <w:pPr>
        <w:spacing w:line="360" w:lineRule="auto"/>
        <w:rPr>
          <w:rFonts w:ascii="Arial" w:hAnsi="Arial" w:cs="Arial"/>
        </w:rPr>
      </w:pPr>
    </w:p>
    <w:p w14:paraId="3A6088FC" w14:textId="77777777" w:rsidR="009A196C" w:rsidRDefault="009A196C" w:rsidP="009A196C">
      <w:pPr>
        <w:spacing w:line="360" w:lineRule="auto"/>
        <w:rPr>
          <w:rFonts w:ascii="Arial" w:hAnsi="Arial" w:cs="Arial"/>
        </w:rPr>
      </w:pPr>
    </w:p>
    <w:p w14:paraId="2474083C" w14:textId="77777777" w:rsidR="009A196C" w:rsidRDefault="009A196C" w:rsidP="009A196C">
      <w:pPr>
        <w:spacing w:line="360" w:lineRule="auto"/>
        <w:rPr>
          <w:rFonts w:ascii="Arial" w:hAnsi="Arial" w:cs="Arial"/>
        </w:rPr>
      </w:pPr>
    </w:p>
    <w:p w14:paraId="0BB26F86" w14:textId="77777777" w:rsidR="00B51B23" w:rsidRDefault="00B51B23" w:rsidP="009A196C">
      <w:pPr>
        <w:spacing w:line="360" w:lineRule="auto"/>
        <w:rPr>
          <w:rFonts w:ascii="Arial" w:hAnsi="Arial" w:cs="Arial"/>
        </w:rPr>
      </w:pPr>
    </w:p>
    <w:p w14:paraId="4293963D" w14:textId="16E267AB" w:rsidR="009A196C" w:rsidRPr="00767ED4" w:rsidRDefault="004E6188" w:rsidP="00767ED4">
      <w:pPr>
        <w:pStyle w:val="Heading1"/>
        <w:rPr>
          <w:lang w:val="en-GB"/>
        </w:rPr>
      </w:pPr>
      <w:bookmarkStart w:id="1" w:name="_Toc210939818"/>
      <w:r>
        <w:rPr>
          <w:lang w:val="en-GB"/>
        </w:rPr>
        <w:t xml:space="preserve">1. </w:t>
      </w:r>
      <w:r w:rsidR="000F2E7A">
        <w:rPr>
          <w:lang w:val="en-GB"/>
        </w:rPr>
        <w:t>Bus</w:t>
      </w:r>
      <w:r w:rsidR="00FD2C28">
        <w:rPr>
          <w:lang w:val="en-GB"/>
        </w:rPr>
        <w:t>iness Description</w:t>
      </w:r>
      <w:r w:rsidR="008944FD">
        <w:rPr>
          <w:lang w:val="en-GB"/>
        </w:rPr>
        <w:t xml:space="preserve">: </w:t>
      </w:r>
      <w:r w:rsidR="00FD2C28">
        <w:rPr>
          <w:lang w:val="en-GB"/>
        </w:rPr>
        <w:t>1 STATION LTD</w:t>
      </w:r>
      <w:bookmarkEnd w:id="1"/>
    </w:p>
    <w:p w14:paraId="14DE952B" w14:textId="42F244B5" w:rsidR="00767ED4" w:rsidRDefault="00361BC5" w:rsidP="00361BC5">
      <w:pPr>
        <w:pStyle w:val="Heading2"/>
        <w:rPr>
          <w:lang w:val="en-GB"/>
        </w:rPr>
      </w:pPr>
      <w:bookmarkStart w:id="2" w:name="_Toc210939819"/>
      <w:r>
        <w:rPr>
          <w:lang w:val="en-GB"/>
        </w:rPr>
        <w:t xml:space="preserve">1.1 </w:t>
      </w:r>
      <w:r w:rsidR="00767ED4" w:rsidRPr="00FB30E8">
        <w:rPr>
          <w:lang w:val="en-GB"/>
        </w:rPr>
        <w:t>Brand Identity</w:t>
      </w:r>
      <w:bookmarkEnd w:id="2"/>
    </w:p>
    <w:p w14:paraId="1CB02C5E" w14:textId="02038F1C" w:rsidR="00805B65" w:rsidRDefault="009A196C" w:rsidP="00B51B23">
      <w:pPr>
        <w:spacing w:line="360" w:lineRule="auto"/>
        <w:rPr>
          <w:rFonts w:ascii="Arial" w:hAnsi="Arial" w:cs="Arial"/>
          <w:lang w:val="en-GB"/>
        </w:rPr>
      </w:pPr>
      <w:r w:rsidRPr="00FB30E8">
        <w:rPr>
          <w:rFonts w:ascii="Arial" w:hAnsi="Arial" w:cs="Arial"/>
          <w:b/>
          <w:bCs/>
          <w:lang w:val="en-GB"/>
        </w:rPr>
        <w:t>Company name:</w:t>
      </w:r>
      <w:r w:rsidRPr="00FB30E8">
        <w:rPr>
          <w:rFonts w:ascii="Arial" w:hAnsi="Arial" w:cs="Arial"/>
          <w:lang w:val="en-GB"/>
        </w:rPr>
        <w:t xml:space="preserve"> 1 STATION</w:t>
      </w:r>
      <w:r w:rsidR="00B51B23">
        <w:rPr>
          <w:rFonts w:ascii="Arial" w:hAnsi="Arial" w:cs="Arial"/>
          <w:lang w:val="en-GB"/>
        </w:rPr>
        <w:t xml:space="preserve"> </w:t>
      </w:r>
      <w:r>
        <w:rPr>
          <w:rFonts w:ascii="Arial" w:hAnsi="Arial" w:cs="Arial"/>
          <w:lang w:val="en-GB"/>
        </w:rPr>
        <w:t>Ltd</w:t>
      </w:r>
      <w:r w:rsidR="00805B65">
        <w:rPr>
          <w:rFonts w:ascii="Arial" w:hAnsi="Arial" w:cs="Arial"/>
          <w:lang w:val="en-GB"/>
        </w:rPr>
        <w:t xml:space="preserve"> </w:t>
      </w:r>
    </w:p>
    <w:p w14:paraId="6DD58742" w14:textId="2654C256" w:rsidR="00190126" w:rsidRDefault="009A196C" w:rsidP="00190126">
      <w:pPr>
        <w:spacing w:line="360" w:lineRule="auto"/>
        <w:rPr>
          <w:rFonts w:ascii="Arial" w:hAnsi="Arial" w:cs="Arial"/>
          <w:lang w:val="en-GB"/>
        </w:rPr>
      </w:pPr>
      <w:r w:rsidRPr="00FB30E8">
        <w:rPr>
          <w:rFonts w:ascii="Arial" w:hAnsi="Arial" w:cs="Arial"/>
          <w:b/>
          <w:bCs/>
          <w:lang w:val="en-GB"/>
        </w:rPr>
        <w:t>Slogan/Tagline:</w:t>
      </w:r>
      <w:r w:rsidRPr="00FB30E8">
        <w:rPr>
          <w:rFonts w:ascii="Arial" w:hAnsi="Arial" w:cs="Arial"/>
          <w:lang w:val="en-GB"/>
        </w:rPr>
        <w:t xml:space="preserve"> </w:t>
      </w:r>
      <w:r w:rsidRPr="00FB30E8">
        <w:rPr>
          <w:rFonts w:ascii="Arial" w:hAnsi="Arial" w:cs="Arial"/>
          <w:i/>
          <w:iCs/>
          <w:lang w:val="en-GB"/>
        </w:rPr>
        <w:t>One Stop. Every Solution.</w:t>
      </w:r>
    </w:p>
    <w:p w14:paraId="6E94F629" w14:textId="77777777" w:rsidR="00753F69" w:rsidRDefault="009A196C" w:rsidP="003B661D">
      <w:pPr>
        <w:spacing w:line="360" w:lineRule="auto"/>
        <w:rPr>
          <w:rFonts w:ascii="Arial" w:hAnsi="Arial" w:cs="Arial"/>
          <w:lang w:val="en-GB"/>
        </w:rPr>
      </w:pPr>
      <w:r w:rsidRPr="00FB30E8">
        <w:rPr>
          <w:rFonts w:ascii="Arial" w:hAnsi="Arial" w:cs="Arial"/>
          <w:b/>
          <w:bCs/>
          <w:lang w:val="en-GB"/>
        </w:rPr>
        <w:t>Mission:</w:t>
      </w:r>
      <w:r w:rsidRPr="00FB30E8">
        <w:rPr>
          <w:rFonts w:ascii="Arial" w:hAnsi="Arial" w:cs="Arial"/>
          <w:lang w:val="en-GB"/>
        </w:rPr>
        <w:t xml:space="preserve"> </w:t>
      </w:r>
      <w:r w:rsidR="003B661D" w:rsidRPr="003B661D">
        <w:rPr>
          <w:rFonts w:ascii="Arial" w:hAnsi="Arial" w:cs="Arial"/>
          <w:lang w:val="en-GB"/>
        </w:rPr>
        <w:t>to deliver a fully integrated, digitally enabled automotive service hub in Sandwell that simplifies vehicle ownership by providing every essential service—MOT, mechanical, EV, bodywork, tyres, and aesthetics—under one roof, combining efficiency, sustainability, and community impact.</w:t>
      </w:r>
    </w:p>
    <w:p w14:paraId="32F781B2" w14:textId="4DC3E0D4" w:rsidR="009A196C" w:rsidRDefault="009A196C" w:rsidP="003B661D">
      <w:pPr>
        <w:spacing w:line="360" w:lineRule="auto"/>
        <w:rPr>
          <w:rFonts w:ascii="Arial" w:hAnsi="Arial" w:cs="Arial"/>
          <w:lang w:val="en-GB"/>
        </w:rPr>
      </w:pPr>
      <w:r w:rsidRPr="00FB30E8">
        <w:rPr>
          <w:rFonts w:ascii="Arial" w:hAnsi="Arial" w:cs="Arial"/>
          <w:b/>
          <w:bCs/>
          <w:lang w:val="en-GB"/>
        </w:rPr>
        <w:t>Vision:</w:t>
      </w:r>
      <w:r w:rsidRPr="00FB30E8">
        <w:rPr>
          <w:rFonts w:ascii="Arial" w:hAnsi="Arial" w:cs="Arial"/>
          <w:lang w:val="en-GB"/>
        </w:rPr>
        <w:t xml:space="preserve"> To become the UK’s most trusted and comprehensive automotive service hub, setting a new standard for convenience and integrated vehicle care.</w:t>
      </w:r>
    </w:p>
    <w:p w14:paraId="129EFA7E" w14:textId="66C00ED6" w:rsidR="00322A8A" w:rsidRDefault="00322A8A" w:rsidP="00322A8A">
      <w:pPr>
        <w:spacing w:line="360" w:lineRule="auto"/>
        <w:rPr>
          <w:rFonts w:ascii="Arial" w:hAnsi="Arial" w:cs="Arial"/>
          <w:lang w:val="en-GB"/>
        </w:rPr>
      </w:pPr>
      <w:r w:rsidRPr="00322A8A">
        <w:rPr>
          <w:rFonts w:ascii="Arial" w:hAnsi="Arial" w:cs="Arial"/>
          <w:b/>
          <w:bCs/>
        </w:rPr>
        <w:t>Core values:</w:t>
      </w:r>
      <w:r w:rsidRPr="00322A8A">
        <w:rPr>
          <w:rFonts w:ascii="Arial" w:hAnsi="Arial" w:cs="Arial"/>
        </w:rPr>
        <w:t xml:space="preserve"> Customer-first service, integrity and transparency, environmental responsibility, innovation and digital excellence, and commitment to community employment and training.</w:t>
      </w:r>
    </w:p>
    <w:p w14:paraId="248B3BDB" w14:textId="3B6C2EBF" w:rsidR="00C95870" w:rsidRPr="00C95870" w:rsidRDefault="00C95870" w:rsidP="008A4A34">
      <w:pPr>
        <w:spacing w:line="360" w:lineRule="auto"/>
        <w:rPr>
          <w:rFonts w:ascii="Arial" w:hAnsi="Arial" w:cs="Arial"/>
          <w:lang w:val="en-GB"/>
        </w:rPr>
      </w:pPr>
      <w:r w:rsidRPr="00C95870">
        <w:rPr>
          <w:rFonts w:ascii="Arial" w:hAnsi="Arial" w:cs="Arial"/>
          <w:lang w:val="en-GB"/>
        </w:rPr>
        <w:t>1</w:t>
      </w:r>
      <w:r w:rsidR="00970985" w:rsidRPr="00970985">
        <w:rPr>
          <w:rFonts w:ascii="Arial" w:hAnsi="Arial" w:cs="Arial"/>
          <w:lang w:val="en-GB"/>
        </w:rPr>
        <w:t xml:space="preserve"> STATION Ltd will establish a flagship multi-service automotive centre in Sandwell, West Midlands—a highly vehicle-dependent borough with 136,830 registered cars (</w:t>
      </w:r>
      <w:proofErr w:type="spellStart"/>
      <w:r w:rsidR="00970985" w:rsidRPr="00970985">
        <w:rPr>
          <w:rFonts w:ascii="Arial" w:hAnsi="Arial" w:cs="Arial"/>
          <w:lang w:val="en-GB"/>
        </w:rPr>
        <w:t>NimbleFins</w:t>
      </w:r>
      <w:proofErr w:type="spellEnd"/>
      <w:r w:rsidR="00970985" w:rsidRPr="00970985">
        <w:rPr>
          <w:rFonts w:ascii="Arial" w:hAnsi="Arial" w:cs="Arial"/>
          <w:lang w:val="en-GB"/>
        </w:rPr>
        <w:t>, 2023). The UK automotive maintenance and repair sector is valued at £34.1 billion (IBISWorld, 2024), and market fragmentation continues to limit consumer convenience and trust (Mintel, 2024). The hub will offer every essential automotive service in one facility, creating a modern customer experience supported by professional design, transparent pricing, and seamless digital management.</w:t>
      </w:r>
    </w:p>
    <w:p w14:paraId="7D63479A" w14:textId="77777777" w:rsidR="008A4A34" w:rsidRDefault="008A4A34" w:rsidP="00767ED4">
      <w:pPr>
        <w:spacing w:line="360" w:lineRule="auto"/>
        <w:jc w:val="center"/>
        <w:rPr>
          <w:rFonts w:ascii="Arial" w:hAnsi="Arial" w:cs="Arial"/>
          <w:lang w:val="en-GB"/>
        </w:rPr>
      </w:pPr>
    </w:p>
    <w:p w14:paraId="081B1790" w14:textId="02727E48" w:rsidR="00767ED4" w:rsidRDefault="00767ED4" w:rsidP="008A4A34">
      <w:pPr>
        <w:spacing w:line="360" w:lineRule="auto"/>
        <w:jc w:val="center"/>
        <w:rPr>
          <w:rFonts w:ascii="Arial" w:hAnsi="Arial" w:cs="Arial"/>
          <w:lang w:val="en-GB"/>
        </w:rPr>
      </w:pPr>
      <w:r>
        <w:rPr>
          <w:rFonts w:ascii="Arial" w:hAnsi="Arial" w:cs="Arial"/>
          <w:noProof/>
          <w:lang w:val="en-GB"/>
          <w14:ligatures w14:val="standardContextual"/>
        </w:rPr>
        <w:drawing>
          <wp:inline distT="0" distB="0" distL="0" distR="0" wp14:anchorId="12C2388F" wp14:editId="400081D1">
            <wp:extent cx="3266961" cy="2171700"/>
            <wp:effectExtent l="0" t="0" r="0" b="0"/>
            <wp:docPr id="207909474" name="Picture 1" descr="A black and red logo with a ca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9474" name="Picture 1" descr="A black and red logo with a car and text&#10;&#10;AI-generated content may be incorrect."/>
                    <pic:cNvPicPr/>
                  </pic:nvPicPr>
                  <pic:blipFill rotWithShape="1">
                    <a:blip r:embed="rId8"/>
                    <a:srcRect t="14625" b="18901"/>
                    <a:stretch>
                      <a:fillRect/>
                    </a:stretch>
                  </pic:blipFill>
                  <pic:spPr bwMode="auto">
                    <a:xfrm>
                      <a:off x="0" y="0"/>
                      <a:ext cx="3280000" cy="2180368"/>
                    </a:xfrm>
                    <a:prstGeom prst="rect">
                      <a:avLst/>
                    </a:prstGeom>
                    <a:ln>
                      <a:noFill/>
                    </a:ln>
                    <a:extLst>
                      <a:ext uri="{53640926-AAD7-44D8-BBD7-CCE9431645EC}">
                        <a14:shadowObscured xmlns:a14="http://schemas.microsoft.com/office/drawing/2010/main"/>
                      </a:ext>
                    </a:extLst>
                  </pic:spPr>
                </pic:pic>
              </a:graphicData>
            </a:graphic>
          </wp:inline>
        </w:drawing>
      </w:r>
    </w:p>
    <w:p w14:paraId="3B872920" w14:textId="60D4B196" w:rsidR="00224CAE" w:rsidRDefault="00224CAE" w:rsidP="00224CAE">
      <w:pPr>
        <w:spacing w:line="360" w:lineRule="auto"/>
        <w:jc w:val="center"/>
        <w:rPr>
          <w:rFonts w:ascii="Arial" w:hAnsi="Arial" w:cs="Arial"/>
          <w:lang w:val="en-GB"/>
        </w:rPr>
      </w:pPr>
      <w:r w:rsidRPr="00224CAE">
        <w:rPr>
          <w:rFonts w:ascii="Arial" w:hAnsi="Arial" w:cs="Arial"/>
        </w:rPr>
        <w:t>Figure 1. 1 STATION Company Logo (Source: Author, 2025)</w:t>
      </w:r>
    </w:p>
    <w:p w14:paraId="654483E4" w14:textId="77777777" w:rsidR="004E6188" w:rsidRPr="008944FD" w:rsidRDefault="004E6188" w:rsidP="009A196C">
      <w:pPr>
        <w:spacing w:line="360" w:lineRule="auto"/>
        <w:rPr>
          <w:rFonts w:ascii="Arial" w:hAnsi="Arial" w:cs="Arial"/>
          <w:lang w:val="en-GB"/>
        </w:rPr>
      </w:pPr>
    </w:p>
    <w:p w14:paraId="01F82AB7" w14:textId="77777777" w:rsidR="00C83607" w:rsidRDefault="00C83607" w:rsidP="00361BC5">
      <w:pPr>
        <w:pStyle w:val="Heading2"/>
        <w:rPr>
          <w:lang w:val="en-GB"/>
        </w:rPr>
      </w:pPr>
      <w:bookmarkStart w:id="3" w:name="_Toc210939820"/>
    </w:p>
    <w:p w14:paraId="510DC38A" w14:textId="7E258F52" w:rsidR="00BD36FB" w:rsidRPr="00BD36FB" w:rsidRDefault="00361BC5" w:rsidP="00361BC5">
      <w:pPr>
        <w:pStyle w:val="Heading2"/>
        <w:rPr>
          <w:lang w:val="en-GB"/>
        </w:rPr>
      </w:pPr>
      <w:r>
        <w:rPr>
          <w:lang w:val="en-GB"/>
        </w:rPr>
        <w:t xml:space="preserve">1.2 </w:t>
      </w:r>
      <w:r w:rsidR="00BD36FB" w:rsidRPr="00BD36FB">
        <w:rPr>
          <w:lang w:val="en-GB"/>
        </w:rPr>
        <w:t>Legal Structure and Ownership</w:t>
      </w:r>
      <w:bookmarkEnd w:id="3"/>
    </w:p>
    <w:p w14:paraId="7B3D3E8E" w14:textId="77777777" w:rsidR="00681C01" w:rsidRDefault="00FE0BDB" w:rsidP="00C362CD">
      <w:pPr>
        <w:spacing w:line="360" w:lineRule="auto"/>
        <w:rPr>
          <w:rFonts w:ascii="Arial" w:hAnsi="Arial" w:cs="Arial"/>
        </w:rPr>
      </w:pPr>
      <w:r w:rsidRPr="004F4F75">
        <w:rPr>
          <w:rFonts w:ascii="Arial" w:hAnsi="Arial" w:cs="Arial"/>
        </w:rPr>
        <w:t xml:space="preserve">1 STATION Ltd </w:t>
      </w:r>
      <w:r w:rsidR="00C362CD" w:rsidRPr="00C362CD">
        <w:rPr>
          <w:rFonts w:ascii="Arial" w:hAnsi="Arial" w:cs="Arial"/>
        </w:rPr>
        <w:t>will be incorporated as a UK Private Limited Company, registered with Companies House.</w:t>
      </w:r>
    </w:p>
    <w:p w14:paraId="64D7E2B2" w14:textId="766AD368" w:rsidR="00B8188D" w:rsidRDefault="00C362CD" w:rsidP="00C362CD">
      <w:pPr>
        <w:spacing w:line="360" w:lineRule="auto"/>
        <w:rPr>
          <w:rFonts w:ascii="Arial" w:hAnsi="Arial" w:cs="Arial"/>
        </w:rPr>
      </w:pPr>
      <w:r w:rsidRPr="00C362CD">
        <w:rPr>
          <w:rFonts w:ascii="Arial" w:hAnsi="Arial" w:cs="Arial"/>
        </w:rPr>
        <w:t>The founder will serve as Managing Director and retain 100 % ownership during the launch phase, with provision for future equity investment to fund regional expansion</w:t>
      </w:r>
      <w:r w:rsidR="00B8188D">
        <w:rPr>
          <w:rFonts w:ascii="Arial" w:hAnsi="Arial" w:cs="Arial"/>
        </w:rPr>
        <w:t>.</w:t>
      </w:r>
    </w:p>
    <w:p w14:paraId="05A1F3E9" w14:textId="54EE1064" w:rsidR="00767ED4" w:rsidRDefault="00FE0BDB" w:rsidP="00B8188D">
      <w:pPr>
        <w:spacing w:line="360" w:lineRule="auto"/>
        <w:jc w:val="center"/>
        <w:rPr>
          <w:rFonts w:ascii="Arial" w:hAnsi="Arial" w:cs="Arial"/>
        </w:rPr>
      </w:pPr>
      <w:r w:rsidRPr="00FE0BDB">
        <w:rPr>
          <w:rFonts w:ascii="Arial" w:hAnsi="Arial" w:cs="Arial"/>
        </w:rPr>
        <w:t>.</w:t>
      </w:r>
      <w:r w:rsidR="00767ED4">
        <w:rPr>
          <w:rFonts w:ascii="Arial" w:hAnsi="Arial" w:cs="Arial"/>
          <w:b/>
          <w:bCs/>
          <w:noProof/>
          <w:lang w:val="en-GB"/>
          <w14:ligatures w14:val="standardContextual"/>
        </w:rPr>
        <w:drawing>
          <wp:inline distT="0" distB="0" distL="0" distR="0" wp14:anchorId="4C78DA92" wp14:editId="5365E11D">
            <wp:extent cx="3550285" cy="2366726"/>
            <wp:effectExtent l="0" t="0" r="0" b="0"/>
            <wp:docPr id="1314923895" name="Picture 2" descr="A parking lot with cars parked in front of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23895" name="Picture 2" descr="A parking lot with cars parked in front of it&#10;&#10;AI-generated content may be incorrect."/>
                    <pic:cNvPicPr/>
                  </pic:nvPicPr>
                  <pic:blipFill>
                    <a:blip r:embed="rId9"/>
                    <a:stretch>
                      <a:fillRect/>
                    </a:stretch>
                  </pic:blipFill>
                  <pic:spPr>
                    <a:xfrm>
                      <a:off x="0" y="0"/>
                      <a:ext cx="3553708" cy="2369008"/>
                    </a:xfrm>
                    <a:prstGeom prst="rect">
                      <a:avLst/>
                    </a:prstGeom>
                  </pic:spPr>
                </pic:pic>
              </a:graphicData>
            </a:graphic>
          </wp:inline>
        </w:drawing>
      </w:r>
    </w:p>
    <w:p w14:paraId="29C33528" w14:textId="77D2E09A" w:rsidR="00765BEB" w:rsidRPr="004F4F75" w:rsidRDefault="00EC6085" w:rsidP="00EC6085">
      <w:pPr>
        <w:spacing w:line="360" w:lineRule="auto"/>
        <w:jc w:val="center"/>
        <w:rPr>
          <w:rFonts w:ascii="Arial" w:hAnsi="Arial" w:cs="Arial"/>
        </w:rPr>
      </w:pPr>
      <w:r w:rsidRPr="00EC6085">
        <w:rPr>
          <w:rFonts w:ascii="Arial" w:hAnsi="Arial" w:cs="Arial"/>
        </w:rPr>
        <w:t>Figure 2. Proposed 1 STATION site, Sandwell (Source: Author, 2025)</w:t>
      </w:r>
    </w:p>
    <w:p w14:paraId="38607CF3" w14:textId="2E1A7377" w:rsidR="00BD36FB" w:rsidRPr="00BD36FB" w:rsidRDefault="00361BC5" w:rsidP="00361BC5">
      <w:pPr>
        <w:pStyle w:val="Heading2"/>
        <w:rPr>
          <w:lang w:val="en-GB"/>
        </w:rPr>
      </w:pPr>
      <w:bookmarkStart w:id="4" w:name="_Toc210939821"/>
      <w:r>
        <w:rPr>
          <w:lang w:val="en-GB"/>
        </w:rPr>
        <w:t xml:space="preserve">1.3 </w:t>
      </w:r>
      <w:r w:rsidR="00BD36FB" w:rsidRPr="00BD36FB">
        <w:rPr>
          <w:lang w:val="en-GB"/>
        </w:rPr>
        <w:t>Founder and Founding Idea</w:t>
      </w:r>
      <w:bookmarkEnd w:id="4"/>
    </w:p>
    <w:p w14:paraId="68A65AFB" w14:textId="00F3380C" w:rsidR="00BD36FB" w:rsidRPr="00BD36FB" w:rsidRDefault="00BD36FB" w:rsidP="00BD36FB">
      <w:pPr>
        <w:spacing w:line="360" w:lineRule="auto"/>
        <w:rPr>
          <w:rFonts w:ascii="Arial" w:hAnsi="Arial" w:cs="Arial"/>
          <w:lang w:val="en-GB"/>
        </w:rPr>
      </w:pPr>
      <w:r w:rsidRPr="00BD36FB">
        <w:rPr>
          <w:rFonts w:ascii="Arial" w:hAnsi="Arial" w:cs="Arial"/>
          <w:lang w:val="en-GB"/>
        </w:rPr>
        <w:t xml:space="preserve">The concept </w:t>
      </w:r>
      <w:r w:rsidR="00F07D3A" w:rsidRPr="00F07D3A">
        <w:rPr>
          <w:rFonts w:ascii="Arial" w:hAnsi="Arial" w:cs="Arial"/>
          <w:lang w:val="en-GB"/>
        </w:rPr>
        <w:t>was inspired by the founder’s hands-on experience operating a car showroom and a specialist bodywork garage. Daily interaction with motorists revealed how fragmented the UK service landscape is: customers must book separate visits for tyres, MOT, bodywork</w:t>
      </w:r>
      <w:r w:rsidR="00F07D3A">
        <w:rPr>
          <w:rFonts w:ascii="Arial" w:hAnsi="Arial" w:cs="Arial"/>
          <w:lang w:val="en-GB"/>
        </w:rPr>
        <w:t>,</w:t>
      </w:r>
      <w:r w:rsidR="00F07D3A" w:rsidRPr="00F07D3A">
        <w:rPr>
          <w:rFonts w:ascii="Arial" w:hAnsi="Arial" w:cs="Arial"/>
          <w:lang w:val="en-GB"/>
        </w:rPr>
        <w:t xml:space="preserve"> and EV servicing, often losing time and facing inconsistent standards. Observing this gap sparked the idea of a single, fully integrated automotive hub backed by digital convenience (Porter, 2008; Osterwalder and Pigneur, 2010).</w:t>
      </w:r>
    </w:p>
    <w:p w14:paraId="50FD2DD1" w14:textId="45E6D446" w:rsidR="00BD36FB" w:rsidRPr="00BD36FB" w:rsidRDefault="00361BC5" w:rsidP="00361BC5">
      <w:pPr>
        <w:pStyle w:val="Heading2"/>
        <w:rPr>
          <w:lang w:val="en-GB"/>
        </w:rPr>
      </w:pPr>
      <w:bookmarkStart w:id="5" w:name="_Toc210939822"/>
      <w:r>
        <w:rPr>
          <w:lang w:val="en-GB"/>
        </w:rPr>
        <w:t xml:space="preserve">1.4 </w:t>
      </w:r>
      <w:r w:rsidR="00BD36FB" w:rsidRPr="00BD36FB">
        <w:rPr>
          <w:lang w:val="en-GB"/>
        </w:rPr>
        <w:t>Business Objectives and Goals</w:t>
      </w:r>
      <w:bookmarkEnd w:id="5"/>
    </w:p>
    <w:p w14:paraId="7DF4F174" w14:textId="77777777" w:rsidR="00AE0621" w:rsidRPr="00AE0621" w:rsidRDefault="00BD36FB" w:rsidP="00AE0621">
      <w:pPr>
        <w:spacing w:line="360" w:lineRule="auto"/>
        <w:rPr>
          <w:rFonts w:ascii="Arial" w:hAnsi="Arial" w:cs="Arial"/>
          <w:lang w:val="en-GB"/>
        </w:rPr>
      </w:pPr>
      <w:r w:rsidRPr="00BD36FB">
        <w:rPr>
          <w:rFonts w:ascii="Arial" w:hAnsi="Arial" w:cs="Arial"/>
          <w:lang w:val="en-GB"/>
        </w:rPr>
        <w:t xml:space="preserve">1 </w:t>
      </w:r>
      <w:r w:rsidR="00AE0621" w:rsidRPr="00AE0621">
        <w:rPr>
          <w:rFonts w:ascii="Arial" w:hAnsi="Arial" w:cs="Arial"/>
          <w:lang w:val="en-GB"/>
        </w:rPr>
        <w:t>1 STATION’s SMART objectives are:</w:t>
      </w:r>
    </w:p>
    <w:p w14:paraId="38DFED78" w14:textId="77777777" w:rsidR="00AE0621" w:rsidRPr="00AE0621" w:rsidRDefault="00AE0621" w:rsidP="00AE0621">
      <w:pPr>
        <w:pStyle w:val="ListParagraph"/>
        <w:numPr>
          <w:ilvl w:val="0"/>
          <w:numId w:val="20"/>
        </w:numPr>
        <w:spacing w:line="360" w:lineRule="auto"/>
        <w:rPr>
          <w:rFonts w:ascii="Arial" w:hAnsi="Arial" w:cs="Arial"/>
          <w:lang w:val="en-GB"/>
        </w:rPr>
      </w:pPr>
      <w:r w:rsidRPr="00AE0621">
        <w:rPr>
          <w:rFonts w:ascii="Arial" w:hAnsi="Arial" w:cs="Arial"/>
          <w:lang w:val="en-GB"/>
        </w:rPr>
        <w:t>Acquire 1,500 repeat customers within the first 12 months.</w:t>
      </w:r>
    </w:p>
    <w:p w14:paraId="01A5F807" w14:textId="77777777" w:rsidR="00AE0621" w:rsidRPr="00AE0621" w:rsidRDefault="00AE0621" w:rsidP="00AE0621">
      <w:pPr>
        <w:pStyle w:val="ListParagraph"/>
        <w:numPr>
          <w:ilvl w:val="0"/>
          <w:numId w:val="20"/>
        </w:numPr>
        <w:spacing w:line="360" w:lineRule="auto"/>
        <w:rPr>
          <w:rFonts w:ascii="Arial" w:hAnsi="Arial" w:cs="Arial"/>
          <w:lang w:val="en-GB"/>
        </w:rPr>
      </w:pPr>
      <w:r w:rsidRPr="00AE0621">
        <w:rPr>
          <w:rFonts w:ascii="Arial" w:hAnsi="Arial" w:cs="Arial"/>
          <w:lang w:val="en-GB"/>
        </w:rPr>
        <w:t>Capture 5 % of Sandwell’s MOT market (≈ 7,000 tests annually) by Year 2.</w:t>
      </w:r>
    </w:p>
    <w:p w14:paraId="5728D971" w14:textId="77777777" w:rsidR="00AE0621" w:rsidRPr="00AE0621" w:rsidRDefault="00AE0621" w:rsidP="00AE0621">
      <w:pPr>
        <w:pStyle w:val="ListParagraph"/>
        <w:numPr>
          <w:ilvl w:val="0"/>
          <w:numId w:val="20"/>
        </w:numPr>
        <w:spacing w:line="360" w:lineRule="auto"/>
        <w:rPr>
          <w:rFonts w:ascii="Arial" w:hAnsi="Arial" w:cs="Arial"/>
          <w:lang w:val="en-GB"/>
        </w:rPr>
      </w:pPr>
      <w:r w:rsidRPr="00AE0621">
        <w:rPr>
          <w:rFonts w:ascii="Arial" w:hAnsi="Arial" w:cs="Arial"/>
          <w:lang w:val="en-GB"/>
        </w:rPr>
        <w:t>Achieve operational break-even within 18 months of launch.</w:t>
      </w:r>
    </w:p>
    <w:p w14:paraId="552AA708" w14:textId="77777777" w:rsidR="00AE0621" w:rsidRPr="00AE0621" w:rsidRDefault="00AE0621" w:rsidP="00AE0621">
      <w:pPr>
        <w:pStyle w:val="ListParagraph"/>
        <w:numPr>
          <w:ilvl w:val="0"/>
          <w:numId w:val="20"/>
        </w:numPr>
        <w:spacing w:line="360" w:lineRule="auto"/>
        <w:rPr>
          <w:rFonts w:ascii="Arial" w:hAnsi="Arial" w:cs="Arial"/>
          <w:lang w:val="en-GB"/>
        </w:rPr>
      </w:pPr>
      <w:r w:rsidRPr="00AE0621">
        <w:rPr>
          <w:rFonts w:ascii="Arial" w:hAnsi="Arial" w:cs="Arial"/>
          <w:lang w:val="en-GB"/>
        </w:rPr>
        <w:t>Employ 25–30 local staff, including apprentices trained in EV systems.</w:t>
      </w:r>
    </w:p>
    <w:p w14:paraId="6056C12F" w14:textId="77777777" w:rsidR="00AE0621" w:rsidRPr="00AE0621" w:rsidRDefault="00AE0621" w:rsidP="00AE0621">
      <w:pPr>
        <w:pStyle w:val="ListParagraph"/>
        <w:numPr>
          <w:ilvl w:val="0"/>
          <w:numId w:val="20"/>
        </w:numPr>
        <w:spacing w:line="360" w:lineRule="auto"/>
        <w:rPr>
          <w:rFonts w:ascii="Arial" w:hAnsi="Arial" w:cs="Arial"/>
          <w:lang w:val="en-GB"/>
        </w:rPr>
      </w:pPr>
      <w:r w:rsidRPr="00AE0621">
        <w:rPr>
          <w:rFonts w:ascii="Arial" w:hAnsi="Arial" w:cs="Arial"/>
          <w:lang w:val="en-GB"/>
        </w:rPr>
        <w:t>Reach carbon-neutral operations by 2027 through recycling and renewable-energy adoption.</w:t>
      </w:r>
    </w:p>
    <w:p w14:paraId="562FADA6" w14:textId="516D219B" w:rsidR="00C83607" w:rsidRPr="00C83607" w:rsidRDefault="00AE0621" w:rsidP="00C83607">
      <w:pPr>
        <w:pStyle w:val="ListParagraph"/>
        <w:numPr>
          <w:ilvl w:val="0"/>
          <w:numId w:val="20"/>
        </w:numPr>
        <w:spacing w:line="360" w:lineRule="auto"/>
        <w:rPr>
          <w:rFonts w:ascii="Arial" w:hAnsi="Arial" w:cs="Arial"/>
          <w:lang w:val="en-GB"/>
        </w:rPr>
      </w:pPr>
      <w:r w:rsidRPr="00AE0621">
        <w:rPr>
          <w:rFonts w:ascii="Arial" w:hAnsi="Arial" w:cs="Arial"/>
          <w:lang w:val="en-GB"/>
        </w:rPr>
        <w:lastRenderedPageBreak/>
        <w:t>Launch a second regional site by Year 3 following Sandwell’s pilot success.</w:t>
      </w:r>
    </w:p>
    <w:p w14:paraId="5C8A7702" w14:textId="49624805" w:rsidR="009A196C" w:rsidRDefault="00361BC5" w:rsidP="00361BC5">
      <w:pPr>
        <w:pStyle w:val="Heading2"/>
        <w:rPr>
          <w:lang w:val="en-GB"/>
        </w:rPr>
      </w:pPr>
      <w:bookmarkStart w:id="6" w:name="_Toc210939823"/>
      <w:r>
        <w:rPr>
          <w:lang w:val="en-GB"/>
        </w:rPr>
        <w:t xml:space="preserve">1.5 </w:t>
      </w:r>
      <w:r w:rsidR="009A196C" w:rsidRPr="00FB30E8">
        <w:rPr>
          <w:lang w:val="en-GB"/>
        </w:rPr>
        <w:t>Services Offered</w:t>
      </w:r>
      <w:bookmarkEnd w:id="6"/>
    </w:p>
    <w:p w14:paraId="47047ABE" w14:textId="77777777" w:rsidR="009A196C" w:rsidRPr="00767ED4" w:rsidRDefault="009A196C" w:rsidP="009A196C">
      <w:pPr>
        <w:spacing w:line="360" w:lineRule="auto"/>
        <w:rPr>
          <w:rFonts w:ascii="Arial" w:hAnsi="Arial" w:cs="Arial"/>
          <w:lang w:val="en-GB"/>
        </w:rPr>
      </w:pPr>
      <w:r w:rsidRPr="00767ED4">
        <w:rPr>
          <w:rFonts w:ascii="Arial" w:hAnsi="Arial" w:cs="Arial"/>
          <w:lang w:val="en-GB"/>
        </w:rPr>
        <w:t>1 STATION will combine a wide range of automotive services under a single roof, including:</w:t>
      </w:r>
    </w:p>
    <w:p w14:paraId="11E59DE6"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Mechanical and electrical repairs for all vehicle types.</w:t>
      </w:r>
    </w:p>
    <w:p w14:paraId="30E72FFC"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EV and hybrid maintenance using certified, specialised equipment.</w:t>
      </w:r>
    </w:p>
    <w:p w14:paraId="3028AF90"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MOT testing and servicing compliant with DVSA standards.</w:t>
      </w:r>
    </w:p>
    <w:p w14:paraId="23E3F910"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Tyre sales, fitting, and wheel balancing.</w:t>
      </w:r>
    </w:p>
    <w:p w14:paraId="7BD694CE"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Professional car washing and detailing using eco-friendly systems.</w:t>
      </w:r>
    </w:p>
    <w:p w14:paraId="7217934D"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Bodywork and paint services, including accident repair.</w:t>
      </w:r>
    </w:p>
    <w:p w14:paraId="0D7AE38B"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Window tinting and vehicle wrapping.</w:t>
      </w:r>
    </w:p>
    <w:p w14:paraId="3E77F4A2"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Accessories retail shop offering high-quality parts and upgrades.</w:t>
      </w:r>
    </w:p>
    <w:p w14:paraId="1AF0B9FA" w14:textId="77777777" w:rsidR="009A196C" w:rsidRPr="00767ED4" w:rsidRDefault="009A196C" w:rsidP="009A196C">
      <w:pPr>
        <w:spacing w:line="360" w:lineRule="auto"/>
        <w:rPr>
          <w:rFonts w:ascii="Arial" w:hAnsi="Arial" w:cs="Arial"/>
          <w:lang w:val="en-GB"/>
        </w:rPr>
      </w:pPr>
      <w:r w:rsidRPr="00767ED4">
        <w:rPr>
          <w:rFonts w:ascii="Arial" w:hAnsi="Arial" w:cs="Arial"/>
          <w:lang w:val="en-GB"/>
        </w:rPr>
        <w:t>Each service line will operate as an independent profit centre, while bundled service packages and maintenance subscriptions will create steady, recurring income.</w:t>
      </w:r>
    </w:p>
    <w:p w14:paraId="201B7E78" w14:textId="54D940E6" w:rsidR="009A196C" w:rsidRPr="00FB30E8" w:rsidRDefault="00361BC5" w:rsidP="00361BC5">
      <w:pPr>
        <w:pStyle w:val="Heading2"/>
        <w:rPr>
          <w:lang w:val="en-GB"/>
        </w:rPr>
      </w:pPr>
      <w:bookmarkStart w:id="7" w:name="_Toc210939824"/>
      <w:r>
        <w:rPr>
          <w:lang w:val="en-GB"/>
        </w:rPr>
        <w:t xml:space="preserve">1.6 </w:t>
      </w:r>
      <w:r w:rsidR="009A196C" w:rsidRPr="00FB30E8">
        <w:rPr>
          <w:lang w:val="en-GB"/>
        </w:rPr>
        <w:t>Economic and Social Contribution</w:t>
      </w:r>
      <w:bookmarkEnd w:id="7"/>
    </w:p>
    <w:p w14:paraId="15481243" w14:textId="0EE9A56D" w:rsidR="00A2169C" w:rsidRPr="00A2169C" w:rsidRDefault="009A196C" w:rsidP="00A2169C">
      <w:pPr>
        <w:spacing w:line="360" w:lineRule="auto"/>
        <w:rPr>
          <w:rFonts w:ascii="Arial" w:hAnsi="Arial" w:cs="Arial"/>
          <w:lang w:val="en-GB"/>
        </w:rPr>
      </w:pPr>
      <w:r w:rsidRPr="00FB30E8">
        <w:rPr>
          <w:rFonts w:ascii="Arial" w:hAnsi="Arial" w:cs="Arial"/>
          <w:lang w:val="en-GB"/>
        </w:rPr>
        <w:t xml:space="preserve">1 STATION </w:t>
      </w:r>
      <w:r w:rsidR="00A2169C" w:rsidRPr="00A2169C">
        <w:rPr>
          <w:rFonts w:ascii="Arial" w:hAnsi="Arial" w:cs="Arial"/>
          <w:lang w:val="en-GB"/>
        </w:rPr>
        <w:t>is designed to be a community asset as well as a business.</w:t>
      </w:r>
    </w:p>
    <w:p w14:paraId="08F1426D" w14:textId="77777777" w:rsidR="00A2169C" w:rsidRPr="00A2169C" w:rsidRDefault="00A2169C" w:rsidP="00A2169C">
      <w:pPr>
        <w:spacing w:line="360" w:lineRule="auto"/>
        <w:rPr>
          <w:rFonts w:ascii="Arial" w:hAnsi="Arial" w:cs="Arial"/>
          <w:lang w:val="en-GB"/>
        </w:rPr>
      </w:pPr>
      <w:r w:rsidRPr="00A2169C">
        <w:rPr>
          <w:rFonts w:ascii="Arial" w:hAnsi="Arial" w:cs="Arial"/>
          <w:lang w:val="en-GB"/>
        </w:rPr>
        <w:t>The company will create 25–30 local jobs across technical, customer service, and digital roles, with opportunities for apprenticeships and continuous skills training—especially in emerging EV technologies. Partnerships with local colleges and suppliers will help to upskill the workforce and retain value within the West Midlands economy (ONS, 2024; Sandwell Council, 2024).</w:t>
      </w:r>
    </w:p>
    <w:p w14:paraId="08CD8E11" w14:textId="2A8DF7E9" w:rsidR="009A196C" w:rsidRPr="00FB30E8" w:rsidRDefault="00A2169C" w:rsidP="00A2169C">
      <w:pPr>
        <w:spacing w:line="360" w:lineRule="auto"/>
        <w:rPr>
          <w:rFonts w:ascii="Arial" w:hAnsi="Arial" w:cs="Arial"/>
          <w:lang w:val="en-GB"/>
        </w:rPr>
      </w:pPr>
      <w:r w:rsidRPr="00A2169C">
        <w:rPr>
          <w:rFonts w:ascii="Arial" w:hAnsi="Arial" w:cs="Arial"/>
          <w:lang w:val="en-GB"/>
        </w:rPr>
        <w:t>Environmentally, the business will adopt eco-friendly practices such as water-recycling wash systems and safe recycling of automotive fluids and parts, supporting both local sustainability goals and the UK’s wider net-zero transition (BEIS, 2023)</w:t>
      </w:r>
      <w:r w:rsidR="009A196C" w:rsidRPr="00FB30E8">
        <w:rPr>
          <w:rFonts w:ascii="Arial" w:hAnsi="Arial" w:cs="Arial"/>
          <w:lang w:val="en-GB"/>
        </w:rPr>
        <w:t>.</w:t>
      </w:r>
    </w:p>
    <w:p w14:paraId="50CFCC6F" w14:textId="1FE352DE" w:rsidR="009A196C" w:rsidRPr="00FB30E8" w:rsidRDefault="00361BC5" w:rsidP="00361BC5">
      <w:pPr>
        <w:pStyle w:val="Heading2"/>
        <w:rPr>
          <w:lang w:val="en-GB"/>
        </w:rPr>
      </w:pPr>
      <w:bookmarkStart w:id="8" w:name="_Toc210939825"/>
      <w:r>
        <w:rPr>
          <w:lang w:val="en-GB"/>
        </w:rPr>
        <w:t xml:space="preserve">1.7 </w:t>
      </w:r>
      <w:r w:rsidR="009A196C" w:rsidRPr="00FB30E8">
        <w:rPr>
          <w:lang w:val="en-GB"/>
        </w:rPr>
        <w:t>Revenue and Growth Potential</w:t>
      </w:r>
      <w:bookmarkEnd w:id="8"/>
    </w:p>
    <w:p w14:paraId="4EE2A93F" w14:textId="77777777" w:rsidR="009A196C" w:rsidRPr="00FB30E8" w:rsidRDefault="009A196C" w:rsidP="009A196C">
      <w:pPr>
        <w:spacing w:line="360" w:lineRule="auto"/>
        <w:rPr>
          <w:rFonts w:ascii="Arial" w:hAnsi="Arial" w:cs="Arial"/>
          <w:lang w:val="en-GB"/>
        </w:rPr>
      </w:pPr>
      <w:r w:rsidRPr="00FB30E8">
        <w:rPr>
          <w:rFonts w:ascii="Arial" w:hAnsi="Arial" w:cs="Arial"/>
          <w:lang w:val="en-GB"/>
        </w:rPr>
        <w:t>By consolidating essential vehicle services under one brand, 1 STATION will generate multiple revenue streams: MOT fees, repair and maintenance charges, detailing packages, tyre and accessory sales, and premium EV servicing. Cross-selling and loyalty programmes will increase customer lifetime value, while a companion mobile and web app will drive bookings, enhance customer relationships, and provide a platform for future digital services.</w:t>
      </w:r>
    </w:p>
    <w:p w14:paraId="31529E16" w14:textId="77777777" w:rsidR="00C83607" w:rsidRDefault="00C83607" w:rsidP="009A196C">
      <w:pPr>
        <w:spacing w:line="360" w:lineRule="auto"/>
        <w:rPr>
          <w:rFonts w:ascii="Arial" w:hAnsi="Arial" w:cs="Arial"/>
          <w:lang w:val="en-GB"/>
        </w:rPr>
      </w:pPr>
    </w:p>
    <w:p w14:paraId="6FFAFCD3" w14:textId="77777777" w:rsidR="00C83607" w:rsidRDefault="00C83607" w:rsidP="009A196C">
      <w:pPr>
        <w:spacing w:line="360" w:lineRule="auto"/>
        <w:rPr>
          <w:rFonts w:ascii="Arial" w:hAnsi="Arial" w:cs="Arial"/>
          <w:lang w:val="en-GB"/>
        </w:rPr>
      </w:pPr>
    </w:p>
    <w:p w14:paraId="53D67D9E" w14:textId="77777777" w:rsidR="00C83607" w:rsidRDefault="00C83607" w:rsidP="009A196C">
      <w:pPr>
        <w:spacing w:line="360" w:lineRule="auto"/>
        <w:rPr>
          <w:rFonts w:ascii="Arial" w:hAnsi="Arial" w:cs="Arial"/>
          <w:lang w:val="en-GB"/>
        </w:rPr>
      </w:pPr>
    </w:p>
    <w:p w14:paraId="6883B771" w14:textId="0AC21CC6" w:rsidR="009A196C" w:rsidRPr="00FB30E8" w:rsidRDefault="009A196C" w:rsidP="009A196C">
      <w:pPr>
        <w:spacing w:line="360" w:lineRule="auto"/>
        <w:rPr>
          <w:rFonts w:ascii="Arial" w:hAnsi="Arial" w:cs="Arial"/>
          <w:lang w:val="en-GB"/>
        </w:rPr>
      </w:pPr>
      <w:r w:rsidRPr="00FB30E8">
        <w:rPr>
          <w:rFonts w:ascii="Arial" w:hAnsi="Arial" w:cs="Arial"/>
          <w:lang w:val="en-GB"/>
        </w:rPr>
        <w:t>The long-term vision is to replicate the model across other high-demand UK regions, building a recognised national brand that stands for quality, convenience, and innovation.</w:t>
      </w:r>
    </w:p>
    <w:p w14:paraId="4BBD735F" w14:textId="7B702DF9" w:rsidR="00840FBD" w:rsidRPr="00840FBD" w:rsidRDefault="00840FBD" w:rsidP="006563D4">
      <w:pPr>
        <w:pStyle w:val="Heading1"/>
        <w:rPr>
          <w:lang w:val="en-GB"/>
        </w:rPr>
      </w:pPr>
      <w:bookmarkStart w:id="9" w:name="_Toc210939826"/>
      <w:r w:rsidRPr="00840FBD">
        <w:rPr>
          <w:lang w:val="en-GB"/>
        </w:rPr>
        <w:t>2. Methodology</w:t>
      </w:r>
      <w:bookmarkEnd w:id="9"/>
      <w:r w:rsidRPr="00840FBD">
        <w:rPr>
          <w:lang w:val="en-GB"/>
        </w:rPr>
        <w:t xml:space="preserve"> </w:t>
      </w:r>
    </w:p>
    <w:p w14:paraId="1D82245C" w14:textId="2E2AF9AA" w:rsidR="00840FBD" w:rsidRPr="00840FBD" w:rsidRDefault="00840FBD" w:rsidP="00765BEB">
      <w:pPr>
        <w:spacing w:line="360" w:lineRule="auto"/>
        <w:rPr>
          <w:rFonts w:ascii="Arial" w:hAnsi="Arial" w:cs="Arial"/>
          <w:lang w:val="en-GB"/>
        </w:rPr>
      </w:pPr>
      <w:r w:rsidRPr="00840FBD">
        <w:rPr>
          <w:rFonts w:ascii="Arial" w:hAnsi="Arial" w:cs="Arial"/>
          <w:lang w:val="en-GB"/>
        </w:rPr>
        <w:t>This study adopts a desk-based secondary research methodology, consistent with the supervisor’s guidance and suitable for assessing the commercial feasibility of 1 STATION Ltd, a multi-service automotive hub in Sandwell. Relying exclusively on secondary data ensures the project is both cost-efficient and evidence-based, grounded in credible academic, industry, and government sources.</w:t>
      </w:r>
    </w:p>
    <w:p w14:paraId="7F1AEC29" w14:textId="31AE414A" w:rsidR="00840FBD" w:rsidRPr="00840FBD" w:rsidRDefault="00840FBD" w:rsidP="00765BEB">
      <w:pPr>
        <w:pStyle w:val="Heading2"/>
        <w:rPr>
          <w:lang w:val="en-GB"/>
        </w:rPr>
      </w:pPr>
      <w:bookmarkStart w:id="10" w:name="_Toc210939827"/>
      <w:r w:rsidRPr="00840FBD">
        <w:rPr>
          <w:lang w:val="en-GB"/>
        </w:rPr>
        <w:t>2.1 Research Design</w:t>
      </w:r>
      <w:bookmarkEnd w:id="10"/>
    </w:p>
    <w:p w14:paraId="46E2E66B" w14:textId="77777777" w:rsidR="00840FBD" w:rsidRPr="00840FBD" w:rsidRDefault="00840FBD" w:rsidP="00840FBD">
      <w:pPr>
        <w:spacing w:line="360" w:lineRule="auto"/>
        <w:rPr>
          <w:rFonts w:ascii="Arial" w:hAnsi="Arial" w:cs="Arial"/>
          <w:lang w:val="en-GB"/>
        </w:rPr>
      </w:pPr>
      <w:r w:rsidRPr="00840FBD">
        <w:rPr>
          <w:rFonts w:ascii="Arial" w:hAnsi="Arial" w:cs="Arial"/>
          <w:lang w:val="en-GB"/>
        </w:rPr>
        <w:t>The research follows a mixed-methods desk approach, combining qualitative and quantitative data analysis.</w:t>
      </w:r>
    </w:p>
    <w:p w14:paraId="09AE64BA" w14:textId="77777777" w:rsidR="00840FBD" w:rsidRPr="00840FBD" w:rsidRDefault="00840FBD" w:rsidP="00840FBD">
      <w:pPr>
        <w:spacing w:line="360" w:lineRule="auto"/>
        <w:rPr>
          <w:rFonts w:ascii="Arial" w:hAnsi="Arial" w:cs="Arial"/>
          <w:lang w:val="en-GB"/>
        </w:rPr>
      </w:pPr>
      <w:r w:rsidRPr="00840FBD">
        <w:rPr>
          <w:rFonts w:ascii="Arial" w:hAnsi="Arial" w:cs="Arial"/>
          <w:lang w:val="en-GB"/>
        </w:rPr>
        <w:t>The qualitative component reviews academic models and conceptual frameworks to define the strategic rationale for 1 STATION.</w:t>
      </w:r>
    </w:p>
    <w:p w14:paraId="025ADC7C" w14:textId="77777777" w:rsidR="00840FBD" w:rsidRPr="00840FBD" w:rsidRDefault="00840FBD" w:rsidP="00840FBD">
      <w:pPr>
        <w:spacing w:line="360" w:lineRule="auto"/>
        <w:rPr>
          <w:rFonts w:ascii="Arial" w:hAnsi="Arial" w:cs="Arial"/>
          <w:lang w:val="en-GB"/>
        </w:rPr>
      </w:pPr>
      <w:r w:rsidRPr="00840FBD">
        <w:rPr>
          <w:rFonts w:ascii="Arial" w:hAnsi="Arial" w:cs="Arial"/>
          <w:lang w:val="en-GB"/>
        </w:rPr>
        <w:t>The quantitative aspect interprets numerical data from industry reports, official statistics, and market studies to estimate market size, demand, and competition.</w:t>
      </w:r>
    </w:p>
    <w:p w14:paraId="2CF37EB7" w14:textId="232F34C5" w:rsidR="00840FBD" w:rsidRPr="00840FBD" w:rsidRDefault="00840FBD" w:rsidP="006563D4">
      <w:pPr>
        <w:spacing w:line="360" w:lineRule="auto"/>
        <w:rPr>
          <w:rFonts w:ascii="Arial" w:hAnsi="Arial" w:cs="Arial"/>
          <w:lang w:val="en-GB"/>
        </w:rPr>
      </w:pPr>
      <w:r w:rsidRPr="00840FBD">
        <w:rPr>
          <w:rFonts w:ascii="Arial" w:hAnsi="Arial" w:cs="Arial"/>
          <w:lang w:val="en-GB"/>
        </w:rPr>
        <w:t>Multiple secondary sources are used to achieve triangulation—enhancing validity and reliability (Denzin, 2012).</w:t>
      </w:r>
    </w:p>
    <w:p w14:paraId="03DF7CA3" w14:textId="5A36A7E4" w:rsidR="00840FBD" w:rsidRPr="00840FBD" w:rsidRDefault="00840FBD" w:rsidP="006563D4">
      <w:pPr>
        <w:pStyle w:val="Heading2"/>
        <w:rPr>
          <w:lang w:val="en-GB"/>
        </w:rPr>
      </w:pPr>
      <w:bookmarkStart w:id="11" w:name="_Toc210939828"/>
      <w:r w:rsidRPr="00840FBD">
        <w:rPr>
          <w:lang w:val="en-GB"/>
        </w:rPr>
        <w:t>2.2 Data Collection</w:t>
      </w:r>
      <w:bookmarkEnd w:id="11"/>
    </w:p>
    <w:p w14:paraId="2FBD37A2" w14:textId="77777777" w:rsidR="00840FBD" w:rsidRPr="00C34862" w:rsidRDefault="00840FBD" w:rsidP="00840FBD">
      <w:pPr>
        <w:spacing w:line="360" w:lineRule="auto"/>
        <w:rPr>
          <w:rFonts w:ascii="Arial" w:hAnsi="Arial" w:cs="Arial"/>
          <w:b/>
          <w:bCs/>
          <w:lang w:val="en-GB"/>
        </w:rPr>
      </w:pPr>
      <w:r w:rsidRPr="00C34862">
        <w:rPr>
          <w:rFonts w:ascii="Arial" w:hAnsi="Arial" w:cs="Arial"/>
          <w:b/>
          <w:bCs/>
          <w:lang w:val="en-GB"/>
        </w:rPr>
        <w:t>Academic Literature:</w:t>
      </w:r>
    </w:p>
    <w:p w14:paraId="2C92B4E3" w14:textId="114B7AA8" w:rsidR="00840FBD" w:rsidRPr="00840FBD" w:rsidRDefault="00840FBD" w:rsidP="00C34862">
      <w:pPr>
        <w:spacing w:line="360" w:lineRule="auto"/>
        <w:rPr>
          <w:rFonts w:ascii="Arial" w:hAnsi="Arial" w:cs="Arial"/>
          <w:lang w:val="en-GB"/>
        </w:rPr>
      </w:pPr>
      <w:r w:rsidRPr="00840FBD">
        <w:rPr>
          <w:rFonts w:ascii="Arial" w:hAnsi="Arial" w:cs="Arial"/>
          <w:lang w:val="en-GB"/>
        </w:rPr>
        <w:t>Key theoretical models underpin the strategic and operational framework:</w:t>
      </w:r>
    </w:p>
    <w:p w14:paraId="051BD614" w14:textId="5CD812D5" w:rsidR="00840FBD" w:rsidRPr="00840FBD" w:rsidRDefault="00840FBD" w:rsidP="00C34862">
      <w:pPr>
        <w:spacing w:line="360" w:lineRule="auto"/>
        <w:rPr>
          <w:rFonts w:ascii="Arial" w:hAnsi="Arial" w:cs="Arial"/>
          <w:lang w:val="en-GB"/>
        </w:rPr>
      </w:pPr>
      <w:r w:rsidRPr="00840FBD">
        <w:rPr>
          <w:rFonts w:ascii="Arial" w:hAnsi="Arial" w:cs="Arial"/>
          <w:lang w:val="en-GB"/>
        </w:rPr>
        <w:t>Resource-Based View (Barney, 1991) – identifies internal capabilities that generate sustained competitive advantage.</w:t>
      </w:r>
    </w:p>
    <w:p w14:paraId="7F66CC14" w14:textId="5BDEA7AA" w:rsidR="00840FBD" w:rsidRPr="00840FBD" w:rsidRDefault="00840FBD" w:rsidP="00C34862">
      <w:pPr>
        <w:spacing w:line="360" w:lineRule="auto"/>
        <w:rPr>
          <w:rFonts w:ascii="Arial" w:hAnsi="Arial" w:cs="Arial"/>
          <w:lang w:val="en-GB"/>
        </w:rPr>
      </w:pPr>
      <w:r w:rsidRPr="00840FBD">
        <w:rPr>
          <w:rFonts w:ascii="Arial" w:hAnsi="Arial" w:cs="Arial"/>
          <w:lang w:val="en-GB"/>
        </w:rPr>
        <w:t>Business Model Canvas (Osterwalder and Pigneur, 2010) – structures value creation and delivery for the proposed hub.</w:t>
      </w:r>
    </w:p>
    <w:p w14:paraId="68F9EFE9" w14:textId="77777777" w:rsidR="00C34862" w:rsidRDefault="00840FBD" w:rsidP="00C34862">
      <w:pPr>
        <w:spacing w:line="360" w:lineRule="auto"/>
        <w:rPr>
          <w:rFonts w:ascii="Arial" w:hAnsi="Arial" w:cs="Arial"/>
          <w:lang w:val="en-GB"/>
        </w:rPr>
      </w:pPr>
      <w:r w:rsidRPr="00840FBD">
        <w:rPr>
          <w:rFonts w:ascii="Arial" w:hAnsi="Arial" w:cs="Arial"/>
          <w:lang w:val="en-GB"/>
        </w:rPr>
        <w:t>Porter’s Five Forces (Porter, 2008) – assesses market competitiveness.</w:t>
      </w:r>
    </w:p>
    <w:p w14:paraId="4A943943" w14:textId="07F8A5B6" w:rsidR="00840FBD" w:rsidRPr="00840FBD" w:rsidRDefault="00840FBD" w:rsidP="00C34862">
      <w:pPr>
        <w:spacing w:line="360" w:lineRule="auto"/>
        <w:rPr>
          <w:rFonts w:ascii="Arial" w:hAnsi="Arial" w:cs="Arial"/>
          <w:lang w:val="en-GB"/>
        </w:rPr>
      </w:pPr>
      <w:r w:rsidRPr="00840FBD">
        <w:rPr>
          <w:rFonts w:ascii="Arial" w:hAnsi="Arial" w:cs="Arial"/>
          <w:lang w:val="en-GB"/>
        </w:rPr>
        <w:t>Service quality frameworks (Mukherjee and Nath, 2003; Kuo et al., 2017) – guide customer satisfaction and service integration analysis.</w:t>
      </w:r>
    </w:p>
    <w:p w14:paraId="33659C67" w14:textId="77777777" w:rsidR="00840FBD" w:rsidRPr="00C34862" w:rsidRDefault="00840FBD" w:rsidP="00840FBD">
      <w:pPr>
        <w:spacing w:line="360" w:lineRule="auto"/>
        <w:rPr>
          <w:rFonts w:ascii="Arial" w:hAnsi="Arial" w:cs="Arial"/>
          <w:b/>
          <w:bCs/>
          <w:lang w:val="en-GB"/>
        </w:rPr>
      </w:pPr>
      <w:r w:rsidRPr="00C34862">
        <w:rPr>
          <w:rFonts w:ascii="Arial" w:hAnsi="Arial" w:cs="Arial"/>
          <w:b/>
          <w:bCs/>
          <w:lang w:val="en-GB"/>
        </w:rPr>
        <w:t>Industry and Market Reports:</w:t>
      </w:r>
    </w:p>
    <w:p w14:paraId="67D6914A" w14:textId="0D9F47B3" w:rsidR="00840FBD" w:rsidRPr="00840FBD" w:rsidRDefault="00840FBD" w:rsidP="00C34862">
      <w:pPr>
        <w:spacing w:line="360" w:lineRule="auto"/>
        <w:rPr>
          <w:rFonts w:ascii="Arial" w:hAnsi="Arial" w:cs="Arial"/>
          <w:lang w:val="en-GB"/>
        </w:rPr>
      </w:pPr>
      <w:r w:rsidRPr="00840FBD">
        <w:rPr>
          <w:rFonts w:ascii="Arial" w:hAnsi="Arial" w:cs="Arial"/>
          <w:lang w:val="en-GB"/>
        </w:rPr>
        <w:lastRenderedPageBreak/>
        <w:t>Quantitative data will be drawn from:</w:t>
      </w:r>
    </w:p>
    <w:p w14:paraId="20AC0C1F" w14:textId="60D82885" w:rsidR="00840FBD" w:rsidRPr="00840FBD" w:rsidRDefault="00840FBD" w:rsidP="00C34862">
      <w:pPr>
        <w:spacing w:line="360" w:lineRule="auto"/>
        <w:rPr>
          <w:rFonts w:ascii="Arial" w:hAnsi="Arial" w:cs="Arial"/>
          <w:lang w:val="en-GB"/>
        </w:rPr>
      </w:pPr>
      <w:r w:rsidRPr="00840FBD">
        <w:rPr>
          <w:rFonts w:ascii="Arial" w:hAnsi="Arial" w:cs="Arial"/>
          <w:lang w:val="en-GB"/>
        </w:rPr>
        <w:t>IBISWorld (2024) – UK motor vehicle maintenance and repair market (£34.1bn).</w:t>
      </w:r>
    </w:p>
    <w:p w14:paraId="2696A462" w14:textId="72D7210E" w:rsidR="00840FBD" w:rsidRDefault="00840FBD" w:rsidP="00C34862">
      <w:pPr>
        <w:spacing w:line="360" w:lineRule="auto"/>
        <w:rPr>
          <w:rFonts w:ascii="Arial" w:hAnsi="Arial" w:cs="Arial"/>
          <w:lang w:val="en-GB"/>
        </w:rPr>
      </w:pPr>
      <w:r w:rsidRPr="00840FBD">
        <w:rPr>
          <w:rFonts w:ascii="Arial" w:hAnsi="Arial" w:cs="Arial"/>
          <w:lang w:val="en-GB"/>
        </w:rPr>
        <w:t>Mintel (2024) – consumer preferences and convenience trends.</w:t>
      </w:r>
    </w:p>
    <w:p w14:paraId="4BE636E7" w14:textId="77777777" w:rsidR="009249E8" w:rsidRDefault="009249E8" w:rsidP="00C34862">
      <w:pPr>
        <w:spacing w:line="360" w:lineRule="auto"/>
        <w:rPr>
          <w:rFonts w:ascii="Arial" w:hAnsi="Arial" w:cs="Arial"/>
          <w:lang w:val="en-GB"/>
        </w:rPr>
      </w:pPr>
    </w:p>
    <w:p w14:paraId="617C44F2" w14:textId="77777777" w:rsidR="009249E8" w:rsidRPr="00840FBD" w:rsidRDefault="009249E8" w:rsidP="00C34862">
      <w:pPr>
        <w:spacing w:line="360" w:lineRule="auto"/>
        <w:rPr>
          <w:rFonts w:ascii="Arial" w:hAnsi="Arial" w:cs="Arial"/>
          <w:lang w:val="en-GB"/>
        </w:rPr>
      </w:pPr>
    </w:p>
    <w:p w14:paraId="64C783A9" w14:textId="4ECFE891" w:rsidR="00840FBD" w:rsidRPr="00840FBD" w:rsidRDefault="00840FBD" w:rsidP="00C34862">
      <w:pPr>
        <w:spacing w:line="360" w:lineRule="auto"/>
        <w:rPr>
          <w:rFonts w:ascii="Arial" w:hAnsi="Arial" w:cs="Arial"/>
          <w:lang w:val="en-GB"/>
        </w:rPr>
      </w:pPr>
      <w:r w:rsidRPr="00840FBD">
        <w:rPr>
          <w:rFonts w:ascii="Arial" w:hAnsi="Arial" w:cs="Arial"/>
          <w:lang w:val="en-GB"/>
        </w:rPr>
        <w:t>Grand View Research (2024) – automotive aftermarket growth forecasts.</w:t>
      </w:r>
    </w:p>
    <w:p w14:paraId="4CAB7BB5" w14:textId="6391AE6E" w:rsidR="00840FBD" w:rsidRPr="00840FBD" w:rsidRDefault="00840FBD" w:rsidP="00C34862">
      <w:pPr>
        <w:spacing w:line="360" w:lineRule="auto"/>
        <w:rPr>
          <w:rFonts w:ascii="Arial" w:hAnsi="Arial" w:cs="Arial"/>
          <w:lang w:val="en-GB"/>
        </w:rPr>
      </w:pPr>
      <w:r w:rsidRPr="00840FBD">
        <w:rPr>
          <w:rFonts w:ascii="Arial" w:hAnsi="Arial" w:cs="Arial"/>
          <w:lang w:val="en-GB"/>
        </w:rPr>
        <w:t>Statista (2024) – digital booking and car ownership statistics.</w:t>
      </w:r>
    </w:p>
    <w:p w14:paraId="7C30BCEF" w14:textId="77FDA739" w:rsidR="00840FBD" w:rsidRPr="00840FBD" w:rsidRDefault="00840FBD" w:rsidP="00C34862">
      <w:pPr>
        <w:spacing w:line="360" w:lineRule="auto"/>
        <w:rPr>
          <w:rFonts w:ascii="Arial" w:hAnsi="Arial" w:cs="Arial"/>
          <w:lang w:val="en-GB"/>
        </w:rPr>
      </w:pPr>
      <w:r w:rsidRPr="00840FBD">
        <w:rPr>
          <w:rFonts w:ascii="Arial" w:hAnsi="Arial" w:cs="Arial"/>
          <w:lang w:val="en-GB"/>
        </w:rPr>
        <w:t>SMMT (2024) – EV and hybrid registration trends.</w:t>
      </w:r>
    </w:p>
    <w:p w14:paraId="74CD21D2" w14:textId="77777777" w:rsidR="00840FBD" w:rsidRPr="00840FBD" w:rsidRDefault="00840FBD" w:rsidP="00840FBD">
      <w:pPr>
        <w:spacing w:line="360" w:lineRule="auto"/>
        <w:rPr>
          <w:rFonts w:ascii="Arial" w:hAnsi="Arial" w:cs="Arial"/>
          <w:lang w:val="en-GB"/>
        </w:rPr>
      </w:pPr>
      <w:r w:rsidRPr="00840FBD">
        <w:rPr>
          <w:rFonts w:ascii="Arial" w:hAnsi="Arial" w:cs="Arial"/>
          <w:lang w:val="en-GB"/>
        </w:rPr>
        <w:t>Government and Policy Sources:</w:t>
      </w:r>
    </w:p>
    <w:p w14:paraId="5624DB51" w14:textId="77389DB3" w:rsidR="00840FBD" w:rsidRPr="00840FBD" w:rsidRDefault="00840FBD" w:rsidP="00C34862">
      <w:pPr>
        <w:spacing w:line="360" w:lineRule="auto"/>
        <w:rPr>
          <w:rFonts w:ascii="Arial" w:hAnsi="Arial" w:cs="Arial"/>
          <w:lang w:val="en-GB"/>
        </w:rPr>
      </w:pPr>
      <w:r w:rsidRPr="00840FBD">
        <w:rPr>
          <w:rFonts w:ascii="Arial" w:hAnsi="Arial" w:cs="Arial"/>
          <w:lang w:val="en-GB"/>
        </w:rPr>
        <w:t>Secondary data will also be gathered from:</w:t>
      </w:r>
    </w:p>
    <w:p w14:paraId="68A243FE" w14:textId="6C8F1235" w:rsidR="00840FBD" w:rsidRPr="00840FBD" w:rsidRDefault="00840FBD" w:rsidP="00C34862">
      <w:pPr>
        <w:spacing w:line="360" w:lineRule="auto"/>
        <w:rPr>
          <w:rFonts w:ascii="Arial" w:hAnsi="Arial" w:cs="Arial"/>
          <w:lang w:val="en-GB"/>
        </w:rPr>
      </w:pPr>
      <w:r w:rsidRPr="00840FBD">
        <w:rPr>
          <w:rFonts w:ascii="Arial" w:hAnsi="Arial" w:cs="Arial"/>
          <w:lang w:val="en-GB"/>
        </w:rPr>
        <w:t>Department for Transport (2023) – MOT regulations and vehicle ownership trends.</w:t>
      </w:r>
    </w:p>
    <w:p w14:paraId="7B97024A" w14:textId="608674F9" w:rsidR="00840FBD" w:rsidRPr="00840FBD" w:rsidRDefault="00840FBD" w:rsidP="00C34862">
      <w:pPr>
        <w:spacing w:line="360" w:lineRule="auto"/>
        <w:rPr>
          <w:rFonts w:ascii="Arial" w:hAnsi="Arial" w:cs="Arial"/>
          <w:lang w:val="en-GB"/>
        </w:rPr>
      </w:pPr>
      <w:r w:rsidRPr="00840FBD">
        <w:rPr>
          <w:rFonts w:ascii="Arial" w:hAnsi="Arial" w:cs="Arial"/>
          <w:lang w:val="en-GB"/>
        </w:rPr>
        <w:t>ONS (2024) – household car expenditure and transport data.</w:t>
      </w:r>
    </w:p>
    <w:p w14:paraId="09BB10F3" w14:textId="20FE49D2" w:rsidR="00840FBD" w:rsidRPr="00840FBD" w:rsidRDefault="00840FBD" w:rsidP="00840FBD">
      <w:pPr>
        <w:spacing w:line="360" w:lineRule="auto"/>
        <w:rPr>
          <w:rFonts w:ascii="Arial" w:hAnsi="Arial" w:cs="Arial"/>
          <w:lang w:val="en-GB"/>
        </w:rPr>
      </w:pPr>
      <w:r w:rsidRPr="00840FBD">
        <w:rPr>
          <w:rFonts w:ascii="Arial" w:hAnsi="Arial" w:cs="Arial"/>
          <w:lang w:val="en-GB"/>
        </w:rPr>
        <w:t>Sandwell Council (2024) – regional demographics and economic priorities.</w:t>
      </w:r>
    </w:p>
    <w:p w14:paraId="6885FA57" w14:textId="77777777" w:rsidR="00840FBD" w:rsidRPr="00C34862" w:rsidRDefault="00840FBD" w:rsidP="00840FBD">
      <w:pPr>
        <w:spacing w:line="360" w:lineRule="auto"/>
        <w:rPr>
          <w:rFonts w:ascii="Arial" w:hAnsi="Arial" w:cs="Arial"/>
          <w:b/>
          <w:bCs/>
          <w:lang w:val="en-GB"/>
        </w:rPr>
      </w:pPr>
      <w:r w:rsidRPr="00C34862">
        <w:rPr>
          <w:rFonts w:ascii="Arial" w:hAnsi="Arial" w:cs="Arial"/>
          <w:b/>
          <w:bCs/>
          <w:lang w:val="en-GB"/>
        </w:rPr>
        <w:t>Competitor Benchmarking:</w:t>
      </w:r>
    </w:p>
    <w:p w14:paraId="4DB8340A" w14:textId="7661BC09" w:rsidR="00840FBD" w:rsidRPr="00840FBD" w:rsidRDefault="00840FBD" w:rsidP="00840FBD">
      <w:pPr>
        <w:spacing w:line="360" w:lineRule="auto"/>
        <w:rPr>
          <w:rFonts w:ascii="Arial" w:hAnsi="Arial" w:cs="Arial"/>
          <w:lang w:val="en-GB"/>
        </w:rPr>
      </w:pPr>
      <w:r w:rsidRPr="00840FBD">
        <w:rPr>
          <w:rFonts w:ascii="Arial" w:hAnsi="Arial" w:cs="Arial"/>
          <w:lang w:val="en-GB"/>
        </w:rPr>
        <w:t>Comparative analysis will assess leading providers such as Kwik Fit, Halfords, and independent garages using published reports and trade data to benchmark pricing, customer base, and service scope.</w:t>
      </w:r>
    </w:p>
    <w:p w14:paraId="62844620" w14:textId="27CBC140" w:rsidR="00840FBD" w:rsidRPr="00840FBD" w:rsidRDefault="00840FBD" w:rsidP="00840FBD">
      <w:pPr>
        <w:pStyle w:val="Heading2"/>
        <w:rPr>
          <w:lang w:val="en-GB"/>
        </w:rPr>
      </w:pPr>
      <w:bookmarkStart w:id="12" w:name="_Toc210939829"/>
      <w:r w:rsidRPr="00840FBD">
        <w:rPr>
          <w:lang w:val="en-GB"/>
        </w:rPr>
        <w:t>2.3 Data Analysis</w:t>
      </w:r>
      <w:bookmarkEnd w:id="12"/>
    </w:p>
    <w:p w14:paraId="07831EDB" w14:textId="77777777" w:rsidR="00840FBD" w:rsidRPr="00840FBD" w:rsidRDefault="00840FBD" w:rsidP="00840FBD">
      <w:pPr>
        <w:spacing w:line="360" w:lineRule="auto"/>
        <w:rPr>
          <w:rFonts w:ascii="Arial" w:hAnsi="Arial" w:cs="Arial"/>
          <w:lang w:val="en-GB"/>
        </w:rPr>
      </w:pPr>
      <w:r w:rsidRPr="00840FBD">
        <w:rPr>
          <w:rFonts w:ascii="Arial" w:hAnsi="Arial" w:cs="Arial"/>
          <w:lang w:val="en-GB"/>
        </w:rPr>
        <w:t>Thematic analysis (Braun and Clarke, 2006) will identify recurring themes in literature, while quantitative data from industry and policy reports will be used to estimate demand, project viability, and regional service gaps.</w:t>
      </w:r>
    </w:p>
    <w:p w14:paraId="29428270" w14:textId="6EBD9B08" w:rsidR="00A130EE" w:rsidRPr="009249E8" w:rsidRDefault="00840FBD" w:rsidP="009249E8">
      <w:pPr>
        <w:spacing w:line="360" w:lineRule="auto"/>
        <w:rPr>
          <w:rFonts w:ascii="Arial" w:hAnsi="Arial" w:cs="Arial"/>
          <w:lang w:val="en-GB"/>
        </w:rPr>
      </w:pPr>
      <w:r w:rsidRPr="00840FBD">
        <w:rPr>
          <w:rFonts w:ascii="Arial" w:hAnsi="Arial" w:cs="Arial"/>
          <w:lang w:val="en-GB"/>
        </w:rPr>
        <w:t>This integrated approach ensures a multi-dimensional understanding of market conditions, competitive positioning, and strategic opportunity for 1 STATION Ltd.</w:t>
      </w:r>
    </w:p>
    <w:p w14:paraId="22F3C507" w14:textId="6A12C224" w:rsidR="00532CBC" w:rsidRPr="00532CBC" w:rsidRDefault="00532CBC" w:rsidP="00A130EE">
      <w:pPr>
        <w:pStyle w:val="Heading1"/>
        <w:rPr>
          <w:lang w:val="en-GB"/>
        </w:rPr>
      </w:pPr>
      <w:bookmarkStart w:id="13" w:name="_Toc210939830"/>
      <w:r w:rsidRPr="00532CBC">
        <w:rPr>
          <w:lang w:val="en-GB"/>
        </w:rPr>
        <w:t>3. Market Research and Validation</w:t>
      </w:r>
      <w:bookmarkEnd w:id="13"/>
    </w:p>
    <w:p w14:paraId="7CDA5F1A" w14:textId="77777777" w:rsidR="00532CBC" w:rsidRPr="00532CBC" w:rsidRDefault="00532CBC" w:rsidP="004569AF">
      <w:pPr>
        <w:pStyle w:val="Heading2"/>
        <w:rPr>
          <w:lang w:val="en-GB"/>
        </w:rPr>
      </w:pPr>
      <w:bookmarkStart w:id="14" w:name="_Toc210939831"/>
      <w:r w:rsidRPr="00532CBC">
        <w:rPr>
          <w:lang w:val="en-GB"/>
        </w:rPr>
        <w:t>3.1 National Market Context</w:t>
      </w:r>
      <w:bookmarkEnd w:id="14"/>
    </w:p>
    <w:p w14:paraId="731D3A5C" w14:textId="77777777" w:rsidR="00C83607" w:rsidRDefault="00233311" w:rsidP="002D2B3C">
      <w:pPr>
        <w:spacing w:line="360" w:lineRule="auto"/>
        <w:rPr>
          <w:rFonts w:ascii="Arial" w:hAnsi="Arial" w:cs="Arial"/>
        </w:rPr>
      </w:pPr>
      <w:r w:rsidRPr="00233311">
        <w:rPr>
          <w:rFonts w:ascii="Arial" w:hAnsi="Arial" w:cs="Arial"/>
          <w:lang w:val="en-GB"/>
        </w:rPr>
        <w:t xml:space="preserve">The </w:t>
      </w:r>
      <w:r w:rsidR="002D2B3C" w:rsidRPr="002D2B3C">
        <w:rPr>
          <w:rFonts w:ascii="Arial" w:hAnsi="Arial" w:cs="Arial"/>
        </w:rPr>
        <w:t>UK automotive services industry is a core pillar of the national economy, primarily classified under SIC 45200 (Maintenance and Repair of Motor Vehicles) and SIC 45320 (Retail Trade of Motor Vehicle Accessories).</w:t>
      </w:r>
    </w:p>
    <w:p w14:paraId="2749D404" w14:textId="77777777" w:rsidR="00C83607" w:rsidRDefault="00C83607" w:rsidP="002D2B3C">
      <w:pPr>
        <w:spacing w:line="360" w:lineRule="auto"/>
        <w:rPr>
          <w:rFonts w:ascii="Arial" w:hAnsi="Arial" w:cs="Arial"/>
        </w:rPr>
      </w:pPr>
    </w:p>
    <w:p w14:paraId="4F106573" w14:textId="4354CD03" w:rsidR="00532CBC" w:rsidRPr="00C83607" w:rsidRDefault="002D2B3C" w:rsidP="002D2B3C">
      <w:pPr>
        <w:spacing w:line="360" w:lineRule="auto"/>
        <w:rPr>
          <w:rFonts w:ascii="Arial" w:hAnsi="Arial" w:cs="Arial"/>
          <w:lang w:val="en-GB"/>
        </w:rPr>
      </w:pPr>
      <w:r w:rsidRPr="002D2B3C">
        <w:rPr>
          <w:rFonts w:ascii="Arial" w:hAnsi="Arial" w:cs="Arial"/>
        </w:rPr>
        <w:br/>
      </w:r>
      <w:r w:rsidRPr="00C83607">
        <w:rPr>
          <w:rFonts w:ascii="Arial" w:hAnsi="Arial" w:cs="Arial"/>
        </w:rPr>
        <w:t xml:space="preserve">According to </w:t>
      </w:r>
      <w:r w:rsidRPr="00C83607">
        <w:rPr>
          <w:rFonts w:ascii="Arial" w:hAnsi="Arial" w:cs="Arial"/>
          <w:i/>
          <w:iCs/>
        </w:rPr>
        <w:t>IBISWorld</w:t>
      </w:r>
      <w:r w:rsidRPr="00C83607">
        <w:rPr>
          <w:rFonts w:ascii="Arial" w:hAnsi="Arial" w:cs="Arial"/>
        </w:rPr>
        <w:t xml:space="preserve"> (2024), the vehicle maintenance and repair market generated approximately £34.1 billion in 2024 and supports more than 40,000 active garages nationwide.</w:t>
      </w:r>
      <w:r w:rsidRPr="00C83607">
        <w:rPr>
          <w:rFonts w:ascii="Arial" w:hAnsi="Arial" w:cs="Arial"/>
        </w:rPr>
        <w:br/>
        <w:t xml:space="preserve">The </w:t>
      </w:r>
      <w:r w:rsidRPr="00C83607">
        <w:rPr>
          <w:rFonts w:ascii="Arial" w:hAnsi="Arial" w:cs="Arial"/>
          <w:i/>
          <w:iCs/>
        </w:rPr>
        <w:t>Department for Transport</w:t>
      </w:r>
      <w:r w:rsidRPr="00C83607">
        <w:rPr>
          <w:rFonts w:ascii="Arial" w:hAnsi="Arial" w:cs="Arial"/>
        </w:rPr>
        <w:t xml:space="preserve"> (</w:t>
      </w:r>
      <w:proofErr w:type="spellStart"/>
      <w:r w:rsidRPr="00C83607">
        <w:rPr>
          <w:rFonts w:ascii="Arial" w:hAnsi="Arial" w:cs="Arial"/>
        </w:rPr>
        <w:t>DfT</w:t>
      </w:r>
      <w:proofErr w:type="spellEnd"/>
      <w:r w:rsidRPr="00C83607">
        <w:rPr>
          <w:rFonts w:ascii="Arial" w:hAnsi="Arial" w:cs="Arial"/>
        </w:rPr>
        <w:t>, 2024) reports over 32.7 million licensed cars, sustaining reliable baseline demand through mandatory MOTs and ongoing servicing.</w:t>
      </w:r>
      <w:r w:rsidRPr="00C83607">
        <w:rPr>
          <w:rFonts w:ascii="Arial" w:hAnsi="Arial" w:cs="Arial"/>
        </w:rPr>
        <w:br/>
        <w:t xml:space="preserve">Growth is reinforced by ageing vehicles, higher mileage, and the rapid shift to electric mobility. </w:t>
      </w:r>
      <w:r w:rsidRPr="00C83607">
        <w:rPr>
          <w:rFonts w:ascii="Arial" w:hAnsi="Arial" w:cs="Arial"/>
          <w:i/>
          <w:iCs/>
        </w:rPr>
        <w:t>Grand View Research</w:t>
      </w:r>
      <w:r w:rsidRPr="00C83607">
        <w:rPr>
          <w:rFonts w:ascii="Arial" w:hAnsi="Arial" w:cs="Arial"/>
        </w:rPr>
        <w:t xml:space="preserve"> (2024) forecasts the UK automotive aftermarket to reach £15.2 billion by 2028, expanding at a CAGR of 2.2 %.</w:t>
      </w:r>
      <w:r w:rsidRPr="00C83607">
        <w:rPr>
          <w:rFonts w:ascii="Arial" w:hAnsi="Arial" w:cs="Arial"/>
        </w:rPr>
        <w:br/>
        <w:t>Yet skills shortages persist: only 6 % of UK garages are currently EV-qualified (</w:t>
      </w:r>
      <w:r w:rsidRPr="00C83607">
        <w:rPr>
          <w:rFonts w:ascii="Arial" w:hAnsi="Arial" w:cs="Arial"/>
          <w:i/>
          <w:iCs/>
        </w:rPr>
        <w:t>IMI, 2024</w:t>
      </w:r>
      <w:r w:rsidRPr="00C83607">
        <w:rPr>
          <w:rFonts w:ascii="Arial" w:hAnsi="Arial" w:cs="Arial"/>
        </w:rPr>
        <w:t>).</w:t>
      </w:r>
      <w:r w:rsidRPr="00C83607">
        <w:rPr>
          <w:rFonts w:ascii="Arial" w:hAnsi="Arial" w:cs="Arial"/>
        </w:rPr>
        <w:br/>
        <w:t>Consumer preferences are also evolving—</w:t>
      </w:r>
      <w:r w:rsidRPr="00C83607">
        <w:rPr>
          <w:rFonts w:ascii="Arial" w:hAnsi="Arial" w:cs="Arial"/>
          <w:i/>
          <w:iCs/>
        </w:rPr>
        <w:t>Mintel</w:t>
      </w:r>
      <w:r w:rsidRPr="00C83607">
        <w:rPr>
          <w:rFonts w:ascii="Arial" w:hAnsi="Arial" w:cs="Arial"/>
        </w:rPr>
        <w:t xml:space="preserve"> (2024) found 71 % of drivers </w:t>
      </w:r>
      <w:proofErr w:type="spellStart"/>
      <w:r w:rsidRPr="00C83607">
        <w:rPr>
          <w:rFonts w:ascii="Arial" w:hAnsi="Arial" w:cs="Arial"/>
        </w:rPr>
        <w:t>favour</w:t>
      </w:r>
      <w:proofErr w:type="spellEnd"/>
      <w:r w:rsidRPr="00C83607">
        <w:rPr>
          <w:rFonts w:ascii="Arial" w:hAnsi="Arial" w:cs="Arial"/>
        </w:rPr>
        <w:t xml:space="preserve"> one-stop convenience hubs, and </w:t>
      </w:r>
      <w:r w:rsidRPr="00C83607">
        <w:rPr>
          <w:rFonts w:ascii="Arial" w:hAnsi="Arial" w:cs="Arial"/>
          <w:i/>
          <w:iCs/>
        </w:rPr>
        <w:t>Statista</w:t>
      </w:r>
      <w:r w:rsidRPr="00C83607">
        <w:rPr>
          <w:rFonts w:ascii="Arial" w:hAnsi="Arial" w:cs="Arial"/>
        </w:rPr>
        <w:t xml:space="preserve"> (2024) reported 45 % now book MOTs or services online</w:t>
      </w:r>
      <w:r w:rsidR="00532CBC" w:rsidRPr="00C83607">
        <w:rPr>
          <w:rFonts w:ascii="Arial" w:hAnsi="Arial" w:cs="Arial"/>
          <w:lang w:val="en-GB"/>
        </w:rPr>
        <w:t>.</w:t>
      </w:r>
    </w:p>
    <w:p w14:paraId="7461EB34" w14:textId="527C624E" w:rsidR="00C524EA" w:rsidRPr="00532CBC" w:rsidRDefault="007502CA" w:rsidP="00C524EA">
      <w:pPr>
        <w:spacing w:line="360" w:lineRule="auto"/>
        <w:ind w:left="360"/>
        <w:rPr>
          <w:rFonts w:ascii="Arial" w:hAnsi="Arial" w:cs="Arial"/>
          <w:lang w:val="en-GB"/>
        </w:rPr>
      </w:pPr>
      <w:r>
        <w:rPr>
          <w:rFonts w:ascii="Arial" w:hAnsi="Arial" w:cs="Arial"/>
          <w:noProof/>
          <w:lang w:val="en-GB"/>
          <w14:ligatures w14:val="standardContextual"/>
        </w:rPr>
        <w:drawing>
          <wp:anchor distT="0" distB="0" distL="114300" distR="114300" simplePos="0" relativeHeight="251659264" behindDoc="0" locked="0" layoutInCell="1" allowOverlap="1" wp14:anchorId="7A06501D" wp14:editId="39783451">
            <wp:simplePos x="0" y="0"/>
            <wp:positionH relativeFrom="column">
              <wp:posOffset>527067</wp:posOffset>
            </wp:positionH>
            <wp:positionV relativeFrom="paragraph">
              <wp:posOffset>174866</wp:posOffset>
            </wp:positionV>
            <wp:extent cx="4371975" cy="2481580"/>
            <wp:effectExtent l="0" t="0" r="9525" b="0"/>
            <wp:wrapTopAndBottom/>
            <wp:docPr id="583997491" name="Picture 1" descr="A graph of a lin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97491" name="Picture 1" descr="A graph of a line graph&#10;&#10;AI-generated content may be incorrect."/>
                    <pic:cNvPicPr/>
                  </pic:nvPicPr>
                  <pic:blipFill rotWithShape="1">
                    <a:blip r:embed="rId10" cstate="print">
                      <a:extLst>
                        <a:ext uri="{28A0092B-C50C-407E-A947-70E740481C1C}">
                          <a14:useLocalDpi xmlns:a14="http://schemas.microsoft.com/office/drawing/2010/main" val="0"/>
                        </a:ext>
                      </a:extLst>
                    </a:blip>
                    <a:srcRect t="4742"/>
                    <a:stretch>
                      <a:fillRect/>
                    </a:stretch>
                  </pic:blipFill>
                  <pic:spPr bwMode="auto">
                    <a:xfrm>
                      <a:off x="0" y="0"/>
                      <a:ext cx="4371975" cy="2481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A8E12B" w14:textId="6835839E" w:rsidR="00532CBC" w:rsidRPr="00EA5166" w:rsidRDefault="00532CBC" w:rsidP="00EA5166">
      <w:pPr>
        <w:spacing w:line="360" w:lineRule="auto"/>
        <w:ind w:left="720"/>
        <w:rPr>
          <w:rFonts w:ascii="Arial" w:hAnsi="Arial" w:cs="Arial"/>
          <w:i/>
          <w:iCs/>
          <w:lang w:val="en-GB"/>
        </w:rPr>
      </w:pPr>
      <w:r w:rsidRPr="00532CBC">
        <w:rPr>
          <w:rFonts w:ascii="Arial" w:hAnsi="Arial" w:cs="Arial"/>
          <w:lang w:val="en-GB"/>
        </w:rPr>
        <w:t xml:space="preserve">Figure </w:t>
      </w:r>
      <w:r w:rsidR="00300602">
        <w:rPr>
          <w:rFonts w:ascii="Arial" w:hAnsi="Arial" w:cs="Arial"/>
          <w:lang w:val="en-GB"/>
        </w:rPr>
        <w:t>3</w:t>
      </w:r>
      <w:r w:rsidRPr="00532CBC">
        <w:rPr>
          <w:rFonts w:ascii="Arial" w:hAnsi="Arial" w:cs="Arial"/>
          <w:lang w:val="en-GB"/>
        </w:rPr>
        <w:t xml:space="preserve">. UK Automotive Service Market Size </w:t>
      </w:r>
      <w:r w:rsidR="00E206C4">
        <w:rPr>
          <w:rFonts w:ascii="Arial" w:hAnsi="Arial" w:cs="Arial"/>
          <w:lang w:val="en-GB"/>
        </w:rPr>
        <w:t>and</w:t>
      </w:r>
      <w:r w:rsidRPr="00532CBC">
        <w:rPr>
          <w:rFonts w:ascii="Arial" w:hAnsi="Arial" w:cs="Arial"/>
          <w:lang w:val="en-GB"/>
        </w:rPr>
        <w:t xml:space="preserve"> Vehicle Parc (2019–2024)</w:t>
      </w:r>
      <w:r w:rsidRPr="00532CBC">
        <w:rPr>
          <w:rFonts w:ascii="Arial" w:hAnsi="Arial" w:cs="Arial"/>
          <w:lang w:val="en-GB"/>
        </w:rPr>
        <w:br/>
      </w:r>
      <w:r w:rsidRPr="00532CBC">
        <w:rPr>
          <w:rFonts w:ascii="Arial" w:hAnsi="Arial" w:cs="Arial"/>
          <w:i/>
          <w:iCs/>
          <w:lang w:val="en-GB"/>
        </w:rPr>
        <w:t>Source: IBISWorld, 2024; DfT, 2024</w:t>
      </w:r>
    </w:p>
    <w:p w14:paraId="414CC1A3" w14:textId="1EBADDF6" w:rsidR="0054256F" w:rsidRPr="0054256F" w:rsidRDefault="0054256F" w:rsidP="00420014">
      <w:pPr>
        <w:pStyle w:val="Heading2"/>
        <w:rPr>
          <w:rFonts w:eastAsiaTheme="minorEastAsia"/>
          <w:lang w:val="en-GB"/>
        </w:rPr>
      </w:pPr>
      <w:bookmarkStart w:id="15" w:name="_Toc210939832"/>
      <w:r w:rsidRPr="0054256F">
        <w:rPr>
          <w:rFonts w:eastAsiaTheme="minorEastAsia"/>
          <w:lang w:val="en-GB"/>
        </w:rPr>
        <w:t>3.2 Regional &amp; Local Market: Sandwell</w:t>
      </w:r>
      <w:bookmarkEnd w:id="15"/>
    </w:p>
    <w:p w14:paraId="4187B2E6" w14:textId="77777777" w:rsidR="00907938" w:rsidRPr="000A2445" w:rsidRDefault="0054256F" w:rsidP="00907938">
      <w:pPr>
        <w:spacing w:line="360" w:lineRule="auto"/>
        <w:rPr>
          <w:rFonts w:ascii="Arial" w:hAnsi="Arial" w:cs="Arial"/>
          <w:lang w:val="en-GB"/>
        </w:rPr>
      </w:pPr>
      <w:r w:rsidRPr="000A2445">
        <w:rPr>
          <w:rFonts w:ascii="Arial" w:hAnsi="Arial" w:cs="Arial"/>
          <w:lang w:val="en-GB"/>
        </w:rPr>
        <w:t xml:space="preserve">The </w:t>
      </w:r>
      <w:r w:rsidR="00907938" w:rsidRPr="000A2445">
        <w:rPr>
          <w:rFonts w:ascii="Arial" w:hAnsi="Arial" w:cs="Arial"/>
          <w:lang w:val="en-GB"/>
        </w:rPr>
        <w:t>West Midlands is the UK’s automotive heartland, hosting major manufacturing, logistics, and transport infrastructure. Within it, Sandwell—home to approximately 330 000 residents (ONS, 2023)—is one of the region’s most vehicle-dependent areas.</w:t>
      </w:r>
      <w:r w:rsidR="00907938" w:rsidRPr="000A2445">
        <w:rPr>
          <w:rFonts w:ascii="Arial" w:hAnsi="Arial" w:cs="Arial"/>
          <w:lang w:val="en-GB"/>
        </w:rPr>
        <w:br/>
        <w:t>As of Q3 2023, Sandwell recorded 136 830 licensed cars, an increase of 6.5 % over five years (</w:t>
      </w:r>
      <w:proofErr w:type="spellStart"/>
      <w:r w:rsidR="00907938" w:rsidRPr="000A2445">
        <w:rPr>
          <w:rFonts w:ascii="Arial" w:hAnsi="Arial" w:cs="Arial"/>
          <w:lang w:val="en-GB"/>
        </w:rPr>
        <w:t>NimbleFins</w:t>
      </w:r>
      <w:proofErr w:type="spellEnd"/>
      <w:r w:rsidR="00907938" w:rsidRPr="000A2445">
        <w:rPr>
          <w:rFonts w:ascii="Arial" w:hAnsi="Arial" w:cs="Arial"/>
          <w:lang w:val="en-GB"/>
        </w:rPr>
        <w:t>, 2023). More than 82 % of households own at least one vehicle (DfT, 2023), underscoring strong local reliance on automotive services for commuting and trade.</w:t>
      </w:r>
    </w:p>
    <w:p w14:paraId="0DE6F7A7"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 xml:space="preserve">Business activity is dominated by small independents: ONS/Nomis (2024) data show that most local workshops employ fewer than 10 people and specialise narrowly (e.g., tyres, </w:t>
      </w:r>
      <w:r w:rsidRPr="00907938">
        <w:rPr>
          <w:rFonts w:ascii="Arial" w:hAnsi="Arial" w:cs="Arial"/>
          <w:lang w:val="en-GB"/>
        </w:rPr>
        <w:lastRenderedPageBreak/>
        <w:t>bodywork, MOT). This fragmented structure highlights the absence of a unified service hub—</w:t>
      </w:r>
      <w:proofErr w:type="spellStart"/>
      <w:r w:rsidRPr="00907938">
        <w:rPr>
          <w:rFonts w:ascii="Arial" w:hAnsi="Arial" w:cs="Arial"/>
          <w:lang w:val="en-GB"/>
        </w:rPr>
        <w:t>an</w:t>
      </w:r>
      <w:proofErr w:type="spellEnd"/>
      <w:r w:rsidRPr="00907938">
        <w:rPr>
          <w:rFonts w:ascii="Arial" w:hAnsi="Arial" w:cs="Arial"/>
          <w:lang w:val="en-GB"/>
        </w:rPr>
        <w:t xml:space="preserve"> identified opportunity for 1 STATION.</w:t>
      </w:r>
    </w:p>
    <w:p w14:paraId="70B769D4"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The DVSA (2025) database lists 115 authorised MOT stations in Sandwell.</w:t>
      </w:r>
      <w:r w:rsidRPr="00907938">
        <w:rPr>
          <w:rFonts w:ascii="Arial" w:hAnsi="Arial" w:cs="Arial"/>
          <w:lang w:val="en-GB"/>
        </w:rPr>
        <w:br/>
        <w:t>Given 136 830 licensed cars, this equates to roughly 1 190 vehicles per station, exceeding national averages and indicating capacity pressure.</w:t>
      </w:r>
    </w:p>
    <w:p w14:paraId="4763D1A4"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Table 1. Local Supply of Automotive Services in Sandwell (2024)</w:t>
      </w:r>
    </w:p>
    <w:tbl>
      <w:tblPr>
        <w:tblStyle w:val="PlainTable1"/>
        <w:tblW w:w="0" w:type="auto"/>
        <w:tblLook w:val="04A0" w:firstRow="1" w:lastRow="0" w:firstColumn="1" w:lastColumn="0" w:noHBand="0" w:noVBand="1"/>
      </w:tblPr>
      <w:tblGrid>
        <w:gridCol w:w="3645"/>
        <w:gridCol w:w="2333"/>
        <w:gridCol w:w="3038"/>
      </w:tblGrid>
      <w:tr w:rsidR="00907938" w:rsidRPr="00907938" w14:paraId="445B6D97" w14:textId="77777777" w:rsidTr="000A24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6E6282"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Service Line (SIC / Category)</w:t>
            </w:r>
          </w:p>
        </w:tc>
        <w:tc>
          <w:tcPr>
            <w:tcW w:w="0" w:type="auto"/>
            <w:hideMark/>
          </w:tcPr>
          <w:p w14:paraId="34C5FE94" w14:textId="77777777" w:rsidR="00907938" w:rsidRPr="00907938" w:rsidRDefault="00907938" w:rsidP="0090793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Estimated Local Units (2024)</w:t>
            </w:r>
          </w:p>
        </w:tc>
        <w:tc>
          <w:tcPr>
            <w:tcW w:w="0" w:type="auto"/>
            <w:hideMark/>
          </w:tcPr>
          <w:p w14:paraId="2AC43614" w14:textId="77777777" w:rsidR="00907938" w:rsidRPr="00907938" w:rsidRDefault="00907938" w:rsidP="0090793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Source</w:t>
            </w:r>
          </w:p>
        </w:tc>
      </w:tr>
      <w:tr w:rsidR="00907938" w:rsidRPr="00907938" w14:paraId="6B01A7E1" w14:textId="77777777" w:rsidTr="000A24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8808E9"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Maintenance &amp; Repair (SIC 45200, incl. tyre/body)</w:t>
            </w:r>
          </w:p>
        </w:tc>
        <w:tc>
          <w:tcPr>
            <w:tcW w:w="0" w:type="auto"/>
            <w:hideMark/>
          </w:tcPr>
          <w:p w14:paraId="37CA77F6"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 230</w:t>
            </w:r>
          </w:p>
        </w:tc>
        <w:tc>
          <w:tcPr>
            <w:tcW w:w="0" w:type="auto"/>
            <w:hideMark/>
          </w:tcPr>
          <w:p w14:paraId="6D68DD60"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ONS/Nomis (2024) – scaled from UK totals</w:t>
            </w:r>
          </w:p>
        </w:tc>
      </w:tr>
      <w:tr w:rsidR="00907938" w:rsidRPr="00907938" w14:paraId="13D17475" w14:textId="77777777" w:rsidTr="000A2445">
        <w:tc>
          <w:tcPr>
            <w:cnfStyle w:val="001000000000" w:firstRow="0" w:lastRow="0" w:firstColumn="1" w:lastColumn="0" w:oddVBand="0" w:evenVBand="0" w:oddHBand="0" w:evenHBand="0" w:firstRowFirstColumn="0" w:firstRowLastColumn="0" w:lastRowFirstColumn="0" w:lastRowLastColumn="0"/>
            <w:tcW w:w="0" w:type="auto"/>
            <w:hideMark/>
          </w:tcPr>
          <w:p w14:paraId="39925441"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Retail of Accessories (SIC 45320)</w:t>
            </w:r>
          </w:p>
        </w:tc>
        <w:tc>
          <w:tcPr>
            <w:tcW w:w="0" w:type="auto"/>
            <w:hideMark/>
          </w:tcPr>
          <w:p w14:paraId="3DB722A5"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 45</w:t>
            </w:r>
          </w:p>
        </w:tc>
        <w:tc>
          <w:tcPr>
            <w:tcW w:w="0" w:type="auto"/>
            <w:hideMark/>
          </w:tcPr>
          <w:p w14:paraId="35B8F666"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ONS/Nomis (2024) – scaled</w:t>
            </w:r>
          </w:p>
        </w:tc>
      </w:tr>
      <w:tr w:rsidR="00907938" w:rsidRPr="00907938" w14:paraId="540F0567" w14:textId="77777777" w:rsidTr="000A24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6D7854"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MOT Testing Stations</w:t>
            </w:r>
          </w:p>
        </w:tc>
        <w:tc>
          <w:tcPr>
            <w:tcW w:w="0" w:type="auto"/>
            <w:hideMark/>
          </w:tcPr>
          <w:p w14:paraId="33AE27D3"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115</w:t>
            </w:r>
          </w:p>
        </w:tc>
        <w:tc>
          <w:tcPr>
            <w:tcW w:w="0" w:type="auto"/>
            <w:hideMark/>
          </w:tcPr>
          <w:p w14:paraId="3B3AA66A"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DVSA (2025)</w:t>
            </w:r>
          </w:p>
        </w:tc>
      </w:tr>
      <w:tr w:rsidR="00907938" w:rsidRPr="00907938" w14:paraId="67EE0A27" w14:textId="77777777" w:rsidTr="000A2445">
        <w:tc>
          <w:tcPr>
            <w:cnfStyle w:val="001000000000" w:firstRow="0" w:lastRow="0" w:firstColumn="1" w:lastColumn="0" w:oddVBand="0" w:evenVBand="0" w:oddHBand="0" w:evenHBand="0" w:firstRowFirstColumn="0" w:firstRowLastColumn="0" w:lastRowFirstColumn="0" w:lastRowLastColumn="0"/>
            <w:tcW w:w="0" w:type="auto"/>
            <w:hideMark/>
          </w:tcPr>
          <w:p w14:paraId="5F4F128A"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Bodywork &amp; Paint Shops</w:t>
            </w:r>
          </w:p>
        </w:tc>
        <w:tc>
          <w:tcPr>
            <w:tcW w:w="0" w:type="auto"/>
            <w:hideMark/>
          </w:tcPr>
          <w:p w14:paraId="778714F7"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 40</w:t>
            </w:r>
          </w:p>
        </w:tc>
        <w:tc>
          <w:tcPr>
            <w:tcW w:w="0" w:type="auto"/>
            <w:hideMark/>
          </w:tcPr>
          <w:p w14:paraId="143C49F5"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IBISWorld (2024) – regional ratio</w:t>
            </w:r>
          </w:p>
        </w:tc>
      </w:tr>
      <w:tr w:rsidR="00907938" w:rsidRPr="00907938" w14:paraId="217ACE7B" w14:textId="77777777" w:rsidTr="000A24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086551"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EV &amp; Hybrid Specialists</w:t>
            </w:r>
          </w:p>
        </w:tc>
        <w:tc>
          <w:tcPr>
            <w:tcW w:w="0" w:type="auto"/>
            <w:hideMark/>
          </w:tcPr>
          <w:p w14:paraId="0723A487"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&lt; 10</w:t>
            </w:r>
          </w:p>
        </w:tc>
        <w:tc>
          <w:tcPr>
            <w:tcW w:w="0" w:type="auto"/>
            <w:hideMark/>
          </w:tcPr>
          <w:p w14:paraId="7D6B892F"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IMI (2024)</w:t>
            </w:r>
          </w:p>
        </w:tc>
      </w:tr>
      <w:tr w:rsidR="00907938" w:rsidRPr="00907938" w14:paraId="1802C8C1" w14:textId="77777777" w:rsidTr="000A2445">
        <w:tc>
          <w:tcPr>
            <w:cnfStyle w:val="001000000000" w:firstRow="0" w:lastRow="0" w:firstColumn="1" w:lastColumn="0" w:oddVBand="0" w:evenVBand="0" w:oddHBand="0" w:evenHBand="0" w:firstRowFirstColumn="0" w:firstRowLastColumn="0" w:lastRowFirstColumn="0" w:lastRowLastColumn="0"/>
            <w:tcW w:w="0" w:type="auto"/>
            <w:hideMark/>
          </w:tcPr>
          <w:p w14:paraId="7F5008A4"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Tyre Fitting Outlets</w:t>
            </w:r>
          </w:p>
        </w:tc>
        <w:tc>
          <w:tcPr>
            <w:tcW w:w="0" w:type="auto"/>
            <w:hideMark/>
          </w:tcPr>
          <w:p w14:paraId="3C68721E"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 35</w:t>
            </w:r>
          </w:p>
        </w:tc>
        <w:tc>
          <w:tcPr>
            <w:tcW w:w="0" w:type="auto"/>
            <w:hideMark/>
          </w:tcPr>
          <w:p w14:paraId="0DEEAA2A"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proofErr w:type="spellStart"/>
            <w:r w:rsidRPr="00907938">
              <w:rPr>
                <w:rFonts w:ascii="Arial" w:hAnsi="Arial" w:cs="Arial"/>
                <w:lang w:val="en-GB"/>
              </w:rPr>
              <w:t>TyreSafe</w:t>
            </w:r>
            <w:proofErr w:type="spellEnd"/>
            <w:r w:rsidRPr="00907938">
              <w:rPr>
                <w:rFonts w:ascii="Arial" w:hAnsi="Arial" w:cs="Arial"/>
                <w:lang w:val="en-GB"/>
              </w:rPr>
              <w:t xml:space="preserve"> (2024)</w:t>
            </w:r>
          </w:p>
        </w:tc>
      </w:tr>
      <w:tr w:rsidR="00907938" w:rsidRPr="00907938" w14:paraId="30D950AA" w14:textId="77777777" w:rsidTr="000A24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DC5022"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Tint &amp; Wrap Studios</w:t>
            </w:r>
          </w:p>
        </w:tc>
        <w:tc>
          <w:tcPr>
            <w:tcW w:w="0" w:type="auto"/>
            <w:hideMark/>
          </w:tcPr>
          <w:p w14:paraId="47FAEEC9"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&lt; 5</w:t>
            </w:r>
          </w:p>
        </w:tc>
        <w:tc>
          <w:tcPr>
            <w:tcW w:w="0" w:type="auto"/>
            <w:hideMark/>
          </w:tcPr>
          <w:p w14:paraId="00A764F9"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Trade Research (2024)</w:t>
            </w:r>
          </w:p>
        </w:tc>
      </w:tr>
      <w:tr w:rsidR="00907938" w:rsidRPr="00907938" w14:paraId="6DCD253E" w14:textId="77777777" w:rsidTr="000A2445">
        <w:tc>
          <w:tcPr>
            <w:cnfStyle w:val="001000000000" w:firstRow="0" w:lastRow="0" w:firstColumn="1" w:lastColumn="0" w:oddVBand="0" w:evenVBand="0" w:oddHBand="0" w:evenHBand="0" w:firstRowFirstColumn="0" w:firstRowLastColumn="0" w:lastRowFirstColumn="0" w:lastRowLastColumn="0"/>
            <w:tcW w:w="0" w:type="auto"/>
            <w:hideMark/>
          </w:tcPr>
          <w:p w14:paraId="1BF86A0B"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Car Wash &amp; Detailing Sites</w:t>
            </w:r>
          </w:p>
        </w:tc>
        <w:tc>
          <w:tcPr>
            <w:tcW w:w="0" w:type="auto"/>
            <w:hideMark/>
          </w:tcPr>
          <w:p w14:paraId="2408F6A3"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 25</w:t>
            </w:r>
          </w:p>
        </w:tc>
        <w:tc>
          <w:tcPr>
            <w:tcW w:w="0" w:type="auto"/>
            <w:hideMark/>
          </w:tcPr>
          <w:p w14:paraId="06EA83C1"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Mintel (2024)</w:t>
            </w:r>
          </w:p>
        </w:tc>
      </w:tr>
      <w:tr w:rsidR="00907938" w:rsidRPr="00907938" w14:paraId="432E5DC3" w14:textId="77777777" w:rsidTr="000A24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1A9E77"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Accessories Retail Corners</w:t>
            </w:r>
          </w:p>
        </w:tc>
        <w:tc>
          <w:tcPr>
            <w:tcW w:w="0" w:type="auto"/>
            <w:hideMark/>
          </w:tcPr>
          <w:p w14:paraId="023E22DC"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 15</w:t>
            </w:r>
          </w:p>
        </w:tc>
        <w:tc>
          <w:tcPr>
            <w:tcW w:w="0" w:type="auto"/>
            <w:hideMark/>
          </w:tcPr>
          <w:p w14:paraId="24CC0D7E"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Statista (2024)</w:t>
            </w:r>
          </w:p>
        </w:tc>
      </w:tr>
    </w:tbl>
    <w:p w14:paraId="71E5ABEB" w14:textId="64CFDB27" w:rsidR="00EF0BD3" w:rsidRPr="0027733C" w:rsidRDefault="00D26E9C" w:rsidP="00907938">
      <w:pPr>
        <w:spacing w:line="360" w:lineRule="auto"/>
        <w:rPr>
          <w:rFonts w:ascii="Arial" w:hAnsi="Arial" w:cs="Arial"/>
          <w:lang w:val="en-GB"/>
        </w:rPr>
      </w:pPr>
      <w:r w:rsidRPr="0027733C">
        <w:rPr>
          <w:rFonts w:ascii="Arial" w:hAnsi="Arial" w:cs="Arial"/>
          <w:i/>
          <w:iCs/>
        </w:rPr>
        <w:t>Note:</w:t>
      </w:r>
      <w:r w:rsidRPr="0027733C">
        <w:rPr>
          <w:rFonts w:ascii="Arial" w:hAnsi="Arial" w:cs="Arial"/>
        </w:rPr>
        <w:t xml:space="preserve"> SIC 45200 covers maintenance/repair—including </w:t>
      </w:r>
      <w:proofErr w:type="spellStart"/>
      <w:r w:rsidRPr="0027733C">
        <w:rPr>
          <w:rFonts w:ascii="Arial" w:hAnsi="Arial" w:cs="Arial"/>
        </w:rPr>
        <w:t>tyre</w:t>
      </w:r>
      <w:proofErr w:type="spellEnd"/>
      <w:r w:rsidRPr="0027733C">
        <w:rPr>
          <w:rFonts w:ascii="Arial" w:hAnsi="Arial" w:cs="Arial"/>
        </w:rPr>
        <w:t xml:space="preserve"> fitting &amp; repair, bodywork, and washing/polishing. SIC 45320 covers retail trade of motor vehicle accessories</w:t>
      </w:r>
    </w:p>
    <w:p w14:paraId="50461AC9" w14:textId="261DAE25" w:rsidR="00EF0BD3" w:rsidRPr="00B1463D" w:rsidRDefault="00EF0BD3" w:rsidP="000E6711">
      <w:pPr>
        <w:pStyle w:val="Heading2"/>
        <w:rPr>
          <w:lang w:val="en-GB"/>
        </w:rPr>
      </w:pPr>
      <w:bookmarkStart w:id="16" w:name="_Toc210939833"/>
      <w:r w:rsidRPr="00B1463D">
        <w:rPr>
          <w:lang w:val="en-GB"/>
        </w:rPr>
        <w:t>3.3 Service-by-Service Demand Analysis</w:t>
      </w:r>
      <w:bookmarkEnd w:id="16"/>
      <w:r w:rsidRPr="00B1463D">
        <w:rPr>
          <w:lang w:val="en-GB"/>
        </w:rPr>
        <w:t xml:space="preserve"> </w:t>
      </w:r>
    </w:p>
    <w:p w14:paraId="447FB54F" w14:textId="77777777" w:rsidR="00C63262" w:rsidRPr="00C63262" w:rsidRDefault="00EF0BD3" w:rsidP="00C63262">
      <w:pPr>
        <w:spacing w:line="360" w:lineRule="auto"/>
        <w:rPr>
          <w:rFonts w:ascii="Arial" w:hAnsi="Arial" w:cs="Arial"/>
          <w:lang w:val="en-GB"/>
        </w:rPr>
      </w:pPr>
      <w:r w:rsidRPr="00B1463D">
        <w:rPr>
          <w:rFonts w:ascii="Arial" w:hAnsi="Arial" w:cs="Arial"/>
          <w:lang w:val="en-GB"/>
        </w:rPr>
        <w:br/>
      </w:r>
      <w:proofErr w:type="spellStart"/>
      <w:r w:rsidR="00C63262" w:rsidRPr="00C63262">
        <w:rPr>
          <w:rFonts w:ascii="Arial" w:hAnsi="Arial" w:cs="Arial"/>
          <w:lang w:val="en-GB"/>
        </w:rPr>
        <w:t>outine</w:t>
      </w:r>
      <w:proofErr w:type="spellEnd"/>
      <w:r w:rsidR="00C63262" w:rsidRPr="00C63262">
        <w:rPr>
          <w:rFonts w:ascii="Arial" w:hAnsi="Arial" w:cs="Arial"/>
          <w:lang w:val="en-GB"/>
        </w:rPr>
        <w:t xml:space="preserve"> maintenance represents around </w:t>
      </w:r>
      <w:r w:rsidR="00C63262" w:rsidRPr="00C63262">
        <w:rPr>
          <w:rFonts w:ascii="Arial" w:hAnsi="Arial" w:cs="Arial"/>
          <w:b/>
          <w:bCs/>
          <w:lang w:val="en-GB"/>
        </w:rPr>
        <w:t>35 %</w:t>
      </w:r>
      <w:r w:rsidR="00C63262" w:rsidRPr="00C63262">
        <w:rPr>
          <w:rFonts w:ascii="Arial" w:hAnsi="Arial" w:cs="Arial"/>
          <w:lang w:val="en-GB"/>
        </w:rPr>
        <w:t xml:space="preserve"> of total aftermarket spending (</w:t>
      </w:r>
      <w:r w:rsidR="00C63262" w:rsidRPr="00C63262">
        <w:rPr>
          <w:rFonts w:ascii="Arial" w:hAnsi="Arial" w:cs="Arial"/>
          <w:i/>
          <w:iCs/>
          <w:lang w:val="en-GB"/>
        </w:rPr>
        <w:t>Mintel, 2024</w:t>
      </w:r>
      <w:r w:rsidR="00C63262" w:rsidRPr="00C63262">
        <w:rPr>
          <w:rFonts w:ascii="Arial" w:hAnsi="Arial" w:cs="Arial"/>
          <w:lang w:val="en-GB"/>
        </w:rPr>
        <w:t>).</w:t>
      </w:r>
      <w:r w:rsidR="00C63262" w:rsidRPr="00C63262">
        <w:rPr>
          <w:rFonts w:ascii="Arial" w:hAnsi="Arial" w:cs="Arial"/>
          <w:lang w:val="en-GB"/>
        </w:rPr>
        <w:br/>
        <w:t>Sandwell’s ≈ 230 SIC 45200 garages are mostly micro-operations offering single-service repair, leaving a clear opportunity for an integrated, digitally managed facility.</w:t>
      </w:r>
    </w:p>
    <w:p w14:paraId="725B6612" w14:textId="77777777" w:rsidR="00C63262" w:rsidRDefault="00C63262" w:rsidP="00C63262">
      <w:pPr>
        <w:spacing w:line="360" w:lineRule="auto"/>
        <w:rPr>
          <w:rFonts w:ascii="Arial" w:hAnsi="Arial" w:cs="Arial"/>
          <w:lang w:val="en-GB"/>
        </w:rPr>
      </w:pPr>
      <w:r w:rsidRPr="00C63262">
        <w:rPr>
          <w:rFonts w:ascii="Arial" w:hAnsi="Arial" w:cs="Arial"/>
          <w:b/>
          <w:bCs/>
          <w:lang w:val="en-GB"/>
        </w:rPr>
        <w:t>EV and Hybrid Servicing:</w:t>
      </w:r>
      <w:r w:rsidRPr="00C63262">
        <w:rPr>
          <w:rFonts w:ascii="Arial" w:hAnsi="Arial" w:cs="Arial"/>
          <w:lang w:val="en-GB"/>
        </w:rPr>
        <w:t xml:space="preserve"> Battery-electric vehicles formed </w:t>
      </w:r>
      <w:r w:rsidRPr="00C63262">
        <w:rPr>
          <w:rFonts w:ascii="Arial" w:hAnsi="Arial" w:cs="Arial"/>
          <w:b/>
          <w:bCs/>
          <w:lang w:val="en-GB"/>
        </w:rPr>
        <w:t>21.9 %</w:t>
      </w:r>
      <w:r w:rsidRPr="00C63262">
        <w:rPr>
          <w:rFonts w:ascii="Arial" w:hAnsi="Arial" w:cs="Arial"/>
          <w:lang w:val="en-GB"/>
        </w:rPr>
        <w:t xml:space="preserve"> of all new UK registrations in 2024 (</w:t>
      </w:r>
      <w:r w:rsidRPr="00C63262">
        <w:rPr>
          <w:rFonts w:ascii="Arial" w:hAnsi="Arial" w:cs="Arial"/>
          <w:i/>
          <w:iCs/>
          <w:lang w:val="en-GB"/>
        </w:rPr>
        <w:t>SMMT, 2024</w:t>
      </w:r>
      <w:r w:rsidRPr="00C63262">
        <w:rPr>
          <w:rFonts w:ascii="Arial" w:hAnsi="Arial" w:cs="Arial"/>
          <w:lang w:val="en-GB"/>
        </w:rPr>
        <w:t>), implying ≈ 30,000 EVs in Sandwell. With fewer than 10 qualified providers (</w:t>
      </w:r>
      <w:r w:rsidRPr="00C63262">
        <w:rPr>
          <w:rFonts w:ascii="Arial" w:hAnsi="Arial" w:cs="Arial"/>
          <w:i/>
          <w:iCs/>
          <w:lang w:val="en-GB"/>
        </w:rPr>
        <w:t>IMI, 2024</w:t>
      </w:r>
      <w:r w:rsidRPr="00C63262">
        <w:rPr>
          <w:rFonts w:ascii="Arial" w:hAnsi="Arial" w:cs="Arial"/>
          <w:lang w:val="en-GB"/>
        </w:rPr>
        <w:t>), 1 STATION could pioneer a certified EV division.</w:t>
      </w:r>
    </w:p>
    <w:p w14:paraId="7DD2941F" w14:textId="3A4FA69E" w:rsidR="00DF45FE" w:rsidRPr="00C63262" w:rsidRDefault="00DF45FE" w:rsidP="00C63262">
      <w:pPr>
        <w:spacing w:line="360" w:lineRule="auto"/>
        <w:rPr>
          <w:rFonts w:ascii="Arial" w:hAnsi="Arial" w:cs="Arial"/>
          <w:lang w:val="en-GB"/>
        </w:rPr>
      </w:pPr>
      <w:r>
        <w:rPr>
          <w:rFonts w:ascii="Arial" w:hAnsi="Arial" w:cs="Arial"/>
          <w:noProof/>
          <w:lang w:val="en-GB"/>
          <w14:ligatures w14:val="standardContextual"/>
        </w:rPr>
        <w:lastRenderedPageBreak/>
        <w:drawing>
          <wp:inline distT="0" distB="0" distL="0" distR="0" wp14:anchorId="1CB7E0B4" wp14:editId="677E1138">
            <wp:extent cx="5486400" cy="3324225"/>
            <wp:effectExtent l="0" t="0" r="0" b="9525"/>
            <wp:docPr id="897009913" name="Picture 4"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09913" name="Picture 4" descr="A graph with a line going up&#10;&#10;AI-generated content may be incorrect."/>
                    <pic:cNvPicPr/>
                  </pic:nvPicPr>
                  <pic:blipFill rotWithShape="1">
                    <a:blip r:embed="rId11">
                      <a:extLst>
                        <a:ext uri="{28A0092B-C50C-407E-A947-70E740481C1C}">
                          <a14:useLocalDpi xmlns:a14="http://schemas.microsoft.com/office/drawing/2010/main" val="0"/>
                        </a:ext>
                      </a:extLst>
                    </a:blip>
                    <a:srcRect t="9114"/>
                    <a:stretch>
                      <a:fillRect/>
                    </a:stretch>
                  </pic:blipFill>
                  <pic:spPr bwMode="auto">
                    <a:xfrm>
                      <a:off x="0" y="0"/>
                      <a:ext cx="5486411" cy="3324232"/>
                    </a:xfrm>
                    <a:prstGeom prst="rect">
                      <a:avLst/>
                    </a:prstGeom>
                    <a:ln>
                      <a:noFill/>
                    </a:ln>
                    <a:extLst>
                      <a:ext uri="{53640926-AAD7-44D8-BBD7-CCE9431645EC}">
                        <a14:shadowObscured xmlns:a14="http://schemas.microsoft.com/office/drawing/2010/main"/>
                      </a:ext>
                    </a:extLst>
                  </pic:spPr>
                </pic:pic>
              </a:graphicData>
            </a:graphic>
          </wp:inline>
        </w:drawing>
      </w:r>
    </w:p>
    <w:p w14:paraId="3767C098" w14:textId="77777777" w:rsidR="00C63262" w:rsidRPr="00C63262" w:rsidRDefault="00C63262" w:rsidP="00C63262">
      <w:pPr>
        <w:spacing w:line="360" w:lineRule="auto"/>
        <w:rPr>
          <w:rFonts w:ascii="Arial" w:hAnsi="Arial" w:cs="Arial"/>
          <w:lang w:val="en-GB"/>
        </w:rPr>
      </w:pPr>
      <w:r w:rsidRPr="00C63262">
        <w:rPr>
          <w:rFonts w:ascii="Arial" w:hAnsi="Arial" w:cs="Arial"/>
          <w:i/>
          <w:iCs/>
          <w:lang w:val="en-GB"/>
        </w:rPr>
        <w:t>Figure 4. EV Share of UK New Car Registrations (2018–2024)</w:t>
      </w:r>
      <w:r w:rsidRPr="00C63262">
        <w:rPr>
          <w:rFonts w:ascii="Arial" w:hAnsi="Arial" w:cs="Arial"/>
          <w:lang w:val="en-GB"/>
        </w:rPr>
        <w:br/>
      </w:r>
      <w:r w:rsidRPr="00C63262">
        <w:rPr>
          <w:rFonts w:ascii="Arial" w:hAnsi="Arial" w:cs="Arial"/>
          <w:i/>
          <w:iCs/>
          <w:lang w:val="en-GB"/>
        </w:rPr>
        <w:t>Source: SMMT (2024)</w:t>
      </w:r>
    </w:p>
    <w:p w14:paraId="22544B08" w14:textId="77777777" w:rsidR="00C63262" w:rsidRPr="00C63262" w:rsidRDefault="00C63262" w:rsidP="00C63262">
      <w:pPr>
        <w:spacing w:line="360" w:lineRule="auto"/>
        <w:rPr>
          <w:rFonts w:ascii="Arial" w:hAnsi="Arial" w:cs="Arial"/>
          <w:lang w:val="en-GB"/>
        </w:rPr>
      </w:pPr>
      <w:r w:rsidRPr="00C63262">
        <w:rPr>
          <w:rFonts w:ascii="Arial" w:hAnsi="Arial" w:cs="Arial"/>
          <w:b/>
          <w:bCs/>
          <w:lang w:val="en-GB"/>
        </w:rPr>
        <w:t>MOT Testing:</w:t>
      </w:r>
      <w:r w:rsidRPr="00C63262">
        <w:rPr>
          <w:rFonts w:ascii="Arial" w:hAnsi="Arial" w:cs="Arial"/>
          <w:lang w:val="en-GB"/>
        </w:rPr>
        <w:t xml:space="preserve"> 115 DVSA-approved stations serve 136,830 cars, causing booking congestion.</w:t>
      </w:r>
      <w:r w:rsidRPr="00C63262">
        <w:rPr>
          <w:rFonts w:ascii="Arial" w:hAnsi="Arial" w:cs="Arial"/>
          <w:lang w:val="en-GB"/>
        </w:rPr>
        <w:br/>
        <w:t>Adding MOT lanes at 1 STATION ensures steady customer inflow and cross-sales to servicing and tyres.</w:t>
      </w:r>
    </w:p>
    <w:p w14:paraId="16CF3425" w14:textId="77777777" w:rsidR="00C63262" w:rsidRPr="00C63262" w:rsidRDefault="00C63262" w:rsidP="00C63262">
      <w:pPr>
        <w:spacing w:line="360" w:lineRule="auto"/>
        <w:rPr>
          <w:rFonts w:ascii="Arial" w:hAnsi="Arial" w:cs="Arial"/>
          <w:lang w:val="en-GB"/>
        </w:rPr>
      </w:pPr>
      <w:r w:rsidRPr="00C63262">
        <w:rPr>
          <w:rFonts w:ascii="Arial" w:hAnsi="Arial" w:cs="Arial"/>
          <w:b/>
          <w:bCs/>
          <w:lang w:val="en-GB"/>
        </w:rPr>
        <w:t>Tyre Fitting and Repair:</w:t>
      </w:r>
      <w:r w:rsidRPr="00C63262">
        <w:rPr>
          <w:rFonts w:ascii="Arial" w:hAnsi="Arial" w:cs="Arial"/>
          <w:lang w:val="en-GB"/>
        </w:rPr>
        <w:t xml:space="preserve"> Tyres account for </w:t>
      </w:r>
      <w:r w:rsidRPr="00C63262">
        <w:rPr>
          <w:rFonts w:ascii="Arial" w:hAnsi="Arial" w:cs="Arial"/>
          <w:b/>
          <w:bCs/>
          <w:lang w:val="en-GB"/>
        </w:rPr>
        <w:t>≈ 15 %</w:t>
      </w:r>
      <w:r w:rsidRPr="00C63262">
        <w:rPr>
          <w:rFonts w:ascii="Arial" w:hAnsi="Arial" w:cs="Arial"/>
          <w:lang w:val="en-GB"/>
        </w:rPr>
        <w:t xml:space="preserve"> of UK aftermarket expenditure (</w:t>
      </w:r>
      <w:r w:rsidRPr="00C63262">
        <w:rPr>
          <w:rFonts w:ascii="Arial" w:hAnsi="Arial" w:cs="Arial"/>
          <w:i/>
          <w:iCs/>
          <w:lang w:val="en-GB"/>
        </w:rPr>
        <w:t>IBISWorld, 2024</w:t>
      </w:r>
      <w:r w:rsidRPr="00C63262">
        <w:rPr>
          <w:rFonts w:ascii="Arial" w:hAnsi="Arial" w:cs="Arial"/>
          <w:lang w:val="en-GB"/>
        </w:rPr>
        <w:t>), replaced every 18–24 months (</w:t>
      </w:r>
      <w:r w:rsidRPr="00C63262">
        <w:rPr>
          <w:rFonts w:ascii="Arial" w:hAnsi="Arial" w:cs="Arial"/>
          <w:i/>
          <w:iCs/>
          <w:lang w:val="en-GB"/>
        </w:rPr>
        <w:t>Mintel, 2023</w:t>
      </w:r>
      <w:r w:rsidRPr="00C63262">
        <w:rPr>
          <w:rFonts w:ascii="Arial" w:hAnsi="Arial" w:cs="Arial"/>
          <w:lang w:val="en-GB"/>
        </w:rPr>
        <w:t>). Integrating tyre services boosts convenience and retention.</w:t>
      </w:r>
    </w:p>
    <w:p w14:paraId="261038CC" w14:textId="77777777" w:rsidR="00C63262" w:rsidRPr="00C63262" w:rsidRDefault="00C63262" w:rsidP="00C63262">
      <w:pPr>
        <w:spacing w:line="360" w:lineRule="auto"/>
        <w:rPr>
          <w:rFonts w:ascii="Arial" w:hAnsi="Arial" w:cs="Arial"/>
          <w:lang w:val="en-GB"/>
        </w:rPr>
      </w:pPr>
      <w:r w:rsidRPr="00C63262">
        <w:rPr>
          <w:rFonts w:ascii="Arial" w:hAnsi="Arial" w:cs="Arial"/>
          <w:b/>
          <w:bCs/>
          <w:lang w:val="en-GB"/>
        </w:rPr>
        <w:t>Bodywork and Paint:</w:t>
      </w:r>
      <w:r w:rsidRPr="00C63262">
        <w:rPr>
          <w:rFonts w:ascii="Arial" w:hAnsi="Arial" w:cs="Arial"/>
          <w:lang w:val="en-GB"/>
        </w:rPr>
        <w:t xml:space="preserve"> ≈ 2.2 million UK motor claims annually require body repairs (</w:t>
      </w:r>
      <w:r w:rsidRPr="00C63262">
        <w:rPr>
          <w:rFonts w:ascii="Arial" w:hAnsi="Arial" w:cs="Arial"/>
          <w:i/>
          <w:iCs/>
          <w:lang w:val="en-GB"/>
        </w:rPr>
        <w:t>ABI, 2023</w:t>
      </w:r>
      <w:r w:rsidRPr="00C63262">
        <w:rPr>
          <w:rFonts w:ascii="Arial" w:hAnsi="Arial" w:cs="Arial"/>
          <w:lang w:val="en-GB"/>
        </w:rPr>
        <w:t xml:space="preserve">). Sandwell’s ≈ 40 shops are mainly insurer-contracted; a walk-in </w:t>
      </w:r>
      <w:proofErr w:type="spellStart"/>
      <w:r w:rsidRPr="00C63262">
        <w:rPr>
          <w:rFonts w:ascii="Arial" w:hAnsi="Arial" w:cs="Arial"/>
          <w:lang w:val="en-GB"/>
        </w:rPr>
        <w:t>bodyshop</w:t>
      </w:r>
      <w:proofErr w:type="spellEnd"/>
      <w:r w:rsidRPr="00C63262">
        <w:rPr>
          <w:rFonts w:ascii="Arial" w:hAnsi="Arial" w:cs="Arial"/>
          <w:lang w:val="en-GB"/>
        </w:rPr>
        <w:t xml:space="preserve"> at 1 STATION fills this retail gap.</w:t>
      </w:r>
    </w:p>
    <w:p w14:paraId="575FBD47" w14:textId="77777777" w:rsidR="00C63262" w:rsidRPr="00C63262" w:rsidRDefault="00C63262" w:rsidP="00C63262">
      <w:pPr>
        <w:spacing w:line="360" w:lineRule="auto"/>
        <w:rPr>
          <w:rFonts w:ascii="Arial" w:hAnsi="Arial" w:cs="Arial"/>
          <w:lang w:val="en-GB"/>
        </w:rPr>
      </w:pPr>
      <w:r w:rsidRPr="00C63262">
        <w:rPr>
          <w:rFonts w:ascii="Arial" w:hAnsi="Arial" w:cs="Arial"/>
          <w:b/>
          <w:bCs/>
          <w:lang w:val="en-GB"/>
        </w:rPr>
        <w:t>Car Wash and Detailing:</w:t>
      </w:r>
      <w:r w:rsidRPr="00C63262">
        <w:rPr>
          <w:rFonts w:ascii="Arial" w:hAnsi="Arial" w:cs="Arial"/>
          <w:lang w:val="en-GB"/>
        </w:rPr>
        <w:t xml:space="preserve"> 65 % of drivers use professional washes monthly or quarterly (</w:t>
      </w:r>
      <w:r w:rsidRPr="00C63262">
        <w:rPr>
          <w:rFonts w:ascii="Arial" w:hAnsi="Arial" w:cs="Arial"/>
          <w:i/>
          <w:iCs/>
          <w:lang w:val="en-GB"/>
        </w:rPr>
        <w:t>Mintel, 2023</w:t>
      </w:r>
      <w:r w:rsidRPr="00C63262">
        <w:rPr>
          <w:rFonts w:ascii="Arial" w:hAnsi="Arial" w:cs="Arial"/>
          <w:lang w:val="en-GB"/>
        </w:rPr>
        <w:t>). Most Sandwell sites are informal; a regulatory-compliant eco-wash system differentiates 1 STATION.</w:t>
      </w:r>
    </w:p>
    <w:p w14:paraId="0EED3E76" w14:textId="77777777" w:rsidR="00C63262" w:rsidRPr="00C63262" w:rsidRDefault="00C63262" w:rsidP="00C63262">
      <w:pPr>
        <w:spacing w:line="360" w:lineRule="auto"/>
        <w:rPr>
          <w:rFonts w:ascii="Arial" w:hAnsi="Arial" w:cs="Arial"/>
          <w:lang w:val="en-GB"/>
        </w:rPr>
      </w:pPr>
      <w:r w:rsidRPr="00C63262">
        <w:rPr>
          <w:rFonts w:ascii="Arial" w:hAnsi="Arial" w:cs="Arial"/>
          <w:b/>
          <w:bCs/>
          <w:lang w:val="en-GB"/>
        </w:rPr>
        <w:t>Tint and Wrap:</w:t>
      </w:r>
      <w:r w:rsidRPr="00C63262">
        <w:rPr>
          <w:rFonts w:ascii="Arial" w:hAnsi="Arial" w:cs="Arial"/>
          <w:lang w:val="en-GB"/>
        </w:rPr>
        <w:t xml:space="preserve"> Demand is rising among young drivers and SMEs. Fewer than five operators exist locally (</w:t>
      </w:r>
      <w:r w:rsidRPr="00C63262">
        <w:rPr>
          <w:rFonts w:ascii="Arial" w:hAnsi="Arial" w:cs="Arial"/>
          <w:i/>
          <w:iCs/>
          <w:lang w:val="en-GB"/>
        </w:rPr>
        <w:t>Trade Research, 2024</w:t>
      </w:r>
      <w:r w:rsidRPr="00C63262">
        <w:rPr>
          <w:rFonts w:ascii="Arial" w:hAnsi="Arial" w:cs="Arial"/>
          <w:lang w:val="en-GB"/>
        </w:rPr>
        <w:t>), presenting a low-cost add-on service opportunity.</w:t>
      </w:r>
    </w:p>
    <w:p w14:paraId="3E81FD66" w14:textId="77777777" w:rsidR="00C63262" w:rsidRDefault="00C63262" w:rsidP="00C63262">
      <w:pPr>
        <w:spacing w:line="360" w:lineRule="auto"/>
        <w:rPr>
          <w:rFonts w:ascii="Arial" w:hAnsi="Arial" w:cs="Arial"/>
          <w:lang w:val="en-GB"/>
        </w:rPr>
      </w:pPr>
      <w:r w:rsidRPr="00C63262">
        <w:rPr>
          <w:rFonts w:ascii="Arial" w:hAnsi="Arial" w:cs="Arial"/>
          <w:b/>
          <w:bCs/>
          <w:lang w:val="en-GB"/>
        </w:rPr>
        <w:t>Accessories Retail:</w:t>
      </w:r>
      <w:r w:rsidRPr="00C63262">
        <w:rPr>
          <w:rFonts w:ascii="Arial" w:hAnsi="Arial" w:cs="Arial"/>
          <w:lang w:val="en-GB"/>
        </w:rPr>
        <w:t xml:space="preserve"> 41 % of UK drivers purchased in-car tech or aesthetic upgrades in 2024 (</w:t>
      </w:r>
      <w:r w:rsidRPr="00C63262">
        <w:rPr>
          <w:rFonts w:ascii="Arial" w:hAnsi="Arial" w:cs="Arial"/>
          <w:i/>
          <w:iCs/>
          <w:lang w:val="en-GB"/>
        </w:rPr>
        <w:t>Statista, 2024</w:t>
      </w:r>
      <w:r w:rsidRPr="00C63262">
        <w:rPr>
          <w:rFonts w:ascii="Arial" w:hAnsi="Arial" w:cs="Arial"/>
          <w:lang w:val="en-GB"/>
        </w:rPr>
        <w:t>). Integrated promotions via the 1 STATION app enhance cross-selling and brand engagement.</w:t>
      </w:r>
    </w:p>
    <w:p w14:paraId="1196A85B" w14:textId="3D4A0522" w:rsidR="00B12669" w:rsidRPr="00C63262" w:rsidRDefault="00B12669" w:rsidP="00C63262">
      <w:pPr>
        <w:spacing w:line="360" w:lineRule="auto"/>
        <w:rPr>
          <w:rFonts w:ascii="Arial" w:hAnsi="Arial" w:cs="Arial"/>
          <w:lang w:val="en-GB"/>
        </w:rPr>
      </w:pPr>
      <w:r>
        <w:rPr>
          <w:rFonts w:ascii="Arial" w:hAnsi="Arial" w:cs="Arial"/>
          <w:noProof/>
          <w:lang w:val="en-GB"/>
          <w14:ligatures w14:val="standardContextual"/>
        </w:rPr>
        <w:lastRenderedPageBreak/>
        <w:drawing>
          <wp:inline distT="0" distB="0" distL="0" distR="0" wp14:anchorId="5BB3B840" wp14:editId="62378BE9">
            <wp:extent cx="5486400" cy="3152775"/>
            <wp:effectExtent l="0" t="0" r="0" b="9525"/>
            <wp:docPr id="659344332" name="Picture 3"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344332" name="Picture 3" descr="A pie chart with different colored circles&#10;&#10;AI-generated content may be incorrect."/>
                    <pic:cNvPicPr/>
                  </pic:nvPicPr>
                  <pic:blipFill rotWithShape="1">
                    <a:blip r:embed="rId12">
                      <a:extLst>
                        <a:ext uri="{28A0092B-C50C-407E-A947-70E740481C1C}">
                          <a14:useLocalDpi xmlns:a14="http://schemas.microsoft.com/office/drawing/2010/main" val="0"/>
                        </a:ext>
                      </a:extLst>
                    </a:blip>
                    <a:srcRect t="25173" b="17361"/>
                    <a:stretch>
                      <a:fillRect/>
                    </a:stretch>
                  </pic:blipFill>
                  <pic:spPr bwMode="auto">
                    <a:xfrm>
                      <a:off x="0" y="0"/>
                      <a:ext cx="5486411" cy="3152781"/>
                    </a:xfrm>
                    <a:prstGeom prst="rect">
                      <a:avLst/>
                    </a:prstGeom>
                    <a:ln>
                      <a:noFill/>
                    </a:ln>
                    <a:extLst>
                      <a:ext uri="{53640926-AAD7-44D8-BBD7-CCE9431645EC}">
                        <a14:shadowObscured xmlns:a14="http://schemas.microsoft.com/office/drawing/2010/main"/>
                      </a:ext>
                    </a:extLst>
                  </pic:spPr>
                </pic:pic>
              </a:graphicData>
            </a:graphic>
          </wp:inline>
        </w:drawing>
      </w:r>
    </w:p>
    <w:p w14:paraId="1BE3054D" w14:textId="77777777" w:rsidR="00C63262" w:rsidRPr="00C63262" w:rsidRDefault="00C63262" w:rsidP="00C63262">
      <w:pPr>
        <w:spacing w:line="360" w:lineRule="auto"/>
        <w:rPr>
          <w:rFonts w:ascii="Arial" w:hAnsi="Arial" w:cs="Arial"/>
          <w:lang w:val="en-GB"/>
        </w:rPr>
      </w:pPr>
      <w:r w:rsidRPr="00C63262">
        <w:rPr>
          <w:rFonts w:ascii="Arial" w:hAnsi="Arial" w:cs="Arial"/>
          <w:i/>
          <w:iCs/>
          <w:lang w:val="en-GB"/>
        </w:rPr>
        <w:t>Figure 5. Estimated Demand Shares by Service Line (UK Aftermarket 2024)</w:t>
      </w:r>
      <w:r w:rsidRPr="00C63262">
        <w:rPr>
          <w:rFonts w:ascii="Arial" w:hAnsi="Arial" w:cs="Arial"/>
          <w:lang w:val="en-GB"/>
        </w:rPr>
        <w:br/>
      </w:r>
      <w:r w:rsidRPr="00C63262">
        <w:rPr>
          <w:rFonts w:ascii="Arial" w:hAnsi="Arial" w:cs="Arial"/>
          <w:i/>
          <w:iCs/>
          <w:lang w:val="en-GB"/>
        </w:rPr>
        <w:t>Source: Mintel (2024); IBISWorld (2024)</w:t>
      </w:r>
    </w:p>
    <w:p w14:paraId="662CCAF4" w14:textId="77777777" w:rsidR="00D66EC6" w:rsidRPr="00D66EC6" w:rsidRDefault="00D66EC6" w:rsidP="000E6711">
      <w:pPr>
        <w:pStyle w:val="Heading2"/>
        <w:rPr>
          <w:lang w:val="en-GB"/>
        </w:rPr>
      </w:pPr>
      <w:bookmarkStart w:id="17" w:name="_Toc210939834"/>
      <w:r w:rsidRPr="00D66EC6">
        <w:rPr>
          <w:lang w:val="en-GB"/>
        </w:rPr>
        <w:t>3.4 Consumer Behaviour and Market Trends</w:t>
      </w:r>
      <w:bookmarkEnd w:id="17"/>
    </w:p>
    <w:p w14:paraId="46F855CE" w14:textId="23AA05DA" w:rsidR="00123E12" w:rsidRPr="00123E12" w:rsidRDefault="006D5E09" w:rsidP="00123E12">
      <w:pPr>
        <w:spacing w:line="360" w:lineRule="auto"/>
        <w:rPr>
          <w:rFonts w:ascii="Arial" w:hAnsi="Arial" w:cs="Arial"/>
          <w:lang w:val="en-GB"/>
        </w:rPr>
      </w:pPr>
      <w:r>
        <w:rPr>
          <w:rFonts w:ascii="Arial" w:hAnsi="Arial" w:cs="Arial"/>
          <w:lang w:val="en-GB"/>
        </w:rPr>
        <w:t>Secondary</w:t>
      </w:r>
      <w:r w:rsidR="00123E12" w:rsidRPr="00123E12">
        <w:rPr>
          <w:rFonts w:ascii="Arial" w:hAnsi="Arial" w:cs="Arial"/>
          <w:lang w:val="en-GB"/>
        </w:rPr>
        <w:t xml:space="preserve"> data reveal four key behavioural and technological trends relevant to Sandwell’s market.</w:t>
      </w:r>
    </w:p>
    <w:p w14:paraId="400089B7" w14:textId="77777777" w:rsidR="00123E12" w:rsidRPr="00123E12" w:rsidRDefault="00123E12" w:rsidP="00123E12">
      <w:pPr>
        <w:numPr>
          <w:ilvl w:val="0"/>
          <w:numId w:val="22"/>
        </w:numPr>
        <w:spacing w:line="360" w:lineRule="auto"/>
        <w:rPr>
          <w:rFonts w:ascii="Arial" w:hAnsi="Arial" w:cs="Arial"/>
          <w:lang w:val="en-GB"/>
        </w:rPr>
      </w:pPr>
      <w:r w:rsidRPr="00123E12">
        <w:rPr>
          <w:rFonts w:ascii="Arial" w:hAnsi="Arial" w:cs="Arial"/>
          <w:b/>
          <w:bCs/>
          <w:lang w:val="en-GB"/>
        </w:rPr>
        <w:t>Digitalisation and Convenience:</w:t>
      </w:r>
      <w:r w:rsidRPr="00123E12">
        <w:rPr>
          <w:rFonts w:ascii="Arial" w:hAnsi="Arial" w:cs="Arial"/>
          <w:lang w:val="en-GB"/>
        </w:rPr>
        <w:t xml:space="preserve"> 45 % of UK motorists book online (</w:t>
      </w:r>
      <w:r w:rsidRPr="00123E12">
        <w:rPr>
          <w:rFonts w:ascii="Arial" w:hAnsi="Arial" w:cs="Arial"/>
          <w:i/>
          <w:iCs/>
          <w:lang w:val="en-GB"/>
        </w:rPr>
        <w:t>Statista, 2024</w:t>
      </w:r>
      <w:r w:rsidRPr="00123E12">
        <w:rPr>
          <w:rFonts w:ascii="Arial" w:hAnsi="Arial" w:cs="Arial"/>
          <w:lang w:val="en-GB"/>
        </w:rPr>
        <w:t>); 70 % use multiple providers due to fragmented supply (</w:t>
      </w:r>
      <w:r w:rsidRPr="00123E12">
        <w:rPr>
          <w:rFonts w:ascii="Arial" w:hAnsi="Arial" w:cs="Arial"/>
          <w:i/>
          <w:iCs/>
          <w:lang w:val="en-GB"/>
        </w:rPr>
        <w:t>Mintel, 2024</w:t>
      </w:r>
      <w:r w:rsidRPr="00123E12">
        <w:rPr>
          <w:rFonts w:ascii="Arial" w:hAnsi="Arial" w:cs="Arial"/>
          <w:lang w:val="en-GB"/>
        </w:rPr>
        <w:t>). An integrated digital platform addresses this gap.</w:t>
      </w:r>
    </w:p>
    <w:p w14:paraId="6FB00F10" w14:textId="77777777" w:rsidR="00123E12" w:rsidRPr="00123E12" w:rsidRDefault="00123E12" w:rsidP="00123E12">
      <w:pPr>
        <w:numPr>
          <w:ilvl w:val="0"/>
          <w:numId w:val="22"/>
        </w:numPr>
        <w:spacing w:line="360" w:lineRule="auto"/>
        <w:rPr>
          <w:rFonts w:ascii="Arial" w:hAnsi="Arial" w:cs="Arial"/>
          <w:lang w:val="en-GB"/>
        </w:rPr>
      </w:pPr>
      <w:r w:rsidRPr="00123E12">
        <w:rPr>
          <w:rFonts w:ascii="Arial" w:hAnsi="Arial" w:cs="Arial"/>
          <w:b/>
          <w:bCs/>
          <w:lang w:val="en-GB"/>
        </w:rPr>
        <w:t>Sustainability:</w:t>
      </w:r>
      <w:r w:rsidRPr="00123E12">
        <w:rPr>
          <w:rFonts w:ascii="Arial" w:hAnsi="Arial" w:cs="Arial"/>
          <w:lang w:val="en-GB"/>
        </w:rPr>
        <w:t xml:space="preserve"> 62 % of consumers consider environmental credentials (</w:t>
      </w:r>
      <w:r w:rsidRPr="00123E12">
        <w:rPr>
          <w:rFonts w:ascii="Arial" w:hAnsi="Arial" w:cs="Arial"/>
          <w:i/>
          <w:iCs/>
          <w:lang w:val="en-GB"/>
        </w:rPr>
        <w:t>ONS, 2023</w:t>
      </w:r>
      <w:r w:rsidRPr="00123E12">
        <w:rPr>
          <w:rFonts w:ascii="Arial" w:hAnsi="Arial" w:cs="Arial"/>
          <w:lang w:val="en-GB"/>
        </w:rPr>
        <w:t>). Eco-wash systems and EV maintenance align with Sandwell Council’s Greener Borough Strategy (2023–2030).</w:t>
      </w:r>
    </w:p>
    <w:p w14:paraId="503ED3FE" w14:textId="77777777" w:rsidR="00123E12" w:rsidRPr="00123E12" w:rsidRDefault="00123E12" w:rsidP="00123E12">
      <w:pPr>
        <w:numPr>
          <w:ilvl w:val="0"/>
          <w:numId w:val="22"/>
        </w:numPr>
        <w:spacing w:line="360" w:lineRule="auto"/>
        <w:rPr>
          <w:rFonts w:ascii="Arial" w:hAnsi="Arial" w:cs="Arial"/>
          <w:lang w:val="en-GB"/>
        </w:rPr>
      </w:pPr>
      <w:r w:rsidRPr="00123E12">
        <w:rPr>
          <w:rFonts w:ascii="Arial" w:hAnsi="Arial" w:cs="Arial"/>
          <w:b/>
          <w:bCs/>
          <w:lang w:val="en-GB"/>
        </w:rPr>
        <w:t>Price Transparency and Trust:</w:t>
      </w:r>
      <w:r w:rsidRPr="00123E12">
        <w:rPr>
          <w:rFonts w:ascii="Arial" w:hAnsi="Arial" w:cs="Arial"/>
          <w:lang w:val="en-GB"/>
        </w:rPr>
        <w:t xml:space="preserve"> 68 % of drivers would switch providers for clearer pricing (</w:t>
      </w:r>
      <w:r w:rsidRPr="00123E12">
        <w:rPr>
          <w:rFonts w:ascii="Arial" w:hAnsi="Arial" w:cs="Arial"/>
          <w:i/>
          <w:iCs/>
          <w:lang w:val="en-GB"/>
        </w:rPr>
        <w:t>PwC, 2024</w:t>
      </w:r>
      <w:r w:rsidRPr="00123E12">
        <w:rPr>
          <w:rFonts w:ascii="Arial" w:hAnsi="Arial" w:cs="Arial"/>
          <w:lang w:val="en-GB"/>
        </w:rPr>
        <w:t>). 1 STATION’s fixed-rate menus and instant quotes strengthen customer trust.</w:t>
      </w:r>
    </w:p>
    <w:p w14:paraId="1557A8CB" w14:textId="77777777" w:rsidR="00123E12" w:rsidRDefault="00123E12" w:rsidP="00123E12">
      <w:pPr>
        <w:numPr>
          <w:ilvl w:val="0"/>
          <w:numId w:val="22"/>
        </w:numPr>
        <w:spacing w:line="360" w:lineRule="auto"/>
        <w:rPr>
          <w:rFonts w:ascii="Arial" w:hAnsi="Arial" w:cs="Arial"/>
          <w:lang w:val="en-GB"/>
        </w:rPr>
      </w:pPr>
      <w:r w:rsidRPr="00123E12">
        <w:rPr>
          <w:rFonts w:ascii="Arial" w:hAnsi="Arial" w:cs="Arial"/>
          <w:b/>
          <w:bCs/>
          <w:lang w:val="en-GB"/>
        </w:rPr>
        <w:t>Local Lifestyle:</w:t>
      </w:r>
      <w:r w:rsidRPr="00123E12">
        <w:rPr>
          <w:rFonts w:ascii="Arial" w:hAnsi="Arial" w:cs="Arial"/>
          <w:lang w:val="en-GB"/>
        </w:rPr>
        <w:t xml:space="preserve"> Over 70 % of Sandwell’s workers commute by car (</w:t>
      </w:r>
      <w:r w:rsidRPr="00123E12">
        <w:rPr>
          <w:rFonts w:ascii="Arial" w:hAnsi="Arial" w:cs="Arial"/>
          <w:i/>
          <w:iCs/>
          <w:lang w:val="en-GB"/>
        </w:rPr>
        <w:t>DfT, 2023</w:t>
      </w:r>
      <w:r w:rsidRPr="00123E12">
        <w:rPr>
          <w:rFonts w:ascii="Arial" w:hAnsi="Arial" w:cs="Arial"/>
          <w:lang w:val="en-GB"/>
        </w:rPr>
        <w:t>), sustaining weekday fleet and weekend family traffic.</w:t>
      </w:r>
    </w:p>
    <w:p w14:paraId="19995F00" w14:textId="77B314B0" w:rsidR="00AA741A" w:rsidRPr="00123E12" w:rsidRDefault="00AA741A" w:rsidP="00B12669">
      <w:pPr>
        <w:spacing w:line="360" w:lineRule="auto"/>
        <w:ind w:left="360"/>
        <w:jc w:val="center"/>
        <w:rPr>
          <w:rFonts w:ascii="Arial" w:hAnsi="Arial" w:cs="Arial"/>
          <w:lang w:val="en-GB"/>
        </w:rPr>
      </w:pPr>
      <w:r>
        <w:rPr>
          <w:rFonts w:ascii="Arial" w:hAnsi="Arial" w:cs="Arial"/>
          <w:noProof/>
          <w:lang w:val="en-GB"/>
          <w14:ligatures w14:val="standardContextual"/>
        </w:rPr>
        <w:lastRenderedPageBreak/>
        <w:drawing>
          <wp:inline distT="0" distB="0" distL="0" distR="0" wp14:anchorId="2C2DA8DD" wp14:editId="2BF80F67">
            <wp:extent cx="5524500" cy="3333750"/>
            <wp:effectExtent l="0" t="0" r="0" b="0"/>
            <wp:docPr id="665961380" name="Picture 1" descr="A graph showing a number of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61380" name="Picture 1" descr="A graph showing a number of orange bars&#10;&#10;AI-generated content may be incorrect."/>
                    <pic:cNvPicPr/>
                  </pic:nvPicPr>
                  <pic:blipFill rotWithShape="1">
                    <a:blip r:embed="rId13">
                      <a:extLst>
                        <a:ext uri="{28A0092B-C50C-407E-A947-70E740481C1C}">
                          <a14:useLocalDpi xmlns:a14="http://schemas.microsoft.com/office/drawing/2010/main" val="0"/>
                        </a:ext>
                      </a:extLst>
                    </a:blip>
                    <a:srcRect t="8854"/>
                    <a:stretch>
                      <a:fillRect/>
                    </a:stretch>
                  </pic:blipFill>
                  <pic:spPr bwMode="auto">
                    <a:xfrm>
                      <a:off x="0" y="0"/>
                      <a:ext cx="5524511" cy="3333757"/>
                    </a:xfrm>
                    <a:prstGeom prst="rect">
                      <a:avLst/>
                    </a:prstGeom>
                    <a:ln>
                      <a:noFill/>
                    </a:ln>
                    <a:extLst>
                      <a:ext uri="{53640926-AAD7-44D8-BBD7-CCE9431645EC}">
                        <a14:shadowObscured xmlns:a14="http://schemas.microsoft.com/office/drawing/2010/main"/>
                      </a:ext>
                    </a:extLst>
                  </pic:spPr>
                </pic:pic>
              </a:graphicData>
            </a:graphic>
          </wp:inline>
        </w:drawing>
      </w:r>
    </w:p>
    <w:p w14:paraId="723B848C" w14:textId="32D5423C" w:rsidR="00D66EC6" w:rsidRPr="00D66EC6" w:rsidRDefault="00123E12" w:rsidP="00123E12">
      <w:pPr>
        <w:spacing w:line="360" w:lineRule="auto"/>
        <w:rPr>
          <w:rFonts w:ascii="Arial" w:hAnsi="Arial" w:cs="Arial"/>
          <w:lang w:val="en-GB"/>
        </w:rPr>
      </w:pPr>
      <w:r w:rsidRPr="00123E12">
        <w:rPr>
          <w:rFonts w:ascii="Arial" w:hAnsi="Arial" w:cs="Arial"/>
          <w:i/>
          <w:iCs/>
          <w:lang w:val="en-GB"/>
        </w:rPr>
        <w:t>Figure 6. Key Consumer Preferences in UK Vehicle Services (2024)</w:t>
      </w:r>
      <w:r w:rsidRPr="00123E12">
        <w:rPr>
          <w:rFonts w:ascii="Arial" w:hAnsi="Arial" w:cs="Arial"/>
          <w:lang w:val="en-GB"/>
        </w:rPr>
        <w:br/>
      </w:r>
      <w:r w:rsidRPr="00123E12">
        <w:rPr>
          <w:rFonts w:ascii="Arial" w:hAnsi="Arial" w:cs="Arial"/>
          <w:i/>
          <w:iCs/>
          <w:lang w:val="en-GB"/>
        </w:rPr>
        <w:t>Source: Statista (2024); Mintel (2024); ONS (2023); PwC (2024)</w:t>
      </w:r>
    </w:p>
    <w:p w14:paraId="7058D968" w14:textId="77777777" w:rsidR="00D66EC6" w:rsidRPr="00D66EC6" w:rsidRDefault="00D66EC6" w:rsidP="000E6711">
      <w:pPr>
        <w:pStyle w:val="Heading2"/>
        <w:rPr>
          <w:lang w:val="en-GB"/>
        </w:rPr>
      </w:pPr>
      <w:bookmarkStart w:id="18" w:name="_Toc210939835"/>
      <w:r w:rsidRPr="00D66EC6">
        <w:rPr>
          <w:lang w:val="en-GB"/>
        </w:rPr>
        <w:t>3.5 Market Validation</w:t>
      </w:r>
      <w:bookmarkEnd w:id="18"/>
    </w:p>
    <w:p w14:paraId="73C8EBF1" w14:textId="6DDFB39B" w:rsidR="001F5926" w:rsidRDefault="001F5926" w:rsidP="001F5926">
      <w:pPr>
        <w:spacing w:line="360" w:lineRule="auto"/>
        <w:rPr>
          <w:rFonts w:ascii="Arial" w:hAnsi="Arial" w:cs="Arial"/>
          <w:lang w:val="en-GB"/>
        </w:rPr>
      </w:pPr>
      <w:r w:rsidRPr="001F5926">
        <w:rPr>
          <w:rFonts w:ascii="Arial" w:hAnsi="Arial" w:cs="Arial"/>
          <w:lang w:val="en-GB"/>
        </w:rPr>
        <w:t>Triangulating ONS, DVSA, and industry data confirms strong commercial viability for 1 STATION Ltd.</w:t>
      </w:r>
      <w:r w:rsidRPr="001F5926">
        <w:rPr>
          <w:rFonts w:ascii="Arial" w:hAnsi="Arial" w:cs="Arial"/>
          <w:lang w:val="en-GB"/>
        </w:rPr>
        <w:br/>
      </w:r>
      <w:r w:rsidRPr="001F5926">
        <w:rPr>
          <w:rFonts w:ascii="Arial" w:hAnsi="Arial" w:cs="Arial"/>
          <w:b/>
          <w:bCs/>
          <w:lang w:val="en-GB"/>
        </w:rPr>
        <w:t>Fragmented Supply:</w:t>
      </w:r>
      <w:r w:rsidRPr="001F5926">
        <w:rPr>
          <w:rFonts w:ascii="Arial" w:hAnsi="Arial" w:cs="Arial"/>
          <w:lang w:val="en-GB"/>
        </w:rPr>
        <w:t xml:space="preserve"> Over 230 garages operate locally, none offering a comprehensive hub model.</w:t>
      </w:r>
      <w:r w:rsidRPr="001F5926">
        <w:rPr>
          <w:rFonts w:ascii="Arial" w:hAnsi="Arial" w:cs="Arial"/>
          <w:lang w:val="en-GB"/>
        </w:rPr>
        <w:br/>
      </w:r>
      <w:r w:rsidRPr="001F5926">
        <w:rPr>
          <w:rFonts w:ascii="Arial" w:hAnsi="Arial" w:cs="Arial"/>
          <w:b/>
          <w:bCs/>
          <w:lang w:val="en-GB"/>
        </w:rPr>
        <w:t>Capacity Pressure:</w:t>
      </w:r>
      <w:r w:rsidRPr="001F5926">
        <w:rPr>
          <w:rFonts w:ascii="Arial" w:hAnsi="Arial" w:cs="Arial"/>
          <w:lang w:val="en-GB"/>
        </w:rPr>
        <w:t xml:space="preserve"> One MOT station per 1,190 cars ensures steady demand and cross-sell opportunity.</w:t>
      </w:r>
      <w:r w:rsidRPr="001F5926">
        <w:rPr>
          <w:rFonts w:ascii="Arial" w:hAnsi="Arial" w:cs="Arial"/>
          <w:lang w:val="en-GB"/>
        </w:rPr>
        <w:br/>
      </w:r>
      <w:r w:rsidRPr="001F5926">
        <w:rPr>
          <w:rFonts w:ascii="Arial" w:hAnsi="Arial" w:cs="Arial"/>
          <w:b/>
          <w:bCs/>
          <w:lang w:val="en-GB"/>
        </w:rPr>
        <w:t>Technology &amp; Sustainability Gaps:</w:t>
      </w:r>
      <w:r w:rsidRPr="001F5926">
        <w:rPr>
          <w:rFonts w:ascii="Arial" w:hAnsi="Arial" w:cs="Arial"/>
          <w:lang w:val="en-GB"/>
        </w:rPr>
        <w:t xml:space="preserve"> &lt; 10 EV-qualified sites and mostly non-compliant car washes reveal market space for eco-innovation.</w:t>
      </w:r>
    </w:p>
    <w:p w14:paraId="3391A519" w14:textId="04B3E2C4" w:rsidR="00B12669" w:rsidRPr="001F5926" w:rsidRDefault="00B12669" w:rsidP="001F5926">
      <w:pPr>
        <w:spacing w:line="360" w:lineRule="auto"/>
        <w:rPr>
          <w:rFonts w:ascii="Arial" w:hAnsi="Arial" w:cs="Arial"/>
          <w:lang w:val="en-GB"/>
        </w:rPr>
      </w:pPr>
      <w:r>
        <w:rPr>
          <w:rFonts w:ascii="Arial" w:hAnsi="Arial" w:cs="Arial"/>
          <w:noProof/>
          <w:lang w:val="en-GB"/>
          <w14:ligatures w14:val="standardContextual"/>
        </w:rPr>
        <w:lastRenderedPageBreak/>
        <w:drawing>
          <wp:inline distT="0" distB="0" distL="0" distR="0" wp14:anchorId="040F2963" wp14:editId="45B9C22C">
            <wp:extent cx="5486400" cy="3343275"/>
            <wp:effectExtent l="0" t="0" r="0" b="9525"/>
            <wp:docPr id="1046690348" name="Picture 2" descr="A graph of a servic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90348" name="Picture 2" descr="A graph of a service line&#10;&#10;AI-generated content may be incorrect."/>
                    <pic:cNvPicPr/>
                  </pic:nvPicPr>
                  <pic:blipFill rotWithShape="1">
                    <a:blip r:embed="rId14">
                      <a:extLst>
                        <a:ext uri="{28A0092B-C50C-407E-A947-70E740481C1C}">
                          <a14:useLocalDpi xmlns:a14="http://schemas.microsoft.com/office/drawing/2010/main" val="0"/>
                        </a:ext>
                      </a:extLst>
                    </a:blip>
                    <a:srcRect t="8594"/>
                    <a:stretch>
                      <a:fillRect/>
                    </a:stretch>
                  </pic:blipFill>
                  <pic:spPr bwMode="auto">
                    <a:xfrm>
                      <a:off x="0" y="0"/>
                      <a:ext cx="5486411" cy="3343282"/>
                    </a:xfrm>
                    <a:prstGeom prst="rect">
                      <a:avLst/>
                    </a:prstGeom>
                    <a:ln>
                      <a:noFill/>
                    </a:ln>
                    <a:extLst>
                      <a:ext uri="{53640926-AAD7-44D8-BBD7-CCE9431645EC}">
                        <a14:shadowObscured xmlns:a14="http://schemas.microsoft.com/office/drawing/2010/main"/>
                      </a:ext>
                    </a:extLst>
                  </pic:spPr>
                </pic:pic>
              </a:graphicData>
            </a:graphic>
          </wp:inline>
        </w:drawing>
      </w:r>
    </w:p>
    <w:p w14:paraId="3FDF9C31" w14:textId="60837695" w:rsidR="00D66EC6" w:rsidRPr="00C83607" w:rsidRDefault="001F5926" w:rsidP="00C83607">
      <w:pPr>
        <w:spacing w:line="360" w:lineRule="auto"/>
        <w:rPr>
          <w:rFonts w:ascii="Arial" w:hAnsi="Arial" w:cs="Arial"/>
          <w:lang w:val="en-GB"/>
        </w:rPr>
      </w:pPr>
      <w:r w:rsidRPr="001F5926">
        <w:rPr>
          <w:rFonts w:ascii="Arial" w:hAnsi="Arial" w:cs="Arial"/>
          <w:i/>
          <w:iCs/>
          <w:lang w:val="en-GB"/>
        </w:rPr>
        <w:t>Figure 7. Service-Line Opportunity Map for 1 STATION (Sandwell)</w:t>
      </w:r>
      <w:r w:rsidRPr="001F5926">
        <w:rPr>
          <w:rFonts w:ascii="Arial" w:hAnsi="Arial" w:cs="Arial"/>
          <w:lang w:val="en-GB"/>
        </w:rPr>
        <w:br/>
      </w:r>
      <w:r w:rsidRPr="001F5926">
        <w:rPr>
          <w:rFonts w:ascii="Arial" w:hAnsi="Arial" w:cs="Arial"/>
          <w:i/>
          <w:iCs/>
          <w:lang w:val="en-GB"/>
        </w:rPr>
        <w:t>Source: Mintel (2024); IBISWorld (2024); ONS/Nomis (2024); DVSA (2025)</w:t>
      </w:r>
    </w:p>
    <w:p w14:paraId="0C3447B3" w14:textId="4E8C0E8E" w:rsidR="00671666" w:rsidRPr="00671666" w:rsidRDefault="00671666" w:rsidP="00671666">
      <w:pPr>
        <w:pStyle w:val="Heading1"/>
        <w:rPr>
          <w:lang w:val="en-GB"/>
        </w:rPr>
      </w:pPr>
      <w:bookmarkStart w:id="19" w:name="_Toc210939836"/>
      <w:r w:rsidRPr="00671666">
        <w:rPr>
          <w:lang w:val="en-GB"/>
        </w:rPr>
        <w:t>4. Research Risks and Limitations</w:t>
      </w:r>
      <w:bookmarkEnd w:id="19"/>
    </w:p>
    <w:p w14:paraId="4CAF51E1" w14:textId="5B4F70DA" w:rsidR="00671666" w:rsidRPr="00671666" w:rsidRDefault="001F623C" w:rsidP="00C83607">
      <w:pPr>
        <w:spacing w:line="360" w:lineRule="auto"/>
        <w:rPr>
          <w:rFonts w:ascii="Arial" w:hAnsi="Arial" w:cs="Arial"/>
          <w:lang w:val="en-GB"/>
        </w:rPr>
      </w:pPr>
      <w:r w:rsidRPr="001F623C">
        <w:rPr>
          <w:rFonts w:ascii="Arial" w:hAnsi="Arial" w:cs="Arial"/>
        </w:rPr>
        <w:t xml:space="preserve">Developing this Business Development Proposal involves several research-related risks typical of master’s-level projects. </w:t>
      </w:r>
      <w:proofErr w:type="spellStart"/>
      <w:r w:rsidRPr="001F623C">
        <w:rPr>
          <w:rFonts w:ascii="Arial" w:hAnsi="Arial" w:cs="Arial"/>
        </w:rPr>
        <w:t>Recognising</w:t>
      </w:r>
      <w:proofErr w:type="spellEnd"/>
      <w:r w:rsidRPr="001F623C">
        <w:rPr>
          <w:rFonts w:ascii="Arial" w:hAnsi="Arial" w:cs="Arial"/>
        </w:rPr>
        <w:t xml:space="preserve"> these early ensures that they are managed effectively throughout the process</w:t>
      </w:r>
      <w:r w:rsidR="00671666" w:rsidRPr="00671666">
        <w:rPr>
          <w:rFonts w:ascii="Arial" w:hAnsi="Arial" w:cs="Arial"/>
          <w:lang w:val="en-GB"/>
        </w:rPr>
        <w:t>.</w:t>
      </w:r>
    </w:p>
    <w:p w14:paraId="7CE4F2E3" w14:textId="59A25F4C" w:rsidR="00671666" w:rsidRPr="00671666" w:rsidRDefault="00746C17" w:rsidP="00C83607">
      <w:pPr>
        <w:pStyle w:val="Heading2"/>
        <w:spacing w:line="360" w:lineRule="auto"/>
        <w:rPr>
          <w:lang w:val="en-GB"/>
        </w:rPr>
      </w:pPr>
      <w:bookmarkStart w:id="20" w:name="_Toc210939837"/>
      <w:r>
        <w:rPr>
          <w:lang w:val="en-GB"/>
        </w:rPr>
        <w:t xml:space="preserve">4.1 </w:t>
      </w:r>
      <w:r w:rsidR="00671666" w:rsidRPr="00671666">
        <w:rPr>
          <w:lang w:val="en-GB"/>
        </w:rPr>
        <w:t>Time Management and Workload</w:t>
      </w:r>
      <w:bookmarkEnd w:id="20"/>
    </w:p>
    <w:p w14:paraId="04F5067A" w14:textId="312AB1D4" w:rsidR="00D979A1" w:rsidRPr="00D979A1" w:rsidRDefault="00671666" w:rsidP="00C83607">
      <w:pPr>
        <w:spacing w:line="360" w:lineRule="auto"/>
        <w:rPr>
          <w:lang w:val="en-GB"/>
        </w:rPr>
      </w:pPr>
      <w:r w:rsidRPr="00671666">
        <w:rPr>
          <w:lang w:val="en-GB"/>
        </w:rPr>
        <w:t xml:space="preserve">The </w:t>
      </w:r>
      <w:r w:rsidR="00235FE7" w:rsidRPr="00235FE7">
        <w:t>main challenge is balancing this 15,000-word project alongside other MBA modules. Time pressure can restrict data analysis and referencing accuracy. To mitigate this, the researcher has adopted a structured weekly schedule with fixed study hours and early internal deadlines, supported by regular supervision meetings (Saunders et al., 2019)</w:t>
      </w:r>
      <w:r w:rsidRPr="00671666">
        <w:rPr>
          <w:lang w:val="en-GB"/>
        </w:rPr>
        <w:t>.</w:t>
      </w:r>
      <w:r w:rsidR="00D979A1">
        <w:rPr>
          <w:lang w:val="en-GB"/>
        </w:rPr>
        <w:t xml:space="preserve"> </w:t>
      </w:r>
    </w:p>
    <w:p w14:paraId="308A4C56" w14:textId="13CEDF2E" w:rsidR="00F20CE0" w:rsidRDefault="00F20CE0" w:rsidP="00C83607">
      <w:pPr>
        <w:pStyle w:val="Heading2"/>
        <w:spacing w:line="360" w:lineRule="auto"/>
        <w:rPr>
          <w:lang w:val="en-GB"/>
        </w:rPr>
      </w:pPr>
      <w:bookmarkStart w:id="21" w:name="_Toc210939838"/>
      <w:r>
        <w:rPr>
          <w:lang w:val="en-GB"/>
        </w:rPr>
        <w:t xml:space="preserve">4.2 </w:t>
      </w:r>
      <w:r w:rsidR="00D979A1" w:rsidRPr="00D979A1">
        <w:rPr>
          <w:lang w:val="en-GB"/>
        </w:rPr>
        <w:t>Data Access and Reliability.</w:t>
      </w:r>
      <w:bookmarkEnd w:id="21"/>
    </w:p>
    <w:p w14:paraId="470639C1" w14:textId="187D5A7E" w:rsidR="00D979A1" w:rsidRPr="00D979A1" w:rsidRDefault="00D979A1" w:rsidP="00C83607">
      <w:pPr>
        <w:spacing w:line="360" w:lineRule="auto"/>
        <w:rPr>
          <w:rFonts w:ascii="Arial" w:hAnsi="Arial" w:cs="Arial"/>
          <w:lang w:val="en-GB"/>
        </w:rPr>
      </w:pPr>
      <w:r w:rsidRPr="00D979A1">
        <w:rPr>
          <w:rFonts w:ascii="Arial" w:hAnsi="Arial" w:cs="Arial"/>
          <w:lang w:val="en-GB"/>
        </w:rPr>
        <w:t>As the study relies entirely on secondary sources, there is a risk of incomplete or dated information—especially at local level. Subscription-based datasets (e.g., ONS /Nomis, DVSA, Mintel, IBISWorld) may limit access. This will be reduced through triangulation using publicly available data from the Office for National Statistics (ONS), Department for Transport (DfT), and Sandwell Council, cross-verified with academic and industry publications.</w:t>
      </w:r>
    </w:p>
    <w:p w14:paraId="53D40709" w14:textId="1C3DC98F" w:rsidR="00F20CE0" w:rsidRDefault="00F20CE0" w:rsidP="00C83607">
      <w:pPr>
        <w:pStyle w:val="Heading2"/>
        <w:spacing w:line="360" w:lineRule="auto"/>
        <w:rPr>
          <w:lang w:val="en-GB"/>
        </w:rPr>
      </w:pPr>
      <w:bookmarkStart w:id="22" w:name="_Toc210939839"/>
      <w:r>
        <w:rPr>
          <w:lang w:val="en-GB"/>
        </w:rPr>
        <w:lastRenderedPageBreak/>
        <w:t xml:space="preserve">4.3 </w:t>
      </w:r>
      <w:r w:rsidR="00D979A1" w:rsidRPr="00D979A1">
        <w:rPr>
          <w:lang w:val="en-GB"/>
        </w:rPr>
        <w:t>Methodological Scope and Interpretation.</w:t>
      </w:r>
      <w:bookmarkEnd w:id="22"/>
    </w:p>
    <w:p w14:paraId="54E28D3C" w14:textId="0DC75B80" w:rsidR="00D979A1" w:rsidRPr="00D979A1" w:rsidRDefault="00D979A1" w:rsidP="00C83607">
      <w:pPr>
        <w:spacing w:line="360" w:lineRule="auto"/>
        <w:rPr>
          <w:rFonts w:ascii="Arial" w:hAnsi="Arial" w:cs="Arial"/>
          <w:lang w:val="en-GB"/>
        </w:rPr>
      </w:pPr>
      <w:r w:rsidRPr="00D979A1">
        <w:rPr>
          <w:rFonts w:ascii="Arial" w:hAnsi="Arial" w:cs="Arial"/>
          <w:lang w:val="en-GB"/>
        </w:rPr>
        <w:t>Secondary research may not capture real-time consumer sentiment or service-provider behaviour. To minimise interpretation bias, the researcher will document all data sources transparently and apply recognised analytical frameworks such as Porter’s (2008) Five Forces and the Business Model Canvas (Osterwalder &amp; Pigneur, 2010).</w:t>
      </w:r>
    </w:p>
    <w:p w14:paraId="480BF860" w14:textId="631CEFD0" w:rsidR="00F20CE0" w:rsidRDefault="00F20CE0" w:rsidP="00C83607">
      <w:pPr>
        <w:pStyle w:val="Heading2"/>
        <w:spacing w:line="360" w:lineRule="auto"/>
        <w:rPr>
          <w:lang w:val="en-GB"/>
        </w:rPr>
      </w:pPr>
      <w:bookmarkStart w:id="23" w:name="_Toc210939840"/>
      <w:r>
        <w:rPr>
          <w:lang w:val="en-GB"/>
        </w:rPr>
        <w:t xml:space="preserve">4.4 </w:t>
      </w:r>
      <w:r w:rsidR="00D979A1" w:rsidRPr="00D979A1">
        <w:rPr>
          <w:lang w:val="en-GB"/>
        </w:rPr>
        <w:t>Academic Integrity and Ethics.</w:t>
      </w:r>
      <w:bookmarkEnd w:id="23"/>
    </w:p>
    <w:p w14:paraId="125114C3" w14:textId="11F20C1C" w:rsidR="00D979A1" w:rsidRPr="00D979A1" w:rsidRDefault="00D979A1" w:rsidP="00C83607">
      <w:pPr>
        <w:spacing w:line="360" w:lineRule="auto"/>
        <w:rPr>
          <w:rFonts w:ascii="Arial" w:hAnsi="Arial" w:cs="Arial"/>
          <w:lang w:val="en-GB"/>
        </w:rPr>
      </w:pPr>
      <w:r w:rsidRPr="00D979A1">
        <w:rPr>
          <w:rFonts w:ascii="Arial" w:hAnsi="Arial" w:cs="Arial"/>
          <w:lang w:val="en-GB"/>
        </w:rPr>
        <w:t>Improper citation or data misuse could compromise academic credibility. The project follows the UWTSD / BCU Harvard referencing style and GDPR-compliant data handling. All sources will be logged and verified using plagiarism-detection software before submission.</w:t>
      </w:r>
    </w:p>
    <w:p w14:paraId="077A9A1D" w14:textId="481CC0E9" w:rsidR="00F20CE0" w:rsidRDefault="00D61AD3" w:rsidP="00C83607">
      <w:pPr>
        <w:pStyle w:val="Heading2"/>
        <w:spacing w:line="360" w:lineRule="auto"/>
        <w:rPr>
          <w:lang w:val="en-GB"/>
        </w:rPr>
      </w:pPr>
      <w:bookmarkStart w:id="24" w:name="_Toc210939841"/>
      <w:r>
        <w:rPr>
          <w:lang w:val="en-GB"/>
        </w:rPr>
        <w:t xml:space="preserve">4.5 </w:t>
      </w:r>
      <w:r w:rsidR="00D979A1" w:rsidRPr="00D979A1">
        <w:rPr>
          <w:lang w:val="en-GB"/>
        </w:rPr>
        <w:t>Personal and Resource Factors.</w:t>
      </w:r>
      <w:bookmarkEnd w:id="24"/>
    </w:p>
    <w:p w14:paraId="4B9627C6" w14:textId="340E025C" w:rsidR="00D979A1" w:rsidRPr="00D979A1" w:rsidRDefault="00D979A1" w:rsidP="00C83607">
      <w:pPr>
        <w:spacing w:line="360" w:lineRule="auto"/>
        <w:rPr>
          <w:rFonts w:ascii="Arial" w:hAnsi="Arial" w:cs="Arial"/>
          <w:lang w:val="en-GB"/>
        </w:rPr>
      </w:pPr>
      <w:r w:rsidRPr="00D979A1">
        <w:rPr>
          <w:rFonts w:ascii="Arial" w:hAnsi="Arial" w:cs="Arial"/>
          <w:lang w:val="en-GB"/>
        </w:rPr>
        <w:t>Unexpected events (e.g., illness or workload spikes) could disrupt progress. Mitigation includes consistent communication with the supervisor, daily cloud backup of all documents, and version control across devices.</w:t>
      </w:r>
    </w:p>
    <w:p w14:paraId="5A80B3D7" w14:textId="77777777" w:rsidR="00D979A1" w:rsidRDefault="00D979A1" w:rsidP="00C83607">
      <w:pPr>
        <w:spacing w:line="360" w:lineRule="auto"/>
        <w:rPr>
          <w:rFonts w:ascii="Arial" w:hAnsi="Arial" w:cs="Arial"/>
          <w:lang w:val="en-GB"/>
        </w:rPr>
      </w:pPr>
      <w:r w:rsidRPr="00D979A1">
        <w:rPr>
          <w:rFonts w:ascii="Arial" w:hAnsi="Arial" w:cs="Arial"/>
          <w:lang w:val="en-GB"/>
        </w:rPr>
        <w:t>Through proactive time planning, transparent data management, and continuous supervision, these risks remain within manageable limits and will not compromise the project’s validity.</w:t>
      </w:r>
    </w:p>
    <w:p w14:paraId="53E23031" w14:textId="1B361D57" w:rsidR="00DA525D" w:rsidRPr="00D979A1" w:rsidRDefault="00DA525D" w:rsidP="00D979A1">
      <w:pPr>
        <w:spacing w:line="360" w:lineRule="auto"/>
        <w:rPr>
          <w:rFonts w:ascii="Arial" w:hAnsi="Arial" w:cs="Arial"/>
          <w:lang w:val="en-GB"/>
        </w:rPr>
      </w:pPr>
      <w:r>
        <w:rPr>
          <w:rFonts w:ascii="Arial" w:hAnsi="Arial" w:cs="Arial"/>
          <w:noProof/>
          <w:lang w:val="en-GB"/>
          <w14:ligatures w14:val="standardContextual"/>
        </w:rPr>
        <w:drawing>
          <wp:inline distT="0" distB="0" distL="0" distR="0" wp14:anchorId="0610427D" wp14:editId="06D87D56">
            <wp:extent cx="5486400" cy="3314700"/>
            <wp:effectExtent l="0" t="0" r="0" b="0"/>
            <wp:docPr id="105684409" name="Picture 6" descr="A graph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84409" name="Picture 6" descr="A graph with text on it&#10;&#10;AI-generated content may be incorrect."/>
                    <pic:cNvPicPr/>
                  </pic:nvPicPr>
                  <pic:blipFill rotWithShape="1">
                    <a:blip r:embed="rId15">
                      <a:extLst>
                        <a:ext uri="{28A0092B-C50C-407E-A947-70E740481C1C}">
                          <a14:useLocalDpi xmlns:a14="http://schemas.microsoft.com/office/drawing/2010/main" val="0"/>
                        </a:ext>
                      </a:extLst>
                    </a:blip>
                    <a:srcRect t="9375"/>
                    <a:stretch>
                      <a:fillRect/>
                    </a:stretch>
                  </pic:blipFill>
                  <pic:spPr bwMode="auto">
                    <a:xfrm>
                      <a:off x="0" y="0"/>
                      <a:ext cx="5486411" cy="3314707"/>
                    </a:xfrm>
                    <a:prstGeom prst="rect">
                      <a:avLst/>
                    </a:prstGeom>
                    <a:ln>
                      <a:noFill/>
                    </a:ln>
                    <a:extLst>
                      <a:ext uri="{53640926-AAD7-44D8-BBD7-CCE9431645EC}">
                        <a14:shadowObscured xmlns:a14="http://schemas.microsoft.com/office/drawing/2010/main"/>
                      </a:ext>
                    </a:extLst>
                  </pic:spPr>
                </pic:pic>
              </a:graphicData>
            </a:graphic>
          </wp:inline>
        </w:drawing>
      </w:r>
    </w:p>
    <w:p w14:paraId="168021F0" w14:textId="77777777" w:rsidR="00D979A1" w:rsidRPr="00D979A1" w:rsidRDefault="00D979A1" w:rsidP="00D979A1">
      <w:pPr>
        <w:spacing w:line="360" w:lineRule="auto"/>
        <w:rPr>
          <w:rFonts w:ascii="Arial" w:hAnsi="Arial" w:cs="Arial"/>
          <w:lang w:val="en-GB"/>
        </w:rPr>
      </w:pPr>
      <w:r w:rsidRPr="00D979A1">
        <w:rPr>
          <w:rFonts w:ascii="Arial" w:hAnsi="Arial" w:cs="Arial"/>
          <w:i/>
          <w:iCs/>
          <w:lang w:val="en-GB"/>
        </w:rPr>
        <w:t>Figure 9. Research Risk-Management Framework for the Proposal</w:t>
      </w:r>
      <w:r w:rsidRPr="00D979A1">
        <w:rPr>
          <w:rFonts w:ascii="Arial" w:hAnsi="Arial" w:cs="Arial"/>
          <w:lang w:val="en-GB"/>
        </w:rPr>
        <w:br/>
      </w:r>
      <w:r w:rsidRPr="00D979A1">
        <w:rPr>
          <w:rFonts w:ascii="Arial" w:hAnsi="Arial" w:cs="Arial"/>
          <w:i/>
          <w:iCs/>
          <w:lang w:val="en-GB"/>
        </w:rPr>
        <w:t>Source: Developed by Author (2025) based on ISO 31000 and Saunders et al., 2019.</w:t>
      </w:r>
    </w:p>
    <w:p w14:paraId="4CA2BE11" w14:textId="7DEC8E9C" w:rsidR="00D979A1" w:rsidRPr="00D979A1" w:rsidRDefault="00D979A1" w:rsidP="00D979A1">
      <w:pPr>
        <w:spacing w:line="360" w:lineRule="auto"/>
        <w:rPr>
          <w:rFonts w:ascii="Arial" w:hAnsi="Arial" w:cs="Arial"/>
          <w:lang w:val="en-GB"/>
        </w:rPr>
      </w:pPr>
    </w:p>
    <w:p w14:paraId="1A626FC4" w14:textId="77777777" w:rsidR="00D979A1" w:rsidRPr="00D979A1" w:rsidRDefault="00D979A1" w:rsidP="00D61AD3">
      <w:pPr>
        <w:pStyle w:val="Heading1"/>
        <w:rPr>
          <w:lang w:val="en-GB"/>
        </w:rPr>
      </w:pPr>
      <w:bookmarkStart w:id="25" w:name="_Toc210939842"/>
      <w:r w:rsidRPr="00D979A1">
        <w:rPr>
          <w:lang w:val="en-GB"/>
        </w:rPr>
        <w:lastRenderedPageBreak/>
        <w:t>5. Research Timeline and Gantt Plan</w:t>
      </w:r>
      <w:bookmarkEnd w:id="25"/>
    </w:p>
    <w:p w14:paraId="6B96FE8C" w14:textId="63060D97" w:rsidR="00D979A1" w:rsidRPr="00D979A1" w:rsidRDefault="00D979A1" w:rsidP="000127A3">
      <w:pPr>
        <w:spacing w:line="360" w:lineRule="auto"/>
        <w:rPr>
          <w:rFonts w:ascii="Arial" w:hAnsi="Arial" w:cs="Arial"/>
          <w:lang w:val="en-GB"/>
        </w:rPr>
      </w:pPr>
      <w:r w:rsidRPr="00D979A1">
        <w:rPr>
          <w:rFonts w:ascii="Arial" w:hAnsi="Arial" w:cs="Arial"/>
          <w:lang w:val="en-GB"/>
        </w:rPr>
        <w:t>A disciplined schedule ensures timely completion of the 15,000-word Business Development Proposal (BDP). The plan follows the university’s official 16-week framework and integrates workshops, supervision sessions, and formative deadlines.</w:t>
      </w:r>
      <w:r w:rsidRPr="00D979A1">
        <w:rPr>
          <w:rFonts w:ascii="Arial" w:hAnsi="Arial" w:cs="Arial"/>
          <w:lang w:val="en-GB"/>
        </w:rPr>
        <w:br/>
        <w:t>The project begins in Week 1 (October 2025) and concludes with the final submission in Week 16 (7 January 2026, 2 p.m.).</w:t>
      </w:r>
      <w:r w:rsidRPr="00D979A1">
        <w:rPr>
          <w:rFonts w:ascii="Arial" w:hAnsi="Arial" w:cs="Arial"/>
          <w:lang w:val="en-GB"/>
        </w:rPr>
        <w:br/>
        <w:t>Six four-hour research workshops (Weeks 1, 2, 3, 5, 7, 9) and eight one-hour supervisions (Weeks 2, 4, 6, 8, 10, 12, 14, 16) are embedded within the schedule to maintain progress and academic guidance.</w:t>
      </w:r>
    </w:p>
    <w:p w14:paraId="1AB021D2" w14:textId="3C865510" w:rsidR="00D979A1" w:rsidRDefault="000C6883" w:rsidP="000C6883">
      <w:pPr>
        <w:pStyle w:val="Heading2"/>
        <w:rPr>
          <w:lang w:val="en-GB"/>
        </w:rPr>
      </w:pPr>
      <w:bookmarkStart w:id="26" w:name="_Toc210939843"/>
      <w:r>
        <w:rPr>
          <w:lang w:val="en-GB"/>
        </w:rPr>
        <w:t xml:space="preserve">5.1 </w:t>
      </w:r>
      <w:r w:rsidR="00D979A1" w:rsidRPr="00D979A1">
        <w:rPr>
          <w:lang w:val="en-GB"/>
        </w:rPr>
        <w:t>Summary Timeline.</w:t>
      </w:r>
      <w:bookmarkEnd w:id="26"/>
    </w:p>
    <w:p w14:paraId="395EB7F9" w14:textId="7B696DF0" w:rsidR="00733612" w:rsidRPr="00D979A1" w:rsidRDefault="0073386C" w:rsidP="00B529B1">
      <w:pPr>
        <w:spacing w:line="360" w:lineRule="auto"/>
        <w:jc w:val="center"/>
        <w:rPr>
          <w:rFonts w:ascii="Arial" w:hAnsi="Arial" w:cs="Arial"/>
          <w:lang w:val="en-GB"/>
        </w:rPr>
      </w:pPr>
      <w:r>
        <w:rPr>
          <w:rFonts w:ascii="Arial" w:hAnsi="Arial" w:cs="Arial"/>
          <w:noProof/>
          <w:lang w:val="en-GB"/>
          <w14:ligatures w14:val="standardContextual"/>
        </w:rPr>
        <w:drawing>
          <wp:inline distT="0" distB="0" distL="0" distR="0" wp14:anchorId="16AB909E" wp14:editId="07CB2367">
            <wp:extent cx="5731510" cy="3315335"/>
            <wp:effectExtent l="0" t="0" r="2540" b="0"/>
            <wp:docPr id="329392032" name="Picture 7"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392032" name="Picture 7" descr="A graph with blue squares&#10;&#10;AI-generated content may be incorrect."/>
                    <pic:cNvPicPr/>
                  </pic:nvPicPr>
                  <pic:blipFill rotWithShape="1">
                    <a:blip r:embed="rId16" cstate="print">
                      <a:extLst>
                        <a:ext uri="{28A0092B-C50C-407E-A947-70E740481C1C}">
                          <a14:useLocalDpi xmlns:a14="http://schemas.microsoft.com/office/drawing/2010/main" val="0"/>
                        </a:ext>
                      </a:extLst>
                    </a:blip>
                    <a:srcRect t="7445"/>
                    <a:stretch>
                      <a:fillRect/>
                    </a:stretch>
                  </pic:blipFill>
                  <pic:spPr bwMode="auto">
                    <a:xfrm>
                      <a:off x="0" y="0"/>
                      <a:ext cx="5731510" cy="3315335"/>
                    </a:xfrm>
                    <a:prstGeom prst="rect">
                      <a:avLst/>
                    </a:prstGeom>
                    <a:ln>
                      <a:noFill/>
                    </a:ln>
                    <a:extLst>
                      <a:ext uri="{53640926-AAD7-44D8-BBD7-CCE9431645EC}">
                        <a14:shadowObscured xmlns:a14="http://schemas.microsoft.com/office/drawing/2010/main"/>
                      </a:ext>
                    </a:extLst>
                  </pic:spPr>
                </pic:pic>
              </a:graphicData>
            </a:graphic>
          </wp:inline>
        </w:drawing>
      </w:r>
    </w:p>
    <w:p w14:paraId="2C9B613F" w14:textId="77777777" w:rsidR="00D979A1" w:rsidRPr="00D979A1" w:rsidRDefault="00D979A1" w:rsidP="00D979A1">
      <w:pPr>
        <w:spacing w:line="360" w:lineRule="auto"/>
        <w:rPr>
          <w:rFonts w:ascii="Arial" w:hAnsi="Arial" w:cs="Arial"/>
          <w:lang w:val="en-GB"/>
        </w:rPr>
      </w:pPr>
      <w:r w:rsidRPr="00D979A1">
        <w:rPr>
          <w:rFonts w:ascii="Arial" w:hAnsi="Arial" w:cs="Arial"/>
          <w:i/>
          <w:iCs/>
          <w:lang w:val="en-GB"/>
        </w:rPr>
        <w:t>Figure 10. Gantt Chart – Research Timeline (Weeks 1–16)</w:t>
      </w:r>
      <w:r w:rsidRPr="00D979A1">
        <w:rPr>
          <w:rFonts w:ascii="Arial" w:hAnsi="Arial" w:cs="Arial"/>
          <w:lang w:val="en-GB"/>
        </w:rPr>
        <w:br/>
      </w:r>
      <w:r w:rsidRPr="00D979A1">
        <w:rPr>
          <w:rFonts w:ascii="Arial" w:hAnsi="Arial" w:cs="Arial"/>
          <w:i/>
          <w:iCs/>
          <w:lang w:val="en-GB"/>
        </w:rPr>
        <w:t>Source: Developed by Author (2025).</w:t>
      </w:r>
    </w:p>
    <w:p w14:paraId="65C7C44F" w14:textId="77777777" w:rsidR="000E3481" w:rsidRDefault="000C6883" w:rsidP="000E3481">
      <w:pPr>
        <w:pStyle w:val="Heading2"/>
        <w:rPr>
          <w:lang w:val="en-GB"/>
        </w:rPr>
      </w:pPr>
      <w:bookmarkStart w:id="27" w:name="_Toc210939844"/>
      <w:r>
        <w:rPr>
          <w:lang w:val="en-GB"/>
        </w:rPr>
        <w:t xml:space="preserve">5.2 </w:t>
      </w:r>
      <w:r w:rsidR="00D979A1" w:rsidRPr="00D979A1">
        <w:rPr>
          <w:lang w:val="en-GB"/>
        </w:rPr>
        <w:t>Monitoring and Review</w:t>
      </w:r>
      <w:bookmarkEnd w:id="27"/>
    </w:p>
    <w:p w14:paraId="5FEE6867" w14:textId="1C0549CD" w:rsidR="00D979A1" w:rsidRPr="00D979A1" w:rsidRDefault="00D979A1" w:rsidP="00D979A1">
      <w:pPr>
        <w:spacing w:line="360" w:lineRule="auto"/>
        <w:rPr>
          <w:rFonts w:ascii="Arial" w:hAnsi="Arial" w:cs="Arial"/>
          <w:lang w:val="en-GB"/>
        </w:rPr>
      </w:pPr>
      <w:r w:rsidRPr="00D979A1">
        <w:rPr>
          <w:rFonts w:ascii="Arial" w:hAnsi="Arial" w:cs="Arial"/>
          <w:lang w:val="en-GB"/>
        </w:rPr>
        <w:t>Progress will be tracked weekly using a spreadsheet aligned to the Gantt chart. Each supervision will review milestones and data status. Success will be measured by:</w:t>
      </w:r>
      <w:r w:rsidRPr="00D979A1">
        <w:rPr>
          <w:rFonts w:ascii="Arial" w:hAnsi="Arial" w:cs="Arial"/>
          <w:lang w:val="en-GB"/>
        </w:rPr>
        <w:br/>
        <w:t>• on-time section completion,</w:t>
      </w:r>
      <w:r w:rsidRPr="00D979A1">
        <w:rPr>
          <w:rFonts w:ascii="Arial" w:hAnsi="Arial" w:cs="Arial"/>
          <w:lang w:val="en-GB"/>
        </w:rPr>
        <w:br/>
        <w:t>• supervisor sign-off for methodology &amp; ethics, and</w:t>
      </w:r>
      <w:r w:rsidRPr="00D979A1">
        <w:rPr>
          <w:rFonts w:ascii="Arial" w:hAnsi="Arial" w:cs="Arial"/>
          <w:lang w:val="en-GB"/>
        </w:rPr>
        <w:br/>
        <w:t>• 100 % Harvard-referencing and ethics compliance.</w:t>
      </w:r>
    </w:p>
    <w:p w14:paraId="425D3C84" w14:textId="1389730D" w:rsidR="00725FE5" w:rsidRDefault="0064474E" w:rsidP="00B529B1">
      <w:pPr>
        <w:spacing w:line="360" w:lineRule="auto"/>
        <w:rPr>
          <w:rFonts w:ascii="Arial" w:hAnsi="Arial" w:cs="Arial"/>
          <w:lang w:val="en-GB"/>
        </w:rPr>
      </w:pPr>
      <w:r w:rsidRPr="0064474E">
        <w:rPr>
          <w:rFonts w:ascii="Arial" w:hAnsi="Arial" w:cs="Arial"/>
          <w:lang w:val="en-GB"/>
        </w:rPr>
        <w:t>This structured timeline provides a disciplined pathway from concept to completion, ensuring the research is delivered on time, academically rigorous, and aligned with the MBA learning outcomes.</w:t>
      </w:r>
    </w:p>
    <w:p w14:paraId="09AAD47F" w14:textId="77777777" w:rsidR="00A93BE2" w:rsidRDefault="00A93BE2" w:rsidP="00B529B1">
      <w:pPr>
        <w:spacing w:line="360" w:lineRule="auto"/>
        <w:rPr>
          <w:rFonts w:ascii="Arial" w:hAnsi="Arial" w:cs="Arial"/>
          <w:lang w:val="en-GB"/>
        </w:rPr>
      </w:pPr>
    </w:p>
    <w:p w14:paraId="7BD41008" w14:textId="77777777" w:rsidR="00725FE5" w:rsidRPr="00725FE5" w:rsidRDefault="00725FE5" w:rsidP="00135ED1">
      <w:pPr>
        <w:pStyle w:val="Heading1"/>
        <w:rPr>
          <w:lang w:val="en-GB"/>
        </w:rPr>
      </w:pPr>
      <w:bookmarkStart w:id="28" w:name="_Toc210939845"/>
      <w:r w:rsidRPr="00725FE5">
        <w:rPr>
          <w:lang w:val="en-GB"/>
        </w:rPr>
        <w:t>References</w:t>
      </w:r>
      <w:bookmarkEnd w:id="28"/>
    </w:p>
    <w:p w14:paraId="721A6F86" w14:textId="73C27D92"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Association of British Insurers (ABI) (2025) </w:t>
      </w:r>
      <w:r w:rsidRPr="00615D40">
        <w:rPr>
          <w:rFonts w:ascii="Arial" w:hAnsi="Arial" w:cs="Arial"/>
          <w:i/>
          <w:iCs/>
          <w:lang w:val="en-GB"/>
        </w:rPr>
        <w:t>Motor premiums fall – but repair and theft costs keep revving up claims.</w:t>
      </w:r>
      <w:r w:rsidR="00CB4A25">
        <w:rPr>
          <w:rFonts w:ascii="Arial" w:hAnsi="Arial" w:cs="Arial"/>
          <w:lang w:val="en-GB"/>
        </w:rPr>
        <w:t xml:space="preserve"> </w:t>
      </w:r>
      <w:r w:rsidRPr="00615D40">
        <w:rPr>
          <w:rFonts w:ascii="Arial" w:hAnsi="Arial" w:cs="Arial"/>
          <w:lang w:val="en-GB"/>
        </w:rPr>
        <w:t xml:space="preserve">Available at: </w:t>
      </w:r>
      <w:hyperlink r:id="rId17" w:tgtFrame="_new" w:history="1">
        <w:r w:rsidRPr="00615D40">
          <w:rPr>
            <w:rStyle w:val="Hyperlink"/>
            <w:rFonts w:ascii="Arial" w:hAnsi="Arial" w:cs="Arial"/>
            <w:lang w:val="en-GB"/>
          </w:rPr>
          <w:t>https://www.abi.org.uk/news/news-articles/2025/7/motor-premiums-fall---but-repair-and-theft-costs-keep-revving-up-claims/</w:t>
        </w:r>
      </w:hyperlink>
      <w:r w:rsidRPr="00615D40">
        <w:rPr>
          <w:rFonts w:ascii="Arial" w:hAnsi="Arial" w:cs="Arial"/>
          <w:lang w:val="en-GB"/>
        </w:rPr>
        <w:t xml:space="preserve"> (Accessed: 9 October 2025).</w:t>
      </w:r>
    </w:p>
    <w:p w14:paraId="7B355A77" w14:textId="42977C6E"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Barney, J. (1991) ‘Firm Resources and Sustained Competitive Advantage’, </w:t>
      </w:r>
      <w:r w:rsidRPr="00615D40">
        <w:rPr>
          <w:rFonts w:ascii="Arial" w:hAnsi="Arial" w:cs="Arial"/>
          <w:i/>
          <w:iCs/>
          <w:lang w:val="en-GB"/>
        </w:rPr>
        <w:t>Journal of Management,</w:t>
      </w:r>
      <w:r w:rsidRPr="00615D40">
        <w:rPr>
          <w:rFonts w:ascii="Arial" w:hAnsi="Arial" w:cs="Arial"/>
          <w:lang w:val="en-GB"/>
        </w:rPr>
        <w:t xml:space="preserve"> 17(1), pp. 99–120.</w:t>
      </w:r>
      <w:r w:rsidR="00CB4A25">
        <w:rPr>
          <w:rFonts w:ascii="Arial" w:hAnsi="Arial" w:cs="Arial"/>
          <w:lang w:val="en-GB"/>
        </w:rPr>
        <w:t xml:space="preserve"> </w:t>
      </w:r>
      <w:r w:rsidRPr="00615D40">
        <w:rPr>
          <w:rFonts w:ascii="Arial" w:hAnsi="Arial" w:cs="Arial"/>
          <w:lang w:val="en-GB"/>
        </w:rPr>
        <w:t xml:space="preserve">Available at: </w:t>
      </w:r>
      <w:hyperlink r:id="rId18" w:tgtFrame="_new" w:history="1">
        <w:r w:rsidRPr="00615D40">
          <w:rPr>
            <w:rStyle w:val="Hyperlink"/>
            <w:rFonts w:ascii="Arial" w:hAnsi="Arial" w:cs="Arial"/>
            <w:lang w:val="en-GB"/>
          </w:rPr>
          <w:t>https://doi.org/10.1177/014920639101700108</w:t>
        </w:r>
      </w:hyperlink>
      <w:r w:rsidRPr="00615D40">
        <w:rPr>
          <w:rFonts w:ascii="Arial" w:hAnsi="Arial" w:cs="Arial"/>
          <w:lang w:val="en-GB"/>
        </w:rPr>
        <w:t xml:space="preserve"> (Accessed: 03 October 2025).</w:t>
      </w:r>
    </w:p>
    <w:p w14:paraId="48DC91EC" w14:textId="2473ACE2"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BEIS (2023) </w:t>
      </w:r>
      <w:r w:rsidRPr="00615D40">
        <w:rPr>
          <w:rFonts w:ascii="Arial" w:hAnsi="Arial" w:cs="Arial"/>
          <w:i/>
          <w:iCs/>
          <w:lang w:val="en-GB"/>
        </w:rPr>
        <w:t>UK Net Zero Strategy: Build Back Greener.</w:t>
      </w:r>
      <w:r w:rsidRPr="00615D40">
        <w:rPr>
          <w:rFonts w:ascii="Arial" w:hAnsi="Arial" w:cs="Arial"/>
          <w:lang w:val="en-GB"/>
        </w:rPr>
        <w:t xml:space="preserve"> Department for Business, Energy &amp; Industrial Strategy. London: HM Government.</w:t>
      </w:r>
      <w:r w:rsidR="00CB4A25">
        <w:rPr>
          <w:rFonts w:ascii="Arial" w:hAnsi="Arial" w:cs="Arial"/>
          <w:lang w:val="en-GB"/>
        </w:rPr>
        <w:t xml:space="preserve"> </w:t>
      </w:r>
      <w:r w:rsidRPr="00615D40">
        <w:rPr>
          <w:rFonts w:ascii="Arial" w:hAnsi="Arial" w:cs="Arial"/>
          <w:lang w:val="en-GB"/>
        </w:rPr>
        <w:t xml:space="preserve">Available at: </w:t>
      </w:r>
      <w:hyperlink r:id="rId19" w:tgtFrame="_new" w:history="1">
        <w:r w:rsidRPr="00615D40">
          <w:rPr>
            <w:rStyle w:val="Hyperlink"/>
            <w:rFonts w:ascii="Arial" w:hAnsi="Arial" w:cs="Arial"/>
            <w:lang w:val="en-GB"/>
          </w:rPr>
          <w:t>https://www.gov.uk/government/publications/net-zero-strategy</w:t>
        </w:r>
      </w:hyperlink>
      <w:r w:rsidRPr="00615D40">
        <w:rPr>
          <w:rFonts w:ascii="Arial" w:hAnsi="Arial" w:cs="Arial"/>
          <w:lang w:val="en-GB"/>
        </w:rPr>
        <w:t xml:space="preserve"> (Accessed: 18 September 2025).</w:t>
      </w:r>
    </w:p>
    <w:p w14:paraId="50D6ECF7" w14:textId="29C0FE71"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Braun, V. and Clarke, V. (2006) ‘Using Thematic Analysis in Psychology’, </w:t>
      </w:r>
      <w:r w:rsidRPr="00615D40">
        <w:rPr>
          <w:rFonts w:ascii="Arial" w:hAnsi="Arial" w:cs="Arial"/>
          <w:i/>
          <w:iCs/>
          <w:lang w:val="en-GB"/>
        </w:rPr>
        <w:t>Qualitative Research in Psychology,</w:t>
      </w:r>
      <w:r w:rsidRPr="00615D40">
        <w:rPr>
          <w:rFonts w:ascii="Arial" w:hAnsi="Arial" w:cs="Arial"/>
          <w:lang w:val="en-GB"/>
        </w:rPr>
        <w:t xml:space="preserve"> 3(2), pp. 77–101.</w:t>
      </w:r>
      <w:r w:rsidR="00CB4A25">
        <w:rPr>
          <w:rFonts w:ascii="Arial" w:hAnsi="Arial" w:cs="Arial"/>
          <w:lang w:val="en-GB"/>
        </w:rPr>
        <w:t xml:space="preserve"> </w:t>
      </w:r>
      <w:r w:rsidRPr="00615D40">
        <w:rPr>
          <w:rFonts w:ascii="Arial" w:hAnsi="Arial" w:cs="Arial"/>
          <w:lang w:val="en-GB"/>
        </w:rPr>
        <w:t xml:space="preserve">Available at: </w:t>
      </w:r>
      <w:hyperlink r:id="rId20" w:tgtFrame="_new" w:history="1">
        <w:r w:rsidRPr="00615D40">
          <w:rPr>
            <w:rStyle w:val="Hyperlink"/>
            <w:rFonts w:ascii="Arial" w:hAnsi="Arial" w:cs="Arial"/>
            <w:lang w:val="en-GB"/>
          </w:rPr>
          <w:t>https://doi.org/10.1191/1478088706qp063oa</w:t>
        </w:r>
      </w:hyperlink>
      <w:r w:rsidRPr="00615D40">
        <w:rPr>
          <w:rFonts w:ascii="Arial" w:hAnsi="Arial" w:cs="Arial"/>
          <w:lang w:val="en-GB"/>
        </w:rPr>
        <w:t xml:space="preserve"> (Accessed: 01 October 2025).</w:t>
      </w:r>
    </w:p>
    <w:p w14:paraId="604D9E97" w14:textId="77777777"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British Standards Institution (BSI) (2018) </w:t>
      </w:r>
      <w:r w:rsidRPr="00615D40">
        <w:rPr>
          <w:rFonts w:ascii="Arial" w:hAnsi="Arial" w:cs="Arial"/>
          <w:i/>
          <w:iCs/>
          <w:lang w:val="en-GB"/>
        </w:rPr>
        <w:t>BS ISO 31000:2018 – Risk Management – Guidelines.</w:t>
      </w:r>
      <w:r w:rsidRPr="00615D40">
        <w:rPr>
          <w:rFonts w:ascii="Arial" w:hAnsi="Arial" w:cs="Arial"/>
          <w:lang w:val="en-GB"/>
        </w:rPr>
        <w:t xml:space="preserve"> London: BSI Standards Limited.</w:t>
      </w:r>
    </w:p>
    <w:p w14:paraId="1CC9DF0C" w14:textId="77777777"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Denzin, N.K. (2012) ‘Triangulation 2.0’, </w:t>
      </w:r>
      <w:r w:rsidRPr="00615D40">
        <w:rPr>
          <w:rFonts w:ascii="Arial" w:hAnsi="Arial" w:cs="Arial"/>
          <w:i/>
          <w:iCs/>
          <w:lang w:val="en-GB"/>
        </w:rPr>
        <w:t>Journal of Mixed Methods Research,</w:t>
      </w:r>
      <w:r w:rsidRPr="00615D40">
        <w:rPr>
          <w:rFonts w:ascii="Arial" w:hAnsi="Arial" w:cs="Arial"/>
          <w:lang w:val="en-GB"/>
        </w:rPr>
        <w:t xml:space="preserve"> 6(2), pp. 80–88.</w:t>
      </w:r>
      <w:r w:rsidRPr="00615D40">
        <w:rPr>
          <w:rFonts w:ascii="Arial" w:hAnsi="Arial" w:cs="Arial"/>
          <w:lang w:val="en-GB"/>
        </w:rPr>
        <w:br/>
        <w:t xml:space="preserve">Available at: </w:t>
      </w:r>
      <w:hyperlink r:id="rId21" w:tgtFrame="_new" w:history="1">
        <w:r w:rsidRPr="00615D40">
          <w:rPr>
            <w:rStyle w:val="Hyperlink"/>
            <w:rFonts w:ascii="Arial" w:hAnsi="Arial" w:cs="Arial"/>
            <w:lang w:val="en-GB"/>
          </w:rPr>
          <w:t>https://doi.org/10.1177/1558689812437186</w:t>
        </w:r>
      </w:hyperlink>
      <w:r w:rsidRPr="00615D40">
        <w:rPr>
          <w:rFonts w:ascii="Arial" w:hAnsi="Arial" w:cs="Arial"/>
          <w:lang w:val="en-GB"/>
        </w:rPr>
        <w:t xml:space="preserve"> (Accessed: 20 September 2025).</w:t>
      </w:r>
    </w:p>
    <w:p w14:paraId="077EA12F" w14:textId="7C91C781"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Department for Transport (DfT) (2023) </w:t>
      </w:r>
      <w:r w:rsidRPr="00615D40">
        <w:rPr>
          <w:rFonts w:ascii="Arial" w:hAnsi="Arial" w:cs="Arial"/>
          <w:i/>
          <w:iCs/>
          <w:lang w:val="en-GB"/>
        </w:rPr>
        <w:t>Vehicle Licensing Statistics, United Kingdom 2023.</w:t>
      </w:r>
      <w:r w:rsidRPr="00615D40">
        <w:rPr>
          <w:rFonts w:ascii="Arial" w:hAnsi="Arial" w:cs="Arial"/>
          <w:lang w:val="en-GB"/>
        </w:rPr>
        <w:t xml:space="preserve"> London: HM Government.</w:t>
      </w:r>
      <w:r w:rsidR="00CB4A25">
        <w:rPr>
          <w:rFonts w:ascii="Arial" w:hAnsi="Arial" w:cs="Arial"/>
          <w:lang w:val="en-GB"/>
        </w:rPr>
        <w:t xml:space="preserve"> </w:t>
      </w:r>
      <w:r w:rsidRPr="00615D40">
        <w:rPr>
          <w:rFonts w:ascii="Arial" w:hAnsi="Arial" w:cs="Arial"/>
          <w:lang w:val="en-GB"/>
        </w:rPr>
        <w:t xml:space="preserve">Available at: </w:t>
      </w:r>
      <w:hyperlink r:id="rId22" w:tgtFrame="_new" w:history="1">
        <w:r w:rsidRPr="00615D40">
          <w:rPr>
            <w:rStyle w:val="Hyperlink"/>
            <w:rFonts w:ascii="Arial" w:hAnsi="Arial" w:cs="Arial"/>
            <w:lang w:val="en-GB"/>
          </w:rPr>
          <w:t>https://www.gov.uk/government/collections/vehicle-licensing-statistics</w:t>
        </w:r>
      </w:hyperlink>
      <w:r w:rsidRPr="00615D40">
        <w:rPr>
          <w:rFonts w:ascii="Arial" w:hAnsi="Arial" w:cs="Arial"/>
          <w:lang w:val="en-GB"/>
        </w:rPr>
        <w:t xml:space="preserve"> (Accessed: 01 October 2025).</w:t>
      </w:r>
    </w:p>
    <w:p w14:paraId="1FFA490A" w14:textId="06AA7F50"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Department for Transport (DfT) (2024) </w:t>
      </w:r>
      <w:r w:rsidRPr="00615D40">
        <w:rPr>
          <w:rFonts w:ascii="Arial" w:hAnsi="Arial" w:cs="Arial"/>
          <w:i/>
          <w:iCs/>
          <w:lang w:val="en-GB"/>
        </w:rPr>
        <w:t>Vehicle Licensing Statistics: Quarter 1 2024.</w:t>
      </w:r>
      <w:r w:rsidRPr="00615D40">
        <w:rPr>
          <w:rFonts w:ascii="Arial" w:hAnsi="Arial" w:cs="Arial"/>
          <w:lang w:val="en-GB"/>
        </w:rPr>
        <w:t xml:space="preserve"> London: HM Government.</w:t>
      </w:r>
      <w:r w:rsidR="00CB4A25">
        <w:rPr>
          <w:rFonts w:ascii="Arial" w:hAnsi="Arial" w:cs="Arial"/>
          <w:lang w:val="en-GB"/>
        </w:rPr>
        <w:t xml:space="preserve"> </w:t>
      </w:r>
      <w:r w:rsidRPr="00615D40">
        <w:rPr>
          <w:rFonts w:ascii="Arial" w:hAnsi="Arial" w:cs="Arial"/>
          <w:lang w:val="en-GB"/>
        </w:rPr>
        <w:t xml:space="preserve">Available at: </w:t>
      </w:r>
      <w:hyperlink r:id="rId23" w:history="1">
        <w:r w:rsidR="00CB4A25" w:rsidRPr="00615D40">
          <w:rPr>
            <w:rStyle w:val="Hyperlink"/>
            <w:rFonts w:ascii="Arial" w:hAnsi="Arial" w:cs="Arial"/>
            <w:lang w:val="en-GB"/>
          </w:rPr>
          <w:t>https://www.gov.uk/government/statistics/vehicle-licensing-statistics-quarter-1-2024</w:t>
        </w:r>
      </w:hyperlink>
      <w:r w:rsidR="00CB4A25">
        <w:rPr>
          <w:rFonts w:ascii="Arial" w:hAnsi="Arial" w:cs="Arial"/>
          <w:lang w:val="en-GB"/>
        </w:rPr>
        <w:t xml:space="preserve"> </w:t>
      </w:r>
      <w:r w:rsidRPr="00615D40">
        <w:rPr>
          <w:rFonts w:ascii="Arial" w:hAnsi="Arial" w:cs="Arial"/>
          <w:lang w:val="en-GB"/>
        </w:rPr>
        <w:t xml:space="preserve"> (Accessed: 19 September 2025).</w:t>
      </w:r>
    </w:p>
    <w:p w14:paraId="5FD0CA9D" w14:textId="0B464AD4"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Driver and Vehicle Standards Agency (DVSA) (2025) </w:t>
      </w:r>
      <w:r w:rsidRPr="00615D40">
        <w:rPr>
          <w:rFonts w:ascii="Arial" w:hAnsi="Arial" w:cs="Arial"/>
          <w:i/>
          <w:iCs/>
          <w:lang w:val="en-GB"/>
        </w:rPr>
        <w:t>Active MOT Test Stations Dataset.</w:t>
      </w:r>
      <w:r w:rsidRPr="00615D40">
        <w:rPr>
          <w:rFonts w:ascii="Arial" w:hAnsi="Arial" w:cs="Arial"/>
          <w:lang w:val="en-GB"/>
        </w:rPr>
        <w:t xml:space="preserve"> London: DVSA.</w:t>
      </w:r>
      <w:r w:rsidR="00CB4A25">
        <w:rPr>
          <w:rFonts w:ascii="Arial" w:hAnsi="Arial" w:cs="Arial"/>
          <w:lang w:val="en-GB"/>
        </w:rPr>
        <w:t xml:space="preserve"> </w:t>
      </w:r>
      <w:r w:rsidRPr="00615D40">
        <w:rPr>
          <w:rFonts w:ascii="Arial" w:hAnsi="Arial" w:cs="Arial"/>
          <w:lang w:val="en-GB"/>
        </w:rPr>
        <w:t xml:space="preserve">Available at: </w:t>
      </w:r>
      <w:hyperlink r:id="rId24" w:tgtFrame="_new" w:history="1">
        <w:r w:rsidRPr="00615D40">
          <w:rPr>
            <w:rStyle w:val="Hyperlink"/>
            <w:rFonts w:ascii="Arial" w:hAnsi="Arial" w:cs="Arial"/>
            <w:lang w:val="en-GB"/>
          </w:rPr>
          <w:t>https://data.gov.uk/dataset/mot-test-stations</w:t>
        </w:r>
      </w:hyperlink>
      <w:r w:rsidRPr="00615D40">
        <w:rPr>
          <w:rFonts w:ascii="Arial" w:hAnsi="Arial" w:cs="Arial"/>
          <w:lang w:val="en-GB"/>
        </w:rPr>
        <w:t xml:space="preserve"> (Accessed: 19 September 2025).</w:t>
      </w:r>
    </w:p>
    <w:p w14:paraId="67F9DBE6" w14:textId="76E194A2"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Grand View Research (2024) </w:t>
      </w:r>
      <w:r w:rsidRPr="00615D40">
        <w:rPr>
          <w:rFonts w:ascii="Arial" w:hAnsi="Arial" w:cs="Arial"/>
          <w:i/>
          <w:iCs/>
          <w:lang w:val="en-GB"/>
        </w:rPr>
        <w:t>UK Automotive Aftermarket Size, Share &amp; Trends Analysis Report, 2024–2030.</w:t>
      </w:r>
      <w:r w:rsidRPr="00615D40">
        <w:rPr>
          <w:rFonts w:ascii="Arial" w:hAnsi="Arial" w:cs="Arial"/>
          <w:lang w:val="en-GB"/>
        </w:rPr>
        <w:t xml:space="preserve"> San Francisco: Grand View Research.</w:t>
      </w:r>
      <w:r w:rsidR="00CB4A25">
        <w:rPr>
          <w:rFonts w:ascii="Arial" w:hAnsi="Arial" w:cs="Arial"/>
          <w:lang w:val="en-GB"/>
        </w:rPr>
        <w:t xml:space="preserve"> </w:t>
      </w:r>
      <w:r w:rsidRPr="00615D40">
        <w:rPr>
          <w:rFonts w:ascii="Arial" w:hAnsi="Arial" w:cs="Arial"/>
          <w:lang w:val="en-GB"/>
        </w:rPr>
        <w:t xml:space="preserve">Available at: </w:t>
      </w:r>
      <w:hyperlink r:id="rId25" w:tgtFrame="_new" w:history="1">
        <w:r w:rsidRPr="00615D40">
          <w:rPr>
            <w:rStyle w:val="Hyperlink"/>
            <w:rFonts w:ascii="Arial" w:hAnsi="Arial" w:cs="Arial"/>
            <w:lang w:val="en-GB"/>
          </w:rPr>
          <w:t>https://www.grandviewresearch.com/industry-analysis/uk-automotive-aftermarket-report</w:t>
        </w:r>
      </w:hyperlink>
      <w:r w:rsidRPr="00615D40">
        <w:rPr>
          <w:rFonts w:ascii="Arial" w:hAnsi="Arial" w:cs="Arial"/>
          <w:lang w:val="en-GB"/>
        </w:rPr>
        <w:t xml:space="preserve"> (Accessed: 13 September 2025).</w:t>
      </w:r>
    </w:p>
    <w:p w14:paraId="7775F1D9" w14:textId="77777777"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Grant, R.M. (2016) </w:t>
      </w:r>
      <w:r w:rsidRPr="00615D40">
        <w:rPr>
          <w:rFonts w:ascii="Arial" w:hAnsi="Arial" w:cs="Arial"/>
          <w:i/>
          <w:iCs/>
          <w:lang w:val="en-GB"/>
        </w:rPr>
        <w:t>Contemporary Strategy Analysis.</w:t>
      </w:r>
      <w:r w:rsidRPr="00615D40">
        <w:rPr>
          <w:rFonts w:ascii="Arial" w:hAnsi="Arial" w:cs="Arial"/>
          <w:lang w:val="en-GB"/>
        </w:rPr>
        <w:t xml:space="preserve"> 9th </w:t>
      </w:r>
      <w:proofErr w:type="spellStart"/>
      <w:r w:rsidRPr="00615D40">
        <w:rPr>
          <w:rFonts w:ascii="Arial" w:hAnsi="Arial" w:cs="Arial"/>
          <w:lang w:val="en-GB"/>
        </w:rPr>
        <w:t>edn</w:t>
      </w:r>
      <w:proofErr w:type="spellEnd"/>
      <w:r w:rsidRPr="00615D40">
        <w:rPr>
          <w:rFonts w:ascii="Arial" w:hAnsi="Arial" w:cs="Arial"/>
          <w:lang w:val="en-GB"/>
        </w:rPr>
        <w:t>. Chichester: John Wiley &amp; Sons.</w:t>
      </w:r>
    </w:p>
    <w:p w14:paraId="02CC163C" w14:textId="642C154E"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IBISWorld (2024) </w:t>
      </w:r>
      <w:r w:rsidRPr="00615D40">
        <w:rPr>
          <w:rFonts w:ascii="Arial" w:hAnsi="Arial" w:cs="Arial"/>
          <w:i/>
          <w:iCs/>
          <w:lang w:val="en-GB"/>
        </w:rPr>
        <w:t>Motor Vehicle Maintenance &amp; Repair in the UK – Industry Report (SIC 45200).</w:t>
      </w:r>
      <w:r w:rsidRPr="00615D40">
        <w:rPr>
          <w:rFonts w:ascii="Arial" w:hAnsi="Arial" w:cs="Arial"/>
          <w:lang w:val="en-GB"/>
        </w:rPr>
        <w:t xml:space="preserve"> London: IBISWorld.</w:t>
      </w:r>
      <w:r w:rsidR="00CB4A25">
        <w:rPr>
          <w:rFonts w:ascii="Arial" w:hAnsi="Arial" w:cs="Arial"/>
          <w:lang w:val="en-GB"/>
        </w:rPr>
        <w:t xml:space="preserve"> </w:t>
      </w:r>
      <w:r w:rsidRPr="00615D40">
        <w:rPr>
          <w:rFonts w:ascii="Arial" w:hAnsi="Arial" w:cs="Arial"/>
          <w:lang w:val="en-GB"/>
        </w:rPr>
        <w:t xml:space="preserve">Available at: </w:t>
      </w:r>
      <w:hyperlink r:id="rId26" w:history="1">
        <w:r w:rsidR="00CB4A25" w:rsidRPr="00615D40">
          <w:rPr>
            <w:rStyle w:val="Hyperlink"/>
            <w:rFonts w:ascii="Arial" w:hAnsi="Arial" w:cs="Arial"/>
            <w:lang w:val="en-GB"/>
          </w:rPr>
          <w:t>https://www.ibisworld.com/gb/industry-reports/motor-vehicle-maintenance-repair-in-the-uk-45200/</w:t>
        </w:r>
      </w:hyperlink>
      <w:r w:rsidR="00CB4A25">
        <w:rPr>
          <w:rFonts w:ascii="Arial" w:hAnsi="Arial" w:cs="Arial"/>
          <w:lang w:val="en-GB"/>
        </w:rPr>
        <w:t xml:space="preserve"> </w:t>
      </w:r>
      <w:r w:rsidRPr="00615D40">
        <w:rPr>
          <w:rFonts w:ascii="Arial" w:hAnsi="Arial" w:cs="Arial"/>
          <w:lang w:val="en-GB"/>
        </w:rPr>
        <w:t xml:space="preserve"> (Accessed: 13 September 2025).</w:t>
      </w:r>
    </w:p>
    <w:p w14:paraId="6A7DADC6" w14:textId="32A28B43"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Institute of the Motor Industry (IMI) (2024) </w:t>
      </w:r>
      <w:r w:rsidRPr="00615D40">
        <w:rPr>
          <w:rFonts w:ascii="Arial" w:hAnsi="Arial" w:cs="Arial"/>
          <w:i/>
          <w:iCs/>
          <w:lang w:val="en-GB"/>
        </w:rPr>
        <w:t>EV Skills Gap Report 2024.</w:t>
      </w:r>
      <w:r w:rsidRPr="00615D40">
        <w:rPr>
          <w:rFonts w:ascii="Arial" w:hAnsi="Arial" w:cs="Arial"/>
          <w:lang w:val="en-GB"/>
        </w:rPr>
        <w:t xml:space="preserve"> Hertford: IMI.</w:t>
      </w:r>
      <w:r w:rsidRPr="00615D40">
        <w:rPr>
          <w:rFonts w:ascii="Arial" w:hAnsi="Arial" w:cs="Arial"/>
          <w:lang w:val="en-GB"/>
        </w:rPr>
        <w:br/>
        <w:t xml:space="preserve">Available at: </w:t>
      </w:r>
      <w:hyperlink r:id="rId27" w:history="1">
        <w:r w:rsidR="00CB4A25" w:rsidRPr="00615D40">
          <w:rPr>
            <w:rStyle w:val="Hyperlink"/>
            <w:rFonts w:ascii="Arial" w:hAnsi="Arial" w:cs="Arial"/>
            <w:lang w:val="en-GB"/>
          </w:rPr>
          <w:t>https://tide.theimi.org.uk/industry-latest/news/ev-skills-gap-report-202</w:t>
        </w:r>
        <w:r w:rsidR="00CB4A25" w:rsidRPr="006C0618">
          <w:rPr>
            <w:rStyle w:val="Hyperlink"/>
            <w:rFonts w:ascii="Arial" w:hAnsi="Arial" w:cs="Arial"/>
            <w:lang w:val="en-GB"/>
          </w:rPr>
          <w:t>4</w:t>
        </w:r>
      </w:hyperlink>
      <w:r w:rsidR="00CB4A25">
        <w:rPr>
          <w:rFonts w:ascii="Arial" w:hAnsi="Arial" w:cs="Arial"/>
          <w:lang w:val="en-GB"/>
        </w:rPr>
        <w:t xml:space="preserve"> </w:t>
      </w:r>
      <w:r w:rsidRPr="00615D40">
        <w:rPr>
          <w:rFonts w:ascii="Arial" w:hAnsi="Arial" w:cs="Arial"/>
          <w:lang w:val="en-GB"/>
        </w:rPr>
        <w:t xml:space="preserve"> (Accessed: 01 October 2025).</w:t>
      </w:r>
    </w:p>
    <w:p w14:paraId="728064B0" w14:textId="31824AE8"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Kuo, Y.-F., Wu, C.-M. and Deng, W.-J. (2017) ‘The Relationships among Service Quality, Perceived Value, Customer Satisfaction, and Post-Purchase Intention in Mobile Value-Added Services’, </w:t>
      </w:r>
      <w:r w:rsidRPr="00615D40">
        <w:rPr>
          <w:rFonts w:ascii="Arial" w:hAnsi="Arial" w:cs="Arial"/>
          <w:i/>
          <w:iCs/>
          <w:lang w:val="en-GB"/>
        </w:rPr>
        <w:t xml:space="preserve">Computers in Human </w:t>
      </w:r>
      <w:proofErr w:type="spellStart"/>
      <w:r w:rsidRPr="00615D40">
        <w:rPr>
          <w:rFonts w:ascii="Arial" w:hAnsi="Arial" w:cs="Arial"/>
          <w:i/>
          <w:iCs/>
          <w:lang w:val="en-GB"/>
        </w:rPr>
        <w:t>Behavior</w:t>
      </w:r>
      <w:proofErr w:type="spellEnd"/>
      <w:r w:rsidRPr="00615D40">
        <w:rPr>
          <w:rFonts w:ascii="Arial" w:hAnsi="Arial" w:cs="Arial"/>
          <w:i/>
          <w:iCs/>
          <w:lang w:val="en-GB"/>
        </w:rPr>
        <w:t>,</w:t>
      </w:r>
      <w:r w:rsidRPr="00615D40">
        <w:rPr>
          <w:rFonts w:ascii="Arial" w:hAnsi="Arial" w:cs="Arial"/>
          <w:lang w:val="en-GB"/>
        </w:rPr>
        <w:t xml:space="preserve"> 25(4), pp. 887–896.</w:t>
      </w:r>
      <w:r w:rsidR="00CB4A25">
        <w:rPr>
          <w:rFonts w:ascii="Arial" w:hAnsi="Arial" w:cs="Arial"/>
          <w:lang w:val="en-GB"/>
        </w:rPr>
        <w:t xml:space="preserve"> </w:t>
      </w:r>
      <w:r w:rsidRPr="00615D40">
        <w:rPr>
          <w:rFonts w:ascii="Arial" w:hAnsi="Arial" w:cs="Arial"/>
          <w:lang w:val="en-GB"/>
        </w:rPr>
        <w:t xml:space="preserve">Available at: </w:t>
      </w:r>
      <w:hyperlink r:id="rId28" w:tgtFrame="_new" w:history="1">
        <w:r w:rsidRPr="00615D40">
          <w:rPr>
            <w:rStyle w:val="Hyperlink"/>
            <w:rFonts w:ascii="Arial" w:hAnsi="Arial" w:cs="Arial"/>
            <w:lang w:val="en-GB"/>
          </w:rPr>
          <w:t>https://doi.org/10.1016/j.chb.2009.03.003</w:t>
        </w:r>
      </w:hyperlink>
      <w:r w:rsidRPr="00615D40">
        <w:rPr>
          <w:rFonts w:ascii="Arial" w:hAnsi="Arial" w:cs="Arial"/>
          <w:lang w:val="en-GB"/>
        </w:rPr>
        <w:t xml:space="preserve"> (Accessed: 22 September 2025).</w:t>
      </w:r>
    </w:p>
    <w:p w14:paraId="42A3AA06" w14:textId="688F81EA"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Mintel (2023) </w:t>
      </w:r>
      <w:r w:rsidRPr="00615D40">
        <w:rPr>
          <w:rFonts w:ascii="Arial" w:hAnsi="Arial" w:cs="Arial"/>
          <w:i/>
          <w:iCs/>
          <w:lang w:val="en-GB"/>
        </w:rPr>
        <w:t>Car Wash and Valeting Services – UK – Market Report.</w:t>
      </w:r>
      <w:r w:rsidRPr="00615D40">
        <w:rPr>
          <w:rFonts w:ascii="Arial" w:hAnsi="Arial" w:cs="Arial"/>
          <w:lang w:val="en-GB"/>
        </w:rPr>
        <w:t xml:space="preserve"> London: Mintel Group Ltd.</w:t>
      </w:r>
      <w:r w:rsidR="00CB4A25">
        <w:rPr>
          <w:rFonts w:ascii="Arial" w:hAnsi="Arial" w:cs="Arial"/>
          <w:lang w:val="en-GB"/>
        </w:rPr>
        <w:t xml:space="preserve"> </w:t>
      </w:r>
      <w:r w:rsidRPr="00615D40">
        <w:rPr>
          <w:rFonts w:ascii="Arial" w:hAnsi="Arial" w:cs="Arial"/>
          <w:lang w:val="en-GB"/>
        </w:rPr>
        <w:t xml:space="preserve">Available at: </w:t>
      </w:r>
      <w:hyperlink r:id="rId29" w:history="1">
        <w:r w:rsidR="00CB4A25" w:rsidRPr="00615D40">
          <w:rPr>
            <w:rStyle w:val="Hyperlink"/>
            <w:rFonts w:ascii="Arial" w:hAnsi="Arial" w:cs="Arial"/>
            <w:lang w:val="en-GB"/>
          </w:rPr>
          <w:t>https://reports.mintel.com/display/1146544/</w:t>
        </w:r>
      </w:hyperlink>
      <w:r w:rsidR="00CB4A25">
        <w:rPr>
          <w:rFonts w:ascii="Arial" w:hAnsi="Arial" w:cs="Arial"/>
          <w:lang w:val="en-GB"/>
        </w:rPr>
        <w:t xml:space="preserve"> </w:t>
      </w:r>
      <w:r w:rsidRPr="00615D40">
        <w:rPr>
          <w:rFonts w:ascii="Arial" w:hAnsi="Arial" w:cs="Arial"/>
          <w:lang w:val="en-GB"/>
        </w:rPr>
        <w:t xml:space="preserve"> (Accessed: 18 September 2025).</w:t>
      </w:r>
    </w:p>
    <w:p w14:paraId="1BBE8C36" w14:textId="38BE3833"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Mintel (2024) </w:t>
      </w:r>
      <w:r w:rsidRPr="00615D40">
        <w:rPr>
          <w:rFonts w:ascii="Arial" w:hAnsi="Arial" w:cs="Arial"/>
          <w:i/>
          <w:iCs/>
          <w:lang w:val="en-GB"/>
        </w:rPr>
        <w:t>Automotive Aftermarket and Garage Services – UK – Market Report 2024.</w:t>
      </w:r>
      <w:r w:rsidRPr="00615D40">
        <w:rPr>
          <w:rFonts w:ascii="Arial" w:hAnsi="Arial" w:cs="Arial"/>
          <w:lang w:val="en-GB"/>
        </w:rPr>
        <w:t xml:space="preserve"> London: Mintel Group Ltd.</w:t>
      </w:r>
      <w:r w:rsidR="00CB4A25">
        <w:rPr>
          <w:rFonts w:ascii="Arial" w:hAnsi="Arial" w:cs="Arial"/>
          <w:lang w:val="en-GB"/>
        </w:rPr>
        <w:t xml:space="preserve"> </w:t>
      </w:r>
      <w:r w:rsidRPr="00615D40">
        <w:rPr>
          <w:rFonts w:ascii="Arial" w:hAnsi="Arial" w:cs="Arial"/>
          <w:lang w:val="en-GB"/>
        </w:rPr>
        <w:t xml:space="preserve">Available at: </w:t>
      </w:r>
      <w:hyperlink r:id="rId30" w:history="1">
        <w:r w:rsidR="00CB4A25" w:rsidRPr="00615D40">
          <w:rPr>
            <w:rStyle w:val="Hyperlink"/>
            <w:rFonts w:ascii="Arial" w:hAnsi="Arial" w:cs="Arial"/>
            <w:lang w:val="en-GB"/>
          </w:rPr>
          <w:t>https://reports.mintel.com/display/1149819/</w:t>
        </w:r>
      </w:hyperlink>
      <w:r w:rsidR="00CB4A25">
        <w:rPr>
          <w:rFonts w:ascii="Arial" w:hAnsi="Arial" w:cs="Arial"/>
          <w:lang w:val="en-GB"/>
        </w:rPr>
        <w:t xml:space="preserve"> </w:t>
      </w:r>
      <w:r w:rsidRPr="00615D40">
        <w:rPr>
          <w:rFonts w:ascii="Arial" w:hAnsi="Arial" w:cs="Arial"/>
          <w:lang w:val="en-GB"/>
        </w:rPr>
        <w:t xml:space="preserve"> (Accessed: 09 October 2025).</w:t>
      </w:r>
    </w:p>
    <w:p w14:paraId="7815B9E6" w14:textId="77732003"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Mintel (2024) </w:t>
      </w:r>
      <w:r w:rsidRPr="00615D40">
        <w:rPr>
          <w:rFonts w:ascii="Arial" w:hAnsi="Arial" w:cs="Arial"/>
          <w:i/>
          <w:iCs/>
          <w:lang w:val="en-GB"/>
        </w:rPr>
        <w:t>UK Car Servicing and Repair Market Report 2024.</w:t>
      </w:r>
      <w:r w:rsidRPr="00615D40">
        <w:rPr>
          <w:rFonts w:ascii="Arial" w:hAnsi="Arial" w:cs="Arial"/>
          <w:lang w:val="en-GB"/>
        </w:rPr>
        <w:t xml:space="preserve"> London: Mintel Group Ltd.</w:t>
      </w:r>
      <w:r w:rsidRPr="00615D40">
        <w:rPr>
          <w:rFonts w:ascii="Arial" w:hAnsi="Arial" w:cs="Arial"/>
          <w:lang w:val="en-GB"/>
        </w:rPr>
        <w:br/>
        <w:t xml:space="preserve">Available at: </w:t>
      </w:r>
      <w:hyperlink r:id="rId31" w:history="1">
        <w:r w:rsidR="00CB4A25" w:rsidRPr="00615D40">
          <w:rPr>
            <w:rStyle w:val="Hyperlink"/>
            <w:rFonts w:ascii="Arial" w:hAnsi="Arial" w:cs="Arial"/>
            <w:lang w:val="en-GB"/>
          </w:rPr>
          <w:t>https://reports.mintel.com/display/1150123/</w:t>
        </w:r>
      </w:hyperlink>
      <w:r w:rsidR="00CB4A25">
        <w:rPr>
          <w:rFonts w:ascii="Arial" w:hAnsi="Arial" w:cs="Arial"/>
          <w:lang w:val="en-GB"/>
        </w:rPr>
        <w:t xml:space="preserve"> </w:t>
      </w:r>
      <w:r w:rsidRPr="00615D40">
        <w:rPr>
          <w:rFonts w:ascii="Arial" w:hAnsi="Arial" w:cs="Arial"/>
          <w:lang w:val="en-GB"/>
        </w:rPr>
        <w:t xml:space="preserve"> (Accessed: 21 September 2025).</w:t>
      </w:r>
    </w:p>
    <w:p w14:paraId="748994ED" w14:textId="77777777" w:rsidR="00615D40" w:rsidRPr="00615D40" w:rsidRDefault="00615D40" w:rsidP="00615D40">
      <w:pPr>
        <w:spacing w:line="360" w:lineRule="auto"/>
        <w:rPr>
          <w:rFonts w:ascii="Arial" w:hAnsi="Arial" w:cs="Arial"/>
          <w:lang w:val="en-GB"/>
        </w:rPr>
      </w:pPr>
      <w:proofErr w:type="spellStart"/>
      <w:r w:rsidRPr="00615D40">
        <w:rPr>
          <w:rFonts w:ascii="Arial" w:hAnsi="Arial" w:cs="Arial"/>
          <w:lang w:val="en-GB"/>
        </w:rPr>
        <w:t>NimbleFins</w:t>
      </w:r>
      <w:proofErr w:type="spellEnd"/>
      <w:r w:rsidRPr="00615D40">
        <w:rPr>
          <w:rFonts w:ascii="Arial" w:hAnsi="Arial" w:cs="Arial"/>
          <w:lang w:val="en-GB"/>
        </w:rPr>
        <w:t xml:space="preserve"> (2023) </w:t>
      </w:r>
      <w:r w:rsidRPr="00615D40">
        <w:rPr>
          <w:rFonts w:ascii="Arial" w:hAnsi="Arial" w:cs="Arial"/>
          <w:i/>
          <w:iCs/>
          <w:lang w:val="en-GB"/>
        </w:rPr>
        <w:t>Car Licence Statistics – West Midlands 2023.</w:t>
      </w:r>
      <w:r w:rsidRPr="00615D40">
        <w:rPr>
          <w:rFonts w:ascii="Arial" w:hAnsi="Arial" w:cs="Arial"/>
          <w:lang w:val="en-GB"/>
        </w:rPr>
        <w:br/>
        <w:t xml:space="preserve">Available at: </w:t>
      </w:r>
      <w:hyperlink r:id="rId32" w:tgtFrame="_new" w:history="1">
        <w:r w:rsidRPr="00615D40">
          <w:rPr>
            <w:rStyle w:val="Hyperlink"/>
            <w:rFonts w:ascii="Arial" w:hAnsi="Arial" w:cs="Arial"/>
            <w:lang w:val="en-GB"/>
          </w:rPr>
          <w:t>https://www.nimblefins.co.uk/car-licence-statistics-west-midlands-england</w:t>
        </w:r>
      </w:hyperlink>
      <w:r w:rsidRPr="00615D40">
        <w:rPr>
          <w:rFonts w:ascii="Arial" w:hAnsi="Arial" w:cs="Arial"/>
          <w:lang w:val="en-GB"/>
        </w:rPr>
        <w:t xml:space="preserve"> (Accessed: 09 October 2025).</w:t>
      </w:r>
    </w:p>
    <w:p w14:paraId="5D234959" w14:textId="7E365098"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Office for National Statistics (ONS) (2023) </w:t>
      </w:r>
      <w:r w:rsidRPr="00615D40">
        <w:rPr>
          <w:rFonts w:ascii="Arial" w:hAnsi="Arial" w:cs="Arial"/>
          <w:i/>
          <w:iCs/>
          <w:lang w:val="en-GB"/>
        </w:rPr>
        <w:t>Opinions and Lifestyle Survey: Environmental Attitudes 2023.</w:t>
      </w:r>
      <w:r w:rsidRPr="00615D40">
        <w:rPr>
          <w:rFonts w:ascii="Arial" w:hAnsi="Arial" w:cs="Arial"/>
          <w:lang w:val="en-GB"/>
        </w:rPr>
        <w:t xml:space="preserve"> Newport: ONS.</w:t>
      </w:r>
      <w:r w:rsidR="00CB4A25">
        <w:rPr>
          <w:rFonts w:ascii="Arial" w:hAnsi="Arial" w:cs="Arial"/>
          <w:lang w:val="en-GB"/>
        </w:rPr>
        <w:t xml:space="preserve"> </w:t>
      </w:r>
      <w:r w:rsidRPr="00615D40">
        <w:rPr>
          <w:rFonts w:ascii="Arial" w:hAnsi="Arial" w:cs="Arial"/>
          <w:lang w:val="en-GB"/>
        </w:rPr>
        <w:t>Available at:</w:t>
      </w:r>
      <w:r w:rsidR="00CB4A25">
        <w:rPr>
          <w:rFonts w:ascii="Arial" w:hAnsi="Arial" w:cs="Arial"/>
          <w:lang w:val="en-GB"/>
        </w:rPr>
        <w:t xml:space="preserve"> </w:t>
      </w:r>
      <w:hyperlink r:id="rId33" w:history="1">
        <w:r w:rsidR="00CB4A25" w:rsidRPr="00615D40">
          <w:rPr>
            <w:rStyle w:val="Hyperlink"/>
            <w:rFonts w:ascii="Arial" w:hAnsi="Arial" w:cs="Arial"/>
            <w:lang w:val="en-GB"/>
          </w:rPr>
          <w:t>https://www.ons.gov.uk/peoplepopulationandcommunity/environmentalattitudes/articles/</w:t>
        </w:r>
      </w:hyperlink>
      <w:r w:rsidR="00CB4A25">
        <w:rPr>
          <w:rFonts w:ascii="Arial" w:hAnsi="Arial" w:cs="Arial"/>
          <w:lang w:val="en-GB"/>
        </w:rPr>
        <w:t xml:space="preserve"> </w:t>
      </w:r>
      <w:r w:rsidRPr="00615D40">
        <w:rPr>
          <w:rFonts w:ascii="Arial" w:hAnsi="Arial" w:cs="Arial"/>
          <w:lang w:val="en-GB"/>
        </w:rPr>
        <w:t xml:space="preserve"> </w:t>
      </w:r>
      <w:r w:rsidR="00CB4A25">
        <w:rPr>
          <w:rFonts w:ascii="Arial" w:hAnsi="Arial" w:cs="Arial"/>
          <w:lang w:val="en-GB"/>
        </w:rPr>
        <w:t xml:space="preserve"> </w:t>
      </w:r>
      <w:r w:rsidRPr="00615D40">
        <w:rPr>
          <w:rFonts w:ascii="Arial" w:hAnsi="Arial" w:cs="Arial"/>
          <w:lang w:val="en-GB"/>
        </w:rPr>
        <w:t>(Accessed: 01 October 2025).</w:t>
      </w:r>
    </w:p>
    <w:p w14:paraId="2DC1C1E9" w14:textId="6729CA33"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Office for National Statistics (ONS) (2024) </w:t>
      </w:r>
      <w:r w:rsidRPr="00615D40">
        <w:rPr>
          <w:rFonts w:ascii="Arial" w:hAnsi="Arial" w:cs="Arial"/>
          <w:i/>
          <w:iCs/>
          <w:lang w:val="en-GB"/>
        </w:rPr>
        <w:t>UK Business Counts – Enterprises by Industry (SIC 2007) and Local Authority.</w:t>
      </w:r>
      <w:r w:rsidRPr="00615D40">
        <w:rPr>
          <w:rFonts w:ascii="Arial" w:hAnsi="Arial" w:cs="Arial"/>
          <w:lang w:val="en-GB"/>
        </w:rPr>
        <w:t xml:space="preserve"> Newport: ONS/Nomis.</w:t>
      </w:r>
      <w:r w:rsidR="001E3823">
        <w:rPr>
          <w:rFonts w:ascii="Arial" w:hAnsi="Arial" w:cs="Arial"/>
          <w:lang w:val="en-GB"/>
        </w:rPr>
        <w:t xml:space="preserve"> </w:t>
      </w:r>
      <w:r w:rsidRPr="00615D40">
        <w:rPr>
          <w:rFonts w:ascii="Arial" w:hAnsi="Arial" w:cs="Arial"/>
          <w:lang w:val="en-GB"/>
        </w:rPr>
        <w:t xml:space="preserve">Available at: </w:t>
      </w:r>
      <w:hyperlink r:id="rId34" w:history="1">
        <w:r w:rsidR="001E3823" w:rsidRPr="00615D40">
          <w:rPr>
            <w:rStyle w:val="Hyperlink"/>
            <w:rFonts w:ascii="Arial" w:hAnsi="Arial" w:cs="Arial"/>
            <w:lang w:val="en-GB"/>
          </w:rPr>
          <w:t>https://www.nomisweb.co.uk/query/select/getdatasetbytheme.asp?theme=73</w:t>
        </w:r>
      </w:hyperlink>
      <w:r w:rsidR="001E3823">
        <w:rPr>
          <w:rFonts w:ascii="Arial" w:hAnsi="Arial" w:cs="Arial"/>
          <w:lang w:val="en-GB"/>
        </w:rPr>
        <w:t xml:space="preserve"> </w:t>
      </w:r>
      <w:r w:rsidRPr="00615D40">
        <w:rPr>
          <w:rFonts w:ascii="Arial" w:hAnsi="Arial" w:cs="Arial"/>
          <w:lang w:val="en-GB"/>
        </w:rPr>
        <w:t xml:space="preserve"> (Accessed: 18 September 2025).</w:t>
      </w:r>
    </w:p>
    <w:p w14:paraId="7D38D4AB" w14:textId="77777777" w:rsidR="00615D40" w:rsidRPr="00615D40" w:rsidRDefault="00615D40" w:rsidP="00615D40">
      <w:pPr>
        <w:spacing w:line="360" w:lineRule="auto"/>
        <w:rPr>
          <w:rFonts w:ascii="Arial" w:hAnsi="Arial" w:cs="Arial"/>
          <w:lang w:val="en-GB"/>
        </w:rPr>
      </w:pPr>
      <w:r w:rsidRPr="00615D40">
        <w:rPr>
          <w:rFonts w:ascii="Arial" w:hAnsi="Arial" w:cs="Arial"/>
          <w:lang w:val="en-GB"/>
        </w:rPr>
        <w:lastRenderedPageBreak/>
        <w:t xml:space="preserve">Osterwalder, A. and Pigneur, Y. (2010) </w:t>
      </w:r>
      <w:r w:rsidRPr="00615D40">
        <w:rPr>
          <w:rFonts w:ascii="Arial" w:hAnsi="Arial" w:cs="Arial"/>
          <w:i/>
          <w:iCs/>
          <w:lang w:val="en-GB"/>
        </w:rPr>
        <w:t>Business Model Generation: A Handbook for Visionaries, Game Changers, and Challengers.</w:t>
      </w:r>
      <w:r w:rsidRPr="00615D40">
        <w:rPr>
          <w:rFonts w:ascii="Arial" w:hAnsi="Arial" w:cs="Arial"/>
          <w:lang w:val="en-GB"/>
        </w:rPr>
        <w:t xml:space="preserve"> Hoboken, NJ: John Wiley &amp; Sons.</w:t>
      </w:r>
    </w:p>
    <w:p w14:paraId="084399D6" w14:textId="77777777"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Porter, M.E. (2008) ‘The Five Competitive Forces That Shape Strategy’, </w:t>
      </w:r>
      <w:r w:rsidRPr="00615D40">
        <w:rPr>
          <w:rFonts w:ascii="Arial" w:hAnsi="Arial" w:cs="Arial"/>
          <w:i/>
          <w:iCs/>
          <w:lang w:val="en-GB"/>
        </w:rPr>
        <w:t>Harvard Business Review,</w:t>
      </w:r>
      <w:r w:rsidRPr="00615D40">
        <w:rPr>
          <w:rFonts w:ascii="Arial" w:hAnsi="Arial" w:cs="Arial"/>
          <w:lang w:val="en-GB"/>
        </w:rPr>
        <w:t xml:space="preserve"> 86(1), pp. 78–93.</w:t>
      </w:r>
    </w:p>
    <w:p w14:paraId="24716802" w14:textId="0BC4160A"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PricewaterhouseCoopers (PwC) (2024) </w:t>
      </w:r>
      <w:r w:rsidRPr="00615D40">
        <w:rPr>
          <w:rFonts w:ascii="Arial" w:hAnsi="Arial" w:cs="Arial"/>
          <w:i/>
          <w:iCs/>
          <w:lang w:val="en-GB"/>
        </w:rPr>
        <w:t>Automotive Consumer Insight Survey 2024: Trust and Transparency in Vehicle Services.</w:t>
      </w:r>
      <w:r w:rsidRPr="00615D40">
        <w:rPr>
          <w:rFonts w:ascii="Arial" w:hAnsi="Arial" w:cs="Arial"/>
          <w:lang w:val="en-GB"/>
        </w:rPr>
        <w:t xml:space="preserve"> London: PwC UK.</w:t>
      </w:r>
      <w:r w:rsidR="001E3823">
        <w:rPr>
          <w:rFonts w:ascii="Arial" w:hAnsi="Arial" w:cs="Arial"/>
          <w:lang w:val="en-GB"/>
        </w:rPr>
        <w:t xml:space="preserve"> </w:t>
      </w:r>
      <w:r w:rsidRPr="00615D40">
        <w:rPr>
          <w:rFonts w:ascii="Arial" w:hAnsi="Arial" w:cs="Arial"/>
          <w:lang w:val="en-GB"/>
        </w:rPr>
        <w:t xml:space="preserve">Available at: </w:t>
      </w:r>
      <w:hyperlink r:id="rId35" w:history="1">
        <w:r w:rsidR="001E3823" w:rsidRPr="00615D40">
          <w:rPr>
            <w:rStyle w:val="Hyperlink"/>
            <w:rFonts w:ascii="Arial" w:hAnsi="Arial" w:cs="Arial"/>
            <w:lang w:val="en-GB"/>
          </w:rPr>
          <w:t>https://www.pwc.co.uk/industries/automotive/insights/automotive-consumer-survey-2024.html</w:t>
        </w:r>
      </w:hyperlink>
      <w:r w:rsidR="001E3823">
        <w:rPr>
          <w:rFonts w:ascii="Arial" w:hAnsi="Arial" w:cs="Arial"/>
          <w:lang w:val="en-GB"/>
        </w:rPr>
        <w:t xml:space="preserve"> </w:t>
      </w:r>
      <w:r w:rsidRPr="00615D40">
        <w:rPr>
          <w:rFonts w:ascii="Arial" w:hAnsi="Arial" w:cs="Arial"/>
          <w:lang w:val="en-GB"/>
        </w:rPr>
        <w:t xml:space="preserve"> (Accessed: 22 September 2025).</w:t>
      </w:r>
    </w:p>
    <w:p w14:paraId="2DAFD039" w14:textId="2D2FC95E"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Sandwell Metropolitan Borough Council (2023) </w:t>
      </w:r>
      <w:r w:rsidRPr="00615D40">
        <w:rPr>
          <w:rFonts w:ascii="Arial" w:hAnsi="Arial" w:cs="Arial"/>
          <w:i/>
          <w:iCs/>
          <w:lang w:val="en-GB"/>
        </w:rPr>
        <w:t>Greener Borough Strategy 2023–2030.</w:t>
      </w:r>
      <w:r w:rsidRPr="00615D40">
        <w:rPr>
          <w:rFonts w:ascii="Arial" w:hAnsi="Arial" w:cs="Arial"/>
          <w:lang w:val="en-GB"/>
        </w:rPr>
        <w:t xml:space="preserve"> West Bromwich: Sandwell Council.</w:t>
      </w:r>
      <w:r w:rsidR="001E3823">
        <w:rPr>
          <w:rFonts w:ascii="Arial" w:hAnsi="Arial" w:cs="Arial"/>
          <w:lang w:val="en-GB"/>
        </w:rPr>
        <w:t xml:space="preserve"> </w:t>
      </w:r>
      <w:r w:rsidRPr="00615D40">
        <w:rPr>
          <w:rFonts w:ascii="Arial" w:hAnsi="Arial" w:cs="Arial"/>
          <w:lang w:val="en-GB"/>
        </w:rPr>
        <w:t xml:space="preserve">Available at: </w:t>
      </w:r>
      <w:hyperlink r:id="rId36" w:history="1">
        <w:r w:rsidR="001E3823" w:rsidRPr="00615D40">
          <w:rPr>
            <w:rStyle w:val="Hyperlink"/>
            <w:rFonts w:ascii="Arial" w:hAnsi="Arial" w:cs="Arial"/>
            <w:lang w:val="en-GB"/>
          </w:rPr>
          <w:t>https://www.sandwell.gov.uk/greener-borough-strategy</w:t>
        </w:r>
      </w:hyperlink>
      <w:r w:rsidR="001E3823">
        <w:rPr>
          <w:rFonts w:ascii="Arial" w:hAnsi="Arial" w:cs="Arial"/>
          <w:lang w:val="en-GB"/>
        </w:rPr>
        <w:t xml:space="preserve"> </w:t>
      </w:r>
      <w:r w:rsidRPr="00615D40">
        <w:rPr>
          <w:rFonts w:ascii="Arial" w:hAnsi="Arial" w:cs="Arial"/>
          <w:lang w:val="en-GB"/>
        </w:rPr>
        <w:t xml:space="preserve"> (Accessed: 17 September 2025).</w:t>
      </w:r>
    </w:p>
    <w:p w14:paraId="4CD3D6B9" w14:textId="7558AC2F"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Sandwell Council (2024) </w:t>
      </w:r>
      <w:r w:rsidRPr="00615D40">
        <w:rPr>
          <w:rFonts w:ascii="Arial" w:hAnsi="Arial" w:cs="Arial"/>
          <w:i/>
          <w:iCs/>
          <w:lang w:val="en-GB"/>
        </w:rPr>
        <w:t>Sandwell Vision 2030: Economic and Community Development Plan.</w:t>
      </w:r>
      <w:r w:rsidRPr="00615D40">
        <w:rPr>
          <w:rFonts w:ascii="Arial" w:hAnsi="Arial" w:cs="Arial"/>
          <w:lang w:val="en-GB"/>
        </w:rPr>
        <w:t xml:space="preserve"> Sandwell Metropolitan Borough Council.</w:t>
      </w:r>
      <w:r w:rsidR="001E3823">
        <w:rPr>
          <w:rFonts w:ascii="Arial" w:hAnsi="Arial" w:cs="Arial"/>
          <w:lang w:val="en-GB"/>
        </w:rPr>
        <w:t xml:space="preserve"> </w:t>
      </w:r>
      <w:r w:rsidRPr="00615D40">
        <w:rPr>
          <w:rFonts w:ascii="Arial" w:hAnsi="Arial" w:cs="Arial"/>
          <w:lang w:val="en-GB"/>
        </w:rPr>
        <w:t xml:space="preserve">Available at: </w:t>
      </w:r>
      <w:hyperlink r:id="rId37" w:history="1">
        <w:r w:rsidR="001E3823" w:rsidRPr="00615D40">
          <w:rPr>
            <w:rStyle w:val="Hyperlink"/>
            <w:rFonts w:ascii="Arial" w:hAnsi="Arial" w:cs="Arial"/>
            <w:lang w:val="en-GB"/>
          </w:rPr>
          <w:t>https://www.sandwell.gov.uk/sandwell-vision-2030</w:t>
        </w:r>
      </w:hyperlink>
      <w:r w:rsidR="001E3823">
        <w:rPr>
          <w:rFonts w:ascii="Arial" w:hAnsi="Arial" w:cs="Arial"/>
          <w:lang w:val="en-GB"/>
        </w:rPr>
        <w:t xml:space="preserve"> </w:t>
      </w:r>
      <w:r w:rsidRPr="00615D40">
        <w:rPr>
          <w:rFonts w:ascii="Arial" w:hAnsi="Arial" w:cs="Arial"/>
          <w:lang w:val="en-GB"/>
        </w:rPr>
        <w:t>(Accessed: 18 September 2025).</w:t>
      </w:r>
    </w:p>
    <w:p w14:paraId="75E16400" w14:textId="77777777"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Saunders, M., Lewis, P. and Thornhill, A. (2019) </w:t>
      </w:r>
      <w:r w:rsidRPr="00615D40">
        <w:rPr>
          <w:rFonts w:ascii="Arial" w:hAnsi="Arial" w:cs="Arial"/>
          <w:i/>
          <w:iCs/>
          <w:lang w:val="en-GB"/>
        </w:rPr>
        <w:t>Research Methods for Business Students.</w:t>
      </w:r>
      <w:r w:rsidRPr="00615D40">
        <w:rPr>
          <w:rFonts w:ascii="Arial" w:hAnsi="Arial" w:cs="Arial"/>
          <w:lang w:val="en-GB"/>
        </w:rPr>
        <w:t xml:space="preserve"> 8th </w:t>
      </w:r>
      <w:proofErr w:type="spellStart"/>
      <w:r w:rsidRPr="00615D40">
        <w:rPr>
          <w:rFonts w:ascii="Arial" w:hAnsi="Arial" w:cs="Arial"/>
          <w:lang w:val="en-GB"/>
        </w:rPr>
        <w:t>edn</w:t>
      </w:r>
      <w:proofErr w:type="spellEnd"/>
      <w:r w:rsidRPr="00615D40">
        <w:rPr>
          <w:rFonts w:ascii="Arial" w:hAnsi="Arial" w:cs="Arial"/>
          <w:lang w:val="en-GB"/>
        </w:rPr>
        <w:t>. Harlow: Pearson Education Limited.</w:t>
      </w:r>
    </w:p>
    <w:p w14:paraId="62C64A4F" w14:textId="1AEF7E4E"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Society of Motor Manufacturers and Traders (SMMT) (2024) </w:t>
      </w:r>
      <w:r w:rsidRPr="00615D40">
        <w:rPr>
          <w:rFonts w:ascii="Arial" w:hAnsi="Arial" w:cs="Arial"/>
          <w:i/>
          <w:iCs/>
          <w:lang w:val="en-GB"/>
        </w:rPr>
        <w:t>EV and Hybrid Vehicle Registration Statistics 2024.</w:t>
      </w:r>
      <w:r w:rsidRPr="00615D40">
        <w:rPr>
          <w:rFonts w:ascii="Arial" w:hAnsi="Arial" w:cs="Arial"/>
          <w:lang w:val="en-GB"/>
        </w:rPr>
        <w:t xml:space="preserve"> London: SMMT.</w:t>
      </w:r>
      <w:r w:rsidR="001E3823">
        <w:rPr>
          <w:rFonts w:ascii="Arial" w:hAnsi="Arial" w:cs="Arial"/>
          <w:lang w:val="en-GB"/>
        </w:rPr>
        <w:t xml:space="preserve"> </w:t>
      </w:r>
      <w:r w:rsidRPr="00615D40">
        <w:rPr>
          <w:rFonts w:ascii="Arial" w:hAnsi="Arial" w:cs="Arial"/>
          <w:lang w:val="en-GB"/>
        </w:rPr>
        <w:t xml:space="preserve">Available at: </w:t>
      </w:r>
      <w:hyperlink r:id="rId38" w:history="1">
        <w:r w:rsidR="001E3823" w:rsidRPr="00615D40">
          <w:rPr>
            <w:rStyle w:val="Hyperlink"/>
            <w:rFonts w:ascii="Arial" w:hAnsi="Arial" w:cs="Arial"/>
            <w:lang w:val="en-GB"/>
          </w:rPr>
          <w:t>https://www.smmt.co.uk/vehicle-data/evs-and-hybrids-registrations-2024/</w:t>
        </w:r>
      </w:hyperlink>
      <w:r w:rsidR="001E3823">
        <w:rPr>
          <w:rFonts w:ascii="Arial" w:hAnsi="Arial" w:cs="Arial"/>
          <w:lang w:val="en-GB"/>
        </w:rPr>
        <w:t xml:space="preserve"> </w:t>
      </w:r>
      <w:r w:rsidRPr="00615D40">
        <w:rPr>
          <w:rFonts w:ascii="Arial" w:hAnsi="Arial" w:cs="Arial"/>
          <w:lang w:val="en-GB"/>
        </w:rPr>
        <w:t xml:space="preserve"> (Accessed: 23 September 2025).</w:t>
      </w:r>
    </w:p>
    <w:p w14:paraId="6C1DB1B5" w14:textId="04071463"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Statista (2024) </w:t>
      </w:r>
      <w:r w:rsidRPr="00615D40">
        <w:rPr>
          <w:rFonts w:ascii="Arial" w:hAnsi="Arial" w:cs="Arial"/>
          <w:i/>
          <w:iCs/>
          <w:lang w:val="en-GB"/>
        </w:rPr>
        <w:t>UK Automotive Aftermarket and Digital Service Booking Statistics 2024.</w:t>
      </w:r>
      <w:r w:rsidRPr="00615D40">
        <w:rPr>
          <w:rFonts w:ascii="Arial" w:hAnsi="Arial" w:cs="Arial"/>
          <w:lang w:val="en-GB"/>
        </w:rPr>
        <w:t xml:space="preserve"> Hamburg: Statista GmbH.</w:t>
      </w:r>
      <w:r w:rsidR="001E3823">
        <w:rPr>
          <w:rFonts w:ascii="Arial" w:hAnsi="Arial" w:cs="Arial"/>
          <w:lang w:val="en-GB"/>
        </w:rPr>
        <w:t xml:space="preserve"> </w:t>
      </w:r>
      <w:r w:rsidRPr="00615D40">
        <w:rPr>
          <w:rFonts w:ascii="Arial" w:hAnsi="Arial" w:cs="Arial"/>
          <w:lang w:val="en-GB"/>
        </w:rPr>
        <w:t xml:space="preserve">Available at: </w:t>
      </w:r>
      <w:hyperlink r:id="rId39" w:history="1">
        <w:r w:rsidR="001E3823" w:rsidRPr="00615D40">
          <w:rPr>
            <w:rStyle w:val="Hyperlink"/>
            <w:rFonts w:ascii="Arial" w:hAnsi="Arial" w:cs="Arial"/>
            <w:lang w:val="en-GB"/>
          </w:rPr>
          <w:t>https://www.statista.com/topics/8639/uk-automotive-aftermarket/</w:t>
        </w:r>
      </w:hyperlink>
      <w:r w:rsidR="001E3823">
        <w:rPr>
          <w:rFonts w:ascii="Arial" w:hAnsi="Arial" w:cs="Arial"/>
          <w:lang w:val="en-GB"/>
        </w:rPr>
        <w:t xml:space="preserve"> </w:t>
      </w:r>
      <w:r w:rsidRPr="00615D40">
        <w:rPr>
          <w:rFonts w:ascii="Arial" w:hAnsi="Arial" w:cs="Arial"/>
          <w:lang w:val="en-GB"/>
        </w:rPr>
        <w:t xml:space="preserve"> (Accessed: 18 September 2025).</w:t>
      </w:r>
    </w:p>
    <w:p w14:paraId="4A375401" w14:textId="784AD2F1" w:rsidR="00615D40" w:rsidRPr="00615D40" w:rsidRDefault="00615D40" w:rsidP="00615D40">
      <w:pPr>
        <w:spacing w:line="360" w:lineRule="auto"/>
        <w:rPr>
          <w:rFonts w:ascii="Arial" w:hAnsi="Arial" w:cs="Arial"/>
          <w:lang w:val="en-GB"/>
        </w:rPr>
      </w:pPr>
      <w:proofErr w:type="spellStart"/>
      <w:r w:rsidRPr="00615D40">
        <w:rPr>
          <w:rFonts w:ascii="Arial" w:hAnsi="Arial" w:cs="Arial"/>
          <w:lang w:val="en-GB"/>
        </w:rPr>
        <w:t>TyreSafe</w:t>
      </w:r>
      <w:proofErr w:type="spellEnd"/>
      <w:r w:rsidRPr="00615D40">
        <w:rPr>
          <w:rFonts w:ascii="Arial" w:hAnsi="Arial" w:cs="Arial"/>
          <w:lang w:val="en-GB"/>
        </w:rPr>
        <w:t xml:space="preserve"> (2024) </w:t>
      </w:r>
      <w:r w:rsidRPr="00615D40">
        <w:rPr>
          <w:rFonts w:ascii="Arial" w:hAnsi="Arial" w:cs="Arial"/>
          <w:i/>
          <w:iCs/>
          <w:lang w:val="en-GB"/>
        </w:rPr>
        <w:t>UK Tyre Market and Safety Report 2024.</w:t>
      </w:r>
      <w:r w:rsidRPr="00615D40">
        <w:rPr>
          <w:rFonts w:ascii="Arial" w:hAnsi="Arial" w:cs="Arial"/>
          <w:lang w:val="en-GB"/>
        </w:rPr>
        <w:t xml:space="preserve"> Kent: </w:t>
      </w:r>
      <w:proofErr w:type="spellStart"/>
      <w:r w:rsidRPr="00615D40">
        <w:rPr>
          <w:rFonts w:ascii="Arial" w:hAnsi="Arial" w:cs="Arial"/>
          <w:lang w:val="en-GB"/>
        </w:rPr>
        <w:t>TyreSafe</w:t>
      </w:r>
      <w:proofErr w:type="spellEnd"/>
      <w:r w:rsidRPr="00615D40">
        <w:rPr>
          <w:rFonts w:ascii="Arial" w:hAnsi="Arial" w:cs="Arial"/>
          <w:lang w:val="en-GB"/>
        </w:rPr>
        <w:t xml:space="preserve"> Organisation.</w:t>
      </w:r>
      <w:r w:rsidRPr="00615D40">
        <w:rPr>
          <w:rFonts w:ascii="Arial" w:hAnsi="Arial" w:cs="Arial"/>
          <w:lang w:val="en-GB"/>
        </w:rPr>
        <w:br/>
        <w:t xml:space="preserve">Available at: </w:t>
      </w:r>
      <w:hyperlink r:id="rId40" w:history="1">
        <w:r w:rsidR="001E3823" w:rsidRPr="00615D40">
          <w:rPr>
            <w:rStyle w:val="Hyperlink"/>
            <w:rFonts w:ascii="Arial" w:hAnsi="Arial" w:cs="Arial"/>
            <w:lang w:val="en-GB"/>
          </w:rPr>
          <w:t>https://www.tyresafe.org/tyre-safety-report-2024/</w:t>
        </w:r>
      </w:hyperlink>
      <w:r w:rsidR="001E3823">
        <w:rPr>
          <w:rFonts w:ascii="Arial" w:hAnsi="Arial" w:cs="Arial"/>
          <w:lang w:val="en-GB"/>
        </w:rPr>
        <w:t xml:space="preserve"> </w:t>
      </w:r>
      <w:r w:rsidRPr="00615D40">
        <w:rPr>
          <w:rFonts w:ascii="Arial" w:hAnsi="Arial" w:cs="Arial"/>
          <w:lang w:val="en-GB"/>
        </w:rPr>
        <w:t xml:space="preserve"> (Accessed: 29 September 2025).</w:t>
      </w:r>
    </w:p>
    <w:p w14:paraId="479E8FE4" w14:textId="13707820"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United Kingdom General Data Protection Regulation (UK GDPR) (2021) </w:t>
      </w:r>
      <w:r w:rsidRPr="00615D40">
        <w:rPr>
          <w:rFonts w:ascii="Arial" w:hAnsi="Arial" w:cs="Arial"/>
          <w:i/>
          <w:iCs/>
          <w:lang w:val="en-GB"/>
        </w:rPr>
        <w:t>Data Protection Act 2018 and UK GDPR Compliance Guidance.</w:t>
      </w:r>
      <w:r w:rsidRPr="00615D40">
        <w:rPr>
          <w:rFonts w:ascii="Arial" w:hAnsi="Arial" w:cs="Arial"/>
          <w:lang w:val="en-GB"/>
        </w:rPr>
        <w:t xml:space="preserve"> London: Information Commissioner’s Office (ICO).</w:t>
      </w:r>
      <w:r w:rsidR="001E3823">
        <w:rPr>
          <w:rFonts w:ascii="Arial" w:hAnsi="Arial" w:cs="Arial"/>
          <w:lang w:val="en-GB"/>
        </w:rPr>
        <w:t xml:space="preserve"> </w:t>
      </w:r>
      <w:r w:rsidRPr="00615D40">
        <w:rPr>
          <w:rFonts w:ascii="Arial" w:hAnsi="Arial" w:cs="Arial"/>
          <w:lang w:val="en-GB"/>
        </w:rPr>
        <w:t xml:space="preserve">Available at: </w:t>
      </w:r>
      <w:hyperlink r:id="rId41" w:history="1">
        <w:r w:rsidR="001E3823" w:rsidRPr="00615D40">
          <w:rPr>
            <w:rStyle w:val="Hyperlink"/>
            <w:rFonts w:ascii="Arial" w:hAnsi="Arial" w:cs="Arial"/>
            <w:lang w:val="en-GB"/>
          </w:rPr>
          <w:t>https://ico.org.uk/for-organisations/uk-gdpr-guidance-and-resources/</w:t>
        </w:r>
      </w:hyperlink>
      <w:r w:rsidR="001E3823">
        <w:rPr>
          <w:rFonts w:ascii="Arial" w:hAnsi="Arial" w:cs="Arial"/>
          <w:lang w:val="en-GB"/>
        </w:rPr>
        <w:t xml:space="preserve"> </w:t>
      </w:r>
      <w:r w:rsidRPr="00615D40">
        <w:rPr>
          <w:rFonts w:ascii="Arial" w:hAnsi="Arial" w:cs="Arial"/>
          <w:lang w:val="en-GB"/>
        </w:rPr>
        <w:t>(Accessed: 21 September 2025).</w:t>
      </w:r>
    </w:p>
    <w:p w14:paraId="2902FC64" w14:textId="165D17B0" w:rsidR="00615D40" w:rsidRPr="00615D40" w:rsidRDefault="00615D40" w:rsidP="00615D40">
      <w:pPr>
        <w:spacing w:line="360" w:lineRule="auto"/>
        <w:rPr>
          <w:rFonts w:ascii="Arial" w:hAnsi="Arial" w:cs="Arial"/>
          <w:lang w:val="en-GB"/>
        </w:rPr>
      </w:pPr>
      <w:r w:rsidRPr="00615D40">
        <w:rPr>
          <w:rFonts w:ascii="Arial" w:hAnsi="Arial" w:cs="Arial"/>
          <w:lang w:val="en-GB"/>
        </w:rPr>
        <w:t xml:space="preserve">University of Wales Trinity Saint David (UWTSD) (2025) </w:t>
      </w:r>
      <w:r w:rsidRPr="00615D40">
        <w:rPr>
          <w:rFonts w:ascii="Arial" w:hAnsi="Arial" w:cs="Arial"/>
          <w:i/>
          <w:iCs/>
          <w:lang w:val="en-GB"/>
        </w:rPr>
        <w:t>Research Ethics Policy.</w:t>
      </w:r>
      <w:r w:rsidRPr="00615D40">
        <w:rPr>
          <w:rFonts w:ascii="Arial" w:hAnsi="Arial" w:cs="Arial"/>
          <w:lang w:val="en-GB"/>
        </w:rPr>
        <w:t xml:space="preserve"> Swansea: UWTSD.</w:t>
      </w:r>
      <w:r w:rsidR="001E3823">
        <w:rPr>
          <w:rFonts w:ascii="Arial" w:hAnsi="Arial" w:cs="Arial"/>
          <w:lang w:val="en-GB"/>
        </w:rPr>
        <w:t xml:space="preserve"> </w:t>
      </w:r>
      <w:r w:rsidRPr="00615D40">
        <w:rPr>
          <w:rFonts w:ascii="Arial" w:hAnsi="Arial" w:cs="Arial"/>
          <w:lang w:val="en-GB"/>
        </w:rPr>
        <w:t xml:space="preserve">Available at: </w:t>
      </w:r>
      <w:hyperlink r:id="rId42" w:tgtFrame="_new" w:history="1">
        <w:r w:rsidRPr="00615D40">
          <w:rPr>
            <w:rStyle w:val="Hyperlink"/>
            <w:rFonts w:ascii="Arial" w:hAnsi="Arial" w:cs="Arial"/>
            <w:lang w:val="en-GB"/>
          </w:rPr>
          <w:t>https://www.uwtsd.ac.uk/research/ethics/</w:t>
        </w:r>
      </w:hyperlink>
      <w:r w:rsidRPr="00615D40">
        <w:rPr>
          <w:rFonts w:ascii="Arial" w:hAnsi="Arial" w:cs="Arial"/>
          <w:lang w:val="en-GB"/>
        </w:rPr>
        <w:t xml:space="preserve"> (Accessed: 15 September 2025).</w:t>
      </w:r>
    </w:p>
    <w:p w14:paraId="48124D15" w14:textId="77777777" w:rsidR="00B2579C" w:rsidRPr="007C3C8F" w:rsidRDefault="00B2579C" w:rsidP="007C3C8F">
      <w:pPr>
        <w:spacing w:line="360" w:lineRule="auto"/>
        <w:rPr>
          <w:rFonts w:ascii="Arial" w:hAnsi="Arial" w:cs="Arial"/>
          <w:lang w:val="en-GB"/>
        </w:rPr>
      </w:pPr>
    </w:p>
    <w:p w14:paraId="3ED30DB9" w14:textId="77777777" w:rsidR="007C3C8F" w:rsidRPr="00F61E76" w:rsidRDefault="007C3C8F" w:rsidP="00F61E76">
      <w:pPr>
        <w:spacing w:line="360" w:lineRule="auto"/>
        <w:rPr>
          <w:rFonts w:ascii="Arial" w:hAnsi="Arial" w:cs="Arial"/>
          <w:lang w:val="en-GB"/>
        </w:rPr>
      </w:pPr>
    </w:p>
    <w:p w14:paraId="3A1881A4" w14:textId="77777777" w:rsidR="00F61E76" w:rsidRPr="00725FE5" w:rsidRDefault="00F61E76" w:rsidP="00725FE5">
      <w:pPr>
        <w:spacing w:line="360" w:lineRule="auto"/>
        <w:rPr>
          <w:rFonts w:ascii="Arial" w:hAnsi="Arial" w:cs="Arial"/>
          <w:lang w:val="en-GB"/>
        </w:rPr>
      </w:pPr>
    </w:p>
    <w:p w14:paraId="032F4DA1" w14:textId="77777777" w:rsidR="00725FE5" w:rsidRPr="0064474E" w:rsidRDefault="00725FE5" w:rsidP="0064474E">
      <w:pPr>
        <w:spacing w:line="360" w:lineRule="auto"/>
        <w:rPr>
          <w:rFonts w:ascii="Arial" w:hAnsi="Arial" w:cs="Arial"/>
          <w:lang w:val="en-GB"/>
        </w:rPr>
      </w:pPr>
    </w:p>
    <w:p w14:paraId="4D13AE53" w14:textId="77777777" w:rsidR="00532CBC" w:rsidRPr="00FC119C" w:rsidRDefault="00532CBC" w:rsidP="0064474E">
      <w:pPr>
        <w:spacing w:line="360" w:lineRule="auto"/>
        <w:rPr>
          <w:rFonts w:ascii="Arial" w:hAnsi="Arial" w:cs="Arial"/>
          <w:lang w:val="en-GB"/>
        </w:rPr>
      </w:pPr>
    </w:p>
    <w:p w14:paraId="1ADD124B" w14:textId="02B3E590" w:rsidR="00806FD1" w:rsidRPr="009A196C" w:rsidRDefault="00806FD1">
      <w:pPr>
        <w:rPr>
          <w:lang w:val="en-GB"/>
        </w:rPr>
      </w:pPr>
    </w:p>
    <w:sectPr w:rsidR="00806FD1" w:rsidRPr="009A196C" w:rsidSect="00C71AF5">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33D4"/>
    <w:multiLevelType w:val="multilevel"/>
    <w:tmpl w:val="2050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31591"/>
    <w:multiLevelType w:val="multilevel"/>
    <w:tmpl w:val="2876B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D61EB3"/>
    <w:multiLevelType w:val="hybridMultilevel"/>
    <w:tmpl w:val="F69E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46218"/>
    <w:multiLevelType w:val="hybridMultilevel"/>
    <w:tmpl w:val="E14A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53E63"/>
    <w:multiLevelType w:val="multilevel"/>
    <w:tmpl w:val="20CA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6744B"/>
    <w:multiLevelType w:val="multilevel"/>
    <w:tmpl w:val="76F40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846EDC"/>
    <w:multiLevelType w:val="hybridMultilevel"/>
    <w:tmpl w:val="837A4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4165D"/>
    <w:multiLevelType w:val="hybridMultilevel"/>
    <w:tmpl w:val="58B0C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E2E2D"/>
    <w:multiLevelType w:val="multilevel"/>
    <w:tmpl w:val="52D4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1627C3"/>
    <w:multiLevelType w:val="multilevel"/>
    <w:tmpl w:val="244E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2D2588"/>
    <w:multiLevelType w:val="multilevel"/>
    <w:tmpl w:val="0BAC4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516493"/>
    <w:multiLevelType w:val="multilevel"/>
    <w:tmpl w:val="611A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FD5775"/>
    <w:multiLevelType w:val="multilevel"/>
    <w:tmpl w:val="ECA28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484949"/>
    <w:multiLevelType w:val="multilevel"/>
    <w:tmpl w:val="5B42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01727B"/>
    <w:multiLevelType w:val="hybridMultilevel"/>
    <w:tmpl w:val="484E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63B06"/>
    <w:multiLevelType w:val="hybridMultilevel"/>
    <w:tmpl w:val="1C02C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194220"/>
    <w:multiLevelType w:val="multilevel"/>
    <w:tmpl w:val="0032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745B2C"/>
    <w:multiLevelType w:val="multilevel"/>
    <w:tmpl w:val="D89C7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D40F5D"/>
    <w:multiLevelType w:val="hybridMultilevel"/>
    <w:tmpl w:val="2572FF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DC04B0"/>
    <w:multiLevelType w:val="multilevel"/>
    <w:tmpl w:val="E69A4A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D21BAE"/>
    <w:multiLevelType w:val="multilevel"/>
    <w:tmpl w:val="257C5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B34C36"/>
    <w:multiLevelType w:val="multilevel"/>
    <w:tmpl w:val="F8BE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3E33FF"/>
    <w:multiLevelType w:val="multilevel"/>
    <w:tmpl w:val="FDF8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0747691">
    <w:abstractNumId w:val="0"/>
  </w:num>
  <w:num w:numId="2" w16cid:durableId="1637563056">
    <w:abstractNumId w:val="22"/>
  </w:num>
  <w:num w:numId="3" w16cid:durableId="29035596">
    <w:abstractNumId w:val="21"/>
  </w:num>
  <w:num w:numId="4" w16cid:durableId="354353547">
    <w:abstractNumId w:val="19"/>
  </w:num>
  <w:num w:numId="5" w16cid:durableId="318845489">
    <w:abstractNumId w:val="17"/>
  </w:num>
  <w:num w:numId="6" w16cid:durableId="33046007">
    <w:abstractNumId w:val="11"/>
  </w:num>
  <w:num w:numId="7" w16cid:durableId="1504316180">
    <w:abstractNumId w:val="20"/>
  </w:num>
  <w:num w:numId="8" w16cid:durableId="144861275">
    <w:abstractNumId w:val="9"/>
  </w:num>
  <w:num w:numId="9" w16cid:durableId="70469116">
    <w:abstractNumId w:val="6"/>
  </w:num>
  <w:num w:numId="10" w16cid:durableId="392394790">
    <w:abstractNumId w:val="4"/>
  </w:num>
  <w:num w:numId="11" w16cid:durableId="205723898">
    <w:abstractNumId w:val="5"/>
  </w:num>
  <w:num w:numId="12" w16cid:durableId="1522088450">
    <w:abstractNumId w:val="7"/>
  </w:num>
  <w:num w:numId="13" w16cid:durableId="1054891671">
    <w:abstractNumId w:val="2"/>
  </w:num>
  <w:num w:numId="14" w16cid:durableId="1312098356">
    <w:abstractNumId w:val="15"/>
  </w:num>
  <w:num w:numId="15" w16cid:durableId="829638133">
    <w:abstractNumId w:val="3"/>
  </w:num>
  <w:num w:numId="16" w16cid:durableId="1130711073">
    <w:abstractNumId w:val="13"/>
  </w:num>
  <w:num w:numId="17" w16cid:durableId="1711566325">
    <w:abstractNumId w:val="1"/>
  </w:num>
  <w:num w:numId="18" w16cid:durableId="2141537231">
    <w:abstractNumId w:val="8"/>
  </w:num>
  <w:num w:numId="19" w16cid:durableId="635068989">
    <w:abstractNumId w:val="10"/>
  </w:num>
  <w:num w:numId="20" w16cid:durableId="1177305577">
    <w:abstractNumId w:val="14"/>
  </w:num>
  <w:num w:numId="21" w16cid:durableId="116609321">
    <w:abstractNumId w:val="16"/>
  </w:num>
  <w:num w:numId="22" w16cid:durableId="499976541">
    <w:abstractNumId w:val="12"/>
  </w:num>
  <w:num w:numId="23" w16cid:durableId="16347220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96C"/>
    <w:rsid w:val="00011200"/>
    <w:rsid w:val="000127A3"/>
    <w:rsid w:val="000611D3"/>
    <w:rsid w:val="000621B2"/>
    <w:rsid w:val="000A2445"/>
    <w:rsid w:val="000B0584"/>
    <w:rsid w:val="000C6883"/>
    <w:rsid w:val="000D4D17"/>
    <w:rsid w:val="000D7663"/>
    <w:rsid w:val="000E3481"/>
    <w:rsid w:val="000E6711"/>
    <w:rsid w:val="000F2E7A"/>
    <w:rsid w:val="00102CF3"/>
    <w:rsid w:val="00123E12"/>
    <w:rsid w:val="00135DDB"/>
    <w:rsid w:val="00135ED1"/>
    <w:rsid w:val="00150797"/>
    <w:rsid w:val="00153913"/>
    <w:rsid w:val="00154984"/>
    <w:rsid w:val="00170DCB"/>
    <w:rsid w:val="0018671F"/>
    <w:rsid w:val="00187F5C"/>
    <w:rsid w:val="00190126"/>
    <w:rsid w:val="00196531"/>
    <w:rsid w:val="00197DC4"/>
    <w:rsid w:val="001E3823"/>
    <w:rsid w:val="001E3BCC"/>
    <w:rsid w:val="001F04E1"/>
    <w:rsid w:val="001F5926"/>
    <w:rsid w:val="001F623C"/>
    <w:rsid w:val="00213397"/>
    <w:rsid w:val="002242CA"/>
    <w:rsid w:val="00224CAE"/>
    <w:rsid w:val="00233311"/>
    <w:rsid w:val="00235FE7"/>
    <w:rsid w:val="00261F9C"/>
    <w:rsid w:val="0027733C"/>
    <w:rsid w:val="00294DAF"/>
    <w:rsid w:val="002A2A83"/>
    <w:rsid w:val="002B183C"/>
    <w:rsid w:val="002C0C52"/>
    <w:rsid w:val="002D2B3C"/>
    <w:rsid w:val="002E092E"/>
    <w:rsid w:val="002F2B2B"/>
    <w:rsid w:val="00300602"/>
    <w:rsid w:val="00304944"/>
    <w:rsid w:val="00322A8A"/>
    <w:rsid w:val="003462B2"/>
    <w:rsid w:val="0035100D"/>
    <w:rsid w:val="00355B83"/>
    <w:rsid w:val="00361BC5"/>
    <w:rsid w:val="00366F57"/>
    <w:rsid w:val="00373724"/>
    <w:rsid w:val="003A3897"/>
    <w:rsid w:val="003B661D"/>
    <w:rsid w:val="004001FC"/>
    <w:rsid w:val="00420014"/>
    <w:rsid w:val="00434DD0"/>
    <w:rsid w:val="00450CD4"/>
    <w:rsid w:val="0045180F"/>
    <w:rsid w:val="004518F5"/>
    <w:rsid w:val="004569AF"/>
    <w:rsid w:val="00463A37"/>
    <w:rsid w:val="00473BB4"/>
    <w:rsid w:val="004B4DF3"/>
    <w:rsid w:val="004B7143"/>
    <w:rsid w:val="004D0F92"/>
    <w:rsid w:val="004D5085"/>
    <w:rsid w:val="004E6188"/>
    <w:rsid w:val="004F4F75"/>
    <w:rsid w:val="00513D0E"/>
    <w:rsid w:val="00532CBC"/>
    <w:rsid w:val="0053344F"/>
    <w:rsid w:val="0054256F"/>
    <w:rsid w:val="00557E76"/>
    <w:rsid w:val="0058052B"/>
    <w:rsid w:val="005845E4"/>
    <w:rsid w:val="00595F23"/>
    <w:rsid w:val="00596174"/>
    <w:rsid w:val="005C14D3"/>
    <w:rsid w:val="005C2A70"/>
    <w:rsid w:val="005F0802"/>
    <w:rsid w:val="005F5BE8"/>
    <w:rsid w:val="00610E9D"/>
    <w:rsid w:val="006145F5"/>
    <w:rsid w:val="00615D40"/>
    <w:rsid w:val="00635411"/>
    <w:rsid w:val="0064474E"/>
    <w:rsid w:val="006563D4"/>
    <w:rsid w:val="00660D96"/>
    <w:rsid w:val="0066546E"/>
    <w:rsid w:val="00667061"/>
    <w:rsid w:val="00671666"/>
    <w:rsid w:val="0067237C"/>
    <w:rsid w:val="00681C01"/>
    <w:rsid w:val="006B09C1"/>
    <w:rsid w:val="006B43ED"/>
    <w:rsid w:val="006B70C8"/>
    <w:rsid w:val="006C3C2F"/>
    <w:rsid w:val="006C5388"/>
    <w:rsid w:val="006D5E09"/>
    <w:rsid w:val="006E5BC2"/>
    <w:rsid w:val="006F6DD6"/>
    <w:rsid w:val="007154F5"/>
    <w:rsid w:val="00724DC9"/>
    <w:rsid w:val="00725FE5"/>
    <w:rsid w:val="00727109"/>
    <w:rsid w:val="00733612"/>
    <w:rsid w:val="0073386C"/>
    <w:rsid w:val="00741C9D"/>
    <w:rsid w:val="00743416"/>
    <w:rsid w:val="00743E61"/>
    <w:rsid w:val="00746C17"/>
    <w:rsid w:val="007502CA"/>
    <w:rsid w:val="00753F69"/>
    <w:rsid w:val="007569C2"/>
    <w:rsid w:val="00765BEB"/>
    <w:rsid w:val="00767ED4"/>
    <w:rsid w:val="007801D6"/>
    <w:rsid w:val="007854ED"/>
    <w:rsid w:val="007A2E0C"/>
    <w:rsid w:val="007C323D"/>
    <w:rsid w:val="007C3919"/>
    <w:rsid w:val="007C3C8F"/>
    <w:rsid w:val="007F2B91"/>
    <w:rsid w:val="007F3067"/>
    <w:rsid w:val="00800454"/>
    <w:rsid w:val="00805B65"/>
    <w:rsid w:val="00806FD1"/>
    <w:rsid w:val="00817789"/>
    <w:rsid w:val="008331A4"/>
    <w:rsid w:val="00840FBD"/>
    <w:rsid w:val="0088122E"/>
    <w:rsid w:val="00890465"/>
    <w:rsid w:val="008944FD"/>
    <w:rsid w:val="008A0FF3"/>
    <w:rsid w:val="008A4A34"/>
    <w:rsid w:val="008B2184"/>
    <w:rsid w:val="008B6C96"/>
    <w:rsid w:val="008C2609"/>
    <w:rsid w:val="008F0E52"/>
    <w:rsid w:val="008F145E"/>
    <w:rsid w:val="00907938"/>
    <w:rsid w:val="009249E8"/>
    <w:rsid w:val="00970985"/>
    <w:rsid w:val="009754A0"/>
    <w:rsid w:val="00986426"/>
    <w:rsid w:val="009A196C"/>
    <w:rsid w:val="009A515F"/>
    <w:rsid w:val="009B4118"/>
    <w:rsid w:val="009C51A3"/>
    <w:rsid w:val="009C6C10"/>
    <w:rsid w:val="009D1908"/>
    <w:rsid w:val="00A03AAC"/>
    <w:rsid w:val="00A130EE"/>
    <w:rsid w:val="00A15645"/>
    <w:rsid w:val="00A2169C"/>
    <w:rsid w:val="00A72FAE"/>
    <w:rsid w:val="00A93BE2"/>
    <w:rsid w:val="00AA741A"/>
    <w:rsid w:val="00AE0621"/>
    <w:rsid w:val="00B12669"/>
    <w:rsid w:val="00B1463D"/>
    <w:rsid w:val="00B177B1"/>
    <w:rsid w:val="00B2579C"/>
    <w:rsid w:val="00B365E9"/>
    <w:rsid w:val="00B470CA"/>
    <w:rsid w:val="00B51B23"/>
    <w:rsid w:val="00B529B1"/>
    <w:rsid w:val="00B8188D"/>
    <w:rsid w:val="00B977F5"/>
    <w:rsid w:val="00BC7A88"/>
    <w:rsid w:val="00BD36FB"/>
    <w:rsid w:val="00BD7F7C"/>
    <w:rsid w:val="00C32A7F"/>
    <w:rsid w:val="00C34862"/>
    <w:rsid w:val="00C362CD"/>
    <w:rsid w:val="00C524EA"/>
    <w:rsid w:val="00C541FE"/>
    <w:rsid w:val="00C5564E"/>
    <w:rsid w:val="00C63262"/>
    <w:rsid w:val="00C64666"/>
    <w:rsid w:val="00C71AF5"/>
    <w:rsid w:val="00C83607"/>
    <w:rsid w:val="00C95870"/>
    <w:rsid w:val="00CA5BEC"/>
    <w:rsid w:val="00CA7884"/>
    <w:rsid w:val="00CB4A25"/>
    <w:rsid w:val="00CC1088"/>
    <w:rsid w:val="00D00D1E"/>
    <w:rsid w:val="00D06158"/>
    <w:rsid w:val="00D136AE"/>
    <w:rsid w:val="00D26E9C"/>
    <w:rsid w:val="00D31D3A"/>
    <w:rsid w:val="00D51017"/>
    <w:rsid w:val="00D61AD3"/>
    <w:rsid w:val="00D66EC6"/>
    <w:rsid w:val="00D70765"/>
    <w:rsid w:val="00D86939"/>
    <w:rsid w:val="00D92543"/>
    <w:rsid w:val="00D979A1"/>
    <w:rsid w:val="00DA062F"/>
    <w:rsid w:val="00DA525D"/>
    <w:rsid w:val="00DB0641"/>
    <w:rsid w:val="00DD189E"/>
    <w:rsid w:val="00DF45FE"/>
    <w:rsid w:val="00E0222C"/>
    <w:rsid w:val="00E15C38"/>
    <w:rsid w:val="00E16E9B"/>
    <w:rsid w:val="00E206C4"/>
    <w:rsid w:val="00E239F0"/>
    <w:rsid w:val="00E24E4D"/>
    <w:rsid w:val="00E256F3"/>
    <w:rsid w:val="00E32D2F"/>
    <w:rsid w:val="00E6449D"/>
    <w:rsid w:val="00E81AC8"/>
    <w:rsid w:val="00EA5166"/>
    <w:rsid w:val="00EB2C55"/>
    <w:rsid w:val="00EB514B"/>
    <w:rsid w:val="00EB5F0A"/>
    <w:rsid w:val="00EC6085"/>
    <w:rsid w:val="00ED24A7"/>
    <w:rsid w:val="00EF0BD3"/>
    <w:rsid w:val="00F07D3A"/>
    <w:rsid w:val="00F10936"/>
    <w:rsid w:val="00F1157F"/>
    <w:rsid w:val="00F1294D"/>
    <w:rsid w:val="00F20CE0"/>
    <w:rsid w:val="00F33642"/>
    <w:rsid w:val="00F61E76"/>
    <w:rsid w:val="00F858E2"/>
    <w:rsid w:val="00FA3ADA"/>
    <w:rsid w:val="00FB57BA"/>
    <w:rsid w:val="00FC119C"/>
    <w:rsid w:val="00FD138B"/>
    <w:rsid w:val="00FD2C28"/>
    <w:rsid w:val="00FE0BDB"/>
    <w:rsid w:val="00FE41C4"/>
    <w:rsid w:val="00FF3B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FE3631"/>
  <w15:chartTrackingRefBased/>
  <w15:docId w15:val="{15A2494F-F016-4291-8512-BAC81865D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96C"/>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9A19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A19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19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19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19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19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9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9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9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9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A19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19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19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19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19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9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9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96C"/>
    <w:rPr>
      <w:rFonts w:eastAsiaTheme="majorEastAsia" w:cstheme="majorBidi"/>
      <w:color w:val="272727" w:themeColor="text1" w:themeTint="D8"/>
    </w:rPr>
  </w:style>
  <w:style w:type="paragraph" w:styleId="Title">
    <w:name w:val="Title"/>
    <w:basedOn w:val="Normal"/>
    <w:next w:val="Normal"/>
    <w:link w:val="TitleChar"/>
    <w:uiPriority w:val="10"/>
    <w:qFormat/>
    <w:rsid w:val="009A19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9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9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9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96C"/>
    <w:pPr>
      <w:spacing w:before="160"/>
      <w:jc w:val="center"/>
    </w:pPr>
    <w:rPr>
      <w:i/>
      <w:iCs/>
      <w:color w:val="404040" w:themeColor="text1" w:themeTint="BF"/>
    </w:rPr>
  </w:style>
  <w:style w:type="character" w:customStyle="1" w:styleId="QuoteChar">
    <w:name w:val="Quote Char"/>
    <w:basedOn w:val="DefaultParagraphFont"/>
    <w:link w:val="Quote"/>
    <w:uiPriority w:val="29"/>
    <w:rsid w:val="009A196C"/>
    <w:rPr>
      <w:i/>
      <w:iCs/>
      <w:color w:val="404040" w:themeColor="text1" w:themeTint="BF"/>
    </w:rPr>
  </w:style>
  <w:style w:type="paragraph" w:styleId="ListParagraph">
    <w:name w:val="List Paragraph"/>
    <w:basedOn w:val="Normal"/>
    <w:uiPriority w:val="34"/>
    <w:qFormat/>
    <w:rsid w:val="009A196C"/>
    <w:pPr>
      <w:ind w:left="720"/>
      <w:contextualSpacing/>
    </w:pPr>
  </w:style>
  <w:style w:type="character" w:styleId="IntenseEmphasis">
    <w:name w:val="Intense Emphasis"/>
    <w:basedOn w:val="DefaultParagraphFont"/>
    <w:uiPriority w:val="21"/>
    <w:qFormat/>
    <w:rsid w:val="009A196C"/>
    <w:rPr>
      <w:i/>
      <w:iCs/>
      <w:color w:val="2F5496" w:themeColor="accent1" w:themeShade="BF"/>
    </w:rPr>
  </w:style>
  <w:style w:type="paragraph" w:styleId="IntenseQuote">
    <w:name w:val="Intense Quote"/>
    <w:basedOn w:val="Normal"/>
    <w:next w:val="Normal"/>
    <w:link w:val="IntenseQuoteChar"/>
    <w:uiPriority w:val="30"/>
    <w:qFormat/>
    <w:rsid w:val="009A19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196C"/>
    <w:rPr>
      <w:i/>
      <w:iCs/>
      <w:color w:val="2F5496" w:themeColor="accent1" w:themeShade="BF"/>
    </w:rPr>
  </w:style>
  <w:style w:type="character" w:styleId="IntenseReference">
    <w:name w:val="Intense Reference"/>
    <w:basedOn w:val="DefaultParagraphFont"/>
    <w:uiPriority w:val="32"/>
    <w:qFormat/>
    <w:rsid w:val="009A196C"/>
    <w:rPr>
      <w:b/>
      <w:bCs/>
      <w:smallCaps/>
      <w:color w:val="2F5496" w:themeColor="accent1" w:themeShade="BF"/>
      <w:spacing w:val="5"/>
    </w:rPr>
  </w:style>
  <w:style w:type="paragraph" w:styleId="NormalWeb">
    <w:name w:val="Normal (Web)"/>
    <w:basedOn w:val="Normal"/>
    <w:uiPriority w:val="99"/>
    <w:semiHidden/>
    <w:unhideWhenUsed/>
    <w:rsid w:val="007801D6"/>
    <w:rPr>
      <w:rFonts w:ascii="Times New Roman" w:hAnsi="Times New Roman" w:cs="Times New Roman"/>
      <w:sz w:val="24"/>
      <w:szCs w:val="24"/>
    </w:rPr>
  </w:style>
  <w:style w:type="table" w:styleId="PlainTable1">
    <w:name w:val="Plain Table 1"/>
    <w:basedOn w:val="TableNormal"/>
    <w:uiPriority w:val="41"/>
    <w:rsid w:val="004200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61F9C"/>
    <w:pPr>
      <w:spacing w:before="240" w:after="0" w:line="259" w:lineRule="auto"/>
      <w:outlineLvl w:val="9"/>
    </w:pPr>
    <w:rPr>
      <w:sz w:val="32"/>
      <w:szCs w:val="32"/>
    </w:rPr>
  </w:style>
  <w:style w:type="paragraph" w:styleId="TOC1">
    <w:name w:val="toc 1"/>
    <w:basedOn w:val="Normal"/>
    <w:next w:val="Normal"/>
    <w:autoRedefine/>
    <w:uiPriority w:val="39"/>
    <w:unhideWhenUsed/>
    <w:rsid w:val="00261F9C"/>
    <w:pPr>
      <w:spacing w:after="100"/>
    </w:pPr>
  </w:style>
  <w:style w:type="paragraph" w:styleId="TOC2">
    <w:name w:val="toc 2"/>
    <w:basedOn w:val="Normal"/>
    <w:next w:val="Normal"/>
    <w:autoRedefine/>
    <w:uiPriority w:val="39"/>
    <w:unhideWhenUsed/>
    <w:rsid w:val="00261F9C"/>
    <w:pPr>
      <w:spacing w:after="100"/>
      <w:ind w:left="220"/>
    </w:pPr>
  </w:style>
  <w:style w:type="character" w:styleId="Hyperlink">
    <w:name w:val="Hyperlink"/>
    <w:basedOn w:val="DefaultParagraphFont"/>
    <w:uiPriority w:val="99"/>
    <w:unhideWhenUsed/>
    <w:rsid w:val="00261F9C"/>
    <w:rPr>
      <w:color w:val="0563C1" w:themeColor="hyperlink"/>
      <w:u w:val="single"/>
    </w:rPr>
  </w:style>
  <w:style w:type="character" w:styleId="UnresolvedMention">
    <w:name w:val="Unresolved Mention"/>
    <w:basedOn w:val="DefaultParagraphFont"/>
    <w:uiPriority w:val="99"/>
    <w:semiHidden/>
    <w:unhideWhenUsed/>
    <w:rsid w:val="00725FE5"/>
    <w:rPr>
      <w:color w:val="605E5C"/>
      <w:shd w:val="clear" w:color="auto" w:fill="E1DFDD"/>
    </w:rPr>
  </w:style>
  <w:style w:type="character" w:styleId="FollowedHyperlink">
    <w:name w:val="FollowedHyperlink"/>
    <w:basedOn w:val="DefaultParagraphFont"/>
    <w:uiPriority w:val="99"/>
    <w:semiHidden/>
    <w:unhideWhenUsed/>
    <w:rsid w:val="002A2A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1177/014920639101700108" TargetMode="External"/><Relationship Id="rId26" Type="http://schemas.openxmlformats.org/officeDocument/2006/relationships/hyperlink" Target="https://www.ibisworld.com/gb/industry-reports/motor-vehicle-maintenance-repair-in-the-uk-45200/" TargetMode="External"/><Relationship Id="rId39" Type="http://schemas.openxmlformats.org/officeDocument/2006/relationships/hyperlink" Target="https://www.statista.com/topics/8639/uk-automotive-aftermarket/" TargetMode="External"/><Relationship Id="rId21" Type="http://schemas.openxmlformats.org/officeDocument/2006/relationships/hyperlink" Target="https://doi.org/10.1177/1558689812437186" TargetMode="External"/><Relationship Id="rId34" Type="http://schemas.openxmlformats.org/officeDocument/2006/relationships/hyperlink" Target="https://www.nomisweb.co.uk/query/select/getdatasetbytheme.asp?theme=73" TargetMode="External"/><Relationship Id="rId42" Type="http://schemas.openxmlformats.org/officeDocument/2006/relationships/hyperlink" Target="https://www.uwtsd.ac.uk/research/ethics/" TargetMode="External"/><Relationship Id="rId7" Type="http://schemas.openxmlformats.org/officeDocument/2006/relationships/image" Target="cid:image001.png@01D0EA4A.2BD679A0"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s://doi.org/10.1191/1478088706qp063oa" TargetMode="External"/><Relationship Id="rId29" Type="http://schemas.openxmlformats.org/officeDocument/2006/relationships/hyperlink" Target="https://reports.mintel.com/display/1146544/" TargetMode="External"/><Relationship Id="rId41" Type="http://schemas.openxmlformats.org/officeDocument/2006/relationships/hyperlink" Target="https://ico.org.uk/for-organisations/uk-gdpr-guidance-and-resourc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data.gov.uk/dataset/mot-test-stations" TargetMode="External"/><Relationship Id="rId32" Type="http://schemas.openxmlformats.org/officeDocument/2006/relationships/hyperlink" Target="https://www.nimblefins.co.uk/car-licence-statistics-west-midlands-england?utm_source=chatgpt.com" TargetMode="External"/><Relationship Id="rId37" Type="http://schemas.openxmlformats.org/officeDocument/2006/relationships/hyperlink" Target="https://www.sandwell.gov.uk/sandwell-vision-2030" TargetMode="External"/><Relationship Id="rId40" Type="http://schemas.openxmlformats.org/officeDocument/2006/relationships/hyperlink" Target="https://www.tyresafe.org/tyre-safety-report-2024/"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www.gov.uk/government/statistics/vehicle-licensing-statistics-quarter-1-2024" TargetMode="External"/><Relationship Id="rId28" Type="http://schemas.openxmlformats.org/officeDocument/2006/relationships/hyperlink" Target="https://doi.org/10.1016/j.chb.2009.03.003" TargetMode="External"/><Relationship Id="rId36" Type="http://schemas.openxmlformats.org/officeDocument/2006/relationships/hyperlink" Target="https://www.sandwell.gov.uk/greener-borough-strategy" TargetMode="External"/><Relationship Id="rId10" Type="http://schemas.openxmlformats.org/officeDocument/2006/relationships/image" Target="media/image4.png"/><Relationship Id="rId19" Type="http://schemas.openxmlformats.org/officeDocument/2006/relationships/hyperlink" Target="https://www.gov.uk/government/publications/net-zero-strategy" TargetMode="External"/><Relationship Id="rId31" Type="http://schemas.openxmlformats.org/officeDocument/2006/relationships/hyperlink" Target="https://reports.mintel.com/display/1150123/"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gov.uk/government/collections/vehicle-licensing-statistics" TargetMode="External"/><Relationship Id="rId27" Type="http://schemas.openxmlformats.org/officeDocument/2006/relationships/hyperlink" Target="https://tide.theimi.org.uk/industry-latest/news/ev-skills-gap-report-2024" TargetMode="External"/><Relationship Id="rId30" Type="http://schemas.openxmlformats.org/officeDocument/2006/relationships/hyperlink" Target="https://reports.mintel.com/display/1149819/" TargetMode="External"/><Relationship Id="rId35" Type="http://schemas.openxmlformats.org/officeDocument/2006/relationships/hyperlink" Target="https://www.pwc.co.uk/industries/automotive/insights/automotive-consumer-survey-2024.html"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hyperlink" Target="https://www.abi.org.uk/news/news-articles/2025/7/motor-premiums-fall---but-repair-and-theft-costs-keep-revving-up-claims/" TargetMode="External"/><Relationship Id="rId25" Type="http://schemas.openxmlformats.org/officeDocument/2006/relationships/hyperlink" Target="https://www.grandviewresearch.com/industry-analysis/uk-automotive-aftermarket-report" TargetMode="External"/><Relationship Id="rId33" Type="http://schemas.openxmlformats.org/officeDocument/2006/relationships/hyperlink" Target="https://www.ons.gov.uk/peoplepopulationandcommunity/environmentalattitudes/articles/" TargetMode="External"/><Relationship Id="rId38" Type="http://schemas.openxmlformats.org/officeDocument/2006/relationships/hyperlink" Target="https://www.smmt.co.uk/vehicle-data/evs-and-hybrids-registrations-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54802-3069-4FA7-8EDE-29EA01148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6956</TotalTime>
  <Pages>21</Pages>
  <Words>4293</Words>
  <Characters>27777</Characters>
  <Application>Microsoft Office Word</Application>
  <DocSecurity>0</DocSecurity>
  <Lines>645</Lines>
  <Paragraphs>311</Paragraphs>
  <ScaleCrop>false</ScaleCrop>
  <Company/>
  <LinksUpToDate>false</LinksUpToDate>
  <CharactersWithSpaces>31759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236</cp:revision>
  <dcterms:created xsi:type="dcterms:W3CDTF">2025-09-28T18:23:00Z</dcterms:created>
  <dcterms:modified xsi:type="dcterms:W3CDTF">2025-10-09T21:06:00Z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6cdcd1c1-6931-41ef-9f46-5e33ad8d0ee4</vt:lpwstr>
  </property>
</Properties>
</file>