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3B175" w14:textId="603FD8AC" w:rsidR="00113839" w:rsidRPr="007E40DE" w:rsidRDefault="0040188C" w:rsidP="00113839">
      <w:pPr>
        <w:jc w:val="center"/>
        <w:rPr>
          <w:rFonts w:ascii="Times New Roman" w:hAnsi="Times New Roman" w:cs="Times New Roman"/>
          <w:sz w:val="24"/>
          <w:u w:val="single"/>
        </w:rPr>
      </w:pPr>
      <w:bookmarkStart w:id="0" w:name="_GoBack"/>
      <w:bookmarkEnd w:id="0"/>
      <w:r w:rsidRPr="0040188C">
        <w:rPr>
          <w:rFonts w:ascii="Times New Roman" w:hAnsi="Times New Roman" w:cs="Times New Roman"/>
          <w:b/>
          <w:sz w:val="24"/>
          <w:u w:val="single"/>
        </w:rPr>
        <w:t xml:space="preserve">Section B, Question 1: </w:t>
      </w:r>
      <w:r w:rsidRPr="007E40DE">
        <w:rPr>
          <w:rFonts w:ascii="Times New Roman" w:hAnsi="Times New Roman" w:cs="Times New Roman"/>
          <w:sz w:val="24"/>
          <w:u w:val="single"/>
        </w:rPr>
        <w:t xml:space="preserve">Kenneth Morgan’s </w:t>
      </w:r>
      <w:r w:rsidRPr="007E40DE">
        <w:rPr>
          <w:rFonts w:ascii="Times New Roman" w:hAnsi="Times New Roman" w:cs="Times New Roman"/>
          <w:i/>
          <w:sz w:val="24"/>
          <w:u w:val="single"/>
        </w:rPr>
        <w:t>Peace Movements in Wales</w:t>
      </w:r>
      <w:r w:rsidR="0039228C" w:rsidRPr="007E40DE">
        <w:rPr>
          <w:rFonts w:ascii="Times New Roman" w:hAnsi="Times New Roman" w:cs="Times New Roman"/>
          <w:i/>
          <w:sz w:val="24"/>
          <w:u w:val="single"/>
        </w:rPr>
        <w:t xml:space="preserve"> 1899-1945</w:t>
      </w:r>
      <w:r w:rsidRPr="007E40DE">
        <w:rPr>
          <w:rFonts w:ascii="Times New Roman" w:hAnsi="Times New Roman" w:cs="Times New Roman"/>
          <w:sz w:val="24"/>
          <w:u w:val="single"/>
        </w:rPr>
        <w:t xml:space="preserve"> and </w:t>
      </w:r>
      <w:r w:rsidRPr="007E40DE">
        <w:rPr>
          <w:rFonts w:ascii="Times New Roman" w:hAnsi="Times New Roman" w:cs="Times New Roman"/>
          <w:i/>
          <w:sz w:val="24"/>
          <w:u w:val="single"/>
        </w:rPr>
        <w:t>Rebirth of a Nation</w:t>
      </w:r>
      <w:r w:rsidRPr="007E40DE">
        <w:rPr>
          <w:rFonts w:ascii="Times New Roman" w:hAnsi="Times New Roman" w:cs="Times New Roman"/>
          <w:sz w:val="24"/>
          <w:u w:val="single"/>
        </w:rPr>
        <w:t>.</w:t>
      </w:r>
    </w:p>
    <w:p w14:paraId="6048C256" w14:textId="77777777" w:rsidR="001F624F" w:rsidRDefault="001F624F" w:rsidP="008865AF">
      <w:pPr>
        <w:spacing w:line="480" w:lineRule="auto"/>
        <w:jc w:val="both"/>
        <w:rPr>
          <w:rFonts w:ascii="Times New Roman" w:hAnsi="Times New Roman" w:cs="Times New Roman"/>
          <w:sz w:val="24"/>
        </w:rPr>
      </w:pPr>
    </w:p>
    <w:p w14:paraId="1027C136" w14:textId="408F9B62" w:rsidR="00950D40" w:rsidRPr="00950D40" w:rsidRDefault="00AD7F00" w:rsidP="001F624F">
      <w:pPr>
        <w:spacing w:line="480" w:lineRule="auto"/>
        <w:ind w:firstLine="720"/>
        <w:jc w:val="both"/>
        <w:rPr>
          <w:rFonts w:ascii="Times New Roman" w:hAnsi="Times New Roman" w:cs="Times New Roman"/>
          <w:sz w:val="24"/>
        </w:rPr>
      </w:pPr>
      <w:r>
        <w:rPr>
          <w:rFonts w:ascii="Times New Roman" w:hAnsi="Times New Roman" w:cs="Times New Roman"/>
          <w:sz w:val="24"/>
        </w:rPr>
        <w:t>As</w:t>
      </w:r>
      <w:r w:rsidR="00950D40">
        <w:rPr>
          <w:rFonts w:ascii="Times New Roman" w:hAnsi="Times New Roman" w:cs="Times New Roman"/>
          <w:sz w:val="24"/>
        </w:rPr>
        <w:t xml:space="preserve"> </w:t>
      </w:r>
      <w:r>
        <w:rPr>
          <w:rFonts w:ascii="Times New Roman" w:hAnsi="Times New Roman" w:cs="Times New Roman"/>
          <w:sz w:val="24"/>
        </w:rPr>
        <w:t>one of the ‘little five-foot-five nations’ that shaped the coming of wars</w:t>
      </w:r>
      <w:r w:rsidR="00950D40">
        <w:rPr>
          <w:rFonts w:ascii="Times New Roman" w:hAnsi="Times New Roman" w:cs="Times New Roman"/>
          <w:sz w:val="24"/>
        </w:rPr>
        <w:t>, the Welsh were deeply engrained within politics and industry of the late nineteenth century.</w:t>
      </w:r>
      <w:r>
        <w:rPr>
          <w:rStyle w:val="FootnoteReference"/>
          <w:rFonts w:ascii="Times New Roman" w:hAnsi="Times New Roman" w:cs="Times New Roman"/>
          <w:sz w:val="24"/>
        </w:rPr>
        <w:footnoteReference w:id="1"/>
      </w:r>
      <w:r>
        <w:rPr>
          <w:rFonts w:ascii="Times New Roman" w:hAnsi="Times New Roman" w:cs="Times New Roman"/>
          <w:sz w:val="24"/>
        </w:rPr>
        <w:t xml:space="preserve"> </w:t>
      </w:r>
      <w:r w:rsidR="00D57720">
        <w:rPr>
          <w:rFonts w:ascii="Times New Roman" w:hAnsi="Times New Roman" w:cs="Times New Roman"/>
          <w:sz w:val="24"/>
        </w:rPr>
        <w:t xml:space="preserve">There resides an overarching belief </w:t>
      </w:r>
      <w:r>
        <w:rPr>
          <w:rFonts w:ascii="Times New Roman" w:hAnsi="Times New Roman" w:cs="Times New Roman"/>
          <w:sz w:val="24"/>
        </w:rPr>
        <w:t xml:space="preserve">within history </w:t>
      </w:r>
      <w:r w:rsidR="00D57720">
        <w:rPr>
          <w:rFonts w:ascii="Times New Roman" w:hAnsi="Times New Roman" w:cs="Times New Roman"/>
          <w:sz w:val="24"/>
        </w:rPr>
        <w:t xml:space="preserve">that the Welsh were largely pro-war </w:t>
      </w:r>
      <w:proofErr w:type="gramStart"/>
      <w:r w:rsidR="00D57720">
        <w:rPr>
          <w:rFonts w:ascii="Times New Roman" w:hAnsi="Times New Roman" w:cs="Times New Roman"/>
          <w:sz w:val="24"/>
        </w:rPr>
        <w:t>in reference to</w:t>
      </w:r>
      <w:proofErr w:type="gramEnd"/>
      <w:r w:rsidR="00D57720">
        <w:rPr>
          <w:rFonts w:ascii="Times New Roman" w:hAnsi="Times New Roman" w:cs="Times New Roman"/>
          <w:sz w:val="24"/>
        </w:rPr>
        <w:t xml:space="preserve"> the Boer and First World War, and such is coined within Kenneth Morgan’s </w:t>
      </w:r>
      <w:r w:rsidR="00D57720" w:rsidRPr="009D1A98">
        <w:rPr>
          <w:rFonts w:ascii="Times New Roman" w:hAnsi="Times New Roman" w:cs="Times New Roman"/>
          <w:i/>
          <w:sz w:val="24"/>
        </w:rPr>
        <w:t>Wales at War</w:t>
      </w:r>
      <w:r w:rsidR="00D57720">
        <w:rPr>
          <w:rFonts w:ascii="Times New Roman" w:hAnsi="Times New Roman" w:cs="Times New Roman"/>
          <w:sz w:val="24"/>
        </w:rPr>
        <w:t xml:space="preserve"> and </w:t>
      </w:r>
      <w:r w:rsidR="00D57720" w:rsidRPr="009D1A98">
        <w:rPr>
          <w:rFonts w:ascii="Times New Roman" w:hAnsi="Times New Roman" w:cs="Times New Roman"/>
          <w:i/>
          <w:sz w:val="24"/>
        </w:rPr>
        <w:t>Rebirth of a Nation</w:t>
      </w:r>
      <w:r w:rsidR="00D57720">
        <w:rPr>
          <w:rFonts w:ascii="Times New Roman" w:hAnsi="Times New Roman" w:cs="Times New Roman"/>
          <w:sz w:val="24"/>
        </w:rPr>
        <w:t xml:space="preserve">. Within this essay, the jingoism of the Welsh will be discussed, along with contrasting views on the matter. War enthusiasm was often uplifted by politic opinion and newspaper coverage, which too shall be dissected </w:t>
      </w:r>
      <w:proofErr w:type="gramStart"/>
      <w:r w:rsidR="00D57720">
        <w:rPr>
          <w:rFonts w:ascii="Times New Roman" w:hAnsi="Times New Roman" w:cs="Times New Roman"/>
          <w:sz w:val="24"/>
        </w:rPr>
        <w:t>in order to</w:t>
      </w:r>
      <w:proofErr w:type="gramEnd"/>
      <w:r w:rsidR="00D57720">
        <w:rPr>
          <w:rFonts w:ascii="Times New Roman" w:hAnsi="Times New Roman" w:cs="Times New Roman"/>
          <w:sz w:val="24"/>
        </w:rPr>
        <w:t xml:space="preserve"> ascertain whether the Welsh </w:t>
      </w:r>
      <w:r>
        <w:rPr>
          <w:rFonts w:ascii="Times New Roman" w:hAnsi="Times New Roman" w:cs="Times New Roman"/>
          <w:sz w:val="24"/>
        </w:rPr>
        <w:t xml:space="preserve">as a </w:t>
      </w:r>
      <w:r w:rsidR="00D57720">
        <w:rPr>
          <w:rFonts w:ascii="Times New Roman" w:hAnsi="Times New Roman" w:cs="Times New Roman"/>
          <w:sz w:val="24"/>
        </w:rPr>
        <w:t xml:space="preserve">nation were pro or anti-war.  </w:t>
      </w:r>
    </w:p>
    <w:p w14:paraId="4F5E0A69" w14:textId="1BD57D07" w:rsidR="00851381" w:rsidRDefault="00E0474F" w:rsidP="00AD7F00">
      <w:pPr>
        <w:spacing w:line="480" w:lineRule="auto"/>
        <w:ind w:firstLine="720"/>
        <w:jc w:val="both"/>
        <w:rPr>
          <w:rFonts w:ascii="Times New Roman" w:hAnsi="Times New Roman" w:cs="Times New Roman"/>
          <w:sz w:val="24"/>
        </w:rPr>
      </w:pPr>
      <w:r>
        <w:rPr>
          <w:rFonts w:ascii="Times New Roman" w:hAnsi="Times New Roman" w:cs="Times New Roman"/>
          <w:sz w:val="24"/>
        </w:rPr>
        <w:t>Th</w:t>
      </w:r>
      <w:r w:rsidR="00E57171">
        <w:rPr>
          <w:rFonts w:ascii="Times New Roman" w:hAnsi="Times New Roman" w:cs="Times New Roman"/>
          <w:sz w:val="24"/>
        </w:rPr>
        <w:t>is</w:t>
      </w:r>
      <w:r>
        <w:rPr>
          <w:rFonts w:ascii="Times New Roman" w:hAnsi="Times New Roman" w:cs="Times New Roman"/>
          <w:sz w:val="24"/>
        </w:rPr>
        <w:t xml:space="preserve"> concept of Welsh jingoism is furthered by</w:t>
      </w:r>
      <w:r w:rsidR="00AD7F00">
        <w:rPr>
          <w:rFonts w:ascii="Times New Roman" w:hAnsi="Times New Roman" w:cs="Times New Roman"/>
          <w:sz w:val="24"/>
        </w:rPr>
        <w:t xml:space="preserve"> Kenneth</w:t>
      </w:r>
      <w:r>
        <w:rPr>
          <w:rFonts w:ascii="Times New Roman" w:hAnsi="Times New Roman" w:cs="Times New Roman"/>
          <w:sz w:val="24"/>
        </w:rPr>
        <w:t xml:space="preserve"> Morgan’s</w:t>
      </w:r>
      <w:r w:rsidR="00E57171">
        <w:rPr>
          <w:rFonts w:ascii="Times New Roman" w:hAnsi="Times New Roman" w:cs="Times New Roman"/>
          <w:sz w:val="24"/>
        </w:rPr>
        <w:t xml:space="preserve"> writings. He is vehement in his belief that Wales, as a nation, were largely pro-war in their roots—their loyalties largely relied upon religion and state.</w:t>
      </w:r>
      <w:r w:rsidR="00E57171">
        <w:rPr>
          <w:rStyle w:val="FootnoteReference"/>
          <w:rFonts w:ascii="Times New Roman" w:hAnsi="Times New Roman" w:cs="Times New Roman"/>
          <w:sz w:val="24"/>
        </w:rPr>
        <w:footnoteReference w:id="2"/>
      </w:r>
      <w:r w:rsidR="00E57171">
        <w:rPr>
          <w:rFonts w:ascii="Times New Roman" w:hAnsi="Times New Roman" w:cs="Times New Roman"/>
          <w:sz w:val="24"/>
        </w:rPr>
        <w:t xml:space="preserve"> He uses this example in reference to the histor</w:t>
      </w:r>
      <w:r w:rsidR="007B24FC">
        <w:rPr>
          <w:rFonts w:ascii="Times New Roman" w:hAnsi="Times New Roman" w:cs="Times New Roman"/>
          <w:sz w:val="24"/>
        </w:rPr>
        <w:t>y</w:t>
      </w:r>
      <w:r w:rsidR="00E57171">
        <w:rPr>
          <w:rFonts w:ascii="Times New Roman" w:hAnsi="Times New Roman" w:cs="Times New Roman"/>
          <w:sz w:val="24"/>
        </w:rPr>
        <w:t xml:space="preserve"> that encapsulates the Welsh</w:t>
      </w:r>
      <w:r w:rsidR="007B24FC">
        <w:rPr>
          <w:rFonts w:ascii="Times New Roman" w:hAnsi="Times New Roman" w:cs="Times New Roman"/>
          <w:sz w:val="24"/>
        </w:rPr>
        <w:t xml:space="preserve"> patriotism</w:t>
      </w:r>
      <w:r w:rsidR="00E57171">
        <w:rPr>
          <w:rFonts w:ascii="Times New Roman" w:hAnsi="Times New Roman" w:cs="Times New Roman"/>
          <w:sz w:val="24"/>
        </w:rPr>
        <w:t>, such as the feats faced during the early and later medieval periods.</w:t>
      </w:r>
      <w:r w:rsidR="00E57171">
        <w:rPr>
          <w:rStyle w:val="FootnoteReference"/>
          <w:rFonts w:ascii="Times New Roman" w:hAnsi="Times New Roman" w:cs="Times New Roman"/>
          <w:sz w:val="24"/>
        </w:rPr>
        <w:footnoteReference w:id="3"/>
      </w:r>
      <w:r w:rsidR="00E57171">
        <w:rPr>
          <w:rFonts w:ascii="Times New Roman" w:hAnsi="Times New Roman" w:cs="Times New Roman"/>
          <w:sz w:val="24"/>
        </w:rPr>
        <w:t xml:space="preserve"> </w:t>
      </w:r>
      <w:r w:rsidR="00851381">
        <w:rPr>
          <w:rFonts w:ascii="Times New Roman" w:hAnsi="Times New Roman" w:cs="Times New Roman"/>
          <w:sz w:val="24"/>
        </w:rPr>
        <w:t xml:space="preserve">Within </w:t>
      </w:r>
      <w:r w:rsidR="00851381" w:rsidRPr="00851381">
        <w:rPr>
          <w:rFonts w:ascii="Times New Roman" w:hAnsi="Times New Roman" w:cs="Times New Roman"/>
          <w:i/>
          <w:sz w:val="24"/>
        </w:rPr>
        <w:t>Modern</w:t>
      </w:r>
      <w:r w:rsidR="00AD7F00">
        <w:rPr>
          <w:rFonts w:ascii="Times New Roman" w:hAnsi="Times New Roman" w:cs="Times New Roman"/>
          <w:i/>
          <w:sz w:val="24"/>
        </w:rPr>
        <w:t xml:space="preserve"> </w:t>
      </w:r>
      <w:r w:rsidR="00851381" w:rsidRPr="00AD7F00">
        <w:rPr>
          <w:rFonts w:ascii="Times New Roman" w:hAnsi="Times New Roman" w:cs="Times New Roman"/>
          <w:i/>
          <w:sz w:val="24"/>
        </w:rPr>
        <w:t>Wales</w:t>
      </w:r>
      <w:r w:rsidR="00851381">
        <w:rPr>
          <w:rFonts w:ascii="Times New Roman" w:hAnsi="Times New Roman" w:cs="Times New Roman"/>
          <w:sz w:val="24"/>
        </w:rPr>
        <w:t xml:space="preserve"> Morgan elaborates that</w:t>
      </w:r>
      <w:r w:rsidR="00AD7F00">
        <w:rPr>
          <w:rFonts w:ascii="Times New Roman" w:hAnsi="Times New Roman" w:cs="Times New Roman"/>
          <w:sz w:val="24"/>
        </w:rPr>
        <w:t xml:space="preserve"> </w:t>
      </w:r>
      <w:r w:rsidR="00851381">
        <w:rPr>
          <w:rFonts w:ascii="Times New Roman" w:hAnsi="Times New Roman" w:cs="Times New Roman"/>
          <w:sz w:val="24"/>
        </w:rPr>
        <w:t>the Welsh rejected the</w:t>
      </w:r>
      <w:r w:rsidR="00AD7F00">
        <w:rPr>
          <w:rFonts w:ascii="Times New Roman" w:hAnsi="Times New Roman" w:cs="Times New Roman"/>
          <w:sz w:val="24"/>
        </w:rPr>
        <w:t xml:space="preserve"> aggressive elements of war</w:t>
      </w:r>
      <w:r w:rsidR="00851381">
        <w:rPr>
          <w:rFonts w:ascii="Times New Roman" w:hAnsi="Times New Roman" w:cs="Times New Roman"/>
          <w:sz w:val="24"/>
        </w:rPr>
        <w:t xml:space="preserve"> but claims that this perspective is usually upheld by historians of English origin, and uses A.J.P Taylor as an example. Taylor suggests that in terms of attitudes to the Boer War the Welsh were generally moderate in comparison to the Irish</w:t>
      </w:r>
      <w:r w:rsidR="00653A54">
        <w:rPr>
          <w:rFonts w:ascii="Times New Roman" w:hAnsi="Times New Roman" w:cs="Times New Roman"/>
          <w:sz w:val="24"/>
        </w:rPr>
        <w:t>.</w:t>
      </w:r>
      <w:r w:rsidR="00653A54">
        <w:rPr>
          <w:rStyle w:val="FootnoteReference"/>
          <w:rFonts w:ascii="Times New Roman" w:hAnsi="Times New Roman" w:cs="Times New Roman"/>
          <w:sz w:val="24"/>
        </w:rPr>
        <w:footnoteReference w:id="4"/>
      </w:r>
      <w:r w:rsidR="00AD7F00">
        <w:rPr>
          <w:rFonts w:ascii="Times New Roman" w:hAnsi="Times New Roman" w:cs="Times New Roman"/>
          <w:sz w:val="24"/>
        </w:rPr>
        <w:t xml:space="preserve"> </w:t>
      </w:r>
      <w:r w:rsidR="00AD7F00" w:rsidRPr="003C4191">
        <w:rPr>
          <w:rFonts w:ascii="Times New Roman" w:hAnsi="Times New Roman" w:cs="Times New Roman"/>
          <w:sz w:val="24"/>
        </w:rPr>
        <w:t xml:space="preserve">Within </w:t>
      </w:r>
      <w:r w:rsidR="00AD7F00" w:rsidRPr="003C4191">
        <w:rPr>
          <w:rFonts w:ascii="Times New Roman" w:hAnsi="Times New Roman" w:cs="Times New Roman"/>
          <w:i/>
          <w:sz w:val="24"/>
        </w:rPr>
        <w:t>Rebirth of a Nation</w:t>
      </w:r>
      <w:r w:rsidR="00AD7F00" w:rsidRPr="003C4191">
        <w:rPr>
          <w:rFonts w:ascii="Times New Roman" w:hAnsi="Times New Roman" w:cs="Times New Roman"/>
          <w:sz w:val="24"/>
        </w:rPr>
        <w:t>, Morgan refers to the</w:t>
      </w:r>
      <w:r w:rsidR="00AD7F00">
        <w:rPr>
          <w:rFonts w:ascii="Times New Roman" w:hAnsi="Times New Roman" w:cs="Times New Roman"/>
          <w:sz w:val="24"/>
        </w:rPr>
        <w:t xml:space="preserve"> Welsh as being</w:t>
      </w:r>
      <w:r w:rsidR="00AD7F00" w:rsidRPr="003C4191">
        <w:rPr>
          <w:rFonts w:ascii="Times New Roman" w:hAnsi="Times New Roman" w:cs="Times New Roman"/>
          <w:sz w:val="24"/>
        </w:rPr>
        <w:t xml:space="preserve"> ‘Men of Harlech’,</w:t>
      </w:r>
      <w:r w:rsidR="00AD7F00" w:rsidRPr="003C4191">
        <w:rPr>
          <w:rStyle w:val="FootnoteReference"/>
          <w:rFonts w:ascii="Times New Roman" w:hAnsi="Times New Roman" w:cs="Times New Roman"/>
          <w:sz w:val="24"/>
        </w:rPr>
        <w:footnoteReference w:id="5"/>
      </w:r>
      <w:r w:rsidR="00AD7F00" w:rsidRPr="00DC2199">
        <w:rPr>
          <w:rFonts w:ascii="Times New Roman" w:hAnsi="Times New Roman" w:cs="Times New Roman"/>
          <w:b/>
          <w:sz w:val="24"/>
        </w:rPr>
        <w:t xml:space="preserve"> </w:t>
      </w:r>
      <w:r w:rsidR="00AD7F00" w:rsidRPr="003C4191">
        <w:rPr>
          <w:rFonts w:ascii="Times New Roman" w:hAnsi="Times New Roman" w:cs="Times New Roman"/>
          <w:sz w:val="24"/>
        </w:rPr>
        <w:t xml:space="preserve">the reference being one of strong </w:t>
      </w:r>
      <w:r w:rsidR="00AD7F00">
        <w:rPr>
          <w:rFonts w:ascii="Times New Roman" w:hAnsi="Times New Roman" w:cs="Times New Roman"/>
          <w:sz w:val="24"/>
        </w:rPr>
        <w:t xml:space="preserve">national </w:t>
      </w:r>
      <w:r w:rsidR="00AD7F00" w:rsidRPr="003C4191">
        <w:rPr>
          <w:rFonts w:ascii="Times New Roman" w:hAnsi="Times New Roman" w:cs="Times New Roman"/>
          <w:sz w:val="24"/>
        </w:rPr>
        <w:t xml:space="preserve">identification of the Welsh efforts during wartime. Morgan explains that </w:t>
      </w:r>
      <w:r w:rsidR="00AD7F00" w:rsidRPr="003C4191">
        <w:rPr>
          <w:rFonts w:ascii="Times New Roman" w:hAnsi="Times New Roman" w:cs="Times New Roman"/>
          <w:sz w:val="24"/>
        </w:rPr>
        <w:lastRenderedPageBreak/>
        <w:t>previous attitudes that we</w:t>
      </w:r>
      <w:r w:rsidR="00AD7F00">
        <w:rPr>
          <w:rFonts w:ascii="Times New Roman" w:hAnsi="Times New Roman" w:cs="Times New Roman"/>
          <w:sz w:val="24"/>
        </w:rPr>
        <w:t>re</w:t>
      </w:r>
      <w:r w:rsidR="00AD7F00" w:rsidRPr="003C4191">
        <w:rPr>
          <w:rFonts w:ascii="Times New Roman" w:hAnsi="Times New Roman" w:cs="Times New Roman"/>
          <w:sz w:val="24"/>
        </w:rPr>
        <w:t xml:space="preserve"> upheld by certain parts of Wales</w:t>
      </w:r>
      <w:r w:rsidR="00AD7F00">
        <w:rPr>
          <w:rFonts w:ascii="Times New Roman" w:hAnsi="Times New Roman" w:cs="Times New Roman"/>
          <w:sz w:val="24"/>
        </w:rPr>
        <w:t xml:space="preserve"> during the build up to 1899</w:t>
      </w:r>
      <w:r w:rsidR="00AD7F00" w:rsidRPr="003C4191">
        <w:rPr>
          <w:rFonts w:ascii="Times New Roman" w:hAnsi="Times New Roman" w:cs="Times New Roman"/>
          <w:sz w:val="24"/>
        </w:rPr>
        <w:t>,</w:t>
      </w:r>
      <w:r w:rsidR="00AD7F00">
        <w:rPr>
          <w:rFonts w:ascii="Times New Roman" w:hAnsi="Times New Roman" w:cs="Times New Roman"/>
          <w:sz w:val="24"/>
        </w:rPr>
        <w:t xml:space="preserve"> primarily</w:t>
      </w:r>
      <w:r w:rsidR="00AD7F00" w:rsidRPr="003C4191">
        <w:rPr>
          <w:rFonts w:ascii="Times New Roman" w:hAnsi="Times New Roman" w:cs="Times New Roman"/>
          <w:sz w:val="24"/>
        </w:rPr>
        <w:t xml:space="preserve"> anti-war sentiments, had been reversed. He analyses the enthusiasm that the Welsh had for war through enlistment numbers, statistics that display that able</w:t>
      </w:r>
      <w:r w:rsidR="00AD7F00">
        <w:rPr>
          <w:rFonts w:ascii="Times New Roman" w:hAnsi="Times New Roman" w:cs="Times New Roman"/>
          <w:sz w:val="24"/>
        </w:rPr>
        <w:t>-bodied</w:t>
      </w:r>
      <w:r w:rsidR="00AD7F00" w:rsidRPr="003C4191">
        <w:rPr>
          <w:rFonts w:ascii="Times New Roman" w:hAnsi="Times New Roman" w:cs="Times New Roman"/>
          <w:sz w:val="24"/>
        </w:rPr>
        <w:t xml:space="preserve"> Welshmen outnumbered the recruiting figures that were seen within Scotland and England.</w:t>
      </w:r>
      <w:r w:rsidR="00AD7F00">
        <w:rPr>
          <w:rFonts w:ascii="Times New Roman" w:hAnsi="Times New Roman" w:cs="Times New Roman"/>
          <w:sz w:val="24"/>
        </w:rPr>
        <w:t xml:space="preserve"> </w:t>
      </w:r>
      <w:r w:rsidR="00AD7F00">
        <w:rPr>
          <w:rStyle w:val="FootnoteReference"/>
          <w:rFonts w:ascii="Times New Roman" w:hAnsi="Times New Roman" w:cs="Times New Roman"/>
          <w:sz w:val="24"/>
        </w:rPr>
        <w:footnoteReference w:id="6"/>
      </w:r>
      <w:r w:rsidR="00AD7F00">
        <w:rPr>
          <w:rFonts w:ascii="Times New Roman" w:hAnsi="Times New Roman" w:cs="Times New Roman"/>
          <w:sz w:val="24"/>
        </w:rPr>
        <w:t xml:space="preserve"> This idea of Welsh identity blurred the lines between duty to ones’ country and all out nationalism. Morgan reiterates said enthusiasm for war could be seen within literature, primarily poetry that stemmed from the Eisteddfod that had profound effects on the Welsh spirits.</w:t>
      </w:r>
      <w:r w:rsidR="00AD7F00">
        <w:rPr>
          <w:rStyle w:val="FootnoteReference"/>
          <w:rFonts w:ascii="Times New Roman" w:hAnsi="Times New Roman" w:cs="Times New Roman"/>
          <w:sz w:val="24"/>
        </w:rPr>
        <w:footnoteReference w:id="7"/>
      </w:r>
      <w:r w:rsidR="00AD7F00">
        <w:rPr>
          <w:rFonts w:ascii="Times New Roman" w:hAnsi="Times New Roman" w:cs="Times New Roman"/>
          <w:sz w:val="24"/>
        </w:rPr>
        <w:t xml:space="preserve"> The Boer War was not forgotten, but anti-war opinions that had fuelled campaigns against the South African war had certainly changed. ‘Patriotic fervour reached heights of hysteria in Wales’, and Morgan concludes that this hysteria was due to the belligerent nature that David Lloyd George possessed.  Despite this, Morgan does allude to the negative connotations that were created against the backdrop of renewed national identity. This came in the form of public condemnation of anti-war radicals, such as Thomas Rees.  Coronwy Jones further discusses the mobbing of Thomas Rees within </w:t>
      </w:r>
      <w:r w:rsidR="00AD7F00" w:rsidRPr="00F827FE">
        <w:rPr>
          <w:rFonts w:ascii="Times New Roman" w:hAnsi="Times New Roman" w:cs="Times New Roman"/>
          <w:i/>
          <w:sz w:val="24"/>
        </w:rPr>
        <w:t>Wales and a Quest for Peace</w:t>
      </w:r>
      <w:r w:rsidR="00AD7F00">
        <w:rPr>
          <w:rFonts w:ascii="Times New Roman" w:hAnsi="Times New Roman" w:cs="Times New Roman"/>
          <w:sz w:val="24"/>
        </w:rPr>
        <w:t xml:space="preserve">, an event that shaped the anti-pacifist approach that was upheld by many of the Welsh people. Xenophobia was present in the case of Hermann </w:t>
      </w:r>
      <w:proofErr w:type="spellStart"/>
      <w:r w:rsidR="00AD7F00" w:rsidRPr="00F827FE">
        <w:rPr>
          <w:rFonts w:ascii="Times New Roman" w:hAnsi="Times New Roman" w:cs="Times New Roman"/>
          <w:color w:val="222222"/>
          <w:sz w:val="24"/>
          <w:shd w:val="clear" w:color="auto" w:fill="FFFFFF"/>
        </w:rPr>
        <w:t>Ethé</w:t>
      </w:r>
      <w:proofErr w:type="spellEnd"/>
      <w:r w:rsidR="00AD7F00">
        <w:rPr>
          <w:rFonts w:ascii="Times New Roman" w:hAnsi="Times New Roman" w:cs="Times New Roman"/>
          <w:sz w:val="24"/>
        </w:rPr>
        <w:t>, a man of German origins whom was socially and physically persecuted by the Welsh. Morgan writes that those that sympathised with</w:t>
      </w:r>
      <w:r w:rsidR="00AD7F00">
        <w:rPr>
          <w:rFonts w:ascii="Arial" w:hAnsi="Arial" w:cs="Arial"/>
          <w:color w:val="222222"/>
          <w:shd w:val="clear" w:color="auto" w:fill="FFFFFF"/>
        </w:rPr>
        <w:t> </w:t>
      </w:r>
      <w:proofErr w:type="spellStart"/>
      <w:r w:rsidR="00AD7F00" w:rsidRPr="00F827FE">
        <w:rPr>
          <w:rFonts w:ascii="Times New Roman" w:hAnsi="Times New Roman" w:cs="Times New Roman"/>
          <w:color w:val="222222"/>
          <w:sz w:val="24"/>
          <w:shd w:val="clear" w:color="auto" w:fill="FFFFFF"/>
        </w:rPr>
        <w:t>Ethé</w:t>
      </w:r>
      <w:proofErr w:type="spellEnd"/>
      <w:r w:rsidR="00AD7F00" w:rsidRPr="00F827FE">
        <w:rPr>
          <w:rFonts w:ascii="Arial" w:hAnsi="Arial" w:cs="Arial"/>
          <w:color w:val="222222"/>
          <w:sz w:val="24"/>
          <w:shd w:val="clear" w:color="auto" w:fill="FFFFFF"/>
        </w:rPr>
        <w:t xml:space="preserve"> </w:t>
      </w:r>
      <w:r w:rsidR="00AD7F00">
        <w:rPr>
          <w:rFonts w:ascii="Times New Roman" w:hAnsi="Times New Roman" w:cs="Times New Roman"/>
          <w:sz w:val="24"/>
        </w:rPr>
        <w:t>were too the subject of such confrontations, solidifying the argument that with such feeling of nationalism generated by the Great War came present hostilities towards ones’ neighbour.</w:t>
      </w:r>
      <w:r w:rsidR="00AD7F00">
        <w:rPr>
          <w:rStyle w:val="FootnoteReference"/>
          <w:rFonts w:ascii="Times New Roman" w:hAnsi="Times New Roman" w:cs="Times New Roman"/>
          <w:sz w:val="24"/>
        </w:rPr>
        <w:footnoteReference w:id="8"/>
      </w:r>
    </w:p>
    <w:p w14:paraId="19D68252" w14:textId="4B542722" w:rsidR="004276F0" w:rsidRDefault="004276F0" w:rsidP="009D1A98">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Arthur Davey discusses how one would identify a </w:t>
      </w:r>
      <w:r w:rsidR="00DB4F4A">
        <w:rPr>
          <w:rFonts w:ascii="Times New Roman" w:hAnsi="Times New Roman" w:cs="Times New Roman"/>
          <w:sz w:val="24"/>
        </w:rPr>
        <w:t>p</w:t>
      </w:r>
      <w:r>
        <w:rPr>
          <w:rFonts w:ascii="Times New Roman" w:hAnsi="Times New Roman" w:cs="Times New Roman"/>
          <w:sz w:val="24"/>
        </w:rPr>
        <w:t>ro-Boe</w:t>
      </w:r>
      <w:r w:rsidR="00E57171">
        <w:rPr>
          <w:rFonts w:ascii="Times New Roman" w:hAnsi="Times New Roman" w:cs="Times New Roman"/>
          <w:sz w:val="24"/>
        </w:rPr>
        <w:t>r</w:t>
      </w:r>
      <w:r w:rsidR="000B38EB">
        <w:rPr>
          <w:rFonts w:ascii="Times New Roman" w:hAnsi="Times New Roman" w:cs="Times New Roman"/>
          <w:sz w:val="24"/>
        </w:rPr>
        <w:t xml:space="preserve"> and stated that Chamberlain was the embodiment of such imperialist </w:t>
      </w:r>
      <w:r w:rsidR="000C7242">
        <w:rPr>
          <w:rFonts w:ascii="Times New Roman" w:hAnsi="Times New Roman" w:cs="Times New Roman"/>
          <w:sz w:val="24"/>
        </w:rPr>
        <w:t>opinions</w:t>
      </w:r>
      <w:r w:rsidR="00E57171">
        <w:rPr>
          <w:rFonts w:ascii="Times New Roman" w:hAnsi="Times New Roman" w:cs="Times New Roman"/>
          <w:sz w:val="24"/>
        </w:rPr>
        <w:t>.</w:t>
      </w:r>
      <w:r w:rsidR="000C7242">
        <w:rPr>
          <w:rStyle w:val="FootnoteReference"/>
          <w:rFonts w:ascii="Times New Roman" w:hAnsi="Times New Roman" w:cs="Times New Roman"/>
          <w:sz w:val="24"/>
        </w:rPr>
        <w:footnoteReference w:id="9"/>
      </w:r>
      <w:r w:rsidR="00E57171">
        <w:rPr>
          <w:rFonts w:ascii="Times New Roman" w:hAnsi="Times New Roman" w:cs="Times New Roman"/>
          <w:sz w:val="24"/>
        </w:rPr>
        <w:t xml:space="preserve"> </w:t>
      </w:r>
      <w:r w:rsidR="00E43DD6">
        <w:rPr>
          <w:rFonts w:ascii="Times New Roman" w:hAnsi="Times New Roman" w:cs="Times New Roman"/>
          <w:sz w:val="24"/>
        </w:rPr>
        <w:t xml:space="preserve">Imperialism was at the heart of the Boer War, </w:t>
      </w:r>
      <w:r w:rsidR="00D46501">
        <w:rPr>
          <w:rFonts w:ascii="Times New Roman" w:hAnsi="Times New Roman" w:cs="Times New Roman"/>
          <w:sz w:val="24"/>
        </w:rPr>
        <w:t xml:space="preserve">and within </w:t>
      </w:r>
      <w:r w:rsidR="00D46501" w:rsidRPr="00AD7F00">
        <w:rPr>
          <w:rFonts w:ascii="Times New Roman" w:hAnsi="Times New Roman" w:cs="Times New Roman"/>
          <w:i/>
          <w:sz w:val="24"/>
        </w:rPr>
        <w:t>Modern Wales</w:t>
      </w:r>
      <w:r w:rsidR="00D46501">
        <w:rPr>
          <w:rFonts w:ascii="Times New Roman" w:hAnsi="Times New Roman" w:cs="Times New Roman"/>
          <w:sz w:val="24"/>
        </w:rPr>
        <w:t xml:space="preserve"> Morgan presents the argument of English hi</w:t>
      </w:r>
      <w:r w:rsidR="00007218">
        <w:rPr>
          <w:rFonts w:ascii="Times New Roman" w:hAnsi="Times New Roman" w:cs="Times New Roman"/>
          <w:sz w:val="24"/>
        </w:rPr>
        <w:t xml:space="preserve">storian Henry </w:t>
      </w:r>
      <w:r w:rsidR="00007218">
        <w:rPr>
          <w:rFonts w:ascii="Times New Roman" w:hAnsi="Times New Roman" w:cs="Times New Roman"/>
          <w:sz w:val="24"/>
        </w:rPr>
        <w:lastRenderedPageBreak/>
        <w:t>Pelling, whom reiterates pro-Boer sentiments in Wales</w:t>
      </w:r>
      <w:r w:rsidR="00047F8C">
        <w:rPr>
          <w:rFonts w:ascii="Times New Roman" w:hAnsi="Times New Roman" w:cs="Times New Roman"/>
          <w:sz w:val="24"/>
        </w:rPr>
        <w:t xml:space="preserve"> </w:t>
      </w:r>
      <w:r w:rsidR="00AD7F00">
        <w:rPr>
          <w:rFonts w:ascii="Times New Roman" w:hAnsi="Times New Roman" w:cs="Times New Roman"/>
          <w:sz w:val="24"/>
        </w:rPr>
        <w:t>by</w:t>
      </w:r>
      <w:r w:rsidR="00047F8C">
        <w:rPr>
          <w:rFonts w:ascii="Times New Roman" w:hAnsi="Times New Roman" w:cs="Times New Roman"/>
          <w:sz w:val="24"/>
        </w:rPr>
        <w:t xml:space="preserve"> discussing how they were influenced as a result of ‘electoral swings’</w:t>
      </w:r>
      <w:r w:rsidR="00007218">
        <w:rPr>
          <w:rFonts w:ascii="Times New Roman" w:hAnsi="Times New Roman" w:cs="Times New Roman"/>
          <w:sz w:val="24"/>
        </w:rPr>
        <w:t>.</w:t>
      </w:r>
      <w:r w:rsidR="00047F8C">
        <w:rPr>
          <w:rStyle w:val="FootnoteReference"/>
          <w:rFonts w:ascii="Times New Roman" w:hAnsi="Times New Roman" w:cs="Times New Roman"/>
          <w:sz w:val="24"/>
        </w:rPr>
        <w:footnoteReference w:id="10"/>
      </w:r>
      <w:r w:rsidR="00007218">
        <w:rPr>
          <w:rFonts w:ascii="Times New Roman" w:hAnsi="Times New Roman" w:cs="Times New Roman"/>
          <w:sz w:val="24"/>
        </w:rPr>
        <w:t xml:space="preserve"> The Welsh were largely associated with being opposed to the South African </w:t>
      </w:r>
      <w:r w:rsidR="00047F8C">
        <w:rPr>
          <w:rFonts w:ascii="Times New Roman" w:hAnsi="Times New Roman" w:cs="Times New Roman"/>
          <w:sz w:val="24"/>
        </w:rPr>
        <w:t>w</w:t>
      </w:r>
      <w:r w:rsidR="00007218">
        <w:rPr>
          <w:rFonts w:ascii="Times New Roman" w:hAnsi="Times New Roman" w:cs="Times New Roman"/>
          <w:sz w:val="24"/>
        </w:rPr>
        <w:t xml:space="preserve">ar, and such an inherent belief had been dissected by Pelling. </w:t>
      </w:r>
      <w:r w:rsidR="00047F8C">
        <w:rPr>
          <w:rFonts w:ascii="Times New Roman" w:hAnsi="Times New Roman" w:cs="Times New Roman"/>
          <w:sz w:val="24"/>
        </w:rPr>
        <w:t>Through considering Pelling’s statistical argument Morgan</w:t>
      </w:r>
      <w:r w:rsidR="00007218">
        <w:rPr>
          <w:rFonts w:ascii="Times New Roman" w:hAnsi="Times New Roman" w:cs="Times New Roman"/>
          <w:sz w:val="24"/>
        </w:rPr>
        <w:t xml:space="preserve"> concludes that Wales were ‘a nation of pro-Boers’, as within predominately industrialised areas of Wales whose inhabitants included English speakers, sympathies for imperialist causes were pronounced. However, east and west Wales juxtaposed this and were instead sympathetic towards the Boers, as Morgan furthers within his own research.</w:t>
      </w:r>
      <w:r w:rsidR="00007218">
        <w:rPr>
          <w:rStyle w:val="FootnoteReference"/>
          <w:rFonts w:ascii="Times New Roman" w:hAnsi="Times New Roman" w:cs="Times New Roman"/>
          <w:sz w:val="24"/>
        </w:rPr>
        <w:footnoteReference w:id="11"/>
      </w:r>
    </w:p>
    <w:p w14:paraId="2EE64CD3" w14:textId="407B7B9E" w:rsidR="00DE120F" w:rsidRDefault="00DE120F" w:rsidP="00283E7E">
      <w:pPr>
        <w:spacing w:line="480" w:lineRule="auto"/>
        <w:ind w:firstLine="720"/>
        <w:jc w:val="both"/>
        <w:rPr>
          <w:rFonts w:ascii="Times New Roman" w:hAnsi="Times New Roman" w:cs="Times New Roman"/>
          <w:sz w:val="24"/>
        </w:rPr>
      </w:pPr>
      <w:r>
        <w:rPr>
          <w:rFonts w:ascii="Times New Roman" w:hAnsi="Times New Roman" w:cs="Times New Roman"/>
          <w:sz w:val="24"/>
        </w:rPr>
        <w:t>Adrian Gregory alludes to Morgan’s’ argument regarding the Welsh throwing themselves into the war with gusto, and Gregory underlined his analysis of Welsh enthusiasm for the war being influence</w:t>
      </w:r>
      <w:r w:rsidR="0052219F">
        <w:rPr>
          <w:rFonts w:ascii="Times New Roman" w:hAnsi="Times New Roman" w:cs="Times New Roman"/>
          <w:sz w:val="24"/>
        </w:rPr>
        <w:t>d</w:t>
      </w:r>
      <w:r>
        <w:rPr>
          <w:rFonts w:ascii="Times New Roman" w:hAnsi="Times New Roman" w:cs="Times New Roman"/>
          <w:sz w:val="24"/>
        </w:rPr>
        <w:t xml:space="preserve"> by the mining issues that were circulating </w:t>
      </w:r>
      <w:r w:rsidR="0052219F">
        <w:rPr>
          <w:rFonts w:ascii="Times New Roman" w:hAnsi="Times New Roman" w:cs="Times New Roman"/>
          <w:sz w:val="24"/>
        </w:rPr>
        <w:t xml:space="preserve">Wales </w:t>
      </w:r>
      <w:r>
        <w:rPr>
          <w:rFonts w:ascii="Times New Roman" w:hAnsi="Times New Roman" w:cs="Times New Roman"/>
          <w:sz w:val="24"/>
        </w:rPr>
        <w:t>at the time.</w:t>
      </w:r>
      <w:r>
        <w:rPr>
          <w:rStyle w:val="FootnoteReference"/>
          <w:rFonts w:ascii="Times New Roman" w:hAnsi="Times New Roman" w:cs="Times New Roman"/>
          <w:sz w:val="24"/>
        </w:rPr>
        <w:footnoteReference w:id="12"/>
      </w:r>
      <w:r>
        <w:rPr>
          <w:rFonts w:ascii="Times New Roman" w:hAnsi="Times New Roman" w:cs="Times New Roman"/>
          <w:sz w:val="24"/>
        </w:rPr>
        <w:t xml:space="preserve"> Gregory discusses the jingoism of the Welsh by referring to the heckling of Keir Hardie in 1914, whom was a strong objector to the </w:t>
      </w:r>
      <w:r w:rsidR="00F50D77">
        <w:rPr>
          <w:rFonts w:ascii="Times New Roman" w:hAnsi="Times New Roman" w:cs="Times New Roman"/>
          <w:sz w:val="24"/>
        </w:rPr>
        <w:t>First World War.</w:t>
      </w:r>
      <w:r w:rsidR="00F50D77">
        <w:rPr>
          <w:rStyle w:val="FootnoteReference"/>
          <w:rFonts w:ascii="Times New Roman" w:hAnsi="Times New Roman" w:cs="Times New Roman"/>
          <w:sz w:val="24"/>
        </w:rPr>
        <w:footnoteReference w:id="13"/>
      </w:r>
      <w:r w:rsidR="00F50D77">
        <w:rPr>
          <w:rFonts w:ascii="Times New Roman" w:hAnsi="Times New Roman" w:cs="Times New Roman"/>
          <w:sz w:val="24"/>
        </w:rPr>
        <w:t xml:space="preserve"> </w:t>
      </w:r>
      <w:r w:rsidR="00B50581">
        <w:rPr>
          <w:rFonts w:ascii="Times New Roman" w:hAnsi="Times New Roman" w:cs="Times New Roman"/>
          <w:sz w:val="24"/>
        </w:rPr>
        <w:t>As an anecdote to</w:t>
      </w:r>
      <w:r w:rsidR="00F50D77">
        <w:rPr>
          <w:rFonts w:ascii="Times New Roman" w:hAnsi="Times New Roman" w:cs="Times New Roman"/>
          <w:sz w:val="24"/>
        </w:rPr>
        <w:t xml:space="preserve"> Hardie</w:t>
      </w:r>
      <w:r w:rsidR="00B50581">
        <w:rPr>
          <w:rFonts w:ascii="Times New Roman" w:hAnsi="Times New Roman" w:cs="Times New Roman"/>
          <w:sz w:val="24"/>
        </w:rPr>
        <w:t>, it is interesting to mention that he</w:t>
      </w:r>
      <w:r w:rsidR="00F50D77">
        <w:rPr>
          <w:rFonts w:ascii="Times New Roman" w:hAnsi="Times New Roman" w:cs="Times New Roman"/>
          <w:sz w:val="24"/>
        </w:rPr>
        <w:t xml:space="preserve"> was pro-Boer, and like Lloyd George the switching of sides </w:t>
      </w:r>
      <w:r w:rsidR="0052219F">
        <w:rPr>
          <w:rFonts w:ascii="Times New Roman" w:hAnsi="Times New Roman" w:cs="Times New Roman"/>
          <w:sz w:val="24"/>
        </w:rPr>
        <w:t xml:space="preserve">in regards to war stances </w:t>
      </w:r>
      <w:r w:rsidR="00F50D77">
        <w:rPr>
          <w:rFonts w:ascii="Times New Roman" w:hAnsi="Times New Roman" w:cs="Times New Roman"/>
          <w:sz w:val="24"/>
        </w:rPr>
        <w:t>was not just limited to the Liberal party, but the Labour too.</w:t>
      </w:r>
    </w:p>
    <w:p w14:paraId="2DB8FDDB" w14:textId="47235644" w:rsidR="00E568E5" w:rsidRDefault="00832E53" w:rsidP="00832E53">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Davey, within his discussion of </w:t>
      </w:r>
      <w:r w:rsidRPr="006F19C0">
        <w:rPr>
          <w:rFonts w:ascii="Times New Roman" w:hAnsi="Times New Roman" w:cs="Times New Roman"/>
          <w:i/>
          <w:sz w:val="24"/>
        </w:rPr>
        <w:t>The British Pro-Boers</w:t>
      </w:r>
      <w:r>
        <w:rPr>
          <w:rFonts w:ascii="Times New Roman" w:hAnsi="Times New Roman" w:cs="Times New Roman"/>
          <w:sz w:val="24"/>
        </w:rPr>
        <w:t xml:space="preserve"> claims that ‘the British had a sentimental feeling for small people’.</w:t>
      </w:r>
      <w:r>
        <w:rPr>
          <w:rStyle w:val="FootnoteReference"/>
          <w:rFonts w:ascii="Times New Roman" w:hAnsi="Times New Roman" w:cs="Times New Roman"/>
          <w:sz w:val="24"/>
        </w:rPr>
        <w:footnoteReference w:id="14"/>
      </w:r>
      <w:r>
        <w:rPr>
          <w:rFonts w:ascii="Times New Roman" w:hAnsi="Times New Roman" w:cs="Times New Roman"/>
          <w:sz w:val="24"/>
        </w:rPr>
        <w:t xml:space="preserve"> Davey elaborates his argument further by alluding to the anti-war stance of Welsh liberal politics, spearheaded by figures such as Keir Hardie and Philip Snowden, both of whom believed that the Boers were victims of a ‘stock-jobbing operation.’</w:t>
      </w:r>
      <w:r>
        <w:rPr>
          <w:rStyle w:val="FootnoteReference"/>
          <w:rFonts w:ascii="Times New Roman" w:hAnsi="Times New Roman" w:cs="Times New Roman"/>
          <w:sz w:val="24"/>
        </w:rPr>
        <w:footnoteReference w:id="15"/>
      </w:r>
      <w:r>
        <w:rPr>
          <w:rFonts w:ascii="Times New Roman" w:hAnsi="Times New Roman" w:cs="Times New Roman"/>
          <w:sz w:val="24"/>
        </w:rPr>
        <w:t xml:space="preserve"> Davey notes that this perspective was widely shared by radical liberals and would soon see religious institutions taking the same opinion. The non-conformists, fundamentalists </w:t>
      </w:r>
      <w:r>
        <w:rPr>
          <w:rFonts w:ascii="Times New Roman" w:hAnsi="Times New Roman" w:cs="Times New Roman"/>
          <w:sz w:val="24"/>
        </w:rPr>
        <w:lastRenderedPageBreak/>
        <w:t>and Quakers are a few of the spiritual establishments to name.</w:t>
      </w:r>
      <w:r>
        <w:rPr>
          <w:rStyle w:val="FootnoteReference"/>
          <w:rFonts w:ascii="Times New Roman" w:hAnsi="Times New Roman" w:cs="Times New Roman"/>
          <w:sz w:val="24"/>
        </w:rPr>
        <w:footnoteReference w:id="16"/>
      </w:r>
      <w:r>
        <w:rPr>
          <w:rFonts w:ascii="Times New Roman" w:hAnsi="Times New Roman" w:cs="Times New Roman"/>
          <w:sz w:val="24"/>
        </w:rPr>
        <w:t xml:space="preserve"> In terms of the politics that shaped the coming of wars, </w:t>
      </w:r>
      <w:r w:rsidR="005C3E8D">
        <w:rPr>
          <w:rFonts w:ascii="Times New Roman" w:hAnsi="Times New Roman" w:cs="Times New Roman"/>
          <w:sz w:val="24"/>
        </w:rPr>
        <w:t>David Lloyd George play</w:t>
      </w:r>
      <w:r>
        <w:rPr>
          <w:rFonts w:ascii="Times New Roman" w:hAnsi="Times New Roman" w:cs="Times New Roman"/>
          <w:sz w:val="24"/>
        </w:rPr>
        <w:t>ed</w:t>
      </w:r>
      <w:r w:rsidR="005C3E8D">
        <w:rPr>
          <w:rFonts w:ascii="Times New Roman" w:hAnsi="Times New Roman" w:cs="Times New Roman"/>
          <w:sz w:val="24"/>
        </w:rPr>
        <w:t xml:space="preserve"> a significant role as Wales’ radical political party leader. Largely anti-war prior to the conflict of 1914, Lloyd George was the face of the liberal ideologies that the Welsh seemed to favour</w:t>
      </w:r>
      <w:r>
        <w:rPr>
          <w:rFonts w:ascii="Times New Roman" w:hAnsi="Times New Roman" w:cs="Times New Roman"/>
          <w:sz w:val="24"/>
        </w:rPr>
        <w:t xml:space="preserve">. </w:t>
      </w:r>
      <w:r w:rsidR="00007FDD">
        <w:rPr>
          <w:rFonts w:ascii="Times New Roman" w:hAnsi="Times New Roman" w:cs="Times New Roman"/>
          <w:sz w:val="24"/>
        </w:rPr>
        <w:t xml:space="preserve">The </w:t>
      </w:r>
      <w:r w:rsidR="00E568E5">
        <w:rPr>
          <w:rFonts w:ascii="Times New Roman" w:hAnsi="Times New Roman" w:cs="Times New Roman"/>
          <w:sz w:val="24"/>
        </w:rPr>
        <w:t>Black Week</w:t>
      </w:r>
      <w:r w:rsidR="003D40B1">
        <w:rPr>
          <w:rFonts w:ascii="Times New Roman" w:hAnsi="Times New Roman" w:cs="Times New Roman"/>
          <w:sz w:val="24"/>
        </w:rPr>
        <w:t xml:space="preserve"> </w:t>
      </w:r>
      <w:r w:rsidR="00007FDD">
        <w:rPr>
          <w:rFonts w:ascii="Times New Roman" w:hAnsi="Times New Roman" w:cs="Times New Roman"/>
          <w:sz w:val="24"/>
        </w:rPr>
        <w:t xml:space="preserve">of December 1899 </w:t>
      </w:r>
      <w:r w:rsidR="003D40B1">
        <w:rPr>
          <w:rFonts w:ascii="Times New Roman" w:hAnsi="Times New Roman" w:cs="Times New Roman"/>
          <w:sz w:val="24"/>
        </w:rPr>
        <w:t>led to the dwindling of enthusiasm for the war, and so came the emergence of David Lloyd George.</w:t>
      </w:r>
      <w:r w:rsidR="00261EB6">
        <w:rPr>
          <w:rFonts w:ascii="Times New Roman" w:hAnsi="Times New Roman" w:cs="Times New Roman"/>
          <w:sz w:val="24"/>
        </w:rPr>
        <w:t xml:space="preserve"> Lloyd George, the first Welsh Prime Minister</w:t>
      </w:r>
      <w:r w:rsidR="00007FDD">
        <w:rPr>
          <w:rFonts w:ascii="Times New Roman" w:hAnsi="Times New Roman" w:cs="Times New Roman"/>
          <w:sz w:val="24"/>
        </w:rPr>
        <w:t xml:space="preserve"> ‘was no pacifist’, and this can be seen within his political endeavours.</w:t>
      </w:r>
      <w:r w:rsidR="00586E5D">
        <w:rPr>
          <w:rStyle w:val="FootnoteReference"/>
          <w:rFonts w:ascii="Times New Roman" w:hAnsi="Times New Roman" w:cs="Times New Roman"/>
          <w:sz w:val="24"/>
        </w:rPr>
        <w:footnoteReference w:id="17"/>
      </w:r>
      <w:r w:rsidR="00007FDD">
        <w:rPr>
          <w:rFonts w:ascii="Times New Roman" w:hAnsi="Times New Roman" w:cs="Times New Roman"/>
          <w:sz w:val="24"/>
        </w:rPr>
        <w:t xml:space="preserve"> He held the interests of the British </w:t>
      </w:r>
      <w:proofErr w:type="gramStart"/>
      <w:r w:rsidR="00007FDD">
        <w:rPr>
          <w:rFonts w:ascii="Times New Roman" w:hAnsi="Times New Roman" w:cs="Times New Roman"/>
          <w:sz w:val="24"/>
        </w:rPr>
        <w:t>close, and</w:t>
      </w:r>
      <w:proofErr w:type="gramEnd"/>
      <w:r w:rsidR="00007FDD">
        <w:rPr>
          <w:rFonts w:ascii="Times New Roman" w:hAnsi="Times New Roman" w:cs="Times New Roman"/>
          <w:sz w:val="24"/>
        </w:rPr>
        <w:t xml:space="preserve"> tended to swing in the favour of British sentiments of the time. This is apparent within his initial condemnation of the Boer War, until he ultimately proved to be in favour of the Great War</w:t>
      </w:r>
      <w:r>
        <w:rPr>
          <w:rFonts w:ascii="Times New Roman" w:hAnsi="Times New Roman" w:cs="Times New Roman"/>
          <w:sz w:val="24"/>
        </w:rPr>
        <w:t xml:space="preserve"> upon its</w:t>
      </w:r>
      <w:r w:rsidR="00007FDD">
        <w:rPr>
          <w:rFonts w:ascii="Times New Roman" w:hAnsi="Times New Roman" w:cs="Times New Roman"/>
          <w:sz w:val="24"/>
        </w:rPr>
        <w:t xml:space="preserve"> outbreak. </w:t>
      </w:r>
      <w:r>
        <w:rPr>
          <w:rFonts w:ascii="Times New Roman" w:hAnsi="Times New Roman" w:cs="Times New Roman"/>
          <w:sz w:val="24"/>
        </w:rPr>
        <w:t>It</w:t>
      </w:r>
      <w:r w:rsidR="00007FDD">
        <w:rPr>
          <w:rFonts w:ascii="Times New Roman" w:hAnsi="Times New Roman" w:cs="Times New Roman"/>
          <w:sz w:val="24"/>
        </w:rPr>
        <w:t xml:space="preserve"> is worth noting that Lloyd George didn’t uphold the primary precepts of pacifism</w:t>
      </w:r>
      <w:r w:rsidR="00387EBE">
        <w:rPr>
          <w:rFonts w:ascii="Times New Roman" w:hAnsi="Times New Roman" w:cs="Times New Roman"/>
          <w:sz w:val="24"/>
        </w:rPr>
        <w:t xml:space="preserve"> </w:t>
      </w:r>
      <w:r w:rsidR="00007FDD">
        <w:rPr>
          <w:rFonts w:ascii="Times New Roman" w:hAnsi="Times New Roman" w:cs="Times New Roman"/>
          <w:sz w:val="24"/>
        </w:rPr>
        <w:t>yet believed that the 1899 conflict would just prove to be detrimental to the social reforms that would soon be cast aside.</w:t>
      </w:r>
      <w:r>
        <w:rPr>
          <w:rFonts w:ascii="Times New Roman" w:hAnsi="Times New Roman" w:cs="Times New Roman"/>
          <w:sz w:val="24"/>
        </w:rPr>
        <w:t xml:space="preserve"> </w:t>
      </w:r>
    </w:p>
    <w:p w14:paraId="37363D90" w14:textId="164DFF95" w:rsidR="00346264" w:rsidRPr="00586E5D" w:rsidRDefault="00346264" w:rsidP="00586E5D">
      <w:pPr>
        <w:spacing w:line="480" w:lineRule="auto"/>
        <w:ind w:firstLine="720"/>
        <w:jc w:val="both"/>
        <w:rPr>
          <w:rFonts w:ascii="Times New Roman" w:hAnsi="Times New Roman" w:cs="Times New Roman"/>
          <w:sz w:val="24"/>
        </w:rPr>
      </w:pPr>
      <w:r w:rsidRPr="00586E5D">
        <w:rPr>
          <w:rFonts w:ascii="Times New Roman" w:hAnsi="Times New Roman" w:cs="Times New Roman"/>
          <w:sz w:val="24"/>
        </w:rPr>
        <w:t xml:space="preserve">It is thought that generally, German </w:t>
      </w:r>
      <w:r w:rsidR="00E0474F" w:rsidRPr="00586E5D">
        <w:rPr>
          <w:rFonts w:ascii="Times New Roman" w:hAnsi="Times New Roman" w:cs="Times New Roman"/>
          <w:sz w:val="24"/>
        </w:rPr>
        <w:t>life</w:t>
      </w:r>
      <w:r w:rsidRPr="00586E5D">
        <w:rPr>
          <w:rFonts w:ascii="Times New Roman" w:hAnsi="Times New Roman" w:cs="Times New Roman"/>
          <w:sz w:val="24"/>
        </w:rPr>
        <w:t xml:space="preserve"> was a source of admiration for the Welsh</w:t>
      </w:r>
      <w:r w:rsidR="008865AF" w:rsidRPr="00586E5D">
        <w:rPr>
          <w:rFonts w:ascii="Times New Roman" w:hAnsi="Times New Roman" w:cs="Times New Roman"/>
          <w:sz w:val="24"/>
        </w:rPr>
        <w:t xml:space="preserve"> and t</w:t>
      </w:r>
      <w:r w:rsidRPr="00586E5D">
        <w:rPr>
          <w:rFonts w:ascii="Times New Roman" w:hAnsi="Times New Roman" w:cs="Times New Roman"/>
          <w:sz w:val="24"/>
        </w:rPr>
        <w:t xml:space="preserve">his was not </w:t>
      </w:r>
      <w:r w:rsidR="008865AF" w:rsidRPr="00586E5D">
        <w:rPr>
          <w:rFonts w:ascii="Times New Roman" w:hAnsi="Times New Roman" w:cs="Times New Roman"/>
          <w:sz w:val="24"/>
        </w:rPr>
        <w:t xml:space="preserve">just </w:t>
      </w:r>
      <w:r w:rsidRPr="00586E5D">
        <w:rPr>
          <w:rFonts w:ascii="Times New Roman" w:hAnsi="Times New Roman" w:cs="Times New Roman"/>
          <w:sz w:val="24"/>
        </w:rPr>
        <w:t>limited to</w:t>
      </w:r>
      <w:r w:rsidR="00443D1C" w:rsidRPr="00586E5D">
        <w:rPr>
          <w:rFonts w:ascii="Times New Roman" w:hAnsi="Times New Roman" w:cs="Times New Roman"/>
          <w:sz w:val="24"/>
        </w:rPr>
        <w:t xml:space="preserve"> </w:t>
      </w:r>
      <w:r w:rsidR="00E0474F" w:rsidRPr="00586E5D">
        <w:rPr>
          <w:rFonts w:ascii="Times New Roman" w:hAnsi="Times New Roman" w:cs="Times New Roman"/>
          <w:sz w:val="24"/>
        </w:rPr>
        <w:t>politics. T</w:t>
      </w:r>
      <w:r w:rsidR="00443D1C" w:rsidRPr="00586E5D">
        <w:rPr>
          <w:rFonts w:ascii="Times New Roman" w:hAnsi="Times New Roman" w:cs="Times New Roman"/>
          <w:sz w:val="24"/>
        </w:rPr>
        <w:t>he German culture—specifically within the realm of music and philosophy—was held in a favourable light.</w:t>
      </w:r>
      <w:r w:rsidR="00586E5D" w:rsidRPr="00586E5D">
        <w:rPr>
          <w:rStyle w:val="FootnoteReference"/>
          <w:rFonts w:ascii="Times New Roman" w:hAnsi="Times New Roman" w:cs="Times New Roman"/>
          <w:sz w:val="24"/>
        </w:rPr>
        <w:footnoteReference w:id="18"/>
      </w:r>
      <w:r w:rsidR="00443D1C" w:rsidRPr="00586E5D">
        <w:rPr>
          <w:rFonts w:ascii="Times New Roman" w:hAnsi="Times New Roman" w:cs="Times New Roman"/>
          <w:sz w:val="24"/>
          <w:vertAlign w:val="superscript"/>
        </w:rPr>
        <w:t xml:space="preserve"> </w:t>
      </w:r>
      <w:r w:rsidR="00443D1C" w:rsidRPr="00586E5D">
        <w:rPr>
          <w:rFonts w:ascii="Times New Roman" w:hAnsi="Times New Roman" w:cs="Times New Roman"/>
          <w:sz w:val="24"/>
        </w:rPr>
        <w:t>This lends the belief that in the build up to World War One, Wales would have generally been opposed to the outbreak of war</w:t>
      </w:r>
      <w:r w:rsidR="00E0474F" w:rsidRPr="00586E5D">
        <w:rPr>
          <w:rFonts w:ascii="Times New Roman" w:hAnsi="Times New Roman" w:cs="Times New Roman"/>
          <w:sz w:val="24"/>
        </w:rPr>
        <w:t>, especially with a country that was held with such great esteem.</w:t>
      </w:r>
      <w:r w:rsidRPr="00586E5D">
        <w:rPr>
          <w:rFonts w:ascii="Times New Roman" w:hAnsi="Times New Roman" w:cs="Times New Roman"/>
          <w:sz w:val="24"/>
        </w:rPr>
        <w:t xml:space="preserve"> </w:t>
      </w:r>
      <w:r w:rsidR="00E0474F" w:rsidRPr="00586E5D">
        <w:rPr>
          <w:rFonts w:ascii="Times New Roman" w:hAnsi="Times New Roman" w:cs="Times New Roman"/>
          <w:sz w:val="24"/>
        </w:rPr>
        <w:t xml:space="preserve">Wales at this stage were at the helm of social change, as can be seen within the Miner’s Next Step and </w:t>
      </w:r>
      <w:proofErr w:type="spellStart"/>
      <w:r w:rsidR="00E0474F" w:rsidRPr="00586E5D">
        <w:rPr>
          <w:rFonts w:ascii="Times New Roman" w:hAnsi="Times New Roman" w:cs="Times New Roman"/>
          <w:sz w:val="24"/>
        </w:rPr>
        <w:t>Cymru</w:t>
      </w:r>
      <w:proofErr w:type="spellEnd"/>
      <w:r w:rsidR="00E0474F" w:rsidRPr="00586E5D">
        <w:rPr>
          <w:rFonts w:ascii="Times New Roman" w:hAnsi="Times New Roman" w:cs="Times New Roman"/>
          <w:sz w:val="24"/>
        </w:rPr>
        <w:t xml:space="preserve"> </w:t>
      </w:r>
      <w:proofErr w:type="spellStart"/>
      <w:r w:rsidR="00E0474F" w:rsidRPr="00586E5D">
        <w:rPr>
          <w:rFonts w:ascii="Times New Roman" w:hAnsi="Times New Roman" w:cs="Times New Roman"/>
          <w:sz w:val="24"/>
        </w:rPr>
        <w:t>Fydd</w:t>
      </w:r>
      <w:proofErr w:type="spellEnd"/>
      <w:r w:rsidR="00E0474F" w:rsidRPr="00586E5D">
        <w:rPr>
          <w:rFonts w:ascii="Times New Roman" w:hAnsi="Times New Roman" w:cs="Times New Roman"/>
          <w:sz w:val="24"/>
        </w:rPr>
        <w:t>, thus comes the conclusion that Wales may have sympathised against the ‘bullying of the Hun’, and saw a kindred spirit within socialist ideas.</w:t>
      </w:r>
      <w:r w:rsidR="002B15AA" w:rsidRPr="00586E5D">
        <w:rPr>
          <w:rStyle w:val="FootnoteReference"/>
          <w:rFonts w:ascii="Times New Roman" w:hAnsi="Times New Roman" w:cs="Times New Roman"/>
          <w:sz w:val="24"/>
        </w:rPr>
        <w:footnoteReference w:id="19"/>
      </w:r>
      <w:r w:rsidR="003A1275" w:rsidRPr="00586E5D">
        <w:rPr>
          <w:rFonts w:ascii="Times New Roman" w:hAnsi="Times New Roman" w:cs="Times New Roman"/>
          <w:sz w:val="24"/>
        </w:rPr>
        <w:t xml:space="preserve"> This ideology changed during the build up to World War One, in which David Lloyd George urged the Welsh to sympathise with the Belgians against their German aggressors and displays quite distinctly how public opinion could be switched. </w:t>
      </w:r>
      <w:r w:rsidR="003A1275" w:rsidRPr="00586E5D">
        <w:rPr>
          <w:rFonts w:ascii="Times New Roman" w:hAnsi="Times New Roman" w:cs="Times New Roman"/>
          <w:sz w:val="24"/>
        </w:rPr>
        <w:lastRenderedPageBreak/>
        <w:t xml:space="preserve">Such political stances led to various reactions of Welsh newspapers, and the creation of images </w:t>
      </w:r>
      <w:r w:rsidR="00A465DD">
        <w:rPr>
          <w:noProof/>
        </w:rPr>
        <w:drawing>
          <wp:anchor distT="0" distB="0" distL="114300" distR="114300" simplePos="0" relativeHeight="251661312" behindDoc="0" locked="0" layoutInCell="1" allowOverlap="1" wp14:anchorId="1B0D8B97" wp14:editId="07785F2B">
            <wp:simplePos x="0" y="0"/>
            <wp:positionH relativeFrom="margin">
              <wp:posOffset>768985</wp:posOffset>
            </wp:positionH>
            <wp:positionV relativeFrom="paragraph">
              <wp:posOffset>896998</wp:posOffset>
            </wp:positionV>
            <wp:extent cx="4115874" cy="2476500"/>
            <wp:effectExtent l="0" t="0" r="0" b="0"/>
            <wp:wrapTopAndBottom/>
            <wp:docPr id="1" name="Picture 1" descr="http://walesatwar.org/images/timeline/home_front/1914/DdraigGo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alesatwar.org/images/timeline/home_front/1914/DdraigGoc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5874" cy="2476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1275" w:rsidRPr="00586E5D">
        <w:rPr>
          <w:rFonts w:ascii="Times New Roman" w:hAnsi="Times New Roman" w:cs="Times New Roman"/>
          <w:sz w:val="24"/>
        </w:rPr>
        <w:t xml:space="preserve">depicting the wrath of the Welsh </w:t>
      </w:r>
      <w:r w:rsidR="005C3E8D" w:rsidRPr="00586E5D">
        <w:rPr>
          <w:rFonts w:ascii="Times New Roman" w:hAnsi="Times New Roman" w:cs="Times New Roman"/>
          <w:sz w:val="24"/>
        </w:rPr>
        <w:t xml:space="preserve">against the ‘German Hun’ </w:t>
      </w:r>
      <w:r w:rsidR="003A1275" w:rsidRPr="00586E5D">
        <w:rPr>
          <w:rFonts w:ascii="Times New Roman" w:hAnsi="Times New Roman" w:cs="Times New Roman"/>
          <w:sz w:val="24"/>
        </w:rPr>
        <w:t>as can be seen below.</w:t>
      </w:r>
      <w:r w:rsidR="00DE120F" w:rsidRPr="00586E5D">
        <w:rPr>
          <w:rFonts w:ascii="Times New Roman" w:hAnsi="Times New Roman" w:cs="Times New Roman"/>
          <w:sz w:val="24"/>
        </w:rPr>
        <w:t xml:space="preserve"> </w:t>
      </w:r>
    </w:p>
    <w:p w14:paraId="1A66FA19" w14:textId="556EA2A7" w:rsidR="003A1275" w:rsidRDefault="00A465DD" w:rsidP="00F15E2C">
      <w:pPr>
        <w:spacing w:line="480" w:lineRule="auto"/>
        <w:jc w:val="both"/>
        <w:rPr>
          <w:rFonts w:ascii="Times New Roman" w:hAnsi="Times New Roman" w:cs="Times New Roman"/>
          <w:sz w:val="24"/>
        </w:rPr>
      </w:pPr>
      <w:r w:rsidRPr="003A1275">
        <w:rPr>
          <w:rFonts w:ascii="Times New Roman" w:hAnsi="Times New Roman" w:cs="Times New Roman"/>
          <w:noProof/>
          <w:sz w:val="24"/>
        </w:rPr>
        <mc:AlternateContent>
          <mc:Choice Requires="wps">
            <w:drawing>
              <wp:anchor distT="45720" distB="45720" distL="114300" distR="114300" simplePos="0" relativeHeight="251663360" behindDoc="0" locked="0" layoutInCell="1" allowOverlap="1" wp14:anchorId="32376387" wp14:editId="50BE60E6">
                <wp:simplePos x="0" y="0"/>
                <wp:positionH relativeFrom="margin">
                  <wp:posOffset>769647</wp:posOffset>
                </wp:positionH>
                <wp:positionV relativeFrom="paragraph">
                  <wp:posOffset>2593975</wp:posOffset>
                </wp:positionV>
                <wp:extent cx="4117975" cy="622300"/>
                <wp:effectExtent l="0" t="0" r="15875"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7975" cy="622300"/>
                        </a:xfrm>
                        <a:prstGeom prst="rect">
                          <a:avLst/>
                        </a:prstGeom>
                        <a:solidFill>
                          <a:srgbClr val="FFFFFF"/>
                        </a:solidFill>
                        <a:ln w="9525">
                          <a:solidFill>
                            <a:srgbClr val="000000"/>
                          </a:solidFill>
                          <a:miter lim="800000"/>
                          <a:headEnd/>
                          <a:tailEnd/>
                        </a:ln>
                      </wps:spPr>
                      <wps:txbx>
                        <w:txbxContent>
                          <w:p w14:paraId="6C330100" w14:textId="09B4A050" w:rsidR="000719F8" w:rsidRPr="003A1275" w:rsidRDefault="00C8719A" w:rsidP="003A1275">
                            <w:pPr>
                              <w:jc w:val="both"/>
                              <w:rPr>
                                <w:rFonts w:ascii="Times New Roman" w:hAnsi="Times New Roman" w:cs="Times New Roman"/>
                              </w:rPr>
                            </w:pPr>
                            <w:r>
                              <w:rPr>
                                <w:rFonts w:ascii="Times New Roman" w:hAnsi="Times New Roman" w:cs="Times New Roman"/>
                              </w:rPr>
                              <w:t xml:space="preserve">Fig. 1: </w:t>
                            </w:r>
                            <w:r w:rsidR="000719F8" w:rsidRPr="003A1275">
                              <w:rPr>
                                <w:rFonts w:ascii="Times New Roman" w:hAnsi="Times New Roman" w:cs="Times New Roman"/>
                              </w:rPr>
                              <w:t xml:space="preserve">Kelt Edwards painting </w:t>
                            </w:r>
                            <w:r w:rsidR="000719F8">
                              <w:rPr>
                                <w:rFonts w:ascii="Times New Roman" w:hAnsi="Times New Roman" w:cs="Times New Roman"/>
                              </w:rPr>
                              <w:t xml:space="preserve">that </w:t>
                            </w:r>
                            <w:r w:rsidR="000719F8" w:rsidRPr="003A1275">
                              <w:rPr>
                                <w:rFonts w:ascii="Times New Roman" w:hAnsi="Times New Roman" w:cs="Times New Roman"/>
                              </w:rPr>
                              <w:t>depict</w:t>
                            </w:r>
                            <w:r w:rsidR="000719F8">
                              <w:rPr>
                                <w:rFonts w:ascii="Times New Roman" w:hAnsi="Times New Roman" w:cs="Times New Roman"/>
                              </w:rPr>
                              <w:t>s</w:t>
                            </w:r>
                            <w:r w:rsidR="000719F8" w:rsidRPr="003A1275">
                              <w:rPr>
                                <w:rFonts w:ascii="Times New Roman" w:hAnsi="Times New Roman" w:cs="Times New Roman"/>
                              </w:rPr>
                              <w:t xml:space="preserve"> German soldier running from Welsh Dragon. Above translation reads: the red dragon inspires action, 1916.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376387" id="_x0000_t202" coordsize="21600,21600" o:spt="202" path="m,l,21600r21600,l21600,xe">
                <v:stroke joinstyle="miter"/>
                <v:path gradientshapeok="t" o:connecttype="rect"/>
              </v:shapetype>
              <v:shape id="Text Box 2" o:spid="_x0000_s1026" type="#_x0000_t202" style="position:absolute;left:0;text-align:left;margin-left:60.6pt;margin-top:204.25pt;width:324.25pt;height:4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k6sIwIAAEQ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">
                <v:textbox>
                  <w:txbxContent>
                    <w:p w14:paraId="6C330100" w14:textId="09B4A050" w:rsidR="000719F8" w:rsidRPr="003A1275" w:rsidRDefault="00C8719A" w:rsidP="003A1275">
                      <w:pPr>
                        <w:jc w:val="both"/>
                        <w:rPr>
                          <w:rFonts w:ascii="Times New Roman" w:hAnsi="Times New Roman" w:cs="Times New Roman"/>
                        </w:rPr>
                      </w:pPr>
                      <w:r>
                        <w:rPr>
                          <w:rFonts w:ascii="Times New Roman" w:hAnsi="Times New Roman" w:cs="Times New Roman"/>
                        </w:rPr>
                        <w:t xml:space="preserve">Fig. 1: </w:t>
                      </w:r>
                      <w:proofErr w:type="spellStart"/>
                      <w:r w:rsidR="000719F8" w:rsidRPr="003A1275">
                        <w:rPr>
                          <w:rFonts w:ascii="Times New Roman" w:hAnsi="Times New Roman" w:cs="Times New Roman"/>
                        </w:rPr>
                        <w:t>Kelt</w:t>
                      </w:r>
                      <w:proofErr w:type="spellEnd"/>
                      <w:r w:rsidR="000719F8" w:rsidRPr="003A1275">
                        <w:rPr>
                          <w:rFonts w:ascii="Times New Roman" w:hAnsi="Times New Roman" w:cs="Times New Roman"/>
                        </w:rPr>
                        <w:t xml:space="preserve"> Edwards painting </w:t>
                      </w:r>
                      <w:r w:rsidR="000719F8">
                        <w:rPr>
                          <w:rFonts w:ascii="Times New Roman" w:hAnsi="Times New Roman" w:cs="Times New Roman"/>
                        </w:rPr>
                        <w:t xml:space="preserve">that </w:t>
                      </w:r>
                      <w:r w:rsidR="000719F8" w:rsidRPr="003A1275">
                        <w:rPr>
                          <w:rFonts w:ascii="Times New Roman" w:hAnsi="Times New Roman" w:cs="Times New Roman"/>
                        </w:rPr>
                        <w:t>depict</w:t>
                      </w:r>
                      <w:r w:rsidR="000719F8">
                        <w:rPr>
                          <w:rFonts w:ascii="Times New Roman" w:hAnsi="Times New Roman" w:cs="Times New Roman"/>
                        </w:rPr>
                        <w:t>s</w:t>
                      </w:r>
                      <w:r w:rsidR="000719F8" w:rsidRPr="003A1275">
                        <w:rPr>
                          <w:rFonts w:ascii="Times New Roman" w:hAnsi="Times New Roman" w:cs="Times New Roman"/>
                        </w:rPr>
                        <w:t xml:space="preserve"> German soldier running from Welsh Dragon. Above translation reads: the red dragon inspires action, 1916.</w:t>
                      </w:r>
                    </w:p>
                  </w:txbxContent>
                </v:textbox>
                <w10:wrap type="square" anchorx="margin"/>
              </v:shape>
            </w:pict>
          </mc:Fallback>
        </mc:AlternateContent>
      </w:r>
    </w:p>
    <w:p w14:paraId="4C6C2842" w14:textId="1911B2F9" w:rsidR="00586E5D" w:rsidRDefault="00586E5D" w:rsidP="00283E7E">
      <w:pPr>
        <w:spacing w:line="480" w:lineRule="auto"/>
        <w:jc w:val="both"/>
        <w:rPr>
          <w:rFonts w:ascii="Times New Roman" w:hAnsi="Times New Roman" w:cs="Times New Roman"/>
          <w:sz w:val="24"/>
        </w:rPr>
      </w:pPr>
    </w:p>
    <w:p w14:paraId="6458139C" w14:textId="433D5D3C" w:rsidR="00283E7E" w:rsidRDefault="007C429D" w:rsidP="00283E7E">
      <w:pPr>
        <w:spacing w:line="480" w:lineRule="auto"/>
        <w:jc w:val="both"/>
        <w:rPr>
          <w:rFonts w:ascii="Times New Roman" w:hAnsi="Times New Roman" w:cs="Times New Roman"/>
          <w:sz w:val="24"/>
        </w:rPr>
      </w:pPr>
      <w:r>
        <w:rPr>
          <w:rFonts w:ascii="Times New Roman" w:hAnsi="Times New Roman" w:cs="Times New Roman"/>
          <w:sz w:val="24"/>
        </w:rPr>
        <w:t xml:space="preserve">The </w:t>
      </w:r>
      <w:proofErr w:type="gramStart"/>
      <w:r>
        <w:rPr>
          <w:rFonts w:ascii="Times New Roman" w:hAnsi="Times New Roman" w:cs="Times New Roman"/>
          <w:sz w:val="24"/>
        </w:rPr>
        <w:t xml:space="preserve">aforementioned </w:t>
      </w:r>
      <w:r w:rsidR="00013930">
        <w:rPr>
          <w:rFonts w:ascii="Times New Roman" w:hAnsi="Times New Roman" w:cs="Times New Roman"/>
          <w:sz w:val="24"/>
        </w:rPr>
        <w:t>points</w:t>
      </w:r>
      <w:proofErr w:type="gramEnd"/>
      <w:r w:rsidR="00013930">
        <w:rPr>
          <w:rFonts w:ascii="Times New Roman" w:hAnsi="Times New Roman" w:cs="Times New Roman"/>
          <w:sz w:val="24"/>
        </w:rPr>
        <w:t xml:space="preserve"> </w:t>
      </w:r>
      <w:r>
        <w:rPr>
          <w:rFonts w:ascii="Times New Roman" w:hAnsi="Times New Roman" w:cs="Times New Roman"/>
          <w:sz w:val="24"/>
        </w:rPr>
        <w:t xml:space="preserve">may prove Morgan’s statements within </w:t>
      </w:r>
      <w:r w:rsidRPr="007C429D">
        <w:rPr>
          <w:rFonts w:ascii="Times New Roman" w:hAnsi="Times New Roman" w:cs="Times New Roman"/>
          <w:i/>
          <w:sz w:val="24"/>
        </w:rPr>
        <w:t>Rebirth of a Nation</w:t>
      </w:r>
      <w:r>
        <w:rPr>
          <w:rFonts w:ascii="Times New Roman" w:hAnsi="Times New Roman" w:cs="Times New Roman"/>
          <w:sz w:val="24"/>
        </w:rPr>
        <w:t xml:space="preserve"> to be relevant. </w:t>
      </w:r>
      <w:r w:rsidR="00A24AF4">
        <w:rPr>
          <w:rFonts w:ascii="Times New Roman" w:hAnsi="Times New Roman" w:cs="Times New Roman"/>
          <w:sz w:val="24"/>
        </w:rPr>
        <w:t xml:space="preserve">In considering the image curated by </w:t>
      </w:r>
      <w:proofErr w:type="spellStart"/>
      <w:r w:rsidR="00832E53">
        <w:rPr>
          <w:rFonts w:ascii="Times New Roman" w:hAnsi="Times New Roman" w:cs="Times New Roman"/>
          <w:sz w:val="24"/>
        </w:rPr>
        <w:t>Kelt</w:t>
      </w:r>
      <w:proofErr w:type="spellEnd"/>
      <w:r w:rsidR="00832E53">
        <w:rPr>
          <w:rFonts w:ascii="Times New Roman" w:hAnsi="Times New Roman" w:cs="Times New Roman"/>
          <w:sz w:val="24"/>
        </w:rPr>
        <w:t xml:space="preserve"> </w:t>
      </w:r>
      <w:r w:rsidR="00A24AF4">
        <w:rPr>
          <w:rFonts w:ascii="Times New Roman" w:hAnsi="Times New Roman" w:cs="Times New Roman"/>
          <w:sz w:val="24"/>
        </w:rPr>
        <w:t xml:space="preserve">Edwards, along with how the influence of political leaders would have on public opinion. The above image could also be related to Lloyd George’s speech at Queen’s Hall, advising the Welsh to embrace the war with the same fervour as their ancestors. </w:t>
      </w:r>
      <w:r w:rsidR="00915436">
        <w:rPr>
          <w:rFonts w:ascii="Times New Roman" w:hAnsi="Times New Roman" w:cs="Times New Roman"/>
          <w:sz w:val="24"/>
        </w:rPr>
        <w:t xml:space="preserve">The same ideology can be likened to the Welsh experience with Rourke’s drift, in which the Welsh saw substantial success. The militaristic feats of the past may have rekindled the Welsh passions, </w:t>
      </w:r>
      <w:r w:rsidR="00F97E50">
        <w:rPr>
          <w:rFonts w:ascii="Times New Roman" w:hAnsi="Times New Roman" w:cs="Times New Roman"/>
          <w:sz w:val="24"/>
        </w:rPr>
        <w:t xml:space="preserve">such as the legend that the Welsh had held strong against 2,000-3,000 Zulus. </w:t>
      </w:r>
      <w:r w:rsidR="007445A3">
        <w:rPr>
          <w:rFonts w:ascii="Times New Roman" w:hAnsi="Times New Roman" w:cs="Times New Roman"/>
          <w:sz w:val="24"/>
        </w:rPr>
        <w:t xml:space="preserve">Lieutenant </w:t>
      </w:r>
      <w:r w:rsidR="00F97E50">
        <w:rPr>
          <w:rFonts w:ascii="Times New Roman" w:hAnsi="Times New Roman" w:cs="Times New Roman"/>
          <w:sz w:val="24"/>
        </w:rPr>
        <w:t>Wil</w:t>
      </w:r>
      <w:r w:rsidR="007B48BD">
        <w:rPr>
          <w:rFonts w:ascii="Times New Roman" w:hAnsi="Times New Roman" w:cs="Times New Roman"/>
          <w:sz w:val="24"/>
        </w:rPr>
        <w:t>fred</w:t>
      </w:r>
      <w:r w:rsidR="00F97E50">
        <w:rPr>
          <w:rFonts w:ascii="Times New Roman" w:hAnsi="Times New Roman" w:cs="Times New Roman"/>
          <w:sz w:val="24"/>
        </w:rPr>
        <w:t xml:space="preserve"> Heaton’s </w:t>
      </w:r>
      <w:r w:rsidR="007445A3">
        <w:rPr>
          <w:rFonts w:ascii="Times New Roman" w:hAnsi="Times New Roman" w:cs="Times New Roman"/>
          <w:sz w:val="24"/>
        </w:rPr>
        <w:t>personal diaries from the Zulu conflict</w:t>
      </w:r>
      <w:r w:rsidR="009D1A98">
        <w:rPr>
          <w:rFonts w:ascii="Times New Roman" w:hAnsi="Times New Roman" w:cs="Times New Roman"/>
          <w:sz w:val="24"/>
        </w:rPr>
        <w:t xml:space="preserve"> are reminiscent of how the Welsh may remember such feats, as Heaton’s </w:t>
      </w:r>
      <w:r w:rsidR="00832E53">
        <w:rPr>
          <w:rFonts w:ascii="Times New Roman" w:hAnsi="Times New Roman" w:cs="Times New Roman"/>
          <w:sz w:val="24"/>
        </w:rPr>
        <w:t>successor</w:t>
      </w:r>
      <w:r w:rsidR="009D1A98">
        <w:rPr>
          <w:rFonts w:ascii="Times New Roman" w:hAnsi="Times New Roman" w:cs="Times New Roman"/>
          <w:sz w:val="24"/>
        </w:rPr>
        <w:t xml:space="preserve"> provide</w:t>
      </w:r>
      <w:r w:rsidR="00832E53">
        <w:rPr>
          <w:rFonts w:ascii="Times New Roman" w:hAnsi="Times New Roman" w:cs="Times New Roman"/>
          <w:sz w:val="24"/>
        </w:rPr>
        <w:t>s</w:t>
      </w:r>
      <w:r w:rsidR="009D1A98">
        <w:rPr>
          <w:rFonts w:ascii="Times New Roman" w:hAnsi="Times New Roman" w:cs="Times New Roman"/>
          <w:sz w:val="24"/>
        </w:rPr>
        <w:t xml:space="preserve"> a heartfelt </w:t>
      </w:r>
      <w:r w:rsidR="00832E53">
        <w:rPr>
          <w:rFonts w:ascii="Times New Roman" w:hAnsi="Times New Roman" w:cs="Times New Roman"/>
          <w:sz w:val="24"/>
        </w:rPr>
        <w:t xml:space="preserve">message of Heaton’s </w:t>
      </w:r>
      <w:r w:rsidR="009D1A98">
        <w:rPr>
          <w:rFonts w:ascii="Times New Roman" w:hAnsi="Times New Roman" w:cs="Times New Roman"/>
          <w:sz w:val="24"/>
        </w:rPr>
        <w:t xml:space="preserve">war experiences within Heaton’s </w:t>
      </w:r>
      <w:r w:rsidR="003C4191">
        <w:rPr>
          <w:rFonts w:ascii="Times New Roman" w:hAnsi="Times New Roman" w:cs="Times New Roman"/>
          <w:sz w:val="24"/>
        </w:rPr>
        <w:t>memoirs of the Boer War</w:t>
      </w:r>
      <w:r w:rsidR="009D1A98">
        <w:rPr>
          <w:rFonts w:ascii="Times New Roman" w:hAnsi="Times New Roman" w:cs="Times New Roman"/>
          <w:sz w:val="24"/>
        </w:rPr>
        <w:t>.</w:t>
      </w:r>
      <w:r w:rsidR="007445A3">
        <w:rPr>
          <w:rStyle w:val="FootnoteReference"/>
          <w:rFonts w:ascii="Times New Roman" w:hAnsi="Times New Roman" w:cs="Times New Roman"/>
          <w:sz w:val="24"/>
        </w:rPr>
        <w:footnoteReference w:id="20"/>
      </w:r>
      <w:r w:rsidR="007445A3">
        <w:rPr>
          <w:rFonts w:ascii="Times New Roman" w:hAnsi="Times New Roman" w:cs="Times New Roman"/>
          <w:sz w:val="24"/>
        </w:rPr>
        <w:t xml:space="preserve"> </w:t>
      </w:r>
    </w:p>
    <w:p w14:paraId="6D6ED0E3" w14:textId="560EFC55" w:rsidR="00C14FDD" w:rsidRPr="00007218" w:rsidRDefault="00283E7E" w:rsidP="00007218">
      <w:pPr>
        <w:spacing w:line="480" w:lineRule="auto"/>
        <w:ind w:firstLine="720"/>
        <w:jc w:val="both"/>
        <w:rPr>
          <w:rFonts w:ascii="Times New Roman" w:hAnsi="Times New Roman" w:cs="Times New Roman"/>
          <w:sz w:val="24"/>
        </w:rPr>
      </w:pPr>
      <w:r w:rsidRPr="00221961">
        <w:rPr>
          <w:rFonts w:ascii="Times New Roman" w:hAnsi="Times New Roman" w:cs="Times New Roman"/>
          <w:noProof/>
          <w:sz w:val="24"/>
          <w:szCs w:val="24"/>
        </w:rPr>
        <w:lastRenderedPageBreak/>
        <mc:AlternateContent>
          <mc:Choice Requires="wps">
            <w:drawing>
              <wp:anchor distT="45720" distB="45720" distL="114300" distR="114300" simplePos="0" relativeHeight="251660288" behindDoc="0" locked="0" layoutInCell="1" allowOverlap="1" wp14:anchorId="19CA0D18" wp14:editId="428ED655">
                <wp:simplePos x="0" y="0"/>
                <wp:positionH relativeFrom="margin">
                  <wp:posOffset>2199991</wp:posOffset>
                </wp:positionH>
                <wp:positionV relativeFrom="paragraph">
                  <wp:posOffset>3287206</wp:posOffset>
                </wp:positionV>
                <wp:extent cx="3669030" cy="440055"/>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9030" cy="440055"/>
                        </a:xfrm>
                        <a:prstGeom prst="rect">
                          <a:avLst/>
                        </a:prstGeom>
                        <a:solidFill>
                          <a:srgbClr val="FFFFFF"/>
                        </a:solidFill>
                        <a:ln w="9525">
                          <a:solidFill>
                            <a:srgbClr val="000000"/>
                          </a:solidFill>
                          <a:miter lim="800000"/>
                          <a:headEnd/>
                          <a:tailEnd/>
                        </a:ln>
                      </wps:spPr>
                      <wps:txbx>
                        <w:txbxContent>
                          <w:p w14:paraId="4CAE4376" w14:textId="66EA2B64" w:rsidR="000719F8" w:rsidRPr="001F624F" w:rsidRDefault="001F624F">
                            <w:pPr>
                              <w:rPr>
                                <w:rFonts w:ascii="Times New Roman" w:hAnsi="Times New Roman" w:cs="Times New Roman"/>
                              </w:rPr>
                            </w:pPr>
                            <w:r>
                              <w:rPr>
                                <w:rFonts w:ascii="Times New Roman" w:hAnsi="Times New Roman" w:cs="Times New Roman"/>
                              </w:rPr>
                              <w:t>Fig. 2: Jacqueline Banerjee’s p</w:t>
                            </w:r>
                            <w:r w:rsidRPr="001F624F">
                              <w:rPr>
                                <w:rFonts w:ascii="Times New Roman" w:hAnsi="Times New Roman" w:cs="Times New Roman"/>
                              </w:rPr>
                              <w:t>hotograph of the Boer War Memorial created by Albert Toft</w:t>
                            </w:r>
                            <w:r>
                              <w:rPr>
                                <w:rFonts w:ascii="Times New Roman" w:hAnsi="Times New Roman" w:cs="Times New Roman"/>
                              </w:rPr>
                              <w:t xml:space="preserve"> in</w:t>
                            </w:r>
                            <w:r w:rsidRPr="001F624F">
                              <w:rPr>
                                <w:rFonts w:ascii="Times New Roman" w:hAnsi="Times New Roman" w:cs="Times New Roman"/>
                              </w:rPr>
                              <w:t xml:space="preserve"> 1909</w:t>
                            </w:r>
                            <w:r>
                              <w:rPr>
                                <w:rFonts w:ascii="Times New Roman" w:hAnsi="Times New Roman" w:cs="Times New Roman"/>
                              </w:rPr>
                              <w:t>, Cardiff.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CA0D18" id="_x0000_s1027" type="#_x0000_t202" style="position:absolute;left:0;text-align:left;margin-left:173.25pt;margin-top:258.85pt;width:288.9pt;height:34.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">
                <v:textbox>
                  <w:txbxContent>
                    <w:p w14:paraId="4CAE4376" w14:textId="66EA2B64" w:rsidR="000719F8" w:rsidRPr="001F624F" w:rsidRDefault="001F624F">
                      <w:pPr>
                        <w:rPr>
                          <w:rFonts w:ascii="Times New Roman" w:hAnsi="Times New Roman" w:cs="Times New Roman"/>
                        </w:rPr>
                      </w:pPr>
                      <w:r>
                        <w:rPr>
                          <w:rFonts w:ascii="Times New Roman" w:hAnsi="Times New Roman" w:cs="Times New Roman"/>
                        </w:rPr>
                        <w:t>Fig. 2: Jacqueline Banerjee’s p</w:t>
                      </w:r>
                      <w:r w:rsidRPr="001F624F">
                        <w:rPr>
                          <w:rFonts w:ascii="Times New Roman" w:hAnsi="Times New Roman" w:cs="Times New Roman"/>
                        </w:rPr>
                        <w:t>hotograph of the Boer War Memorial created by Albert Toft</w:t>
                      </w:r>
                      <w:r>
                        <w:rPr>
                          <w:rFonts w:ascii="Times New Roman" w:hAnsi="Times New Roman" w:cs="Times New Roman"/>
                        </w:rPr>
                        <w:t xml:space="preserve"> in</w:t>
                      </w:r>
                      <w:r w:rsidRPr="001F624F">
                        <w:rPr>
                          <w:rFonts w:ascii="Times New Roman" w:hAnsi="Times New Roman" w:cs="Times New Roman"/>
                        </w:rPr>
                        <w:t xml:space="preserve"> 1909</w:t>
                      </w:r>
                      <w:r>
                        <w:rPr>
                          <w:rFonts w:ascii="Times New Roman" w:hAnsi="Times New Roman" w:cs="Times New Roman"/>
                        </w:rPr>
                        <w:t>, Cardiff.</w:t>
                      </w:r>
                    </w:p>
                  </w:txbxContent>
                </v:textbox>
                <w10:wrap type="square" anchorx="margin"/>
              </v:shape>
            </w:pict>
          </mc:Fallback>
        </mc:AlternateContent>
      </w:r>
      <w:r>
        <w:rPr>
          <w:noProof/>
        </w:rPr>
        <w:drawing>
          <wp:anchor distT="0" distB="0" distL="114300" distR="114300" simplePos="0" relativeHeight="251658240" behindDoc="1" locked="0" layoutInCell="1" allowOverlap="1" wp14:anchorId="1B9550A1" wp14:editId="778B6A56">
            <wp:simplePos x="0" y="0"/>
            <wp:positionH relativeFrom="margin">
              <wp:posOffset>2185184</wp:posOffset>
            </wp:positionH>
            <wp:positionV relativeFrom="paragraph">
              <wp:posOffset>728993</wp:posOffset>
            </wp:positionV>
            <wp:extent cx="3669030" cy="2494280"/>
            <wp:effectExtent l="0" t="0" r="7620" b="1270"/>
            <wp:wrapTight wrapText="bothSides">
              <wp:wrapPolygon edited="0">
                <wp:start x="0" y="0"/>
                <wp:lineTo x="0" y="21446"/>
                <wp:lineTo x="21533" y="21446"/>
                <wp:lineTo x="21533" y="0"/>
                <wp:lineTo x="0" y="0"/>
              </wp:wrapPolygon>
            </wp:wrapTight>
            <wp:docPr id="2" name="Picture 2" descr="A large white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9030" cy="2494280"/>
                    </a:xfrm>
                    <a:prstGeom prst="rect">
                      <a:avLst/>
                    </a:prstGeom>
                  </pic:spPr>
                </pic:pic>
              </a:graphicData>
            </a:graphic>
            <wp14:sizeRelH relativeFrom="page">
              <wp14:pctWidth>0</wp14:pctWidth>
            </wp14:sizeRelH>
            <wp14:sizeRelV relativeFrom="page">
              <wp14:pctHeight>0</wp14:pctHeight>
            </wp14:sizeRelV>
          </wp:anchor>
        </w:drawing>
      </w:r>
      <w:r w:rsidR="004C1733" w:rsidRPr="00261EB6">
        <w:rPr>
          <w:rFonts w:ascii="Times New Roman" w:hAnsi="Times New Roman" w:cs="Times New Roman"/>
          <w:sz w:val="24"/>
          <w:szCs w:val="24"/>
        </w:rPr>
        <w:t xml:space="preserve">The Boer War memorial in Cardiff is reminiscent of the grief that amassed communities after the war. Below the angel </w:t>
      </w:r>
      <w:r w:rsidR="00832E53">
        <w:rPr>
          <w:rFonts w:ascii="Times New Roman" w:hAnsi="Times New Roman" w:cs="Times New Roman"/>
          <w:sz w:val="24"/>
          <w:szCs w:val="24"/>
        </w:rPr>
        <w:t xml:space="preserve">atop of the memorial </w:t>
      </w:r>
      <w:r w:rsidR="004C1733" w:rsidRPr="00261EB6">
        <w:rPr>
          <w:rFonts w:ascii="Times New Roman" w:hAnsi="Times New Roman" w:cs="Times New Roman"/>
          <w:sz w:val="24"/>
          <w:szCs w:val="24"/>
        </w:rPr>
        <w:t>a man and women are situated—the female is the archetypal portrayal of the grieving mother, sweetheart, or sister. The male is the hero, depicting his role within the conflict and courage that he may have displayed. Names are included within the memorial, 817 in total.</w:t>
      </w:r>
      <w:r w:rsidR="004C1733" w:rsidRPr="00261EB6">
        <w:rPr>
          <w:rStyle w:val="FootnoteReference"/>
          <w:rFonts w:ascii="Times New Roman" w:hAnsi="Times New Roman" w:cs="Times New Roman"/>
          <w:sz w:val="24"/>
          <w:szCs w:val="24"/>
        </w:rPr>
        <w:footnoteReference w:id="21"/>
      </w:r>
      <w:r w:rsidR="009302A5" w:rsidRPr="00261EB6">
        <w:rPr>
          <w:rFonts w:ascii="Times New Roman" w:hAnsi="Times New Roman" w:cs="Times New Roman"/>
          <w:sz w:val="24"/>
          <w:szCs w:val="24"/>
        </w:rPr>
        <w:t xml:space="preserve"> Upon studying this memorial, is it </w:t>
      </w:r>
      <w:r w:rsidR="00950D40" w:rsidRPr="00261EB6">
        <w:rPr>
          <w:rFonts w:ascii="Times New Roman" w:hAnsi="Times New Roman" w:cs="Times New Roman"/>
          <w:sz w:val="24"/>
          <w:szCs w:val="24"/>
        </w:rPr>
        <w:t>representative</w:t>
      </w:r>
      <w:r w:rsidR="009302A5" w:rsidRPr="00261EB6">
        <w:rPr>
          <w:rFonts w:ascii="Times New Roman" w:hAnsi="Times New Roman" w:cs="Times New Roman"/>
          <w:sz w:val="24"/>
          <w:szCs w:val="24"/>
        </w:rPr>
        <w:t xml:space="preserve"> of the statements made by Morgan that suggest that the Welsh were largely pro-Boer war? To some extent, yes. </w:t>
      </w:r>
      <w:r w:rsidR="008E3FF3" w:rsidRPr="00261EB6">
        <w:rPr>
          <w:rFonts w:ascii="Times New Roman" w:hAnsi="Times New Roman" w:cs="Times New Roman"/>
          <w:sz w:val="24"/>
          <w:szCs w:val="24"/>
        </w:rPr>
        <w:t>However,</w:t>
      </w:r>
      <w:r w:rsidR="009302A5" w:rsidRPr="00261EB6">
        <w:rPr>
          <w:rFonts w:ascii="Times New Roman" w:hAnsi="Times New Roman" w:cs="Times New Roman"/>
          <w:sz w:val="24"/>
          <w:szCs w:val="24"/>
        </w:rPr>
        <w:t xml:space="preserve"> this memorial is reflective of the lives that had been lost and</w:t>
      </w:r>
      <w:r>
        <w:rPr>
          <w:rFonts w:ascii="Times New Roman" w:hAnsi="Times New Roman" w:cs="Times New Roman"/>
          <w:sz w:val="24"/>
          <w:szCs w:val="24"/>
        </w:rPr>
        <w:t xml:space="preserve"> c</w:t>
      </w:r>
      <w:r w:rsidR="001B6EA2">
        <w:rPr>
          <w:rFonts w:ascii="Times New Roman" w:hAnsi="Times New Roman" w:cs="Times New Roman"/>
          <w:sz w:val="24"/>
          <w:szCs w:val="24"/>
        </w:rPr>
        <w:t xml:space="preserve">ommemorations for the </w:t>
      </w:r>
      <w:r>
        <w:rPr>
          <w:rFonts w:ascii="Times New Roman" w:hAnsi="Times New Roman" w:cs="Times New Roman"/>
          <w:sz w:val="24"/>
          <w:szCs w:val="24"/>
        </w:rPr>
        <w:t xml:space="preserve">war dead were </w:t>
      </w:r>
      <w:r w:rsidR="001B6EA2">
        <w:rPr>
          <w:rFonts w:ascii="Times New Roman" w:hAnsi="Times New Roman" w:cs="Times New Roman"/>
          <w:sz w:val="24"/>
          <w:szCs w:val="24"/>
        </w:rPr>
        <w:t>erected across the country, as can be seen with the unveiling of a ‘handsome brass tablet’ in St David’s Cathedral by Lord Penrhyn.</w:t>
      </w:r>
      <w:r w:rsidR="002B15AA">
        <w:rPr>
          <w:rStyle w:val="FootnoteReference"/>
          <w:rFonts w:ascii="Times New Roman" w:hAnsi="Times New Roman" w:cs="Times New Roman"/>
          <w:sz w:val="24"/>
          <w:szCs w:val="24"/>
        </w:rPr>
        <w:footnoteReference w:id="22"/>
      </w:r>
      <w:r w:rsidR="001B6EA2">
        <w:rPr>
          <w:rFonts w:ascii="Times New Roman" w:hAnsi="Times New Roman" w:cs="Times New Roman"/>
          <w:sz w:val="24"/>
          <w:szCs w:val="24"/>
        </w:rPr>
        <w:t xml:space="preserve"> The tablet documents the lives of those who had fought in the Boer </w:t>
      </w:r>
      <w:r w:rsidR="002B15AA">
        <w:rPr>
          <w:rFonts w:ascii="Times New Roman" w:hAnsi="Times New Roman" w:cs="Times New Roman"/>
          <w:sz w:val="24"/>
          <w:szCs w:val="24"/>
        </w:rPr>
        <w:t>W</w:t>
      </w:r>
      <w:r w:rsidR="001B6EA2">
        <w:rPr>
          <w:rFonts w:ascii="Times New Roman" w:hAnsi="Times New Roman" w:cs="Times New Roman"/>
          <w:sz w:val="24"/>
          <w:szCs w:val="24"/>
        </w:rPr>
        <w:t>ar, and Lord Penrhyn commends their bravery, as they had ‘at heart the future interests of the Welsh nation’.</w:t>
      </w:r>
      <w:r w:rsidR="001B6EA2">
        <w:rPr>
          <w:rStyle w:val="FootnoteReference"/>
          <w:rFonts w:ascii="Times New Roman" w:hAnsi="Times New Roman" w:cs="Times New Roman"/>
          <w:sz w:val="24"/>
          <w:szCs w:val="24"/>
        </w:rPr>
        <w:footnoteReference w:id="23"/>
      </w:r>
      <w:r w:rsidR="001B6EA2">
        <w:rPr>
          <w:rFonts w:ascii="Times New Roman" w:hAnsi="Times New Roman" w:cs="Times New Roman"/>
          <w:sz w:val="24"/>
          <w:szCs w:val="24"/>
        </w:rPr>
        <w:t xml:space="preserve"> From within the </w:t>
      </w:r>
      <w:r w:rsidR="001B6EA2" w:rsidRPr="001B6EA2">
        <w:rPr>
          <w:rFonts w:ascii="Times New Roman" w:hAnsi="Times New Roman" w:cs="Times New Roman"/>
          <w:i/>
          <w:sz w:val="24"/>
          <w:szCs w:val="24"/>
        </w:rPr>
        <w:t>Manchester Courier and Lancashire General</w:t>
      </w:r>
      <w:r w:rsidR="001B6EA2">
        <w:rPr>
          <w:rFonts w:ascii="Times New Roman" w:hAnsi="Times New Roman" w:cs="Times New Roman"/>
          <w:sz w:val="24"/>
          <w:szCs w:val="24"/>
        </w:rPr>
        <w:t xml:space="preserve"> the attitudes towards the war can be seen within Lord Penrhyn’s commendation of the Welsh that had fought, and in some regard his words may shape how pro-war feeling could be generated in due course, upon the arrival of the First World War.</w:t>
      </w:r>
    </w:p>
    <w:p w14:paraId="06545F92" w14:textId="270C1E3E" w:rsidR="000034E7" w:rsidRDefault="00D15FA4" w:rsidP="0001393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Were a majority of the Welsh pro-war for the African conflict? </w:t>
      </w:r>
      <w:r w:rsidR="006F5CF6">
        <w:rPr>
          <w:rFonts w:ascii="Times New Roman" w:hAnsi="Times New Roman" w:cs="Times New Roman"/>
          <w:sz w:val="24"/>
          <w:szCs w:val="24"/>
        </w:rPr>
        <w:t xml:space="preserve">As </w:t>
      </w:r>
      <w:r w:rsidR="00261EB6">
        <w:rPr>
          <w:rFonts w:ascii="Times New Roman" w:hAnsi="Times New Roman" w:cs="Times New Roman"/>
          <w:sz w:val="24"/>
          <w:szCs w:val="24"/>
        </w:rPr>
        <w:t>Arthur Davey</w:t>
      </w:r>
      <w:r w:rsidR="006F5CF6">
        <w:rPr>
          <w:rFonts w:ascii="Times New Roman" w:hAnsi="Times New Roman" w:cs="Times New Roman"/>
          <w:sz w:val="24"/>
          <w:szCs w:val="24"/>
        </w:rPr>
        <w:t xml:space="preserve"> states, the British seemed to have an affinity for</w:t>
      </w:r>
      <w:r w:rsidR="00261EB6">
        <w:rPr>
          <w:rFonts w:ascii="Times New Roman" w:hAnsi="Times New Roman" w:cs="Times New Roman"/>
          <w:sz w:val="24"/>
          <w:szCs w:val="24"/>
        </w:rPr>
        <w:t xml:space="preserve"> </w:t>
      </w:r>
      <w:r w:rsidR="00007FDD">
        <w:rPr>
          <w:rFonts w:ascii="Times New Roman" w:hAnsi="Times New Roman" w:cs="Times New Roman"/>
          <w:sz w:val="24"/>
          <w:szCs w:val="24"/>
        </w:rPr>
        <w:t>‘small peoples’, and this is furthered by Kenneth Morgan’s discussion that Welsh language press presented anti-Boer sentiments to the public on the basis that like the Boers, the Welsh too were victims of the colonialism perpetrated by the English.</w:t>
      </w:r>
      <w:r w:rsidR="00007FDD">
        <w:rPr>
          <w:rStyle w:val="FootnoteReference"/>
          <w:rFonts w:ascii="Times New Roman" w:hAnsi="Times New Roman" w:cs="Times New Roman"/>
          <w:sz w:val="24"/>
          <w:szCs w:val="24"/>
        </w:rPr>
        <w:footnoteReference w:id="24"/>
      </w:r>
      <w:r w:rsidR="00013930">
        <w:rPr>
          <w:rFonts w:ascii="Times New Roman" w:hAnsi="Times New Roman" w:cs="Times New Roman"/>
          <w:sz w:val="24"/>
          <w:szCs w:val="24"/>
        </w:rPr>
        <w:t xml:space="preserve"> </w:t>
      </w:r>
      <w:r w:rsidR="000034E7">
        <w:rPr>
          <w:rFonts w:ascii="Times New Roman" w:hAnsi="Times New Roman" w:cs="Times New Roman"/>
          <w:sz w:val="24"/>
          <w:szCs w:val="24"/>
        </w:rPr>
        <w:t>The concentration camps that were constructed due to the commands of Kitchener were a source of great agitation. Herbert Asquith however commended Kitchener within a House of Commons sitting in 1901, in which the recent administrations and situations regarding the Boer war were discussed.</w:t>
      </w:r>
    </w:p>
    <w:p w14:paraId="4A48C323" w14:textId="55AC1202" w:rsidR="000034E7" w:rsidRDefault="000034E7" w:rsidP="00E11419">
      <w:pPr>
        <w:pStyle w:val="Quote"/>
        <w:jc w:val="both"/>
        <w:rPr>
          <w:rFonts w:ascii="Times New Roman" w:hAnsi="Times New Roman" w:cs="Times New Roman"/>
          <w:i w:val="0"/>
          <w:color w:val="auto"/>
        </w:rPr>
      </w:pPr>
      <w:r w:rsidRPr="000034E7">
        <w:rPr>
          <w:rFonts w:ascii="Times New Roman" w:hAnsi="Times New Roman" w:cs="Times New Roman"/>
          <w:i w:val="0"/>
          <w:color w:val="auto"/>
        </w:rPr>
        <w:t>No praise, I think, can be too high, no appreciation can be too warm of the great work which Lord Kitchener has done in South Africa. He has displayed, under conditions of almost unexampled difficulty, a combination of energy and patience, of zeal and moderation which will always entitle him to a high place among the great soldiers of this country.</w:t>
      </w:r>
      <w:r>
        <w:rPr>
          <w:rStyle w:val="FootnoteReference"/>
          <w:rFonts w:ascii="Times New Roman" w:hAnsi="Times New Roman" w:cs="Times New Roman"/>
          <w:i w:val="0"/>
          <w:color w:val="auto"/>
        </w:rPr>
        <w:footnoteReference w:id="25"/>
      </w:r>
    </w:p>
    <w:p w14:paraId="453BA973" w14:textId="1CE068A3" w:rsidR="00E11419" w:rsidRDefault="00E11419" w:rsidP="00E11419"/>
    <w:p w14:paraId="26350517" w14:textId="0D95FED1" w:rsidR="000034E7" w:rsidRPr="00B368A7" w:rsidRDefault="00E11419" w:rsidP="00B368A7">
      <w:pPr>
        <w:spacing w:line="480" w:lineRule="auto"/>
        <w:jc w:val="both"/>
        <w:rPr>
          <w:rFonts w:ascii="Times New Roman" w:hAnsi="Times New Roman" w:cs="Times New Roman"/>
          <w:sz w:val="24"/>
        </w:rPr>
      </w:pPr>
      <w:r>
        <w:rPr>
          <w:rFonts w:ascii="Times New Roman" w:hAnsi="Times New Roman" w:cs="Times New Roman"/>
          <w:sz w:val="24"/>
        </w:rPr>
        <w:t>However, the attitude of Asquith was not one that correlated with the anti-Boer stances of the liberal Welsh.</w:t>
      </w:r>
      <w:r w:rsidR="008F3886">
        <w:rPr>
          <w:rFonts w:ascii="Times New Roman" w:hAnsi="Times New Roman" w:cs="Times New Roman"/>
          <w:sz w:val="24"/>
        </w:rPr>
        <w:t xml:space="preserve"> </w:t>
      </w:r>
      <w:r w:rsidR="00C455B3">
        <w:rPr>
          <w:rFonts w:ascii="Times New Roman" w:hAnsi="Times New Roman" w:cs="Times New Roman"/>
          <w:sz w:val="24"/>
        </w:rPr>
        <w:t>Davey writes that the pro-Boers would publicise war atrocities by reporting allegations of abuse, martial law injustices and the occurrences of farm burning.</w:t>
      </w:r>
      <w:r w:rsidR="00C455B3">
        <w:rPr>
          <w:rStyle w:val="FootnoteReference"/>
          <w:rFonts w:ascii="Times New Roman" w:hAnsi="Times New Roman" w:cs="Times New Roman"/>
          <w:sz w:val="24"/>
        </w:rPr>
        <w:footnoteReference w:id="26"/>
      </w:r>
      <w:r w:rsidR="00C455B3">
        <w:rPr>
          <w:rFonts w:ascii="Times New Roman" w:hAnsi="Times New Roman" w:cs="Times New Roman"/>
          <w:sz w:val="24"/>
        </w:rPr>
        <w:t xml:space="preserve"> The concentration camps designed to ‘flush out guerrillas’ were administered poorly, and it became a centre for disease.</w:t>
      </w:r>
      <w:r w:rsidR="008B4590">
        <w:rPr>
          <w:rStyle w:val="FootnoteReference"/>
          <w:rFonts w:ascii="Times New Roman" w:hAnsi="Times New Roman" w:cs="Times New Roman"/>
          <w:sz w:val="24"/>
        </w:rPr>
        <w:footnoteReference w:id="27"/>
      </w:r>
      <w:r w:rsidR="00C455B3">
        <w:rPr>
          <w:rFonts w:ascii="Times New Roman" w:hAnsi="Times New Roman" w:cs="Times New Roman"/>
          <w:sz w:val="24"/>
        </w:rPr>
        <w:t xml:space="preserve"> </w:t>
      </w:r>
      <w:r w:rsidR="008B4590">
        <w:rPr>
          <w:rFonts w:ascii="Times New Roman" w:hAnsi="Times New Roman" w:cs="Times New Roman"/>
          <w:sz w:val="24"/>
        </w:rPr>
        <w:t>The scale of people whom were sent to ‘perish in these concentration camps’ was huge, with Wessel claiming</w:t>
      </w:r>
      <w:r w:rsidR="00013930">
        <w:rPr>
          <w:rFonts w:ascii="Times New Roman" w:hAnsi="Times New Roman" w:cs="Times New Roman"/>
          <w:sz w:val="24"/>
        </w:rPr>
        <w:t xml:space="preserve"> that</w:t>
      </w:r>
      <w:r w:rsidR="008B4590">
        <w:rPr>
          <w:rFonts w:ascii="Times New Roman" w:hAnsi="Times New Roman" w:cs="Times New Roman"/>
          <w:sz w:val="24"/>
        </w:rPr>
        <w:t xml:space="preserve"> 26,000 women and children were to succumb to the tragic repercussions created by the British during the Boer </w:t>
      </w:r>
      <w:r w:rsidR="00E43DD6">
        <w:rPr>
          <w:rFonts w:ascii="Times New Roman" w:hAnsi="Times New Roman" w:cs="Times New Roman"/>
          <w:sz w:val="24"/>
        </w:rPr>
        <w:t>W</w:t>
      </w:r>
      <w:r w:rsidR="008B4590">
        <w:rPr>
          <w:rFonts w:ascii="Times New Roman" w:hAnsi="Times New Roman" w:cs="Times New Roman"/>
          <w:sz w:val="24"/>
        </w:rPr>
        <w:t>ar.</w:t>
      </w:r>
      <w:r w:rsidR="008B4590">
        <w:rPr>
          <w:rStyle w:val="FootnoteReference"/>
          <w:rFonts w:ascii="Times New Roman" w:hAnsi="Times New Roman" w:cs="Times New Roman"/>
          <w:sz w:val="24"/>
        </w:rPr>
        <w:footnoteReference w:id="28"/>
      </w:r>
      <w:r w:rsidR="008B4590">
        <w:rPr>
          <w:rFonts w:ascii="Times New Roman" w:hAnsi="Times New Roman" w:cs="Times New Roman"/>
          <w:sz w:val="24"/>
        </w:rPr>
        <w:t xml:space="preserve"> Such humanitarian issues </w:t>
      </w:r>
      <w:r w:rsidR="008B4590">
        <w:rPr>
          <w:rFonts w:ascii="Times New Roman" w:hAnsi="Times New Roman" w:cs="Times New Roman"/>
          <w:sz w:val="24"/>
        </w:rPr>
        <w:lastRenderedPageBreak/>
        <w:t>would have resonated with the public, leading to the anti-Boer agenda to be exaggerated even more so by emotive events perpetrated by the British.</w:t>
      </w:r>
    </w:p>
    <w:p w14:paraId="3860B271" w14:textId="3942D88F" w:rsidR="000034E7" w:rsidRDefault="000034E7" w:rsidP="009D1A98">
      <w:pPr>
        <w:spacing w:line="480" w:lineRule="auto"/>
        <w:ind w:firstLine="720"/>
        <w:jc w:val="both"/>
        <w:rPr>
          <w:rFonts w:ascii="Times New Roman" w:hAnsi="Times New Roman" w:cs="Times New Roman"/>
          <w:sz w:val="24"/>
        </w:rPr>
      </w:pPr>
      <w:proofErr w:type="gramStart"/>
      <w:r w:rsidRPr="00E11419">
        <w:rPr>
          <w:rFonts w:ascii="Times New Roman" w:hAnsi="Times New Roman" w:cs="Times New Roman"/>
          <w:sz w:val="24"/>
        </w:rPr>
        <w:t>In regards to</w:t>
      </w:r>
      <w:proofErr w:type="gramEnd"/>
      <w:r w:rsidRPr="00E11419">
        <w:rPr>
          <w:rFonts w:ascii="Times New Roman" w:hAnsi="Times New Roman" w:cs="Times New Roman"/>
          <w:sz w:val="24"/>
        </w:rPr>
        <w:t xml:space="preserve"> the First World War, </w:t>
      </w:r>
      <w:r w:rsidR="00E11419">
        <w:rPr>
          <w:rFonts w:ascii="Times New Roman" w:hAnsi="Times New Roman" w:cs="Times New Roman"/>
          <w:sz w:val="24"/>
        </w:rPr>
        <w:t xml:space="preserve">Lloyd George was an avid supporter. He made attempts to persuade Lord Kitchener to create an army corps specifically for the Welsh and this sense of nationalism </w:t>
      </w:r>
      <w:r w:rsidR="002B15AA">
        <w:rPr>
          <w:rFonts w:ascii="Times New Roman" w:hAnsi="Times New Roman" w:cs="Times New Roman"/>
          <w:sz w:val="24"/>
        </w:rPr>
        <w:t xml:space="preserve">curated to establish a </w:t>
      </w:r>
      <w:r w:rsidR="00E11419">
        <w:rPr>
          <w:rFonts w:ascii="Times New Roman" w:hAnsi="Times New Roman" w:cs="Times New Roman"/>
          <w:sz w:val="24"/>
        </w:rPr>
        <w:t>recognition of ‘Welshness’ is reiterated within his speech presented at Queens Hall</w:t>
      </w:r>
      <w:r w:rsidR="002B15AA">
        <w:rPr>
          <w:rFonts w:ascii="Times New Roman" w:hAnsi="Times New Roman" w:cs="Times New Roman"/>
          <w:sz w:val="24"/>
        </w:rPr>
        <w:t xml:space="preserve"> in </w:t>
      </w:r>
      <w:r w:rsidR="00E11419">
        <w:rPr>
          <w:rFonts w:ascii="Times New Roman" w:hAnsi="Times New Roman" w:cs="Times New Roman"/>
          <w:sz w:val="24"/>
        </w:rPr>
        <w:t xml:space="preserve">London. </w:t>
      </w:r>
    </w:p>
    <w:p w14:paraId="76308BC2" w14:textId="1EBF06AE" w:rsidR="00E11419" w:rsidRPr="00E11419" w:rsidRDefault="00E11419" w:rsidP="00961D5E">
      <w:pPr>
        <w:pStyle w:val="Quote"/>
        <w:spacing w:line="240" w:lineRule="auto"/>
        <w:jc w:val="both"/>
        <w:rPr>
          <w:rFonts w:ascii="Times New Roman" w:hAnsi="Times New Roman" w:cs="Times New Roman"/>
          <w:i w:val="0"/>
          <w:color w:val="auto"/>
        </w:rPr>
      </w:pPr>
      <w:r w:rsidRPr="00E11419">
        <w:rPr>
          <w:rFonts w:ascii="Times New Roman" w:hAnsi="Times New Roman" w:cs="Times New Roman"/>
          <w:i w:val="0"/>
          <w:color w:val="auto"/>
        </w:rPr>
        <w:t>Wales must continue doing her duty… I should like to see a Welsh Army in the field. I should like to see the race that faced the Normans for hundreds of years in a struggle for freedom, the race that helped to win Crecy…. Give a good taste of its quality in this struggle in Europe.</w:t>
      </w:r>
      <w:r>
        <w:rPr>
          <w:rStyle w:val="FootnoteReference"/>
          <w:rFonts w:ascii="Times New Roman" w:hAnsi="Times New Roman" w:cs="Times New Roman"/>
          <w:i w:val="0"/>
          <w:color w:val="auto"/>
        </w:rPr>
        <w:footnoteReference w:id="29"/>
      </w:r>
    </w:p>
    <w:p w14:paraId="7933AF68" w14:textId="0F3C549E" w:rsidR="000651F5" w:rsidRPr="009D1A98" w:rsidRDefault="0022572A" w:rsidP="009D1A98">
      <w:pPr>
        <w:spacing w:before="240" w:line="480" w:lineRule="auto"/>
        <w:jc w:val="both"/>
        <w:rPr>
          <w:rFonts w:ascii="Times New Roman" w:hAnsi="Times New Roman" w:cs="Times New Roman"/>
          <w:sz w:val="24"/>
        </w:rPr>
      </w:pPr>
      <w:r w:rsidRPr="002B15AA">
        <w:rPr>
          <w:rFonts w:ascii="Times New Roman" w:hAnsi="Times New Roman" w:cs="Times New Roman"/>
          <w:i/>
          <w:sz w:val="24"/>
        </w:rPr>
        <w:t>The North Wales Chronicle</w:t>
      </w:r>
      <w:r>
        <w:rPr>
          <w:rFonts w:ascii="Times New Roman" w:hAnsi="Times New Roman" w:cs="Times New Roman"/>
          <w:sz w:val="24"/>
        </w:rPr>
        <w:t xml:space="preserve"> reports the reactions of the crowds that stemmed from Lloyd George’s war cry. Cheers, long and loud, followed Lloyd George’s words. The Nonconformists, Wales’ men of peace, ‘stand in line with all the sons of the Empire in their stern resolve to put an end to the Prussian Junker’.</w:t>
      </w:r>
      <w:r>
        <w:rPr>
          <w:rStyle w:val="FootnoteReference"/>
          <w:rFonts w:ascii="Times New Roman" w:hAnsi="Times New Roman" w:cs="Times New Roman"/>
          <w:sz w:val="24"/>
        </w:rPr>
        <w:footnoteReference w:id="30"/>
      </w:r>
      <w:r>
        <w:rPr>
          <w:rFonts w:ascii="Times New Roman" w:hAnsi="Times New Roman" w:cs="Times New Roman"/>
          <w:sz w:val="24"/>
        </w:rPr>
        <w:t xml:space="preserve"> The </w:t>
      </w:r>
      <w:r w:rsidR="00961D5E">
        <w:rPr>
          <w:rFonts w:ascii="Times New Roman" w:hAnsi="Times New Roman" w:cs="Times New Roman"/>
          <w:sz w:val="24"/>
        </w:rPr>
        <w:t>Carmarthen</w:t>
      </w:r>
      <w:r>
        <w:rPr>
          <w:rFonts w:ascii="Times New Roman" w:hAnsi="Times New Roman" w:cs="Times New Roman"/>
          <w:sz w:val="24"/>
        </w:rPr>
        <w:t xml:space="preserve"> Journal too documents reactions to the speech, stating that the Welsh as a people had lived sheltered lives, and that </w:t>
      </w:r>
      <w:r w:rsidR="00AA009D">
        <w:rPr>
          <w:rFonts w:ascii="Times New Roman" w:hAnsi="Times New Roman" w:cs="Times New Roman"/>
          <w:sz w:val="24"/>
        </w:rPr>
        <w:t>a descent into a great war would serve to fuel the passions of duty and patriotism. The article itself is steeped with religious connotations, and the phrasing is strong. Such can be seen with the statement: ‘the great pinnacle of sacrifice pointing like a rugged finger to heaven’.</w:t>
      </w:r>
      <w:r w:rsidR="00AA009D">
        <w:rPr>
          <w:rStyle w:val="FootnoteReference"/>
          <w:rFonts w:ascii="Times New Roman" w:hAnsi="Times New Roman" w:cs="Times New Roman"/>
          <w:sz w:val="24"/>
        </w:rPr>
        <w:footnoteReference w:id="31"/>
      </w:r>
      <w:r w:rsidR="0073554B">
        <w:rPr>
          <w:rFonts w:ascii="Times New Roman" w:hAnsi="Times New Roman" w:cs="Times New Roman"/>
          <w:sz w:val="24"/>
        </w:rPr>
        <w:t xml:space="preserve"> This coincides with </w:t>
      </w:r>
      <w:r w:rsidR="00CB134B">
        <w:rPr>
          <w:rFonts w:ascii="Times New Roman" w:hAnsi="Times New Roman" w:cs="Times New Roman"/>
          <w:sz w:val="24"/>
        </w:rPr>
        <w:t>Morgan’s conclusion that in terms of war, the Welsh were a nation that had jingois</w:t>
      </w:r>
      <w:r w:rsidR="003D3060">
        <w:rPr>
          <w:rFonts w:ascii="Times New Roman" w:hAnsi="Times New Roman" w:cs="Times New Roman"/>
          <w:sz w:val="24"/>
        </w:rPr>
        <w:t>m</w:t>
      </w:r>
      <w:r w:rsidR="00CB134B">
        <w:rPr>
          <w:rFonts w:ascii="Times New Roman" w:hAnsi="Times New Roman" w:cs="Times New Roman"/>
          <w:sz w:val="24"/>
        </w:rPr>
        <w:t xml:space="preserve"> rooted </w:t>
      </w:r>
      <w:r w:rsidR="003D3060">
        <w:rPr>
          <w:rFonts w:ascii="Times New Roman" w:hAnsi="Times New Roman" w:cs="Times New Roman"/>
          <w:sz w:val="24"/>
        </w:rPr>
        <w:t xml:space="preserve">firmly </w:t>
      </w:r>
      <w:r w:rsidR="00CB134B">
        <w:rPr>
          <w:rFonts w:ascii="Times New Roman" w:hAnsi="Times New Roman" w:cs="Times New Roman"/>
          <w:sz w:val="24"/>
        </w:rPr>
        <w:t>within their society.</w:t>
      </w:r>
    </w:p>
    <w:p w14:paraId="359495CA" w14:textId="3FF3C576" w:rsidR="00315FD1" w:rsidRPr="003600FC" w:rsidRDefault="00315FD1" w:rsidP="009D1A98">
      <w:pPr>
        <w:spacing w:line="480" w:lineRule="auto"/>
        <w:ind w:firstLine="720"/>
        <w:jc w:val="both"/>
        <w:rPr>
          <w:rFonts w:ascii="Times New Roman" w:hAnsi="Times New Roman" w:cs="Times New Roman"/>
          <w:sz w:val="24"/>
          <w:szCs w:val="24"/>
        </w:rPr>
      </w:pPr>
      <w:r>
        <w:rPr>
          <w:rFonts w:ascii="Times New Roman" w:hAnsi="Times New Roman" w:cs="Times New Roman"/>
          <w:sz w:val="24"/>
        </w:rPr>
        <w:t xml:space="preserve">However, such reports of enthusiasm did not resonate with those that chose to take pacifist stances following the 1914 outbreak. Jones writes that pacifists in North and South </w:t>
      </w:r>
      <w:r>
        <w:rPr>
          <w:rFonts w:ascii="Times New Roman" w:hAnsi="Times New Roman" w:cs="Times New Roman"/>
          <w:sz w:val="24"/>
        </w:rPr>
        <w:lastRenderedPageBreak/>
        <w:t xml:space="preserve">Wales continued in their endeavours to promote anti-war propaganda </w:t>
      </w:r>
      <w:proofErr w:type="gramStart"/>
      <w:r>
        <w:rPr>
          <w:rFonts w:ascii="Times New Roman" w:hAnsi="Times New Roman" w:cs="Times New Roman"/>
          <w:sz w:val="24"/>
        </w:rPr>
        <w:t>as a means to</w:t>
      </w:r>
      <w:proofErr w:type="gramEnd"/>
      <w:r>
        <w:rPr>
          <w:rFonts w:ascii="Times New Roman" w:hAnsi="Times New Roman" w:cs="Times New Roman"/>
          <w:sz w:val="24"/>
        </w:rPr>
        <w:t xml:space="preserve"> oppose militarism in its entirety.</w:t>
      </w:r>
      <w:r>
        <w:rPr>
          <w:rStyle w:val="FootnoteReference"/>
          <w:rFonts w:ascii="Times New Roman" w:hAnsi="Times New Roman" w:cs="Times New Roman"/>
          <w:sz w:val="24"/>
        </w:rPr>
        <w:footnoteReference w:id="32"/>
      </w:r>
      <w:r>
        <w:rPr>
          <w:rFonts w:ascii="Times New Roman" w:hAnsi="Times New Roman" w:cs="Times New Roman"/>
          <w:sz w:val="24"/>
        </w:rPr>
        <w:t xml:space="preserve"> He used the Independent Labour Party as an example of such outlooks, whom held meetings regularly to act open their public opposition to militarism. Even so, Jones established that said opposition was only seen from a minority within South Wales and that like the rest of Britain, Wales rejected ‘extreme pacifism’.</w:t>
      </w:r>
      <w:r>
        <w:rPr>
          <w:rStyle w:val="FootnoteReference"/>
          <w:rFonts w:ascii="Times New Roman" w:hAnsi="Times New Roman" w:cs="Times New Roman"/>
          <w:sz w:val="24"/>
        </w:rPr>
        <w:footnoteReference w:id="33"/>
      </w:r>
      <w:r>
        <w:rPr>
          <w:rFonts w:ascii="Times New Roman" w:hAnsi="Times New Roman" w:cs="Times New Roman"/>
          <w:sz w:val="24"/>
        </w:rPr>
        <w:t xml:space="preserve"> The outbreak of First World War had a</w:t>
      </w:r>
      <w:r w:rsidR="002B15AA">
        <w:rPr>
          <w:rFonts w:ascii="Times New Roman" w:hAnsi="Times New Roman" w:cs="Times New Roman"/>
          <w:sz w:val="24"/>
        </w:rPr>
        <w:t xml:space="preserve"> </w:t>
      </w:r>
      <w:r>
        <w:rPr>
          <w:rFonts w:ascii="Times New Roman" w:hAnsi="Times New Roman" w:cs="Times New Roman"/>
          <w:sz w:val="24"/>
        </w:rPr>
        <w:t>disastrous effect on peace societies, as mobs stormed peace meetings</w:t>
      </w:r>
      <w:r w:rsidR="002B15AA">
        <w:rPr>
          <w:rFonts w:ascii="Times New Roman" w:hAnsi="Times New Roman" w:cs="Times New Roman"/>
          <w:sz w:val="24"/>
        </w:rPr>
        <w:t>. T</w:t>
      </w:r>
      <w:r>
        <w:rPr>
          <w:rFonts w:ascii="Times New Roman" w:hAnsi="Times New Roman" w:cs="Times New Roman"/>
          <w:sz w:val="24"/>
        </w:rPr>
        <w:t xml:space="preserve">he Labour Party at this time had flipped their previous agenda and were now of a pro-war stance due to adhering to the needs of the nation. For supporters of peace, this would have been </w:t>
      </w:r>
      <w:r w:rsidR="002B15AA">
        <w:rPr>
          <w:rFonts w:ascii="Times New Roman" w:hAnsi="Times New Roman" w:cs="Times New Roman"/>
          <w:sz w:val="24"/>
        </w:rPr>
        <w:t>a</w:t>
      </w:r>
      <w:r>
        <w:rPr>
          <w:rFonts w:ascii="Times New Roman" w:hAnsi="Times New Roman" w:cs="Times New Roman"/>
          <w:sz w:val="24"/>
        </w:rPr>
        <w:t xml:space="preserve"> form of agitation. Another lies in the form of the church, such as the Rev. John Williams appealing to the Welshmen to serve their King and country.</w:t>
      </w:r>
      <w:r>
        <w:rPr>
          <w:rStyle w:val="FootnoteReference"/>
          <w:rFonts w:ascii="Times New Roman" w:hAnsi="Times New Roman" w:cs="Times New Roman"/>
          <w:sz w:val="24"/>
        </w:rPr>
        <w:footnoteReference w:id="34"/>
      </w:r>
      <w:r>
        <w:rPr>
          <w:rFonts w:ascii="Times New Roman" w:hAnsi="Times New Roman" w:cs="Times New Roman"/>
          <w:sz w:val="24"/>
        </w:rPr>
        <w:t xml:space="preserve"> </w:t>
      </w:r>
      <w:r w:rsidR="003600FC">
        <w:rPr>
          <w:rFonts w:ascii="Times New Roman" w:hAnsi="Times New Roman" w:cs="Times New Roman"/>
          <w:sz w:val="24"/>
          <w:szCs w:val="24"/>
        </w:rPr>
        <w:t xml:space="preserve">As previously mentioned, Davey discusses how the </w:t>
      </w:r>
      <w:r w:rsidR="002B15AA">
        <w:rPr>
          <w:rFonts w:ascii="Times New Roman" w:hAnsi="Times New Roman" w:cs="Times New Roman"/>
          <w:sz w:val="24"/>
          <w:szCs w:val="24"/>
        </w:rPr>
        <w:t>c</w:t>
      </w:r>
      <w:r w:rsidR="003600FC">
        <w:rPr>
          <w:rFonts w:ascii="Times New Roman" w:hAnsi="Times New Roman" w:cs="Times New Roman"/>
          <w:sz w:val="24"/>
          <w:szCs w:val="24"/>
        </w:rPr>
        <w:t xml:space="preserve">hurch took an anti-Boer stance. The religious stance undertaken by institutions during the First World War differed from the Boer War and is a clear display of how the </w:t>
      </w:r>
      <w:r w:rsidR="002B15AA">
        <w:rPr>
          <w:rFonts w:ascii="Times New Roman" w:hAnsi="Times New Roman" w:cs="Times New Roman"/>
          <w:sz w:val="24"/>
          <w:szCs w:val="24"/>
        </w:rPr>
        <w:t>religious institutions</w:t>
      </w:r>
      <w:r w:rsidR="003600FC">
        <w:rPr>
          <w:rFonts w:ascii="Times New Roman" w:hAnsi="Times New Roman" w:cs="Times New Roman"/>
          <w:sz w:val="24"/>
          <w:szCs w:val="24"/>
        </w:rPr>
        <w:t xml:space="preserve"> had switched in terms of their </w:t>
      </w:r>
      <w:r w:rsidR="002B15AA">
        <w:rPr>
          <w:rFonts w:ascii="Times New Roman" w:hAnsi="Times New Roman" w:cs="Times New Roman"/>
          <w:sz w:val="24"/>
          <w:szCs w:val="24"/>
        </w:rPr>
        <w:t xml:space="preserve">initial </w:t>
      </w:r>
      <w:r w:rsidR="003600FC">
        <w:rPr>
          <w:rFonts w:ascii="Times New Roman" w:hAnsi="Times New Roman" w:cs="Times New Roman"/>
          <w:sz w:val="24"/>
          <w:szCs w:val="24"/>
        </w:rPr>
        <w:t>principles</w:t>
      </w:r>
      <w:r w:rsidR="002B15AA">
        <w:rPr>
          <w:rFonts w:ascii="Times New Roman" w:hAnsi="Times New Roman" w:cs="Times New Roman"/>
          <w:sz w:val="24"/>
          <w:szCs w:val="24"/>
        </w:rPr>
        <w:t>.</w:t>
      </w:r>
    </w:p>
    <w:p w14:paraId="7E6B1608" w14:textId="327658A0" w:rsidR="00F71D04" w:rsidRDefault="000651F5" w:rsidP="00F827F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Within </w:t>
      </w:r>
      <w:r w:rsidRPr="00961D5E">
        <w:rPr>
          <w:rFonts w:ascii="Times New Roman" w:hAnsi="Times New Roman" w:cs="Times New Roman"/>
          <w:i/>
          <w:sz w:val="24"/>
          <w:szCs w:val="24"/>
        </w:rPr>
        <w:t>Wales and a Quest for Peace</w:t>
      </w:r>
      <w:r>
        <w:rPr>
          <w:rFonts w:ascii="Times New Roman" w:hAnsi="Times New Roman" w:cs="Times New Roman"/>
          <w:sz w:val="24"/>
          <w:szCs w:val="24"/>
        </w:rPr>
        <w:t>,</w:t>
      </w:r>
      <w:r w:rsidR="00840253">
        <w:rPr>
          <w:rFonts w:ascii="Times New Roman" w:hAnsi="Times New Roman" w:cs="Times New Roman"/>
          <w:sz w:val="24"/>
          <w:szCs w:val="24"/>
        </w:rPr>
        <w:t xml:space="preserve"> which includes a</w:t>
      </w:r>
      <w:r>
        <w:rPr>
          <w:rFonts w:ascii="Times New Roman" w:hAnsi="Times New Roman" w:cs="Times New Roman"/>
          <w:sz w:val="24"/>
          <w:szCs w:val="24"/>
        </w:rPr>
        <w:t xml:space="preserve"> nod to Morgan’s’ work, Jones discusses the connection of peace movements in Wales to the growth of political nonconformity.</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He creates this argument with the inclusion of the Swansea and Neath Peace Society, which was vehement in its belief that the war was immoral and juxtaposed Christian standards. This is yet another strand of pacifism that stems from the Boer </w:t>
      </w:r>
      <w:r w:rsidR="00013930">
        <w:rPr>
          <w:rFonts w:ascii="Times New Roman" w:hAnsi="Times New Roman" w:cs="Times New Roman"/>
          <w:sz w:val="24"/>
          <w:szCs w:val="24"/>
        </w:rPr>
        <w:t>W</w:t>
      </w:r>
      <w:r>
        <w:rPr>
          <w:rFonts w:ascii="Times New Roman" w:hAnsi="Times New Roman" w:cs="Times New Roman"/>
          <w:sz w:val="24"/>
          <w:szCs w:val="24"/>
        </w:rPr>
        <w:t>ar, and the popularisation of the conflict within British press furthered the agitation of the Peace Society.</w:t>
      </w:r>
      <w:r>
        <w:rPr>
          <w:rStyle w:val="FootnoteReference"/>
          <w:rFonts w:ascii="Times New Roman" w:hAnsi="Times New Roman" w:cs="Times New Roman"/>
          <w:sz w:val="24"/>
          <w:szCs w:val="24"/>
        </w:rPr>
        <w:footnoteReference w:id="36"/>
      </w:r>
      <w:r w:rsidR="00F71D04" w:rsidRPr="00C14FDD">
        <w:rPr>
          <w:rFonts w:ascii="Times New Roman" w:hAnsi="Times New Roman" w:cs="Times New Roman"/>
          <w:b/>
          <w:sz w:val="24"/>
          <w:szCs w:val="24"/>
          <w:u w:val="single"/>
        </w:rPr>
        <w:br w:type="textWrapping" w:clear="all"/>
      </w:r>
      <w:r w:rsidR="00F71D04">
        <w:rPr>
          <w:rFonts w:ascii="Times New Roman" w:hAnsi="Times New Roman" w:cs="Times New Roman"/>
          <w:sz w:val="24"/>
          <w:szCs w:val="24"/>
        </w:rPr>
        <w:t xml:space="preserve">Justification for the Boer </w:t>
      </w:r>
      <w:r w:rsidR="00F827FE">
        <w:rPr>
          <w:rFonts w:ascii="Times New Roman" w:hAnsi="Times New Roman" w:cs="Times New Roman"/>
          <w:sz w:val="24"/>
          <w:szCs w:val="24"/>
        </w:rPr>
        <w:t>W</w:t>
      </w:r>
      <w:r w:rsidR="00F71D04">
        <w:rPr>
          <w:rFonts w:ascii="Times New Roman" w:hAnsi="Times New Roman" w:cs="Times New Roman"/>
          <w:sz w:val="24"/>
          <w:szCs w:val="24"/>
        </w:rPr>
        <w:t xml:space="preserve">ar came as a conflict between religious and moral dynamics, furthering the agenda that war in Africa would be just </w:t>
      </w:r>
      <w:proofErr w:type="gramStart"/>
      <w:r w:rsidR="00F71D04">
        <w:rPr>
          <w:rFonts w:ascii="Times New Roman" w:hAnsi="Times New Roman" w:cs="Times New Roman"/>
          <w:sz w:val="24"/>
          <w:szCs w:val="24"/>
        </w:rPr>
        <w:t>on the grounds that</w:t>
      </w:r>
      <w:proofErr w:type="gramEnd"/>
      <w:r w:rsidR="00F71D04">
        <w:rPr>
          <w:rFonts w:ascii="Times New Roman" w:hAnsi="Times New Roman" w:cs="Times New Roman"/>
          <w:sz w:val="24"/>
          <w:szCs w:val="24"/>
        </w:rPr>
        <w:t xml:space="preserve"> it could be reinforced </w:t>
      </w:r>
      <w:r w:rsidR="00F71D04">
        <w:rPr>
          <w:rFonts w:ascii="Times New Roman" w:hAnsi="Times New Roman" w:cs="Times New Roman"/>
          <w:sz w:val="24"/>
          <w:szCs w:val="24"/>
        </w:rPr>
        <w:lastRenderedPageBreak/>
        <w:t>with spiritual connotations, thus making religion a key element of the anti-Boer argument.</w:t>
      </w:r>
      <w:r w:rsidR="00315FD1">
        <w:rPr>
          <w:rFonts w:ascii="Times New Roman" w:hAnsi="Times New Roman" w:cs="Times New Roman"/>
          <w:sz w:val="24"/>
          <w:szCs w:val="24"/>
        </w:rPr>
        <w:t xml:space="preserve"> Dr. Thomas Rees condemns how the Church had </w:t>
      </w:r>
      <w:r w:rsidR="000853BC">
        <w:rPr>
          <w:rFonts w:ascii="Times New Roman" w:hAnsi="Times New Roman" w:cs="Times New Roman"/>
          <w:sz w:val="24"/>
          <w:szCs w:val="24"/>
        </w:rPr>
        <w:t xml:space="preserve">succumbed so easily to serving the nation’s needs, as the </w:t>
      </w:r>
      <w:r w:rsidR="000853BC" w:rsidRPr="000853BC">
        <w:rPr>
          <w:rFonts w:ascii="Times New Roman" w:hAnsi="Times New Roman" w:cs="Times New Roman"/>
          <w:i/>
          <w:sz w:val="24"/>
          <w:szCs w:val="24"/>
        </w:rPr>
        <w:t>Herald of Peace</w:t>
      </w:r>
      <w:r w:rsidR="000853BC">
        <w:rPr>
          <w:rFonts w:ascii="Times New Roman" w:hAnsi="Times New Roman" w:cs="Times New Roman"/>
          <w:sz w:val="24"/>
          <w:szCs w:val="24"/>
        </w:rPr>
        <w:t xml:space="preserve"> writes that religious institutions had become hubs of recruiting stations.</w:t>
      </w:r>
      <w:r w:rsidR="000853BC">
        <w:rPr>
          <w:rStyle w:val="FootnoteReference"/>
          <w:rFonts w:ascii="Times New Roman" w:hAnsi="Times New Roman" w:cs="Times New Roman"/>
          <w:sz w:val="24"/>
          <w:szCs w:val="24"/>
        </w:rPr>
        <w:footnoteReference w:id="37"/>
      </w:r>
      <w:r w:rsidR="00F71D04">
        <w:rPr>
          <w:rFonts w:ascii="Times New Roman" w:hAnsi="Times New Roman" w:cs="Times New Roman"/>
          <w:sz w:val="24"/>
          <w:szCs w:val="24"/>
        </w:rPr>
        <w:t xml:space="preserve"> </w:t>
      </w:r>
      <w:r w:rsidR="000853BC">
        <w:rPr>
          <w:rFonts w:ascii="Times New Roman" w:hAnsi="Times New Roman" w:cs="Times New Roman"/>
          <w:sz w:val="24"/>
          <w:szCs w:val="24"/>
        </w:rPr>
        <w:t xml:space="preserve">As a man who held an extreme pacifist stance, Rees was attacked within his denomination for </w:t>
      </w:r>
      <w:proofErr w:type="gramStart"/>
      <w:r w:rsidR="000853BC">
        <w:rPr>
          <w:rFonts w:ascii="Times New Roman" w:hAnsi="Times New Roman" w:cs="Times New Roman"/>
          <w:sz w:val="24"/>
          <w:szCs w:val="24"/>
        </w:rPr>
        <w:t>protesting against</w:t>
      </w:r>
      <w:proofErr w:type="gramEnd"/>
      <w:r w:rsidR="000853BC">
        <w:rPr>
          <w:rFonts w:ascii="Times New Roman" w:hAnsi="Times New Roman" w:cs="Times New Roman"/>
          <w:sz w:val="24"/>
          <w:szCs w:val="24"/>
        </w:rPr>
        <w:t xml:space="preserve"> how the Church had gone against the primary principles of Christianity and was keen to pursue the state needs of war efforts.</w:t>
      </w:r>
      <w:r w:rsidR="000853BC">
        <w:rPr>
          <w:rStyle w:val="FootnoteReference"/>
          <w:rFonts w:ascii="Times New Roman" w:hAnsi="Times New Roman" w:cs="Times New Roman"/>
          <w:sz w:val="24"/>
          <w:szCs w:val="24"/>
        </w:rPr>
        <w:footnoteReference w:id="38"/>
      </w:r>
      <w:r w:rsidR="000853BC">
        <w:rPr>
          <w:rFonts w:ascii="Times New Roman" w:hAnsi="Times New Roman" w:cs="Times New Roman"/>
          <w:sz w:val="24"/>
          <w:szCs w:val="24"/>
        </w:rPr>
        <w:t xml:space="preserve"> </w:t>
      </w:r>
    </w:p>
    <w:p w14:paraId="13052AB6" w14:textId="08C17681" w:rsidR="005E4112" w:rsidRDefault="00D57720" w:rsidP="00F827FE">
      <w:pPr>
        <w:spacing w:before="240" w:line="480" w:lineRule="auto"/>
        <w:ind w:firstLine="720"/>
        <w:jc w:val="both"/>
        <w:rPr>
          <w:rFonts w:ascii="Times New Roman" w:hAnsi="Times New Roman" w:cs="Times New Roman"/>
          <w:sz w:val="24"/>
        </w:rPr>
      </w:pPr>
      <w:r>
        <w:rPr>
          <w:rFonts w:ascii="Times New Roman" w:hAnsi="Times New Roman" w:cs="Times New Roman"/>
          <w:sz w:val="24"/>
        </w:rPr>
        <w:t>In conclusion, it is evident that the writings of Kenneth Morgan ring true in many regards. The reports of the Welshmen present at David Lloyd George’s speeches present a feeling of nationalism, pride in ones’ own history and militaristic achievements. However, the pro-war stance in terms of the Boer and Great War was not all what it seems. In certain sectors of society, a conflict resided between religious and moral frameworks. The extreme pacifist became a symbol of opposition towards the war, deeming it so that suggesting t</w:t>
      </w:r>
      <w:r w:rsidR="002B15AA">
        <w:rPr>
          <w:rFonts w:ascii="Times New Roman" w:hAnsi="Times New Roman" w:cs="Times New Roman"/>
          <w:sz w:val="24"/>
        </w:rPr>
        <w:t>hat th</w:t>
      </w:r>
      <w:r>
        <w:rPr>
          <w:rFonts w:ascii="Times New Roman" w:hAnsi="Times New Roman" w:cs="Times New Roman"/>
          <w:sz w:val="24"/>
        </w:rPr>
        <w:t xml:space="preserve">e ‘welsh threw themselves into the war with gusto’ is not a statement that would have applied to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Welsh people. </w:t>
      </w:r>
      <w:r w:rsidR="00007218">
        <w:rPr>
          <w:rFonts w:ascii="Times New Roman" w:hAnsi="Times New Roman" w:cs="Times New Roman"/>
          <w:sz w:val="24"/>
        </w:rPr>
        <w:t xml:space="preserve">In all, war enthusiasm in Wales was related to the dominant issue of the day and </w:t>
      </w:r>
      <w:r w:rsidR="00047F8C">
        <w:rPr>
          <w:rFonts w:ascii="Times New Roman" w:hAnsi="Times New Roman" w:cs="Times New Roman"/>
          <w:sz w:val="24"/>
        </w:rPr>
        <w:t>differed between regions of the country.</w:t>
      </w:r>
      <w:r w:rsidR="00DC2199">
        <w:rPr>
          <w:rStyle w:val="FootnoteReference"/>
          <w:rFonts w:ascii="Times New Roman" w:hAnsi="Times New Roman" w:cs="Times New Roman"/>
          <w:sz w:val="24"/>
        </w:rPr>
        <w:footnoteReference w:id="39"/>
      </w:r>
      <w:r w:rsidR="00973804">
        <w:rPr>
          <w:rFonts w:ascii="Times New Roman" w:hAnsi="Times New Roman" w:cs="Times New Roman"/>
          <w:sz w:val="24"/>
        </w:rPr>
        <w:t xml:space="preserve"> </w:t>
      </w:r>
    </w:p>
    <w:p w14:paraId="5D80C5E5" w14:textId="0123A6A3" w:rsidR="0060000E" w:rsidRPr="00EC1C07" w:rsidRDefault="0060000E" w:rsidP="00EC1C07">
      <w:pPr>
        <w:spacing w:before="240" w:line="480" w:lineRule="auto"/>
        <w:ind w:firstLine="720"/>
        <w:jc w:val="center"/>
        <w:rPr>
          <w:rFonts w:ascii="Times New Roman" w:hAnsi="Times New Roman" w:cs="Times New Roman"/>
          <w:b/>
          <w:sz w:val="24"/>
          <w:u w:val="single"/>
        </w:rPr>
      </w:pPr>
      <w:r w:rsidRPr="00EC1C07">
        <w:rPr>
          <w:rFonts w:ascii="Times New Roman" w:hAnsi="Times New Roman" w:cs="Times New Roman"/>
          <w:b/>
          <w:sz w:val="24"/>
          <w:u w:val="single"/>
        </w:rPr>
        <w:t>Bibliography</w:t>
      </w:r>
    </w:p>
    <w:p w14:paraId="0ECABE31" w14:textId="005EEBF5" w:rsidR="00C8719A" w:rsidRPr="00C8719A" w:rsidRDefault="00C8719A" w:rsidP="00C8719A">
      <w:pPr>
        <w:spacing w:before="240" w:line="480" w:lineRule="auto"/>
        <w:jc w:val="both"/>
        <w:rPr>
          <w:rFonts w:ascii="Times New Roman" w:hAnsi="Times New Roman" w:cs="Times New Roman"/>
          <w:b/>
          <w:sz w:val="24"/>
          <w:u w:val="single"/>
        </w:rPr>
      </w:pPr>
      <w:r>
        <w:rPr>
          <w:rFonts w:ascii="Times New Roman" w:hAnsi="Times New Roman" w:cs="Times New Roman"/>
          <w:b/>
          <w:sz w:val="24"/>
          <w:u w:val="single"/>
        </w:rPr>
        <w:t>Images</w:t>
      </w:r>
    </w:p>
    <w:p w14:paraId="1C206846" w14:textId="60E044A9" w:rsidR="00C8719A" w:rsidRPr="00DA4CAC" w:rsidRDefault="00C8719A" w:rsidP="001F624F">
      <w:pPr>
        <w:pStyle w:val="NoSpacing"/>
        <w:rPr>
          <w:rFonts w:ascii="Times New Roman" w:hAnsi="Times New Roman" w:cs="Times New Roman"/>
          <w:sz w:val="24"/>
        </w:rPr>
      </w:pPr>
      <w:r w:rsidRPr="00DA4CAC">
        <w:rPr>
          <w:rFonts w:ascii="Times New Roman" w:hAnsi="Times New Roman" w:cs="Times New Roman"/>
          <w:sz w:val="24"/>
        </w:rPr>
        <w:t xml:space="preserve">Fig. 1: </w:t>
      </w:r>
      <w:r w:rsidR="001F624F" w:rsidRPr="00DA4CAC">
        <w:rPr>
          <w:rFonts w:ascii="Times New Roman" w:hAnsi="Times New Roman" w:cs="Times New Roman"/>
          <w:sz w:val="24"/>
        </w:rPr>
        <w:t>Edwards, K. ‘</w:t>
      </w:r>
      <w:r w:rsidRPr="00DA4CAC">
        <w:rPr>
          <w:rFonts w:ascii="Times New Roman" w:hAnsi="Times New Roman" w:cs="Times New Roman"/>
          <w:sz w:val="24"/>
        </w:rPr>
        <w:t xml:space="preserve">Y </w:t>
      </w:r>
      <w:proofErr w:type="spellStart"/>
      <w:r w:rsidRPr="00DA4CAC">
        <w:rPr>
          <w:rFonts w:ascii="Times New Roman" w:hAnsi="Times New Roman" w:cs="Times New Roman"/>
          <w:sz w:val="24"/>
        </w:rPr>
        <w:t>Draig</w:t>
      </w:r>
      <w:proofErr w:type="spellEnd"/>
      <w:r w:rsidRPr="00DA4CAC">
        <w:rPr>
          <w:rFonts w:ascii="Times New Roman" w:hAnsi="Times New Roman" w:cs="Times New Roman"/>
          <w:sz w:val="24"/>
        </w:rPr>
        <w:t xml:space="preserve"> Goch a </w:t>
      </w:r>
      <w:proofErr w:type="spellStart"/>
      <w:r w:rsidRPr="00DA4CAC">
        <w:rPr>
          <w:rFonts w:ascii="Times New Roman" w:hAnsi="Times New Roman" w:cs="Times New Roman"/>
          <w:sz w:val="24"/>
        </w:rPr>
        <w:t>Ddyry</w:t>
      </w:r>
      <w:proofErr w:type="spellEnd"/>
      <w:r w:rsidRPr="00DA4CAC">
        <w:rPr>
          <w:rFonts w:ascii="Times New Roman" w:hAnsi="Times New Roman" w:cs="Times New Roman"/>
          <w:sz w:val="24"/>
        </w:rPr>
        <w:t xml:space="preserve"> </w:t>
      </w:r>
      <w:proofErr w:type="spellStart"/>
      <w:r w:rsidRPr="00DA4CAC">
        <w:rPr>
          <w:rFonts w:ascii="Times New Roman" w:hAnsi="Times New Roman" w:cs="Times New Roman"/>
          <w:sz w:val="24"/>
        </w:rPr>
        <w:t>Gychwyen</w:t>
      </w:r>
      <w:proofErr w:type="spellEnd"/>
      <w:r w:rsidRPr="00DA4CAC">
        <w:rPr>
          <w:rFonts w:ascii="Times New Roman" w:hAnsi="Times New Roman" w:cs="Times New Roman"/>
          <w:sz w:val="24"/>
        </w:rPr>
        <w:t>’</w:t>
      </w:r>
      <w:r w:rsidR="001F624F" w:rsidRPr="00DA4CAC">
        <w:rPr>
          <w:rFonts w:ascii="Times New Roman" w:hAnsi="Times New Roman" w:cs="Times New Roman"/>
          <w:sz w:val="24"/>
        </w:rPr>
        <w:t>, (1914). Held by National Library of Wales, catalogue number: PZ03914.</w:t>
      </w:r>
    </w:p>
    <w:p w14:paraId="43EA2634" w14:textId="08C86EE9" w:rsidR="001F624F" w:rsidRPr="00DA4CAC" w:rsidRDefault="001F624F" w:rsidP="001F624F">
      <w:pPr>
        <w:pStyle w:val="NoSpacing"/>
        <w:rPr>
          <w:rFonts w:ascii="Times New Roman" w:hAnsi="Times New Roman" w:cs="Times New Roman"/>
          <w:sz w:val="24"/>
        </w:rPr>
      </w:pPr>
    </w:p>
    <w:p w14:paraId="0C53A834" w14:textId="54DE90F0" w:rsidR="001F624F" w:rsidRPr="00DA4CAC" w:rsidRDefault="001F624F" w:rsidP="001F624F">
      <w:pPr>
        <w:pStyle w:val="NoSpacing"/>
        <w:rPr>
          <w:rFonts w:ascii="Times New Roman" w:hAnsi="Times New Roman" w:cs="Times New Roman"/>
          <w:sz w:val="24"/>
        </w:rPr>
      </w:pPr>
      <w:r w:rsidRPr="00DA4CAC">
        <w:rPr>
          <w:rFonts w:ascii="Times New Roman" w:hAnsi="Times New Roman" w:cs="Times New Roman"/>
          <w:sz w:val="24"/>
        </w:rPr>
        <w:t xml:space="preserve">Fig. 2: Jacqueline Banerjee, Cardiff Boer War Memorial by Albert Toft (2009), [online]. Available at: </w:t>
      </w:r>
      <w:hyperlink r:id="rId10" w:history="1">
        <w:r w:rsidRPr="00DA4CAC">
          <w:rPr>
            <w:rStyle w:val="Hyperlink"/>
            <w:rFonts w:ascii="Times New Roman" w:hAnsi="Times New Roman" w:cs="Times New Roman"/>
            <w:color w:val="auto"/>
            <w:sz w:val="24"/>
          </w:rPr>
          <w:t>http://www.victorianweb.org/sculpture/toft/14.html</w:t>
        </w:r>
      </w:hyperlink>
      <w:r w:rsidRPr="00DA4CAC">
        <w:rPr>
          <w:rFonts w:ascii="Times New Roman" w:hAnsi="Times New Roman" w:cs="Times New Roman"/>
          <w:sz w:val="24"/>
        </w:rPr>
        <w:t>. (Accessed 20</w:t>
      </w:r>
      <w:r w:rsidRPr="00DA4CAC">
        <w:rPr>
          <w:rFonts w:ascii="Times New Roman" w:hAnsi="Times New Roman" w:cs="Times New Roman"/>
          <w:sz w:val="24"/>
          <w:vertAlign w:val="superscript"/>
        </w:rPr>
        <w:t>th</w:t>
      </w:r>
      <w:r w:rsidRPr="00DA4CAC">
        <w:rPr>
          <w:rFonts w:ascii="Times New Roman" w:hAnsi="Times New Roman" w:cs="Times New Roman"/>
          <w:sz w:val="24"/>
        </w:rPr>
        <w:t xml:space="preserve"> March 2018).</w:t>
      </w:r>
    </w:p>
    <w:p w14:paraId="0435D8A1" w14:textId="414C0A25" w:rsidR="007B48BD" w:rsidRPr="00DA4CAC" w:rsidRDefault="00EC1C07" w:rsidP="007B48BD">
      <w:pPr>
        <w:spacing w:before="240" w:line="480" w:lineRule="auto"/>
        <w:jc w:val="both"/>
        <w:rPr>
          <w:rFonts w:ascii="Times New Roman" w:hAnsi="Times New Roman" w:cs="Times New Roman"/>
          <w:b/>
          <w:sz w:val="24"/>
          <w:u w:val="single"/>
        </w:rPr>
      </w:pPr>
      <w:r w:rsidRPr="00DA4CAC">
        <w:rPr>
          <w:rFonts w:ascii="Times New Roman" w:hAnsi="Times New Roman" w:cs="Times New Roman"/>
          <w:b/>
          <w:sz w:val="24"/>
          <w:u w:val="single"/>
        </w:rPr>
        <w:lastRenderedPageBreak/>
        <w:t>Primary Sources</w:t>
      </w:r>
    </w:p>
    <w:p w14:paraId="0C866EE0" w14:textId="7215666A" w:rsidR="000719F8" w:rsidRPr="00DA4CAC" w:rsidRDefault="000719F8" w:rsidP="00113839">
      <w:pPr>
        <w:spacing w:line="240" w:lineRule="auto"/>
        <w:jc w:val="both"/>
        <w:rPr>
          <w:rFonts w:ascii="Times New Roman" w:hAnsi="Times New Roman" w:cs="Times New Roman"/>
          <w:sz w:val="24"/>
        </w:rPr>
      </w:pPr>
      <w:r w:rsidRPr="00DA4CAC">
        <w:rPr>
          <w:rFonts w:ascii="Times New Roman" w:hAnsi="Times New Roman" w:cs="Times New Roman"/>
          <w:sz w:val="24"/>
        </w:rPr>
        <w:t>CC 978-1051, Houses of Parliament. ‘South Africa—Conduct of the War: Present Situation; Recent Proclamations; Concentration Camps; Civil Administration’, 15</w:t>
      </w:r>
      <w:r w:rsidRPr="00DA4CAC">
        <w:rPr>
          <w:rFonts w:ascii="Times New Roman" w:hAnsi="Times New Roman" w:cs="Times New Roman"/>
          <w:sz w:val="24"/>
          <w:vertAlign w:val="superscript"/>
        </w:rPr>
        <w:t>th</w:t>
      </w:r>
      <w:r w:rsidRPr="00DA4CAC">
        <w:rPr>
          <w:rFonts w:ascii="Times New Roman" w:hAnsi="Times New Roman" w:cs="Times New Roman"/>
          <w:sz w:val="24"/>
        </w:rPr>
        <w:t xml:space="preserve"> August 1901, vol. 99.</w:t>
      </w:r>
    </w:p>
    <w:p w14:paraId="6CE52DD3" w14:textId="29CC964C" w:rsidR="007B48BD" w:rsidRPr="00DA4CAC" w:rsidRDefault="007B48BD" w:rsidP="007B48BD">
      <w:pPr>
        <w:pStyle w:val="NoSpacing"/>
        <w:rPr>
          <w:rFonts w:ascii="Times New Roman" w:hAnsi="Times New Roman" w:cs="Times New Roman"/>
          <w:sz w:val="24"/>
        </w:rPr>
      </w:pPr>
      <w:r w:rsidRPr="00DA4CAC">
        <w:rPr>
          <w:rFonts w:ascii="Times New Roman" w:hAnsi="Times New Roman" w:cs="Times New Roman"/>
          <w:sz w:val="24"/>
        </w:rPr>
        <w:t xml:space="preserve">IWM 2133, For Remembrance and in Honour of Those Who Lost Their Lives in the South African War 1899-1902, Cardiff, [online]. Available at: </w:t>
      </w:r>
      <w:hyperlink r:id="rId11" w:history="1">
        <w:r w:rsidRPr="00DA4CAC">
          <w:rPr>
            <w:rStyle w:val="Hyperlink"/>
            <w:rFonts w:ascii="Times New Roman" w:hAnsi="Times New Roman" w:cs="Times New Roman"/>
            <w:color w:val="auto"/>
            <w:sz w:val="24"/>
          </w:rPr>
          <w:t>https://www.iwm.org.uk/memorials/item/memorial/2133</w:t>
        </w:r>
      </w:hyperlink>
      <w:r w:rsidRPr="00DA4CAC">
        <w:rPr>
          <w:rFonts w:ascii="Times New Roman" w:hAnsi="Times New Roman" w:cs="Times New Roman"/>
          <w:sz w:val="24"/>
        </w:rPr>
        <w:t>. (Accessed 14</w:t>
      </w:r>
      <w:r w:rsidRPr="00DA4CAC">
        <w:rPr>
          <w:rFonts w:ascii="Times New Roman" w:hAnsi="Times New Roman" w:cs="Times New Roman"/>
          <w:sz w:val="24"/>
          <w:vertAlign w:val="superscript"/>
        </w:rPr>
        <w:t>th</w:t>
      </w:r>
      <w:r w:rsidRPr="00DA4CAC">
        <w:rPr>
          <w:rFonts w:ascii="Times New Roman" w:hAnsi="Times New Roman" w:cs="Times New Roman"/>
          <w:sz w:val="24"/>
        </w:rPr>
        <w:t xml:space="preserve"> March 2018).</w:t>
      </w:r>
    </w:p>
    <w:p w14:paraId="2F1BF59C" w14:textId="77777777" w:rsidR="007B48BD" w:rsidRPr="00DA4CAC" w:rsidRDefault="007B48BD" w:rsidP="007B48BD">
      <w:pPr>
        <w:pStyle w:val="FootnoteText"/>
      </w:pPr>
    </w:p>
    <w:p w14:paraId="7632BA7C" w14:textId="1329302B" w:rsidR="00113839" w:rsidRPr="00DA4CAC" w:rsidRDefault="00113839" w:rsidP="00113839">
      <w:pPr>
        <w:pStyle w:val="NoSpacing"/>
        <w:jc w:val="both"/>
        <w:rPr>
          <w:rFonts w:ascii="Times New Roman" w:hAnsi="Times New Roman" w:cs="Times New Roman"/>
          <w:sz w:val="24"/>
        </w:rPr>
      </w:pPr>
      <w:r w:rsidRPr="00DA4CAC">
        <w:rPr>
          <w:rFonts w:ascii="Times New Roman" w:hAnsi="Times New Roman" w:cs="Times New Roman"/>
          <w:sz w:val="24"/>
        </w:rPr>
        <w:t xml:space="preserve">J. Daniel, ‘The Carmarthen Journal and South Wales weekly advertiser’ (September 1914) held by National Library of Wales, [online]. Available at: </w:t>
      </w:r>
      <w:hyperlink r:id="rId12" w:history="1">
        <w:r w:rsidRPr="00DA4CAC">
          <w:rPr>
            <w:rStyle w:val="Hyperlink"/>
            <w:rFonts w:ascii="Times New Roman" w:hAnsi="Times New Roman" w:cs="Times New Roman"/>
            <w:color w:val="auto"/>
            <w:sz w:val="24"/>
            <w:u w:val="none"/>
          </w:rPr>
          <w:t>http://www.cymru1914.org/en/view/newspaper/3678363/6/ART79/</w:t>
        </w:r>
      </w:hyperlink>
      <w:r w:rsidRPr="00DA4CAC">
        <w:rPr>
          <w:rFonts w:ascii="Times New Roman" w:hAnsi="Times New Roman" w:cs="Times New Roman"/>
          <w:sz w:val="24"/>
        </w:rPr>
        <w:t>. (Accessed: 18th March 2018).</w:t>
      </w:r>
    </w:p>
    <w:p w14:paraId="2E29A4AF" w14:textId="77777777" w:rsidR="00113839" w:rsidRPr="00DA4CAC" w:rsidRDefault="00113839" w:rsidP="00113839">
      <w:pPr>
        <w:pStyle w:val="NoSpacing"/>
        <w:jc w:val="both"/>
        <w:rPr>
          <w:rFonts w:ascii="Times New Roman" w:hAnsi="Times New Roman" w:cs="Times New Roman"/>
          <w:sz w:val="24"/>
        </w:rPr>
      </w:pPr>
    </w:p>
    <w:p w14:paraId="7EAB22E2" w14:textId="77777777" w:rsidR="00C8719A" w:rsidRPr="00DA4CAC" w:rsidRDefault="00C8719A" w:rsidP="00C8719A">
      <w:pPr>
        <w:spacing w:line="240" w:lineRule="auto"/>
        <w:jc w:val="both"/>
        <w:rPr>
          <w:rFonts w:ascii="Times New Roman" w:eastAsia="Times New Roman" w:hAnsi="Times New Roman" w:cs="Times New Roman"/>
          <w:sz w:val="24"/>
          <w:szCs w:val="24"/>
        </w:rPr>
      </w:pPr>
      <w:proofErr w:type="spellStart"/>
      <w:r w:rsidRPr="00DA4CAC">
        <w:rPr>
          <w:rFonts w:ascii="Times New Roman" w:hAnsi="Times New Roman" w:cs="Times New Roman"/>
          <w:sz w:val="24"/>
          <w:szCs w:val="24"/>
        </w:rPr>
        <w:t>Kenmuir</w:t>
      </w:r>
      <w:proofErr w:type="spellEnd"/>
      <w:r w:rsidRPr="00DA4CAC">
        <w:rPr>
          <w:rFonts w:ascii="Times New Roman" w:hAnsi="Times New Roman" w:cs="Times New Roman"/>
          <w:sz w:val="24"/>
          <w:szCs w:val="24"/>
        </w:rPr>
        <w:t xml:space="preserve"> Whitworth Douglas, ‘</w:t>
      </w:r>
      <w:r w:rsidRPr="00DA4CAC">
        <w:rPr>
          <w:rFonts w:ascii="Times New Roman" w:hAnsi="Times New Roman" w:cs="Times New Roman"/>
          <w:sz w:val="24"/>
          <w:szCs w:val="24"/>
          <w:shd w:val="clear" w:color="auto" w:fill="FFFFFF"/>
        </w:rPr>
        <w:t xml:space="preserve">North Wales Chronicle and Advertiser for the Principality, (September 1914), held by National Library of Wales, [online]. Available at: </w:t>
      </w:r>
      <w:hyperlink r:id="rId13" w:history="1">
        <w:r w:rsidRPr="00DA4CAC">
          <w:rPr>
            <w:rStyle w:val="Hyperlink"/>
            <w:rFonts w:ascii="Times New Roman" w:hAnsi="Times New Roman" w:cs="Times New Roman"/>
            <w:color w:val="auto"/>
            <w:sz w:val="24"/>
            <w:szCs w:val="24"/>
          </w:rPr>
          <w:t>http://cymru1914.org/en/view/newspaper/4242682/1/ART20</w:t>
        </w:r>
      </w:hyperlink>
      <w:r w:rsidRPr="00DA4CAC">
        <w:rPr>
          <w:rFonts w:ascii="Times New Roman" w:hAnsi="Times New Roman" w:cs="Times New Roman"/>
          <w:sz w:val="24"/>
          <w:szCs w:val="24"/>
        </w:rPr>
        <w:t>. (Accessed: 18</w:t>
      </w:r>
      <w:r w:rsidRPr="00DA4CAC">
        <w:rPr>
          <w:rFonts w:ascii="Times New Roman" w:hAnsi="Times New Roman" w:cs="Times New Roman"/>
          <w:sz w:val="24"/>
          <w:szCs w:val="24"/>
          <w:vertAlign w:val="superscript"/>
        </w:rPr>
        <w:t>th</w:t>
      </w:r>
      <w:r w:rsidRPr="00DA4CAC">
        <w:rPr>
          <w:rFonts w:ascii="Times New Roman" w:hAnsi="Times New Roman" w:cs="Times New Roman"/>
          <w:sz w:val="24"/>
          <w:szCs w:val="24"/>
        </w:rPr>
        <w:t xml:space="preserve"> March 2018).</w:t>
      </w:r>
    </w:p>
    <w:p w14:paraId="43F0A7C0" w14:textId="02604520" w:rsidR="00113839" w:rsidRPr="00DA4CAC" w:rsidRDefault="00113839" w:rsidP="00113839">
      <w:pPr>
        <w:pStyle w:val="NoSpacing"/>
        <w:rPr>
          <w:rFonts w:ascii="Times New Roman" w:hAnsi="Times New Roman" w:cs="Times New Roman"/>
          <w:sz w:val="24"/>
        </w:rPr>
      </w:pPr>
      <w:r w:rsidRPr="00DA4CAC">
        <w:rPr>
          <w:rFonts w:ascii="Times New Roman" w:hAnsi="Times New Roman" w:cs="Times New Roman"/>
          <w:sz w:val="24"/>
        </w:rPr>
        <w:t>Lloyd George, D. The Great War speech delivered at the Queen's Hall, London, on 19</w:t>
      </w:r>
      <w:r w:rsidRPr="00DA4CAC">
        <w:rPr>
          <w:rFonts w:ascii="Times New Roman" w:hAnsi="Times New Roman" w:cs="Times New Roman"/>
          <w:sz w:val="24"/>
          <w:vertAlign w:val="superscript"/>
        </w:rPr>
        <w:t>th</w:t>
      </w:r>
      <w:r w:rsidRPr="00DA4CAC">
        <w:rPr>
          <w:rFonts w:ascii="Times New Roman" w:hAnsi="Times New Roman" w:cs="Times New Roman"/>
          <w:sz w:val="24"/>
        </w:rPr>
        <w:t xml:space="preserve"> September 1914, published by Toronto Hodder and Stoughton. </w:t>
      </w:r>
    </w:p>
    <w:p w14:paraId="42487DF8" w14:textId="77777777" w:rsidR="00113839" w:rsidRPr="00DA4CAC" w:rsidRDefault="00113839" w:rsidP="00113839">
      <w:pPr>
        <w:pStyle w:val="NoSpacing"/>
        <w:rPr>
          <w:rFonts w:ascii="Times New Roman" w:hAnsi="Times New Roman" w:cs="Times New Roman"/>
          <w:sz w:val="24"/>
        </w:rPr>
      </w:pPr>
    </w:p>
    <w:p w14:paraId="6F6629E8" w14:textId="77777777" w:rsidR="00113839" w:rsidRPr="00DA4CAC" w:rsidRDefault="00113839" w:rsidP="00113839">
      <w:pPr>
        <w:spacing w:line="240" w:lineRule="auto"/>
        <w:jc w:val="both"/>
        <w:rPr>
          <w:rFonts w:ascii="Times New Roman" w:hAnsi="Times New Roman" w:cs="Times New Roman"/>
          <w:sz w:val="24"/>
        </w:rPr>
      </w:pPr>
      <w:r w:rsidRPr="00DA4CAC">
        <w:rPr>
          <w:rFonts w:ascii="Times New Roman" w:hAnsi="Times New Roman" w:cs="Times New Roman"/>
          <w:sz w:val="24"/>
          <w:szCs w:val="24"/>
        </w:rPr>
        <w:t>The British Newspaper Archive, Manchester Courier and Lancashire General Advertiser Friday 15</w:t>
      </w:r>
      <w:r w:rsidRPr="00DA4CAC">
        <w:rPr>
          <w:rFonts w:ascii="Times New Roman" w:hAnsi="Times New Roman" w:cs="Times New Roman"/>
          <w:sz w:val="24"/>
          <w:szCs w:val="24"/>
          <w:vertAlign w:val="superscript"/>
        </w:rPr>
        <w:t>th</w:t>
      </w:r>
      <w:r w:rsidRPr="00DA4CAC">
        <w:rPr>
          <w:rFonts w:ascii="Times New Roman" w:hAnsi="Times New Roman" w:cs="Times New Roman"/>
          <w:sz w:val="24"/>
          <w:szCs w:val="24"/>
        </w:rPr>
        <w:t xml:space="preserve"> August 1902, British Library, [online]. Available at: </w:t>
      </w:r>
      <w:hyperlink r:id="rId14" w:history="1">
        <w:r w:rsidRPr="00DA4CAC">
          <w:rPr>
            <w:rStyle w:val="Hyperlink"/>
            <w:rFonts w:ascii="Times New Roman" w:hAnsi="Times New Roman" w:cs="Times New Roman"/>
            <w:color w:val="auto"/>
            <w:sz w:val="24"/>
            <w:szCs w:val="24"/>
          </w:rPr>
          <w:t>https://www.britishnewspaperarchive.co.uk/viewer/bl/0000206/19020815/034/0004</w:t>
        </w:r>
      </w:hyperlink>
      <w:r w:rsidRPr="00DA4CAC">
        <w:rPr>
          <w:rFonts w:ascii="Times New Roman" w:hAnsi="Times New Roman" w:cs="Times New Roman"/>
          <w:sz w:val="24"/>
          <w:szCs w:val="24"/>
        </w:rPr>
        <w:t>. (Accessed 14</w:t>
      </w:r>
      <w:r w:rsidRPr="00DA4CAC">
        <w:rPr>
          <w:rFonts w:ascii="Times New Roman" w:hAnsi="Times New Roman" w:cs="Times New Roman"/>
          <w:sz w:val="24"/>
          <w:szCs w:val="24"/>
          <w:vertAlign w:val="superscript"/>
        </w:rPr>
        <w:t>th</w:t>
      </w:r>
      <w:r w:rsidRPr="00DA4CAC">
        <w:rPr>
          <w:rFonts w:ascii="Times New Roman" w:hAnsi="Times New Roman" w:cs="Times New Roman"/>
          <w:sz w:val="24"/>
          <w:szCs w:val="24"/>
        </w:rPr>
        <w:t xml:space="preserve"> March 2018). </w:t>
      </w:r>
    </w:p>
    <w:p w14:paraId="066630AA" w14:textId="77777777" w:rsidR="00C8719A" w:rsidRPr="00DA4CAC" w:rsidRDefault="00C8719A" w:rsidP="00C8719A">
      <w:pPr>
        <w:pStyle w:val="FootnoteText"/>
        <w:jc w:val="both"/>
      </w:pPr>
    </w:p>
    <w:p w14:paraId="5864C64F" w14:textId="3FEE4DF9" w:rsidR="00EC1C07" w:rsidRPr="00DA4CAC" w:rsidRDefault="00EC1C07" w:rsidP="007B48BD">
      <w:pPr>
        <w:pStyle w:val="NoSpacing"/>
        <w:rPr>
          <w:rFonts w:ascii="Times New Roman" w:hAnsi="Times New Roman" w:cs="Times New Roman"/>
          <w:sz w:val="24"/>
          <w:szCs w:val="24"/>
        </w:rPr>
      </w:pPr>
    </w:p>
    <w:p w14:paraId="2CFD7B98" w14:textId="5BA4A4E4" w:rsidR="00EC1C07" w:rsidRPr="00DA4CAC" w:rsidRDefault="00EC1C07" w:rsidP="0060000E">
      <w:pPr>
        <w:spacing w:before="240" w:line="480" w:lineRule="auto"/>
        <w:jc w:val="both"/>
        <w:rPr>
          <w:rFonts w:ascii="Times New Roman" w:hAnsi="Times New Roman" w:cs="Times New Roman"/>
          <w:b/>
          <w:sz w:val="24"/>
          <w:u w:val="single"/>
        </w:rPr>
      </w:pPr>
      <w:r w:rsidRPr="00DA4CAC">
        <w:rPr>
          <w:rFonts w:ascii="Times New Roman" w:hAnsi="Times New Roman" w:cs="Times New Roman"/>
          <w:b/>
          <w:sz w:val="24"/>
          <w:u w:val="single"/>
        </w:rPr>
        <w:t>Secondary Sources</w:t>
      </w:r>
    </w:p>
    <w:p w14:paraId="69387EE2" w14:textId="3E4696E7" w:rsidR="007B48BD" w:rsidRPr="00DA4CAC" w:rsidRDefault="00C8719A"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Ashwood, </w:t>
      </w:r>
      <w:r w:rsidR="007B48BD" w:rsidRPr="00DA4CAC">
        <w:rPr>
          <w:rFonts w:ascii="Times New Roman" w:hAnsi="Times New Roman" w:cs="Times New Roman"/>
          <w:sz w:val="24"/>
        </w:rPr>
        <w:t>R.</w:t>
      </w:r>
      <w:r w:rsidRPr="00DA4CAC">
        <w:rPr>
          <w:rFonts w:ascii="Times New Roman" w:hAnsi="Times New Roman" w:cs="Times New Roman"/>
          <w:sz w:val="24"/>
        </w:rPr>
        <w:t>,</w:t>
      </w:r>
      <w:r w:rsidR="007B48BD" w:rsidRPr="00DA4CAC">
        <w:rPr>
          <w:rFonts w:ascii="Times New Roman" w:hAnsi="Times New Roman" w:cs="Times New Roman"/>
          <w:sz w:val="24"/>
        </w:rPr>
        <w:t xml:space="preserve"> </w:t>
      </w:r>
      <w:r w:rsidR="007B48BD" w:rsidRPr="00DA4CAC">
        <w:rPr>
          <w:rFonts w:ascii="Times New Roman" w:hAnsi="Times New Roman" w:cs="Times New Roman"/>
          <w:i/>
          <w:sz w:val="24"/>
        </w:rPr>
        <w:t>For Queen and Country: The Zulu War Diary of Lieutenant Wilfred Heaton</w:t>
      </w:r>
      <w:r w:rsidR="007B48BD" w:rsidRPr="00DA4CAC">
        <w:rPr>
          <w:rFonts w:ascii="Times New Roman" w:hAnsi="Times New Roman" w:cs="Times New Roman"/>
          <w:sz w:val="24"/>
        </w:rPr>
        <w:t xml:space="preserve"> (Darlington: Serendipity, 2005).</w:t>
      </w:r>
    </w:p>
    <w:p w14:paraId="13D4A806" w14:textId="77777777" w:rsidR="00C8719A" w:rsidRPr="00DA4CAC" w:rsidRDefault="00C8719A"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Davey, A., </w:t>
      </w:r>
      <w:r w:rsidRPr="00DA4CAC">
        <w:rPr>
          <w:rFonts w:ascii="Times New Roman" w:hAnsi="Times New Roman" w:cs="Times New Roman"/>
          <w:i/>
          <w:sz w:val="24"/>
        </w:rPr>
        <w:t>The British Pro-Boers 1877-1902</w:t>
      </w:r>
      <w:r w:rsidRPr="00DA4CAC">
        <w:rPr>
          <w:rFonts w:ascii="Times New Roman" w:hAnsi="Times New Roman" w:cs="Times New Roman"/>
          <w:sz w:val="24"/>
        </w:rPr>
        <w:t xml:space="preserve"> (</w:t>
      </w:r>
      <w:proofErr w:type="spellStart"/>
      <w:r w:rsidRPr="00DA4CAC">
        <w:rPr>
          <w:rFonts w:ascii="Times New Roman" w:hAnsi="Times New Roman" w:cs="Times New Roman"/>
          <w:sz w:val="24"/>
        </w:rPr>
        <w:t>Capetown</w:t>
      </w:r>
      <w:proofErr w:type="spellEnd"/>
      <w:r w:rsidRPr="00DA4CAC">
        <w:rPr>
          <w:rFonts w:ascii="Times New Roman" w:hAnsi="Times New Roman" w:cs="Times New Roman"/>
          <w:sz w:val="24"/>
        </w:rPr>
        <w:t xml:space="preserve">: </w:t>
      </w:r>
      <w:proofErr w:type="spellStart"/>
      <w:r w:rsidRPr="00DA4CAC">
        <w:rPr>
          <w:rFonts w:ascii="Times New Roman" w:hAnsi="Times New Roman" w:cs="Times New Roman"/>
          <w:sz w:val="24"/>
        </w:rPr>
        <w:t>Tafelberg</w:t>
      </w:r>
      <w:proofErr w:type="spellEnd"/>
      <w:r w:rsidRPr="00DA4CAC">
        <w:rPr>
          <w:rFonts w:ascii="Times New Roman" w:hAnsi="Times New Roman" w:cs="Times New Roman"/>
          <w:sz w:val="24"/>
        </w:rPr>
        <w:t>, 1978).</w:t>
      </w:r>
    </w:p>
    <w:p w14:paraId="4FBC6C84" w14:textId="3F2A32EC" w:rsidR="0060000E" w:rsidRPr="00DA4CAC" w:rsidRDefault="0060000E"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Davies, J., </w:t>
      </w:r>
      <w:r w:rsidRPr="00DA4CAC">
        <w:rPr>
          <w:rFonts w:ascii="Times New Roman" w:hAnsi="Times New Roman" w:cs="Times New Roman"/>
          <w:i/>
          <w:sz w:val="24"/>
        </w:rPr>
        <w:t>A History of Wales</w:t>
      </w:r>
      <w:r w:rsidRPr="00DA4CAC">
        <w:rPr>
          <w:rFonts w:ascii="Times New Roman" w:hAnsi="Times New Roman" w:cs="Times New Roman"/>
          <w:sz w:val="24"/>
        </w:rPr>
        <w:t xml:space="preserve"> (London: Penguin Books Ltd., 1994)</w:t>
      </w:r>
    </w:p>
    <w:p w14:paraId="7DF4CB41" w14:textId="77777777" w:rsidR="00C8719A" w:rsidRPr="00DA4CAC" w:rsidRDefault="00C8719A"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Gregory, A., </w:t>
      </w:r>
      <w:r w:rsidRPr="00DA4CAC">
        <w:rPr>
          <w:rFonts w:ascii="Times New Roman" w:hAnsi="Times New Roman" w:cs="Times New Roman"/>
          <w:i/>
          <w:sz w:val="24"/>
        </w:rPr>
        <w:t>The Last Great War</w:t>
      </w:r>
      <w:r w:rsidRPr="00DA4CAC">
        <w:rPr>
          <w:rFonts w:ascii="Times New Roman" w:hAnsi="Times New Roman" w:cs="Times New Roman"/>
          <w:sz w:val="24"/>
        </w:rPr>
        <w:t xml:space="preserve"> (Cambridge: Cambridge University Press, 2008).</w:t>
      </w:r>
    </w:p>
    <w:p w14:paraId="33267074" w14:textId="77777777" w:rsidR="00C8719A" w:rsidRPr="00DA4CAC" w:rsidRDefault="00C8719A"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Jones, G.J., </w:t>
      </w:r>
      <w:r w:rsidRPr="00DA4CAC">
        <w:rPr>
          <w:rFonts w:ascii="Times New Roman" w:hAnsi="Times New Roman" w:cs="Times New Roman"/>
          <w:i/>
          <w:sz w:val="24"/>
        </w:rPr>
        <w:t>Wales and a Quest for Peace</w:t>
      </w:r>
      <w:r w:rsidRPr="00DA4CAC">
        <w:rPr>
          <w:rFonts w:ascii="Times New Roman" w:hAnsi="Times New Roman" w:cs="Times New Roman"/>
          <w:sz w:val="24"/>
        </w:rPr>
        <w:t xml:space="preserve"> (Cowbridge: University of Wales Press, 1969).</w:t>
      </w:r>
    </w:p>
    <w:p w14:paraId="59F7FF2B" w14:textId="4AA832B3" w:rsidR="0060000E" w:rsidRPr="00DA4CAC" w:rsidRDefault="0060000E"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Morgan, K.O., </w:t>
      </w:r>
      <w:r w:rsidRPr="00DA4CAC">
        <w:rPr>
          <w:rFonts w:ascii="Times New Roman" w:hAnsi="Times New Roman" w:cs="Times New Roman"/>
          <w:i/>
          <w:sz w:val="24"/>
        </w:rPr>
        <w:t>Rebirth of a Nation</w:t>
      </w:r>
      <w:r w:rsidRPr="00DA4CAC">
        <w:rPr>
          <w:rFonts w:ascii="Times New Roman" w:hAnsi="Times New Roman" w:cs="Times New Roman"/>
          <w:sz w:val="24"/>
        </w:rPr>
        <w:t xml:space="preserve"> (Oxford: Oxford University Press, 1998).</w:t>
      </w:r>
    </w:p>
    <w:p w14:paraId="31ADC99B" w14:textId="3930F0A9" w:rsidR="00EC1C07" w:rsidRPr="00DA4CAC" w:rsidRDefault="00EC1C07"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Morgan, K.O., </w:t>
      </w:r>
      <w:r w:rsidRPr="00DA4CAC">
        <w:rPr>
          <w:rFonts w:ascii="Times New Roman" w:hAnsi="Times New Roman" w:cs="Times New Roman"/>
          <w:i/>
          <w:sz w:val="24"/>
        </w:rPr>
        <w:t>Modern Wales: Politics, Places and People</w:t>
      </w:r>
      <w:r w:rsidRPr="00DA4CAC">
        <w:rPr>
          <w:rFonts w:ascii="Times New Roman" w:hAnsi="Times New Roman" w:cs="Times New Roman"/>
          <w:sz w:val="24"/>
        </w:rPr>
        <w:t xml:space="preserve"> (Cardiff: Cardiff University Press, 1995).</w:t>
      </w:r>
    </w:p>
    <w:p w14:paraId="7D45553F" w14:textId="5CF857A1" w:rsidR="00C8719A" w:rsidRPr="00DA4CAC" w:rsidRDefault="00C8719A" w:rsidP="00113839">
      <w:pPr>
        <w:spacing w:before="240" w:line="240" w:lineRule="auto"/>
        <w:jc w:val="both"/>
        <w:rPr>
          <w:rFonts w:ascii="Times New Roman" w:hAnsi="Times New Roman" w:cs="Times New Roman"/>
          <w:sz w:val="24"/>
          <w:szCs w:val="24"/>
        </w:rPr>
      </w:pPr>
      <w:r w:rsidRPr="00DA4CAC">
        <w:rPr>
          <w:rFonts w:ascii="Times New Roman" w:hAnsi="Times New Roman" w:cs="Times New Roman"/>
          <w:sz w:val="24"/>
          <w:szCs w:val="24"/>
        </w:rPr>
        <w:t>Morgan, K.O., ‘The Boer War and the Media (1899-1902)’, Twentieth Century British History, vol. 13, Issue 1 (2002), pp. 1-16.</w:t>
      </w:r>
    </w:p>
    <w:p w14:paraId="4199F712" w14:textId="37DF2CFA" w:rsidR="00EC1C07" w:rsidRPr="00DA4CAC" w:rsidRDefault="00C16B98" w:rsidP="00113839">
      <w:pPr>
        <w:spacing w:before="240" w:line="240" w:lineRule="auto"/>
        <w:jc w:val="both"/>
        <w:rPr>
          <w:rFonts w:ascii="Times New Roman" w:hAnsi="Times New Roman" w:cs="Times New Roman"/>
          <w:sz w:val="24"/>
          <w:szCs w:val="24"/>
        </w:rPr>
      </w:pPr>
      <w:r w:rsidRPr="00DA4CAC">
        <w:rPr>
          <w:rFonts w:ascii="Times New Roman" w:hAnsi="Times New Roman" w:cs="Times New Roman"/>
          <w:sz w:val="24"/>
          <w:szCs w:val="24"/>
        </w:rPr>
        <w:lastRenderedPageBreak/>
        <w:t xml:space="preserve">Wessels, A. </w:t>
      </w:r>
      <w:r w:rsidRPr="00DA4CAC">
        <w:rPr>
          <w:rFonts w:ascii="Times New Roman" w:hAnsi="Times New Roman" w:cs="Times New Roman"/>
          <w:i/>
          <w:iCs/>
          <w:sz w:val="24"/>
          <w:szCs w:val="24"/>
        </w:rPr>
        <w:t>The Anglo-Boer War 1889–1902: White Man's War, Black Man's War, Traumatic War</w:t>
      </w:r>
      <w:r w:rsidRPr="00DA4CAC">
        <w:rPr>
          <w:rFonts w:ascii="Times New Roman" w:hAnsi="Times New Roman" w:cs="Times New Roman"/>
          <w:sz w:val="24"/>
          <w:szCs w:val="24"/>
        </w:rPr>
        <w:t xml:space="preserve"> (</w:t>
      </w:r>
      <w:r w:rsidR="000719F8" w:rsidRPr="00DA4CAC">
        <w:rPr>
          <w:rFonts w:ascii="Times New Roman" w:hAnsi="Times New Roman" w:cs="Times New Roman"/>
          <w:sz w:val="24"/>
          <w:szCs w:val="24"/>
        </w:rPr>
        <w:t xml:space="preserve">Stellenbosch: </w:t>
      </w:r>
      <w:r w:rsidRPr="00DA4CAC">
        <w:rPr>
          <w:rFonts w:ascii="Times New Roman" w:hAnsi="Times New Roman" w:cs="Times New Roman"/>
          <w:sz w:val="24"/>
          <w:szCs w:val="24"/>
        </w:rPr>
        <w:t>African Sun Media, 2011).</w:t>
      </w:r>
    </w:p>
    <w:p w14:paraId="12B9B0F1" w14:textId="77777777" w:rsidR="00C8719A" w:rsidRPr="00DA4CAC" w:rsidRDefault="00C8719A" w:rsidP="00113839">
      <w:pPr>
        <w:spacing w:before="240" w:line="240" w:lineRule="auto"/>
        <w:jc w:val="both"/>
        <w:rPr>
          <w:rFonts w:ascii="Times New Roman" w:hAnsi="Times New Roman" w:cs="Times New Roman"/>
          <w:sz w:val="24"/>
        </w:rPr>
      </w:pPr>
      <w:r w:rsidRPr="00DA4CAC">
        <w:rPr>
          <w:rFonts w:ascii="Times New Roman" w:hAnsi="Times New Roman" w:cs="Times New Roman"/>
          <w:sz w:val="24"/>
        </w:rPr>
        <w:t xml:space="preserve">Williams, G.A., </w:t>
      </w:r>
      <w:r w:rsidRPr="00DA4CAC">
        <w:rPr>
          <w:rFonts w:ascii="Times New Roman" w:hAnsi="Times New Roman" w:cs="Times New Roman"/>
          <w:i/>
          <w:sz w:val="24"/>
        </w:rPr>
        <w:t>The Welsh in their History</w:t>
      </w:r>
      <w:r w:rsidRPr="00DA4CAC">
        <w:rPr>
          <w:rFonts w:ascii="Times New Roman" w:hAnsi="Times New Roman" w:cs="Times New Roman"/>
          <w:sz w:val="24"/>
        </w:rPr>
        <w:t xml:space="preserve"> (London: Crook Helm, 1982).</w:t>
      </w:r>
    </w:p>
    <w:p w14:paraId="48EA88E3" w14:textId="77777777" w:rsidR="00C8719A" w:rsidRPr="00DA4CAC" w:rsidRDefault="00C8719A">
      <w:pPr>
        <w:pStyle w:val="NoSpacing"/>
        <w:jc w:val="both"/>
        <w:rPr>
          <w:rFonts w:ascii="Times New Roman" w:hAnsi="Times New Roman" w:cs="Times New Roman"/>
          <w:sz w:val="24"/>
        </w:rPr>
      </w:pPr>
    </w:p>
    <w:sectPr w:rsidR="00C8719A" w:rsidRPr="00DA4CA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93BD6" w14:textId="77777777" w:rsidR="007A29ED" w:rsidRDefault="007A29ED" w:rsidP="004C1733">
      <w:pPr>
        <w:spacing w:after="0" w:line="240" w:lineRule="auto"/>
      </w:pPr>
      <w:r>
        <w:separator/>
      </w:r>
    </w:p>
  </w:endnote>
  <w:endnote w:type="continuationSeparator" w:id="0">
    <w:p w14:paraId="584869F6" w14:textId="77777777" w:rsidR="007A29ED" w:rsidRDefault="007A29ED" w:rsidP="004C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1600365"/>
      <w:docPartObj>
        <w:docPartGallery w:val="Page Numbers (Bottom of Page)"/>
        <w:docPartUnique/>
      </w:docPartObj>
    </w:sdtPr>
    <w:sdtEndPr>
      <w:rPr>
        <w:rFonts w:ascii="Times New Roman" w:hAnsi="Times New Roman" w:cs="Times New Roman"/>
        <w:noProof/>
        <w:sz w:val="20"/>
        <w:szCs w:val="20"/>
      </w:rPr>
    </w:sdtEndPr>
    <w:sdtContent>
      <w:p w14:paraId="2690857F" w14:textId="63E528DD" w:rsidR="00C8719A" w:rsidRPr="00C8719A" w:rsidRDefault="00C8719A">
        <w:pPr>
          <w:pStyle w:val="Footer"/>
          <w:rPr>
            <w:rFonts w:ascii="Times New Roman" w:hAnsi="Times New Roman" w:cs="Times New Roman"/>
            <w:sz w:val="20"/>
            <w:szCs w:val="20"/>
          </w:rPr>
        </w:pPr>
        <w:r w:rsidRPr="00C8719A">
          <w:rPr>
            <w:rFonts w:ascii="Times New Roman" w:hAnsi="Times New Roman" w:cs="Times New Roman"/>
            <w:sz w:val="20"/>
            <w:szCs w:val="20"/>
          </w:rPr>
          <w:fldChar w:fldCharType="begin"/>
        </w:r>
        <w:r w:rsidRPr="00C8719A">
          <w:rPr>
            <w:rFonts w:ascii="Times New Roman" w:hAnsi="Times New Roman" w:cs="Times New Roman"/>
            <w:sz w:val="20"/>
            <w:szCs w:val="20"/>
          </w:rPr>
          <w:instrText xml:space="preserve"> PAGE   \* MERGEFORMAT </w:instrText>
        </w:r>
        <w:r w:rsidRPr="00C8719A">
          <w:rPr>
            <w:rFonts w:ascii="Times New Roman" w:hAnsi="Times New Roman" w:cs="Times New Roman"/>
            <w:sz w:val="20"/>
            <w:szCs w:val="20"/>
          </w:rPr>
          <w:fldChar w:fldCharType="separate"/>
        </w:r>
        <w:r w:rsidRPr="00C8719A">
          <w:rPr>
            <w:rFonts w:ascii="Times New Roman" w:hAnsi="Times New Roman" w:cs="Times New Roman"/>
            <w:noProof/>
            <w:sz w:val="20"/>
            <w:szCs w:val="20"/>
          </w:rPr>
          <w:t>2</w:t>
        </w:r>
        <w:r w:rsidRPr="00C8719A">
          <w:rPr>
            <w:rFonts w:ascii="Times New Roman" w:hAnsi="Times New Roman" w:cs="Times New Roman"/>
            <w:noProof/>
            <w:sz w:val="20"/>
            <w:szCs w:val="20"/>
          </w:rPr>
          <w:fldChar w:fldCharType="end"/>
        </w:r>
      </w:p>
    </w:sdtContent>
  </w:sdt>
  <w:p w14:paraId="49406B16" w14:textId="77777777" w:rsidR="00C8719A" w:rsidRDefault="00C87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65B01" w14:textId="77777777" w:rsidR="007A29ED" w:rsidRDefault="007A29ED" w:rsidP="004C1733">
      <w:pPr>
        <w:spacing w:after="0" w:line="240" w:lineRule="auto"/>
      </w:pPr>
      <w:r>
        <w:separator/>
      </w:r>
    </w:p>
  </w:footnote>
  <w:footnote w:type="continuationSeparator" w:id="0">
    <w:p w14:paraId="2B004148" w14:textId="77777777" w:rsidR="007A29ED" w:rsidRDefault="007A29ED" w:rsidP="004C1733">
      <w:pPr>
        <w:spacing w:after="0" w:line="240" w:lineRule="auto"/>
      </w:pPr>
      <w:r>
        <w:continuationSeparator/>
      </w:r>
    </w:p>
  </w:footnote>
  <w:footnote w:id="1">
    <w:p w14:paraId="039C62C7" w14:textId="05C54FF1" w:rsidR="000719F8" w:rsidRPr="00113839" w:rsidRDefault="000719F8" w:rsidP="0011113A">
      <w:pPr>
        <w:pStyle w:val="NoSpacing"/>
        <w:rPr>
          <w:rFonts w:ascii="Times New Roman" w:hAnsi="Times New Roman" w:cs="Times New Roman"/>
        </w:rPr>
      </w:pPr>
      <w:r w:rsidRPr="00113839">
        <w:rPr>
          <w:rStyle w:val="FootnoteReference"/>
          <w:rFonts w:ascii="Times New Roman" w:hAnsi="Times New Roman" w:cs="Times New Roman"/>
        </w:rPr>
        <w:footnoteRef/>
      </w:r>
      <w:r w:rsidRPr="00113839">
        <w:rPr>
          <w:rFonts w:ascii="Times New Roman" w:hAnsi="Times New Roman" w:cs="Times New Roman"/>
        </w:rPr>
        <w:t xml:space="preserve"> K.O. Morgan, </w:t>
      </w:r>
      <w:r w:rsidRPr="00113839">
        <w:rPr>
          <w:rFonts w:ascii="Times New Roman" w:hAnsi="Times New Roman" w:cs="Times New Roman"/>
          <w:i/>
        </w:rPr>
        <w:t>Rebirth of a Nation</w:t>
      </w:r>
      <w:r w:rsidRPr="00113839">
        <w:rPr>
          <w:rFonts w:ascii="Times New Roman" w:hAnsi="Times New Roman" w:cs="Times New Roman"/>
        </w:rPr>
        <w:t xml:space="preserve"> (Oxford: Oxford University Press, 1998), p. 160.</w:t>
      </w:r>
    </w:p>
  </w:footnote>
  <w:footnote w:id="2">
    <w:p w14:paraId="2CBE2F68" w14:textId="35D4B55E" w:rsidR="000719F8" w:rsidRPr="00113839" w:rsidRDefault="000719F8">
      <w:pPr>
        <w:pStyle w:val="FootnoteText"/>
        <w:rPr>
          <w:rFonts w:ascii="Times New Roman" w:hAnsi="Times New Roman" w:cs="Times New Roman"/>
          <w:sz w:val="22"/>
          <w:szCs w:val="22"/>
        </w:rPr>
      </w:pPr>
      <w:r w:rsidRPr="00113839">
        <w:rPr>
          <w:rStyle w:val="FootnoteReference"/>
          <w:rFonts w:ascii="Times New Roman" w:hAnsi="Times New Roman" w:cs="Times New Roman"/>
          <w:sz w:val="22"/>
          <w:szCs w:val="22"/>
        </w:rPr>
        <w:footnoteRef/>
      </w:r>
      <w:r w:rsidRPr="00113839">
        <w:rPr>
          <w:rFonts w:ascii="Times New Roman" w:hAnsi="Times New Roman" w:cs="Times New Roman"/>
          <w:sz w:val="22"/>
          <w:szCs w:val="22"/>
        </w:rPr>
        <w:t xml:space="preserve"> Morgan, Peace Movements in Wales, pp. 399-400 (NLW)</w:t>
      </w:r>
    </w:p>
  </w:footnote>
  <w:footnote w:id="3">
    <w:p w14:paraId="4C19AA8E" w14:textId="289A0651" w:rsidR="000719F8" w:rsidRPr="0011113A" w:rsidRDefault="000719F8">
      <w:pPr>
        <w:pStyle w:val="FootnoteText"/>
        <w:rPr>
          <w:sz w:val="22"/>
          <w:szCs w:val="22"/>
        </w:rPr>
      </w:pPr>
      <w:r w:rsidRPr="00113839">
        <w:rPr>
          <w:rStyle w:val="FootnoteReference"/>
          <w:rFonts w:ascii="Times New Roman" w:hAnsi="Times New Roman" w:cs="Times New Roman"/>
          <w:sz w:val="22"/>
          <w:szCs w:val="22"/>
        </w:rPr>
        <w:footnoteRef/>
      </w:r>
      <w:r w:rsidRPr="00113839">
        <w:rPr>
          <w:rFonts w:ascii="Times New Roman" w:hAnsi="Times New Roman" w:cs="Times New Roman"/>
          <w:sz w:val="22"/>
          <w:szCs w:val="22"/>
        </w:rPr>
        <w:t xml:space="preserve"> </w:t>
      </w:r>
      <w:r w:rsidRPr="00113839">
        <w:rPr>
          <w:rFonts w:ascii="Times New Roman" w:hAnsi="Times New Roman" w:cs="Times New Roman"/>
          <w:i/>
          <w:sz w:val="22"/>
          <w:szCs w:val="22"/>
        </w:rPr>
        <w:t>Ibid</w:t>
      </w:r>
      <w:r w:rsidRPr="00113839">
        <w:rPr>
          <w:rFonts w:ascii="Times New Roman" w:hAnsi="Times New Roman" w:cs="Times New Roman"/>
          <w:sz w:val="22"/>
          <w:szCs w:val="22"/>
        </w:rPr>
        <w:t>.</w:t>
      </w:r>
    </w:p>
  </w:footnote>
  <w:footnote w:id="4">
    <w:p w14:paraId="69AEED72" w14:textId="2DFB9B22" w:rsidR="000719F8" w:rsidRPr="00C16B98" w:rsidRDefault="000719F8" w:rsidP="00C16B98">
      <w:pPr>
        <w:pStyle w:val="NoSpacing"/>
        <w:rPr>
          <w:rFonts w:ascii="Times New Roman" w:hAnsi="Times New Roman" w:cs="Times New Roman"/>
        </w:rPr>
      </w:pPr>
      <w:r w:rsidRPr="0011113A">
        <w:rPr>
          <w:rStyle w:val="FootnoteReference"/>
        </w:rPr>
        <w:footnoteRef/>
      </w:r>
      <w:r w:rsidRPr="0011113A">
        <w:t xml:space="preserve"> </w:t>
      </w:r>
      <w:r w:rsidRPr="0011113A">
        <w:rPr>
          <w:rFonts w:ascii="Times New Roman" w:hAnsi="Times New Roman" w:cs="Times New Roman"/>
        </w:rPr>
        <w:t xml:space="preserve">K.O. Morgan, </w:t>
      </w:r>
      <w:r w:rsidRPr="0011113A">
        <w:rPr>
          <w:rFonts w:ascii="Times New Roman" w:hAnsi="Times New Roman" w:cs="Times New Roman"/>
          <w:i/>
        </w:rPr>
        <w:t>Modern Wales: Politics, Places and People</w:t>
      </w:r>
      <w:r w:rsidRPr="0011113A">
        <w:rPr>
          <w:rFonts w:ascii="Times New Roman" w:hAnsi="Times New Roman" w:cs="Times New Roman"/>
        </w:rPr>
        <w:t xml:space="preserve"> (Cardiff: Cardiff University Press, 1995)</w:t>
      </w:r>
      <w:r>
        <w:rPr>
          <w:rFonts w:ascii="Times New Roman" w:hAnsi="Times New Roman" w:cs="Times New Roman"/>
        </w:rPr>
        <w:t>, pp. 47.</w:t>
      </w:r>
    </w:p>
  </w:footnote>
  <w:footnote w:id="5">
    <w:p w14:paraId="01642806" w14:textId="262BC4D7" w:rsidR="000719F8" w:rsidRDefault="000719F8" w:rsidP="00AD7F00">
      <w:pPr>
        <w:pStyle w:val="FootnoteText"/>
      </w:pPr>
      <w:r w:rsidRPr="0011113A">
        <w:rPr>
          <w:rStyle w:val="FootnoteReference"/>
          <w:sz w:val="22"/>
          <w:szCs w:val="22"/>
        </w:rPr>
        <w:footnoteRef/>
      </w:r>
      <w:r w:rsidRPr="0011113A">
        <w:rPr>
          <w:sz w:val="22"/>
          <w:szCs w:val="22"/>
        </w:rPr>
        <w:t xml:space="preserve"> </w:t>
      </w:r>
      <w:r w:rsidRPr="0011113A">
        <w:rPr>
          <w:rFonts w:ascii="Times New Roman" w:hAnsi="Times New Roman" w:cs="Times New Roman"/>
          <w:sz w:val="22"/>
          <w:szCs w:val="22"/>
        </w:rPr>
        <w:t xml:space="preserve">Morgan, </w:t>
      </w:r>
      <w:r w:rsidRPr="0011113A">
        <w:rPr>
          <w:rFonts w:ascii="Times New Roman" w:hAnsi="Times New Roman" w:cs="Times New Roman"/>
          <w:i/>
          <w:sz w:val="22"/>
          <w:szCs w:val="22"/>
        </w:rPr>
        <w:t>Rebirth of a Nation</w:t>
      </w:r>
      <w:r w:rsidRPr="0011113A">
        <w:rPr>
          <w:rFonts w:ascii="Times New Roman" w:hAnsi="Times New Roman" w:cs="Times New Roman"/>
          <w:sz w:val="22"/>
          <w:szCs w:val="22"/>
        </w:rPr>
        <w:t>, p. 160.</w:t>
      </w:r>
    </w:p>
  </w:footnote>
  <w:footnote w:id="6">
    <w:p w14:paraId="7A602639" w14:textId="52B968A0" w:rsidR="000719F8" w:rsidRPr="00C16B98" w:rsidRDefault="000719F8" w:rsidP="00AD7F00">
      <w:pPr>
        <w:pStyle w:val="FootnoteText"/>
        <w:rPr>
          <w:sz w:val="22"/>
          <w:szCs w:val="22"/>
        </w:rPr>
      </w:pPr>
      <w:r w:rsidRPr="00C16B98">
        <w:rPr>
          <w:rStyle w:val="FootnoteReference"/>
          <w:sz w:val="22"/>
          <w:szCs w:val="22"/>
        </w:rPr>
        <w:footnoteRef/>
      </w:r>
      <w:r w:rsidRPr="00C16B98">
        <w:rPr>
          <w:sz w:val="22"/>
          <w:szCs w:val="22"/>
        </w:rPr>
        <w:t xml:space="preserve"> </w:t>
      </w:r>
      <w:r w:rsidRPr="00C16B98">
        <w:rPr>
          <w:rFonts w:ascii="Times New Roman" w:hAnsi="Times New Roman" w:cs="Times New Roman"/>
          <w:sz w:val="22"/>
          <w:szCs w:val="22"/>
        </w:rPr>
        <w:t xml:space="preserve">Morgan, </w:t>
      </w:r>
      <w:r w:rsidRPr="00C16B98">
        <w:rPr>
          <w:rFonts w:ascii="Times New Roman" w:hAnsi="Times New Roman" w:cs="Times New Roman"/>
          <w:i/>
          <w:sz w:val="22"/>
          <w:szCs w:val="22"/>
        </w:rPr>
        <w:t>Rebirth of a Nation</w:t>
      </w:r>
      <w:r w:rsidRPr="00C16B98">
        <w:rPr>
          <w:rFonts w:ascii="Times New Roman" w:hAnsi="Times New Roman" w:cs="Times New Roman"/>
          <w:sz w:val="22"/>
          <w:szCs w:val="22"/>
        </w:rPr>
        <w:t>, p. 162.</w:t>
      </w:r>
    </w:p>
  </w:footnote>
  <w:footnote w:id="7">
    <w:p w14:paraId="55A753D0" w14:textId="2D6DE069" w:rsidR="000719F8" w:rsidRPr="00C16B98" w:rsidRDefault="000719F8" w:rsidP="00AD7F00">
      <w:pPr>
        <w:pStyle w:val="FootnoteText"/>
        <w:rPr>
          <w:sz w:val="22"/>
          <w:szCs w:val="22"/>
        </w:rPr>
      </w:pPr>
      <w:r w:rsidRPr="00C16B98">
        <w:rPr>
          <w:rStyle w:val="FootnoteReference"/>
          <w:sz w:val="22"/>
          <w:szCs w:val="22"/>
        </w:rPr>
        <w:footnoteRef/>
      </w:r>
      <w:r w:rsidRPr="00C16B98">
        <w:rPr>
          <w:sz w:val="22"/>
          <w:szCs w:val="22"/>
        </w:rPr>
        <w:t xml:space="preserve"> </w:t>
      </w:r>
      <w:r w:rsidRPr="00C16B98">
        <w:rPr>
          <w:rFonts w:ascii="Times New Roman" w:hAnsi="Times New Roman" w:cs="Times New Roman"/>
          <w:sz w:val="22"/>
          <w:szCs w:val="22"/>
        </w:rPr>
        <w:t xml:space="preserve">Morgan, </w:t>
      </w:r>
      <w:r w:rsidRPr="00C16B98">
        <w:rPr>
          <w:rFonts w:ascii="Times New Roman" w:hAnsi="Times New Roman" w:cs="Times New Roman"/>
          <w:i/>
          <w:sz w:val="22"/>
          <w:szCs w:val="22"/>
        </w:rPr>
        <w:t>Rebirth of a Nation</w:t>
      </w:r>
      <w:r w:rsidRPr="00C16B98">
        <w:rPr>
          <w:rFonts w:ascii="Times New Roman" w:hAnsi="Times New Roman" w:cs="Times New Roman"/>
          <w:sz w:val="22"/>
          <w:szCs w:val="22"/>
        </w:rPr>
        <w:t>, pp. 161-3.</w:t>
      </w:r>
    </w:p>
  </w:footnote>
  <w:footnote w:id="8">
    <w:p w14:paraId="0F4748BA" w14:textId="7AADD19A" w:rsidR="000719F8" w:rsidRPr="00C16B98" w:rsidRDefault="000719F8" w:rsidP="00AD7F00">
      <w:pPr>
        <w:pStyle w:val="FootnoteText"/>
        <w:rPr>
          <w:sz w:val="22"/>
          <w:szCs w:val="22"/>
        </w:rPr>
      </w:pPr>
      <w:r w:rsidRPr="00C16B98">
        <w:rPr>
          <w:rStyle w:val="FootnoteReference"/>
          <w:sz w:val="22"/>
          <w:szCs w:val="22"/>
        </w:rPr>
        <w:footnoteRef/>
      </w:r>
      <w:r w:rsidRPr="00C16B98">
        <w:rPr>
          <w:sz w:val="22"/>
          <w:szCs w:val="22"/>
        </w:rPr>
        <w:t xml:space="preserve"> </w:t>
      </w:r>
      <w:r w:rsidRPr="00C16B98">
        <w:rPr>
          <w:rFonts w:ascii="Times New Roman" w:hAnsi="Times New Roman" w:cs="Times New Roman"/>
          <w:i/>
          <w:sz w:val="22"/>
          <w:szCs w:val="22"/>
        </w:rPr>
        <w:t>Ibid.</w:t>
      </w:r>
    </w:p>
  </w:footnote>
  <w:footnote w:id="9">
    <w:p w14:paraId="634642E3" w14:textId="16DA807F" w:rsidR="000719F8" w:rsidRPr="00C16B98" w:rsidRDefault="000719F8" w:rsidP="00C16B98">
      <w:pPr>
        <w:pStyle w:val="NoSpacing"/>
      </w:pPr>
      <w:r w:rsidRPr="00C16B98">
        <w:rPr>
          <w:rStyle w:val="FootnoteReference"/>
        </w:rPr>
        <w:footnoteRef/>
      </w:r>
      <w:r w:rsidRPr="00C16B98">
        <w:t xml:space="preserve"> </w:t>
      </w:r>
      <w:r w:rsidRPr="00C16B98">
        <w:rPr>
          <w:rFonts w:ascii="Times New Roman" w:hAnsi="Times New Roman" w:cs="Times New Roman"/>
        </w:rPr>
        <w:t xml:space="preserve">A. Davey, </w:t>
      </w:r>
      <w:r w:rsidRPr="00C16B98">
        <w:rPr>
          <w:rFonts w:ascii="Times New Roman" w:hAnsi="Times New Roman" w:cs="Times New Roman"/>
          <w:i/>
        </w:rPr>
        <w:t>The British Pro-Boers 1877-1902</w:t>
      </w:r>
      <w:r w:rsidRPr="00C16B98">
        <w:rPr>
          <w:rFonts w:ascii="Times New Roman" w:hAnsi="Times New Roman" w:cs="Times New Roman"/>
        </w:rPr>
        <w:t xml:space="preserve"> (</w:t>
      </w:r>
      <w:proofErr w:type="spellStart"/>
      <w:r w:rsidRPr="00C16B98">
        <w:rPr>
          <w:rFonts w:ascii="Times New Roman" w:hAnsi="Times New Roman" w:cs="Times New Roman"/>
        </w:rPr>
        <w:t>Capetown</w:t>
      </w:r>
      <w:proofErr w:type="spellEnd"/>
      <w:r w:rsidRPr="00C16B98">
        <w:rPr>
          <w:rFonts w:ascii="Times New Roman" w:hAnsi="Times New Roman" w:cs="Times New Roman"/>
        </w:rPr>
        <w:t xml:space="preserve">: </w:t>
      </w:r>
      <w:proofErr w:type="spellStart"/>
      <w:r w:rsidRPr="00C16B98">
        <w:rPr>
          <w:rFonts w:ascii="Times New Roman" w:hAnsi="Times New Roman" w:cs="Times New Roman"/>
        </w:rPr>
        <w:t>Tafelberg</w:t>
      </w:r>
      <w:proofErr w:type="spellEnd"/>
      <w:r w:rsidRPr="00C16B98">
        <w:rPr>
          <w:rFonts w:ascii="Times New Roman" w:hAnsi="Times New Roman" w:cs="Times New Roman"/>
        </w:rPr>
        <w:t>, 1978), p. 11.</w:t>
      </w:r>
    </w:p>
  </w:footnote>
  <w:footnote w:id="10">
    <w:p w14:paraId="17FB13A3" w14:textId="2312A6D4" w:rsidR="000719F8" w:rsidRPr="00C16B98" w:rsidRDefault="000719F8" w:rsidP="00C16B98">
      <w:pPr>
        <w:pStyle w:val="NoSpacing"/>
        <w:rPr>
          <w:rFonts w:ascii="Times New Roman" w:hAnsi="Times New Roman" w:cs="Times New Roman"/>
        </w:rPr>
      </w:pPr>
      <w:r w:rsidRPr="00C16B98">
        <w:rPr>
          <w:rStyle w:val="FootnoteReference"/>
        </w:rPr>
        <w:footnoteRef/>
      </w:r>
      <w:r w:rsidRPr="00C16B98">
        <w:t xml:space="preserve"> </w:t>
      </w:r>
      <w:r w:rsidRPr="00C16B98">
        <w:rPr>
          <w:rFonts w:ascii="Times New Roman" w:hAnsi="Times New Roman" w:cs="Times New Roman"/>
        </w:rPr>
        <w:t xml:space="preserve">Morgan, </w:t>
      </w:r>
      <w:r w:rsidRPr="00C16B98">
        <w:rPr>
          <w:rFonts w:ascii="Times New Roman" w:hAnsi="Times New Roman" w:cs="Times New Roman"/>
          <w:i/>
        </w:rPr>
        <w:t>Modern Wales: Politics, Places and People</w:t>
      </w:r>
      <w:r w:rsidRPr="00C16B98">
        <w:rPr>
          <w:rFonts w:ascii="Times New Roman" w:hAnsi="Times New Roman" w:cs="Times New Roman"/>
        </w:rPr>
        <w:t>, p. 48</w:t>
      </w:r>
    </w:p>
  </w:footnote>
  <w:footnote w:id="11">
    <w:p w14:paraId="55B3AFFC" w14:textId="7B17D7AC" w:rsidR="000719F8" w:rsidRPr="00C16B98" w:rsidRDefault="000719F8" w:rsidP="00C16B98">
      <w:pPr>
        <w:pStyle w:val="NoSpacing"/>
        <w:rPr>
          <w:rFonts w:ascii="Times New Roman" w:hAnsi="Times New Roman" w:cs="Times New Roman"/>
        </w:rPr>
      </w:pPr>
      <w:r w:rsidRPr="00C16B98">
        <w:rPr>
          <w:rStyle w:val="FootnoteReference"/>
        </w:rPr>
        <w:footnoteRef/>
      </w:r>
      <w:r w:rsidRPr="00C16B98">
        <w:t xml:space="preserve"> </w:t>
      </w:r>
      <w:r w:rsidRPr="00C16B98">
        <w:rPr>
          <w:rFonts w:ascii="Times New Roman" w:hAnsi="Times New Roman" w:cs="Times New Roman"/>
        </w:rPr>
        <w:t xml:space="preserve">Morgan, </w:t>
      </w:r>
      <w:r w:rsidRPr="00C16B98">
        <w:rPr>
          <w:rFonts w:ascii="Times New Roman" w:hAnsi="Times New Roman" w:cs="Times New Roman"/>
          <w:i/>
        </w:rPr>
        <w:t>Modern Wales: Politics, Places and People</w:t>
      </w:r>
      <w:r w:rsidRPr="00C16B98">
        <w:rPr>
          <w:rFonts w:ascii="Times New Roman" w:hAnsi="Times New Roman" w:cs="Times New Roman"/>
        </w:rPr>
        <w:t xml:space="preserve">, pp. 46-7. </w:t>
      </w:r>
    </w:p>
  </w:footnote>
  <w:footnote w:id="12">
    <w:p w14:paraId="55D27564" w14:textId="044A901A" w:rsidR="000719F8" w:rsidRPr="00C16B98" w:rsidRDefault="000719F8" w:rsidP="00C16B98">
      <w:pPr>
        <w:pStyle w:val="NoSpacing"/>
        <w:rPr>
          <w:rFonts w:ascii="Times New Roman" w:hAnsi="Times New Roman" w:cs="Times New Roman"/>
        </w:rPr>
      </w:pPr>
      <w:r w:rsidRPr="00C16B98">
        <w:rPr>
          <w:rStyle w:val="FootnoteReference"/>
          <w:rFonts w:ascii="Times New Roman" w:hAnsi="Times New Roman" w:cs="Times New Roman"/>
        </w:rPr>
        <w:footnoteRef/>
      </w:r>
      <w:r w:rsidRPr="00C16B98">
        <w:rPr>
          <w:rFonts w:ascii="Times New Roman" w:hAnsi="Times New Roman" w:cs="Times New Roman"/>
        </w:rPr>
        <w:t xml:space="preserve"> A. Gregory, </w:t>
      </w:r>
      <w:r w:rsidRPr="00C16B98">
        <w:rPr>
          <w:rFonts w:ascii="Times New Roman" w:hAnsi="Times New Roman" w:cs="Times New Roman"/>
          <w:i/>
        </w:rPr>
        <w:t>The Last Great War</w:t>
      </w:r>
      <w:r w:rsidRPr="00C16B98">
        <w:rPr>
          <w:rFonts w:ascii="Times New Roman" w:hAnsi="Times New Roman" w:cs="Times New Roman"/>
        </w:rPr>
        <w:t xml:space="preserve"> (Cambridge: Cambridge University Press, 2008), p. 11.</w:t>
      </w:r>
    </w:p>
  </w:footnote>
  <w:footnote w:id="13">
    <w:p w14:paraId="7E05EA80" w14:textId="1126EA3B" w:rsidR="000719F8" w:rsidRPr="00C16B98" w:rsidRDefault="000719F8">
      <w:pPr>
        <w:pStyle w:val="FootnoteText"/>
        <w:rPr>
          <w:rFonts w:ascii="Times New Roman" w:hAnsi="Times New Roman" w:cs="Times New Roman"/>
          <w:sz w:val="22"/>
          <w:szCs w:val="22"/>
        </w:rPr>
      </w:pPr>
      <w:r w:rsidRPr="00C16B98">
        <w:rPr>
          <w:rStyle w:val="FootnoteReference"/>
          <w:rFonts w:ascii="Times New Roman" w:hAnsi="Times New Roman" w:cs="Times New Roman"/>
          <w:sz w:val="22"/>
          <w:szCs w:val="22"/>
        </w:rPr>
        <w:footnoteRef/>
      </w:r>
      <w:r w:rsidRPr="00C16B98">
        <w:rPr>
          <w:rFonts w:ascii="Times New Roman" w:hAnsi="Times New Roman" w:cs="Times New Roman"/>
          <w:sz w:val="22"/>
          <w:szCs w:val="22"/>
        </w:rPr>
        <w:t xml:space="preserve"> </w:t>
      </w:r>
      <w:r w:rsidRPr="00C16B98">
        <w:rPr>
          <w:rFonts w:ascii="Times New Roman" w:hAnsi="Times New Roman" w:cs="Times New Roman"/>
          <w:i/>
          <w:sz w:val="22"/>
          <w:szCs w:val="22"/>
        </w:rPr>
        <w:t>Ibid</w:t>
      </w:r>
      <w:r w:rsidRPr="00C16B98">
        <w:rPr>
          <w:rFonts w:ascii="Times New Roman" w:hAnsi="Times New Roman" w:cs="Times New Roman"/>
          <w:sz w:val="22"/>
          <w:szCs w:val="22"/>
        </w:rPr>
        <w:t>.</w:t>
      </w:r>
    </w:p>
  </w:footnote>
  <w:footnote w:id="14">
    <w:p w14:paraId="5D6C96AF" w14:textId="3B49FCCD" w:rsidR="000719F8" w:rsidRPr="00C16B98" w:rsidRDefault="000719F8" w:rsidP="00832E53">
      <w:pPr>
        <w:pStyle w:val="FootnoteText"/>
        <w:rPr>
          <w:rFonts w:ascii="Times New Roman" w:hAnsi="Times New Roman" w:cs="Times New Roman"/>
          <w:sz w:val="22"/>
          <w:szCs w:val="22"/>
        </w:rPr>
      </w:pPr>
      <w:r w:rsidRPr="00C16B98">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t>
      </w:r>
      <w:r w:rsidRPr="00C16B98">
        <w:rPr>
          <w:rFonts w:ascii="Times New Roman" w:hAnsi="Times New Roman" w:cs="Times New Roman"/>
        </w:rPr>
        <w:t xml:space="preserve">Davey, </w:t>
      </w:r>
      <w:r w:rsidRPr="00C16B98">
        <w:rPr>
          <w:rFonts w:ascii="Times New Roman" w:hAnsi="Times New Roman" w:cs="Times New Roman"/>
          <w:i/>
        </w:rPr>
        <w:t>The British Pro-Boers 1877-1902</w:t>
      </w:r>
      <w:r>
        <w:rPr>
          <w:rFonts w:ascii="Times New Roman" w:hAnsi="Times New Roman" w:cs="Times New Roman"/>
        </w:rPr>
        <w:t xml:space="preserve">. </w:t>
      </w:r>
      <w:r w:rsidRPr="00C16B98">
        <w:rPr>
          <w:rFonts w:ascii="Times New Roman" w:hAnsi="Times New Roman" w:cs="Times New Roman"/>
          <w:sz w:val="22"/>
          <w:szCs w:val="22"/>
        </w:rPr>
        <w:t>p. 11</w:t>
      </w:r>
      <w:r>
        <w:rPr>
          <w:rFonts w:ascii="Times New Roman" w:hAnsi="Times New Roman" w:cs="Times New Roman"/>
          <w:sz w:val="22"/>
          <w:szCs w:val="22"/>
        </w:rPr>
        <w:t>.</w:t>
      </w:r>
    </w:p>
  </w:footnote>
  <w:footnote w:id="15">
    <w:p w14:paraId="29DD8E58" w14:textId="3F307A92" w:rsidR="000719F8" w:rsidRPr="00C16B98" w:rsidRDefault="000719F8" w:rsidP="00832E53">
      <w:pPr>
        <w:pStyle w:val="FootnoteText"/>
        <w:rPr>
          <w:rFonts w:ascii="Times New Roman" w:hAnsi="Times New Roman" w:cs="Times New Roman"/>
          <w:i/>
          <w:sz w:val="22"/>
          <w:szCs w:val="22"/>
        </w:rPr>
      </w:pPr>
      <w:r w:rsidRPr="00C16B98">
        <w:rPr>
          <w:rStyle w:val="FootnoteReference"/>
          <w:rFonts w:ascii="Times New Roman" w:hAnsi="Times New Roman" w:cs="Times New Roman"/>
          <w:sz w:val="22"/>
          <w:szCs w:val="22"/>
        </w:rPr>
        <w:footnoteRef/>
      </w:r>
      <w:r w:rsidRPr="00C16B98">
        <w:rPr>
          <w:rFonts w:ascii="Times New Roman" w:hAnsi="Times New Roman" w:cs="Times New Roman"/>
          <w:sz w:val="22"/>
          <w:szCs w:val="22"/>
        </w:rPr>
        <w:t xml:space="preserve"> </w:t>
      </w:r>
      <w:r w:rsidRPr="00C16B98">
        <w:rPr>
          <w:rFonts w:ascii="Times New Roman" w:hAnsi="Times New Roman" w:cs="Times New Roman"/>
          <w:i/>
          <w:sz w:val="22"/>
          <w:szCs w:val="22"/>
        </w:rPr>
        <w:t xml:space="preserve">Ibid. </w:t>
      </w:r>
    </w:p>
  </w:footnote>
  <w:footnote w:id="16">
    <w:p w14:paraId="33AA867C" w14:textId="08DDC739" w:rsidR="000719F8" w:rsidRPr="00C16B98" w:rsidRDefault="000719F8" w:rsidP="00832E53">
      <w:pPr>
        <w:pStyle w:val="FootnoteText"/>
        <w:rPr>
          <w:rFonts w:ascii="Times New Roman" w:hAnsi="Times New Roman" w:cs="Times New Roman"/>
        </w:rPr>
      </w:pPr>
      <w:r w:rsidRPr="00C16B98">
        <w:rPr>
          <w:rStyle w:val="FootnoteReference"/>
          <w:rFonts w:ascii="Times New Roman" w:hAnsi="Times New Roman" w:cs="Times New Roman"/>
          <w:sz w:val="22"/>
          <w:szCs w:val="22"/>
        </w:rPr>
        <w:footnoteRef/>
      </w:r>
      <w:r w:rsidRPr="00C16B98">
        <w:rPr>
          <w:rFonts w:ascii="Times New Roman" w:hAnsi="Times New Roman" w:cs="Times New Roman"/>
          <w:i/>
          <w:sz w:val="22"/>
          <w:szCs w:val="22"/>
        </w:rPr>
        <w:t xml:space="preserve"> Ibid.</w:t>
      </w:r>
    </w:p>
  </w:footnote>
  <w:footnote w:id="17">
    <w:p w14:paraId="31B142D9" w14:textId="43CBFA09" w:rsidR="000719F8" w:rsidRPr="0011113A" w:rsidRDefault="000719F8">
      <w:pPr>
        <w:pStyle w:val="FootnoteText"/>
        <w:rPr>
          <w:rFonts w:ascii="Times New Roman" w:hAnsi="Times New Roman" w:cs="Times New Roman"/>
          <w:sz w:val="22"/>
          <w:szCs w:val="22"/>
        </w:rPr>
      </w:pPr>
      <w:r w:rsidRPr="0011113A">
        <w:rPr>
          <w:rStyle w:val="FootnoteReference"/>
          <w:sz w:val="22"/>
          <w:szCs w:val="22"/>
        </w:rPr>
        <w:footnoteRef/>
      </w:r>
      <w:r w:rsidRPr="0011113A">
        <w:rPr>
          <w:sz w:val="22"/>
          <w:szCs w:val="22"/>
        </w:rPr>
        <w:t xml:space="preserve"> </w:t>
      </w:r>
      <w:r w:rsidRPr="0011113A">
        <w:rPr>
          <w:rFonts w:ascii="Times New Roman" w:hAnsi="Times New Roman" w:cs="Times New Roman"/>
          <w:sz w:val="22"/>
          <w:szCs w:val="22"/>
        </w:rPr>
        <w:t xml:space="preserve">J. Davies, </w:t>
      </w:r>
      <w:r w:rsidRPr="0011113A">
        <w:rPr>
          <w:rFonts w:ascii="Times New Roman" w:hAnsi="Times New Roman" w:cs="Times New Roman"/>
          <w:i/>
          <w:sz w:val="22"/>
          <w:szCs w:val="22"/>
        </w:rPr>
        <w:t>A History of Wales</w:t>
      </w:r>
      <w:r w:rsidRPr="0011113A">
        <w:rPr>
          <w:rFonts w:ascii="Times New Roman" w:hAnsi="Times New Roman" w:cs="Times New Roman"/>
          <w:sz w:val="22"/>
          <w:szCs w:val="22"/>
        </w:rPr>
        <w:t xml:space="preserve"> (London: Penguin Books Ltd., 1994), pp. 495-500.</w:t>
      </w:r>
    </w:p>
  </w:footnote>
  <w:footnote w:id="18">
    <w:p w14:paraId="2C53F88C" w14:textId="5FB088FA" w:rsidR="000719F8" w:rsidRPr="0011113A" w:rsidRDefault="000719F8">
      <w:pPr>
        <w:pStyle w:val="FootnoteText"/>
        <w:rPr>
          <w:rFonts w:ascii="Times New Roman" w:hAnsi="Times New Roman" w:cs="Times New Roman"/>
          <w:sz w:val="22"/>
          <w:szCs w:val="22"/>
        </w:rPr>
      </w:pPr>
      <w:r w:rsidRPr="0011113A">
        <w:rPr>
          <w:rStyle w:val="FootnoteReference"/>
          <w:rFonts w:ascii="Times New Roman" w:hAnsi="Times New Roman" w:cs="Times New Roman"/>
          <w:sz w:val="22"/>
          <w:szCs w:val="22"/>
        </w:rPr>
        <w:footnoteRef/>
      </w:r>
      <w:r w:rsidRPr="0011113A">
        <w:rPr>
          <w:rFonts w:ascii="Times New Roman" w:hAnsi="Times New Roman" w:cs="Times New Roman"/>
          <w:sz w:val="22"/>
          <w:szCs w:val="22"/>
        </w:rPr>
        <w:t xml:space="preserve"> </w:t>
      </w:r>
      <w:r w:rsidRPr="0011113A">
        <w:rPr>
          <w:rFonts w:ascii="Times New Roman" w:hAnsi="Times New Roman" w:cs="Times New Roman"/>
          <w:i/>
          <w:sz w:val="22"/>
          <w:szCs w:val="22"/>
        </w:rPr>
        <w:t>Ibid</w:t>
      </w:r>
      <w:r w:rsidRPr="0011113A">
        <w:rPr>
          <w:rFonts w:ascii="Times New Roman" w:hAnsi="Times New Roman" w:cs="Times New Roman"/>
          <w:sz w:val="22"/>
          <w:szCs w:val="22"/>
        </w:rPr>
        <w:t>.</w:t>
      </w:r>
    </w:p>
  </w:footnote>
  <w:footnote w:id="19">
    <w:p w14:paraId="74F06946" w14:textId="43D1CB66" w:rsidR="000719F8" w:rsidRDefault="000719F8">
      <w:pPr>
        <w:pStyle w:val="FootnoteText"/>
      </w:pPr>
      <w:r w:rsidRPr="0011113A">
        <w:rPr>
          <w:rStyle w:val="FootnoteReference"/>
          <w:rFonts w:ascii="Times New Roman" w:hAnsi="Times New Roman" w:cs="Times New Roman"/>
          <w:sz w:val="22"/>
          <w:szCs w:val="22"/>
        </w:rPr>
        <w:footnoteRef/>
      </w:r>
      <w:r w:rsidRPr="0011113A">
        <w:rPr>
          <w:rFonts w:ascii="Times New Roman" w:hAnsi="Times New Roman" w:cs="Times New Roman"/>
          <w:sz w:val="22"/>
          <w:szCs w:val="22"/>
        </w:rPr>
        <w:t xml:space="preserve"> Davies, </w:t>
      </w:r>
      <w:r w:rsidRPr="00113839">
        <w:rPr>
          <w:rFonts w:ascii="Times New Roman" w:hAnsi="Times New Roman" w:cs="Times New Roman"/>
          <w:i/>
          <w:sz w:val="22"/>
          <w:szCs w:val="22"/>
        </w:rPr>
        <w:t>A History of Wales</w:t>
      </w:r>
      <w:r w:rsidRPr="0011113A">
        <w:rPr>
          <w:rFonts w:ascii="Times New Roman" w:hAnsi="Times New Roman" w:cs="Times New Roman"/>
          <w:sz w:val="22"/>
          <w:szCs w:val="22"/>
        </w:rPr>
        <w:t>, p. 499.</w:t>
      </w:r>
    </w:p>
  </w:footnote>
  <w:footnote w:id="20">
    <w:p w14:paraId="163B8045" w14:textId="57FA79B1" w:rsidR="000719F8" w:rsidRPr="007B48BD" w:rsidRDefault="000719F8" w:rsidP="007B48BD">
      <w:pPr>
        <w:pStyle w:val="NoSpacing"/>
        <w:rPr>
          <w:rFonts w:ascii="Times New Roman" w:hAnsi="Times New Roman" w:cs="Times New Roman"/>
        </w:rPr>
      </w:pPr>
      <w:r w:rsidRPr="007B48BD">
        <w:rPr>
          <w:rStyle w:val="FootnoteReference"/>
          <w:rFonts w:ascii="Times New Roman" w:hAnsi="Times New Roman" w:cs="Times New Roman"/>
        </w:rPr>
        <w:footnoteRef/>
      </w:r>
      <w:r w:rsidRPr="007B48BD">
        <w:rPr>
          <w:rFonts w:ascii="Times New Roman" w:hAnsi="Times New Roman" w:cs="Times New Roman"/>
        </w:rPr>
        <w:t xml:space="preserve"> R. Ashwood</w:t>
      </w:r>
      <w:r w:rsidRPr="007B48BD">
        <w:rPr>
          <w:rFonts w:ascii="Times New Roman" w:hAnsi="Times New Roman" w:cs="Times New Roman"/>
          <w:i/>
        </w:rPr>
        <w:t xml:space="preserve">, For Queen and Country: The Zulu War Diary of Lieutenant Wilfred Heaton </w:t>
      </w:r>
      <w:r w:rsidRPr="007B48BD">
        <w:rPr>
          <w:rFonts w:ascii="Times New Roman" w:hAnsi="Times New Roman" w:cs="Times New Roman"/>
        </w:rPr>
        <w:t>(Darlington: Serendipity, 2005).</w:t>
      </w:r>
    </w:p>
  </w:footnote>
  <w:footnote w:id="21">
    <w:p w14:paraId="370BA8C0" w14:textId="7DF58C61" w:rsidR="000719F8" w:rsidRPr="00113839" w:rsidRDefault="000719F8">
      <w:pPr>
        <w:pStyle w:val="FootnoteText"/>
        <w:rPr>
          <w:sz w:val="22"/>
          <w:szCs w:val="22"/>
        </w:rPr>
      </w:pPr>
      <w:r>
        <w:rPr>
          <w:rStyle w:val="FootnoteReference"/>
        </w:rPr>
        <w:footnoteRef/>
      </w:r>
      <w:r>
        <w:t xml:space="preserve"> </w:t>
      </w:r>
      <w:r w:rsidR="00113839" w:rsidRPr="00113839">
        <w:rPr>
          <w:rFonts w:ascii="Times New Roman" w:hAnsi="Times New Roman" w:cs="Times New Roman"/>
          <w:sz w:val="22"/>
          <w:szCs w:val="22"/>
        </w:rPr>
        <w:t>IWM 2133, For Remembrance and in Honour of Those Who Lost Their Lives in the South African War 1899-1902, Cardiff, [online].</w:t>
      </w:r>
    </w:p>
  </w:footnote>
  <w:footnote w:id="22">
    <w:p w14:paraId="62DF7A43" w14:textId="7CBE18D6" w:rsidR="000719F8" w:rsidRDefault="000719F8">
      <w:pPr>
        <w:pStyle w:val="FootnoteText"/>
      </w:pPr>
      <w:r w:rsidRPr="00113839">
        <w:rPr>
          <w:rStyle w:val="FootnoteReference"/>
          <w:sz w:val="22"/>
          <w:szCs w:val="22"/>
        </w:rPr>
        <w:footnoteRef/>
      </w:r>
      <w:r w:rsidRPr="00113839">
        <w:rPr>
          <w:sz w:val="22"/>
          <w:szCs w:val="22"/>
        </w:rPr>
        <w:t xml:space="preserve"> </w:t>
      </w:r>
      <w:r w:rsidR="00113839" w:rsidRPr="00113839">
        <w:rPr>
          <w:rFonts w:ascii="Times New Roman" w:hAnsi="Times New Roman" w:cs="Times New Roman"/>
          <w:sz w:val="22"/>
          <w:szCs w:val="22"/>
        </w:rPr>
        <w:t>The British Newspaper Archive, Manchester Courier and Lancashire General Advertiser Friday 15</w:t>
      </w:r>
      <w:r w:rsidR="00113839" w:rsidRPr="00113839">
        <w:rPr>
          <w:rFonts w:ascii="Times New Roman" w:hAnsi="Times New Roman" w:cs="Times New Roman"/>
          <w:sz w:val="22"/>
          <w:szCs w:val="22"/>
          <w:vertAlign w:val="superscript"/>
        </w:rPr>
        <w:t>th</w:t>
      </w:r>
      <w:r w:rsidR="00113839" w:rsidRPr="00113839">
        <w:rPr>
          <w:rFonts w:ascii="Times New Roman" w:hAnsi="Times New Roman" w:cs="Times New Roman"/>
          <w:sz w:val="22"/>
          <w:szCs w:val="22"/>
        </w:rPr>
        <w:t xml:space="preserve"> August 1902, British Library, [online].</w:t>
      </w:r>
    </w:p>
  </w:footnote>
  <w:footnote w:id="23">
    <w:p w14:paraId="630395F8" w14:textId="6F165F00" w:rsidR="000719F8" w:rsidRPr="00113839" w:rsidRDefault="000719F8">
      <w:pPr>
        <w:pStyle w:val="FootnoteText"/>
        <w:rPr>
          <w:sz w:val="22"/>
          <w:szCs w:val="22"/>
        </w:rPr>
      </w:pPr>
      <w:r>
        <w:rPr>
          <w:rStyle w:val="FootnoteReference"/>
        </w:rPr>
        <w:footnoteRef/>
      </w:r>
      <w:r>
        <w:t xml:space="preserve"> </w:t>
      </w:r>
      <w:r w:rsidR="00113839" w:rsidRPr="00113839">
        <w:rPr>
          <w:rFonts w:ascii="Times New Roman" w:hAnsi="Times New Roman" w:cs="Times New Roman"/>
          <w:sz w:val="22"/>
          <w:szCs w:val="22"/>
        </w:rPr>
        <w:t>The British Newspaper Archive, Manchester Courier and Lancashire General Advertiser Friday 15</w:t>
      </w:r>
      <w:r w:rsidR="00113839" w:rsidRPr="00113839">
        <w:rPr>
          <w:rFonts w:ascii="Times New Roman" w:hAnsi="Times New Roman" w:cs="Times New Roman"/>
          <w:sz w:val="22"/>
          <w:szCs w:val="22"/>
          <w:vertAlign w:val="superscript"/>
        </w:rPr>
        <w:t>th</w:t>
      </w:r>
      <w:r w:rsidR="00113839" w:rsidRPr="00113839">
        <w:rPr>
          <w:rFonts w:ascii="Times New Roman" w:hAnsi="Times New Roman" w:cs="Times New Roman"/>
          <w:sz w:val="22"/>
          <w:szCs w:val="22"/>
        </w:rPr>
        <w:t xml:space="preserve"> August 1902, British Library, [online]. </w:t>
      </w:r>
    </w:p>
  </w:footnote>
  <w:footnote w:id="24">
    <w:p w14:paraId="619D1132" w14:textId="26637356" w:rsidR="000719F8" w:rsidRPr="000719F8" w:rsidRDefault="000719F8" w:rsidP="00007FDD">
      <w:pPr>
        <w:pStyle w:val="FootnoteText"/>
        <w:rPr>
          <w:rFonts w:ascii="Times New Roman" w:hAnsi="Times New Roman" w:cs="Times New Roman"/>
          <w:sz w:val="22"/>
          <w:szCs w:val="22"/>
        </w:rPr>
      </w:pPr>
      <w:r w:rsidRPr="00113839">
        <w:rPr>
          <w:rStyle w:val="FootnoteReference"/>
          <w:rFonts w:ascii="Times New Roman" w:hAnsi="Times New Roman" w:cs="Times New Roman"/>
          <w:sz w:val="22"/>
          <w:szCs w:val="22"/>
        </w:rPr>
        <w:footnoteRef/>
      </w:r>
      <w:r w:rsidRPr="00113839">
        <w:rPr>
          <w:rFonts w:ascii="Times New Roman" w:hAnsi="Times New Roman" w:cs="Times New Roman"/>
          <w:sz w:val="22"/>
          <w:szCs w:val="22"/>
        </w:rPr>
        <w:t xml:space="preserve"> Kenneth O Morgan, ‘The Boer War and the media (1899-1902)’, Twentieth century British history 13:1 (2000) 1-16 (p.10).</w:t>
      </w:r>
    </w:p>
  </w:footnote>
  <w:footnote w:id="25">
    <w:p w14:paraId="4AF695E7" w14:textId="67CA13AA" w:rsidR="000719F8" w:rsidRPr="000719F8" w:rsidRDefault="000719F8" w:rsidP="000719F8">
      <w:pPr>
        <w:pStyle w:val="NoSpacing"/>
        <w:rPr>
          <w:rFonts w:ascii="Times New Roman" w:eastAsia="Times New Roman" w:hAnsi="Times New Roman" w:cs="Times New Roman"/>
        </w:rPr>
      </w:pPr>
      <w:r w:rsidRPr="000719F8">
        <w:rPr>
          <w:rStyle w:val="FootnoteReference"/>
          <w:rFonts w:ascii="Times New Roman" w:hAnsi="Times New Roman" w:cs="Times New Roman"/>
        </w:rPr>
        <w:footnoteRef/>
      </w:r>
      <w:r w:rsidRPr="000719F8">
        <w:rPr>
          <w:rFonts w:ascii="Times New Roman" w:hAnsi="Times New Roman" w:cs="Times New Roman"/>
        </w:rPr>
        <w:t xml:space="preserve"> CC 978-1051, Houses of Parliament. ‘South Africa—Conduct of the War: Present Situation; Recent Proclamations; Concentration Camps; Civil Administration’, 15</w:t>
      </w:r>
      <w:r w:rsidRPr="000719F8">
        <w:rPr>
          <w:rFonts w:ascii="Times New Roman" w:hAnsi="Times New Roman" w:cs="Times New Roman"/>
          <w:vertAlign w:val="superscript"/>
        </w:rPr>
        <w:t>th</w:t>
      </w:r>
      <w:r w:rsidRPr="000719F8">
        <w:rPr>
          <w:rFonts w:ascii="Times New Roman" w:hAnsi="Times New Roman" w:cs="Times New Roman"/>
        </w:rPr>
        <w:t xml:space="preserve"> August 1901, vol. 99.</w:t>
      </w:r>
    </w:p>
  </w:footnote>
  <w:footnote w:id="26">
    <w:p w14:paraId="392060AD" w14:textId="2A8980E0" w:rsidR="000719F8" w:rsidRPr="000719F8" w:rsidRDefault="000719F8">
      <w:pPr>
        <w:pStyle w:val="FootnoteText"/>
        <w:rPr>
          <w:rFonts w:ascii="Times New Roman" w:hAnsi="Times New Roman" w:cs="Times New Roman"/>
          <w:sz w:val="22"/>
          <w:szCs w:val="22"/>
        </w:rPr>
      </w:pPr>
      <w:r w:rsidRPr="000719F8">
        <w:rPr>
          <w:rStyle w:val="FootnoteReference"/>
          <w:rFonts w:ascii="Times New Roman" w:hAnsi="Times New Roman" w:cs="Times New Roman"/>
          <w:sz w:val="22"/>
          <w:szCs w:val="22"/>
        </w:rPr>
        <w:footnoteRef/>
      </w:r>
      <w:r w:rsidRPr="000719F8">
        <w:rPr>
          <w:rFonts w:ascii="Times New Roman" w:hAnsi="Times New Roman" w:cs="Times New Roman"/>
          <w:sz w:val="22"/>
          <w:szCs w:val="22"/>
        </w:rPr>
        <w:t xml:space="preserve"> A. Davey, </w:t>
      </w:r>
      <w:r w:rsidRPr="000719F8">
        <w:rPr>
          <w:rFonts w:ascii="Times New Roman" w:hAnsi="Times New Roman" w:cs="Times New Roman"/>
          <w:i/>
          <w:sz w:val="22"/>
          <w:szCs w:val="22"/>
        </w:rPr>
        <w:t>The British Pro-Boers 1877-1902</w:t>
      </w:r>
      <w:r w:rsidRPr="000719F8">
        <w:rPr>
          <w:rFonts w:ascii="Times New Roman" w:hAnsi="Times New Roman" w:cs="Times New Roman"/>
          <w:sz w:val="22"/>
          <w:szCs w:val="22"/>
        </w:rPr>
        <w:t>, p. 189</w:t>
      </w:r>
    </w:p>
  </w:footnote>
  <w:footnote w:id="27">
    <w:p w14:paraId="6910F94F" w14:textId="27031B35" w:rsidR="000719F8" w:rsidRPr="00113839" w:rsidRDefault="000719F8">
      <w:pPr>
        <w:pStyle w:val="FootnoteText"/>
        <w:rPr>
          <w:rFonts w:ascii="Times New Roman" w:hAnsi="Times New Roman" w:cs="Times New Roman"/>
          <w:sz w:val="22"/>
          <w:szCs w:val="22"/>
        </w:rPr>
      </w:pPr>
      <w:r w:rsidRPr="00113839">
        <w:rPr>
          <w:rStyle w:val="FootnoteReference"/>
          <w:rFonts w:ascii="Times New Roman" w:hAnsi="Times New Roman" w:cs="Times New Roman"/>
          <w:sz w:val="22"/>
          <w:szCs w:val="22"/>
        </w:rPr>
        <w:footnoteRef/>
      </w:r>
      <w:r w:rsidRPr="00113839">
        <w:rPr>
          <w:rFonts w:ascii="Times New Roman" w:hAnsi="Times New Roman" w:cs="Times New Roman"/>
          <w:sz w:val="22"/>
          <w:szCs w:val="22"/>
        </w:rPr>
        <w:t xml:space="preserve"> A. </w:t>
      </w:r>
      <w:r w:rsidRPr="00113839">
        <w:rPr>
          <w:rFonts w:ascii="Times New Roman" w:hAnsi="Times New Roman" w:cs="Times New Roman"/>
          <w:color w:val="222222"/>
          <w:sz w:val="22"/>
          <w:szCs w:val="22"/>
        </w:rPr>
        <w:t xml:space="preserve">Wessels, </w:t>
      </w:r>
      <w:r w:rsidRPr="00113839">
        <w:rPr>
          <w:rFonts w:ascii="Times New Roman" w:hAnsi="Times New Roman" w:cs="Times New Roman"/>
          <w:i/>
          <w:iCs/>
          <w:color w:val="222222"/>
          <w:sz w:val="22"/>
          <w:szCs w:val="22"/>
        </w:rPr>
        <w:t>The Anglo-Boer War 1889–1902: White Man's War, Black Man's War, Traumatic War</w:t>
      </w:r>
      <w:r w:rsidRPr="00113839">
        <w:rPr>
          <w:rFonts w:ascii="Times New Roman" w:hAnsi="Times New Roman" w:cs="Times New Roman"/>
          <w:color w:val="222222"/>
          <w:sz w:val="22"/>
          <w:szCs w:val="22"/>
        </w:rPr>
        <w:t>. (Stellenbosch: African Sun Media, 2011), p. </w:t>
      </w:r>
      <w:r w:rsidRPr="00113839">
        <w:rPr>
          <w:rFonts w:ascii="Times New Roman" w:hAnsi="Times New Roman" w:cs="Times New Roman"/>
          <w:sz w:val="22"/>
          <w:szCs w:val="22"/>
        </w:rPr>
        <w:t>79</w:t>
      </w:r>
    </w:p>
  </w:footnote>
  <w:footnote w:id="28">
    <w:p w14:paraId="02D53E0B" w14:textId="23D43B3B" w:rsidR="000719F8" w:rsidRPr="00113839" w:rsidRDefault="000719F8">
      <w:pPr>
        <w:pStyle w:val="FootnoteText"/>
        <w:rPr>
          <w:rFonts w:ascii="Times New Roman" w:hAnsi="Times New Roman" w:cs="Times New Roman"/>
        </w:rPr>
      </w:pPr>
      <w:r w:rsidRPr="00113839">
        <w:rPr>
          <w:rStyle w:val="FootnoteReference"/>
          <w:rFonts w:ascii="Times New Roman" w:hAnsi="Times New Roman" w:cs="Times New Roman"/>
          <w:sz w:val="22"/>
          <w:szCs w:val="22"/>
        </w:rPr>
        <w:footnoteRef/>
      </w:r>
      <w:r w:rsidRPr="00113839">
        <w:rPr>
          <w:rFonts w:ascii="Times New Roman" w:hAnsi="Times New Roman" w:cs="Times New Roman"/>
          <w:sz w:val="22"/>
          <w:szCs w:val="22"/>
        </w:rPr>
        <w:t xml:space="preserve"> </w:t>
      </w:r>
      <w:r w:rsidRPr="00113839">
        <w:rPr>
          <w:rFonts w:ascii="Times New Roman" w:hAnsi="Times New Roman" w:cs="Times New Roman"/>
          <w:i/>
          <w:sz w:val="22"/>
          <w:szCs w:val="22"/>
        </w:rPr>
        <w:t>Ibid.</w:t>
      </w:r>
    </w:p>
  </w:footnote>
  <w:footnote w:id="29">
    <w:p w14:paraId="216FFE0E" w14:textId="7B3E32B4" w:rsidR="000719F8" w:rsidRPr="00113839" w:rsidRDefault="000719F8" w:rsidP="000719F8">
      <w:pPr>
        <w:pStyle w:val="NoSpacing"/>
        <w:rPr>
          <w:rFonts w:ascii="Times New Roman" w:hAnsi="Times New Roman" w:cs="Times New Roman"/>
        </w:rPr>
      </w:pPr>
      <w:r w:rsidRPr="00113839">
        <w:rPr>
          <w:rStyle w:val="FootnoteReference"/>
          <w:rFonts w:ascii="Times New Roman" w:hAnsi="Times New Roman" w:cs="Times New Roman"/>
        </w:rPr>
        <w:footnoteRef/>
      </w:r>
      <w:r w:rsidRPr="00113839">
        <w:rPr>
          <w:rFonts w:ascii="Times New Roman" w:hAnsi="Times New Roman" w:cs="Times New Roman"/>
        </w:rPr>
        <w:t xml:space="preserve"> D. Lloyd George, The Great War speech delivered at the Queen's Hall, London, on 19</w:t>
      </w:r>
      <w:r w:rsidRPr="00113839">
        <w:rPr>
          <w:rFonts w:ascii="Times New Roman" w:hAnsi="Times New Roman" w:cs="Times New Roman"/>
          <w:vertAlign w:val="superscript"/>
        </w:rPr>
        <w:t>th</w:t>
      </w:r>
      <w:r w:rsidRPr="00113839">
        <w:rPr>
          <w:rFonts w:ascii="Times New Roman" w:hAnsi="Times New Roman" w:cs="Times New Roman"/>
        </w:rPr>
        <w:t xml:space="preserve"> September 1914, published by Toronto Hodder and Stoughton. </w:t>
      </w:r>
    </w:p>
  </w:footnote>
  <w:footnote w:id="30">
    <w:p w14:paraId="7E3F13C7" w14:textId="2D6F09AE" w:rsidR="000719F8" w:rsidRPr="00C8719A" w:rsidRDefault="000719F8">
      <w:pPr>
        <w:pStyle w:val="FootnoteText"/>
        <w:rPr>
          <w:sz w:val="22"/>
          <w:szCs w:val="22"/>
        </w:rPr>
      </w:pPr>
      <w:r w:rsidRPr="00113839">
        <w:rPr>
          <w:rStyle w:val="FootnoteReference"/>
          <w:rFonts w:ascii="Times New Roman" w:hAnsi="Times New Roman" w:cs="Times New Roman"/>
          <w:sz w:val="22"/>
          <w:szCs w:val="22"/>
        </w:rPr>
        <w:footnoteRef/>
      </w:r>
      <w:r w:rsidRPr="00113839">
        <w:rPr>
          <w:rFonts w:ascii="Times New Roman" w:hAnsi="Times New Roman" w:cs="Times New Roman"/>
          <w:sz w:val="22"/>
          <w:szCs w:val="22"/>
        </w:rPr>
        <w:t xml:space="preserve"> </w:t>
      </w:r>
      <w:proofErr w:type="spellStart"/>
      <w:r w:rsidR="00C8719A" w:rsidRPr="00113839">
        <w:rPr>
          <w:rFonts w:ascii="Times New Roman" w:hAnsi="Times New Roman" w:cs="Times New Roman"/>
          <w:sz w:val="22"/>
          <w:szCs w:val="22"/>
        </w:rPr>
        <w:t>Kenmuir</w:t>
      </w:r>
      <w:proofErr w:type="spellEnd"/>
      <w:r w:rsidR="00C8719A" w:rsidRPr="00113839">
        <w:rPr>
          <w:rFonts w:ascii="Times New Roman" w:hAnsi="Times New Roman" w:cs="Times New Roman"/>
          <w:sz w:val="22"/>
          <w:szCs w:val="22"/>
        </w:rPr>
        <w:t xml:space="preserve"> Whitworth Douglas, ‘</w:t>
      </w:r>
      <w:r w:rsidR="00C8719A" w:rsidRPr="00113839">
        <w:rPr>
          <w:rFonts w:ascii="Times New Roman" w:hAnsi="Times New Roman" w:cs="Times New Roman"/>
          <w:color w:val="222222"/>
          <w:sz w:val="22"/>
          <w:szCs w:val="22"/>
          <w:shd w:val="clear" w:color="auto" w:fill="FFFFFF"/>
        </w:rPr>
        <w:t>North Wales Chronicle and Advertiser for the Principality, (September 1914), held by National Library of Wales, [online].</w:t>
      </w:r>
    </w:p>
  </w:footnote>
  <w:footnote w:id="31">
    <w:p w14:paraId="5EB76CB7" w14:textId="4AB619F9" w:rsidR="000719F8" w:rsidRPr="00C8719A" w:rsidRDefault="000719F8" w:rsidP="00C8719A">
      <w:pPr>
        <w:pStyle w:val="NoSpacing"/>
        <w:jc w:val="both"/>
        <w:rPr>
          <w:rFonts w:ascii="Times New Roman" w:hAnsi="Times New Roman" w:cs="Times New Roman"/>
        </w:rPr>
      </w:pPr>
      <w:r w:rsidRPr="00C8719A">
        <w:rPr>
          <w:rStyle w:val="FootnoteReference"/>
        </w:rPr>
        <w:footnoteRef/>
      </w:r>
      <w:r w:rsidRPr="00C8719A">
        <w:t xml:space="preserve"> </w:t>
      </w:r>
      <w:r w:rsidR="00C8719A" w:rsidRPr="00C8719A">
        <w:rPr>
          <w:rFonts w:ascii="Times New Roman" w:hAnsi="Times New Roman" w:cs="Times New Roman"/>
        </w:rPr>
        <w:t>J. Daniel, ‘The Carmarthen Journal and South Wales weekly advertiser’ (September 1914) held by National Library of Wales, [online].</w:t>
      </w:r>
    </w:p>
  </w:footnote>
  <w:footnote w:id="32">
    <w:p w14:paraId="20433BCE" w14:textId="7EC7A93B" w:rsidR="000719F8" w:rsidRPr="00C16B98" w:rsidRDefault="000719F8" w:rsidP="00C16B98">
      <w:pPr>
        <w:pStyle w:val="NoSpacing"/>
        <w:rPr>
          <w:rFonts w:ascii="Times New Roman" w:hAnsi="Times New Roman" w:cs="Times New Roman"/>
        </w:rPr>
      </w:pPr>
      <w:r w:rsidRPr="00C8719A">
        <w:rPr>
          <w:rStyle w:val="FootnoteReference"/>
          <w:rFonts w:ascii="Times New Roman" w:hAnsi="Times New Roman" w:cs="Times New Roman"/>
        </w:rPr>
        <w:footnoteRef/>
      </w:r>
      <w:r w:rsidRPr="00C8719A">
        <w:rPr>
          <w:rFonts w:ascii="Times New Roman" w:hAnsi="Times New Roman" w:cs="Times New Roman"/>
        </w:rPr>
        <w:t xml:space="preserve"> G.J. Jones, </w:t>
      </w:r>
      <w:r w:rsidRPr="00C8719A">
        <w:rPr>
          <w:rFonts w:ascii="Times New Roman" w:hAnsi="Times New Roman" w:cs="Times New Roman"/>
          <w:i/>
        </w:rPr>
        <w:t>Wales and a Quest for Peace</w:t>
      </w:r>
      <w:r w:rsidRPr="00C8719A">
        <w:rPr>
          <w:rFonts w:ascii="Times New Roman" w:hAnsi="Times New Roman" w:cs="Times New Roman"/>
        </w:rPr>
        <w:t xml:space="preserve"> (Cowbridge: University of Wales Press, 1969), p. 89.</w:t>
      </w:r>
    </w:p>
  </w:footnote>
  <w:footnote w:id="33">
    <w:p w14:paraId="6E58A713" w14:textId="0007AB5F" w:rsidR="000719F8" w:rsidRDefault="000719F8">
      <w:pPr>
        <w:pStyle w:val="FootnoteText"/>
      </w:pPr>
      <w:r>
        <w:rPr>
          <w:rStyle w:val="FootnoteReference"/>
        </w:rPr>
        <w:footnoteRef/>
      </w:r>
      <w:r>
        <w:t xml:space="preserve"> </w:t>
      </w:r>
      <w:r w:rsidRPr="006765DA">
        <w:rPr>
          <w:rFonts w:ascii="Times New Roman" w:hAnsi="Times New Roman" w:cs="Times New Roman"/>
          <w:i/>
          <w:sz w:val="22"/>
        </w:rPr>
        <w:t>Ibid.</w:t>
      </w:r>
    </w:p>
  </w:footnote>
  <w:footnote w:id="34">
    <w:p w14:paraId="62BF0E51" w14:textId="3BD7078A" w:rsidR="000719F8" w:rsidRDefault="000719F8">
      <w:pPr>
        <w:pStyle w:val="FootnoteText"/>
      </w:pPr>
      <w:r>
        <w:rPr>
          <w:rStyle w:val="FootnoteReference"/>
        </w:rPr>
        <w:footnoteRef/>
      </w:r>
      <w:r>
        <w:t xml:space="preserve"> </w:t>
      </w:r>
      <w:r w:rsidRPr="006765DA">
        <w:rPr>
          <w:rFonts w:ascii="Times New Roman" w:hAnsi="Times New Roman" w:cs="Times New Roman"/>
          <w:sz w:val="22"/>
        </w:rPr>
        <w:t xml:space="preserve">Excerpt from </w:t>
      </w:r>
      <w:r w:rsidRPr="006765DA">
        <w:rPr>
          <w:rFonts w:ascii="Times New Roman" w:hAnsi="Times New Roman" w:cs="Times New Roman"/>
          <w:i/>
          <w:sz w:val="22"/>
        </w:rPr>
        <w:t xml:space="preserve">Y </w:t>
      </w:r>
      <w:proofErr w:type="spellStart"/>
      <w:r w:rsidRPr="006765DA">
        <w:rPr>
          <w:rFonts w:ascii="Times New Roman" w:hAnsi="Times New Roman" w:cs="Times New Roman"/>
          <w:i/>
          <w:sz w:val="22"/>
        </w:rPr>
        <w:t>Tyst</w:t>
      </w:r>
      <w:proofErr w:type="spellEnd"/>
      <w:r w:rsidRPr="006765DA">
        <w:rPr>
          <w:rFonts w:ascii="Times New Roman" w:hAnsi="Times New Roman" w:cs="Times New Roman"/>
          <w:sz w:val="22"/>
        </w:rPr>
        <w:t>, published 30</w:t>
      </w:r>
      <w:r w:rsidRPr="006765DA">
        <w:rPr>
          <w:rFonts w:ascii="Times New Roman" w:hAnsi="Times New Roman" w:cs="Times New Roman"/>
          <w:sz w:val="22"/>
          <w:vertAlign w:val="superscript"/>
        </w:rPr>
        <w:t>th</w:t>
      </w:r>
      <w:r w:rsidRPr="006765DA">
        <w:rPr>
          <w:rFonts w:ascii="Times New Roman" w:hAnsi="Times New Roman" w:cs="Times New Roman"/>
          <w:sz w:val="22"/>
        </w:rPr>
        <w:t xml:space="preserve"> September 1914 and can be found in G.J. Jones, </w:t>
      </w:r>
      <w:r w:rsidRPr="006765DA">
        <w:rPr>
          <w:rFonts w:ascii="Times New Roman" w:hAnsi="Times New Roman" w:cs="Times New Roman"/>
          <w:i/>
          <w:sz w:val="22"/>
        </w:rPr>
        <w:t>Wales and a Quest for Peace</w:t>
      </w:r>
      <w:r w:rsidRPr="006765DA">
        <w:rPr>
          <w:rFonts w:ascii="Times New Roman" w:hAnsi="Times New Roman" w:cs="Times New Roman"/>
          <w:sz w:val="22"/>
        </w:rPr>
        <w:t>, p. 91.</w:t>
      </w:r>
    </w:p>
  </w:footnote>
  <w:footnote w:id="35">
    <w:p w14:paraId="16EFD806" w14:textId="389385A0" w:rsidR="000719F8" w:rsidRDefault="000719F8" w:rsidP="000651F5">
      <w:pPr>
        <w:pStyle w:val="FootnoteText"/>
      </w:pPr>
      <w:r>
        <w:rPr>
          <w:rStyle w:val="FootnoteReference"/>
        </w:rPr>
        <w:footnoteRef/>
      </w:r>
      <w:r>
        <w:t xml:space="preserve"> </w:t>
      </w:r>
      <w:r w:rsidRPr="006765DA">
        <w:rPr>
          <w:rFonts w:ascii="Times New Roman" w:hAnsi="Times New Roman" w:cs="Times New Roman"/>
          <w:sz w:val="22"/>
          <w:szCs w:val="22"/>
        </w:rPr>
        <w:t xml:space="preserve">Jones, </w:t>
      </w:r>
      <w:r w:rsidRPr="006765DA">
        <w:rPr>
          <w:rFonts w:ascii="Times New Roman" w:hAnsi="Times New Roman" w:cs="Times New Roman"/>
          <w:i/>
          <w:sz w:val="22"/>
          <w:szCs w:val="22"/>
        </w:rPr>
        <w:t>Wales and a Quest for Peace</w:t>
      </w:r>
      <w:r w:rsidRPr="006765DA">
        <w:rPr>
          <w:rFonts w:ascii="Times New Roman" w:hAnsi="Times New Roman" w:cs="Times New Roman"/>
          <w:sz w:val="22"/>
          <w:szCs w:val="22"/>
        </w:rPr>
        <w:t>, p. xvi</w:t>
      </w:r>
    </w:p>
  </w:footnote>
  <w:footnote w:id="36">
    <w:p w14:paraId="0A3F187A" w14:textId="767F3E4D" w:rsidR="000719F8" w:rsidRPr="006765DA" w:rsidRDefault="000719F8" w:rsidP="000651F5">
      <w:pPr>
        <w:pStyle w:val="FootnoteText"/>
      </w:pPr>
      <w:r>
        <w:rPr>
          <w:rStyle w:val="FootnoteReference"/>
        </w:rPr>
        <w:footnoteRef/>
      </w:r>
      <w:r>
        <w:t xml:space="preserve"> G</w:t>
      </w:r>
      <w:r w:rsidRPr="006765DA">
        <w:rPr>
          <w:rFonts w:ascii="Times New Roman" w:hAnsi="Times New Roman" w:cs="Times New Roman"/>
          <w:sz w:val="22"/>
          <w:szCs w:val="22"/>
        </w:rPr>
        <w:t xml:space="preserve"> Jones, </w:t>
      </w:r>
      <w:r w:rsidRPr="006765DA">
        <w:rPr>
          <w:rFonts w:ascii="Times New Roman" w:hAnsi="Times New Roman" w:cs="Times New Roman"/>
          <w:i/>
          <w:sz w:val="22"/>
          <w:szCs w:val="22"/>
        </w:rPr>
        <w:t>Wales and a Quest for Peace</w:t>
      </w:r>
      <w:r w:rsidRPr="006765DA">
        <w:rPr>
          <w:rFonts w:ascii="Times New Roman" w:hAnsi="Times New Roman" w:cs="Times New Roman"/>
          <w:sz w:val="22"/>
          <w:szCs w:val="22"/>
        </w:rPr>
        <w:t>, pp. 29-31.</w:t>
      </w:r>
      <w:r w:rsidRPr="006765DA">
        <w:t xml:space="preserve"> </w:t>
      </w:r>
    </w:p>
  </w:footnote>
  <w:footnote w:id="37">
    <w:p w14:paraId="64B07F61" w14:textId="4FF642F8" w:rsidR="000719F8" w:rsidRDefault="000719F8">
      <w:pPr>
        <w:pStyle w:val="FootnoteText"/>
      </w:pPr>
      <w:r>
        <w:rPr>
          <w:rStyle w:val="FootnoteReference"/>
        </w:rPr>
        <w:footnoteRef/>
      </w:r>
      <w:r>
        <w:t xml:space="preserve"> </w:t>
      </w:r>
      <w:r w:rsidRPr="006765DA">
        <w:rPr>
          <w:rFonts w:ascii="Times New Roman" w:hAnsi="Times New Roman" w:cs="Times New Roman"/>
          <w:i/>
          <w:sz w:val="22"/>
          <w:szCs w:val="22"/>
        </w:rPr>
        <w:t>Wales and a Quest for Peace</w:t>
      </w:r>
      <w:r>
        <w:t xml:space="preserve">, </w:t>
      </w:r>
      <w:r w:rsidRPr="006765DA">
        <w:rPr>
          <w:rFonts w:ascii="Times New Roman" w:hAnsi="Times New Roman" w:cs="Times New Roman"/>
          <w:sz w:val="22"/>
        </w:rPr>
        <w:t>p. 91</w:t>
      </w:r>
    </w:p>
  </w:footnote>
  <w:footnote w:id="38">
    <w:p w14:paraId="6F8AD4AF" w14:textId="42429DDC" w:rsidR="000719F8" w:rsidRDefault="000719F8">
      <w:pPr>
        <w:pStyle w:val="FootnoteText"/>
      </w:pPr>
      <w:r>
        <w:rPr>
          <w:rStyle w:val="FootnoteReference"/>
        </w:rPr>
        <w:footnoteRef/>
      </w:r>
      <w:r>
        <w:t xml:space="preserve"> </w:t>
      </w:r>
      <w:r w:rsidRPr="006765DA">
        <w:rPr>
          <w:rFonts w:ascii="Times New Roman" w:hAnsi="Times New Roman" w:cs="Times New Roman"/>
          <w:i/>
          <w:sz w:val="22"/>
        </w:rPr>
        <w:t>Ibid.</w:t>
      </w:r>
    </w:p>
  </w:footnote>
  <w:footnote w:id="39">
    <w:p w14:paraId="28C3CA52" w14:textId="77ADC9B4" w:rsidR="000719F8" w:rsidRPr="0011113A" w:rsidRDefault="000719F8" w:rsidP="0011113A">
      <w:pPr>
        <w:pStyle w:val="NoSpacing"/>
        <w:rPr>
          <w:rFonts w:ascii="Times New Roman" w:hAnsi="Times New Roman" w:cs="Times New Roman"/>
        </w:rPr>
      </w:pPr>
      <w:r>
        <w:rPr>
          <w:rStyle w:val="FootnoteReference"/>
        </w:rPr>
        <w:footnoteRef/>
      </w:r>
      <w:r>
        <w:t xml:space="preserve"> </w:t>
      </w:r>
      <w:r w:rsidRPr="0011113A">
        <w:rPr>
          <w:rFonts w:ascii="Times New Roman" w:hAnsi="Times New Roman" w:cs="Times New Roman"/>
        </w:rPr>
        <w:t xml:space="preserve">K.O. Morgan, </w:t>
      </w:r>
      <w:r w:rsidRPr="0011113A">
        <w:rPr>
          <w:rFonts w:ascii="Times New Roman" w:hAnsi="Times New Roman" w:cs="Times New Roman"/>
          <w:i/>
        </w:rPr>
        <w:t>Modern Wales: Politics, Places and Peopl</w:t>
      </w:r>
      <w:r>
        <w:rPr>
          <w:rFonts w:ascii="Times New Roman" w:hAnsi="Times New Roman" w:cs="Times New Roman"/>
          <w:i/>
        </w:rPr>
        <w:t>e,</w:t>
      </w:r>
      <w:r>
        <w:rPr>
          <w:rFonts w:ascii="Times New Roman" w:hAnsi="Times New Roman" w:cs="Times New Roman"/>
        </w:rPr>
        <w:t xml:space="preserve"> p. 160.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1BAD1" w14:textId="0C0EE276" w:rsidR="007E40DE" w:rsidRPr="007E40DE" w:rsidRDefault="007E40DE" w:rsidP="007E40DE">
    <w:pPr>
      <w:pStyle w:val="Header"/>
      <w:rPr>
        <w:rFonts w:ascii="Times New Roman" w:hAnsi="Times New Roman" w:cs="Times New Roman"/>
      </w:rPr>
    </w:pPr>
    <w:r w:rsidRPr="007E40DE">
      <w:rPr>
        <w:rFonts w:ascii="Times New Roman" w:hAnsi="Times New Roman" w:cs="Times New Roman"/>
      </w:rPr>
      <w:t>Rhiannon Morgan</w:t>
    </w:r>
    <w:r w:rsidRPr="007E40DE">
      <w:rPr>
        <w:rFonts w:ascii="Times New Roman" w:hAnsi="Times New Roman" w:cs="Times New Roman"/>
      </w:rPr>
      <w:ptab w:relativeTo="margin" w:alignment="center" w:leader="none"/>
    </w:r>
    <w:r w:rsidRPr="007E40DE">
      <w:rPr>
        <w:rFonts w:ascii="Times New Roman" w:hAnsi="Times New Roman" w:cs="Times New Roman"/>
      </w:rPr>
      <w:t xml:space="preserve">  </w:t>
    </w:r>
    <w:r w:rsidRPr="007E40DE">
      <w:rPr>
        <w:rFonts w:ascii="Times New Roman" w:hAnsi="Times New Roman" w:cs="Times New Roman"/>
      </w:rPr>
      <w:tab/>
      <w:t>HPHI6001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A62FFF"/>
    <w:multiLevelType w:val="hybridMultilevel"/>
    <w:tmpl w:val="2438DA7A"/>
    <w:lvl w:ilvl="0" w:tplc="3D567A98">
      <w:start w:val="1"/>
      <w:numFmt w:val="decimal"/>
      <w:lvlText w:val="%1."/>
      <w:lvlJc w:val="left"/>
      <w:pPr>
        <w:ind w:left="501" w:hanging="360"/>
      </w:pPr>
      <w:rPr>
        <w:b/>
      </w:rPr>
    </w:lvl>
    <w:lvl w:ilvl="1" w:tplc="08090019">
      <w:start w:val="1"/>
      <w:numFmt w:val="lowerLetter"/>
      <w:lvlText w:val="%2."/>
      <w:lvlJc w:val="left"/>
      <w:pPr>
        <w:ind w:left="1221" w:hanging="360"/>
      </w:pPr>
    </w:lvl>
    <w:lvl w:ilvl="2" w:tplc="0809001B">
      <w:start w:val="1"/>
      <w:numFmt w:val="lowerRoman"/>
      <w:lvlText w:val="%3."/>
      <w:lvlJc w:val="right"/>
      <w:pPr>
        <w:ind w:left="1941" w:hanging="180"/>
      </w:pPr>
    </w:lvl>
    <w:lvl w:ilvl="3" w:tplc="0809000F">
      <w:start w:val="1"/>
      <w:numFmt w:val="decimal"/>
      <w:lvlText w:val="%4."/>
      <w:lvlJc w:val="left"/>
      <w:pPr>
        <w:ind w:left="2661" w:hanging="360"/>
      </w:pPr>
    </w:lvl>
    <w:lvl w:ilvl="4" w:tplc="08090019">
      <w:start w:val="1"/>
      <w:numFmt w:val="lowerLetter"/>
      <w:lvlText w:val="%5."/>
      <w:lvlJc w:val="left"/>
      <w:pPr>
        <w:ind w:left="3381" w:hanging="360"/>
      </w:pPr>
    </w:lvl>
    <w:lvl w:ilvl="5" w:tplc="0809001B">
      <w:start w:val="1"/>
      <w:numFmt w:val="lowerRoman"/>
      <w:lvlText w:val="%6."/>
      <w:lvlJc w:val="right"/>
      <w:pPr>
        <w:ind w:left="4101" w:hanging="180"/>
      </w:pPr>
    </w:lvl>
    <w:lvl w:ilvl="6" w:tplc="0809000F">
      <w:start w:val="1"/>
      <w:numFmt w:val="decimal"/>
      <w:lvlText w:val="%7."/>
      <w:lvlJc w:val="left"/>
      <w:pPr>
        <w:ind w:left="4821" w:hanging="360"/>
      </w:pPr>
    </w:lvl>
    <w:lvl w:ilvl="7" w:tplc="08090019">
      <w:start w:val="1"/>
      <w:numFmt w:val="lowerLetter"/>
      <w:lvlText w:val="%8."/>
      <w:lvlJc w:val="left"/>
      <w:pPr>
        <w:ind w:left="5541" w:hanging="360"/>
      </w:pPr>
    </w:lvl>
    <w:lvl w:ilvl="8" w:tplc="0809001B">
      <w:start w:val="1"/>
      <w:numFmt w:val="lowerRoman"/>
      <w:lvlText w:val="%9."/>
      <w:lvlJc w:val="right"/>
      <w:pPr>
        <w:ind w:left="626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6A4"/>
    <w:rsid w:val="000034E7"/>
    <w:rsid w:val="000062A9"/>
    <w:rsid w:val="00007218"/>
    <w:rsid w:val="00007FDD"/>
    <w:rsid w:val="00013930"/>
    <w:rsid w:val="00047F8C"/>
    <w:rsid w:val="000651F5"/>
    <w:rsid w:val="000719F8"/>
    <w:rsid w:val="000853BC"/>
    <w:rsid w:val="000B38EB"/>
    <w:rsid w:val="000C7242"/>
    <w:rsid w:val="0011113A"/>
    <w:rsid w:val="00113839"/>
    <w:rsid w:val="001B6EA2"/>
    <w:rsid w:val="001E62F1"/>
    <w:rsid w:val="001F624F"/>
    <w:rsid w:val="00221961"/>
    <w:rsid w:val="0022572A"/>
    <w:rsid w:val="00261EB6"/>
    <w:rsid w:val="00283E7E"/>
    <w:rsid w:val="002B15AA"/>
    <w:rsid w:val="00315FD1"/>
    <w:rsid w:val="00346264"/>
    <w:rsid w:val="003600FC"/>
    <w:rsid w:val="00387EBE"/>
    <w:rsid w:val="0039228C"/>
    <w:rsid w:val="003A1275"/>
    <w:rsid w:val="003C4191"/>
    <w:rsid w:val="003D3060"/>
    <w:rsid w:val="003D40B1"/>
    <w:rsid w:val="0040188C"/>
    <w:rsid w:val="004276F0"/>
    <w:rsid w:val="00441688"/>
    <w:rsid w:val="00443D1C"/>
    <w:rsid w:val="00451DB0"/>
    <w:rsid w:val="004A66A4"/>
    <w:rsid w:val="004C1733"/>
    <w:rsid w:val="0052219F"/>
    <w:rsid w:val="00535A49"/>
    <w:rsid w:val="00586E5D"/>
    <w:rsid w:val="005C04BA"/>
    <w:rsid w:val="005C3E8D"/>
    <w:rsid w:val="005D432E"/>
    <w:rsid w:val="005E4112"/>
    <w:rsid w:val="0060000E"/>
    <w:rsid w:val="00602376"/>
    <w:rsid w:val="00653A54"/>
    <w:rsid w:val="006765DA"/>
    <w:rsid w:val="006F19C0"/>
    <w:rsid w:val="006F5CF6"/>
    <w:rsid w:val="0070262E"/>
    <w:rsid w:val="0072215F"/>
    <w:rsid w:val="0073554B"/>
    <w:rsid w:val="007445A3"/>
    <w:rsid w:val="00760B64"/>
    <w:rsid w:val="007A29ED"/>
    <w:rsid w:val="007B24FC"/>
    <w:rsid w:val="007B48BD"/>
    <w:rsid w:val="007C429D"/>
    <w:rsid w:val="007E40DE"/>
    <w:rsid w:val="00814FC7"/>
    <w:rsid w:val="00832E53"/>
    <w:rsid w:val="00840253"/>
    <w:rsid w:val="00851381"/>
    <w:rsid w:val="008865AF"/>
    <w:rsid w:val="008B4590"/>
    <w:rsid w:val="008D1A78"/>
    <w:rsid w:val="008E3FF3"/>
    <w:rsid w:val="008F3886"/>
    <w:rsid w:val="00904898"/>
    <w:rsid w:val="00915436"/>
    <w:rsid w:val="009302A5"/>
    <w:rsid w:val="00950D40"/>
    <w:rsid w:val="00961D5E"/>
    <w:rsid w:val="00973804"/>
    <w:rsid w:val="009D1A98"/>
    <w:rsid w:val="009D1E9C"/>
    <w:rsid w:val="00A24AF4"/>
    <w:rsid w:val="00A465DD"/>
    <w:rsid w:val="00A76C40"/>
    <w:rsid w:val="00A937E5"/>
    <w:rsid w:val="00AA009D"/>
    <w:rsid w:val="00AA3CC9"/>
    <w:rsid w:val="00AD7F00"/>
    <w:rsid w:val="00B2745D"/>
    <w:rsid w:val="00B368A7"/>
    <w:rsid w:val="00B50581"/>
    <w:rsid w:val="00B72FD0"/>
    <w:rsid w:val="00BB3BA1"/>
    <w:rsid w:val="00BF54F3"/>
    <w:rsid w:val="00C14FDD"/>
    <w:rsid w:val="00C16B98"/>
    <w:rsid w:val="00C455B3"/>
    <w:rsid w:val="00C8719A"/>
    <w:rsid w:val="00CB134B"/>
    <w:rsid w:val="00CB78E1"/>
    <w:rsid w:val="00D15FA4"/>
    <w:rsid w:val="00D46501"/>
    <w:rsid w:val="00D57720"/>
    <w:rsid w:val="00D83619"/>
    <w:rsid w:val="00D91D0A"/>
    <w:rsid w:val="00DA4CAC"/>
    <w:rsid w:val="00DB4718"/>
    <w:rsid w:val="00DB4F4A"/>
    <w:rsid w:val="00DC2199"/>
    <w:rsid w:val="00DE120F"/>
    <w:rsid w:val="00E014D9"/>
    <w:rsid w:val="00E0474F"/>
    <w:rsid w:val="00E11419"/>
    <w:rsid w:val="00E43DD6"/>
    <w:rsid w:val="00E568E5"/>
    <w:rsid w:val="00E57171"/>
    <w:rsid w:val="00E829D0"/>
    <w:rsid w:val="00EC1C07"/>
    <w:rsid w:val="00EE77B7"/>
    <w:rsid w:val="00F0589E"/>
    <w:rsid w:val="00F15E2C"/>
    <w:rsid w:val="00F50D77"/>
    <w:rsid w:val="00F71D04"/>
    <w:rsid w:val="00F827FE"/>
    <w:rsid w:val="00F97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A834B"/>
  <w15:chartTrackingRefBased/>
  <w15:docId w15:val="{39405F04-2D7B-4DE5-AFD3-099098442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66A4"/>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814FC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6A4"/>
    <w:pPr>
      <w:ind w:left="720"/>
      <w:contextualSpacing/>
    </w:pPr>
  </w:style>
  <w:style w:type="paragraph" w:styleId="NoSpacing">
    <w:name w:val="No Spacing"/>
    <w:uiPriority w:val="1"/>
    <w:qFormat/>
    <w:rsid w:val="004C1733"/>
    <w:pPr>
      <w:spacing w:after="0" w:line="240" w:lineRule="auto"/>
    </w:pPr>
    <w:rPr>
      <w:rFonts w:eastAsiaTheme="minorEastAsia"/>
      <w:lang w:eastAsia="en-GB"/>
    </w:rPr>
  </w:style>
  <w:style w:type="paragraph" w:styleId="FootnoteText">
    <w:name w:val="footnote text"/>
    <w:basedOn w:val="Normal"/>
    <w:link w:val="FootnoteTextChar"/>
    <w:uiPriority w:val="99"/>
    <w:unhideWhenUsed/>
    <w:rsid w:val="004C1733"/>
    <w:pPr>
      <w:spacing w:after="0" w:line="240" w:lineRule="auto"/>
    </w:pPr>
    <w:rPr>
      <w:sz w:val="20"/>
      <w:szCs w:val="20"/>
    </w:rPr>
  </w:style>
  <w:style w:type="character" w:customStyle="1" w:styleId="FootnoteTextChar">
    <w:name w:val="Footnote Text Char"/>
    <w:basedOn w:val="DefaultParagraphFont"/>
    <w:link w:val="FootnoteText"/>
    <w:uiPriority w:val="99"/>
    <w:rsid w:val="004C1733"/>
    <w:rPr>
      <w:rFonts w:eastAsiaTheme="minorEastAsia"/>
      <w:sz w:val="20"/>
      <w:szCs w:val="20"/>
      <w:lang w:eastAsia="en-GB"/>
    </w:rPr>
  </w:style>
  <w:style w:type="character" w:styleId="FootnoteReference">
    <w:name w:val="footnote reference"/>
    <w:basedOn w:val="DefaultParagraphFont"/>
    <w:uiPriority w:val="99"/>
    <w:semiHidden/>
    <w:unhideWhenUsed/>
    <w:rsid w:val="004C1733"/>
    <w:rPr>
      <w:vertAlign w:val="superscript"/>
    </w:rPr>
  </w:style>
  <w:style w:type="character" w:styleId="Hyperlink">
    <w:name w:val="Hyperlink"/>
    <w:basedOn w:val="DefaultParagraphFont"/>
    <w:uiPriority w:val="99"/>
    <w:unhideWhenUsed/>
    <w:rsid w:val="00BB3BA1"/>
    <w:rPr>
      <w:color w:val="0563C1" w:themeColor="hyperlink"/>
      <w:u w:val="single"/>
    </w:rPr>
  </w:style>
  <w:style w:type="character" w:customStyle="1" w:styleId="UnresolvedMention1">
    <w:name w:val="Unresolved Mention1"/>
    <w:basedOn w:val="DefaultParagraphFont"/>
    <w:uiPriority w:val="99"/>
    <w:semiHidden/>
    <w:unhideWhenUsed/>
    <w:rsid w:val="00BB3BA1"/>
    <w:rPr>
      <w:color w:val="808080"/>
      <w:shd w:val="clear" w:color="auto" w:fill="E6E6E6"/>
    </w:rPr>
  </w:style>
  <w:style w:type="paragraph" w:styleId="Quote">
    <w:name w:val="Quote"/>
    <w:basedOn w:val="Normal"/>
    <w:next w:val="Normal"/>
    <w:link w:val="QuoteChar"/>
    <w:uiPriority w:val="29"/>
    <w:qFormat/>
    <w:rsid w:val="000034E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34E7"/>
    <w:rPr>
      <w:rFonts w:eastAsiaTheme="minorEastAsia"/>
      <w:i/>
      <w:iCs/>
      <w:color w:val="404040" w:themeColor="text1" w:themeTint="BF"/>
      <w:lang w:eastAsia="en-GB"/>
    </w:rPr>
  </w:style>
  <w:style w:type="paragraph" w:styleId="HTMLPreformatted">
    <w:name w:val="HTML Preformatted"/>
    <w:basedOn w:val="Normal"/>
    <w:link w:val="HTMLPreformattedChar"/>
    <w:uiPriority w:val="99"/>
    <w:semiHidden/>
    <w:unhideWhenUsed/>
    <w:rsid w:val="00E11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11419"/>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814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FC7"/>
    <w:rPr>
      <w:rFonts w:eastAsiaTheme="minorEastAsia"/>
      <w:lang w:eastAsia="en-GB"/>
    </w:rPr>
  </w:style>
  <w:style w:type="paragraph" w:styleId="Footer">
    <w:name w:val="footer"/>
    <w:basedOn w:val="Normal"/>
    <w:link w:val="FooterChar"/>
    <w:uiPriority w:val="99"/>
    <w:unhideWhenUsed/>
    <w:rsid w:val="00814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FC7"/>
    <w:rPr>
      <w:rFonts w:eastAsiaTheme="minorEastAsia"/>
      <w:lang w:eastAsia="en-GB"/>
    </w:rPr>
  </w:style>
  <w:style w:type="character" w:customStyle="1" w:styleId="Heading1Char">
    <w:name w:val="Heading 1 Char"/>
    <w:basedOn w:val="DefaultParagraphFont"/>
    <w:link w:val="Heading1"/>
    <w:uiPriority w:val="9"/>
    <w:rsid w:val="00814FC7"/>
    <w:rPr>
      <w:rFonts w:asciiTheme="majorHAnsi" w:eastAsiaTheme="majorEastAsia" w:hAnsiTheme="majorHAnsi" w:cstheme="majorBidi"/>
      <w:color w:val="2F5496" w:themeColor="accent1" w:themeShade="BF"/>
      <w:sz w:val="32"/>
      <w:szCs w:val="32"/>
      <w:lang w:val="en-US"/>
    </w:rPr>
  </w:style>
  <w:style w:type="character" w:styleId="UnresolvedMention">
    <w:name w:val="Unresolved Mention"/>
    <w:basedOn w:val="DefaultParagraphFont"/>
    <w:uiPriority w:val="99"/>
    <w:semiHidden/>
    <w:unhideWhenUsed/>
    <w:rsid w:val="006765DA"/>
    <w:rPr>
      <w:color w:val="808080"/>
      <w:shd w:val="clear" w:color="auto" w:fill="E6E6E6"/>
    </w:rPr>
  </w:style>
  <w:style w:type="character" w:styleId="FollowedHyperlink">
    <w:name w:val="FollowedHyperlink"/>
    <w:basedOn w:val="DefaultParagraphFont"/>
    <w:uiPriority w:val="99"/>
    <w:semiHidden/>
    <w:unhideWhenUsed/>
    <w:rsid w:val="007B48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356699">
      <w:bodyDiv w:val="1"/>
      <w:marLeft w:val="0"/>
      <w:marRight w:val="0"/>
      <w:marTop w:val="0"/>
      <w:marBottom w:val="0"/>
      <w:divBdr>
        <w:top w:val="none" w:sz="0" w:space="0" w:color="auto"/>
        <w:left w:val="none" w:sz="0" w:space="0" w:color="auto"/>
        <w:bottom w:val="none" w:sz="0" w:space="0" w:color="auto"/>
        <w:right w:val="none" w:sz="0" w:space="0" w:color="auto"/>
      </w:divBdr>
    </w:div>
    <w:div w:id="896017315">
      <w:bodyDiv w:val="1"/>
      <w:marLeft w:val="0"/>
      <w:marRight w:val="0"/>
      <w:marTop w:val="0"/>
      <w:marBottom w:val="0"/>
      <w:divBdr>
        <w:top w:val="none" w:sz="0" w:space="0" w:color="auto"/>
        <w:left w:val="none" w:sz="0" w:space="0" w:color="auto"/>
        <w:bottom w:val="none" w:sz="0" w:space="0" w:color="auto"/>
        <w:right w:val="none" w:sz="0" w:space="0" w:color="auto"/>
      </w:divBdr>
    </w:div>
    <w:div w:id="1533882105">
      <w:bodyDiv w:val="1"/>
      <w:marLeft w:val="0"/>
      <w:marRight w:val="0"/>
      <w:marTop w:val="0"/>
      <w:marBottom w:val="0"/>
      <w:divBdr>
        <w:top w:val="none" w:sz="0" w:space="0" w:color="auto"/>
        <w:left w:val="none" w:sz="0" w:space="0" w:color="auto"/>
        <w:bottom w:val="none" w:sz="0" w:space="0" w:color="auto"/>
        <w:right w:val="none" w:sz="0" w:space="0" w:color="auto"/>
      </w:divBdr>
    </w:div>
    <w:div w:id="1768500503">
      <w:bodyDiv w:val="1"/>
      <w:marLeft w:val="0"/>
      <w:marRight w:val="0"/>
      <w:marTop w:val="0"/>
      <w:marBottom w:val="0"/>
      <w:divBdr>
        <w:top w:val="none" w:sz="0" w:space="0" w:color="auto"/>
        <w:left w:val="none" w:sz="0" w:space="0" w:color="auto"/>
        <w:bottom w:val="none" w:sz="0" w:space="0" w:color="auto"/>
        <w:right w:val="none" w:sz="0" w:space="0" w:color="auto"/>
      </w:divBdr>
    </w:div>
    <w:div w:id="1794591365">
      <w:bodyDiv w:val="1"/>
      <w:marLeft w:val="0"/>
      <w:marRight w:val="0"/>
      <w:marTop w:val="0"/>
      <w:marBottom w:val="0"/>
      <w:divBdr>
        <w:top w:val="none" w:sz="0" w:space="0" w:color="auto"/>
        <w:left w:val="none" w:sz="0" w:space="0" w:color="auto"/>
        <w:bottom w:val="none" w:sz="0" w:space="0" w:color="auto"/>
        <w:right w:val="none" w:sz="0" w:space="0" w:color="auto"/>
      </w:divBdr>
    </w:div>
    <w:div w:id="1806658277">
      <w:bodyDiv w:val="1"/>
      <w:marLeft w:val="0"/>
      <w:marRight w:val="0"/>
      <w:marTop w:val="0"/>
      <w:marBottom w:val="0"/>
      <w:divBdr>
        <w:top w:val="none" w:sz="0" w:space="0" w:color="auto"/>
        <w:left w:val="none" w:sz="0" w:space="0" w:color="auto"/>
        <w:bottom w:val="none" w:sz="0" w:space="0" w:color="auto"/>
        <w:right w:val="none" w:sz="0" w:space="0" w:color="auto"/>
      </w:divBdr>
    </w:div>
    <w:div w:id="201190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ymru1914.org/en/view/newspaper/4242682/1/ART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ymru1914.org/en/view/newspaper/3678363/6/ART7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wm.org.uk/memorials/item/memorial/213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ictorianweb.org/sculpture/toft/14.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ritishnewspaperarchive.co.uk/viewer/bl/0000206/19020815/034/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B297EF6-152E-41A0-AA44-A07A4EA03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2904</Words>
  <Characters>16554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Morgan</dc:creator>
  <cp:keywords/>
  <dc:description/>
  <cp:lastModifiedBy>Rhiannon Morgan</cp:lastModifiedBy>
  <cp:revision>2</cp:revision>
  <dcterms:created xsi:type="dcterms:W3CDTF">2018-05-04T16:18:00Z</dcterms:created>
  <dcterms:modified xsi:type="dcterms:W3CDTF">2018-05-04T16:18:00Z</dcterms:modified>
</cp:coreProperties>
</file>