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0C24A3" w14:textId="419BFDF2" w:rsidR="00FC137D" w:rsidRDefault="00FC137D" w:rsidP="002E1A99">
      <w:pPr>
        <w:ind w:left="720" w:hanging="360"/>
        <w:rPr>
          <w:sz w:val="32"/>
          <w:szCs w:val="32"/>
        </w:rPr>
      </w:pPr>
      <w:r>
        <w:rPr>
          <w:sz w:val="32"/>
          <w:szCs w:val="32"/>
        </w:rPr>
        <w:t xml:space="preserve">Student - </w:t>
      </w:r>
      <w:hyperlink r:id="rId5" w:history="1">
        <w:r>
          <w:rPr>
            <w:rStyle w:val="Hyperlink"/>
            <w:rFonts w:ascii="Segoe UI" w:hAnsi="Segoe UI" w:cs="Segoe UI"/>
            <w:color w:val="100E25"/>
            <w:sz w:val="23"/>
            <w:szCs w:val="23"/>
            <w:shd w:val="clear" w:color="auto" w:fill="FFFFFF"/>
          </w:rPr>
          <w:t>2134321</w:t>
        </w:r>
      </w:hyperlink>
    </w:p>
    <w:p w14:paraId="4661325C" w14:textId="60F33C43" w:rsidR="00FC137D" w:rsidRDefault="002E1A99" w:rsidP="002E1A99">
      <w:pPr>
        <w:ind w:left="720" w:hanging="360"/>
        <w:rPr>
          <w:sz w:val="32"/>
          <w:szCs w:val="32"/>
        </w:rPr>
      </w:pPr>
      <w:r w:rsidRPr="00E272BE">
        <w:rPr>
          <w:sz w:val="32"/>
          <w:szCs w:val="32"/>
        </w:rPr>
        <w:t>Academic assignment-</w:t>
      </w:r>
      <w:r w:rsidR="00FC137D">
        <w:rPr>
          <w:sz w:val="32"/>
          <w:szCs w:val="32"/>
        </w:rPr>
        <w:t xml:space="preserve"> Cohort 3/22</w:t>
      </w:r>
    </w:p>
    <w:p w14:paraId="564F6F17" w14:textId="77777777" w:rsidR="00FC137D" w:rsidRDefault="00FC137D" w:rsidP="002E1A99">
      <w:pPr>
        <w:ind w:left="720" w:hanging="360"/>
        <w:rPr>
          <w:sz w:val="32"/>
          <w:szCs w:val="32"/>
        </w:rPr>
      </w:pPr>
      <w:r>
        <w:rPr>
          <w:sz w:val="32"/>
          <w:szCs w:val="32"/>
        </w:rPr>
        <w:t xml:space="preserve">Module Code - </w:t>
      </w:r>
      <w:r w:rsidR="002E1A99" w:rsidRPr="00E272BE">
        <w:rPr>
          <w:sz w:val="32"/>
          <w:szCs w:val="32"/>
        </w:rPr>
        <w:t xml:space="preserve">BMP6005D, </w:t>
      </w:r>
    </w:p>
    <w:p w14:paraId="76C9C186" w14:textId="3696E802" w:rsidR="002E1A99" w:rsidRPr="00E272BE" w:rsidRDefault="00FC137D" w:rsidP="002E1A99">
      <w:pPr>
        <w:ind w:left="720" w:hanging="360"/>
        <w:rPr>
          <w:sz w:val="32"/>
          <w:szCs w:val="32"/>
        </w:rPr>
      </w:pPr>
      <w:r>
        <w:rPr>
          <w:sz w:val="32"/>
          <w:szCs w:val="32"/>
        </w:rPr>
        <w:t xml:space="preserve">Module Title - </w:t>
      </w:r>
      <w:r w:rsidR="002E1A99" w:rsidRPr="00E272BE">
        <w:rPr>
          <w:sz w:val="32"/>
          <w:szCs w:val="32"/>
        </w:rPr>
        <w:t>Operational Policing Practice 3</w:t>
      </w:r>
    </w:p>
    <w:p w14:paraId="7ECFD521" w14:textId="72CA3C46" w:rsidR="002E1A99" w:rsidRPr="00E272BE" w:rsidRDefault="002E1A99" w:rsidP="002E1A99">
      <w:pPr>
        <w:pStyle w:val="ListParagraph"/>
        <w:numPr>
          <w:ilvl w:val="0"/>
          <w:numId w:val="1"/>
        </w:numPr>
        <w:rPr>
          <w:b/>
          <w:bCs/>
        </w:rPr>
      </w:pPr>
      <w:r w:rsidRPr="00E272BE">
        <w:rPr>
          <w:b/>
          <w:bCs/>
        </w:rPr>
        <w:t xml:space="preserve">Essay one: How has the organisational culture in policing changed due to professionalisation, and how can organisational culture affect officers’ wellbeing and resilience? Your answer must be based on academic research rather than personal experience. Word limit: 1000 words. </w:t>
      </w:r>
    </w:p>
    <w:p w14:paraId="109476B8" w14:textId="0559F401" w:rsidR="00410803" w:rsidRPr="00E272BE" w:rsidRDefault="46B114F8" w:rsidP="46B114F8">
      <w:pPr>
        <w:rPr>
          <w:b/>
          <w:bCs/>
        </w:rPr>
      </w:pPr>
      <w:r>
        <w:t xml:space="preserve">Organisational culture (OC) can be defined as the written and verbal values and beliefs of the organisation, which are developed over an extended period, incorporating the goals, principles and philosophies which underpin the perspectives and motivations that drive individuals within the organisation as a whole </w:t>
      </w:r>
      <w:r w:rsidRPr="46B114F8">
        <w:rPr>
          <w:b/>
          <w:bCs/>
        </w:rPr>
        <w:t>Maseko (2017)</w:t>
      </w:r>
      <w:r>
        <w:t xml:space="preserve">. In terms of policing, the OC involves not just officers but members of the public as well, as they are provided the service which is governed by our values and beliefs </w:t>
      </w:r>
      <w:r w:rsidRPr="46B114F8">
        <w:rPr>
          <w:b/>
          <w:bCs/>
        </w:rPr>
        <w:t xml:space="preserve">Farkas et al. (2020) </w:t>
      </w:r>
      <w:r>
        <w:t xml:space="preserve">Over time, as individuals work within an organisation, such as South Wales Police (SWP), their own values merge with and contribute to those of the service and their colleagues around them until each person shares the same principal system and works towards a common goal. As a result, this can greatly improve organisational performance all round </w:t>
      </w:r>
      <w:r w:rsidRPr="46B114F8">
        <w:rPr>
          <w:b/>
          <w:bCs/>
        </w:rPr>
        <w:t>College of Policing (2021)</w:t>
      </w:r>
      <w:r>
        <w:t xml:space="preserve">. Contrarily, if the culture within the organisation is dysfunctional, and in terms of policing it can be said in the past it has been, performance and individual wellbeing can decrease </w:t>
      </w:r>
      <w:r w:rsidRPr="46B114F8">
        <w:rPr>
          <w:b/>
          <w:bCs/>
        </w:rPr>
        <w:t>Bayot et al. (2022)</w:t>
      </w:r>
      <w:r>
        <w:t>. Given the modifications that have occurred within the police force, in this essay I will explore the changes to the OC following the professionalisation of the force and how the OC can affect officers' wellbeing and resilience.</w:t>
      </w:r>
    </w:p>
    <w:p w14:paraId="4AF8CED4" w14:textId="634C7BAF" w:rsidR="00410803" w:rsidRPr="00E272BE" w:rsidRDefault="00410803" w:rsidP="00410803"/>
    <w:p w14:paraId="25044544" w14:textId="6ABFD669" w:rsidR="00410803" w:rsidRPr="00E272BE" w:rsidRDefault="46B114F8" w:rsidP="46B114F8">
      <w:pPr>
        <w:rPr>
          <w:b/>
          <w:bCs/>
        </w:rPr>
      </w:pPr>
      <w:r>
        <w:t xml:space="preserve"> OC is a fluid concept and must be flexible and change with time to continually match the environment the company is within to generate the best outcomes </w:t>
      </w:r>
      <w:proofErr w:type="spellStart"/>
      <w:r w:rsidRPr="46B114F8">
        <w:rPr>
          <w:b/>
          <w:bCs/>
        </w:rPr>
        <w:t>Bititci</w:t>
      </w:r>
      <w:proofErr w:type="spellEnd"/>
      <w:r w:rsidRPr="46B114F8">
        <w:rPr>
          <w:b/>
          <w:bCs/>
        </w:rPr>
        <w:t xml:space="preserve"> et al. (2006).</w:t>
      </w:r>
      <w:r>
        <w:t xml:space="preserve"> The OC within the Police has peaked and troughed since its official first introduction in 1829 when Robert Peel, the then Home Secretary, was permitted to form a London Metropolitan Police Force </w:t>
      </w:r>
      <w:r w:rsidRPr="46B114F8">
        <w:rPr>
          <w:b/>
          <w:bCs/>
        </w:rPr>
        <w:t xml:space="preserve">Brodeur and Whetstone (2023). </w:t>
      </w:r>
      <w:r>
        <w:t xml:space="preserve">It can be argued that this was the first professionalisation of policing as the Peel Principals were produced and officers were then paid and unified with specific duties. The Peel Principals, in effect the inaugural OC for the police, consisted of values such as impartiality, using force only when necessary and crime prevention. However, over the next 200 years the values of policing changed regularly, most notably between the 1950’s and the 1980’s. During these three decades the public’s respect, confidence and trust in the police dwindled as the model of policing geared more towards crime suppression, pursuit of crime once it had already occurred and use of a dominant control and management system </w:t>
      </w:r>
      <w:r w:rsidRPr="46B114F8">
        <w:rPr>
          <w:b/>
          <w:bCs/>
        </w:rPr>
        <w:t xml:space="preserve">Fyfe (2013). </w:t>
      </w:r>
      <w:r>
        <w:t>The original ‘</w:t>
      </w:r>
      <w:proofErr w:type="spellStart"/>
      <w:r>
        <w:t>Peelian</w:t>
      </w:r>
      <w:proofErr w:type="spellEnd"/>
      <w:r>
        <w:t xml:space="preserve">’ style of policing was vanishing, along with its positive OC. It is only as recently as 2014 that the UK police force decided to redefine its OC and set out a clear and precise Code of Ethics (standards of practice) to ensure officers and the public had a clear directive to work with </w:t>
      </w:r>
      <w:r w:rsidRPr="46B114F8">
        <w:rPr>
          <w:b/>
          <w:bCs/>
        </w:rPr>
        <w:t xml:space="preserve">College of Policing (2023). </w:t>
      </w:r>
      <w:r>
        <w:t>The Code of Ethics has helped to gradually rebuild trust in the police and cultivate a healthier working relationship with the public, pushing the police closer to achieving their desired OC.</w:t>
      </w:r>
    </w:p>
    <w:p w14:paraId="39D8D9D7" w14:textId="62A3ECE9" w:rsidR="46B114F8" w:rsidRDefault="46B114F8" w:rsidP="46B114F8">
      <w:r>
        <w:t xml:space="preserve">It has been noted in academia that OC strongly influences employee work behaviour </w:t>
      </w:r>
      <w:r w:rsidRPr="46B114F8">
        <w:rPr>
          <w:b/>
          <w:bCs/>
        </w:rPr>
        <w:t xml:space="preserve">Ojo (2008). </w:t>
      </w:r>
      <w:r>
        <w:t>Within this study</w:t>
      </w:r>
      <w:r w:rsidRPr="46B114F8">
        <w:rPr>
          <w:b/>
          <w:bCs/>
        </w:rPr>
        <w:t xml:space="preserve"> Ojo (2008)</w:t>
      </w:r>
      <w:r>
        <w:t xml:space="preserve">, 72% agreed OC is a determinant of productivity level and 84% stated </w:t>
      </w:r>
      <w:r>
        <w:lastRenderedPageBreak/>
        <w:t xml:space="preserve">that there was a direct relationship between the OC and employee’s wellbeing. This concept is further supported by findings from </w:t>
      </w:r>
      <w:r w:rsidRPr="46B114F8">
        <w:rPr>
          <w:b/>
          <w:bCs/>
        </w:rPr>
        <w:t xml:space="preserve">Maseko (2017) </w:t>
      </w:r>
      <w:r>
        <w:t xml:space="preserve">showing both intrinsic and extrinsic motivation, that controlled from within versus that controlled by external factors respectively, are also highly influenced by the OC. The strength of the OC is measured by the depth of belief that individuals invest in their shared principals, if this is high then the culture is strong, and the performance is matched by this </w:t>
      </w:r>
      <w:r w:rsidRPr="46B114F8">
        <w:rPr>
          <w:b/>
          <w:bCs/>
        </w:rPr>
        <w:t>Madu (2012).</w:t>
      </w:r>
      <w:r>
        <w:t xml:space="preserve"> Conversely, a weak OC is riddled with individuals who only follow their own personal principals, thus actions become more volatile and decision making suffers </w:t>
      </w:r>
      <w:proofErr w:type="spellStart"/>
      <w:r w:rsidRPr="46B114F8">
        <w:rPr>
          <w:b/>
          <w:bCs/>
        </w:rPr>
        <w:t>Taurisa</w:t>
      </w:r>
      <w:proofErr w:type="spellEnd"/>
      <w:r w:rsidRPr="46B114F8">
        <w:rPr>
          <w:b/>
          <w:bCs/>
        </w:rPr>
        <w:t xml:space="preserve"> and Ratnawati (2012). </w:t>
      </w:r>
      <w:r>
        <w:t xml:space="preserve">This supports the notion that a weak OC contributes to a reduction in employee wellbeing. Namely an increase of stress in the workplace related to the fear of unwanted outcomes. It is important to acknowledge that the extremely high workload and rapid incident turnover rate within the police force means that it is crucial to foster a positive OC promoting motivated officers, who all share in the same belief system. Failure to have such a culture embedded within the organisation can result in poor decisions that are not in line with the Code of Ethics. Consequently, serious injuries and complaints could occur </w:t>
      </w:r>
      <w:r w:rsidRPr="46B114F8">
        <w:rPr>
          <w:b/>
          <w:bCs/>
        </w:rPr>
        <w:t>Blumberg et al. (2020).</w:t>
      </w:r>
      <w:r>
        <w:t xml:space="preserve">  This also speaks to the importance of resilience within the OC.</w:t>
      </w:r>
    </w:p>
    <w:p w14:paraId="7DF0EBD6" w14:textId="5B4A3D25" w:rsidR="00410803" w:rsidRPr="00E272BE" w:rsidRDefault="46B114F8" w:rsidP="46B114F8">
      <w:r>
        <w:t xml:space="preserve">Resilience is integral to an effective prosperous business especially in the police as officers face adversities and challenges every day and must constantly adapt and change to overcome these hurdles to do the job at hand. OC and resilience of its workforce has been merged under the umbrella-term ‘organisational resilience,’ this is defined as the organisation’s ability to “anticipate, prepare for, respond and adapt to incremental change and sudden disruptions in order to survive’ </w:t>
      </w:r>
      <w:r w:rsidRPr="46B114F8">
        <w:rPr>
          <w:b/>
          <w:bCs/>
        </w:rPr>
        <w:t xml:space="preserve">Forbes (2020). </w:t>
      </w:r>
      <w:r>
        <w:t xml:space="preserve">A paper by </w:t>
      </w:r>
      <w:r w:rsidRPr="46B114F8">
        <w:rPr>
          <w:b/>
          <w:bCs/>
        </w:rPr>
        <w:t>Cheng et al. (2023)</w:t>
      </w:r>
      <w:r>
        <w:t xml:space="preserve"> investigated corporate culture in the trade sector and found that a strong culture produced a stronger resilience in the face of major crises. Many parallels can be drawn from this paper to OC in the police as they both use hierarchical systems and frequently experience an everchanging environment and crises on a large scale. The findings showed that a clear and decisive culture-bonded employees and management together in a resilient and coherent manner produce clearer communication and higher efficiency. Similarly, this theory links well to policing as the shared Code of Ethics between constables all the way up to the Chief Constable binds each officer together with a common purpose.</w:t>
      </w:r>
    </w:p>
    <w:p w14:paraId="1AFE4753" w14:textId="39420552" w:rsidR="46B114F8" w:rsidRDefault="46B114F8" w:rsidP="46B114F8">
      <w:r>
        <w:t>Overall, it is evident that many changes have occurred since the professionalisation of the police force leading to a change in OC namely the introduction of the code of ethics. This has subsequently affected employee wellbeing and organisational resilience. This essay has highlighted the positive and negative effects of OC on employee wellbeing and the direct relationship of employee wellbeing and contributions to OC. It is this relationship that influences how efficient the police force is and its encounters with the public.</w:t>
      </w:r>
    </w:p>
    <w:p w14:paraId="3B7CA950" w14:textId="1E884639" w:rsidR="006D19FC" w:rsidRPr="00E272BE" w:rsidRDefault="46B114F8" w:rsidP="00410803">
      <w:pPr>
        <w:rPr>
          <w:b/>
          <w:bCs/>
        </w:rPr>
      </w:pPr>
      <w:r w:rsidRPr="46B114F8">
        <w:rPr>
          <w:b/>
          <w:bCs/>
        </w:rPr>
        <w:t>(1022 Words)</w:t>
      </w:r>
    </w:p>
    <w:p w14:paraId="1E947225" w14:textId="77777777" w:rsidR="00410803" w:rsidRPr="00E272BE" w:rsidRDefault="00410803" w:rsidP="00410803">
      <w:pPr>
        <w:rPr>
          <w:b/>
          <w:bCs/>
        </w:rPr>
      </w:pPr>
      <w:r w:rsidRPr="00E272BE">
        <w:rPr>
          <w:b/>
          <w:bCs/>
        </w:rPr>
        <w:t xml:space="preserve">Bibliography </w:t>
      </w:r>
    </w:p>
    <w:p w14:paraId="3FEBC398" w14:textId="77777777" w:rsidR="00410803" w:rsidRPr="00E272BE" w:rsidRDefault="00410803" w:rsidP="001D4ACF">
      <w:pPr>
        <w:pStyle w:val="ListParagraph"/>
        <w:numPr>
          <w:ilvl w:val="0"/>
          <w:numId w:val="4"/>
        </w:numPr>
      </w:pPr>
      <w:r w:rsidRPr="00E272BE">
        <w:t xml:space="preserve">Bayot, M. L., Tadi, P., and </w:t>
      </w:r>
      <w:proofErr w:type="spellStart"/>
      <w:r w:rsidRPr="00E272BE">
        <w:t>Vaqar</w:t>
      </w:r>
      <w:proofErr w:type="spellEnd"/>
      <w:r w:rsidRPr="00E272BE">
        <w:t xml:space="preserve">, S. (2023) </w:t>
      </w:r>
      <w:r w:rsidRPr="00E272BE">
        <w:rPr>
          <w:i/>
          <w:iCs/>
        </w:rPr>
        <w:t>Work Culture</w:t>
      </w:r>
      <w:r w:rsidRPr="00E272BE">
        <w:t>, 1</w:t>
      </w:r>
      <w:r w:rsidRPr="00E272BE">
        <w:rPr>
          <w:vertAlign w:val="superscript"/>
        </w:rPr>
        <w:t>st</w:t>
      </w:r>
      <w:r w:rsidRPr="00E272BE">
        <w:t xml:space="preserve"> </w:t>
      </w:r>
      <w:proofErr w:type="spellStart"/>
      <w:r w:rsidRPr="00E272BE">
        <w:t>edn</w:t>
      </w:r>
      <w:proofErr w:type="spellEnd"/>
      <w:r w:rsidRPr="00E272BE">
        <w:t xml:space="preserve">. Florida: </w:t>
      </w:r>
      <w:proofErr w:type="spellStart"/>
      <w:r w:rsidRPr="00E272BE">
        <w:t>StatPearls</w:t>
      </w:r>
      <w:proofErr w:type="spellEnd"/>
      <w:r w:rsidRPr="00E272BE">
        <w:t xml:space="preserve"> Publishing.</w:t>
      </w:r>
    </w:p>
    <w:p w14:paraId="52BB6301" w14:textId="77777777" w:rsidR="00410803" w:rsidRPr="00E272BE" w:rsidRDefault="46B114F8" w:rsidP="001D4ACF">
      <w:pPr>
        <w:pStyle w:val="ListParagraph"/>
        <w:numPr>
          <w:ilvl w:val="0"/>
          <w:numId w:val="4"/>
        </w:numPr>
      </w:pPr>
      <w:proofErr w:type="spellStart"/>
      <w:r>
        <w:t>Bititci</w:t>
      </w:r>
      <w:proofErr w:type="spellEnd"/>
      <w:r>
        <w:t xml:space="preserve">, U. S., Mendibil, K., </w:t>
      </w:r>
      <w:proofErr w:type="spellStart"/>
      <w:r>
        <w:t>Nudurupati</w:t>
      </w:r>
      <w:proofErr w:type="spellEnd"/>
      <w:r>
        <w:t xml:space="preserve">, S., </w:t>
      </w:r>
      <w:proofErr w:type="spellStart"/>
      <w:r>
        <w:t>Garengo</w:t>
      </w:r>
      <w:proofErr w:type="spellEnd"/>
      <w:r>
        <w:t xml:space="preserve">, P., and Turner, T. (2006) </w:t>
      </w:r>
      <w:r w:rsidRPr="46B114F8">
        <w:rPr>
          <w:i/>
          <w:iCs/>
        </w:rPr>
        <w:t>‘Dynamics of Performance Measurement and Organisational Culture’</w:t>
      </w:r>
      <w:r>
        <w:t>, International Journal of Operations and Production Management, 26(12), pp. 1325-1350.</w:t>
      </w:r>
    </w:p>
    <w:p w14:paraId="3AC8E58B" w14:textId="38766880" w:rsidR="46B114F8" w:rsidRDefault="46B114F8" w:rsidP="46B114F8">
      <w:pPr>
        <w:pStyle w:val="ListParagraph"/>
        <w:numPr>
          <w:ilvl w:val="0"/>
          <w:numId w:val="4"/>
        </w:numPr>
        <w:rPr>
          <w:rFonts w:eastAsiaTheme="minorEastAsia"/>
        </w:rPr>
      </w:pPr>
      <w:r w:rsidRPr="46B114F8">
        <w:rPr>
          <w:rFonts w:eastAsiaTheme="minorEastAsia"/>
        </w:rPr>
        <w:t>Blumberg, D. M., Papazoglou, K., Schlosser, M. D. (2020) ‘Organizational Solutions to the Moral Risks of Policing’, International Journal of Environmental Research and Public Health, 17(20), pp.7461 - 7470.</w:t>
      </w:r>
    </w:p>
    <w:p w14:paraId="79D1ED75" w14:textId="77777777" w:rsidR="00410803" w:rsidRPr="00E272BE" w:rsidRDefault="46B114F8" w:rsidP="001D4ACF">
      <w:pPr>
        <w:pStyle w:val="ListParagraph"/>
        <w:numPr>
          <w:ilvl w:val="0"/>
          <w:numId w:val="4"/>
        </w:numPr>
      </w:pPr>
      <w:r>
        <w:lastRenderedPageBreak/>
        <w:t xml:space="preserve">Britannica (2023) The development of Professional Policing in England. Available at: </w:t>
      </w:r>
      <w:hyperlink r:id="rId6">
        <w:r w:rsidRPr="46B114F8">
          <w:rPr>
            <w:rStyle w:val="Hyperlink"/>
            <w:color w:val="auto"/>
            <w:u w:val="none"/>
          </w:rPr>
          <w:t>https://www.britannica.com/topic/police/The-developmnt-of-professional-policing-in-England</w:t>
        </w:r>
      </w:hyperlink>
      <w:r>
        <w:t xml:space="preserve"> (Accessed: 25 September 2023)</w:t>
      </w:r>
    </w:p>
    <w:p w14:paraId="058FA861" w14:textId="77777777" w:rsidR="00410803" w:rsidRPr="00E272BE" w:rsidRDefault="46B114F8" w:rsidP="001D4ACF">
      <w:pPr>
        <w:pStyle w:val="ListParagraph"/>
        <w:numPr>
          <w:ilvl w:val="0"/>
          <w:numId w:val="4"/>
        </w:numPr>
      </w:pPr>
      <w:r>
        <w:t>Cheng, S., Hua, X., and Wang, Q. (2023) ‘Corporate culture and firm resilience in China: Evidence from the Sino-US trade war’, Pacific-Basin Finance Journal, 79(1).</w:t>
      </w:r>
    </w:p>
    <w:p w14:paraId="48EB54FE" w14:textId="00709EB1" w:rsidR="46B114F8" w:rsidRDefault="46B114F8" w:rsidP="46B114F8">
      <w:pPr>
        <w:pStyle w:val="ListParagraph"/>
        <w:numPr>
          <w:ilvl w:val="0"/>
          <w:numId w:val="4"/>
        </w:numPr>
      </w:pPr>
      <w:r>
        <w:t xml:space="preserve">College of Policing (2021) Promoting the right culture. Available at: </w:t>
      </w:r>
      <w:hyperlink r:id="rId7">
        <w:r w:rsidRPr="46B114F8">
          <w:rPr>
            <w:rStyle w:val="Hyperlink"/>
            <w:u w:val="none"/>
          </w:rPr>
          <w:t>Promoting the right culture | College of Policing</w:t>
        </w:r>
      </w:hyperlink>
      <w:r w:rsidRPr="46B114F8">
        <w:t xml:space="preserve"> (Accessed: 25 September 2023)</w:t>
      </w:r>
    </w:p>
    <w:p w14:paraId="733B42EA" w14:textId="77777777" w:rsidR="00410803" w:rsidRPr="00E272BE" w:rsidRDefault="46B114F8" w:rsidP="001D4ACF">
      <w:pPr>
        <w:pStyle w:val="ListParagraph"/>
        <w:numPr>
          <w:ilvl w:val="0"/>
          <w:numId w:val="4"/>
        </w:numPr>
      </w:pPr>
      <w:r>
        <w:t xml:space="preserve">College of Policing (2023) Code of Ethics. Available at: </w:t>
      </w:r>
      <w:hyperlink r:id="rId8">
        <w:r w:rsidRPr="46B114F8">
          <w:rPr>
            <w:rStyle w:val="Hyperlink"/>
            <w:color w:val="auto"/>
            <w:u w:val="none"/>
          </w:rPr>
          <w:t>Code of Ethics | College of Policing</w:t>
        </w:r>
      </w:hyperlink>
      <w:r>
        <w:t xml:space="preserve"> (Accessed: 25 September 2023)</w:t>
      </w:r>
    </w:p>
    <w:p w14:paraId="4382F542" w14:textId="77777777" w:rsidR="00410803" w:rsidRPr="00E272BE" w:rsidRDefault="46B114F8" w:rsidP="001D4ACF">
      <w:pPr>
        <w:pStyle w:val="ListParagraph"/>
        <w:numPr>
          <w:ilvl w:val="0"/>
          <w:numId w:val="4"/>
        </w:numPr>
      </w:pPr>
      <w:r>
        <w:t xml:space="preserve">Forbes (2020) Organisational Culture and Resilience: Lessons from a Crisis. Available at: </w:t>
      </w:r>
      <w:hyperlink r:id="rId9">
        <w:r w:rsidRPr="46B114F8">
          <w:rPr>
            <w:rStyle w:val="Hyperlink"/>
            <w:color w:val="auto"/>
            <w:u w:val="none"/>
          </w:rPr>
          <w:t>Organizational Culture And Resilience: Lessons From A Crisis (forbes.com)</w:t>
        </w:r>
      </w:hyperlink>
      <w:r>
        <w:t xml:space="preserve"> (Accessed: 26 September 2023).</w:t>
      </w:r>
    </w:p>
    <w:p w14:paraId="1207AE56" w14:textId="77777777" w:rsidR="00410803" w:rsidRPr="00E272BE" w:rsidRDefault="46B114F8" w:rsidP="001D4ACF">
      <w:pPr>
        <w:pStyle w:val="ListParagraph"/>
        <w:numPr>
          <w:ilvl w:val="0"/>
          <w:numId w:val="4"/>
        </w:numPr>
      </w:pPr>
      <w:r>
        <w:t>Fyfe, N. R. (2013) ‘</w:t>
      </w:r>
      <w:r w:rsidRPr="46B114F8">
        <w:rPr>
          <w:i/>
          <w:iCs/>
        </w:rPr>
        <w:t>Complex transition and uncertain trajectories: reflections on recent developments in police professionalism’</w:t>
      </w:r>
      <w:r>
        <w:t>. Journal of Workplace Learning, 25(6), pp. 407-420.</w:t>
      </w:r>
    </w:p>
    <w:p w14:paraId="0BD6428F" w14:textId="417F601C" w:rsidR="46B114F8" w:rsidRDefault="46B114F8" w:rsidP="46B114F8">
      <w:pPr>
        <w:pStyle w:val="ListParagraph"/>
        <w:numPr>
          <w:ilvl w:val="0"/>
          <w:numId w:val="4"/>
        </w:numPr>
        <w:rPr>
          <w:rFonts w:eastAsiaTheme="minorEastAsia"/>
        </w:rPr>
      </w:pPr>
      <w:r w:rsidRPr="46B114F8">
        <w:rPr>
          <w:rFonts w:eastAsiaTheme="minorEastAsia"/>
        </w:rPr>
        <w:t xml:space="preserve">Farkas, J., Sallai, J. and </w:t>
      </w:r>
      <w:proofErr w:type="spellStart"/>
      <w:r w:rsidRPr="46B114F8">
        <w:rPr>
          <w:rFonts w:eastAsiaTheme="minorEastAsia"/>
        </w:rPr>
        <w:t>Krauzer</w:t>
      </w:r>
      <w:proofErr w:type="spellEnd"/>
      <w:r w:rsidRPr="46B114F8">
        <w:rPr>
          <w:rFonts w:eastAsiaTheme="minorEastAsia"/>
        </w:rPr>
        <w:t>, E. (2020)</w:t>
      </w:r>
      <w:r w:rsidRPr="46B114F8">
        <w:rPr>
          <w:rFonts w:eastAsiaTheme="minorEastAsia"/>
          <w:b/>
          <w:bCs/>
        </w:rPr>
        <w:t xml:space="preserve"> ‘</w:t>
      </w:r>
      <w:r w:rsidRPr="46B114F8">
        <w:rPr>
          <w:rFonts w:eastAsiaTheme="minorEastAsia"/>
        </w:rPr>
        <w:t>The Organisational Culture of the Police Force’. Internal Security, 12(1), pp. 77-84.</w:t>
      </w:r>
    </w:p>
    <w:p w14:paraId="4BB7C60D" w14:textId="77777777" w:rsidR="00410803" w:rsidRPr="00E272BE" w:rsidRDefault="46B114F8" w:rsidP="001D4ACF">
      <w:pPr>
        <w:pStyle w:val="ListParagraph"/>
        <w:numPr>
          <w:ilvl w:val="0"/>
          <w:numId w:val="4"/>
        </w:numPr>
      </w:pPr>
      <w:r>
        <w:t xml:space="preserve">Madu, B. C. (2012) </w:t>
      </w:r>
      <w:r w:rsidRPr="46B114F8">
        <w:rPr>
          <w:i/>
          <w:iCs/>
        </w:rPr>
        <w:t xml:space="preserve">‘Organizational Culture as driver of competitive advantage’, </w:t>
      </w:r>
      <w:r>
        <w:t>Journal of Academic and Business Ethics, 5(1), pp. 1-9.</w:t>
      </w:r>
    </w:p>
    <w:p w14:paraId="6435AC06" w14:textId="77777777" w:rsidR="00410803" w:rsidRPr="00E272BE" w:rsidRDefault="46B114F8" w:rsidP="001D4ACF">
      <w:pPr>
        <w:pStyle w:val="ListParagraph"/>
        <w:numPr>
          <w:ilvl w:val="0"/>
          <w:numId w:val="4"/>
        </w:numPr>
      </w:pPr>
      <w:r>
        <w:t xml:space="preserve">Maseko, T. S. B. (2017) </w:t>
      </w:r>
      <w:r w:rsidRPr="46B114F8">
        <w:rPr>
          <w:i/>
          <w:iCs/>
        </w:rPr>
        <w:t>‘Strong vs. Weak Organisational Culture: Assessing the Impact on Employee Motivation’</w:t>
      </w:r>
      <w:r>
        <w:t>, Arabian Journal of Business and Management Review, 7(1), pp. 287-292.</w:t>
      </w:r>
    </w:p>
    <w:p w14:paraId="7A155112" w14:textId="77777777" w:rsidR="00410803" w:rsidRPr="00E272BE" w:rsidRDefault="46B114F8" w:rsidP="001D4ACF">
      <w:pPr>
        <w:pStyle w:val="ListParagraph"/>
        <w:numPr>
          <w:ilvl w:val="0"/>
          <w:numId w:val="4"/>
        </w:numPr>
      </w:pPr>
      <w:r>
        <w:t>Ojo, O. (2008) ‘Influence of Organisational Culture on Employee Work Behaviour’, International Journal of Contemporary Business Studies, 3(11), pp.118-127.</w:t>
      </w:r>
      <w:r w:rsidRPr="46B114F8">
        <w:rPr>
          <w:b/>
          <w:bCs/>
        </w:rPr>
        <w:t xml:space="preserve"> </w:t>
      </w:r>
    </w:p>
    <w:p w14:paraId="1ED41926" w14:textId="77777777" w:rsidR="00410803" w:rsidRPr="00E272BE" w:rsidRDefault="46B114F8" w:rsidP="001D4ACF">
      <w:pPr>
        <w:pStyle w:val="ListParagraph"/>
        <w:numPr>
          <w:ilvl w:val="0"/>
          <w:numId w:val="4"/>
        </w:numPr>
      </w:pPr>
      <w:r>
        <w:t>Olynick, J., and Han, Z. L. (2020) ‘</w:t>
      </w:r>
      <w:r w:rsidRPr="46B114F8">
        <w:rPr>
          <w:i/>
          <w:iCs/>
        </w:rPr>
        <w:t>Organisational Culture and its Relationship with Employee Stress, Enjoyment of Work and Productivity’</w:t>
      </w:r>
      <w:r>
        <w:t>, International Journal of Psychological Studies, 12(2):14</w:t>
      </w:r>
      <w:r w:rsidRPr="46B114F8">
        <w:rPr>
          <w:b/>
          <w:bCs/>
        </w:rPr>
        <w:t xml:space="preserve"> </w:t>
      </w:r>
    </w:p>
    <w:p w14:paraId="49D59927" w14:textId="77777777" w:rsidR="00410803" w:rsidRPr="00E272BE" w:rsidRDefault="46B114F8" w:rsidP="001D4ACF">
      <w:pPr>
        <w:pStyle w:val="ListParagraph"/>
        <w:numPr>
          <w:ilvl w:val="0"/>
          <w:numId w:val="4"/>
        </w:numPr>
      </w:pPr>
      <w:r>
        <w:t xml:space="preserve">Sherman, S. G., Leahy, M. J., Del Valle, R., Anderson, C. A., Tansey, T. N., and Lui, L. (2014) </w:t>
      </w:r>
      <w:r w:rsidRPr="46B114F8">
        <w:rPr>
          <w:i/>
          <w:iCs/>
        </w:rPr>
        <w:t>‘Organisation and cultural factors that promote creative best practices in the public rehabilitation program: Finding from a four-state multiple case study’.</w:t>
      </w:r>
      <w:r>
        <w:t xml:space="preserve"> Journal of Vocational Rehabilitation, 41(2), pp.115-125.</w:t>
      </w:r>
    </w:p>
    <w:p w14:paraId="2261388C" w14:textId="77777777" w:rsidR="00410803" w:rsidRPr="00E272BE" w:rsidRDefault="46B114F8" w:rsidP="001D4ACF">
      <w:pPr>
        <w:pStyle w:val="ListParagraph"/>
        <w:numPr>
          <w:ilvl w:val="0"/>
          <w:numId w:val="4"/>
        </w:numPr>
      </w:pPr>
      <w:proofErr w:type="spellStart"/>
      <w:r>
        <w:t>Taurisa</w:t>
      </w:r>
      <w:proofErr w:type="spellEnd"/>
      <w:r>
        <w:t xml:space="preserve">, C. M., and Ratnawati, I. (2012) </w:t>
      </w:r>
      <w:r w:rsidRPr="46B114F8">
        <w:rPr>
          <w:i/>
          <w:iCs/>
        </w:rPr>
        <w:t>‘Analysis of the effect of Organisational Culture and Organisational Commitment on Job Satisfaction in Improving the performance of Employees’</w:t>
      </w:r>
      <w:r>
        <w:t>, Journal of Business Economics, 19(1), pp. 170-187.</w:t>
      </w:r>
    </w:p>
    <w:p w14:paraId="71F67900" w14:textId="77777777" w:rsidR="000D6DAA" w:rsidRPr="00E272BE" w:rsidRDefault="000D6DAA" w:rsidP="000D6DAA">
      <w:pPr>
        <w:pStyle w:val="ListParagraph"/>
      </w:pPr>
    </w:p>
    <w:p w14:paraId="38D28B7F" w14:textId="1FDC09F0" w:rsidR="002E1A99" w:rsidRPr="00E272BE" w:rsidRDefault="002E1A99" w:rsidP="000D6DAA">
      <w:pPr>
        <w:pStyle w:val="ListParagraph"/>
        <w:numPr>
          <w:ilvl w:val="0"/>
          <w:numId w:val="1"/>
        </w:numPr>
        <w:rPr>
          <w:b/>
          <w:bCs/>
        </w:rPr>
      </w:pPr>
      <w:r w:rsidRPr="00E272BE">
        <w:rPr>
          <w:b/>
          <w:bCs/>
        </w:rPr>
        <w:t xml:space="preserve">Essay two: Response policing – In a recent survey by HMICFRS, 65% of respondents agreed “that police in their local area treat people fairly and with respect” (Justice Inspectorates, 2019). Evaluate the impact of public perception on response policing. </w:t>
      </w:r>
    </w:p>
    <w:p w14:paraId="05F8F10E" w14:textId="3A92E801" w:rsidR="001D4ACF" w:rsidRPr="00E272BE" w:rsidRDefault="46B114F8" w:rsidP="46B114F8">
      <w:r>
        <w:t xml:space="preserve">There is a vast amount of research showing that public perception (PP) is one of the paramount cornerstones of the police service’s ability to respond to emergency incidents in the United Kingdom (UK). Research including that by </w:t>
      </w:r>
      <w:r w:rsidRPr="46B114F8">
        <w:rPr>
          <w:b/>
          <w:bCs/>
        </w:rPr>
        <w:t>Rosenbaum et al. (2005) and Jackson and Bradford et al. (2019)</w:t>
      </w:r>
      <w:r>
        <w:t>, demonstrate that without the public’s confidence to be treated fairly and with respect by the police, the service is extremely limited in their ability to perform. This is because UK forces are victim led and rely heavily on what the aggrieved want officers to do. Given how reliant the police force is on the public it is important to evaluate the impact of public perception on response policing-  which is what I will do in this essay.</w:t>
      </w:r>
    </w:p>
    <w:p w14:paraId="3A4469F9" w14:textId="39DDE157" w:rsidR="001D4ACF" w:rsidRPr="00E272BE" w:rsidRDefault="46B114F8" w:rsidP="46B114F8">
      <w:r>
        <w:lastRenderedPageBreak/>
        <w:t xml:space="preserve">PP is not just one entity but is made up of multiple communities which each have unique needs which must be met by response officers. The legitimacy of policing has been known to have a strong relationship with public perception. Phrases such as ‘procedural justice’ and ‘policing by consent’ used in modern day response policing tie in with the apparent legitimacy of the police service. Legitimacy can be referred to as the belief of an individual that a constitution, such as the police service, is fair, proportional, and respectful in their duty </w:t>
      </w:r>
      <w:r w:rsidRPr="46B114F8">
        <w:rPr>
          <w:b/>
          <w:bCs/>
        </w:rPr>
        <w:t xml:space="preserve">Tyler (2006). </w:t>
      </w:r>
      <w:r>
        <w:t xml:space="preserve">If the legitimacy of the police service is not shared by the public it serves, then response policing will be restricted in the success it can achieve. The concept of ‘policing by consent,’ which has been adopted by the UK police force, means the police service is victim led and response officers cannot forgo the wishes of the public by using whatever means they deem necessary </w:t>
      </w:r>
      <w:r w:rsidRPr="46B114F8">
        <w:rPr>
          <w:b/>
          <w:bCs/>
        </w:rPr>
        <w:t xml:space="preserve">Home Office (2012). </w:t>
      </w:r>
      <w:r>
        <w:t>If the public do not perceive response policing as just, respectful and willing to listen and respond to their needs, then the public may rescind their consent to police. The scenario could lead to individuals no longer calling police as they do not have faith in the service to fulfil their role. Despite the fact officers would keep trying to protect the public, without their willingness to assist, such as providing witness accounts for house-to-house enquiries, response officers would have significant difficulties and would be unable to complete an investigation efficiently nor effectively from start to finish. Therefore, the public’s perception of response policing is paramount to ensure an effective service as response policing cannot succeed without the involvement of its community members. </w:t>
      </w:r>
    </w:p>
    <w:p w14:paraId="6DA23EA9" w14:textId="666D48C4" w:rsidR="001D4ACF" w:rsidRPr="00E272BE" w:rsidRDefault="46B114F8" w:rsidP="46B114F8">
      <w:r>
        <w:t xml:space="preserve">It must also be considered that a community is not just one entity, rather it’s comprised of many distinct groups such as age, ethnicity, and socioeconomic status. Each of these groups will perceive response policing differently and thus each will require a tailored response to ensure PP is maintained in a positive manner. This goal has not always been achieved by police forces in the UK. </w:t>
      </w:r>
      <w:r w:rsidRPr="46B114F8">
        <w:rPr>
          <w:b/>
          <w:bCs/>
        </w:rPr>
        <w:t xml:space="preserve">Bradley (1998) </w:t>
      </w:r>
      <w:r>
        <w:t xml:space="preserve">published a review of public expectations and perceptions of policing, focusing on these diverse groups. It was shown that young people were exceedingly influenced by negative experiences with the police, such as stop searches, whereas the older generations had more positive outlooks on officers. Furthermore, the types of crimes which individuals wanted police to deal with most attentively varied highly, with young people highlighting street crime, the elderly being most fearful of burglary and ethnic minorities being concerned most by drug offences </w:t>
      </w:r>
      <w:r w:rsidRPr="46B114F8">
        <w:rPr>
          <w:b/>
          <w:bCs/>
        </w:rPr>
        <w:t>Bradley (1998)</w:t>
      </w:r>
      <w:r>
        <w:t xml:space="preserve">. </w:t>
      </w:r>
      <w:r w:rsidRPr="46B114F8">
        <w:rPr>
          <w:rFonts w:eastAsiaTheme="minorEastAsia"/>
        </w:rPr>
        <w:t>This shows the variation of expectations and perceptions of what is important, demonstrating the need to tailor police response to different communities.</w:t>
      </w:r>
      <w:r w:rsidRPr="46B114F8">
        <w:rPr>
          <w:rFonts w:ascii="Segoe UI" w:eastAsia="Segoe UI" w:hAnsi="Segoe UI" w:cs="Segoe UI"/>
          <w:color w:val="333333"/>
          <w:sz w:val="18"/>
          <w:szCs w:val="18"/>
        </w:rPr>
        <w:t xml:space="preserve"> </w:t>
      </w:r>
      <w:r>
        <w:t xml:space="preserve">Response officers are expected to respond to a vast range of incidents and provide an equally high level of service at each incident, which is currently not always possible due to the resources available. </w:t>
      </w:r>
      <w:r w:rsidRPr="46B114F8">
        <w:rPr>
          <w:rFonts w:eastAsiaTheme="minorEastAsia"/>
        </w:rPr>
        <w:t>Resulting in negative perceptions, reduced engagement and reducing the ability to efficiently police further worsening outcomes and experiences of the public it aims to serve. Ideally</w:t>
      </w:r>
      <w:r>
        <w:t>, collective efficacy in the public is achieved, whereby social ties between different community members and the police are reached to provide a joint willingness to solve local issues. A sense of cohesion and engagement from the public influences the police and their ability to serve every member within it equally and fairly. </w:t>
      </w:r>
    </w:p>
    <w:p w14:paraId="6142DC30" w14:textId="3FCABAA2" w:rsidR="46B114F8" w:rsidRDefault="46B114F8" w:rsidP="46B114F8">
      <w:r>
        <w:t xml:space="preserve">PP can have both a hugely positive and negative affect on response policing. It has been noted by </w:t>
      </w:r>
      <w:r w:rsidRPr="46B114F8">
        <w:rPr>
          <w:b/>
          <w:bCs/>
        </w:rPr>
        <w:t xml:space="preserve">Peyton et al. (2019) </w:t>
      </w:r>
      <w:r>
        <w:t xml:space="preserve">that if PP of policing is good then the public is more likely to abide by the laws set out by government and comply with the judgement of the police service if they deem them legitimate and fair. Because of this good perception and compliance, solved-crime rates would gradually increase as would public satisfaction in the work completed by response officers. Additionally, as confidence in and cooperation with response policing increases the concerns about crime decrease and communities feel safer </w:t>
      </w:r>
      <w:proofErr w:type="spellStart"/>
      <w:r w:rsidRPr="46B114F8">
        <w:rPr>
          <w:b/>
          <w:bCs/>
        </w:rPr>
        <w:t>Skogan</w:t>
      </w:r>
      <w:proofErr w:type="spellEnd"/>
      <w:r w:rsidRPr="46B114F8">
        <w:rPr>
          <w:b/>
          <w:bCs/>
        </w:rPr>
        <w:t xml:space="preserve"> (2009),</w:t>
      </w:r>
      <w:r>
        <w:t xml:space="preserve"> thus producing a cyclical affect as PP is enhanced. Conversely, if response policing is deemed by the public to be policed by fear, unjust and unproportionate in use of force, then lawlessness will prevail. Without public trust, generated through fair and respectful treatment of communities, individuals are less inclined to report crimes </w:t>
      </w:r>
      <w:r>
        <w:lastRenderedPageBreak/>
        <w:t xml:space="preserve">and assist officers during investigations </w:t>
      </w:r>
      <w:r w:rsidRPr="46B114F8">
        <w:rPr>
          <w:b/>
          <w:bCs/>
        </w:rPr>
        <w:t>Psychology Today (2023).</w:t>
      </w:r>
      <w:r>
        <w:t xml:space="preserve"> Subsequently this could lead to social unrest and shared views of injustice, like those viewed following the death of George Floyd in the US </w:t>
      </w:r>
      <w:r w:rsidRPr="46B114F8">
        <w:rPr>
          <w:b/>
          <w:bCs/>
        </w:rPr>
        <w:t>Altman (2020)</w:t>
      </w:r>
      <w:r>
        <w:t>. This unrest led to mass rioting in the US and many demonstrations in the UK, increasing crime as a direct result of police action. This shows the</w:t>
      </w:r>
      <w:r w:rsidRPr="46B114F8">
        <w:rPr>
          <w:rFonts w:ascii="Segoe UI" w:eastAsia="Segoe UI" w:hAnsi="Segoe UI" w:cs="Segoe UI"/>
          <w:color w:val="333333"/>
          <w:sz w:val="18"/>
          <w:szCs w:val="18"/>
        </w:rPr>
        <w:t xml:space="preserve"> </w:t>
      </w:r>
      <w:r w:rsidRPr="46B114F8">
        <w:rPr>
          <w:rFonts w:eastAsiaTheme="minorEastAsia"/>
          <w:color w:val="333333"/>
        </w:rPr>
        <w:t>influence of negative policing in other communities can spread to other locations and why there is a shared common goal of positive public perception.</w:t>
      </w:r>
      <w:r w:rsidRPr="46B114F8">
        <w:rPr>
          <w:rFonts w:eastAsiaTheme="minorEastAsia"/>
        </w:rPr>
        <w:t xml:space="preserve"> </w:t>
      </w:r>
      <w:r>
        <w:t xml:space="preserve"> Therefore, it is imperative that response officers work with their local areas and cultivate a positive PP and confidence to ensure policing can be conducted effectively nationwide.</w:t>
      </w:r>
    </w:p>
    <w:p w14:paraId="437417D2" w14:textId="180F341E" w:rsidR="001D4ACF" w:rsidRPr="00E272BE" w:rsidRDefault="46B114F8" w:rsidP="46B114F8">
      <w:r>
        <w:t>Overall, it can be concluded that the impact of PP on response policing is massive. The public allow police to investigate in an effective and efficient manner and without their cooperation, the police service would be inefficient and unable to work effectively. This essay has demonstrated how influential negative PP can be especially when journeying through multiple communities in other locations. This essay has highlighted that negative experiences are very quickly reflected upon by the public and so the police force must ensure that positive interactions occur frequently to ensure that positive PP is achieved. Without positive PP it is difficult for the police force to carry out their duties under government directive.</w:t>
      </w:r>
    </w:p>
    <w:p w14:paraId="57C29B12" w14:textId="163D65F6" w:rsidR="001D4ACF" w:rsidRPr="00E272BE" w:rsidRDefault="46B114F8" w:rsidP="001D4ACF">
      <w:r w:rsidRPr="46B114F8">
        <w:rPr>
          <w:b/>
          <w:bCs/>
        </w:rPr>
        <w:t>(1078 words) </w:t>
      </w:r>
    </w:p>
    <w:p w14:paraId="1BEC17E1" w14:textId="3590595F" w:rsidR="001D4ACF" w:rsidRPr="00E272BE" w:rsidRDefault="46B114F8" w:rsidP="001D4ACF">
      <w:pPr>
        <w:rPr>
          <w:rStyle w:val="contentpasted0"/>
          <w:b/>
          <w:bCs/>
        </w:rPr>
      </w:pPr>
      <w:r w:rsidRPr="46B114F8">
        <w:rPr>
          <w:b/>
          <w:bCs/>
        </w:rPr>
        <w:t xml:space="preserve">Bibliography </w:t>
      </w:r>
    </w:p>
    <w:p w14:paraId="577DDBE1" w14:textId="67F9D264" w:rsidR="46B114F8" w:rsidRDefault="46B114F8" w:rsidP="46B114F8">
      <w:pPr>
        <w:pStyle w:val="ListParagraph"/>
        <w:numPr>
          <w:ilvl w:val="0"/>
          <w:numId w:val="3"/>
        </w:numPr>
      </w:pPr>
      <w:r>
        <w:t xml:space="preserve">Altman, A. (2020) Why </w:t>
      </w:r>
      <w:bookmarkStart w:id="0" w:name="_Int_QtFWRHPz"/>
      <w:proofErr w:type="gramStart"/>
      <w:r>
        <w:t>The</w:t>
      </w:r>
      <w:bookmarkEnd w:id="0"/>
      <w:proofErr w:type="gramEnd"/>
      <w:r>
        <w:t xml:space="preserve"> Killing of George Floyd Sparked an American Uprising. Available at: </w:t>
      </w:r>
      <w:hyperlink r:id="rId10">
        <w:r w:rsidRPr="46B114F8">
          <w:rPr>
            <w:rStyle w:val="Hyperlink"/>
          </w:rPr>
          <w:t xml:space="preserve">Why </w:t>
        </w:r>
        <w:proofErr w:type="gramStart"/>
        <w:r w:rsidRPr="46B114F8">
          <w:rPr>
            <w:rStyle w:val="Hyperlink"/>
          </w:rPr>
          <w:t>The</w:t>
        </w:r>
        <w:proofErr w:type="gramEnd"/>
        <w:r w:rsidRPr="46B114F8">
          <w:rPr>
            <w:rStyle w:val="Hyperlink"/>
          </w:rPr>
          <w:t xml:space="preserve"> Killing of George Floyd Sparked an American Uprising | TIME</w:t>
        </w:r>
      </w:hyperlink>
      <w:r w:rsidRPr="46B114F8">
        <w:t xml:space="preserve"> (Accessed 16/10/23)</w:t>
      </w:r>
    </w:p>
    <w:p w14:paraId="5FC3DBD3" w14:textId="5E7A7BCC" w:rsidR="001D4ACF" w:rsidRPr="00E272BE" w:rsidRDefault="46B114F8" w:rsidP="001D4ACF">
      <w:pPr>
        <w:pStyle w:val="ListParagraph"/>
        <w:numPr>
          <w:ilvl w:val="0"/>
          <w:numId w:val="3"/>
        </w:numPr>
      </w:pPr>
      <w:r w:rsidRPr="46B114F8">
        <w:rPr>
          <w:rStyle w:val="contentpasted0"/>
        </w:rPr>
        <w:t xml:space="preserve">Bradley, R. (1998) Public Expectations and Perceptions of Policing. Available at </w:t>
      </w:r>
      <w:hyperlink r:id="rId11">
        <w:r w:rsidRPr="46B114F8">
          <w:rPr>
            <w:rStyle w:val="Hyperlink"/>
            <w:color w:val="auto"/>
            <w:u w:val="none"/>
          </w:rPr>
          <w:t>Public Expectations and Perceptions of Policing (college.police.uk)</w:t>
        </w:r>
      </w:hyperlink>
      <w:r w:rsidRPr="46B114F8">
        <w:rPr>
          <w:rStyle w:val="contentpasted0"/>
        </w:rPr>
        <w:t xml:space="preserve"> (Accessed 16/10/23) </w:t>
      </w:r>
    </w:p>
    <w:p w14:paraId="77D52922" w14:textId="77777777" w:rsidR="001D4ACF" w:rsidRPr="00E272BE" w:rsidRDefault="46B114F8" w:rsidP="001D4ACF">
      <w:pPr>
        <w:pStyle w:val="ListParagraph"/>
        <w:numPr>
          <w:ilvl w:val="0"/>
          <w:numId w:val="3"/>
        </w:numPr>
      </w:pPr>
      <w:r w:rsidRPr="46B114F8">
        <w:rPr>
          <w:rStyle w:val="contentpasted0"/>
        </w:rPr>
        <w:t>Brown, R. (2023) Psychology Today – Do we trust police? Available at</w:t>
      </w:r>
      <w:r w:rsidRPr="46B114F8">
        <w:rPr>
          <w:rStyle w:val="contentpasted0"/>
          <w:b/>
          <w:bCs/>
        </w:rPr>
        <w:t xml:space="preserve"> </w:t>
      </w:r>
      <w:hyperlink r:id="rId12">
        <w:r w:rsidRPr="46B114F8">
          <w:rPr>
            <w:rStyle w:val="Hyperlink"/>
            <w:color w:val="auto"/>
            <w:u w:val="none"/>
          </w:rPr>
          <w:t>Do We Trust the Police? | Psychology Today United Kingdom</w:t>
        </w:r>
      </w:hyperlink>
      <w:r w:rsidRPr="46B114F8">
        <w:rPr>
          <w:rStyle w:val="contentpasted0"/>
        </w:rPr>
        <w:t xml:space="preserve"> (Accessed 16/10/23) </w:t>
      </w:r>
    </w:p>
    <w:p w14:paraId="4797E461" w14:textId="77777777" w:rsidR="001D4ACF" w:rsidRPr="00E272BE" w:rsidRDefault="001D4ACF" w:rsidP="001D4ACF">
      <w:pPr>
        <w:pStyle w:val="ListParagraph"/>
        <w:numPr>
          <w:ilvl w:val="0"/>
          <w:numId w:val="3"/>
        </w:numPr>
      </w:pPr>
      <w:r w:rsidRPr="00E272BE">
        <w:rPr>
          <w:rStyle w:val="contentpasted0"/>
          <w:shd w:val="clear" w:color="auto" w:fill="FFFFFF"/>
        </w:rPr>
        <w:t>Home Office (2012) Definition of policing by consent. FOI release [online]. Available at </w:t>
      </w:r>
      <w:hyperlink r:id="rId13" w:history="1">
        <w:r w:rsidRPr="00E272BE">
          <w:rPr>
            <w:rStyle w:val="Hyperlink"/>
            <w:color w:val="auto"/>
            <w:u w:val="none"/>
            <w:shd w:val="clear" w:color="auto" w:fill="FFFFFF"/>
          </w:rPr>
          <w:t>www.gov.uk/government/publications/policing-by-consent/definition-of-policing-by-consent</w:t>
        </w:r>
      </w:hyperlink>
      <w:r w:rsidRPr="00E272BE">
        <w:rPr>
          <w:rStyle w:val="contentpasted0"/>
          <w:shd w:val="clear" w:color="auto" w:fill="FFFFFF"/>
        </w:rPr>
        <w:t> (accessed 16/10/2023).</w:t>
      </w:r>
      <w:r w:rsidRPr="46B114F8">
        <w:t> </w:t>
      </w:r>
    </w:p>
    <w:p w14:paraId="29212DCA" w14:textId="77777777" w:rsidR="001D4ACF" w:rsidRPr="00E272BE" w:rsidRDefault="001D4ACF" w:rsidP="001D4ACF">
      <w:pPr>
        <w:pStyle w:val="ListParagraph"/>
        <w:numPr>
          <w:ilvl w:val="0"/>
          <w:numId w:val="3"/>
        </w:numPr>
      </w:pPr>
      <w:r w:rsidRPr="00E272BE">
        <w:rPr>
          <w:rStyle w:val="contentpasted0"/>
          <w:shd w:val="clear" w:color="auto" w:fill="FFFFFF"/>
        </w:rPr>
        <w:t>Jackson, J. and Bradford, B. (2019) Measuring public attitudes towards the police. </w:t>
      </w:r>
      <w:hyperlink r:id="rId14" w:history="1">
        <w:r w:rsidRPr="00E272BE">
          <w:rPr>
            <w:rStyle w:val="Hyperlink"/>
            <w:color w:val="auto"/>
            <w:u w:val="none"/>
            <w:shd w:val="clear" w:color="auto" w:fill="FFFFFF"/>
          </w:rPr>
          <w:t>http://dx.doi.org/10.13140/RG.2.2.36499.84003</w:t>
        </w:r>
      </w:hyperlink>
      <w:r w:rsidRPr="00E272BE">
        <w:rPr>
          <w:rStyle w:val="contentpasted0"/>
          <w:shd w:val="clear" w:color="auto" w:fill="FFFFFF"/>
        </w:rPr>
        <w:t>.</w:t>
      </w:r>
      <w:r w:rsidRPr="46B114F8">
        <w:t> </w:t>
      </w:r>
    </w:p>
    <w:p w14:paraId="78E65BF9" w14:textId="77777777" w:rsidR="001D4ACF" w:rsidRPr="00E272BE" w:rsidRDefault="001D4ACF" w:rsidP="001D4ACF">
      <w:pPr>
        <w:pStyle w:val="ListParagraph"/>
        <w:numPr>
          <w:ilvl w:val="0"/>
          <w:numId w:val="3"/>
        </w:numPr>
      </w:pPr>
      <w:r w:rsidRPr="00E272BE">
        <w:rPr>
          <w:rStyle w:val="contentpasted0"/>
          <w:shd w:val="clear" w:color="auto" w:fill="FFFFFF"/>
        </w:rPr>
        <w:t>Peyton, K., Sierra-</w:t>
      </w:r>
      <w:proofErr w:type="spellStart"/>
      <w:r w:rsidRPr="00E272BE">
        <w:rPr>
          <w:rStyle w:val="contentpasted0"/>
          <w:shd w:val="clear" w:color="auto" w:fill="FFFFFF"/>
        </w:rPr>
        <w:t>Arévalo</w:t>
      </w:r>
      <w:proofErr w:type="spellEnd"/>
      <w:r w:rsidRPr="00E272BE">
        <w:rPr>
          <w:rStyle w:val="contentpasted0"/>
          <w:shd w:val="clear" w:color="auto" w:fill="FFFFFF"/>
        </w:rPr>
        <w:t>, M. and Rand, D.G. (2019) ‘A field experiment on community policing and police legitimacy’. Proceedings of the National Academy of Sciences, 116(40), pp. 19894 to 19898.</w:t>
      </w:r>
      <w:r w:rsidRPr="46B114F8">
        <w:t> </w:t>
      </w:r>
    </w:p>
    <w:p w14:paraId="38634523" w14:textId="77777777" w:rsidR="001D4ACF" w:rsidRPr="00E272BE" w:rsidRDefault="001D4ACF" w:rsidP="001D4ACF">
      <w:pPr>
        <w:pStyle w:val="ListParagraph"/>
        <w:numPr>
          <w:ilvl w:val="0"/>
          <w:numId w:val="3"/>
        </w:numPr>
      </w:pPr>
      <w:r w:rsidRPr="00E272BE">
        <w:rPr>
          <w:rStyle w:val="contentpasted0"/>
          <w:shd w:val="clear" w:color="auto" w:fill="FFFFFF"/>
        </w:rPr>
        <w:t>Rosenbaum, D.P., Schuck, A.M., Costello, S.K., Hawkins, D.F. and Ring, M.K. (2005) ‘Attitudes toward the police: The effects of direct and vicarious experience’. Police Quarterly, 8(3), pp. 343 to 365.</w:t>
      </w:r>
      <w:r w:rsidRPr="46B114F8">
        <w:rPr>
          <w:b/>
          <w:bCs/>
        </w:rPr>
        <w:t> </w:t>
      </w:r>
    </w:p>
    <w:p w14:paraId="536015EC" w14:textId="77777777" w:rsidR="001D4ACF" w:rsidRPr="00E272BE" w:rsidRDefault="001D4ACF" w:rsidP="001D4ACF">
      <w:pPr>
        <w:pStyle w:val="ListParagraph"/>
        <w:numPr>
          <w:ilvl w:val="0"/>
          <w:numId w:val="3"/>
        </w:numPr>
      </w:pPr>
      <w:proofErr w:type="spellStart"/>
      <w:r w:rsidRPr="00E272BE">
        <w:rPr>
          <w:rStyle w:val="contentpasted0"/>
          <w:shd w:val="clear" w:color="auto" w:fill="FFFFFF"/>
        </w:rPr>
        <w:t>Skogan</w:t>
      </w:r>
      <w:proofErr w:type="spellEnd"/>
      <w:r w:rsidRPr="00E272BE">
        <w:rPr>
          <w:rStyle w:val="contentpasted0"/>
          <w:shd w:val="clear" w:color="auto" w:fill="FFFFFF"/>
        </w:rPr>
        <w:t>, W.G. (2009) ‘Concern about crime and confidence in the police: Reassurance or accountability?’ Police Quarterly, 12(3), pp. 301 to 318.</w:t>
      </w:r>
      <w:r w:rsidRPr="46B114F8">
        <w:t> </w:t>
      </w:r>
    </w:p>
    <w:p w14:paraId="07E144EE" w14:textId="5F8DD526" w:rsidR="002E1A99" w:rsidRPr="00E272BE" w:rsidRDefault="001D4ACF" w:rsidP="001D4ACF">
      <w:pPr>
        <w:pStyle w:val="ListParagraph"/>
        <w:numPr>
          <w:ilvl w:val="0"/>
          <w:numId w:val="3"/>
        </w:numPr>
        <w:rPr>
          <w:b/>
          <w:bCs/>
        </w:rPr>
      </w:pPr>
      <w:r w:rsidRPr="00E272BE">
        <w:rPr>
          <w:rStyle w:val="contentpasted0"/>
          <w:shd w:val="clear" w:color="auto" w:fill="FFFFFF"/>
        </w:rPr>
        <w:t>Tyler, T.R. (2006) ‘Psychological perspectives on legitimacy and legitimation’. Annual Review of Psychology, 57, p. 375.</w:t>
      </w:r>
      <w:r w:rsidRPr="00E272BE">
        <w:rPr>
          <w:shd w:val="clear" w:color="auto" w:fill="FFFFFF"/>
        </w:rPr>
        <w:t> </w:t>
      </w:r>
    </w:p>
    <w:p w14:paraId="14F008C5" w14:textId="77777777" w:rsidR="006C0765" w:rsidRPr="008111D6" w:rsidRDefault="006C0765" w:rsidP="008111D6">
      <w:pPr>
        <w:rPr>
          <w:b/>
          <w:bCs/>
        </w:rPr>
      </w:pPr>
    </w:p>
    <w:p w14:paraId="2EDC8F18" w14:textId="6120C4F6" w:rsidR="002E1A99" w:rsidRPr="00E272BE" w:rsidRDefault="002E1A99" w:rsidP="002E1A99">
      <w:pPr>
        <w:pStyle w:val="ListParagraph"/>
        <w:numPr>
          <w:ilvl w:val="0"/>
          <w:numId w:val="1"/>
        </w:numPr>
        <w:rPr>
          <w:b/>
          <w:bCs/>
        </w:rPr>
      </w:pPr>
      <w:r w:rsidRPr="00E272BE">
        <w:rPr>
          <w:b/>
          <w:bCs/>
        </w:rPr>
        <w:t xml:space="preserve">Essay four: Examine the positive and negative aspects of media attention when dealing with public protection incidents. Your answer must be based on academic research rather than personal experience. Word limit: 1000 words. </w:t>
      </w:r>
    </w:p>
    <w:p w14:paraId="5C6E1630" w14:textId="1D0CEF30" w:rsidR="00993E70" w:rsidRPr="00E272BE" w:rsidRDefault="46B114F8" w:rsidP="002E1A99">
      <w:r>
        <w:t xml:space="preserve">Media attention when dealing with crimes, especially public protection incidents (PPI) such as sexual offences, child abuse and murders, is often extremely heightened and magnified compared to other </w:t>
      </w:r>
      <w:r>
        <w:lastRenderedPageBreak/>
        <w:t xml:space="preserve">lesser volume crimes </w:t>
      </w:r>
      <w:r w:rsidRPr="46B114F8">
        <w:rPr>
          <w:b/>
          <w:bCs/>
        </w:rPr>
        <w:t xml:space="preserve">Howard (2019). </w:t>
      </w:r>
      <w:r>
        <w:t xml:space="preserve">This focus can be both exceedingly useful for instance when appealing for witnesses </w:t>
      </w:r>
      <w:r w:rsidRPr="46B114F8">
        <w:rPr>
          <w:b/>
          <w:bCs/>
        </w:rPr>
        <w:t xml:space="preserve">Feist (1999) </w:t>
      </w:r>
      <w:r>
        <w:t xml:space="preserve">or when managing community </w:t>
      </w:r>
      <w:r w:rsidR="00AB4378">
        <w:t>hysteria,</w:t>
      </w:r>
      <w:r>
        <w:t xml:space="preserve"> </w:t>
      </w:r>
      <w:r w:rsidRPr="46B114F8">
        <w:rPr>
          <w:b/>
          <w:bCs/>
        </w:rPr>
        <w:t>The</w:t>
      </w:r>
      <w:r>
        <w:t xml:space="preserve"> </w:t>
      </w:r>
      <w:r w:rsidRPr="46B114F8">
        <w:rPr>
          <w:b/>
          <w:bCs/>
        </w:rPr>
        <w:t xml:space="preserve">College of Policing (2020), </w:t>
      </w:r>
      <w:r>
        <w:t xml:space="preserve">but equally catastrophic. Incidents can be dramatised, and ‘fake’ news published in large volumes placing a huge strain on police resources. Consequently, this can cause a major loss of confidence in the police </w:t>
      </w:r>
      <w:r w:rsidRPr="46B114F8">
        <w:rPr>
          <w:b/>
          <w:bCs/>
        </w:rPr>
        <w:t>Choi et al. (2019</w:t>
      </w:r>
      <w:r>
        <w:t>), which has a detrimental effect toward future crimes. Given that a consensus hasn’t been achieved on the use of media, in this essay I will examine the positive and negative aspects of media attention when dealing with PPI’s.</w:t>
      </w:r>
    </w:p>
    <w:p w14:paraId="0DD62248" w14:textId="227EF87B" w:rsidR="00993E70" w:rsidRPr="00E272BE" w:rsidRDefault="46B114F8" w:rsidP="46B114F8">
      <w:r>
        <w:t xml:space="preserve">Utilisation of media, notably when in relation to a PPI, is a much more prevalent and crucial skill now compared to previous decades. A large proportion of individuals gather their news through social media over newspapers or television. The result is unfiltered information being digested via social media which can lead to chaos and dissemination of misleading information if not treated proactively by the police. The initial days of an investigation are the most crucial as evidence is still readily available and recall of witnesses and victims is fresh improving the chances of early identification of suspects </w:t>
      </w:r>
      <w:r w:rsidRPr="46B114F8">
        <w:rPr>
          <w:b/>
          <w:bCs/>
        </w:rPr>
        <w:t>College of Policing (2023)</w:t>
      </w:r>
      <w:r>
        <w:t xml:space="preserve">. However, this also coincides with the highest level of media interest. In general, coverage is constant in the first few days and then starts to reduce over time. </w:t>
      </w:r>
      <w:r w:rsidRPr="46B114F8">
        <w:rPr>
          <w:b/>
          <w:bCs/>
        </w:rPr>
        <w:t xml:space="preserve">Fiest (1999) </w:t>
      </w:r>
      <w:r>
        <w:t xml:space="preserve">found that senior investigating officers (SIO) estimated up to 40% of their time in the first two days of an investigation for PPI’s was used dealing with media attention. At such a vital stage of any investigation, this clearly demonstrates the time-consuming aspect of media attention. This is a negative aspect of media attention as the SIOs could have been following up lines of enquiries to develop the investigation opposed to addressing media coverage. This finding is supported by </w:t>
      </w:r>
      <w:r w:rsidRPr="46B114F8">
        <w:rPr>
          <w:b/>
          <w:bCs/>
        </w:rPr>
        <w:t xml:space="preserve">The College of Policing (2020), </w:t>
      </w:r>
      <w:r>
        <w:t xml:space="preserve">they note the disruptions to frontline service that media attention causes due to an increase in required resources for monitoring and dealing with media during high-interest PPI to prevent mass-hysteria. The public’s demand for details especially in the initial stages of a crime can be incredibly detrimental to the police, if demand is not met then the communities start to lose faith. Considerations must be made to ensure the investigation itself is given the full attention and remains the priority rather than the media build up in the background. A careful balance of information sharing and withholding must be achieved. </w:t>
      </w:r>
    </w:p>
    <w:p w14:paraId="0982A7B6" w14:textId="009AEB15" w:rsidR="000E5F6F" w:rsidRPr="00E272BE" w:rsidRDefault="46B114F8" w:rsidP="46B114F8">
      <w:r>
        <w:t xml:space="preserve">Media attention draws a fine line between factual truth that aims to inform the community and a farcical fanfare targeting viewership for profit. Often the more intense the story the more well received. </w:t>
      </w:r>
      <w:r w:rsidRPr="46B114F8">
        <w:rPr>
          <w:b/>
          <w:bCs/>
        </w:rPr>
        <w:t xml:space="preserve">Harper and Hogue (2016) </w:t>
      </w:r>
      <w:r>
        <w:t xml:space="preserve">found that in the United Kingdom (UK) sexual offences made up 20% of all media stories about crime however they only contribute 2% of all crimes, a ten-fold increase demonstrating the popularity and demand of viewers wanting to read these types of stories. Although the public fear PPI they’re also enthralled in the story and the drip-fed details they discover through online media. </w:t>
      </w:r>
      <w:r w:rsidRPr="46B114F8">
        <w:rPr>
          <w:b/>
          <w:bCs/>
        </w:rPr>
        <w:t>Harper and Hogue (2014)</w:t>
      </w:r>
      <w:r>
        <w:t xml:space="preserve"> found that publications are often linked more highly to ‘popularity and profiteering’ as opposed to ‘representativeness, accuracy and informed public debate’ specifically when reporting sexual offences. Phrases such as ‘monster’ to describe the suspect were also found to be used more commonly rather than factual identifiers to play more on the consumer’s emotional needs oppose to providing them a factual and well-informed update of the PPI. This demonstrates that media attention has a stronger relation to </w:t>
      </w:r>
      <w:proofErr w:type="spellStart"/>
      <w:r>
        <w:t>eyecatching</w:t>
      </w:r>
      <w:proofErr w:type="spellEnd"/>
      <w:r>
        <w:t xml:space="preserve"> headlines otherwise known as ‘clickbait’ over education and factual information. Consequently, the enormous media attention drawn to PPIs is becoming increasingly negative as it lends more towards stirring irrational community fear than it does to informing them. Growing community fear also places more pressure on the police service as it appears they are not acting effectively to apprehend the guilty party.</w:t>
      </w:r>
    </w:p>
    <w:p w14:paraId="7B33765C" w14:textId="7075ED3D" w:rsidR="007E0DAD" w:rsidRPr="00E272BE" w:rsidRDefault="46B114F8" w:rsidP="002E1A99">
      <w:r>
        <w:t xml:space="preserve">If police services were to act proactively, which in recent years more and more across the UK are especially by utilising social media, then the management of community knowledge regarding PPI </w:t>
      </w:r>
      <w:r>
        <w:lastRenderedPageBreak/>
        <w:t xml:space="preserve">can be achieved more successfully. </w:t>
      </w:r>
      <w:r w:rsidRPr="46B114F8">
        <w:rPr>
          <w:b/>
          <w:bCs/>
        </w:rPr>
        <w:t xml:space="preserve">Johnston and McGovern (2013) </w:t>
      </w:r>
      <w:r>
        <w:t xml:space="preserve">demonstrated the benefits of the police using social media in a strategic manner to exert their influence on the public, by means of increasing community confidence in the police and reducing their concerns over crimes in general. Thus, the purposeful and tactical dissemination of specific details and updates via social media, over a risk-assessed time scale so as not to damage the frontline investigation, can be an incredibly positive use of the high media attention on PPIs. Furthermore, as covered by </w:t>
      </w:r>
      <w:r w:rsidRPr="46B114F8">
        <w:rPr>
          <w:b/>
          <w:bCs/>
        </w:rPr>
        <w:t xml:space="preserve">The College of Policing (2022), </w:t>
      </w:r>
      <w:r>
        <w:t xml:space="preserve">strategic media use by the police can be used to provide the public insight into the actions taken by officers and senior decision makers to illustrate a clear picture of transparency with the community. As a result, the public feel reassured as they understand what and how the police are actively tracking down a suspect and equally the police service reinforces its legitimacy as the public is more supportive, boosting the ‘policing by consent’ model. Hand in hand with increased public support, the police can proactively lean on the community further by utilising an open communication with the public by means of media appeals. Media, especially social media, is a huge network with a vast geographical outreach. </w:t>
      </w:r>
      <w:r w:rsidRPr="46B114F8">
        <w:rPr>
          <w:b/>
          <w:bCs/>
        </w:rPr>
        <w:t xml:space="preserve">Fiest (1999) </w:t>
      </w:r>
      <w:r>
        <w:t>highlighted the benefits of using media to attain national coverage when requesting witnesses to come forward and providing eyes in every town to search for a missing person or suspect. Subsequently, proactively using the high media attention on PPI, can be positively used to solve crimes faster and increase the stability of communities by preventing widespread fear as they are aware the police are effectively working to solve such crimes more efficiently.</w:t>
      </w:r>
    </w:p>
    <w:p w14:paraId="1E4CE57E" w14:textId="1603EDD5" w:rsidR="46B114F8" w:rsidRDefault="46B114F8" w:rsidP="46B114F8">
      <w:r>
        <w:t>In conclusion there are both positives and negatives to the use of media in relation to PPI. This essay has demonstrated that media can both inhibit police investigations and further develop them. Overall, it appears that strategic media use by the police helps mitigate the negative aspects of media use for PP</w:t>
      </w:r>
      <w:r w:rsidR="00AB4378">
        <w:t>I</w:t>
      </w:r>
      <w:r>
        <w:t>’s and can improve the speed at which a crime is solved.</w:t>
      </w:r>
    </w:p>
    <w:p w14:paraId="25371D1C" w14:textId="6053D011" w:rsidR="00C8127C" w:rsidRPr="00E272BE" w:rsidRDefault="46B114F8" w:rsidP="002E1A99">
      <w:pPr>
        <w:rPr>
          <w:b/>
          <w:bCs/>
        </w:rPr>
      </w:pPr>
      <w:r w:rsidRPr="46B114F8">
        <w:rPr>
          <w:b/>
          <w:bCs/>
        </w:rPr>
        <w:t>(1070 Words)</w:t>
      </w:r>
    </w:p>
    <w:p w14:paraId="32E8C100" w14:textId="32724AE6" w:rsidR="00392691" w:rsidRPr="00E272BE" w:rsidRDefault="00392691" w:rsidP="002E1A99">
      <w:pPr>
        <w:rPr>
          <w:b/>
          <w:bCs/>
        </w:rPr>
      </w:pPr>
      <w:r w:rsidRPr="00E272BE">
        <w:rPr>
          <w:b/>
          <w:bCs/>
        </w:rPr>
        <w:t>Bibliography</w:t>
      </w:r>
    </w:p>
    <w:p w14:paraId="328868AF" w14:textId="410C2695" w:rsidR="00392691" w:rsidRPr="00E272BE" w:rsidRDefault="002C3D20" w:rsidP="00C8127C">
      <w:pPr>
        <w:pStyle w:val="ListParagraph"/>
        <w:numPr>
          <w:ilvl w:val="0"/>
          <w:numId w:val="6"/>
        </w:numPr>
      </w:pPr>
      <w:r w:rsidRPr="00E272BE">
        <w:t xml:space="preserve">John Howard Society of Canada </w:t>
      </w:r>
      <w:r w:rsidR="00392691" w:rsidRPr="00E272BE">
        <w:t>(2019)</w:t>
      </w:r>
      <w:r w:rsidRPr="00E272BE">
        <w:t xml:space="preserve"> </w:t>
      </w:r>
      <w:r w:rsidRPr="00E272BE">
        <w:rPr>
          <w:i/>
          <w:iCs/>
        </w:rPr>
        <w:t>Media Portrayals of Crime creates problems</w:t>
      </w:r>
      <w:r w:rsidRPr="00E272BE">
        <w:t xml:space="preserve"> Available at: </w:t>
      </w:r>
      <w:hyperlink r:id="rId15" w:history="1">
        <w:r w:rsidRPr="00E272BE">
          <w:rPr>
            <w:rStyle w:val="Hyperlink"/>
            <w:color w:val="auto"/>
            <w:u w:val="none"/>
          </w:rPr>
          <w:t>Media portrayals of crime create problems - The John Howard Society of Canada : The John Howard Society of Canada</w:t>
        </w:r>
      </w:hyperlink>
      <w:r w:rsidRPr="00E272BE">
        <w:t xml:space="preserve"> (Accessed: 09 January 2024).</w:t>
      </w:r>
    </w:p>
    <w:p w14:paraId="59BACA25" w14:textId="3E467640" w:rsidR="00392691" w:rsidRPr="00E272BE" w:rsidRDefault="00392691" w:rsidP="00C8127C">
      <w:pPr>
        <w:pStyle w:val="ListParagraph"/>
        <w:numPr>
          <w:ilvl w:val="0"/>
          <w:numId w:val="6"/>
        </w:numPr>
        <w:rPr>
          <w:rFonts w:cstheme="minorHAnsi"/>
        </w:rPr>
      </w:pPr>
      <w:r w:rsidRPr="00E272BE">
        <w:rPr>
          <w:rFonts w:cstheme="minorHAnsi"/>
        </w:rPr>
        <w:t>Feist</w:t>
      </w:r>
      <w:r w:rsidR="002C3D20" w:rsidRPr="00E272BE">
        <w:rPr>
          <w:rFonts w:cstheme="minorHAnsi"/>
        </w:rPr>
        <w:t>, A.</w:t>
      </w:r>
      <w:r w:rsidRPr="00E272BE">
        <w:rPr>
          <w:rFonts w:cstheme="minorHAnsi"/>
        </w:rPr>
        <w:t xml:space="preserve"> (1999)  </w:t>
      </w:r>
      <w:r w:rsidR="002C3D20" w:rsidRPr="00E272BE">
        <w:rPr>
          <w:rFonts w:cstheme="minorHAnsi"/>
        </w:rPr>
        <w:t xml:space="preserve">‘The Effective Use of the Media in Serious Crime Investigations’, </w:t>
      </w:r>
      <w:r w:rsidR="002C3D20" w:rsidRPr="00E272BE">
        <w:rPr>
          <w:rFonts w:cstheme="minorHAnsi"/>
          <w:shd w:val="clear" w:color="auto" w:fill="FFFFFF"/>
        </w:rPr>
        <w:t>Home Office, Policing and Reducing Crime Unit, Research, Development and Statistics Directorate, 120(1), pp. 1-54.</w:t>
      </w:r>
    </w:p>
    <w:p w14:paraId="272E19C8" w14:textId="0BA1DE63" w:rsidR="00392691" w:rsidRPr="00E272BE" w:rsidRDefault="46B114F8" w:rsidP="00C8127C">
      <w:pPr>
        <w:pStyle w:val="ListParagraph"/>
        <w:numPr>
          <w:ilvl w:val="0"/>
          <w:numId w:val="6"/>
        </w:numPr>
      </w:pPr>
      <w:r>
        <w:t xml:space="preserve">College of Policing (2020) </w:t>
      </w:r>
      <w:r w:rsidRPr="46B114F8">
        <w:rPr>
          <w:i/>
          <w:iCs/>
        </w:rPr>
        <w:t>Communications and Media considerations</w:t>
      </w:r>
      <w:r>
        <w:t xml:space="preserve"> Available at: </w:t>
      </w:r>
      <w:hyperlink r:id="rId16">
        <w:r w:rsidRPr="46B114F8">
          <w:rPr>
            <w:rStyle w:val="Hyperlink"/>
            <w:color w:val="auto"/>
            <w:u w:val="none"/>
          </w:rPr>
          <w:t>Communication and media considerations | College of Policing</w:t>
        </w:r>
      </w:hyperlink>
      <w:r>
        <w:t xml:space="preserve"> (Accessed: 09 January 2024)</w:t>
      </w:r>
    </w:p>
    <w:p w14:paraId="1E861215" w14:textId="736CD062" w:rsidR="46B114F8" w:rsidRDefault="46B114F8" w:rsidP="46B114F8">
      <w:pPr>
        <w:pStyle w:val="ListParagraph"/>
        <w:numPr>
          <w:ilvl w:val="0"/>
          <w:numId w:val="6"/>
        </w:numPr>
      </w:pPr>
      <w:r>
        <w:t xml:space="preserve">College of Policing (2023) </w:t>
      </w:r>
      <w:r w:rsidRPr="46B114F8">
        <w:rPr>
          <w:i/>
          <w:iCs/>
        </w:rPr>
        <w:t xml:space="preserve">Initial Response </w:t>
      </w:r>
      <w:r w:rsidRPr="46B114F8">
        <w:t xml:space="preserve">Available at: </w:t>
      </w:r>
      <w:hyperlink r:id="rId17" w:anchor=":~:text=Golden%20hour%20enquiries%20undertaken%20during,recovering%20stolen%20property%20%E2%80%93%20or%20not.">
        <w:r w:rsidRPr="46B114F8">
          <w:rPr>
            <w:rStyle w:val="Hyperlink"/>
          </w:rPr>
          <w:t>Initial response | College of Policing</w:t>
        </w:r>
      </w:hyperlink>
      <w:r w:rsidRPr="46B114F8">
        <w:t xml:space="preserve"> (Accessed at: 09 January 2024) </w:t>
      </w:r>
    </w:p>
    <w:p w14:paraId="62BE0A02" w14:textId="48D40BE8" w:rsidR="00392691" w:rsidRPr="00E272BE" w:rsidRDefault="002C3D20" w:rsidP="00C8127C">
      <w:pPr>
        <w:pStyle w:val="ListParagraph"/>
        <w:numPr>
          <w:ilvl w:val="0"/>
          <w:numId w:val="6"/>
        </w:numPr>
        <w:rPr>
          <w:rFonts w:cstheme="minorHAnsi"/>
        </w:rPr>
      </w:pPr>
      <w:r w:rsidRPr="46B114F8">
        <w:rPr>
          <w:shd w:val="clear" w:color="auto" w:fill="FFFFFF"/>
        </w:rPr>
        <w:t>Choi, J., Yim, H., and Hicks, R. D. (2019) ‘Direct and indirect effects of crime-related media consumption on public confidence in the police’, </w:t>
      </w:r>
      <w:r w:rsidRPr="46B114F8">
        <w:rPr>
          <w:i/>
          <w:iCs/>
          <w:shd w:val="clear" w:color="auto" w:fill="FFFFFF"/>
        </w:rPr>
        <w:t>International Journal of Police Science &amp; Management</w:t>
      </w:r>
      <w:r w:rsidRPr="46B114F8">
        <w:rPr>
          <w:shd w:val="clear" w:color="auto" w:fill="FFFFFF"/>
        </w:rPr>
        <w:t>, </w:t>
      </w:r>
      <w:r w:rsidRPr="46B114F8">
        <w:rPr>
          <w:i/>
          <w:iCs/>
          <w:shd w:val="clear" w:color="auto" w:fill="FFFFFF"/>
        </w:rPr>
        <w:t>22</w:t>
      </w:r>
      <w:r w:rsidRPr="46B114F8">
        <w:rPr>
          <w:shd w:val="clear" w:color="auto" w:fill="FFFFFF"/>
        </w:rPr>
        <w:t>(1), 38-49.</w:t>
      </w:r>
    </w:p>
    <w:p w14:paraId="4FDC6115" w14:textId="3A1B2E7C" w:rsidR="00121489" w:rsidRPr="00E272BE" w:rsidRDefault="00D24415" w:rsidP="00C8127C">
      <w:pPr>
        <w:pStyle w:val="ListParagraph"/>
        <w:numPr>
          <w:ilvl w:val="0"/>
          <w:numId w:val="6"/>
        </w:numPr>
        <w:rPr>
          <w:rFonts w:cstheme="minorHAnsi"/>
          <w:shd w:val="clear" w:color="auto" w:fill="FFFFFF"/>
        </w:rPr>
      </w:pPr>
      <w:hyperlink r:id="rId18" w:tgtFrame="_blank" w:history="1">
        <w:r w:rsidR="00121489" w:rsidRPr="46B114F8">
          <w:rPr>
            <w:rStyle w:val="Hyperlink"/>
            <w:color w:val="auto"/>
            <w:u w:val="none"/>
            <w:shd w:val="clear" w:color="auto" w:fill="FFFFFF"/>
          </w:rPr>
          <w:t>Harper</w:t>
        </w:r>
      </w:hyperlink>
      <w:r w:rsidR="00121489" w:rsidRPr="46B114F8">
        <w:t>, C.,</w:t>
      </w:r>
      <w:r w:rsidR="00121489" w:rsidRPr="46B114F8">
        <w:rPr>
          <w:shd w:val="clear" w:color="auto" w:fill="FFFFFF"/>
        </w:rPr>
        <w:t xml:space="preserve"> and Hogue, T. (2016) ‘Press coverage as a heuristic guide for social decision making’, </w:t>
      </w:r>
      <w:r w:rsidR="00121489" w:rsidRPr="46B114F8">
        <w:rPr>
          <w:i/>
          <w:iCs/>
          <w:shd w:val="clear" w:color="auto" w:fill="FFFFFF"/>
        </w:rPr>
        <w:t>Psychology, Crime and Law,</w:t>
      </w:r>
      <w:r w:rsidR="00121489" w:rsidRPr="46B114F8">
        <w:rPr>
          <w:shd w:val="clear" w:color="auto" w:fill="FFFFFF"/>
        </w:rPr>
        <w:t xml:space="preserve"> </w:t>
      </w:r>
      <w:r w:rsidR="00121489" w:rsidRPr="46B114F8">
        <w:rPr>
          <w:i/>
          <w:iCs/>
          <w:shd w:val="clear" w:color="auto" w:fill="FFFFFF"/>
        </w:rPr>
        <w:t>23</w:t>
      </w:r>
      <w:r w:rsidR="00121489" w:rsidRPr="46B114F8">
        <w:rPr>
          <w:shd w:val="clear" w:color="auto" w:fill="FFFFFF"/>
        </w:rPr>
        <w:t>(2), pp.118-134.</w:t>
      </w:r>
    </w:p>
    <w:p w14:paraId="6A410284" w14:textId="2215EFDF" w:rsidR="00121489" w:rsidRPr="00E272BE" w:rsidRDefault="00D24415" w:rsidP="00C8127C">
      <w:pPr>
        <w:pStyle w:val="ListParagraph"/>
        <w:numPr>
          <w:ilvl w:val="0"/>
          <w:numId w:val="6"/>
        </w:numPr>
        <w:rPr>
          <w:rFonts w:cstheme="minorHAnsi"/>
          <w:shd w:val="clear" w:color="auto" w:fill="FFFFFF"/>
        </w:rPr>
      </w:pPr>
      <w:hyperlink r:id="rId19" w:tgtFrame="_blank" w:history="1">
        <w:r w:rsidR="00121489" w:rsidRPr="46B114F8">
          <w:rPr>
            <w:rStyle w:val="Hyperlink"/>
            <w:color w:val="auto"/>
            <w:u w:val="none"/>
            <w:shd w:val="clear" w:color="auto" w:fill="FFFFFF"/>
          </w:rPr>
          <w:t>Harper</w:t>
        </w:r>
      </w:hyperlink>
      <w:r w:rsidR="00121489" w:rsidRPr="46B114F8">
        <w:t>, C.,</w:t>
      </w:r>
      <w:r w:rsidR="00121489" w:rsidRPr="46B114F8">
        <w:rPr>
          <w:shd w:val="clear" w:color="auto" w:fill="FFFFFF"/>
        </w:rPr>
        <w:t xml:space="preserve"> and Hogue, T. (2014) ‘The emotional representation of sexual crime in the national British Press’  </w:t>
      </w:r>
      <w:r w:rsidR="00121489" w:rsidRPr="46B114F8">
        <w:rPr>
          <w:i/>
          <w:iCs/>
          <w:shd w:val="clear" w:color="auto" w:fill="FFFFFF"/>
        </w:rPr>
        <w:t>Journal of Language and Social Psychology</w:t>
      </w:r>
      <w:r w:rsidR="00121489" w:rsidRPr="46B114F8">
        <w:rPr>
          <w:shd w:val="clear" w:color="auto" w:fill="FFFFFF"/>
        </w:rPr>
        <w:t xml:space="preserve">. </w:t>
      </w:r>
      <w:r w:rsidR="00121489" w:rsidRPr="46B114F8">
        <w:rPr>
          <w:i/>
          <w:iCs/>
          <w:shd w:val="clear" w:color="auto" w:fill="FFFFFF"/>
        </w:rPr>
        <w:t>34</w:t>
      </w:r>
      <w:r w:rsidR="00121489" w:rsidRPr="46B114F8">
        <w:rPr>
          <w:shd w:val="clear" w:color="auto" w:fill="FFFFFF"/>
        </w:rPr>
        <w:t>(1), pp. 3-24.</w:t>
      </w:r>
    </w:p>
    <w:p w14:paraId="455C2CB6" w14:textId="55A70500" w:rsidR="00121489" w:rsidRPr="00E272BE" w:rsidRDefault="46B114F8" w:rsidP="00C8127C">
      <w:pPr>
        <w:pStyle w:val="ListParagraph"/>
        <w:numPr>
          <w:ilvl w:val="0"/>
          <w:numId w:val="6"/>
        </w:numPr>
        <w:rPr>
          <w:rFonts w:cstheme="minorHAnsi"/>
          <w:shd w:val="clear" w:color="auto" w:fill="FFFFFF"/>
        </w:rPr>
      </w:pPr>
      <w:r>
        <w:t xml:space="preserve">Johnston, J., and McGovern, A. (2013) ‘Communicating Justice: A Comparison of Courts and Police Use of Contemporary Media’, </w:t>
      </w:r>
      <w:r w:rsidRPr="46B114F8">
        <w:rPr>
          <w:i/>
          <w:iCs/>
        </w:rPr>
        <w:t>International Journal of Communication</w:t>
      </w:r>
      <w:r>
        <w:t>, (1)7, 1667–1687.</w:t>
      </w:r>
    </w:p>
    <w:p w14:paraId="2AC6E578" w14:textId="4289FFC9" w:rsidR="00392691" w:rsidRPr="00AB4378" w:rsidRDefault="46B114F8" w:rsidP="002E1A99">
      <w:pPr>
        <w:pStyle w:val="ListParagraph"/>
        <w:numPr>
          <w:ilvl w:val="0"/>
          <w:numId w:val="6"/>
        </w:numPr>
        <w:rPr>
          <w:b/>
          <w:bCs/>
        </w:rPr>
      </w:pPr>
      <w:r>
        <w:lastRenderedPageBreak/>
        <w:t xml:space="preserve">College of Policing (2022) </w:t>
      </w:r>
      <w:r w:rsidRPr="46B114F8">
        <w:rPr>
          <w:i/>
          <w:iCs/>
        </w:rPr>
        <w:t>Media Relations</w:t>
      </w:r>
      <w:r>
        <w:t xml:space="preserve"> Available at: </w:t>
      </w:r>
      <w:hyperlink r:id="rId20">
        <w:r w:rsidRPr="46B114F8">
          <w:rPr>
            <w:rStyle w:val="Hyperlink"/>
            <w:color w:val="auto"/>
            <w:u w:val="none"/>
          </w:rPr>
          <w:t>Media relations | College of Policing</w:t>
        </w:r>
      </w:hyperlink>
      <w:r>
        <w:t xml:space="preserve"> (Accessed: 09 January 2024)</w:t>
      </w:r>
    </w:p>
    <w:p w14:paraId="3AE87C16" w14:textId="77777777" w:rsidR="00AB4378" w:rsidRPr="00AB4378" w:rsidRDefault="00AB4378" w:rsidP="00AB4378">
      <w:pPr>
        <w:rPr>
          <w:b/>
          <w:bCs/>
        </w:rPr>
      </w:pPr>
    </w:p>
    <w:p w14:paraId="6F31B848" w14:textId="55B98521" w:rsidR="002E2D18" w:rsidRPr="00E272BE" w:rsidRDefault="002E1A99" w:rsidP="002E1A99">
      <w:pPr>
        <w:pStyle w:val="ListParagraph"/>
        <w:numPr>
          <w:ilvl w:val="0"/>
          <w:numId w:val="1"/>
        </w:numPr>
        <w:rPr>
          <w:b/>
          <w:bCs/>
        </w:rPr>
      </w:pPr>
      <w:r w:rsidRPr="00E272BE">
        <w:rPr>
          <w:b/>
          <w:bCs/>
        </w:rPr>
        <w:t>Essay five: “Despite some progress, the system of juvenile justice in the United Kingdom remains excessively punitive. The state's response to juvenile crime should focus more on rehabilitation” (Hammarberg, 2012). Examine the effectiveness of rehabilitation and/or restorative justice as a means of reducing re-offending among young offenders. Your answer must be based on academic research, but you may make reference to relevant case studies. Word limit: 1000 words.</w:t>
      </w:r>
    </w:p>
    <w:p w14:paraId="62EEC5ED" w14:textId="1FB494C7" w:rsidR="00BC2BD6" w:rsidRPr="00E272BE" w:rsidRDefault="46B114F8" w:rsidP="00BC2BD6">
      <w:r>
        <w:t xml:space="preserve">From the inception of the Juvenile Court and early justice system in 1908, the favoured approach on how best to deal with children involved in crime has changed many times. A review by </w:t>
      </w:r>
      <w:r w:rsidRPr="46B114F8">
        <w:rPr>
          <w:b/>
          <w:bCs/>
        </w:rPr>
        <w:t xml:space="preserve">Case and Bateman (2020) </w:t>
      </w:r>
      <w:r>
        <w:t xml:space="preserve">outlined different approaches taken by the UK over the past century. Notably the ‘fast-tracking child to offender transition’ (1993-2007) and the ‘tentative depenalisation’ (2008-2020) models. The fast-tracking approach of the 90’s saw vast increases in the number of youths being labelled ‘offenders’ and entering the juvenile system as first-time entrants (FTEs) owing to harsher, punitive measures such as restrictions of liberty, excessive surveillance and inhumane treatment in custodial institutions. Whereas the more tentative approach following the turn of the century by means of introducing more flexible youth cautioning </w:t>
      </w:r>
      <w:r w:rsidRPr="46B114F8">
        <w:rPr>
          <w:b/>
          <w:bCs/>
        </w:rPr>
        <w:t>(Hart 2012)</w:t>
      </w:r>
      <w:r>
        <w:t xml:space="preserve"> and a ‘child first, offender second’ mantra </w:t>
      </w:r>
      <w:r w:rsidRPr="46B114F8">
        <w:rPr>
          <w:b/>
          <w:bCs/>
        </w:rPr>
        <w:t>(Taylor 2016)</w:t>
      </w:r>
      <w:r>
        <w:t xml:space="preserve"> has led to a marked decrease in proven offending in juveniles </w:t>
      </w:r>
      <w:r w:rsidRPr="46B114F8">
        <w:rPr>
          <w:b/>
          <w:bCs/>
        </w:rPr>
        <w:t xml:space="preserve">Ministry of Justice and Youth Justice Board (2019). </w:t>
      </w:r>
      <w:r>
        <w:t>This recent lean towards more restorative and rehabilitation-based approaches demonstrating improved statistical rates of juvenile offending suggest this to be effective methods of justice. However, it must be considered whether this ideal of a ‘child first’ approach is being utilised effectively and whether a more tentative approach is allowing youths avoid consequences for longer before they’re held accountable. Are FTEs simply being labelled as something other than an offender, oppose to rectifying the cause?</w:t>
      </w:r>
    </w:p>
    <w:p w14:paraId="7D2BF47A" w14:textId="3D0BF66F" w:rsidR="00BC2BD6" w:rsidRPr="00E272BE" w:rsidRDefault="46B114F8" w:rsidP="00BC2BD6">
      <w:r>
        <w:t xml:space="preserve">Although, the UK currently claims to provide a depenalisation model for the Youth Justice System (YJS), there are numerous shortcomings and failures in the system as a whole. A publication by the Youth Justice Board in 2019, found that whilst using a non-punitive justice system there was a 75% decrease in cases whereby the subject child(s) was found guilty between 2008 and 2016. However, in that same period, there was a continued rise in re-offending levels and a plateau of juvenile offenders in custody </w:t>
      </w:r>
      <w:r w:rsidRPr="46B114F8">
        <w:rPr>
          <w:b/>
          <w:bCs/>
        </w:rPr>
        <w:t xml:space="preserve">Ministry of Justice and Youth Justice Board (2019). </w:t>
      </w:r>
      <w:r>
        <w:t xml:space="preserve">These findings suggest that the diversion away from stricter punitive sentencing and ‘offenderisation’ of children has not remedied the problem but rather has hidden the issues using different labels and categories. Juveniles are still committing the offences, but now rather than categorising them as ‘offenders’ as we would with adults, they are given numerous chances and thus feel there is no consequence to their actions, fuelling an offend-warned-reoffend cycle. It has been stated by </w:t>
      </w:r>
      <w:r w:rsidRPr="46B114F8">
        <w:rPr>
          <w:b/>
          <w:bCs/>
        </w:rPr>
        <w:t xml:space="preserve">Hammarberg (2012) </w:t>
      </w:r>
      <w:r>
        <w:t>that the UK</w:t>
      </w:r>
      <w:r w:rsidRPr="46B114F8">
        <w:rPr>
          <w:b/>
          <w:bCs/>
        </w:rPr>
        <w:t xml:space="preserve"> </w:t>
      </w:r>
      <w:r>
        <w:t>need to focus upon</w:t>
      </w:r>
      <w:r w:rsidRPr="46B114F8">
        <w:rPr>
          <w:b/>
          <w:bCs/>
        </w:rPr>
        <w:t xml:space="preserve"> </w:t>
      </w:r>
      <w:r>
        <w:t xml:space="preserve">more rehabilitation measures to curb the plight of juvenile crime. In this essay I will go on to examine the effectiveness of restorative and rehabilitation justice as a means of reducing re-offending among young offenders. </w:t>
      </w:r>
    </w:p>
    <w:p w14:paraId="1A4EF54B" w14:textId="49802F32" w:rsidR="00BC2BD6" w:rsidRPr="00E272BE" w:rsidRDefault="46B114F8" w:rsidP="00BC2BD6">
      <w:r>
        <w:t xml:space="preserve">Restorative justice (RJ) was designed to mediate the effects of a crime for both the offender and the victim, by involving both at the centre of the decision-making process for the disposal of the suspect. The focus is to help the victim heal from the crime oppose to punishing the offender, and for the offender themselves to take responsibility for the actions and demonstrate remorse and regret for their actions, so both may heal </w:t>
      </w:r>
      <w:r w:rsidRPr="46B114F8">
        <w:rPr>
          <w:b/>
          <w:bCs/>
        </w:rPr>
        <w:t>Wilson et al. (2017).</w:t>
      </w:r>
      <w:r>
        <w:t xml:space="preserve"> Restorative justice leaves no criminal record behind and provides closure for all parties involved, thus allowing each to move forward in their lives </w:t>
      </w:r>
      <w:r>
        <w:lastRenderedPageBreak/>
        <w:t xml:space="preserve">with liberty. Variations of RJ have been reviewed over the years, including direct mediation, indirect mediation, and panel groups, with some studies demonstrating favourable results. </w:t>
      </w:r>
      <w:r w:rsidRPr="46B114F8">
        <w:rPr>
          <w:b/>
          <w:bCs/>
        </w:rPr>
        <w:t>Bradshaw and Roseborough (2005)</w:t>
      </w:r>
      <w:r>
        <w:t xml:space="preserve">, showed when using RJ, a 26% reduction in reoffending rates approximately three times better than none-RJ approaches was achieved. Further papers, including </w:t>
      </w:r>
      <w:r w:rsidRPr="46B114F8">
        <w:rPr>
          <w:b/>
          <w:bCs/>
        </w:rPr>
        <w:t xml:space="preserve">Bouffard et al. (2016), </w:t>
      </w:r>
      <w:r>
        <w:t>have gone on to show only moderate improvements in curbing reoffending rates in youth offenders identifying just a</w:t>
      </w:r>
      <w:r w:rsidRPr="46B114F8">
        <w:rPr>
          <w:b/>
          <w:bCs/>
        </w:rPr>
        <w:t xml:space="preserve"> </w:t>
      </w:r>
      <w:r>
        <w:t xml:space="preserve">3.5% and 7.3% decline when using indirect and direct mediation RJ in comparison to no RJ. Whereas </w:t>
      </w:r>
      <w:r w:rsidRPr="46B114F8">
        <w:rPr>
          <w:b/>
          <w:bCs/>
        </w:rPr>
        <w:t xml:space="preserve">Vooren et al. (2022), </w:t>
      </w:r>
      <w:r>
        <w:t>demonstrated RJ to have a negative effect, finding a probability of reoffending to be at 39.3% up from a base rate of 17.1%. This vast array of data illustrates that although the concept of RJ is promising and worthy of further development as an alternative to punitive justice for young offenders, it needs to be fine-tuned to provide a realistic replacement to effectively reduce re-offending.</w:t>
      </w:r>
    </w:p>
    <w:p w14:paraId="6224F338" w14:textId="60AF1CBA" w:rsidR="00BC2BD6" w:rsidRPr="00E272BE" w:rsidRDefault="46B114F8" w:rsidP="00BC2BD6">
      <w:r>
        <w:t xml:space="preserve">Juvenile rehabilitation differs from RJ in that it is often used after the young offender has been committed to an institute. Rehabilitation aims to use different programmes to improve the offender’s self-discipline, skill development and education etc. to better prepare them for a smoother transition for the return to community life </w:t>
      </w:r>
      <w:proofErr w:type="spellStart"/>
      <w:r w:rsidRPr="46B114F8">
        <w:rPr>
          <w:b/>
          <w:bCs/>
        </w:rPr>
        <w:t>Pauzi</w:t>
      </w:r>
      <w:proofErr w:type="spellEnd"/>
      <w:r w:rsidRPr="46B114F8">
        <w:rPr>
          <w:b/>
          <w:bCs/>
        </w:rPr>
        <w:t xml:space="preserve"> (2019). </w:t>
      </w:r>
      <w:r>
        <w:t xml:space="preserve">Because of this easier return, it is hypothesised the juvenile is less likely to reoffend as they are better supported and adapted for public life. </w:t>
      </w:r>
      <w:r w:rsidRPr="46B114F8">
        <w:rPr>
          <w:b/>
          <w:bCs/>
        </w:rPr>
        <w:t xml:space="preserve">Day et al. (2004) </w:t>
      </w:r>
      <w:r>
        <w:t xml:space="preserve">conducted a review of 200 tested rehabilitation programmes ranging from drug treatment to vocational courses and found that the best programmes generated up to a 40% reduction in reoffending rates. Similarly, </w:t>
      </w:r>
      <w:r w:rsidRPr="46B114F8">
        <w:rPr>
          <w:b/>
          <w:bCs/>
        </w:rPr>
        <w:t>Pappas and Dent (2023)</w:t>
      </w:r>
      <w:r>
        <w:t xml:space="preserve"> demonstrated on average 17.4% difference in favour of utilising intervention programmes than those not enrolled in them whilst institutionalised. Furthermore, juveniles who had committed serious offences such as violent and sexual assaults benefited the most from these programmes showing a vast coverage for all types of offenders, not just low levels. The data suggests, especially for juveniles who have already been placed in an institution be it for mental health or for punishment, they benefit from rehabilitation programmes to better prepare them for a return to normal life. Rehabilitation provided the young offenders a more stable platform to return from after committing offences opposed to an individual who is left unsupported and alone who will likely reoffend as they are left to their own devices and will slip back into their bad habits. </w:t>
      </w:r>
    </w:p>
    <w:p w14:paraId="3E93954B" w14:textId="13AA4A5A" w:rsidR="00BC2BD6" w:rsidRPr="00E272BE" w:rsidRDefault="46B114F8" w:rsidP="46B114F8">
      <w:r>
        <w:t xml:space="preserve">Moving forwards, instead of using rehabilitation programmes mostly post-institutionally and RJ prior to, it could be considered to use RJ and rehabilitation in unison. Utilising RJ as the ‘punishment’ aspect and then following it up with placing the young offender on a rehabilitation programme to reinforce the results of the RJ and maintain that feeling of support for the offender so they do not immediately take a step back once the RJ process is completed, could provide positive results in the fight against juvenile re-offending rates. The combination of disposal and </w:t>
      </w:r>
      <w:r w:rsidR="00AB4378">
        <w:t>treatment</w:t>
      </w:r>
      <w:r>
        <w:t xml:space="preserve"> </w:t>
      </w:r>
      <w:r w:rsidR="00AB4378">
        <w:t>programmes</w:t>
      </w:r>
      <w:r>
        <w:t xml:space="preserve"> is an area requiring much deeper research moving forward to identify the best approach in the future. Use of the rehabilitation programme would likely improve the inconsistent results seen with RJ and increase the likelihood of more repeated success which rehabilitation has been demonstrated to have. On </w:t>
      </w:r>
      <w:r w:rsidR="00AB4378">
        <w:t>conclusion</w:t>
      </w:r>
      <w:r>
        <w:t>, the current effectiveness of rehabilitation or restorative justice on reducing reoffending is not where it could be, but the prospect of using both together in unison offers hope for the future.</w:t>
      </w:r>
    </w:p>
    <w:p w14:paraId="3F75B137" w14:textId="0928A324" w:rsidR="00CB3B6E" w:rsidRDefault="46B114F8" w:rsidP="46B114F8">
      <w:r>
        <w:t>Words - 1128</w:t>
      </w:r>
    </w:p>
    <w:p w14:paraId="3B2E0668" w14:textId="2233FCCB" w:rsidR="001D4ACF" w:rsidRPr="00E272BE" w:rsidRDefault="001D4ACF" w:rsidP="001D4ACF">
      <w:pPr>
        <w:rPr>
          <w:b/>
          <w:bCs/>
        </w:rPr>
      </w:pPr>
      <w:r w:rsidRPr="00E272BE">
        <w:rPr>
          <w:b/>
          <w:bCs/>
        </w:rPr>
        <w:t xml:space="preserve">Bibliography </w:t>
      </w:r>
    </w:p>
    <w:p w14:paraId="5DFB7131" w14:textId="3C49FC4F" w:rsidR="00D90D10" w:rsidRPr="00E272BE" w:rsidRDefault="00D90D10" w:rsidP="004B63F4">
      <w:pPr>
        <w:pStyle w:val="ListParagraph"/>
        <w:numPr>
          <w:ilvl w:val="0"/>
          <w:numId w:val="7"/>
        </w:numPr>
        <w:rPr>
          <w:rFonts w:cstheme="minorHAnsi"/>
        </w:rPr>
      </w:pPr>
      <w:r w:rsidRPr="00E272BE">
        <w:rPr>
          <w:rFonts w:cstheme="minorHAnsi"/>
        </w:rPr>
        <w:t xml:space="preserve">Case, S. and Bateman. (2020) ‘The punitive transition in youth justice: Reconstructing the child as offender’, </w:t>
      </w:r>
      <w:r w:rsidRPr="00E272BE">
        <w:rPr>
          <w:rFonts w:cstheme="minorHAnsi"/>
          <w:i/>
          <w:iCs/>
        </w:rPr>
        <w:t>Children and Society</w:t>
      </w:r>
      <w:r w:rsidRPr="00E272BE">
        <w:rPr>
          <w:rFonts w:cstheme="minorHAnsi"/>
        </w:rPr>
        <w:t>, 34(6), pp. 475-491</w:t>
      </w:r>
    </w:p>
    <w:p w14:paraId="1847D5B1" w14:textId="7F788E70" w:rsidR="00D90D10" w:rsidRPr="00E272BE" w:rsidRDefault="00D90D10" w:rsidP="004B63F4">
      <w:pPr>
        <w:pStyle w:val="ListParagraph"/>
        <w:numPr>
          <w:ilvl w:val="0"/>
          <w:numId w:val="7"/>
        </w:numPr>
        <w:rPr>
          <w:rFonts w:cstheme="minorHAnsi"/>
        </w:rPr>
      </w:pPr>
      <w:r w:rsidRPr="00E272BE">
        <w:rPr>
          <w:rFonts w:cstheme="minorHAnsi"/>
        </w:rPr>
        <w:lastRenderedPageBreak/>
        <w:t>Hart, D. (2012) ‘Legal aid sentencing and punishment of offenders act 2012: Implications for children</w:t>
      </w:r>
      <w:r w:rsidR="00AA563D" w:rsidRPr="00E272BE">
        <w:rPr>
          <w:rFonts w:cstheme="minorHAnsi"/>
        </w:rPr>
        <w:t>’</w:t>
      </w:r>
      <w:r w:rsidR="00AA563D" w:rsidRPr="00E272BE">
        <w:rPr>
          <w:rFonts w:cstheme="minorHAnsi"/>
          <w:i/>
          <w:iCs/>
        </w:rPr>
        <w:t>,</w:t>
      </w:r>
      <w:r w:rsidRPr="00E272BE">
        <w:rPr>
          <w:rFonts w:cstheme="minorHAnsi"/>
          <w:i/>
          <w:iCs/>
        </w:rPr>
        <w:t xml:space="preserve"> National Association for Youth Justice</w:t>
      </w:r>
      <w:r w:rsidRPr="00E272BE">
        <w:rPr>
          <w:rFonts w:cstheme="minorHAnsi"/>
        </w:rPr>
        <w:t xml:space="preserve">, </w:t>
      </w:r>
      <w:r w:rsidR="00AA563D" w:rsidRPr="00E272BE">
        <w:rPr>
          <w:rFonts w:cstheme="minorHAnsi"/>
        </w:rPr>
        <w:t>pp. 1-10</w:t>
      </w:r>
    </w:p>
    <w:p w14:paraId="0BA20B20" w14:textId="4B983972" w:rsidR="00AA563D" w:rsidRPr="00E272BE" w:rsidRDefault="00AA563D" w:rsidP="004B63F4">
      <w:pPr>
        <w:pStyle w:val="ListParagraph"/>
        <w:numPr>
          <w:ilvl w:val="0"/>
          <w:numId w:val="7"/>
        </w:numPr>
        <w:rPr>
          <w:rFonts w:cstheme="minorHAnsi"/>
        </w:rPr>
      </w:pPr>
      <w:r w:rsidRPr="00E272BE">
        <w:rPr>
          <w:rFonts w:cstheme="minorHAnsi"/>
        </w:rPr>
        <w:t>Taylor, C. (2016) ‘</w:t>
      </w:r>
      <w:r w:rsidRPr="00E272BE">
        <w:rPr>
          <w:rFonts w:cstheme="minorHAnsi"/>
          <w:i/>
          <w:iCs/>
        </w:rPr>
        <w:t>Review of the Youth Justice System in England and Wales’.</w:t>
      </w:r>
      <w:r w:rsidRPr="00E272BE">
        <w:rPr>
          <w:rFonts w:cstheme="minorHAnsi"/>
        </w:rPr>
        <w:t xml:space="preserve"> Youth Justice Legal Centre, Available at: </w:t>
      </w:r>
      <w:hyperlink r:id="rId21" w:anchor=":~:text=Charlie%20Taylor%27s%20findings%20highlight%20that,are%20victims%20of%20crime%20themselves." w:history="1">
        <w:r w:rsidRPr="00E272BE">
          <w:rPr>
            <w:rStyle w:val="Hyperlink"/>
            <w:rFonts w:cstheme="minorHAnsi"/>
            <w:color w:val="auto"/>
            <w:u w:val="none"/>
          </w:rPr>
          <w:t>Taylor Review of Youth Justice System published (yjlc.uk)</w:t>
        </w:r>
      </w:hyperlink>
      <w:r w:rsidRPr="00E272BE">
        <w:rPr>
          <w:rFonts w:cstheme="minorHAnsi"/>
        </w:rPr>
        <w:t xml:space="preserve"> (Accessed: 22/11/2023).</w:t>
      </w:r>
    </w:p>
    <w:p w14:paraId="55C00ECA" w14:textId="039569E5" w:rsidR="001D4ACF" w:rsidRPr="00E272BE" w:rsidRDefault="00DA7EF7" w:rsidP="004B63F4">
      <w:pPr>
        <w:pStyle w:val="ListParagraph"/>
        <w:numPr>
          <w:ilvl w:val="0"/>
          <w:numId w:val="7"/>
        </w:numPr>
        <w:rPr>
          <w:rFonts w:cstheme="minorHAnsi"/>
        </w:rPr>
      </w:pPr>
      <w:r w:rsidRPr="00E272BE">
        <w:rPr>
          <w:rFonts w:cstheme="minorHAnsi"/>
        </w:rPr>
        <w:t xml:space="preserve">Youth Justice Board (YJB) (2019) </w:t>
      </w:r>
      <w:r w:rsidRPr="00E272BE">
        <w:rPr>
          <w:rFonts w:cstheme="minorHAnsi"/>
          <w:i/>
          <w:iCs/>
        </w:rPr>
        <w:t>Standards for children in the youth justice system 2019,</w:t>
      </w:r>
      <w:r w:rsidRPr="00E272BE">
        <w:rPr>
          <w:rFonts w:cstheme="minorHAnsi"/>
        </w:rPr>
        <w:t xml:space="preserve"> Available at: </w:t>
      </w:r>
      <w:hyperlink r:id="rId22" w:history="1">
        <w:r w:rsidRPr="00E272BE">
          <w:rPr>
            <w:rStyle w:val="Hyperlink"/>
            <w:rFonts w:cstheme="minorHAnsi"/>
            <w:color w:val="auto"/>
            <w:u w:val="none"/>
          </w:rPr>
          <w:t>Revised national standards for children in the youth justice system 2019 - GOV.UK (www.gov.uk)</w:t>
        </w:r>
      </w:hyperlink>
      <w:r w:rsidRPr="00E272BE">
        <w:rPr>
          <w:rFonts w:cstheme="minorHAnsi"/>
        </w:rPr>
        <w:t xml:space="preserve"> (Accessed: 22/11/23).</w:t>
      </w:r>
    </w:p>
    <w:p w14:paraId="00C2076C" w14:textId="5A5BAB1D" w:rsidR="00D90D10" w:rsidRPr="00E272BE" w:rsidRDefault="00F419CB" w:rsidP="004B63F4">
      <w:pPr>
        <w:pStyle w:val="ListParagraph"/>
        <w:numPr>
          <w:ilvl w:val="0"/>
          <w:numId w:val="7"/>
        </w:numPr>
        <w:rPr>
          <w:rFonts w:cstheme="minorHAnsi"/>
        </w:rPr>
      </w:pPr>
      <w:r w:rsidRPr="00E272BE">
        <w:rPr>
          <w:rFonts w:cstheme="minorHAnsi"/>
        </w:rPr>
        <w:t>Wilson</w:t>
      </w:r>
      <w:r w:rsidR="001E3162" w:rsidRPr="00E272BE">
        <w:rPr>
          <w:rFonts w:cstheme="minorHAnsi"/>
        </w:rPr>
        <w:t>, D., B.,</w:t>
      </w:r>
      <w:r w:rsidRPr="00E272BE">
        <w:rPr>
          <w:rFonts w:cstheme="minorHAnsi"/>
        </w:rPr>
        <w:t xml:space="preserve"> </w:t>
      </w:r>
      <w:proofErr w:type="spellStart"/>
      <w:r w:rsidRPr="00E272BE">
        <w:rPr>
          <w:rFonts w:cstheme="minorHAnsi"/>
        </w:rPr>
        <w:t>Olaghere</w:t>
      </w:r>
      <w:proofErr w:type="spellEnd"/>
      <w:r w:rsidR="001E3162" w:rsidRPr="00E272BE">
        <w:rPr>
          <w:rFonts w:cstheme="minorHAnsi"/>
        </w:rPr>
        <w:t>, A.,</w:t>
      </w:r>
      <w:r w:rsidRPr="00E272BE">
        <w:rPr>
          <w:rFonts w:cstheme="minorHAnsi"/>
        </w:rPr>
        <w:t xml:space="preserve"> and Kimbrell</w:t>
      </w:r>
      <w:r w:rsidR="001E3162" w:rsidRPr="00E272BE">
        <w:rPr>
          <w:rFonts w:cstheme="minorHAnsi"/>
        </w:rPr>
        <w:t>, C., S.,</w:t>
      </w:r>
      <w:r w:rsidRPr="00E272BE">
        <w:rPr>
          <w:rFonts w:cstheme="minorHAnsi"/>
        </w:rPr>
        <w:t xml:space="preserve"> (2017) </w:t>
      </w:r>
      <w:r w:rsidRPr="00E272BE">
        <w:rPr>
          <w:rFonts w:cstheme="minorHAnsi"/>
          <w:i/>
          <w:iCs/>
        </w:rPr>
        <w:t>‘Effectiveness of Restorative Justice Principles in Juvenile Justice: A Meta Analysis’</w:t>
      </w:r>
      <w:r w:rsidRPr="00E272BE">
        <w:rPr>
          <w:rFonts w:cstheme="minorHAnsi"/>
        </w:rPr>
        <w:t>, Office of Justice Programs, pp. 1-145</w:t>
      </w:r>
    </w:p>
    <w:p w14:paraId="619AF1CC" w14:textId="77777777" w:rsidR="00F419CB" w:rsidRPr="00E272BE" w:rsidRDefault="00F419CB" w:rsidP="004B63F4">
      <w:pPr>
        <w:pStyle w:val="ListParagraph"/>
        <w:numPr>
          <w:ilvl w:val="0"/>
          <w:numId w:val="7"/>
        </w:numPr>
        <w:rPr>
          <w:rFonts w:cstheme="minorHAnsi"/>
          <w:shd w:val="clear" w:color="auto" w:fill="FFFFFF"/>
        </w:rPr>
      </w:pPr>
      <w:r w:rsidRPr="00E272BE">
        <w:rPr>
          <w:rFonts w:cstheme="minorHAnsi"/>
          <w:shd w:val="clear" w:color="auto" w:fill="FFFFFF"/>
        </w:rPr>
        <w:t xml:space="preserve">Bradshaw, W. and Roseborough, D., 2005. </w:t>
      </w:r>
      <w:r w:rsidRPr="00E272BE">
        <w:rPr>
          <w:rFonts w:cstheme="minorHAnsi"/>
          <w:i/>
          <w:iCs/>
          <w:shd w:val="clear" w:color="auto" w:fill="FFFFFF"/>
        </w:rPr>
        <w:t>Restorative justice dialogue: The impact of mediation and conferencing on juvenile recidivism.</w:t>
      </w:r>
      <w:r w:rsidRPr="00E272BE">
        <w:rPr>
          <w:rFonts w:cstheme="minorHAnsi"/>
          <w:shd w:val="clear" w:color="auto" w:fill="FFFFFF"/>
        </w:rPr>
        <w:t> </w:t>
      </w:r>
      <w:r w:rsidRPr="00E272BE">
        <w:rPr>
          <w:rFonts w:cstheme="minorHAnsi"/>
          <w:i/>
          <w:iCs/>
          <w:shd w:val="clear" w:color="auto" w:fill="FFFFFF"/>
        </w:rPr>
        <w:t>Federal Probation</w:t>
      </w:r>
      <w:r w:rsidRPr="00E272BE">
        <w:rPr>
          <w:rFonts w:cstheme="minorHAnsi"/>
          <w:shd w:val="clear" w:color="auto" w:fill="FFFFFF"/>
        </w:rPr>
        <w:t>, </w:t>
      </w:r>
      <w:r w:rsidRPr="00E272BE">
        <w:rPr>
          <w:rFonts w:cstheme="minorHAnsi"/>
          <w:i/>
          <w:iCs/>
          <w:shd w:val="clear" w:color="auto" w:fill="FFFFFF"/>
        </w:rPr>
        <w:t>69</w:t>
      </w:r>
      <w:r w:rsidRPr="00E272BE">
        <w:rPr>
          <w:rFonts w:cstheme="minorHAnsi"/>
          <w:shd w:val="clear" w:color="auto" w:fill="FFFFFF"/>
        </w:rPr>
        <w:t>, p.15.</w:t>
      </w:r>
    </w:p>
    <w:p w14:paraId="4F1C2C22" w14:textId="71B7493C" w:rsidR="00D90D10" w:rsidRPr="00E272BE" w:rsidRDefault="00F419CB" w:rsidP="004B63F4">
      <w:pPr>
        <w:pStyle w:val="ListParagraph"/>
        <w:numPr>
          <w:ilvl w:val="0"/>
          <w:numId w:val="7"/>
        </w:numPr>
        <w:rPr>
          <w:rFonts w:cstheme="minorHAnsi"/>
        </w:rPr>
      </w:pPr>
      <w:r w:rsidRPr="00E272BE">
        <w:rPr>
          <w:rFonts w:cstheme="minorHAnsi"/>
        </w:rPr>
        <w:t xml:space="preserve">Bouffard, </w:t>
      </w:r>
      <w:r w:rsidR="001E3162" w:rsidRPr="00E272BE">
        <w:rPr>
          <w:rFonts w:cstheme="minorHAnsi"/>
        </w:rPr>
        <w:t xml:space="preserve">J., </w:t>
      </w:r>
      <w:r w:rsidRPr="00E272BE">
        <w:rPr>
          <w:rFonts w:cstheme="minorHAnsi"/>
        </w:rPr>
        <w:t>Cooper,</w:t>
      </w:r>
      <w:r w:rsidR="001E3162" w:rsidRPr="00E272BE">
        <w:rPr>
          <w:rFonts w:cstheme="minorHAnsi"/>
        </w:rPr>
        <w:t xml:space="preserve"> M.,</w:t>
      </w:r>
      <w:r w:rsidRPr="00E272BE">
        <w:rPr>
          <w:rFonts w:cstheme="minorHAnsi"/>
        </w:rPr>
        <w:t xml:space="preserve"> and Bergseth</w:t>
      </w:r>
      <w:r w:rsidR="001E3162" w:rsidRPr="00E272BE">
        <w:rPr>
          <w:rFonts w:cstheme="minorHAnsi"/>
        </w:rPr>
        <w:t>, K.</w:t>
      </w:r>
      <w:r w:rsidRPr="00E272BE">
        <w:rPr>
          <w:rFonts w:cstheme="minorHAnsi"/>
        </w:rPr>
        <w:t xml:space="preserve">, 2016 ‘The Effectiveness of Various Restorative Justice Interventions on Recidivism Outcomes Among Juvenile Offenders’, Youth Violence and Juvenile Justice, 1(16), pp. </w:t>
      </w:r>
      <w:r w:rsidR="006C41B1" w:rsidRPr="00E272BE">
        <w:rPr>
          <w:rFonts w:cstheme="minorHAnsi"/>
        </w:rPr>
        <w:t>1-16</w:t>
      </w:r>
      <w:r w:rsidR="00D90D10" w:rsidRPr="00E272BE">
        <w:rPr>
          <w:rFonts w:cstheme="minorHAnsi"/>
        </w:rPr>
        <w:t xml:space="preserve"> </w:t>
      </w:r>
    </w:p>
    <w:p w14:paraId="06D5FE57" w14:textId="0B3A6512" w:rsidR="00D90D10" w:rsidRPr="00E272BE" w:rsidRDefault="00D24415" w:rsidP="004B63F4">
      <w:pPr>
        <w:pStyle w:val="ListParagraph"/>
        <w:numPr>
          <w:ilvl w:val="0"/>
          <w:numId w:val="7"/>
        </w:numPr>
        <w:rPr>
          <w:rFonts w:cstheme="minorHAnsi"/>
        </w:rPr>
      </w:pPr>
      <w:hyperlink r:id="rId23" w:anchor="auth-Melvin-Vooren-Aff1-Aff2" w:history="1">
        <w:r w:rsidR="001E3162" w:rsidRPr="00E272BE">
          <w:rPr>
            <w:rStyle w:val="Hyperlink"/>
            <w:rFonts w:cstheme="minorHAnsi"/>
            <w:color w:val="auto"/>
            <w:u w:val="none"/>
          </w:rPr>
          <w:t xml:space="preserve"> Vooren</w:t>
        </w:r>
      </w:hyperlink>
      <w:r w:rsidR="001E3162" w:rsidRPr="00E272BE">
        <w:rPr>
          <w:rFonts w:cstheme="minorHAnsi"/>
        </w:rPr>
        <w:t>, M.,</w:t>
      </w:r>
      <w:hyperlink r:id="rId24" w:anchor="auth-Iryna-Rud-Aff3" w:history="1">
        <w:r w:rsidR="001E3162" w:rsidRPr="00E272BE">
          <w:rPr>
            <w:rStyle w:val="Hyperlink"/>
            <w:rFonts w:cstheme="minorHAnsi"/>
            <w:color w:val="auto"/>
            <w:u w:val="none"/>
          </w:rPr>
          <w:t xml:space="preserve"> Rud</w:t>
        </w:r>
      </w:hyperlink>
      <w:r w:rsidR="001E3162" w:rsidRPr="00E272BE">
        <w:rPr>
          <w:rFonts w:cstheme="minorHAnsi"/>
        </w:rPr>
        <w:t>, I.,</w:t>
      </w:r>
      <w:hyperlink r:id="rId25" w:anchor="auth-Ilja-Cornelisz-Aff1" w:history="1">
        <w:r w:rsidR="001E3162" w:rsidRPr="00E272BE">
          <w:rPr>
            <w:rStyle w:val="Hyperlink"/>
            <w:rFonts w:cstheme="minorHAnsi"/>
            <w:color w:val="auto"/>
            <w:u w:val="none"/>
          </w:rPr>
          <w:t xml:space="preserve"> Cornelisz</w:t>
        </w:r>
      </w:hyperlink>
      <w:r w:rsidR="001E3162" w:rsidRPr="00E272BE">
        <w:rPr>
          <w:rFonts w:cstheme="minorHAnsi"/>
        </w:rPr>
        <w:t xml:space="preserve">, I., </w:t>
      </w:r>
      <w:hyperlink r:id="rId26" w:anchor="auth-Chris-Klaveren-Aff1" w:history="1">
        <w:proofErr w:type="spellStart"/>
        <w:r w:rsidR="001E3162" w:rsidRPr="00E272BE">
          <w:rPr>
            <w:rStyle w:val="Hyperlink"/>
            <w:rFonts w:cstheme="minorHAnsi"/>
            <w:color w:val="auto"/>
            <w:u w:val="none"/>
          </w:rPr>
          <w:t>Klaveren</w:t>
        </w:r>
        <w:proofErr w:type="spellEnd"/>
      </w:hyperlink>
      <w:r w:rsidR="001E3162" w:rsidRPr="00E272BE">
        <w:rPr>
          <w:rFonts w:cstheme="minorHAnsi"/>
        </w:rPr>
        <w:t xml:space="preserve">, C., V., </w:t>
      </w:r>
      <w:hyperlink r:id="rId27" w:anchor="auth-Wim-Groot-Aff3" w:history="1">
        <w:r w:rsidR="001E3162" w:rsidRPr="00E272BE">
          <w:rPr>
            <w:rStyle w:val="Hyperlink"/>
            <w:rFonts w:cstheme="minorHAnsi"/>
            <w:color w:val="auto"/>
            <w:u w:val="none"/>
          </w:rPr>
          <w:t xml:space="preserve"> Groot</w:t>
        </w:r>
      </w:hyperlink>
      <w:r w:rsidR="001E3162" w:rsidRPr="00E272BE">
        <w:rPr>
          <w:rFonts w:cstheme="minorHAnsi"/>
        </w:rPr>
        <w:t xml:space="preserve">, W., and </w:t>
      </w:r>
      <w:hyperlink r:id="rId28" w:anchor="auth-Henri_tte-Maassen_van_den_Brink-Aff2" w:history="1">
        <w:r w:rsidR="001E3162" w:rsidRPr="00E272BE">
          <w:rPr>
            <w:rStyle w:val="Hyperlink"/>
            <w:rFonts w:cstheme="minorHAnsi"/>
            <w:color w:val="auto"/>
            <w:u w:val="none"/>
          </w:rPr>
          <w:t xml:space="preserve"> van den Brink</w:t>
        </w:r>
      </w:hyperlink>
      <w:r w:rsidR="001E3162" w:rsidRPr="00E272BE">
        <w:rPr>
          <w:rFonts w:cstheme="minorHAnsi"/>
        </w:rPr>
        <w:t xml:space="preserve">, H., M., (2022) </w:t>
      </w:r>
      <w:r w:rsidR="001E3162" w:rsidRPr="00E272BE">
        <w:rPr>
          <w:rFonts w:cstheme="minorHAnsi"/>
          <w:i/>
          <w:iCs/>
        </w:rPr>
        <w:t>‘The effects of a restorative justice programme (Halt) on educational outcomes and recidivism of young people’,</w:t>
      </w:r>
      <w:r w:rsidR="001E3162" w:rsidRPr="00E272BE">
        <w:rPr>
          <w:rFonts w:cstheme="minorHAnsi"/>
        </w:rPr>
        <w:t xml:space="preserve"> Journal of Experimental Criminology, 19(1), pp. 691-711</w:t>
      </w:r>
    </w:p>
    <w:p w14:paraId="54A064D2" w14:textId="6F4DB828" w:rsidR="001E3162" w:rsidRPr="00E272BE" w:rsidRDefault="001E3162" w:rsidP="004B63F4">
      <w:pPr>
        <w:pStyle w:val="ListParagraph"/>
        <w:numPr>
          <w:ilvl w:val="0"/>
          <w:numId w:val="7"/>
        </w:numPr>
        <w:rPr>
          <w:rFonts w:cstheme="minorHAnsi"/>
        </w:rPr>
      </w:pPr>
      <w:proofErr w:type="spellStart"/>
      <w:r w:rsidRPr="00E272BE">
        <w:rPr>
          <w:rFonts w:cstheme="minorHAnsi"/>
        </w:rPr>
        <w:t>Pauzi</w:t>
      </w:r>
      <w:proofErr w:type="spellEnd"/>
      <w:r w:rsidRPr="00E272BE">
        <w:rPr>
          <w:rFonts w:cstheme="minorHAnsi"/>
        </w:rPr>
        <w:t xml:space="preserve">, H., M., Saim, N., J., </w:t>
      </w:r>
      <w:proofErr w:type="spellStart"/>
      <w:r w:rsidRPr="00E272BE">
        <w:rPr>
          <w:rFonts w:cstheme="minorHAnsi"/>
        </w:rPr>
        <w:t>Kusenin</w:t>
      </w:r>
      <w:proofErr w:type="spellEnd"/>
      <w:r w:rsidRPr="00E272BE">
        <w:rPr>
          <w:rFonts w:cstheme="minorHAnsi"/>
        </w:rPr>
        <w:t xml:space="preserve">, N., S. </w:t>
      </w:r>
      <w:r w:rsidR="00511B14" w:rsidRPr="00E272BE">
        <w:rPr>
          <w:rFonts w:cstheme="minorHAnsi"/>
        </w:rPr>
        <w:t xml:space="preserve">Kamaluddin, M., R., and Amin, W., A. A., W., M., (2019) </w:t>
      </w:r>
      <w:r w:rsidR="00511B14" w:rsidRPr="00E272BE">
        <w:rPr>
          <w:rFonts w:cstheme="minorHAnsi"/>
          <w:i/>
          <w:iCs/>
        </w:rPr>
        <w:t>‘Attitude of Rehabilitation Prisoners in conducting Juvenile Rehabilitation Programme’,</w:t>
      </w:r>
      <w:r w:rsidR="00511B14" w:rsidRPr="00E272BE">
        <w:rPr>
          <w:rFonts w:cstheme="minorHAnsi"/>
        </w:rPr>
        <w:t xml:space="preserve"> International Journal of </w:t>
      </w:r>
      <w:proofErr w:type="spellStart"/>
      <w:r w:rsidR="00511B14" w:rsidRPr="00E272BE">
        <w:rPr>
          <w:rFonts w:cstheme="minorHAnsi"/>
        </w:rPr>
        <w:t>Acdemic</w:t>
      </w:r>
      <w:proofErr w:type="spellEnd"/>
      <w:r w:rsidR="00511B14" w:rsidRPr="00E272BE">
        <w:rPr>
          <w:rFonts w:cstheme="minorHAnsi"/>
        </w:rPr>
        <w:t xml:space="preserve"> Research in Business and Social Sciences, 11(8), pp. 819-828</w:t>
      </w:r>
    </w:p>
    <w:p w14:paraId="5A8B13A4" w14:textId="3E03F015" w:rsidR="00D90D10" w:rsidRPr="00E272BE" w:rsidRDefault="00511B14" w:rsidP="004B63F4">
      <w:pPr>
        <w:pStyle w:val="ListParagraph"/>
        <w:numPr>
          <w:ilvl w:val="0"/>
          <w:numId w:val="7"/>
        </w:numPr>
        <w:rPr>
          <w:rFonts w:cstheme="minorHAnsi"/>
        </w:rPr>
      </w:pPr>
      <w:r w:rsidRPr="00E272BE">
        <w:rPr>
          <w:rFonts w:cstheme="minorHAnsi"/>
        </w:rPr>
        <w:t xml:space="preserve">Day, A., Howells, K. and </w:t>
      </w:r>
      <w:proofErr w:type="spellStart"/>
      <w:r w:rsidRPr="00E272BE">
        <w:rPr>
          <w:rFonts w:cstheme="minorHAnsi"/>
        </w:rPr>
        <w:t>Rickwood</w:t>
      </w:r>
      <w:proofErr w:type="spellEnd"/>
      <w:r w:rsidRPr="00E272BE">
        <w:rPr>
          <w:rFonts w:cstheme="minorHAnsi"/>
        </w:rPr>
        <w:t xml:space="preserve">, D., (2004) </w:t>
      </w:r>
      <w:r w:rsidRPr="00E272BE">
        <w:rPr>
          <w:rFonts w:cstheme="minorHAnsi"/>
          <w:i/>
          <w:iCs/>
        </w:rPr>
        <w:t>‘Current trends in the rehabilitation of juvenile offenders’</w:t>
      </w:r>
      <w:r w:rsidRPr="00E272BE">
        <w:rPr>
          <w:rFonts w:cstheme="minorHAnsi"/>
        </w:rPr>
        <w:t>, Deakin Research Online, 284(1), pp.1-6</w:t>
      </w:r>
    </w:p>
    <w:p w14:paraId="15BC737F" w14:textId="17A71FC9" w:rsidR="00511B14" w:rsidRPr="00E272BE" w:rsidRDefault="00511B14" w:rsidP="004B63F4">
      <w:pPr>
        <w:pStyle w:val="ListParagraph"/>
        <w:numPr>
          <w:ilvl w:val="0"/>
          <w:numId w:val="7"/>
        </w:numPr>
        <w:rPr>
          <w:rFonts w:cstheme="minorHAnsi"/>
        </w:rPr>
      </w:pPr>
      <w:r w:rsidRPr="00E272BE">
        <w:rPr>
          <w:rFonts w:cstheme="minorHAnsi"/>
        </w:rPr>
        <w:t>Pappas, L., N., and Dent, A., L., (2023</w:t>
      </w:r>
      <w:r w:rsidRPr="00E272BE">
        <w:rPr>
          <w:rFonts w:cstheme="minorHAnsi"/>
          <w:i/>
          <w:iCs/>
        </w:rPr>
        <w:t>) ‘The 40 year debate: A meta-review on what works for juvenile offenders‘,</w:t>
      </w:r>
      <w:r w:rsidRPr="00E272BE">
        <w:rPr>
          <w:rFonts w:cstheme="minorHAnsi"/>
        </w:rPr>
        <w:t xml:space="preserve"> Journal of Experimental Criminology, 19(1), pp. 1-30</w:t>
      </w:r>
    </w:p>
    <w:p w14:paraId="3DD28B22" w14:textId="77777777" w:rsidR="00D90D10" w:rsidRPr="00E272BE" w:rsidRDefault="00D90D10" w:rsidP="00BC2BD6">
      <w:pPr>
        <w:rPr>
          <w:rFonts w:cstheme="minorHAnsi"/>
        </w:rPr>
      </w:pPr>
    </w:p>
    <w:sectPr w:rsidR="00D90D10" w:rsidRPr="00E272B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intelligence2.xml><?xml version="1.0" encoding="utf-8"?>
<int2:intelligence xmlns:int2="http://schemas.microsoft.com/office/intelligence/2020/intelligence" xmlns:oel="http://schemas.microsoft.com/office/2019/extlst">
  <int2:observations>
    <int2:textHash int2:hashCode="clY2s6u2Iue8zg" int2:id="cmiziOW5">
      <int2:state int2:value="Rejected" int2:type="AugLoop_Text_Critique"/>
    </int2:textHash>
    <int2:textHash int2:hashCode="RbFQBIXhv9Vu8J" int2:id="qFYWKTSs">
      <int2:state int2:value="Rejected" int2:type="AugLoop_Text_Critique"/>
    </int2:textHash>
    <int2:textHash int2:hashCode="N1Gtmx4k576Yhz" int2:id="2HmYrW8p">
      <int2:state int2:value="Rejected" int2:type="AugLoop_Text_Critique"/>
    </int2:textHash>
    <int2:textHash int2:hashCode="DI3O78y/aP+EE+" int2:id="fWQ5Ltw4">
      <int2:state int2:value="Rejected" int2:type="AugLoop_Text_Critique"/>
    </int2:textHash>
    <int2:textHash int2:hashCode="xS04vm40egQ9w4" int2:id="sEB9Mr36">
      <int2:state int2:value="Rejected" int2:type="AugLoop_Text_Critique"/>
    </int2:textHash>
    <int2:textHash int2:hashCode="CMvyMjwOAy/W26" int2:id="fX0Un2xx">
      <int2:state int2:value="Rejected" int2:type="AugLoop_Text_Critique"/>
    </int2:textHash>
    <int2:textHash int2:hashCode="m1txYJrWcWmPcD" int2:id="Noj7nRM3">
      <int2:state int2:value="Rejected" int2:type="AugLoop_Text_Critique"/>
    </int2:textHash>
    <int2:bookmark int2:bookmarkName="_Int_QtFWRHPz" int2:invalidationBookmarkName="" int2:hashCode="k+8N2CcQNoH87k" int2:id="q0iiKGiV">
      <int2:state int2:value="Rejected" int2:type="AugLoop_Text_Critiqu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855187"/>
    <w:multiLevelType w:val="hybridMultilevel"/>
    <w:tmpl w:val="607A8A44"/>
    <w:lvl w:ilvl="0" w:tplc="0809000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CB81472"/>
    <w:multiLevelType w:val="hybridMultilevel"/>
    <w:tmpl w:val="9E34CD86"/>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F684AC9"/>
    <w:multiLevelType w:val="hybridMultilevel"/>
    <w:tmpl w:val="ABB259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2EA4557"/>
    <w:multiLevelType w:val="hybridMultilevel"/>
    <w:tmpl w:val="A5ECB6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4C558F1"/>
    <w:multiLevelType w:val="hybridMultilevel"/>
    <w:tmpl w:val="56488E2E"/>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587A00CF"/>
    <w:multiLevelType w:val="hybridMultilevel"/>
    <w:tmpl w:val="E08E603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791311B3"/>
    <w:multiLevelType w:val="hybridMultilevel"/>
    <w:tmpl w:val="827A1682"/>
    <w:lvl w:ilvl="0" w:tplc="08090001">
      <w:start w:val="1"/>
      <w:numFmt w:val="bullet"/>
      <w:lvlText w:val=""/>
      <w:lvlJc w:val="left"/>
      <w:pPr>
        <w:ind w:left="502" w:hanging="360"/>
      </w:pPr>
      <w:rPr>
        <w:rFonts w:ascii="Symbol" w:hAnsi="Symbol"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num w:numId="1" w16cid:durableId="783036635">
    <w:abstractNumId w:val="5"/>
  </w:num>
  <w:num w:numId="2" w16cid:durableId="1629504961">
    <w:abstractNumId w:val="0"/>
  </w:num>
  <w:num w:numId="3" w16cid:durableId="16851595">
    <w:abstractNumId w:val="6"/>
  </w:num>
  <w:num w:numId="4" w16cid:durableId="1588492540">
    <w:abstractNumId w:val="4"/>
  </w:num>
  <w:num w:numId="5" w16cid:durableId="253706676">
    <w:abstractNumId w:val="1"/>
  </w:num>
  <w:num w:numId="6" w16cid:durableId="120001738">
    <w:abstractNumId w:val="3"/>
  </w:num>
  <w:num w:numId="7" w16cid:durableId="51061091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1A99"/>
    <w:rsid w:val="00001284"/>
    <w:rsid w:val="00073AE9"/>
    <w:rsid w:val="000C0E1E"/>
    <w:rsid w:val="000D63C2"/>
    <w:rsid w:val="000D6DAA"/>
    <w:rsid w:val="000E13D2"/>
    <w:rsid w:val="000E5F6F"/>
    <w:rsid w:val="00121489"/>
    <w:rsid w:val="00130381"/>
    <w:rsid w:val="0015379A"/>
    <w:rsid w:val="001808DE"/>
    <w:rsid w:val="00184C83"/>
    <w:rsid w:val="001A6EC2"/>
    <w:rsid w:val="001D4ACF"/>
    <w:rsid w:val="001E3162"/>
    <w:rsid w:val="0022550C"/>
    <w:rsid w:val="002A3BE0"/>
    <w:rsid w:val="002B4091"/>
    <w:rsid w:val="002C3D20"/>
    <w:rsid w:val="002C5F92"/>
    <w:rsid w:val="002E08C3"/>
    <w:rsid w:val="002E1397"/>
    <w:rsid w:val="002E1A99"/>
    <w:rsid w:val="002E2D18"/>
    <w:rsid w:val="002E7105"/>
    <w:rsid w:val="00314E7F"/>
    <w:rsid w:val="00363CF7"/>
    <w:rsid w:val="00390A64"/>
    <w:rsid w:val="0039108F"/>
    <w:rsid w:val="00391518"/>
    <w:rsid w:val="00392691"/>
    <w:rsid w:val="00395299"/>
    <w:rsid w:val="003C36B8"/>
    <w:rsid w:val="003D4336"/>
    <w:rsid w:val="00410803"/>
    <w:rsid w:val="00493FF6"/>
    <w:rsid w:val="00494F08"/>
    <w:rsid w:val="004A0AA5"/>
    <w:rsid w:val="004A696E"/>
    <w:rsid w:val="004B63F4"/>
    <w:rsid w:val="004E11ED"/>
    <w:rsid w:val="004F5ACE"/>
    <w:rsid w:val="00511B14"/>
    <w:rsid w:val="00566BC4"/>
    <w:rsid w:val="00567394"/>
    <w:rsid w:val="005740D0"/>
    <w:rsid w:val="005B0AC6"/>
    <w:rsid w:val="005B447D"/>
    <w:rsid w:val="00617E9A"/>
    <w:rsid w:val="00677AFE"/>
    <w:rsid w:val="006B5D5B"/>
    <w:rsid w:val="006C0765"/>
    <w:rsid w:val="006C41B1"/>
    <w:rsid w:val="006D19FC"/>
    <w:rsid w:val="007529F0"/>
    <w:rsid w:val="00783B77"/>
    <w:rsid w:val="007A26A2"/>
    <w:rsid w:val="007C15B7"/>
    <w:rsid w:val="007E0DAD"/>
    <w:rsid w:val="008111D6"/>
    <w:rsid w:val="00814C50"/>
    <w:rsid w:val="008244B2"/>
    <w:rsid w:val="008549DE"/>
    <w:rsid w:val="00863C83"/>
    <w:rsid w:val="008869E9"/>
    <w:rsid w:val="00887E18"/>
    <w:rsid w:val="008B600E"/>
    <w:rsid w:val="00914B59"/>
    <w:rsid w:val="009315F4"/>
    <w:rsid w:val="00933B3F"/>
    <w:rsid w:val="00993E70"/>
    <w:rsid w:val="009A1666"/>
    <w:rsid w:val="009A3BE8"/>
    <w:rsid w:val="009A5952"/>
    <w:rsid w:val="009B6CF7"/>
    <w:rsid w:val="009C12DC"/>
    <w:rsid w:val="009C29AB"/>
    <w:rsid w:val="00A43006"/>
    <w:rsid w:val="00A4718B"/>
    <w:rsid w:val="00A80403"/>
    <w:rsid w:val="00A91D29"/>
    <w:rsid w:val="00A94D0F"/>
    <w:rsid w:val="00A968B9"/>
    <w:rsid w:val="00A972A8"/>
    <w:rsid w:val="00AA563D"/>
    <w:rsid w:val="00AB2B52"/>
    <w:rsid w:val="00AB4378"/>
    <w:rsid w:val="00AF1C78"/>
    <w:rsid w:val="00B30C59"/>
    <w:rsid w:val="00B33B80"/>
    <w:rsid w:val="00B61C4A"/>
    <w:rsid w:val="00B8684C"/>
    <w:rsid w:val="00BC2BD6"/>
    <w:rsid w:val="00BF3290"/>
    <w:rsid w:val="00C12DFF"/>
    <w:rsid w:val="00C2438B"/>
    <w:rsid w:val="00C30056"/>
    <w:rsid w:val="00C50DBB"/>
    <w:rsid w:val="00C66E58"/>
    <w:rsid w:val="00C8127C"/>
    <w:rsid w:val="00CB3B6E"/>
    <w:rsid w:val="00CE50A9"/>
    <w:rsid w:val="00D22EDE"/>
    <w:rsid w:val="00D90D10"/>
    <w:rsid w:val="00DA7EF7"/>
    <w:rsid w:val="00DF3408"/>
    <w:rsid w:val="00DF34B0"/>
    <w:rsid w:val="00E272BE"/>
    <w:rsid w:val="00E338EB"/>
    <w:rsid w:val="00E52347"/>
    <w:rsid w:val="00E575D4"/>
    <w:rsid w:val="00E64B13"/>
    <w:rsid w:val="00E71906"/>
    <w:rsid w:val="00E870B2"/>
    <w:rsid w:val="00E9562A"/>
    <w:rsid w:val="00EB4868"/>
    <w:rsid w:val="00F120C7"/>
    <w:rsid w:val="00F27E45"/>
    <w:rsid w:val="00F419CB"/>
    <w:rsid w:val="00F55520"/>
    <w:rsid w:val="00F8002F"/>
    <w:rsid w:val="00F85BA7"/>
    <w:rsid w:val="00FB5719"/>
    <w:rsid w:val="00FB6BA2"/>
    <w:rsid w:val="00FC137D"/>
    <w:rsid w:val="00FD1147"/>
    <w:rsid w:val="00FD4D73"/>
    <w:rsid w:val="46B114F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D3D7C1"/>
  <w15:chartTrackingRefBased/>
  <w15:docId w15:val="{C6069A48-2E26-4BD9-9980-56A592B743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1E3162"/>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E1A99"/>
    <w:pPr>
      <w:ind w:left="720"/>
      <w:contextualSpacing/>
    </w:pPr>
  </w:style>
  <w:style w:type="character" w:styleId="Hyperlink">
    <w:name w:val="Hyperlink"/>
    <w:basedOn w:val="DefaultParagraphFont"/>
    <w:uiPriority w:val="99"/>
    <w:semiHidden/>
    <w:unhideWhenUsed/>
    <w:rsid w:val="00E64B13"/>
    <w:rPr>
      <w:color w:val="0000FF"/>
      <w:u w:val="single"/>
    </w:rPr>
  </w:style>
  <w:style w:type="character" w:styleId="FollowedHyperlink">
    <w:name w:val="FollowedHyperlink"/>
    <w:basedOn w:val="DefaultParagraphFont"/>
    <w:uiPriority w:val="99"/>
    <w:semiHidden/>
    <w:unhideWhenUsed/>
    <w:rsid w:val="008B600E"/>
    <w:rPr>
      <w:color w:val="954F72" w:themeColor="followedHyperlink"/>
      <w:u w:val="single"/>
    </w:rPr>
  </w:style>
  <w:style w:type="character" w:customStyle="1" w:styleId="contentpasted0">
    <w:name w:val="contentpasted0"/>
    <w:basedOn w:val="DefaultParagraphFont"/>
    <w:rsid w:val="001D4ACF"/>
  </w:style>
  <w:style w:type="character" w:customStyle="1" w:styleId="Heading1Char">
    <w:name w:val="Heading 1 Char"/>
    <w:basedOn w:val="DefaultParagraphFont"/>
    <w:link w:val="Heading1"/>
    <w:uiPriority w:val="9"/>
    <w:rsid w:val="001E3162"/>
    <w:rPr>
      <w:rFonts w:ascii="Times New Roman" w:eastAsia="Times New Roman" w:hAnsi="Times New Roman" w:cs="Times New Roman"/>
      <w:b/>
      <w:bCs/>
      <w:kern w:val="36"/>
      <w:sz w:val="48"/>
      <w:szCs w:val="48"/>
      <w:lang w:eastAsia="en-GB"/>
      <w14:ligatures w14:val="none"/>
    </w:rPr>
  </w:style>
  <w:style w:type="character" w:customStyle="1" w:styleId="ref-journal">
    <w:name w:val="ref-journal"/>
    <w:basedOn w:val="DefaultParagraphFont"/>
    <w:rsid w:val="006C0765"/>
  </w:style>
  <w:style w:type="character" w:customStyle="1" w:styleId="ref-vol">
    <w:name w:val="ref-vol"/>
    <w:basedOn w:val="DefaultParagraphFont"/>
    <w:rsid w:val="006C0765"/>
  </w:style>
  <w:style w:type="character" w:styleId="Emphasis">
    <w:name w:val="Emphasis"/>
    <w:basedOn w:val="DefaultParagraphFont"/>
    <w:uiPriority w:val="20"/>
    <w:qFormat/>
    <w:rsid w:val="00D22EDE"/>
    <w:rPr>
      <w:i/>
      <w:iCs/>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4495493">
      <w:bodyDiv w:val="1"/>
      <w:marLeft w:val="0"/>
      <w:marRight w:val="0"/>
      <w:marTop w:val="0"/>
      <w:marBottom w:val="0"/>
      <w:divBdr>
        <w:top w:val="none" w:sz="0" w:space="0" w:color="auto"/>
        <w:left w:val="none" w:sz="0" w:space="0" w:color="auto"/>
        <w:bottom w:val="none" w:sz="0" w:space="0" w:color="auto"/>
        <w:right w:val="none" w:sz="0" w:space="0" w:color="auto"/>
      </w:divBdr>
    </w:div>
    <w:div w:id="370344719">
      <w:bodyDiv w:val="1"/>
      <w:marLeft w:val="0"/>
      <w:marRight w:val="0"/>
      <w:marTop w:val="0"/>
      <w:marBottom w:val="0"/>
      <w:divBdr>
        <w:top w:val="none" w:sz="0" w:space="0" w:color="auto"/>
        <w:left w:val="none" w:sz="0" w:space="0" w:color="auto"/>
        <w:bottom w:val="none" w:sz="0" w:space="0" w:color="auto"/>
        <w:right w:val="none" w:sz="0" w:space="0" w:color="auto"/>
      </w:divBdr>
    </w:div>
    <w:div w:id="663121448">
      <w:bodyDiv w:val="1"/>
      <w:marLeft w:val="0"/>
      <w:marRight w:val="0"/>
      <w:marTop w:val="0"/>
      <w:marBottom w:val="0"/>
      <w:divBdr>
        <w:top w:val="none" w:sz="0" w:space="0" w:color="auto"/>
        <w:left w:val="none" w:sz="0" w:space="0" w:color="auto"/>
        <w:bottom w:val="none" w:sz="0" w:space="0" w:color="auto"/>
        <w:right w:val="none" w:sz="0" w:space="0" w:color="auto"/>
      </w:divBdr>
    </w:div>
    <w:div w:id="1418209910">
      <w:bodyDiv w:val="1"/>
      <w:marLeft w:val="0"/>
      <w:marRight w:val="0"/>
      <w:marTop w:val="0"/>
      <w:marBottom w:val="0"/>
      <w:divBdr>
        <w:top w:val="none" w:sz="0" w:space="0" w:color="auto"/>
        <w:left w:val="none" w:sz="0" w:space="0" w:color="auto"/>
        <w:bottom w:val="none" w:sz="0" w:space="0" w:color="auto"/>
        <w:right w:val="none" w:sz="0" w:space="0" w:color="auto"/>
      </w:divBdr>
    </w:div>
    <w:div w:id="1776442128">
      <w:bodyDiv w:val="1"/>
      <w:marLeft w:val="0"/>
      <w:marRight w:val="0"/>
      <w:marTop w:val="0"/>
      <w:marBottom w:val="0"/>
      <w:divBdr>
        <w:top w:val="none" w:sz="0" w:space="0" w:color="auto"/>
        <w:left w:val="none" w:sz="0" w:space="0" w:color="auto"/>
        <w:bottom w:val="none" w:sz="0" w:space="0" w:color="auto"/>
        <w:right w:val="none" w:sz="0" w:space="0" w:color="auto"/>
      </w:divBdr>
    </w:div>
    <w:div w:id="19459908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ollege.police.uk/ethics/code-of-ethics" TargetMode="External"/><Relationship Id="rId13" Type="http://schemas.openxmlformats.org/officeDocument/2006/relationships/hyperlink" Target="https://gbr01.safelinks.protection.outlook.com/?url=https%3A%2F%2Fwww.gov.uk%2Fgovernment%2Fpublications%2Fpolicing-by-consent%2Fdefinition-of-policing-by-consent&amp;data=05%7C02%7Cceri.edwards%40south-wales.police.uk%7Cd29ba036693a4612eb7808dc0b82c25a%7C270c2f4dfd0c4f0892a9e5bdd8a87e09%7C0%7C0%7C638397903554290691%7CUnknown%7CTWFpbGZsb3d8eyJWIjoiMC4wLjAwMDAiLCJQIjoiV2luMzIiLCJBTiI6Ik1haWwiLCJXVCI6Mn0%3D%7C3000%7C%7C%7C&amp;sdata=Mxw0Cjk9h4Okm%2BuBuJugp60JMeWxE0POgSf8x5FdLH4%3D&amp;reserved=0" TargetMode="External"/><Relationship Id="rId18" Type="http://schemas.openxmlformats.org/officeDocument/2006/relationships/hyperlink" Target="http://irep.ntu.ac.uk/id/eprint/28556/" TargetMode="External"/><Relationship Id="rId26" Type="http://schemas.openxmlformats.org/officeDocument/2006/relationships/hyperlink" Target="https://link.springer.com/article/10.1007/s11292-022-09502-4" TargetMode="External"/><Relationship Id="rId3" Type="http://schemas.openxmlformats.org/officeDocument/2006/relationships/settings" Target="settings.xml"/><Relationship Id="rId21" Type="http://schemas.openxmlformats.org/officeDocument/2006/relationships/hyperlink" Target="https://yjlc.uk/resources/legal-updates/taylor-review-youth-justice-system-published" TargetMode="External"/><Relationship Id="rId7" Type="http://schemas.openxmlformats.org/officeDocument/2006/relationships/hyperlink" Target="https://www.college.police.uk/guidance/neighbourhood-policing/promoting-right-culture" TargetMode="External"/><Relationship Id="rId12" Type="http://schemas.openxmlformats.org/officeDocument/2006/relationships/hyperlink" Target="https://gbr01.safelinks.protection.outlook.com/?url=https%3A%2F%2Fwww.psychologytoday.com%2Fgb%2Fblog%2Funderstanding-health-behaviors%2F202303%2Fdo-we-trust-the-police%23%3A~%3Atext%3DWithout%2520trust%252C%2520citizens%2520are%2520less%2Cand%2520heightened%2520feelings%2520of%2520injustice.&amp;data=05%7C02%7Cceri.edwards%40south-wales.police.uk%7Cd29ba036693a4612eb7808dc0b82c25a%7C270c2f4dfd0c4f0892a9e5bdd8a87e09%7C0%7C0%7C638397903554290691%7CUnknown%7CTWFpbGZsb3d8eyJWIjoiMC4wLjAwMDAiLCJQIjoiV2luMzIiLCJBTiI6Ik1haWwiLCJXVCI6Mn0%3D%7C3000%7C%7C%7C&amp;sdata=DG%2BzBeh3O0m2Jm5KEAnccVj8nGbAJMm4JvXV9dhutp4%3D&amp;reserved=0" TargetMode="External"/><Relationship Id="rId17" Type="http://schemas.openxmlformats.org/officeDocument/2006/relationships/hyperlink" Target="https://www.college.police.uk/guidance/residential-burglary/initial-response" TargetMode="External"/><Relationship Id="rId25" Type="http://schemas.openxmlformats.org/officeDocument/2006/relationships/hyperlink" Target="https://link.springer.com/article/10.1007/s11292-022-09502-4" TargetMode="External"/><Relationship Id="rId2" Type="http://schemas.openxmlformats.org/officeDocument/2006/relationships/styles" Target="styles.xml"/><Relationship Id="rId16" Type="http://schemas.openxmlformats.org/officeDocument/2006/relationships/hyperlink" Target="https://www.college.police.uk/app/major-investigation-and-public-protection/managing-sexual-offenders-and-violent-offenders/communication-and-media-considerations" TargetMode="External"/><Relationship Id="rId20" Type="http://schemas.openxmlformats.org/officeDocument/2006/relationships/hyperlink" Target="https://www.college.police.uk/app/engagement-and-communication/media-relations" TargetMode="External"/><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s://www.britannica.com/topic/police/The-developmnt-of-professional-policing-in-England" TargetMode="External"/><Relationship Id="rId11" Type="http://schemas.openxmlformats.org/officeDocument/2006/relationships/hyperlink" Target="https://gbr01.safelinks.protection.outlook.com/?url=https%3A%2F%2Flibrary.college.police.uk%2Fdocs%2Fhopolicers%2Ffprs96.pdf&amp;data=05%7C02%7Cceri.edwards%40south-wales.police.uk%7Cd29ba036693a4612eb7808dc0b82c25a%7C270c2f4dfd0c4f0892a9e5bdd8a87e09%7C0%7C0%7C638397903554290691%7CUnknown%7CTWFpbGZsb3d8eyJWIjoiMC4wLjAwMDAiLCJQIjoiV2luMzIiLCJBTiI6Ik1haWwiLCJXVCI6Mn0%3D%7C3000%7C%7C%7C&amp;sdata=lf2rI69zdgQk8CycYYARGF3fNqF73Y%2Bi8SczPWFMGM8%3D&amp;reserved=0" TargetMode="External"/><Relationship Id="rId24" Type="http://schemas.openxmlformats.org/officeDocument/2006/relationships/hyperlink" Target="https://link.springer.com/article/10.1007/s11292-022-09502-4" TargetMode="External"/><Relationship Id="rId5" Type="http://schemas.openxmlformats.org/officeDocument/2006/relationships/hyperlink" Target="mailto:%32%31%334%33%32%31@s%74%75%64%65n%74%2euw%74%73d.%61c%2euk" TargetMode="External"/><Relationship Id="rId15" Type="http://schemas.openxmlformats.org/officeDocument/2006/relationships/hyperlink" Target="https://johnhoward.ca/blog/media-portrayals-crime-create-problems/" TargetMode="External"/><Relationship Id="rId23" Type="http://schemas.openxmlformats.org/officeDocument/2006/relationships/hyperlink" Target="https://link.springer.com/article/10.1007/s11292-022-09502-4" TargetMode="External"/><Relationship Id="rId28" Type="http://schemas.openxmlformats.org/officeDocument/2006/relationships/hyperlink" Target="https://link.springer.com/article/10.1007/s11292-022-09502-4" TargetMode="External"/><Relationship Id="rId10" Type="http://schemas.openxmlformats.org/officeDocument/2006/relationships/hyperlink" Target="https://time.com/5847967/george-floyd-protests-trump/" TargetMode="External"/><Relationship Id="rId19" Type="http://schemas.openxmlformats.org/officeDocument/2006/relationships/hyperlink" Target="http://irep.ntu.ac.uk/id/eprint/28556/" TargetMode="External"/><Relationship Id="rId31" Type="http://schemas.microsoft.com/office/2020/10/relationships/intelligence" Target="intelligence2.xml"/><Relationship Id="rId4" Type="http://schemas.openxmlformats.org/officeDocument/2006/relationships/webSettings" Target="webSettings.xml"/><Relationship Id="rId9" Type="http://schemas.openxmlformats.org/officeDocument/2006/relationships/hyperlink" Target="https://www.forbes.com/sites/forbescoachescouncil/2020/08/07/organizational-culture-and-resilience-lessons-from-a-crisis/" TargetMode="External"/><Relationship Id="rId14" Type="http://schemas.openxmlformats.org/officeDocument/2006/relationships/hyperlink" Target="https://gbr01.safelinks.protection.outlook.com/?url=http%3A%2F%2Fdx.doi.org%2F10.13140%2FRG.2.2.36499.84003&amp;data=05%7C02%7Cceri.edwards%40south-wales.police.uk%7Cd29ba036693a4612eb7808dc0b82c25a%7C270c2f4dfd0c4f0892a9e5bdd8a87e09%7C0%7C0%7C638397903554447014%7CUnknown%7CTWFpbGZsb3d8eyJWIjoiMC4wLjAwMDAiLCJQIjoiV2luMzIiLCJBTiI6Ik1haWwiLCJXVCI6Mn0%3D%7C3000%7C%7C%7C&amp;sdata=ltP3MLO24BzdQWI6lUH1FLol8wfYf3S0DizXu46gnGw%3D&amp;reserved=0" TargetMode="External"/><Relationship Id="rId22" Type="http://schemas.openxmlformats.org/officeDocument/2006/relationships/hyperlink" Target="https://www.gov.uk/government/consultations/revised-national-standards-for-children-in-the-youth-justice-system-2019" TargetMode="External"/><Relationship Id="rId27" Type="http://schemas.openxmlformats.org/officeDocument/2006/relationships/hyperlink" Target="https://link.springer.com/article/10.1007/s11292-022-09502-4"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6120</Words>
  <Characters>34884</Characters>
  <Application>Microsoft Office Word</Application>
  <DocSecurity>0</DocSecurity>
  <Lines>290</Lines>
  <Paragraphs>81</Paragraphs>
  <ScaleCrop>false</ScaleCrop>
  <Company>South Wales Police</Company>
  <LinksUpToDate>false</LinksUpToDate>
  <CharactersWithSpaces>40923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Edwards,Ceri swp8366</dc:creator>
  <cp:keywords/>
  <dc:description/>
  <cp:lastModifiedBy>Edwards,Ceri swp8366</cp:lastModifiedBy>
  <cp:revision>2</cp:revision>
  <dcterms:created xsi:type="dcterms:W3CDTF">2024-03-04T20:55:00Z</dcterms:created>
  <dcterms:modified xsi:type="dcterms:W3CDTF">2024-03-04T20:55:00Z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2023-09-25T09:57:11Z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16bd3aff-0ce9-4ade-b414-3d420b1b8556</vt:lpwstr>
  </property>
  <property fmtid="{D5CDD505-2E9C-101B-9397-08002B2CF9AE}" pid="8" name="MSIP_Label_66cf8fe5-b7b7-4df7-b38d-1c61ac2f6639_ContentBits">
    <vt:lpwstr>0</vt:lpwstr>
  </property>
</Properties>
</file>