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E6BBF" w:rsidRDefault="00F05799"/>
    <w:p w:rsidR="00FC316F" w:rsidRDefault="00FC316F"/>
    <w:p w:rsidR="00FC316F" w:rsidRDefault="00FC316F"/>
    <w:p w:rsidR="00FC316F" w:rsidRDefault="00FC316F" w:rsidP="00FC316F">
      <w:pPr>
        <w:spacing w:before="120" w:after="120"/>
        <w:jc w:val="both"/>
        <w:rPr>
          <w:b/>
          <w:sz w:val="24"/>
          <w:szCs w:val="24"/>
        </w:rPr>
      </w:pPr>
      <w:r w:rsidRPr="00FF0F3B">
        <w:rPr>
          <w:b/>
          <w:sz w:val="24"/>
          <w:szCs w:val="24"/>
        </w:rPr>
        <w:t xml:space="preserve">Produce a business case that proposes the creation of a new logistics company or department within an existing organisation </w:t>
      </w:r>
    </w:p>
    <w:p w:rsidR="00FC316F" w:rsidRDefault="00FC316F" w:rsidP="00FC316F">
      <w:pPr>
        <w:spacing w:before="120" w:after="120"/>
        <w:jc w:val="both"/>
        <w:rPr>
          <w:b/>
          <w:sz w:val="24"/>
          <w:szCs w:val="24"/>
        </w:rPr>
      </w:pPr>
      <w:r w:rsidRPr="00FF0F3B">
        <w:rPr>
          <w:b/>
          <w:sz w:val="24"/>
          <w:szCs w:val="24"/>
        </w:rPr>
        <w:t xml:space="preserve">(Assessment criteria 4.1.1, 4.2.1, 4.2.2, 4.3.1, 4.3.2, 4.4.1, 4.4.2, 4.6.1 and 4.6.2).     </w:t>
      </w:r>
      <w:r w:rsidRPr="00D10F25">
        <w:rPr>
          <w:b/>
          <w:sz w:val="24"/>
          <w:szCs w:val="24"/>
        </w:rPr>
        <w:t xml:space="preserve"> </w:t>
      </w:r>
    </w:p>
    <w:p w:rsidR="00FC316F" w:rsidRDefault="00FC316F"/>
    <w:p w:rsidR="00FC316F" w:rsidRDefault="00FC316F"/>
    <w:tbl>
      <w:tblPr>
        <w:tblW w:w="9810" w:type="dxa"/>
        <w:tblInd w:w="108" w:type="dxa"/>
        <w:tblLook w:val="04A0" w:firstRow="1" w:lastRow="0" w:firstColumn="1" w:lastColumn="0" w:noHBand="0" w:noVBand="1"/>
      </w:tblPr>
      <w:tblGrid>
        <w:gridCol w:w="454"/>
        <w:gridCol w:w="2060"/>
        <w:gridCol w:w="661"/>
        <w:gridCol w:w="2150"/>
        <w:gridCol w:w="4485"/>
      </w:tblGrid>
      <w:tr w:rsidR="00FC316F" w:rsidRPr="00FF0F3B" w:rsidTr="00FC316F">
        <w:trPr>
          <w:trHeight w:val="255"/>
        </w:trPr>
        <w:tc>
          <w:tcPr>
            <w:tcW w:w="3006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FF0F3B">
              <w:rPr>
                <w:b/>
                <w:bCs/>
                <w:sz w:val="16"/>
                <w:szCs w:val="16"/>
              </w:rPr>
              <w:t>Learning Outcome - The learner will:</w:t>
            </w:r>
          </w:p>
        </w:tc>
        <w:tc>
          <w:tcPr>
            <w:tcW w:w="340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 w:rsidRPr="00FF0F3B">
              <w:rPr>
                <w:b/>
                <w:bCs/>
                <w:sz w:val="16"/>
                <w:szCs w:val="16"/>
              </w:rPr>
              <w:t>Assessment Criterion - The learner can:</w:t>
            </w:r>
          </w:p>
        </w:tc>
        <w:tc>
          <w:tcPr>
            <w:tcW w:w="340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b/>
                <w:bCs/>
                <w:sz w:val="16"/>
                <w:szCs w:val="16"/>
              </w:rPr>
            </w:pPr>
            <w:r>
              <w:rPr>
                <w:b/>
                <w:bCs/>
                <w:sz w:val="16"/>
                <w:szCs w:val="16"/>
              </w:rPr>
              <w:t>Background Reading</w:t>
            </w: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4.1</w:t>
            </w:r>
          </w:p>
        </w:tc>
        <w:tc>
          <w:tcPr>
            <w:tcW w:w="2546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Know the structure and use of a business case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4.1.1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Demonstrate how to prepare a business case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4" w:history="1">
              <w:r w:rsidR="0022046B" w:rsidRPr="00F52008">
                <w:rPr>
                  <w:rStyle w:val="Hyperlink"/>
                </w:rPr>
                <w:t>http://www.bplans.co.uk/</w:t>
              </w:r>
            </w:hyperlink>
          </w:p>
          <w:p w:rsidR="0022046B" w:rsidRDefault="0022046B" w:rsidP="0045325B">
            <w:pPr>
              <w:suppressAutoHyphens w:val="0"/>
              <w:rPr>
                <w:color w:val="auto"/>
              </w:rPr>
            </w:pPr>
          </w:p>
          <w:p w:rsidR="0022046B" w:rsidRDefault="00F05799" w:rsidP="0045325B">
            <w:pPr>
              <w:suppressAutoHyphens w:val="0"/>
              <w:rPr>
                <w:color w:val="auto"/>
              </w:rPr>
            </w:pPr>
            <w:hyperlink r:id="rId5" w:history="1">
              <w:r w:rsidR="0022046B" w:rsidRPr="00F52008">
                <w:rPr>
                  <w:rStyle w:val="Hyperlink"/>
                </w:rPr>
                <w:t>http://www.startupdonut.co.uk/business-planning/write-a-business-plan/writing-a-business-plan</w:t>
              </w:r>
            </w:hyperlink>
          </w:p>
          <w:p w:rsidR="0022046B" w:rsidRDefault="0022046B" w:rsidP="0045325B">
            <w:pPr>
              <w:suppressAutoHyphens w:val="0"/>
              <w:rPr>
                <w:color w:val="auto"/>
              </w:rPr>
            </w:pPr>
          </w:p>
          <w:p w:rsidR="0022046B" w:rsidRDefault="00F05799" w:rsidP="0045325B">
            <w:pPr>
              <w:suppressAutoHyphens w:val="0"/>
              <w:rPr>
                <w:color w:val="auto"/>
              </w:rPr>
            </w:pPr>
            <w:hyperlink r:id="rId6" w:history="1">
              <w:r w:rsidR="0022046B" w:rsidRPr="00F52008">
                <w:rPr>
                  <w:rStyle w:val="Hyperlink"/>
                </w:rPr>
                <w:t>https://www.princes-trust.org.uk/help-for-young-people/tools-resources/business-tools/business-plans</w:t>
              </w:r>
            </w:hyperlink>
          </w:p>
          <w:p w:rsidR="0022046B" w:rsidRPr="00FF0F3B" w:rsidRDefault="0022046B" w:rsidP="0045325B">
            <w:pPr>
              <w:suppressAutoHyphens w:val="0"/>
              <w:rPr>
                <w:color w:val="auto"/>
              </w:rPr>
            </w:pP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4.2</w:t>
            </w:r>
          </w:p>
        </w:tc>
        <w:tc>
          <w:tcPr>
            <w:tcW w:w="254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Understand the ownership of businesses, their internal structure and their sources of finance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4.2.1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Critically assess the structure of a business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Pr="004C762C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r w:rsidR="004C762C">
              <w:rPr>
                <w:szCs w:val="24"/>
              </w:rPr>
              <w:fldChar w:fldCharType="begin"/>
            </w:r>
            <w:r w:rsidR="004C762C">
              <w:rPr>
                <w:szCs w:val="24"/>
              </w:rPr>
              <w:instrText>ADDIN BSP.CITE [Daugherty, 2011 #186]</w:instrText>
            </w:r>
            <w:r w:rsidR="004C762C">
              <w:rPr>
                <w:szCs w:val="24"/>
              </w:rPr>
              <w:fldChar w:fldCharType="separate"/>
            </w:r>
            <w:r w:rsidR="00196AD3" w:rsidRPr="00196AD3">
              <w:rPr>
                <w:rFonts w:eastAsiaTheme="minorHAnsi"/>
                <w:noProof/>
                <w:color w:val="auto"/>
                <w:szCs w:val="24"/>
                <w:lang w:eastAsia="en-US"/>
              </w:rPr>
              <w:t>(Daugherty et al., 2011)</w:t>
            </w:r>
            <w:r w:rsidR="004C762C">
              <w:rPr>
                <w:szCs w:val="24"/>
              </w:rPr>
              <w:fldChar w:fldCharType="end"/>
            </w:r>
            <w:r w:rsidR="00196AD3" w:rsidRPr="004C762C">
              <w:rPr>
                <w:color w:val="auto"/>
              </w:rPr>
              <w:t xml:space="preserve"> </w:t>
            </w:r>
            <w:r w:rsidR="006B45F8">
              <w:rPr>
                <w:szCs w:val="24"/>
              </w:rPr>
              <w:fldChar w:fldCharType="begin"/>
            </w:r>
            <w:r w:rsidR="006B45F8">
              <w:rPr>
                <w:szCs w:val="24"/>
              </w:rPr>
              <w:instrText>ADDIN BSP.CITE [Rushton, 2014 #187]</w:instrText>
            </w:r>
            <w:r w:rsidR="006B45F8">
              <w:rPr>
                <w:szCs w:val="24"/>
              </w:rPr>
              <w:fldChar w:fldCharType="separate"/>
            </w:r>
            <w:r w:rsidR="00196AD3" w:rsidRPr="00196AD3">
              <w:rPr>
                <w:rFonts w:eastAsiaTheme="minorHAnsi"/>
                <w:noProof/>
                <w:color w:val="auto"/>
                <w:szCs w:val="24"/>
                <w:lang w:eastAsia="en-US"/>
              </w:rPr>
              <w:t>(Rushton et al., 2014)</w:t>
            </w:r>
            <w:r w:rsidR="006B45F8">
              <w:rPr>
                <w:szCs w:val="24"/>
              </w:rPr>
              <w:fldChar w:fldCharType="end"/>
            </w:r>
            <w:r w:rsidR="00196AD3" w:rsidRPr="004C762C">
              <w:rPr>
                <w:color w:val="auto"/>
              </w:rPr>
              <w:t xml:space="preserve"> </w:t>
            </w: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254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4.2.2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Evaluate the alternative sources of finance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7" w:history="1">
              <w:r w:rsidR="0022046B" w:rsidRPr="00F52008">
                <w:rPr>
                  <w:rStyle w:val="Hyperlink"/>
                </w:rPr>
                <w:t>http://thebusinessfinanceguide.co.uk/finance-options/</w:t>
              </w:r>
            </w:hyperlink>
          </w:p>
          <w:p w:rsidR="0022046B" w:rsidRDefault="0022046B" w:rsidP="0045325B">
            <w:pPr>
              <w:suppressAutoHyphens w:val="0"/>
              <w:rPr>
                <w:color w:val="auto"/>
              </w:rPr>
            </w:pPr>
          </w:p>
          <w:p w:rsidR="0022046B" w:rsidRDefault="00F05799" w:rsidP="0045325B">
            <w:pPr>
              <w:suppressAutoHyphens w:val="0"/>
              <w:rPr>
                <w:color w:val="auto"/>
              </w:rPr>
            </w:pPr>
            <w:hyperlink r:id="rId8" w:history="1">
              <w:r w:rsidR="0022046B" w:rsidRPr="00F52008">
                <w:rPr>
                  <w:rStyle w:val="Hyperlink"/>
                </w:rPr>
                <w:t>https://www.gov.uk/business-finance-explained</w:t>
              </w:r>
            </w:hyperlink>
          </w:p>
          <w:p w:rsidR="0022046B" w:rsidRDefault="0022046B" w:rsidP="0045325B">
            <w:pPr>
              <w:suppressAutoHyphens w:val="0"/>
              <w:rPr>
                <w:color w:val="auto"/>
              </w:rPr>
            </w:pPr>
          </w:p>
          <w:p w:rsidR="0022046B" w:rsidRPr="00FF0F3B" w:rsidRDefault="0022046B" w:rsidP="0045325B">
            <w:pPr>
              <w:suppressAutoHyphens w:val="0"/>
              <w:rPr>
                <w:color w:val="auto"/>
              </w:rPr>
            </w:pP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4.3</w:t>
            </w:r>
          </w:p>
        </w:tc>
        <w:tc>
          <w:tcPr>
            <w:tcW w:w="254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Understand the use and management of budgets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4.3.1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Create and manage a budget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9" w:history="1">
              <w:r w:rsidR="0022046B" w:rsidRPr="00F52008">
                <w:rPr>
                  <w:rStyle w:val="Hyperlink"/>
                </w:rPr>
                <w:t>https://www.startuploans.co.uk/cash-flow-forecast-template/</w:t>
              </w:r>
            </w:hyperlink>
          </w:p>
          <w:p w:rsidR="0022046B" w:rsidRPr="00FF0F3B" w:rsidRDefault="0022046B" w:rsidP="0045325B">
            <w:pPr>
              <w:suppressAutoHyphens w:val="0"/>
              <w:rPr>
                <w:color w:val="auto"/>
              </w:rPr>
            </w:pP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254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4.3.2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Demonstrate how to monitor costs against an operating plan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10" w:history="1">
              <w:r w:rsidR="0022046B" w:rsidRPr="00F52008">
                <w:rPr>
                  <w:rStyle w:val="Hyperlink"/>
                </w:rPr>
                <w:t>https://www.startuploans.co.uk/cash-flow-forecast-template/</w:t>
              </w:r>
            </w:hyperlink>
          </w:p>
          <w:p w:rsidR="0022046B" w:rsidRPr="00FF0F3B" w:rsidRDefault="0022046B" w:rsidP="0045325B">
            <w:pPr>
              <w:suppressAutoHyphens w:val="0"/>
              <w:rPr>
                <w:color w:val="auto"/>
              </w:rPr>
            </w:pP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4.4</w:t>
            </w:r>
          </w:p>
        </w:tc>
        <w:tc>
          <w:tcPr>
            <w:tcW w:w="254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Understand the principles of costing, pricing and the requirement for profit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4.4.1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Perform a costing process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11" w:history="1">
              <w:r w:rsidR="0022046B" w:rsidRPr="00F52008">
                <w:rPr>
                  <w:rStyle w:val="Hyperlink"/>
                </w:rPr>
                <w:t>http://www.bplans.co.uk/calculators/</w:t>
              </w:r>
            </w:hyperlink>
          </w:p>
          <w:p w:rsidR="0022046B" w:rsidRPr="00FF0F3B" w:rsidRDefault="0022046B" w:rsidP="0045325B">
            <w:pPr>
              <w:suppressAutoHyphens w:val="0"/>
              <w:rPr>
                <w:color w:val="auto"/>
              </w:rPr>
            </w:pP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254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4.4.2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Calculate prices against set criteria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hyperlink r:id="rId12" w:history="1">
              <w:r w:rsidR="00F05799" w:rsidRPr="002D31CD">
                <w:rPr>
                  <w:rStyle w:val="Hyperlink"/>
                </w:rPr>
                <w:t>https://businesswales.gov.wales/zones/starting-up/finance</w:t>
              </w:r>
            </w:hyperlink>
          </w:p>
          <w:p w:rsidR="00F05799" w:rsidRPr="00FF0F3B" w:rsidRDefault="00F05799" w:rsidP="0045325B">
            <w:pPr>
              <w:suppressAutoHyphens w:val="0"/>
              <w:rPr>
                <w:color w:val="auto"/>
              </w:rPr>
            </w:pPr>
            <w:bookmarkStart w:id="0" w:name="_GoBack"/>
            <w:bookmarkEnd w:id="0"/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4.6</w:t>
            </w:r>
          </w:p>
        </w:tc>
        <w:tc>
          <w:tcPr>
            <w:tcW w:w="2546" w:type="dxa"/>
            <w:vMerge w:val="restart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Know how to appraise investments and minimise financial risk</w:t>
            </w: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4.6.1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Demonstrate how to appraise financial risk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Pr="00196AD3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r w:rsidR="00196AD3">
              <w:rPr>
                <w:szCs w:val="24"/>
              </w:rPr>
              <w:fldChar w:fldCharType="begin"/>
            </w:r>
            <w:r w:rsidR="00196AD3">
              <w:rPr>
                <w:szCs w:val="24"/>
              </w:rPr>
              <w:instrText>ADDIN BSP.CITE [Ritchie, 2007 #189]</w:instrText>
            </w:r>
            <w:r w:rsidR="00196AD3">
              <w:rPr>
                <w:szCs w:val="24"/>
              </w:rPr>
              <w:fldChar w:fldCharType="separate"/>
            </w:r>
            <w:r w:rsidR="00196AD3" w:rsidRPr="00196AD3">
              <w:rPr>
                <w:rFonts w:eastAsiaTheme="minorHAnsi"/>
                <w:noProof/>
                <w:color w:val="auto"/>
                <w:szCs w:val="24"/>
                <w:lang w:eastAsia="en-US"/>
              </w:rPr>
              <w:t>(Ritchie and Brindley, 2007)</w:t>
            </w:r>
            <w:r w:rsidR="00196AD3">
              <w:rPr>
                <w:szCs w:val="24"/>
              </w:rPr>
              <w:fldChar w:fldCharType="end"/>
            </w:r>
            <w:r w:rsidR="00196AD3" w:rsidRPr="00196AD3">
              <w:rPr>
                <w:color w:val="auto"/>
              </w:rPr>
              <w:t xml:space="preserve"> </w:t>
            </w:r>
          </w:p>
        </w:tc>
      </w:tr>
      <w:tr w:rsidR="00FC316F" w:rsidRPr="00FF0F3B" w:rsidTr="00FC316F">
        <w:trPr>
          <w:trHeight w:val="555"/>
        </w:trPr>
        <w:tc>
          <w:tcPr>
            <w:tcW w:w="460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2546" w:type="dxa"/>
            <w:vMerge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</w:p>
        </w:tc>
        <w:tc>
          <w:tcPr>
            <w:tcW w:w="709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jc w:val="center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4.6.2</w:t>
            </w:r>
          </w:p>
        </w:tc>
        <w:tc>
          <w:tcPr>
            <w:tcW w:w="2693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vAlign w:val="center"/>
            <w:hideMark/>
          </w:tcPr>
          <w:p w:rsidR="00FC316F" w:rsidRPr="00FF0F3B" w:rsidRDefault="00FC316F" w:rsidP="0045325B">
            <w:pPr>
              <w:suppressAutoHyphens w:val="0"/>
              <w:rPr>
                <w:sz w:val="16"/>
                <w:szCs w:val="16"/>
              </w:rPr>
            </w:pPr>
            <w:r w:rsidRPr="00FF0F3B">
              <w:rPr>
                <w:sz w:val="16"/>
                <w:szCs w:val="16"/>
              </w:rPr>
              <w:t>Compare options for asset purchase and maintenance</w:t>
            </w:r>
          </w:p>
        </w:tc>
        <w:tc>
          <w:tcPr>
            <w:tcW w:w="340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FC316F" w:rsidRPr="00FF0F3B" w:rsidRDefault="00FC316F" w:rsidP="0045325B">
            <w:pPr>
              <w:suppressAutoHyphens w:val="0"/>
              <w:rPr>
                <w:color w:val="auto"/>
              </w:rPr>
            </w:pPr>
            <w:r w:rsidRPr="00FF0F3B">
              <w:rPr>
                <w:color w:val="auto"/>
              </w:rPr>
              <w:t> </w:t>
            </w:r>
            <w:r w:rsidR="00B637E1">
              <w:rPr>
                <w:color w:val="auto"/>
              </w:rPr>
              <w:t>MCDA Lecture</w:t>
            </w:r>
          </w:p>
        </w:tc>
      </w:tr>
    </w:tbl>
    <w:p w:rsidR="00FC316F" w:rsidRDefault="00FC316F"/>
    <w:p w:rsidR="0022046B" w:rsidRDefault="0022046B"/>
    <w:p w:rsidR="00196AD3" w:rsidRPr="00196AD3" w:rsidRDefault="004C762C" w:rsidP="00196AD3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  <w:r>
        <w:fldChar w:fldCharType="begin"/>
      </w:r>
      <w:r>
        <w:instrText>ADDIN BSP.BIB</w:instrText>
      </w:r>
      <w:r>
        <w:fldChar w:fldCharType="separate"/>
      </w: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rPr>
          <w:rFonts w:eastAsiaTheme="minorHAnsi"/>
          <w:b/>
          <w:bCs/>
          <w:noProof/>
          <w:color w:val="auto"/>
          <w:szCs w:val="24"/>
          <w:lang w:eastAsia="en-US"/>
        </w:rPr>
      </w:pPr>
      <w:r w:rsidRPr="00196AD3">
        <w:rPr>
          <w:rFonts w:eastAsiaTheme="minorHAnsi"/>
          <w:b/>
          <w:bCs/>
          <w:noProof/>
          <w:color w:val="auto"/>
          <w:szCs w:val="24"/>
          <w:lang w:eastAsia="en-US"/>
        </w:rPr>
        <w:t>References:</w:t>
      </w: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rPr>
          <w:rFonts w:eastAsiaTheme="minorHAnsi"/>
          <w:noProof/>
          <w:color w:val="auto"/>
          <w:szCs w:val="24"/>
          <w:lang w:eastAsia="en-US"/>
        </w:rPr>
      </w:pP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196AD3">
        <w:rPr>
          <w:rFonts w:eastAsiaTheme="minorHAnsi"/>
          <w:noProof/>
          <w:color w:val="auto"/>
          <w:szCs w:val="24"/>
          <w:lang w:eastAsia="en-US"/>
        </w:rPr>
        <w:t xml:space="preserve">Daugherty, P, Chen, H &amp; Ferrin, B(2011), 'Organizational structure and logistics service innovation', </w:t>
      </w:r>
      <w:r w:rsidRPr="00196AD3">
        <w:rPr>
          <w:rFonts w:eastAsiaTheme="minorHAnsi"/>
          <w:i/>
          <w:iCs/>
          <w:noProof/>
          <w:color w:val="auto"/>
          <w:szCs w:val="24"/>
          <w:lang w:eastAsia="en-US"/>
        </w:rPr>
        <w:t>International Journal of Logistics Management</w:t>
      </w:r>
      <w:r w:rsidRPr="00196AD3">
        <w:rPr>
          <w:rFonts w:eastAsiaTheme="minorHAnsi"/>
          <w:noProof/>
          <w:color w:val="auto"/>
          <w:szCs w:val="24"/>
          <w:lang w:eastAsia="en-US"/>
        </w:rPr>
        <w:t>, vol. 22, no. 1, pp. 26-51.</w:t>
      </w: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196AD3">
        <w:rPr>
          <w:rFonts w:eastAsiaTheme="minorHAnsi"/>
          <w:noProof/>
          <w:color w:val="auto"/>
          <w:szCs w:val="24"/>
          <w:lang w:eastAsia="en-US"/>
        </w:rPr>
        <w:t xml:space="preserve">Ritchie, B and Brindley, C(2007), 'An Emergent Framework for Supply Chain Risk Management and Performance Measurement', </w:t>
      </w:r>
      <w:r w:rsidRPr="00196AD3">
        <w:rPr>
          <w:rFonts w:eastAsiaTheme="minorHAnsi"/>
          <w:i/>
          <w:iCs/>
          <w:noProof/>
          <w:color w:val="auto"/>
          <w:szCs w:val="24"/>
          <w:lang w:eastAsia="en-US"/>
        </w:rPr>
        <w:t>The Journal of the Operational Research Society</w:t>
      </w:r>
      <w:r w:rsidRPr="00196AD3">
        <w:rPr>
          <w:rFonts w:eastAsiaTheme="minorHAnsi"/>
          <w:noProof/>
          <w:color w:val="auto"/>
          <w:szCs w:val="24"/>
          <w:lang w:eastAsia="en-US"/>
        </w:rPr>
        <w:t>, vol. 58, no. 11, pp. 1398-1411.</w:t>
      </w:r>
    </w:p>
    <w:p w:rsidR="00196AD3" w:rsidRPr="00196AD3" w:rsidRDefault="00196AD3" w:rsidP="00196AD3">
      <w:pPr>
        <w:suppressAutoHyphens w:val="0"/>
        <w:autoSpaceDE w:val="0"/>
        <w:autoSpaceDN w:val="0"/>
        <w:adjustRightInd w:val="0"/>
        <w:spacing w:after="240" w:line="240" w:lineRule="atLeast"/>
        <w:ind w:left="720" w:hanging="720"/>
        <w:rPr>
          <w:rFonts w:eastAsiaTheme="minorHAnsi"/>
          <w:noProof/>
          <w:color w:val="auto"/>
          <w:szCs w:val="24"/>
          <w:lang w:eastAsia="en-US"/>
        </w:rPr>
      </w:pPr>
      <w:r w:rsidRPr="00196AD3">
        <w:rPr>
          <w:rFonts w:eastAsiaTheme="minorHAnsi"/>
          <w:noProof/>
          <w:color w:val="auto"/>
          <w:szCs w:val="24"/>
          <w:lang w:eastAsia="en-US"/>
        </w:rPr>
        <w:lastRenderedPageBreak/>
        <w:t xml:space="preserve">Rushton, A, Croucher, P &amp; Baker, P.  (2014), </w:t>
      </w:r>
      <w:r w:rsidRPr="00196AD3">
        <w:rPr>
          <w:rFonts w:eastAsiaTheme="minorHAnsi"/>
          <w:i/>
          <w:iCs/>
          <w:noProof/>
          <w:color w:val="auto"/>
          <w:szCs w:val="24"/>
          <w:lang w:eastAsia="en-US"/>
        </w:rPr>
        <w:t>The Handbook of Logistics and Distribution Management 5th Edition</w:t>
      </w:r>
      <w:r w:rsidRPr="00196AD3">
        <w:rPr>
          <w:rFonts w:eastAsiaTheme="minorHAnsi"/>
          <w:noProof/>
          <w:color w:val="auto"/>
          <w:szCs w:val="24"/>
          <w:lang w:eastAsia="en-US"/>
        </w:rPr>
        <w:t>, London:Kogan Page.</w:t>
      </w:r>
    </w:p>
    <w:p w:rsidR="0022046B" w:rsidRDefault="004C762C">
      <w:r>
        <w:fldChar w:fldCharType="end"/>
      </w:r>
    </w:p>
    <w:sectPr w:rsidR="002204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2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316F"/>
    <w:rsid w:val="0012598F"/>
    <w:rsid w:val="00196AD3"/>
    <w:rsid w:val="0022046B"/>
    <w:rsid w:val="002D525B"/>
    <w:rsid w:val="004C762C"/>
    <w:rsid w:val="004F5E38"/>
    <w:rsid w:val="005F2F4C"/>
    <w:rsid w:val="006B45F8"/>
    <w:rsid w:val="006E0177"/>
    <w:rsid w:val="00726CE4"/>
    <w:rsid w:val="00742B0A"/>
    <w:rsid w:val="00795771"/>
    <w:rsid w:val="00833A53"/>
    <w:rsid w:val="008600C5"/>
    <w:rsid w:val="009E2B17"/>
    <w:rsid w:val="00B637E1"/>
    <w:rsid w:val="00B81BF0"/>
    <w:rsid w:val="00D42158"/>
    <w:rsid w:val="00D57D4A"/>
    <w:rsid w:val="00E275A2"/>
    <w:rsid w:val="00F05799"/>
    <w:rsid w:val="00F35BE9"/>
    <w:rsid w:val="00FC3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E915A9"/>
  <w15:chartTrackingRefBased/>
  <w15:docId w15:val="{931F6B26-7213-43C5-AFCE-99ED7DC0E6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  <w:rsid w:val="00FC316F"/>
    <w:pPr>
      <w:suppressAutoHyphens/>
      <w:spacing w:after="0" w:line="240" w:lineRule="auto"/>
    </w:pPr>
    <w:rPr>
      <w:rFonts w:ascii="Arial" w:eastAsia="Times New Roman" w:hAnsi="Arial" w:cs="Arial"/>
      <w:color w:val="000000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2046B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business-finance-explained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thebusinessfinanceguide.co.uk/finance-options/" TargetMode="External"/><Relationship Id="rId12" Type="http://schemas.openxmlformats.org/officeDocument/2006/relationships/hyperlink" Target="https://businesswales.gov.wales/zones/starting-up/finan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princes-trust.org.uk/help-for-young-people/tools-resources/business-tools/business-plans" TargetMode="External"/><Relationship Id="rId11" Type="http://schemas.openxmlformats.org/officeDocument/2006/relationships/hyperlink" Target="http://www.bplans.co.uk/calculators/" TargetMode="External"/><Relationship Id="rId5" Type="http://schemas.openxmlformats.org/officeDocument/2006/relationships/hyperlink" Target="http://www.startupdonut.co.uk/business-planning/write-a-business-plan/writing-a-business-plan" TargetMode="External"/><Relationship Id="rId10" Type="http://schemas.openxmlformats.org/officeDocument/2006/relationships/hyperlink" Target="https://www.startuploans.co.uk/cash-flow-forecast-template/" TargetMode="External"/><Relationship Id="rId4" Type="http://schemas.openxmlformats.org/officeDocument/2006/relationships/hyperlink" Target="http://www.bplans.co.uk/" TargetMode="External"/><Relationship Id="rId9" Type="http://schemas.openxmlformats.org/officeDocument/2006/relationships/hyperlink" Target="https://www.startuploans.co.uk/cash-flow-forecast-template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</TotalTime>
  <Pages>2</Pages>
  <Words>461</Words>
  <Characters>2634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GRAHAM ORR</dc:creator>
  <cp:keywords/>
  <dc:description/>
  <cp:lastModifiedBy>GRAHAM ORR</cp:lastModifiedBy>
  <cp:revision>6</cp:revision>
  <dcterms:created xsi:type="dcterms:W3CDTF">2017-01-06T14:11:00Z</dcterms:created>
  <dcterms:modified xsi:type="dcterms:W3CDTF">2017-01-06T15:43:00Z</dcterms:modified>
</cp:coreProperties>
</file>