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7"/>
                    <a:stretch>
                      <a:fillRect/>
                    </a:stretch>
                  </pic:blipFill>
                  <pic:spPr>
                    <a:xfrm>
                      <a:off x="0" y="0"/>
                      <a:ext cx="2543175" cy="1409700"/>
                    </a:xfrm>
                    <a:prstGeom prst="rect">
                      <a:avLst/>
                    </a:prstGeom>
                    <a:noFill/>
                    <a:ln w="9525">
                      <a:noFill/>
                    </a:ln>
                  </pic:spPr>
                </pic:pic>
              </a:graphicData>
            </a:graphic>
          </wp:inline>
        </w:drawing>
      </w:r>
    </w:p>
    <w:p w14:paraId="291B905F">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lang w:val="de-DE"/>
        </w:rPr>
        <w:t>Program: Master of Business Administration</w:t>
      </w:r>
    </w:p>
    <w:p w14:paraId="4B363D36">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Assessment 1</w:t>
      </w:r>
    </w:p>
    <w:p w14:paraId="66CC65FC">
      <w:pPr>
        <w:keepNext w:val="0"/>
        <w:keepLines w:val="0"/>
        <w:widowControl/>
        <w:suppressLineNumbers w:val="0"/>
        <w:spacing w:line="360" w:lineRule="auto"/>
        <w:jc w:val="center"/>
        <w:rPr>
          <w:rFonts w:hint="default" w:ascii="Arial Regular" w:hAnsi="Arial Regular" w:eastAsia="SimSun" w:cs="Arial Regular"/>
          <w:kern w:val="0"/>
          <w:sz w:val="24"/>
          <w:szCs w:val="24"/>
          <w:lang w:val="en-US" w:eastAsia="zh-CN" w:bidi="ar"/>
        </w:rPr>
      </w:pPr>
      <w:r>
        <w:rPr>
          <w:rFonts w:hint="default" w:ascii="Arial Regular" w:hAnsi="Arial Regular" w:cs="Arial Regular"/>
          <w:b w:val="0"/>
          <w:bCs w:val="0"/>
          <w:sz w:val="24"/>
          <w:szCs w:val="24"/>
          <w:lang w:val="de-DE"/>
        </w:rPr>
        <w:t xml:space="preserve">Title: </w:t>
      </w:r>
      <w:r>
        <w:rPr>
          <w:rFonts w:hint="default" w:ascii="Arial Regular" w:hAnsi="Arial Regular" w:eastAsia="SimSun" w:cs="Arial Regular"/>
          <w:kern w:val="0"/>
          <w:sz w:val="24"/>
          <w:szCs w:val="24"/>
          <w:lang w:val="en-US" w:eastAsia="zh-CN" w:bidi="ar"/>
        </w:rPr>
        <w:t>Strategic Analysis of Spain’s Hospitality Industry and Meliá</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eastAsia="SimSun" w:cs="Arial Regular"/>
          <w:kern w:val="0"/>
          <w:sz w:val="24"/>
          <w:szCs w:val="24"/>
          <w:lang w:val="en-US" w:eastAsia="zh-CN" w:bidi="ar"/>
        </w:rPr>
        <w:t>Hotels International</w:t>
      </w:r>
    </w:p>
    <w:p w14:paraId="3FE3B0F9">
      <w:pPr>
        <w:keepNext w:val="0"/>
        <w:keepLines w:val="0"/>
        <w:widowControl/>
        <w:suppressLineNumbers w:val="0"/>
        <w:spacing w:line="360" w:lineRule="auto"/>
        <w:jc w:val="center"/>
        <w:rPr>
          <w:rFonts w:hint="default" w:ascii="Arial Regular" w:hAnsi="Arial Regular" w:eastAsia="SimSun" w:cs="Arial Regular"/>
          <w:kern w:val="0"/>
          <w:sz w:val="24"/>
          <w:szCs w:val="24"/>
          <w:lang w:val="de-DE" w:eastAsia="zh-CN" w:bidi="ar"/>
        </w:rPr>
      </w:pPr>
      <w:bookmarkStart w:id="2" w:name="_GoBack"/>
      <w:bookmarkEnd w:id="2"/>
    </w:p>
    <w:p w14:paraId="1CFC4EA8">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Name: Anika Ayub</w:t>
      </w:r>
    </w:p>
    <w:p w14:paraId="6E102626">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Student ID: 2504343</w:t>
      </w:r>
    </w:p>
    <w:p w14:paraId="57079439">
      <w:pPr>
        <w:keepNext w:val="0"/>
        <w:keepLines w:val="0"/>
        <w:widowControl/>
        <w:suppressLineNumbers w:val="0"/>
        <w:spacing w:line="360" w:lineRule="auto"/>
        <w:jc w:val="center"/>
        <w:rPr>
          <w:rFonts w:hint="default" w:ascii="Arial Regular" w:hAnsi="Arial Regular" w:cs="Arial Regular"/>
          <w:b w:val="0"/>
          <w:bCs w:val="0"/>
          <w:sz w:val="24"/>
          <w:szCs w:val="24"/>
        </w:rPr>
      </w:pPr>
    </w:p>
    <w:p w14:paraId="4A46CB4D">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rPr>
        <w:t xml:space="preserve">Module Name: </w:t>
      </w:r>
      <w:r>
        <w:rPr>
          <w:rFonts w:hint="default" w:ascii="Arial Regular" w:hAnsi="Arial Regular" w:cs="Arial Regular"/>
          <w:b w:val="0"/>
          <w:bCs w:val="0"/>
          <w:i w:val="0"/>
          <w:iCs w:val="0"/>
          <w:color w:val="000000"/>
          <w:sz w:val="24"/>
          <w:szCs w:val="24"/>
          <w:u w:val="none"/>
          <w:vertAlign w:val="baseline"/>
          <w:lang w:val="de-DE"/>
        </w:rPr>
        <w:t>International Business Concepts</w:t>
      </w:r>
    </w:p>
    <w:p w14:paraId="42D54EC4">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Module Code: </w:t>
      </w:r>
      <w:r>
        <w:rPr>
          <w:rFonts w:hint="default" w:ascii="Arial Regular" w:hAnsi="Arial Regular" w:cs="Arial Regular"/>
          <w:b w:val="0"/>
          <w:bCs w:val="0"/>
          <w:i w:val="0"/>
          <w:iCs w:val="0"/>
          <w:color w:val="000000"/>
          <w:sz w:val="24"/>
          <w:szCs w:val="24"/>
          <w:u w:val="none"/>
          <w:vertAlign w:val="baseline"/>
          <w:lang w:val="de-DE"/>
        </w:rPr>
        <w:t>LCMB7034</w:t>
      </w:r>
    </w:p>
    <w:p w14:paraId="0723BD3D">
      <w:pPr>
        <w:keepNext w:val="0"/>
        <w:keepLines w:val="0"/>
        <w:widowControl/>
        <w:suppressLineNumbers w:val="0"/>
        <w:spacing w:line="360" w:lineRule="auto"/>
        <w:jc w:val="center"/>
        <w:rPr>
          <w:rFonts w:hint="default" w:ascii="Arial Regular" w:hAnsi="Arial Regular" w:cs="Arial Regular"/>
          <w:b w:val="0"/>
          <w:bCs w:val="0"/>
          <w:sz w:val="24"/>
          <w:szCs w:val="24"/>
        </w:rPr>
      </w:pPr>
    </w:p>
    <w:p w14:paraId="06904201">
      <w:pPr>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Lecturer’s Name: </w:t>
      </w:r>
      <w:r>
        <w:rPr>
          <w:rFonts w:hint="default" w:ascii="Arial Regular" w:hAnsi="Arial Regular" w:cs="Arial Regular"/>
          <w:b w:val="0"/>
          <w:bCs w:val="0"/>
          <w:i w:val="0"/>
          <w:iCs w:val="0"/>
          <w:color w:val="000000"/>
          <w:sz w:val="24"/>
          <w:szCs w:val="24"/>
          <w:u w:val="none"/>
          <w:vertAlign w:val="baseline"/>
          <w:lang w:val="de-DE"/>
        </w:rPr>
        <w:t>Gladius Kulothungan</w:t>
      </w:r>
    </w:p>
    <w:p w14:paraId="16D26849">
      <w:pPr>
        <w:keepNext w:val="0"/>
        <w:keepLines w:val="0"/>
        <w:widowControl/>
        <w:suppressLineNumbers w:val="0"/>
        <w:spacing w:line="360" w:lineRule="auto"/>
        <w:jc w:val="center"/>
        <w:rPr>
          <w:rFonts w:hint="default" w:ascii="Arial Regular" w:hAnsi="Arial Regular" w:cs="Arial Regular"/>
          <w:b w:val="0"/>
          <w:bCs w:val="0"/>
          <w:sz w:val="24"/>
          <w:szCs w:val="24"/>
        </w:rPr>
      </w:pPr>
    </w:p>
    <w:p w14:paraId="0D5E77E2">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Word Count</w:t>
      </w:r>
      <w:r>
        <w:rPr>
          <w:rFonts w:hint="default" w:ascii="Arial Regular" w:hAnsi="Arial Regular" w:cs="Arial Regular"/>
          <w:b w:val="0"/>
          <w:bCs w:val="0"/>
          <w:i w:val="0"/>
          <w:iCs w:val="0"/>
          <w:color w:val="000000"/>
          <w:sz w:val="24"/>
          <w:szCs w:val="24"/>
          <w:u w:val="none"/>
          <w:vertAlign w:val="baseline"/>
          <w:lang w:val="de-DE"/>
        </w:rPr>
        <w:t>: 5436</w:t>
      </w:r>
    </w:p>
    <w:p w14:paraId="02A70A32">
      <w:pPr>
        <w:keepNext w:val="0"/>
        <w:keepLines w:val="0"/>
        <w:widowControl/>
        <w:suppressLineNumbers w:val="0"/>
        <w:spacing w:after="240" w:afterAutospacing="0" w:line="360" w:lineRule="auto"/>
        <w:jc w:val="center"/>
        <w:rPr>
          <w:rFonts w:hint="default" w:ascii="Arial Regular" w:hAnsi="Arial Regular" w:cs="Arial Regular"/>
          <w:b w:val="0"/>
          <w:bCs w:val="0"/>
          <w:sz w:val="24"/>
          <w:szCs w:val="24"/>
        </w:rPr>
      </w:pPr>
    </w:p>
    <w:p w14:paraId="615AC273">
      <w:pPr>
        <w:pStyle w:val="10"/>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Term </w:t>
      </w:r>
      <w:r>
        <w:rPr>
          <w:rFonts w:hint="default" w:ascii="Arial Regular" w:hAnsi="Arial Regular" w:cs="Arial Regular"/>
          <w:b w:val="0"/>
          <w:bCs w:val="0"/>
          <w:i w:val="0"/>
          <w:iCs w:val="0"/>
          <w:color w:val="000000"/>
          <w:sz w:val="24"/>
          <w:szCs w:val="24"/>
          <w:u w:val="none"/>
          <w:vertAlign w:val="baseline"/>
          <w:lang w:val="de-DE"/>
        </w:rPr>
        <w:t>2</w:t>
      </w:r>
    </w:p>
    <w:p w14:paraId="2E32BDD2">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br w:type="page"/>
      </w:r>
    </w:p>
    <w:sdt>
      <w:sdtPr>
        <w:rPr>
          <w:rFonts w:hint="default" w:ascii="Arial Regular" w:hAnsi="Arial Regular" w:eastAsia="SimSun" w:cs="Arial Regular"/>
          <w:b w:val="0"/>
          <w:bCs w:val="0"/>
          <w:sz w:val="24"/>
          <w:szCs w:val="24"/>
          <w:lang w:val="zh-CN"/>
        </w:rPr>
        <w:id w:val="286652221"/>
        <w15:color w:val="DBDBDB"/>
        <w:docPartObj>
          <w:docPartGallery w:val="Table of Contents"/>
          <w:docPartUnique/>
        </w:docPartObj>
      </w:sdtPr>
      <w:sdtEndPr>
        <w:rPr>
          <w:rFonts w:hint="default" w:ascii="Arial Regular" w:hAnsi="Arial Regular" w:eastAsia="SimSun" w:cs="Arial Regular"/>
          <w:b w:val="0"/>
          <w:bCs w:val="0"/>
          <w:sz w:val="24"/>
          <w:szCs w:val="24"/>
          <w:lang w:val="zh-CN"/>
        </w:rPr>
      </w:sdtEndPr>
      <w:sdtContent>
        <w:sdt>
          <w:sdtPr>
            <w:rPr>
              <w:rFonts w:hint="default" w:ascii="Arial Regular" w:hAnsi="Arial Regular" w:eastAsia="Arial" w:cs="Arial Regular"/>
              <w:b w:val="0"/>
              <w:bCs w:val="0"/>
              <w:sz w:val="24"/>
              <w:szCs w:val="24"/>
              <w:lang w:val="zh-CN"/>
            </w:rPr>
            <w:id w:val="8705631"/>
            <w:placeholder>
              <w:docPart w:val="{bc6c7d98-4fff-45cd-a704-1a84605e138d}"/>
            </w:placeholder>
            <w15:color w:val="509DF3"/>
          </w:sdtPr>
          <w:sdtEndPr>
            <w:rPr>
              <w:rFonts w:hint="default" w:ascii="Arial Regular" w:hAnsi="Arial Regular" w:eastAsia="Arial" w:cs="Arial Regular"/>
              <w:b w:val="0"/>
              <w:bCs w:val="0"/>
              <w:sz w:val="24"/>
              <w:szCs w:val="24"/>
              <w:lang w:val="zh-CN"/>
            </w:rPr>
          </w:sdtEndPr>
          <w:sdtContent>
            <w:p w14:paraId="0F3D2DF3">
              <w:pPr>
                <w:spacing w:line="360" w:lineRule="auto"/>
                <w:jc w:val="center"/>
                <w:rPr>
                  <w:rFonts w:hint="default" w:ascii="Arial Regular" w:hAnsi="Arial Regular" w:cs="Arial Regular"/>
                  <w:b w:val="0"/>
                  <w:bCs w:val="0"/>
                  <w:sz w:val="24"/>
                  <w:szCs w:val="24"/>
                  <w:lang w:val="de-DE"/>
                </w:rPr>
              </w:pPr>
              <w:bookmarkStart w:id="0" w:name="_Toc1189425521_WPSOffice_Type2"/>
              <w:bookmarkEnd w:id="0"/>
              <w:r>
                <w:rPr>
                  <w:rFonts w:hint="default" w:ascii="Arial Regular" w:hAnsi="Arial Regular" w:cs="Arial Regular"/>
                  <w:b w:val="0"/>
                  <w:bCs w:val="0"/>
                  <w:sz w:val="24"/>
                  <w:szCs w:val="24"/>
                  <w:lang w:val="de-DE"/>
                </w:rPr>
                <w:t>Table of Contents</w:t>
              </w:r>
            </w:p>
            <w:p w14:paraId="76F16307">
              <w:pPr>
                <w:spacing w:line="360" w:lineRule="auto"/>
                <w:jc w:val="both"/>
                <w:rPr>
                  <w:rFonts w:hint="default" w:ascii="Arial Regular" w:hAnsi="Arial Regular" w:cs="Arial Regular"/>
                  <w:sz w:val="24"/>
                  <w:szCs w:val="24"/>
                </w:rPr>
              </w:pPr>
            </w:p>
          </w:sdtContent>
        </w:sdt>
      </w:sdtContent>
    </w:sdt>
    <w:p w14:paraId="2222961D">
      <w:pPr>
        <w:spacing w:line="360" w:lineRule="auto"/>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b w:val="0"/>
          <w:bCs w:val="0"/>
          <w:sz w:val="24"/>
          <w:szCs w:val="24"/>
          <w:lang w:val="de-DE"/>
        </w:rPr>
        <w:t>Section 1</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TOC \o "1-3" \h \z \u </w:instrText>
      </w:r>
      <w:r>
        <w:rPr>
          <w:rFonts w:hint="default" w:ascii="Arial Regular" w:hAnsi="Arial Regular" w:cs="Arial Regular"/>
          <w:sz w:val="24"/>
          <w:szCs w:val="24"/>
        </w:rPr>
        <w:fldChar w:fldCharType="separate"/>
      </w:r>
    </w:p>
    <w:p w14:paraId="23E5AAE8">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"_Toc223546858"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1. Introduction</w:t>
      </w:r>
      <w:r>
        <w:rPr>
          <w:rFonts w:hint="default" w:ascii="Arial Regular" w:hAnsi="Arial Regular" w:cs="Arial Regular"/>
          <w:sz w:val="24"/>
          <w:szCs w:val="24"/>
        </w:rPr>
        <w:tab/>
      </w:r>
      <w:r>
        <w:rPr>
          <w:rFonts w:hint="default" w:ascii="Arial Regular" w:hAnsi="Arial Regular" w:cs="Arial Regular"/>
          <w:sz w:val="24"/>
          <w:szCs w:val="24"/>
          <w:lang w:val="de-DE"/>
        </w:rPr>
        <w:t>3</w:t>
      </w:r>
      <w:r>
        <w:rPr>
          <w:rFonts w:hint="default" w:ascii="Arial Regular" w:hAnsi="Arial Regular" w:cs="Arial Regular"/>
          <w:sz w:val="24"/>
          <w:szCs w:val="24"/>
        </w:rPr>
        <w:fldChar w:fldCharType="end"/>
      </w:r>
    </w:p>
    <w:p w14:paraId="3CDA4DFD">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"_Toc223546859"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2. Industry and Country Overview</w:t>
      </w:r>
      <w:r>
        <w:rPr>
          <w:rFonts w:hint="default" w:ascii="Arial Regular" w:hAnsi="Arial Regular" w:cs="Arial Regular"/>
          <w:sz w:val="24"/>
          <w:szCs w:val="24"/>
        </w:rPr>
        <w:tab/>
      </w:r>
      <w:r>
        <w:rPr>
          <w:rFonts w:hint="default" w:ascii="Arial Regular" w:hAnsi="Arial Regular" w:cs="Arial Regular"/>
          <w:sz w:val="24"/>
          <w:szCs w:val="24"/>
          <w:lang w:val="de-DE"/>
        </w:rPr>
        <w:t>3</w:t>
      </w:r>
      <w:r>
        <w:rPr>
          <w:rFonts w:hint="default" w:ascii="Arial Regular" w:hAnsi="Arial Regular" w:cs="Arial Regular"/>
          <w:sz w:val="24"/>
          <w:szCs w:val="24"/>
        </w:rPr>
        <w:fldChar w:fldCharType="end"/>
      </w:r>
    </w:p>
    <w:p w14:paraId="1DEEB63C">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"_Toc223546860"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 xml:space="preserve">2.1 Introduction of the </w:t>
      </w:r>
      <w:r>
        <w:rPr>
          <w:rStyle w:val="9"/>
          <w:rFonts w:hint="default" w:ascii="Arial Regular" w:hAnsi="Arial Regular" w:cs="Arial Regular"/>
          <w:sz w:val="24"/>
          <w:szCs w:val="24"/>
          <w:lang w:val="de-DE"/>
        </w:rPr>
        <w:t xml:space="preserve">hospitality </w:t>
      </w:r>
      <w:r>
        <w:rPr>
          <w:rStyle w:val="9"/>
          <w:rFonts w:hint="default" w:ascii="Arial Regular" w:hAnsi="Arial Regular" w:cs="Arial Regular"/>
          <w:sz w:val="24"/>
          <w:szCs w:val="24"/>
        </w:rPr>
        <w:t xml:space="preserve">Industry within </w:t>
      </w:r>
      <w:r>
        <w:rPr>
          <w:rStyle w:val="9"/>
          <w:rFonts w:hint="default" w:ascii="Arial Regular" w:hAnsi="Arial Regular" w:cs="Arial Regular"/>
          <w:sz w:val="24"/>
          <w:szCs w:val="24"/>
          <w:lang w:val="de-DE"/>
        </w:rPr>
        <w:t>Spain</w:t>
      </w:r>
      <w:r>
        <w:rPr>
          <w:rFonts w:hint="default" w:ascii="Arial Regular" w:hAnsi="Arial Regular" w:cs="Arial Regular"/>
          <w:sz w:val="24"/>
          <w:szCs w:val="24"/>
        </w:rPr>
        <w:tab/>
      </w:r>
      <w:r>
        <w:rPr>
          <w:rFonts w:hint="default" w:ascii="Arial Regular" w:hAnsi="Arial Regular" w:cs="Arial Regular"/>
          <w:sz w:val="24"/>
          <w:szCs w:val="24"/>
          <w:lang w:val="de-DE"/>
        </w:rPr>
        <w:t>3</w:t>
      </w:r>
      <w:r>
        <w:rPr>
          <w:rFonts w:hint="default" w:ascii="Arial Regular" w:hAnsi="Arial Regular" w:cs="Arial Regular"/>
          <w:sz w:val="24"/>
          <w:szCs w:val="24"/>
        </w:rPr>
        <w:fldChar w:fldCharType="end"/>
      </w:r>
    </w:p>
    <w:p w14:paraId="69D1CEAC">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"_Toc223546861"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 xml:space="preserve">2.2 Size, scope, and economic importance of the </w:t>
      </w:r>
      <w:r>
        <w:rPr>
          <w:rStyle w:val="9"/>
          <w:rFonts w:hint="default" w:ascii="Arial Regular" w:hAnsi="Arial Regular" w:cs="Arial Regular"/>
          <w:sz w:val="24"/>
          <w:szCs w:val="24"/>
          <w:lang w:val="de-DE"/>
        </w:rPr>
        <w:t xml:space="preserve">hospitality </w:t>
      </w:r>
      <w:r>
        <w:rPr>
          <w:rStyle w:val="9"/>
          <w:rFonts w:hint="default" w:ascii="Arial Regular" w:hAnsi="Arial Regular" w:cs="Arial Regular"/>
          <w:sz w:val="24"/>
          <w:szCs w:val="24"/>
        </w:rPr>
        <w:t>industry</w:t>
      </w:r>
      <w:r>
        <w:rPr>
          <w:rFonts w:hint="default" w:ascii="Arial Regular" w:hAnsi="Arial Regular" w:cs="Arial Regular"/>
          <w:sz w:val="24"/>
          <w:szCs w:val="24"/>
        </w:rPr>
        <w:tab/>
      </w:r>
      <w:r>
        <w:rPr>
          <w:rFonts w:hint="default" w:ascii="Arial Regular" w:hAnsi="Arial Regular" w:cs="Arial Regular"/>
          <w:sz w:val="24"/>
          <w:szCs w:val="24"/>
          <w:lang w:val="de-DE"/>
        </w:rPr>
        <w:t>4</w:t>
      </w:r>
      <w:r>
        <w:rPr>
          <w:rFonts w:hint="default" w:ascii="Arial Regular" w:hAnsi="Arial Regular" w:cs="Arial Regular"/>
          <w:sz w:val="24"/>
          <w:szCs w:val="24"/>
        </w:rPr>
        <w:fldChar w:fldCharType="end"/>
      </w:r>
    </w:p>
    <w:p w14:paraId="30F28323">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"_Toc223546862"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2.3 The major domestic and multinational firms operating within the industry</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629DA9B5">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"_Toc223546863"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 xml:space="preserve">2.4 Relative positioning of key companies in the </w:t>
      </w:r>
      <w:r>
        <w:rPr>
          <w:rStyle w:val="9"/>
          <w:rFonts w:hint="default" w:ascii="Arial Regular" w:hAnsi="Arial Regular" w:cs="Arial Regular"/>
          <w:sz w:val="24"/>
          <w:szCs w:val="24"/>
          <w:lang w:val="de-DE"/>
        </w:rPr>
        <w:t xml:space="preserve">hospitality </w:t>
      </w:r>
      <w:r>
        <w:rPr>
          <w:rStyle w:val="9"/>
          <w:rFonts w:hint="default" w:ascii="Arial Regular" w:hAnsi="Arial Regular" w:cs="Arial Regular"/>
          <w:sz w:val="24"/>
          <w:szCs w:val="24"/>
        </w:rPr>
        <w:t xml:space="preserve">Industry of </w:t>
      </w:r>
      <w:r>
        <w:rPr>
          <w:rStyle w:val="9"/>
          <w:rFonts w:hint="default" w:ascii="Arial Regular" w:hAnsi="Arial Regular" w:cs="Arial Regular"/>
          <w:sz w:val="24"/>
          <w:szCs w:val="24"/>
          <w:lang w:val="de-DE"/>
        </w:rPr>
        <w:t>Spain</w:t>
      </w:r>
      <w:r>
        <w:rPr>
          <w:rFonts w:hint="default" w:ascii="Arial Regular" w:hAnsi="Arial Regular" w:cs="Arial Regular"/>
          <w:sz w:val="24"/>
          <w:szCs w:val="24"/>
        </w:rPr>
        <w:tab/>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p>
    <w:p w14:paraId="55847658">
      <w:pPr>
        <w:pStyle w:val="14"/>
        <w:tabs>
          <w:tab w:val="right" w:leader="dot" w:pos="9350"/>
        </w:tabs>
        <w:spacing w:line="360" w:lineRule="auto"/>
        <w:ind w:left="404"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"_Toc223546864"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3. Michael Porter’s Diamond Model</w:t>
      </w:r>
      <w:r>
        <w:rPr>
          <w:rFonts w:hint="default" w:ascii="Arial Regular" w:hAnsi="Arial Regular" w:cs="Arial Regular"/>
          <w:sz w:val="24"/>
          <w:szCs w:val="24"/>
        </w:rPr>
        <w:tab/>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p>
    <w:p w14:paraId="55BCF5E5">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"_Toc223546865"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4. Evaluation of factors impacting the</w:t>
      </w:r>
      <w:r>
        <w:rPr>
          <w:rStyle w:val="9"/>
          <w:rFonts w:hint="default" w:ascii="Arial Regular" w:hAnsi="Arial Regular" w:cs="Arial Regular"/>
          <w:sz w:val="24"/>
          <w:szCs w:val="24"/>
          <w:lang w:val="de-DE"/>
        </w:rPr>
        <w:t xml:space="preserve"> </w:t>
      </w:r>
      <w:r>
        <w:rPr>
          <w:rFonts w:hint="default" w:ascii="Arial Regular" w:hAnsi="Arial Regular" w:cs="Arial Regular"/>
          <w:b w:val="0"/>
          <w:bCs w:val="0"/>
          <w:sz w:val="24"/>
          <w:szCs w:val="24"/>
        </w:rPr>
        <w:t>Meliá</w:t>
      </w:r>
      <w:r>
        <w:rPr>
          <w:rFonts w:hint="default" w:ascii="Arial Regular" w:hAnsi="Arial Regular" w:cs="Arial Regular"/>
          <w:b w:val="0"/>
          <w:bCs w:val="0"/>
          <w:sz w:val="24"/>
          <w:szCs w:val="24"/>
          <w:lang w:val="de-DE"/>
        </w:rPr>
        <w:t xml:space="preserve"> Hotels International </w:t>
      </w:r>
      <w:r>
        <w:rPr>
          <w:rStyle w:val="9"/>
          <w:rFonts w:hint="default" w:ascii="Arial Regular" w:hAnsi="Arial Regular" w:cs="Arial Regular"/>
          <w:sz w:val="24"/>
          <w:szCs w:val="24"/>
        </w:rPr>
        <w:t xml:space="preserve">in </w:t>
      </w:r>
      <w:r>
        <w:rPr>
          <w:rStyle w:val="9"/>
          <w:rFonts w:hint="default" w:ascii="Arial Regular" w:hAnsi="Arial Regular" w:cs="Arial Regular"/>
          <w:sz w:val="24"/>
          <w:szCs w:val="24"/>
          <w:lang w:val="de-DE"/>
        </w:rPr>
        <w:t>Spain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_Toc223546865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D32298F">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"_Toc223546866"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4.1 PESTEL Analysis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_Toc223546866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1</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87124D9">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"_Toc223546867"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4.2 Porter’s Five Forces Analysis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_Toc223546867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5</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79F60C3">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"_Toc223546868"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4.3 SWOT Analysis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_Toc223546868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w:t>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8500111">
      <w:pPr>
        <w:pStyle w:val="15"/>
        <w:tabs>
          <w:tab w:val="right" w:leader="dot" w:pos="9350"/>
        </w:tabs>
        <w:spacing w:line="360" w:lineRule="auto"/>
        <w:ind w:left="873"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"_Toc223546869"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4.4 Hofstede’s Cultural Distance Analysis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_Toc223546869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19</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045B60D">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"_Toc223546870"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5. Conclusion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_Toc223546870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lang w:val="de-DE"/>
        </w:rPr>
        <w:t>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09E0B14F">
      <w:pPr>
        <w:pStyle w:val="13"/>
        <w:tabs>
          <w:tab w:val="right" w:leader="dot" w:pos="9350"/>
        </w:tabs>
        <w:spacing w:line="360" w:lineRule="auto"/>
        <w:jc w:val="both"/>
        <w:rPr>
          <w:rFonts w:hint="default" w:ascii="Arial Regular" w:hAnsi="Arial Regular" w:cs="Arial Regular"/>
          <w:sz w:val="24"/>
          <w:szCs w:val="24"/>
        </w:rPr>
      </w:pPr>
    </w:p>
    <w:p w14:paraId="4D65F87F">
      <w:pPr>
        <w:pStyle w:val="13"/>
        <w:tabs>
          <w:tab w:val="right" w:leader="dot" w:pos="9350"/>
        </w:tabs>
        <w:spacing w:line="360" w:lineRule="auto"/>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"_Toc223546871"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Section 2</w:t>
      </w:r>
      <w:r>
        <w:rPr>
          <w:rFonts w:hint="default" w:ascii="Arial Regular" w:hAnsi="Arial Regular" w:cs="Arial Regular"/>
          <w:sz w:val="24"/>
          <w:szCs w:val="24"/>
        </w:rPr>
        <w:fldChar w:fldCharType="end"/>
      </w:r>
    </w:p>
    <w:p w14:paraId="5BFB0FEE">
      <w:pPr>
        <w:pStyle w:val="14"/>
        <w:tabs>
          <w:tab w:val="right" w:leader="dot" w:pos="9350"/>
        </w:tabs>
        <w:spacing w:line="360" w:lineRule="auto"/>
        <w:ind w:left="416" w:leftChars="0"/>
        <w:jc w:val="both"/>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"_Toc223546872"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Reflective Account Using Gibbs’ Reflective Cycle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_Toc223546872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lang w:val="de-DE"/>
        </w:rPr>
        <w:t>3</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340FA06">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"_Toc223546874" </w:instrText>
      </w:r>
      <w:r>
        <w:rPr>
          <w:rFonts w:hint="default" w:ascii="Arial Regular" w:hAnsi="Arial Regular" w:cs="Arial Regular"/>
          <w:sz w:val="24"/>
          <w:szCs w:val="24"/>
        </w:rPr>
        <w:fldChar w:fldCharType="separate"/>
      </w:r>
      <w:r>
        <w:rPr>
          <w:rFonts w:hint="default" w:ascii="Arial Regular" w:hAnsi="Arial Regular" w:cs="Arial Regular"/>
          <w:sz w:val="24"/>
          <w:szCs w:val="24"/>
          <w:lang w:val="de-DE"/>
        </w:rPr>
        <w:t>Summary</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_Toc223546874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A734840">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"_Toc223546874" </w:instrText>
      </w:r>
      <w:r>
        <w:rPr>
          <w:rFonts w:hint="default" w:ascii="Arial Regular" w:hAnsi="Arial Regular" w:cs="Arial Regular"/>
          <w:sz w:val="24"/>
          <w:szCs w:val="24"/>
        </w:rPr>
        <w:fldChar w:fldCharType="separate"/>
      </w:r>
      <w:r>
        <w:rPr>
          <w:rFonts w:hint="default" w:ascii="Arial Regular" w:hAnsi="Arial Regular" w:cs="Arial Regular"/>
          <w:sz w:val="24"/>
          <w:szCs w:val="24"/>
          <w:lang w:val="de-DE"/>
        </w:rPr>
        <w:t>Conclusion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_Toc223546874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lang w:val="de-DE"/>
        </w:rPr>
        <w:t>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28D9620">
      <w:pPr>
        <w:pStyle w:val="14"/>
        <w:tabs>
          <w:tab w:val="right" w:leader="dot" w:pos="9350"/>
        </w:tabs>
        <w:spacing w:line="360" w:lineRule="auto"/>
        <w:ind w:left="416" w:leftChars="0"/>
        <w:jc w:val="both"/>
        <w:rPr>
          <w:rFonts w:hint="default" w:ascii="Arial Regular" w:hAnsi="Arial Regular" w:cs="Arial Regular" w:eastAsiaTheme="minorEastAsia"/>
          <w:kern w:val="2"/>
          <w:sz w:val="24"/>
          <w:szCs w:val="24"/>
          <w:lang w:val="en-IN"/>
          <w14:ligatures w14:val="standardContextual"/>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\l "_Toc223546874" </w:instrText>
      </w:r>
      <w:r>
        <w:rPr>
          <w:rFonts w:hint="default" w:ascii="Arial Regular" w:hAnsi="Arial Regular" w:cs="Arial Regular"/>
          <w:sz w:val="24"/>
          <w:szCs w:val="24"/>
        </w:rPr>
        <w:fldChar w:fldCharType="separate"/>
      </w:r>
      <w:r>
        <w:rPr>
          <w:rFonts w:hint="default" w:ascii="Arial Regular" w:hAnsi="Arial Regular" w:cs="Arial Regular"/>
          <w:sz w:val="24"/>
          <w:szCs w:val="24"/>
          <w:lang w:val="de-DE"/>
        </w:rPr>
        <w:t>Bibliography</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_Toc223546874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lang w:val="de-DE"/>
        </w:rPr>
        <w:t>8</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658E8CE">
      <w:pPr>
        <w:pStyle w:val="13"/>
        <w:tabs>
          <w:tab w:val="right" w:leader="dot" w:pos="9350"/>
        </w:tabs>
        <w:spacing w:line="360" w:lineRule="auto"/>
        <w:jc w:val="both"/>
        <w:rPr>
          <w:rFonts w:hint="default" w:ascii="Arial Regular" w:hAnsi="Arial Regular" w:cs="Arial Regular" w:eastAsiaTheme="minorEastAsia"/>
          <w:kern w:val="2"/>
          <w:sz w:val="24"/>
          <w:szCs w:val="24"/>
          <w:lang w:val="en-IN"/>
          <w14:ligatures w14:val="standardContextual"/>
        </w:rPr>
      </w:pPr>
    </w:p>
    <w:p w14:paraId="39DA4AC6">
      <w:pPr>
        <w:pStyle w:val="14"/>
        <w:tabs>
          <w:tab w:val="right" w:leader="dot" w:pos="8306"/>
        </w:tabs>
        <w:spacing w:line="360" w:lineRule="auto"/>
        <w:ind w:left="416" w:leftChars="0"/>
        <w:jc w:val="both"/>
        <w:rPr>
          <w:rFonts w:hint="default" w:ascii="Arial Regular" w:hAnsi="Arial Regular" w:cs="Arial Regular"/>
          <w:b w:val="0"/>
          <w:bCs w:val="0"/>
          <w:sz w:val="24"/>
          <w:szCs w:val="24"/>
        </w:rPr>
      </w:pPr>
      <w:r>
        <w:rPr>
          <w:rFonts w:hint="default" w:ascii="Arial Regular" w:hAnsi="Arial Regular" w:cs="Arial Regular"/>
          <w:b/>
          <w:bCs/>
          <w:sz w:val="24"/>
          <w:szCs w:val="24"/>
        </w:rPr>
        <w:fldChar w:fldCharType="end"/>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TOC \o "1-3" \f \h \u </w:instrText>
      </w:r>
      <w:r>
        <w:rPr>
          <w:rFonts w:hint="default" w:ascii="Arial Regular" w:hAnsi="Arial Regular" w:cs="Arial Regular"/>
          <w:b w:val="0"/>
          <w:bCs w:val="0"/>
          <w:sz w:val="24"/>
          <w:szCs w:val="24"/>
        </w:rPr>
        <w:fldChar w:fldCharType="separate"/>
      </w:r>
    </w:p>
    <w:p w14:paraId="11A3FDAA">
      <w:pPr>
        <w:pStyle w:val="14"/>
        <w:tabs>
          <w:tab w:val="right" w:leader="dot" w:pos="8306"/>
        </w:tabs>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_Toc1582317489 </w:instrText>
      </w:r>
      <w:r>
        <w:rPr>
          <w:rFonts w:hint="default" w:ascii="Arial Regular" w:hAnsi="Arial Regular" w:cs="Arial Regular"/>
          <w:b w:val="0"/>
          <w:bCs w:val="0"/>
          <w:sz w:val="24"/>
          <w:szCs w:val="24"/>
        </w:rPr>
        <w:fldChar w:fldCharType="separate"/>
      </w:r>
    </w:p>
    <w:p w14:paraId="44AF0370">
      <w:pPr>
        <w:spacing w:line="360" w:lineRule="auto"/>
        <w:jc w:val="both"/>
        <w:rPr>
          <w:rFonts w:hint="default" w:ascii="Arial Regular" w:hAnsi="Arial Regular" w:cs="Arial Regular"/>
          <w:b w:val="0"/>
          <w:bCs w:val="0"/>
          <w:sz w:val="24"/>
          <w:szCs w:val="24"/>
          <w:lang w:val="de-DE"/>
        </w:rPr>
      </w:pPr>
    </w:p>
    <w:p w14:paraId="55706D20">
      <w:pPr>
        <w:spacing w:line="360" w:lineRule="auto"/>
        <w:jc w:val="both"/>
        <w:rPr>
          <w:rFonts w:hint="default" w:ascii="Arial Regular" w:hAnsi="Arial Regular" w:cs="Arial Regular"/>
          <w:b w:val="0"/>
          <w:bCs w:val="0"/>
          <w:sz w:val="24"/>
          <w:szCs w:val="24"/>
          <w:lang w:val="de-DE"/>
        </w:rPr>
      </w:pPr>
    </w:p>
    <w:p w14:paraId="06D73325">
      <w:pPr>
        <w:pStyle w:val="14"/>
        <w:tabs>
          <w:tab w:val="right" w:leader="dot" w:pos="8306"/>
        </w:tabs>
        <w:spacing w:line="360" w:lineRule="auto"/>
        <w:ind w:left="0" w:leftChars="0" w:firstLine="0" w:firstLine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fldChar w:fldCharType="end"/>
      </w:r>
    </w:p>
    <w:p w14:paraId="2212B511">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fldChar w:fldCharType="end"/>
      </w:r>
    </w:p>
    <w:p w14:paraId="30E812E2">
      <w:pPr>
        <w:spacing w:line="360" w:lineRule="auto"/>
        <w:jc w:val="both"/>
        <w:rPr>
          <w:rFonts w:hint="default" w:ascii="Arial Regular" w:hAnsi="Arial Regular" w:cs="Arial Regular"/>
          <w:b w:val="0"/>
          <w:bCs w:val="0"/>
          <w:sz w:val="24"/>
          <w:szCs w:val="24"/>
        </w:rPr>
      </w:pPr>
      <w:bookmarkStart w:id="1" w:name="_Toc923496289"/>
    </w:p>
    <w:p w14:paraId="2ED6701E">
      <w:pPr>
        <w:spacing w:line="360" w:lineRule="auto"/>
        <w:jc w:val="both"/>
        <w:rPr>
          <w:rFonts w:hint="default" w:ascii="Arial Regular" w:hAnsi="Arial Regular" w:cs="Arial Regular"/>
          <w:b w:val="0"/>
          <w:bCs w:val="0"/>
          <w:sz w:val="24"/>
          <w:szCs w:val="24"/>
        </w:rPr>
      </w:pPr>
    </w:p>
    <w:p w14:paraId="529968F3">
      <w:pPr>
        <w:rPr>
          <w:rFonts w:hint="default" w:ascii="Arial Regular" w:hAnsi="Arial Regular" w:cs="Arial Regular"/>
          <w:b/>
          <w:bCs/>
          <w:sz w:val="24"/>
          <w:szCs w:val="24"/>
          <w:lang w:val="de-DE"/>
        </w:rPr>
      </w:pPr>
    </w:p>
    <w:p w14:paraId="6B097D09">
      <w:pPr>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br w:type="page"/>
      </w:r>
    </w:p>
    <w:p w14:paraId="1827EA0D">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Section 1</w:t>
      </w:r>
    </w:p>
    <w:p w14:paraId="5D4BA486">
      <w:pPr>
        <w:numPr>
          <w:ilvl w:val="0"/>
          <w:numId w:val="1"/>
        </w:num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Introduction </w:t>
      </w:r>
    </w:p>
    <w:p w14:paraId="31057608">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is a vital contributor to global economic development, particularly in countries such as Spain where it plays a central role in national growth and employment. This report critically analyses the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in Spain, focusing on its structure, competitiveness and strategic environment. It begins with an overview of the industry, highlighting its size, scope and economic importance, followed by an evaluation of key domestic and multinational firms operating within the sector (Díaz-Muñoz, 2019; UNWTO, 2020). The report then applies Porter’s Diamond Model to assess Spain’s global competitiveness in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(Porter, 1990).</w:t>
      </w:r>
    </w:p>
    <w:p w14:paraId="4F7F74EA">
      <w:pPr>
        <w:pStyle w:val="10"/>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rPr>
        <w:t xml:space="preserve">Furthermore, the study examines Meliá Hotels International as a major industry player through frameworks such as PESTEL, Porter’s Five Forces, SWOT and Hofstede’s Cultural Dimensions to evaluate external and internal influences on its performance (Johnson, Scholes &amp; Whittington, 2017; Hofstede, Hofstede &amp; Minkov, 2010). Overall, the report provides a comprehensive strategic analysis of Spain’s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sector and its business environment.</w:t>
      </w:r>
    </w:p>
    <w:bookmarkEnd w:id="1"/>
    <w:p w14:paraId="6F08A973">
      <w:pPr>
        <w:keepNext w:val="0"/>
        <w:keepLines w:val="0"/>
        <w:widowControl/>
        <w:numPr>
          <w:ilvl w:val="0"/>
          <w:numId w:val="1"/>
        </w:numPr>
        <w:suppressLineNumbers w:val="0"/>
        <w:spacing w:line="360" w:lineRule="auto"/>
        <w:ind w:left="0" w:leftChars="0" w:firstLine="0" w:firstLineChars="0"/>
        <w:jc w:val="both"/>
        <w:rPr>
          <w:rFonts w:hint="default" w:ascii="Arial Regular" w:hAnsi="Arial Regular" w:cs="Arial Regular"/>
          <w:b/>
          <w:bCs/>
          <w:sz w:val="24"/>
          <w:szCs w:val="24"/>
        </w:rPr>
      </w:pPr>
      <w:r>
        <w:rPr>
          <w:rFonts w:hint="default" w:ascii="Arial Regular" w:hAnsi="Arial Regular" w:cs="Arial Regular"/>
          <w:b/>
          <w:bCs/>
          <w:sz w:val="24"/>
          <w:szCs w:val="24"/>
          <w:lang w:val="de-DE"/>
        </w:rPr>
        <w:t>I</w:t>
      </w:r>
      <w:r>
        <w:rPr>
          <w:rFonts w:hint="default" w:ascii="Arial Regular" w:hAnsi="Arial Regular" w:eastAsia="SimSun" w:cs="Arial Regular"/>
          <w:b/>
          <w:bCs/>
          <w:kern w:val="0"/>
          <w:sz w:val="24"/>
          <w:szCs w:val="24"/>
          <w:lang w:val="en-US" w:eastAsia="zh-CN" w:bidi="ar"/>
        </w:rPr>
        <w:t>ndustry and Country Overview</w:t>
      </w:r>
    </w:p>
    <w:p w14:paraId="6FB5FB77">
      <w:pPr>
        <w:spacing w:line="360" w:lineRule="auto"/>
        <w:jc w:val="both"/>
        <w:rPr>
          <w:rFonts w:hint="default" w:ascii="Arial Regular" w:hAnsi="Arial Regular" w:cs="Arial Regular"/>
          <w:b/>
          <w:bCs/>
          <w:sz w:val="24"/>
          <w:szCs w:val="24"/>
          <w:lang w:val="de-DE" w:eastAsia="zh-CN"/>
        </w:rPr>
      </w:pPr>
      <w:r>
        <w:rPr>
          <w:rFonts w:hint="default" w:ascii="Arial Regular" w:hAnsi="Arial Regular" w:cs="Arial Regular"/>
          <w:b/>
          <w:bCs/>
          <w:sz w:val="24"/>
          <w:szCs w:val="24"/>
          <w:lang w:val="de-DE"/>
        </w:rPr>
        <w:t xml:space="preserve">2.1 </w:t>
      </w:r>
      <w:r>
        <w:rPr>
          <w:rFonts w:hint="default" w:ascii="Arial Regular" w:hAnsi="Arial Regular" w:cs="Arial Regular"/>
          <w:b/>
          <w:bCs/>
          <w:sz w:val="24"/>
          <w:szCs w:val="24"/>
        </w:rPr>
        <w:t xml:space="preserve">Introduction of the </w:t>
      </w:r>
      <w:r>
        <w:rPr>
          <w:rFonts w:hint="default" w:ascii="Arial Regular" w:hAnsi="Arial Regular" w:cs="Arial Regular"/>
          <w:b/>
          <w:bCs/>
          <w:sz w:val="24"/>
          <w:szCs w:val="24"/>
          <w:lang w:val="de-DE"/>
        </w:rPr>
        <w:t xml:space="preserve">hospitality </w:t>
      </w:r>
      <w:r>
        <w:rPr>
          <w:rFonts w:hint="default" w:ascii="Arial Regular" w:hAnsi="Arial Regular" w:cs="Arial Regular"/>
          <w:b/>
          <w:bCs/>
          <w:sz w:val="24"/>
          <w:szCs w:val="24"/>
        </w:rPr>
        <w:t xml:space="preserve">Industry within </w:t>
      </w:r>
      <w:r>
        <w:rPr>
          <w:rFonts w:hint="default" w:ascii="Arial Regular" w:hAnsi="Arial Regular" w:cs="Arial Regular"/>
          <w:b/>
          <w:bCs/>
          <w:sz w:val="24"/>
          <w:szCs w:val="24"/>
          <w:lang w:val="de-DE"/>
        </w:rPr>
        <w:t>Spain</w:t>
      </w:r>
    </w:p>
    <w:p w14:paraId="696D5DF4">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is one of the most globally integrated service industries, encompassing transportation, accommodation, hospitality, cultural experiences and leisure services (Pearce, 2018). In Spain,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is a cornerstone of socio-economic development and international exchange. The sector comprises both domestic travel and inbound international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with Spain historically ranking among the world’s top destinations (Díaz-Muñoz, 2019). Characterised by its cultural heritage, diverse landscapes, Mediterranean climate, and well-established infrastructure, Spanish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contributes to national identity and international soft power (Richards, 2020). The country’s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landscape includes seaside resorts, urban cultural centres, rural and eco-</w:t>
      </w:r>
      <w:r>
        <w:rPr>
          <w:rFonts w:hint="default" w:ascii="Arial Regular" w:hAnsi="Arial Regular" w:cs="Arial Regular"/>
          <w:b w:val="0"/>
          <w:bCs w:val="0"/>
          <w:sz w:val="24"/>
          <w:szCs w:val="24"/>
          <w:lang w:val="de-DE"/>
        </w:rPr>
        <w:t>tourism</w:t>
      </w:r>
      <w:r>
        <w:rPr>
          <w:rFonts w:hint="default" w:ascii="Arial Regular" w:hAnsi="Arial Regular" w:cs="Arial Regular"/>
          <w:b w:val="0"/>
          <w:bCs w:val="0"/>
          <w:sz w:val="24"/>
          <w:szCs w:val="24"/>
        </w:rPr>
        <w:t xml:space="preserve"> offerings, and world-renowned events such as festivals and sporting fixtures, which together shape Spain’s global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brand.</w:t>
      </w:r>
    </w:p>
    <w:p w14:paraId="7D4AFF31">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rPr>
      </w:pPr>
    </w:p>
    <w:p w14:paraId="7FE20FEC">
      <w:pPr>
        <w:keepNext w:val="0"/>
        <w:keepLines w:val="0"/>
        <w:widowControl/>
        <w:numPr>
          <w:ilvl w:val="0"/>
          <w:numId w:val="0"/>
        </w:numPr>
        <w:suppressLineNumbers w:val="0"/>
        <w:spacing w:line="360" w:lineRule="auto"/>
        <w:ind w:leftChars="0"/>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drawing>
          <wp:inline distT="0" distB="0" distL="114300" distR="114300">
            <wp:extent cx="4665345" cy="3105785"/>
            <wp:effectExtent l="0" t="0" r="8255" b="18415"/>
            <wp:docPr id="1" name="Picture 1" descr="/Users/anikaayub/Downloads/WhatsApp Image 2026-04-08 at 13.50.22.jpegWhatsApp Image 2026-04-08 at 13.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sers/anikaayub/Downloads/WhatsApp Image 2026-04-08 at 13.50.22.jpegWhatsApp Image 2026-04-08 at 13.50.22"/>
                    <pic:cNvPicPr>
                      <a:picLocks noChangeAspect="1"/>
                    </pic:cNvPicPr>
                  </pic:nvPicPr>
                  <pic:blipFill>
                    <a:blip r:embed="rId8"/>
                    <a:srcRect l="7753" r="7753"/>
                    <a:stretch>
                      <a:fillRect/>
                    </a:stretch>
                  </pic:blipFill>
                  <pic:spPr>
                    <a:xfrm>
                      <a:off x="0" y="0"/>
                      <a:ext cx="4665345" cy="3105785"/>
                    </a:xfrm>
                    <a:prstGeom prst="rect">
                      <a:avLst/>
                    </a:prstGeom>
                  </pic:spPr>
                </pic:pic>
              </a:graphicData>
            </a:graphic>
          </wp:inline>
        </w:drawing>
      </w:r>
    </w:p>
    <w:p w14:paraId="59BCA3A2">
      <w:pPr>
        <w:keepNext w:val="0"/>
        <w:keepLines w:val="0"/>
        <w:widowControl/>
        <w:suppressLineNumbers w:val="0"/>
        <w:spacing w:line="360" w:lineRule="auto"/>
        <w:jc w:val="center"/>
        <w:rPr>
          <w:rFonts w:hint="default" w:ascii="Arial Regular" w:hAnsi="Arial Regular" w:cs="Arial Regular"/>
          <w:b w:val="0"/>
          <w:bCs w:val="0"/>
          <w:i w:val="0"/>
          <w:iCs w:val="0"/>
          <w:sz w:val="24"/>
          <w:szCs w:val="24"/>
        </w:rPr>
      </w:pPr>
      <w:r>
        <w:rPr>
          <w:rFonts w:hint="default" w:ascii="Arial Regular" w:hAnsi="Arial Regular" w:cs="Arial Regular"/>
          <w:b w:val="0"/>
          <w:bCs w:val="0"/>
          <w:i w:val="0"/>
          <w:iCs w:val="0"/>
          <w:sz w:val="24"/>
          <w:szCs w:val="24"/>
          <w:lang w:val="de-DE"/>
        </w:rPr>
        <w:t xml:space="preserve">Figure 1: Hospitality Industry in Spain </w:t>
      </w:r>
      <w:r>
        <w:rPr>
          <w:rFonts w:hint="default" w:ascii="Arial Regular" w:hAnsi="Arial Regular" w:eastAsia="SimSun" w:cs="Arial Regular"/>
          <w:b w:val="0"/>
          <w:bCs w:val="0"/>
          <w:i w:val="0"/>
          <w:iCs w:val="0"/>
          <w:kern w:val="0"/>
          <w:sz w:val="24"/>
          <w:szCs w:val="24"/>
          <w:lang w:val="en-US" w:eastAsia="zh-CN" w:bidi="ar"/>
        </w:rPr>
        <w:t>(</w:t>
      </w:r>
      <w:r>
        <w:rPr>
          <w:rStyle w:val="6"/>
          <w:rFonts w:hint="default" w:ascii="Arial Regular" w:hAnsi="Arial Regular" w:eastAsia="SimSun" w:cs="Arial Regular"/>
          <w:b w:val="0"/>
          <w:bCs w:val="0"/>
          <w:i w:val="0"/>
          <w:iCs w:val="0"/>
          <w:kern w:val="0"/>
          <w:sz w:val="24"/>
          <w:szCs w:val="24"/>
          <w:lang w:val="en-US" w:eastAsia="zh-CN" w:bidi="ar"/>
        </w:rPr>
        <w:t>The Times</w:t>
      </w:r>
      <w:r>
        <w:rPr>
          <w:rFonts w:hint="default" w:ascii="Arial Regular" w:hAnsi="Arial Regular" w:eastAsia="SimSun" w:cs="Arial Regular"/>
          <w:b w:val="0"/>
          <w:bCs w:val="0"/>
          <w:i w:val="0"/>
          <w:iCs w:val="0"/>
          <w:kern w:val="0"/>
          <w:sz w:val="24"/>
          <w:szCs w:val="24"/>
          <w:lang w:val="en-US" w:eastAsia="zh-CN" w:bidi="ar"/>
        </w:rPr>
        <w:t>, 2026)</w:t>
      </w:r>
    </w:p>
    <w:p w14:paraId="211954A4">
      <w:pPr>
        <w:spacing w:line="360" w:lineRule="auto"/>
        <w:jc w:val="both"/>
        <w:rPr>
          <w:rFonts w:hint="default" w:ascii="Arial Regular" w:hAnsi="Arial Regular" w:cs="Arial Regular"/>
          <w:b/>
          <w:bCs/>
          <w:sz w:val="24"/>
          <w:szCs w:val="24"/>
          <w:lang w:val="de-DE"/>
        </w:rPr>
      </w:pPr>
    </w:p>
    <w:p w14:paraId="50F4F92F">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lang w:val="de-DE"/>
        </w:rPr>
        <w:t xml:space="preserve">2.2 </w:t>
      </w:r>
      <w:r>
        <w:rPr>
          <w:rFonts w:hint="default" w:ascii="Arial Regular" w:hAnsi="Arial Regular" w:cs="Arial Regular"/>
          <w:b/>
          <w:bCs/>
          <w:sz w:val="24"/>
          <w:szCs w:val="24"/>
        </w:rPr>
        <w:t xml:space="preserve">Size, scope, and economic importance of the </w:t>
      </w:r>
      <w:r>
        <w:rPr>
          <w:rFonts w:hint="default" w:ascii="Arial Regular" w:hAnsi="Arial Regular" w:cs="Arial Regular"/>
          <w:b/>
          <w:bCs/>
          <w:sz w:val="24"/>
          <w:szCs w:val="24"/>
          <w:lang w:val="de-DE"/>
        </w:rPr>
        <w:t xml:space="preserve">hospitality </w:t>
      </w:r>
      <w:r>
        <w:rPr>
          <w:rFonts w:hint="default" w:ascii="Arial Regular" w:hAnsi="Arial Regular" w:cs="Arial Regular"/>
          <w:b/>
          <w:bCs/>
          <w:sz w:val="24"/>
          <w:szCs w:val="24"/>
        </w:rPr>
        <w:t>industry</w:t>
      </w:r>
    </w:p>
    <w:p w14:paraId="789EBA08">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t xml:space="preserve">The Spanish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represents a significant proportion of national economic activity. In 2019—prior to global travel disruptions—Spain received over </w:t>
      </w:r>
      <w:r>
        <w:rPr>
          <w:rStyle w:val="11"/>
          <w:rFonts w:hint="default" w:ascii="Arial Regular" w:hAnsi="Arial Regular" w:cs="Arial Regular"/>
          <w:b w:val="0"/>
          <w:bCs w:val="0"/>
          <w:sz w:val="24"/>
          <w:szCs w:val="24"/>
        </w:rPr>
        <w:t>83 million international tourists</w:t>
      </w:r>
      <w:r>
        <w:rPr>
          <w:rFonts w:hint="default" w:ascii="Arial Regular" w:hAnsi="Arial Regular" w:cs="Arial Regular"/>
          <w:b w:val="0"/>
          <w:bCs w:val="0"/>
          <w:sz w:val="24"/>
          <w:szCs w:val="24"/>
        </w:rPr>
        <w:t xml:space="preserve">, making it the second most visited country worldwide after France (UNWTO, 2020). According to the World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 xml:space="preserve">Organization,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 xml:space="preserve">accounted for approximately </w:t>
      </w:r>
      <w:r>
        <w:rPr>
          <w:rStyle w:val="11"/>
          <w:rFonts w:hint="default" w:ascii="Arial Regular" w:hAnsi="Arial Regular" w:cs="Arial Regular"/>
          <w:b w:val="0"/>
          <w:bCs w:val="0"/>
          <w:sz w:val="24"/>
          <w:szCs w:val="24"/>
        </w:rPr>
        <w:t>12.3% of Spain’s GDP</w:t>
      </w:r>
      <w:r>
        <w:rPr>
          <w:rFonts w:hint="default" w:ascii="Arial Regular" w:hAnsi="Arial Regular" w:cs="Arial Regular"/>
          <w:b w:val="0"/>
          <w:bCs w:val="0"/>
          <w:sz w:val="24"/>
          <w:szCs w:val="24"/>
        </w:rPr>
        <w:t xml:space="preserve"> and </w:t>
      </w:r>
      <w:r>
        <w:rPr>
          <w:rStyle w:val="11"/>
          <w:rFonts w:hint="default" w:ascii="Arial Regular" w:hAnsi="Arial Regular" w:cs="Arial Regular"/>
          <w:b w:val="0"/>
          <w:bCs w:val="0"/>
          <w:sz w:val="24"/>
          <w:szCs w:val="24"/>
        </w:rPr>
        <w:t>13.7% of total employment</w:t>
      </w:r>
      <w:r>
        <w:rPr>
          <w:rFonts w:hint="default" w:ascii="Arial Regular" w:hAnsi="Arial Regular" w:cs="Arial Regular"/>
          <w:b w:val="0"/>
          <w:bCs w:val="0"/>
          <w:sz w:val="24"/>
          <w:szCs w:val="24"/>
        </w:rPr>
        <w:t xml:space="preserve"> in 2019 (UNWTO, 2020). Domestic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also remains a substantial contributor, with Spaniards undertaking millions of internal trips annually, which supports regional economies beyond international gateways</w:t>
      </w:r>
      <w:r>
        <w:rPr>
          <w:rFonts w:hint="default" w:ascii="Arial Regular" w:hAnsi="Arial Regular" w:cs="Arial Regular"/>
          <w:b w:val="0"/>
          <w:bCs w:val="0"/>
          <w:sz w:val="24"/>
          <w:szCs w:val="24"/>
          <w:lang w:val="de-DE"/>
        </w:rPr>
        <w:t xml:space="preserve">. </w:t>
      </w:r>
    </w:p>
    <w:p w14:paraId="57012F05">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scope of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 xml:space="preserve">in Spain extends across geographic and product segments. Coastal regions such as the Costa del Sol and Balearic Islands dominate sun-and-sea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while cities including Barcelona, Madrid, and Seville have developed strong cultural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 xml:space="preserve">markets anchored on heritage sites, museums, and gastronomy (Díaz-Muñoz, 2019). Rural and nature-based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anchored in national parks and “pueblos blancos”, has grown in response to diversification strategies aimed at reducing seasonal dependency and overcrowding in major destinations (Richards &amp; Wilson, 2021).</w:t>
      </w:r>
      <w:r>
        <w:rPr>
          <w:rFonts w:hint="default" w:ascii="Arial Regular" w:hAnsi="Arial Regular" w:cs="Arial Regular"/>
          <w:b w:val="0"/>
          <w:bCs w:val="0"/>
          <w:sz w:val="24"/>
          <w:szCs w:val="24"/>
          <w:lang w:val="de-DE"/>
        </w:rPr>
        <w:t xml:space="preserve"> </w:t>
      </w:r>
      <w:r>
        <w:rPr>
          <w:rFonts w:hint="default" w:ascii="Arial Regular" w:hAnsi="Arial Regular" w:cs="Arial Regular"/>
          <w:sz w:val="24"/>
          <w:szCs w:val="24"/>
        </w:rPr>
        <w:t>This growth, however, has raised concerns regarding overtourism and environmental degradation, particularly in urban destinations such as Barcelona.</w:t>
      </w:r>
    </w:p>
    <w:p w14:paraId="1088ADBF">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Economically,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injects foreign exchange into Spain’s economy and stimulates investment in infrastructure, including airports, hotels, transportation networks and digital platforms. Multiplier effects of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expenditure generate demand in construction, retail and food services, while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 xml:space="preserve">taxation provides crucial public revenues (Bello &amp; Roig, 2017). The COVID-19 pandemic temporarily disrupted these contributions; however, recent recovery trajectories indicate a strong rebound, with international arrivals approaching pre-pandemic levels and </w:t>
      </w:r>
      <w:r>
        <w:rPr>
          <w:rFonts w:hint="default" w:ascii="Arial Regular" w:hAnsi="Arial Regular" w:cs="Arial Regular"/>
          <w:b w:val="0"/>
          <w:bCs w:val="0"/>
          <w:sz w:val="24"/>
          <w:szCs w:val="24"/>
          <w:lang w:val="de-DE"/>
        </w:rPr>
        <w:t xml:space="preserve">tourism </w:t>
      </w:r>
      <w:r>
        <w:rPr>
          <w:rFonts w:hint="default" w:ascii="Arial Regular" w:hAnsi="Arial Regular" w:cs="Arial Regular"/>
          <w:b w:val="0"/>
          <w:bCs w:val="0"/>
          <w:sz w:val="24"/>
          <w:szCs w:val="24"/>
        </w:rPr>
        <w:t>spending increasingly resilient (García &amp; García, 2022).</w:t>
      </w:r>
    </w:p>
    <w:p w14:paraId="20FB852A">
      <w:pPr>
        <w:keepNext w:val="0"/>
        <w:keepLines w:val="0"/>
        <w:widowControl/>
        <w:numPr>
          <w:ilvl w:val="0"/>
          <w:numId w:val="0"/>
        </w:numPr>
        <w:suppressLineNumbers w:val="0"/>
        <w:spacing w:line="360" w:lineRule="auto"/>
        <w:ind w:leftChars="0"/>
        <w:jc w:val="both"/>
        <w:rPr>
          <w:rFonts w:hint="default" w:ascii="Arial Regular" w:hAnsi="Arial Regular" w:cs="Arial Regular"/>
          <w:b w:val="0"/>
          <w:bCs w:val="0"/>
          <w:sz w:val="24"/>
          <w:szCs w:val="24"/>
        </w:rPr>
      </w:pPr>
    </w:p>
    <w:p w14:paraId="5DD2843E">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lang w:val="de-DE"/>
        </w:rPr>
        <w:t xml:space="preserve">2.3 </w:t>
      </w:r>
      <w:r>
        <w:rPr>
          <w:rFonts w:hint="default" w:ascii="Arial Regular" w:hAnsi="Arial Regular" w:cs="Arial Regular"/>
          <w:b/>
          <w:bCs/>
          <w:sz w:val="24"/>
          <w:szCs w:val="24"/>
        </w:rPr>
        <w:t>The major domestic and multinational firms operating within the industry</w:t>
      </w:r>
    </w:p>
    <w:p w14:paraId="2AE95CB9">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in Spain is dominated by a combination of strong domestic firms and influential multinational companies. Among domestic leaders, Meliá Hotels International, RIU Hotels &amp; Resorts and Grupo Hotusa play significant roles in hospitality, offering global hotel operations and management services (Ivanov &amp; Webster, 2019). eDreams ODIGEO represents Spain’s strength in digital travel distribution, serving over 21 million customers worldwide across multiple markets. Additionally, Viajes El Corte Inglés is a major domestic travel agency, particularly strong in corporate and leisure segments (Buhalis &amp; Laws, 2001).</w:t>
      </w:r>
    </w:p>
    <w:p w14:paraId="6D907E9F">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Multinational firms such as Marriott International, Accor and Hyatt Hotels Corporation have expanded their presence in Spain, intensifying competition (Porter, 1990). Overall, the coexistence of strong domestic firms and global players creates a highly competitive and dynamic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w:t>
      </w:r>
    </w:p>
    <w:p w14:paraId="24E4FFCB">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2.4 </w:t>
      </w:r>
      <w:r>
        <w:rPr>
          <w:rFonts w:hint="default" w:ascii="Arial Regular" w:hAnsi="Arial Regular" w:cs="Arial Regular"/>
          <w:b/>
          <w:bCs/>
          <w:sz w:val="24"/>
          <w:szCs w:val="24"/>
        </w:rPr>
        <w:t xml:space="preserve">Relative positioning of key companies in the </w:t>
      </w:r>
      <w:r>
        <w:rPr>
          <w:rFonts w:hint="default" w:ascii="Arial Regular" w:hAnsi="Arial Regular" w:cs="Arial Regular"/>
          <w:b/>
          <w:bCs/>
          <w:sz w:val="24"/>
          <w:szCs w:val="24"/>
          <w:lang w:val="de-DE"/>
        </w:rPr>
        <w:t>hospitality i</w:t>
      </w:r>
      <w:r>
        <w:rPr>
          <w:rFonts w:hint="default" w:ascii="Arial Regular" w:hAnsi="Arial Regular" w:cs="Arial Regular"/>
          <w:b/>
          <w:bCs/>
          <w:sz w:val="24"/>
          <w:szCs w:val="24"/>
        </w:rPr>
        <w:t xml:space="preserve">ndustry of </w:t>
      </w:r>
      <w:r>
        <w:rPr>
          <w:rFonts w:hint="default" w:ascii="Arial Regular" w:hAnsi="Arial Regular" w:cs="Arial Regular"/>
          <w:b/>
          <w:bCs/>
          <w:sz w:val="24"/>
          <w:szCs w:val="24"/>
          <w:lang w:val="de-DE"/>
        </w:rPr>
        <w:t>Spain</w:t>
      </w:r>
    </w:p>
    <w:p w14:paraId="37628776">
      <w:pPr>
        <w:spacing w:line="360" w:lineRule="auto"/>
        <w:jc w:val="both"/>
        <w:rPr>
          <w:rFonts w:hint="default" w:ascii="Arial Regular" w:hAnsi="Arial Regular" w:cs="Arial Regular"/>
          <w:b/>
          <w:bCs/>
          <w:sz w:val="24"/>
          <w:szCs w:val="24"/>
          <w:lang w:val="de-DE"/>
        </w:rPr>
      </w:pPr>
    </w:p>
    <w:tbl>
      <w:tblPr>
        <w:tblStyle w:val="12"/>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1872"/>
        <w:gridCol w:w="1872"/>
        <w:gridCol w:w="1872"/>
        <w:gridCol w:w="1872"/>
      </w:tblGrid>
      <w:tr w14:paraId="6BD9217E">
        <w:tc>
          <w:tcPr>
            <w:tcW w:w="1872" w:type="dxa"/>
          </w:tcPr>
          <w:p w14:paraId="11AD12EC">
            <w:pPr>
              <w:widowControl w:val="0"/>
              <w:spacing w:before="0" w:after="0" w:line="360" w:lineRule="auto"/>
              <w:jc w:val="center"/>
              <w:rPr>
                <w:rFonts w:hint="default" w:ascii="Arial Regular" w:hAnsi="Arial Regular" w:cs="Arial Regular"/>
                <w:b/>
                <w:bCs/>
                <w:sz w:val="24"/>
                <w:szCs w:val="24"/>
              </w:rPr>
            </w:pPr>
            <w:r>
              <w:rPr>
                <w:rFonts w:hint="default" w:ascii="Arial Regular" w:hAnsi="Arial Regular" w:cs="Arial Regular"/>
                <w:b/>
                <w:bCs/>
                <w:sz w:val="24"/>
                <w:szCs w:val="24"/>
              </w:rPr>
              <w:t>Company</w:t>
            </w:r>
          </w:p>
        </w:tc>
        <w:tc>
          <w:tcPr>
            <w:tcW w:w="1872" w:type="dxa"/>
          </w:tcPr>
          <w:p w14:paraId="37BB9ECF">
            <w:pPr>
              <w:widowControl w:val="0"/>
              <w:spacing w:before="0" w:after="0" w:line="360" w:lineRule="auto"/>
              <w:jc w:val="center"/>
              <w:rPr>
                <w:rFonts w:hint="default" w:ascii="Arial Regular" w:hAnsi="Arial Regular" w:cs="Arial Regular"/>
                <w:b/>
                <w:bCs/>
                <w:sz w:val="24"/>
                <w:szCs w:val="24"/>
              </w:rPr>
            </w:pPr>
            <w:r>
              <w:rPr>
                <w:rFonts w:hint="default" w:ascii="Arial Regular" w:hAnsi="Arial Regular" w:cs="Arial Regular"/>
                <w:b/>
                <w:bCs/>
                <w:sz w:val="24"/>
                <w:szCs w:val="24"/>
              </w:rPr>
              <w:t>Strategy</w:t>
            </w:r>
          </w:p>
        </w:tc>
        <w:tc>
          <w:tcPr>
            <w:tcW w:w="1872" w:type="dxa"/>
          </w:tcPr>
          <w:p w14:paraId="33C83215">
            <w:pPr>
              <w:widowControl w:val="0"/>
              <w:spacing w:before="0" w:after="0" w:line="360" w:lineRule="auto"/>
              <w:jc w:val="center"/>
              <w:rPr>
                <w:rFonts w:hint="default" w:ascii="Arial Regular" w:hAnsi="Arial Regular" w:cs="Arial Regular"/>
                <w:b/>
                <w:bCs/>
                <w:sz w:val="24"/>
                <w:szCs w:val="24"/>
              </w:rPr>
            </w:pPr>
            <w:r>
              <w:rPr>
                <w:rFonts w:hint="default" w:ascii="Arial Regular" w:hAnsi="Arial Regular" w:cs="Arial Regular"/>
                <w:b/>
                <w:bCs/>
                <w:sz w:val="24"/>
                <w:szCs w:val="24"/>
              </w:rPr>
              <w:t>Key Market Segments</w:t>
            </w:r>
          </w:p>
        </w:tc>
        <w:tc>
          <w:tcPr>
            <w:tcW w:w="1872" w:type="dxa"/>
          </w:tcPr>
          <w:p w14:paraId="22362307">
            <w:pPr>
              <w:widowControl w:val="0"/>
              <w:spacing w:before="0" w:after="0" w:line="360" w:lineRule="auto"/>
              <w:jc w:val="center"/>
              <w:rPr>
                <w:rFonts w:hint="default" w:ascii="Arial Regular" w:hAnsi="Arial Regular" w:cs="Arial Regular"/>
                <w:b/>
                <w:bCs/>
                <w:sz w:val="24"/>
                <w:szCs w:val="24"/>
                <w:lang w:val="de-DE"/>
              </w:rPr>
            </w:pPr>
            <w:r>
              <w:rPr>
                <w:rFonts w:hint="default" w:ascii="Arial Regular" w:hAnsi="Arial Regular" w:cs="Arial Regular"/>
                <w:b/>
                <w:bCs/>
                <w:sz w:val="24"/>
                <w:szCs w:val="24"/>
              </w:rPr>
              <w:t xml:space="preserve">Positioning in </w:t>
            </w:r>
            <w:r>
              <w:rPr>
                <w:rFonts w:hint="default" w:ascii="Arial Regular" w:hAnsi="Arial Regular" w:cs="Arial Regular"/>
                <w:b/>
                <w:bCs/>
                <w:sz w:val="24"/>
                <w:szCs w:val="24"/>
                <w:lang w:val="de-DE"/>
              </w:rPr>
              <w:t>Spain</w:t>
            </w:r>
          </w:p>
        </w:tc>
        <w:tc>
          <w:tcPr>
            <w:tcW w:w="1872" w:type="dxa"/>
          </w:tcPr>
          <w:p w14:paraId="11EA7D64">
            <w:pPr>
              <w:widowControl w:val="0"/>
              <w:spacing w:before="0" w:after="0" w:line="360" w:lineRule="auto"/>
              <w:jc w:val="center"/>
              <w:rPr>
                <w:rFonts w:hint="default" w:ascii="Arial Regular" w:hAnsi="Arial Regular" w:cs="Arial Regular"/>
                <w:b/>
                <w:bCs/>
                <w:sz w:val="24"/>
                <w:szCs w:val="24"/>
              </w:rPr>
            </w:pPr>
            <w:r>
              <w:rPr>
                <w:rFonts w:hint="default" w:ascii="Arial Regular" w:hAnsi="Arial Regular" w:cs="Arial Regular"/>
                <w:b/>
                <w:bCs/>
                <w:sz w:val="24"/>
                <w:szCs w:val="24"/>
              </w:rPr>
              <w:t>Competitive Strengths</w:t>
            </w:r>
          </w:p>
        </w:tc>
      </w:tr>
      <w:tr w14:paraId="2A4DA933">
        <w:tc>
          <w:tcPr>
            <w:tcW w:w="1872" w:type="dxa"/>
          </w:tcPr>
          <w:p w14:paraId="03E6D983">
            <w:pPr>
              <w:keepNext w:val="0"/>
              <w:keepLines w:val="0"/>
              <w:widowControl/>
              <w:suppressLineNumbers w:val="0"/>
              <w:spacing w:line="360" w:lineRule="auto"/>
              <w:jc w:val="both"/>
              <w:rPr>
                <w:rFonts w:hint="default" w:ascii="Arial Regular" w:hAnsi="Arial Regular" w:cs="Arial Regular"/>
                <w:b/>
                <w:bCs/>
                <w:sz w:val="24"/>
                <w:szCs w:val="24"/>
              </w:rPr>
            </w:pPr>
            <w:r>
              <w:rPr>
                <w:rFonts w:hint="default" w:ascii="Arial Regular" w:hAnsi="Arial Regular" w:eastAsia="SimSun" w:cs="Arial Regular"/>
                <w:kern w:val="0"/>
                <w:sz w:val="24"/>
                <w:szCs w:val="24"/>
                <w:lang w:val="en-US" w:eastAsia="zh-CN" w:bidi="ar"/>
              </w:rPr>
              <w:t>Meliá Hotels International</w:t>
            </w:r>
          </w:p>
        </w:tc>
        <w:tc>
          <w:tcPr>
            <w:tcW w:w="1872" w:type="dxa"/>
          </w:tcPr>
          <w:p w14:paraId="4A331815">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Asset-light expansion, brand segmentation and sustainability focus (Porter, 1990; Ivanov &amp; Webster, 2019)</w:t>
            </w:r>
          </w:p>
        </w:tc>
        <w:tc>
          <w:tcPr>
            <w:tcW w:w="1872" w:type="dxa"/>
          </w:tcPr>
          <w:p w14:paraId="252FBEE3">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Luxury, upscale leisure, business travellers</w:t>
            </w:r>
          </w:p>
        </w:tc>
        <w:tc>
          <w:tcPr>
            <w:tcW w:w="1872" w:type="dxa"/>
          </w:tcPr>
          <w:p w14:paraId="33BADB77">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Leading premium global hotel chain with strong international presence (Ivanov &amp; Webster, 2019)</w:t>
            </w:r>
          </w:p>
        </w:tc>
        <w:tc>
          <w:tcPr>
            <w:tcW w:w="1872" w:type="dxa"/>
          </w:tcPr>
          <w:p w14:paraId="75DC9504">
            <w:pPr>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eastAsia="SimSun" w:cs="Arial Regular"/>
                <w:kern w:val="0"/>
                <w:sz w:val="24"/>
                <w:szCs w:val="24"/>
                <w:lang w:val="en-US" w:eastAsia="zh-CN" w:bidi="ar"/>
              </w:rPr>
              <w:t>Strong brand equity, global reach, diversified portfolio, sustainability initiatives (Ivanov &amp; Webster, 2019)</w:t>
            </w:r>
          </w:p>
        </w:tc>
      </w:tr>
      <w:tr w14:paraId="427D1792">
        <w:tc>
          <w:tcPr>
            <w:tcW w:w="1872" w:type="dxa"/>
          </w:tcPr>
          <w:p w14:paraId="0060CEFD">
            <w:pPr>
              <w:keepNext w:val="0"/>
              <w:keepLines w:val="0"/>
              <w:widowControl/>
              <w:suppressLineNumbers w:val="0"/>
              <w:spacing w:line="360" w:lineRule="auto"/>
              <w:jc w:val="both"/>
              <w:rPr>
                <w:rFonts w:hint="default" w:ascii="Arial Regular" w:hAnsi="Arial Regular" w:cs="Arial Regular"/>
                <w:b/>
                <w:bCs/>
                <w:sz w:val="24"/>
                <w:szCs w:val="24"/>
              </w:rPr>
            </w:pPr>
            <w:r>
              <w:rPr>
                <w:rFonts w:hint="default" w:ascii="Arial Regular" w:hAnsi="Arial Regular" w:eastAsia="SimSun" w:cs="Arial Regular"/>
                <w:kern w:val="0"/>
                <w:sz w:val="24"/>
                <w:szCs w:val="24"/>
                <w:lang w:val="en-US" w:eastAsia="zh-CN" w:bidi="ar"/>
              </w:rPr>
              <w:t>Viajes El Corte Inglés</w:t>
            </w:r>
          </w:p>
        </w:tc>
        <w:tc>
          <w:tcPr>
            <w:tcW w:w="1872" w:type="dxa"/>
          </w:tcPr>
          <w:p w14:paraId="7814F56B">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Omnichannel distribution and service differentiation (Buhalis &amp; Laws, 2001)</w:t>
            </w:r>
          </w:p>
        </w:tc>
        <w:tc>
          <w:tcPr>
            <w:tcW w:w="1872" w:type="dxa"/>
          </w:tcPr>
          <w:p w14:paraId="4CEBD33E">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Leisure tourists, corporate travel, MICE</w:t>
            </w:r>
          </w:p>
        </w:tc>
        <w:tc>
          <w:tcPr>
            <w:tcW w:w="1872" w:type="dxa"/>
          </w:tcPr>
          <w:p w14:paraId="0E13CF7D">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Dominant domestic intermediary with strong offline presence (Buhalis &amp; Laws, 2001)</w:t>
            </w:r>
          </w:p>
        </w:tc>
        <w:tc>
          <w:tcPr>
            <w:tcW w:w="1872" w:type="dxa"/>
          </w:tcPr>
          <w:p w14:paraId="3D06A1E1">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Established customer trust, extensive network, strong service quality (Buhalis &amp; Laws, 2001)</w:t>
            </w:r>
          </w:p>
        </w:tc>
      </w:tr>
      <w:tr w14:paraId="130B1A52">
        <w:tc>
          <w:tcPr>
            <w:tcW w:w="1872" w:type="dxa"/>
          </w:tcPr>
          <w:p w14:paraId="6174126C">
            <w:pPr>
              <w:keepNext w:val="0"/>
              <w:keepLines w:val="0"/>
              <w:widowControl/>
              <w:suppressLineNumbers w:val="0"/>
              <w:spacing w:line="360" w:lineRule="auto"/>
              <w:jc w:val="both"/>
              <w:rPr>
                <w:rFonts w:hint="default" w:ascii="Arial Regular" w:hAnsi="Arial Regular" w:cs="Arial Regular"/>
                <w:b/>
                <w:bCs/>
                <w:sz w:val="24"/>
                <w:szCs w:val="24"/>
              </w:rPr>
            </w:pPr>
            <w:r>
              <w:rPr>
                <w:rFonts w:hint="default" w:ascii="Arial Regular" w:hAnsi="Arial Regular" w:eastAsia="SimSun" w:cs="Arial Regular"/>
                <w:kern w:val="0"/>
                <w:sz w:val="24"/>
                <w:szCs w:val="24"/>
                <w:lang w:val="en-US" w:eastAsia="zh-CN" w:bidi="ar"/>
              </w:rPr>
              <w:t>Grupo Hotusa</w:t>
            </w:r>
          </w:p>
        </w:tc>
        <w:tc>
          <w:tcPr>
            <w:tcW w:w="1872" w:type="dxa"/>
          </w:tcPr>
          <w:p w14:paraId="5335E5F5">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Hybrid model (ownership, franchising and distribution) (Ivanov &amp; Webster, 2019)</w:t>
            </w:r>
          </w:p>
        </w:tc>
        <w:tc>
          <w:tcPr>
            <w:tcW w:w="1872" w:type="dxa"/>
          </w:tcPr>
          <w:p w14:paraId="55C3BCD2">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Business travellers, cultural tourists</w:t>
            </w:r>
          </w:p>
        </w:tc>
        <w:tc>
          <w:tcPr>
            <w:tcW w:w="1872" w:type="dxa"/>
          </w:tcPr>
          <w:p w14:paraId="512FB5CE">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Strong mid-to-upscale urban positioning (Ivanov &amp; Webster, 2019)</w:t>
            </w:r>
          </w:p>
        </w:tc>
        <w:tc>
          <w:tcPr>
            <w:tcW w:w="1872" w:type="dxa"/>
          </w:tcPr>
          <w:p w14:paraId="7A7FC73B">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Strategic city locations, diversified operations, stable year-round demand (Ivanov &amp; Webster, 2019)</w:t>
            </w:r>
          </w:p>
        </w:tc>
      </w:tr>
      <w:tr w14:paraId="18BD8906">
        <w:tc>
          <w:tcPr>
            <w:tcW w:w="1872" w:type="dxa"/>
          </w:tcPr>
          <w:p w14:paraId="2BFD873E">
            <w:pPr>
              <w:keepNext w:val="0"/>
              <w:keepLines w:val="0"/>
              <w:widowControl/>
              <w:suppressLineNumbers w:val="0"/>
              <w:spacing w:line="360" w:lineRule="auto"/>
              <w:jc w:val="both"/>
              <w:rPr>
                <w:rFonts w:hint="default" w:ascii="Arial Regular" w:hAnsi="Arial Regular" w:cs="Arial Regular"/>
                <w:b/>
                <w:bCs/>
                <w:sz w:val="24"/>
                <w:szCs w:val="24"/>
              </w:rPr>
            </w:pPr>
            <w:r>
              <w:rPr>
                <w:rFonts w:hint="default" w:ascii="Arial Regular" w:hAnsi="Arial Regular" w:eastAsia="SimSun" w:cs="Arial Regular"/>
                <w:kern w:val="0"/>
                <w:sz w:val="24"/>
                <w:szCs w:val="24"/>
                <w:lang w:val="en-US" w:eastAsia="zh-CN" w:bidi="ar"/>
              </w:rPr>
              <w:t>RIU Hotels &amp; Resorts</w:t>
            </w:r>
          </w:p>
        </w:tc>
        <w:tc>
          <w:tcPr>
            <w:tcW w:w="1872" w:type="dxa"/>
          </w:tcPr>
          <w:p w14:paraId="383A2BFE">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Standardised all-inclusive resort model (Porter, 1990; Ivanov &amp; Webster, 2019)</w:t>
            </w:r>
          </w:p>
        </w:tc>
        <w:tc>
          <w:tcPr>
            <w:tcW w:w="1872" w:type="dxa"/>
          </w:tcPr>
          <w:p w14:paraId="2AB67A47">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Mass leisure, holiday tourists</w:t>
            </w:r>
          </w:p>
        </w:tc>
        <w:tc>
          <w:tcPr>
            <w:tcW w:w="1872" w:type="dxa"/>
          </w:tcPr>
          <w:p w14:paraId="357DC8D1">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Leader in all-inclusive resort segment (Ivanov &amp; Webster, 2019)</w:t>
            </w:r>
          </w:p>
        </w:tc>
        <w:tc>
          <w:tcPr>
            <w:tcW w:w="1872" w:type="dxa"/>
          </w:tcPr>
          <w:p w14:paraId="358DB74B">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Economies of scale, operational efficiency, strong partnerships with tour operators (Ivanov &amp; Webster, 2019)</w:t>
            </w:r>
          </w:p>
        </w:tc>
      </w:tr>
      <w:tr w14:paraId="5EDA6FEA">
        <w:tc>
          <w:tcPr>
            <w:tcW w:w="1872" w:type="dxa"/>
          </w:tcPr>
          <w:p w14:paraId="3F566551">
            <w:pPr>
              <w:keepNext w:val="0"/>
              <w:keepLines w:val="0"/>
              <w:widowControl/>
              <w:suppressLineNumbers w:val="0"/>
              <w:spacing w:line="360" w:lineRule="auto"/>
              <w:jc w:val="both"/>
              <w:rPr>
                <w:rFonts w:hint="default" w:ascii="Arial Regular" w:hAnsi="Arial Regular" w:eastAsia="SimSun" w:cs="Arial Regular"/>
                <w:kern w:val="0"/>
                <w:sz w:val="24"/>
                <w:szCs w:val="24"/>
                <w:lang w:val="en-US" w:eastAsia="zh-CN" w:bidi="ar"/>
              </w:rPr>
            </w:pPr>
            <w:r>
              <w:rPr>
                <w:rFonts w:hint="default" w:ascii="Arial Regular" w:hAnsi="Arial Regular" w:eastAsia="SimSun" w:cs="Arial Regular"/>
                <w:kern w:val="0"/>
                <w:sz w:val="24"/>
                <w:szCs w:val="24"/>
                <w:lang w:val="en-US" w:eastAsia="zh-CN" w:bidi="ar"/>
              </w:rPr>
              <w:t>eDreams ODIGEO</w:t>
            </w:r>
          </w:p>
        </w:tc>
        <w:tc>
          <w:tcPr>
            <w:tcW w:w="1872" w:type="dxa"/>
          </w:tcPr>
          <w:p w14:paraId="3418A8B3">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Digital platform strategy, price comparison and global reach (Xiang, Magnini &amp; Fesenmaier, 2015)</w:t>
            </w:r>
          </w:p>
        </w:tc>
        <w:tc>
          <w:tcPr>
            <w:tcW w:w="1872" w:type="dxa"/>
          </w:tcPr>
          <w:p w14:paraId="3CA88566">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Price-sensitive travellers, online users</w:t>
            </w:r>
          </w:p>
        </w:tc>
        <w:tc>
          <w:tcPr>
            <w:tcW w:w="1872" w:type="dxa"/>
          </w:tcPr>
          <w:p w14:paraId="5DD4ED1C">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Leading online travel agency with global reach (Xiang et al., 2015)</w:t>
            </w:r>
          </w:p>
        </w:tc>
        <w:tc>
          <w:tcPr>
            <w:tcW w:w="1872" w:type="dxa"/>
          </w:tcPr>
          <w:p w14:paraId="00F14B73">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Scalability, technological capability, wide customer base, cost efficiency (Xiang et al., 2015)</w:t>
            </w:r>
          </w:p>
        </w:tc>
      </w:tr>
    </w:tbl>
    <w:p w14:paraId="287FD60C">
      <w:pPr>
        <w:spacing w:line="360" w:lineRule="auto"/>
        <w:jc w:val="both"/>
        <w:rPr>
          <w:rFonts w:hint="default" w:ascii="Arial Regular" w:hAnsi="Arial Regular" w:cs="Arial Regular"/>
          <w:b/>
          <w:bCs/>
          <w:sz w:val="24"/>
          <w:szCs w:val="24"/>
        </w:rPr>
      </w:pPr>
    </w:p>
    <w:p w14:paraId="29BF7864">
      <w:pPr>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Figure 2</w:t>
      </w:r>
      <w:r>
        <w:rPr>
          <w:rFonts w:hint="default" w:ascii="Arial Regular" w:hAnsi="Arial Regular" w:cs="Arial Regular"/>
          <w:b w:val="0"/>
          <w:bCs w:val="0"/>
          <w:sz w:val="24"/>
          <w:szCs w:val="24"/>
        </w:rPr>
        <w:t>: Relative positioning of key companie</w:t>
      </w:r>
      <w:r>
        <w:rPr>
          <w:rFonts w:hint="default" w:ascii="Arial Regular" w:hAnsi="Arial Regular" w:cs="Arial Regular"/>
          <w:b w:val="0"/>
          <w:bCs w:val="0"/>
          <w:sz w:val="24"/>
          <w:szCs w:val="24"/>
          <w:lang w:val="de-DE"/>
        </w:rPr>
        <w:t>s (Source: Self Developed)</w:t>
      </w:r>
    </w:p>
    <w:p w14:paraId="28F53C3D">
      <w:pPr>
        <w:pStyle w:val="10"/>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sz w:val="24"/>
          <w:szCs w:val="24"/>
        </w:rPr>
        <w:t xml:space="preserve">Overall, hospitality firms such as Meliá and RIU compete through differentiation and service quality, while intermediaries like Viajes El Corte Inglés and eDreams focus on distribution efficiency and customer access (Buhalis &amp; Laws, 2001; Xiang et al., 2015). This highlights a segmented yet highly competitive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in Spain (Ivanov &amp; Webster, 2019).</w:t>
      </w:r>
      <w:r>
        <w:rPr>
          <w:rFonts w:hint="default" w:ascii="Arial Regular" w:hAnsi="Arial Regular" w:cs="Arial Regular"/>
          <w:sz w:val="24"/>
          <w:szCs w:val="24"/>
          <w:lang w:val="de-DE"/>
        </w:rPr>
        <w:t xml:space="preserve"> </w:t>
      </w:r>
    </w:p>
    <w:p w14:paraId="128E0A0E">
      <w:pPr>
        <w:numPr>
          <w:ilvl w:val="0"/>
          <w:numId w:val="1"/>
        </w:numPr>
        <w:spacing w:line="360" w:lineRule="auto"/>
        <w:ind w:left="0" w:leftChars="0" w:firstLine="0" w:firstLineChars="0"/>
        <w:jc w:val="both"/>
        <w:rPr>
          <w:rFonts w:hint="default" w:ascii="Arial Regular" w:hAnsi="Arial Regular" w:cs="Arial Regular"/>
          <w:b/>
          <w:bCs/>
          <w:sz w:val="24"/>
          <w:szCs w:val="24"/>
        </w:rPr>
      </w:pPr>
      <w:r>
        <w:rPr>
          <w:rFonts w:hint="default" w:ascii="Arial Regular" w:hAnsi="Arial Regular" w:cs="Arial Regular"/>
          <w:b/>
          <w:bCs/>
          <w:sz w:val="24"/>
          <w:szCs w:val="24"/>
        </w:rPr>
        <w:t>Michael Porter’s Diamond Model</w:t>
      </w:r>
    </w:p>
    <w:p w14:paraId="56F8AC2B">
      <w:pPr>
        <w:pStyle w:val="10"/>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Michael Porter’s Diamond Model of National Advantage explains how a nation’s global competitiveness is shaped by four interrelated determinants—factor conditions, demand conditions, related and supporting industries, and firm strategy, structure and rivalry—which collectively influence firms’ ability to innovate and compete internationally (Porter, 1990). Applying this framework to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provides a critical understanding of its sustained global leadership.</w:t>
      </w:r>
    </w:p>
    <w:p w14:paraId="38992B65">
      <w:pPr>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3801110" cy="2852420"/>
            <wp:effectExtent l="0" t="0" r="8890" b="17780"/>
            <wp:docPr id="7" name="Picture 7" descr="/Users/anikaayub/Downloads/Existing Product (4).pngExisting Produ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Users/anikaayub/Downloads/Existing Product (4).pngExisting Product (4)"/>
                    <pic:cNvPicPr>
                      <a:picLocks noChangeAspect="1"/>
                    </pic:cNvPicPr>
                  </pic:nvPicPr>
                  <pic:blipFill>
                    <a:blip r:embed="rId9"/>
                    <a:srcRect l="33" r="33"/>
                    <a:stretch>
                      <a:fillRect/>
                    </a:stretch>
                  </pic:blipFill>
                  <pic:spPr>
                    <a:xfrm>
                      <a:off x="0" y="0"/>
                      <a:ext cx="3801110" cy="2852420"/>
                    </a:xfrm>
                    <a:prstGeom prst="rect">
                      <a:avLst/>
                    </a:prstGeom>
                  </pic:spPr>
                </pic:pic>
              </a:graphicData>
            </a:graphic>
          </wp:inline>
        </w:drawing>
      </w:r>
    </w:p>
    <w:p w14:paraId="5CB80443">
      <w:pPr>
        <w:spacing w:line="360" w:lineRule="auto"/>
        <w:jc w:val="center"/>
        <w:rPr>
          <w:rFonts w:hint="default" w:ascii="Arial Regular" w:hAnsi="Arial Regular" w:cs="Arial Regular"/>
          <w:b w:val="0"/>
          <w:bCs w:val="0"/>
          <w:sz w:val="24"/>
          <w:szCs w:val="24"/>
        </w:rPr>
      </w:pPr>
      <w:r>
        <w:rPr>
          <w:rFonts w:hint="default" w:ascii="Arial Regular" w:hAnsi="Arial Regular" w:cs="Arial Regular"/>
          <w:sz w:val="24"/>
          <w:szCs w:val="24"/>
          <w:lang w:val="de-DE"/>
        </w:rPr>
        <w:t>Figure 3: Porter’s Diamond Model Analysis (Source: Self Developed)</w:t>
      </w:r>
    </w:p>
    <w:p w14:paraId="087BF0B3">
      <w:pPr>
        <w:pStyle w:val="3"/>
        <w:keepNext w:val="0"/>
        <w:keepLines w:val="0"/>
        <w:widowControl/>
        <w:numPr>
          <w:ilvl w:val="0"/>
          <w:numId w:val="2"/>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Factor Conditions</w:t>
      </w:r>
    </w:p>
    <w:p w14:paraId="436B7C1E">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Factor conditions refer to a nation’s endowment of production factors, including natural resources, infrastructure, human capital and technological capabilities (Porter, 1990). Spain possesses strong basic factors, notably its Mediterranean climate, extensive coastline, diverse geography and rich cultural heritage. These attributes underpin its long-standing dominance in sun-and-sea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and cultural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markets (Díaz-Muñoz, 2019). The country’s UNESCO-listed heritage sites and globally recognised festivals reinforce its destination attractiveness.</w:t>
      </w:r>
    </w:p>
    <w:p w14:paraId="72ECD0C6">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Beyond natural endowments, Spain has invested significantly in advanced factors. High-speed rail (AVE), modernised airports and integrated highway systems enhance accessibility and inter-regional connectivity (Graham, Papatheodorou &amp; Forsyth, 2019). Advanced hospitality training institutions and experienced service-sector labour further strengthen service quality and operational efficiency (Ivanov &amp; Webster, 2019). Such advanced factors are crucial for sustaining competitive advantage, as Porter (1990) argues that innovation and upgrading, rather than inherited resources alone, drive long-term success.</w:t>
      </w:r>
    </w:p>
    <w:p w14:paraId="429E0436">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However, heavy reliance on climate-sensitive coastal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exposes Spain to seasonality and environmental stress. Over</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 cities such as Barcelona demonstrates the limits of resource-based competitiveness if not managed sustainably (Richards, 2020). Therefore, while Spain’s factor conditions are strong, their sustainability depends on continued investment in environmental management, digitalisation and diversification.</w:t>
      </w:r>
    </w:p>
    <w:p w14:paraId="2602D295">
      <w:pPr>
        <w:pStyle w:val="3"/>
        <w:keepNext w:val="0"/>
        <w:keepLines w:val="0"/>
        <w:widowControl/>
        <w:numPr>
          <w:ilvl w:val="0"/>
          <w:numId w:val="2"/>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Demand Conditions</w:t>
      </w:r>
    </w:p>
    <w:p w14:paraId="2089E51D">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Demand conditions relate to the size, sophistication and diversity of home and international markets (Porter, 1990). Spain benefits from a substantial domestic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market, which provides resilience during international downturns (Bello &amp; Roig, 2017). Domestic consumers increasingly demand higher-quality, experiential and sustainable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products, encouraging firms to innovate beyond standardised mass packages.</w:t>
      </w:r>
    </w:p>
    <w:p w14:paraId="28190E9A">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Internationally, Spain is consistently ranked among the world’s most visited destinations, with diversified source markets across Europe and growing long-haul demand (UNWTO, 2020). Exposure to sophisticated European travellers exerts competitive pressure on Spanish firms to maintain high service standards, multilingual capabilities and differentiated offerings. Porter (1990) suggests that demanding customers drive innovation, and Spain’s need to satisfy culturally diverse visitors fosters adaptability.</w:t>
      </w:r>
    </w:p>
    <w:p w14:paraId="5FE4B011">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Nevertheless, dependence on a limited number of European markets, particularly the UK and Germany, creates vulnerability to economic or political disruptions in those countries. The COVID-19 pandemic illustrated how external demand shocks can significantly reduce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flows (García &amp; García, 2022). Hence, while demand conditions stimulate competitiveness, concentration risks persist.</w:t>
      </w:r>
    </w:p>
    <w:p w14:paraId="0E058B0F">
      <w:pPr>
        <w:pStyle w:val="3"/>
        <w:keepNext w:val="0"/>
        <w:keepLines w:val="0"/>
        <w:widowControl/>
        <w:numPr>
          <w:ilvl w:val="0"/>
          <w:numId w:val="2"/>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Related and Supporting Industries</w:t>
      </w:r>
    </w:p>
    <w:p w14:paraId="33B34276">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Competitive industries are reinforced by strong domestic clusters of related sectors (Porter, 1990).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benefits from a well-developed transportation sector, including globally connected airlines and efficient airport infrastructure (Graham et al., 2019). The integration of low-cost carriers has stimulated inbound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by increasing affordability and route density (O’Connell &amp; Williams, 2016).</w:t>
      </w:r>
    </w:p>
    <w:p w14:paraId="1D035750">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Spain’s gastronomy sector, recognised for culinary innovation and regional diversity, strengthens gastronomic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and destination branding (Richards, 2020). Construction and real estate industries have historically supported large-scale resort development, particularly in coastal regions (Bello &amp; Roig, 2017). Furthermore, digital platforms and online travel agencies enhance distribution efficiency and global reach.</w:t>
      </w:r>
    </w:p>
    <w:p w14:paraId="05910EE7">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Cluster effects are evident in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-intensive regions such as the Balearic Islands and Catalonia, where hotels, entertainment providers and transport operators interact closely. Porter (1990) argues that such clusters promote knowledge spillovers and productivity gains. However, excessive concentration can also generate environmental degradation and social resistance, threatening long-term sustainability (Richards, 2020). Thus, while related industries enhance competitiveness, spatial imbalances remain a challenge.</w:t>
      </w:r>
    </w:p>
    <w:p w14:paraId="3A366B2E">
      <w:pPr>
        <w:pStyle w:val="3"/>
        <w:keepNext w:val="0"/>
        <w:keepLines w:val="0"/>
        <w:widowControl/>
        <w:numPr>
          <w:ilvl w:val="0"/>
          <w:numId w:val="2"/>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Firm Strategy, Structure and Rivalry</w:t>
      </w:r>
    </w:p>
    <w:p w14:paraId="135E92AE">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Firm strategy and domestic rivalry are central to national advantage (Porter, 1990).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sector is characterised by strong competition among domestic hotel chains, international brands and low-cost airlines. Domestic firms such as Meliá and NH Hotel Group have pursued internationalisation strategies, sustainability certification and brand segmentation to maintain global relevance (Ivanov &amp; Webster, 2019). Their expansion into Latin America and Asia demonstrates strategic upgrading.</w:t>
      </w:r>
    </w:p>
    <w:p w14:paraId="3FE3D432">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Intense rivalry in the airline sector, particularly between full-service carriers and low-cost operators, has driven cost efficiencies and route expansion (O’Connell &amp; Williams, 2016). Competition among accommodation providers has stimulated innovation in service differentiation, loyalty programmes and digital transformation. Porter (1990) maintains that such rivalry fosters productivity and global competitiveness.</w:t>
      </w:r>
    </w:p>
    <w:p w14:paraId="6C8083B5">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However, smaller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enterprises, which form a significant proportion of Spain’s industry, may lack capital and technological capacity to compete with multinational corporations. The uneven distribution of resources within the industry may weaken aggregate competitiveness if SMEs cannot upgrade effectively. Additionally, pressure to reduce prices in mass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segments risks eroding profitability and brand value.</w:t>
      </w:r>
    </w:p>
    <w:p w14:paraId="23D197B1">
      <w:pPr>
        <w:pStyle w:val="3"/>
        <w:keepNext w:val="0"/>
        <w:keepLines w:val="0"/>
        <w:widowControl/>
        <w:numPr>
          <w:ilvl w:val="0"/>
          <w:numId w:val="0"/>
        </w:numPr>
        <w:suppressLineNumbers w:val="0"/>
        <w:spacing w:line="360" w:lineRule="auto"/>
        <w:ind w:leftChars="0"/>
        <w:jc w:val="both"/>
        <w:outlineLvl w:val="2"/>
        <w:rPr>
          <w:rFonts w:hint="default" w:ascii="Arial Regular" w:hAnsi="Arial Regular" w:cs="Arial Regular"/>
          <w:b/>
          <w:bCs/>
          <w:sz w:val="24"/>
          <w:szCs w:val="24"/>
        </w:rPr>
      </w:pPr>
      <w:r>
        <w:rPr>
          <w:rFonts w:hint="default" w:ascii="Arial Regular" w:hAnsi="Arial Regular" w:cs="Arial Regular"/>
          <w:b/>
          <w:bCs/>
          <w:sz w:val="24"/>
          <w:szCs w:val="24"/>
        </w:rPr>
        <w:t>Critical Evaluation</w:t>
      </w:r>
    </w:p>
    <w:p w14:paraId="7E49A8ED">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Applying Porter’s Diamond reveals that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competitiveness is underpinned by strong natural and advanced factors, sophisticated international demand, robust supporting industries and dynamic domestic rivalry. The interaction among these determinants reinforces Spain’s global position as a leading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destination.</w:t>
      </w:r>
    </w:p>
    <w:p w14:paraId="50157002">
      <w:pPr>
        <w:pStyle w:val="10"/>
        <w:keepNext w:val="0"/>
        <w:keepLines w:val="0"/>
        <w:widowControl/>
        <w:suppressLineNumbers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t>Nevertheless, structural vulnerabilities persist. Environmental degradation, seasonality, market concentration and over</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challenge sustainable growth. Porter (1990) emphasises that competitive advantage is dynamic and requires continuous upgrading. Spain’s long-term competitiveness will depend on diversifying markets, investing in sustainable practices and strengthening SME innovation capacity.</w:t>
      </w:r>
      <w:r>
        <w:rPr>
          <w:rFonts w:hint="default" w:ascii="Arial Regular" w:hAnsi="Arial Regular" w:cs="Arial Regular"/>
          <w:b w:val="0"/>
          <w:bCs w:val="0"/>
          <w:sz w:val="24"/>
          <w:szCs w:val="24"/>
          <w:lang w:val="de-DE"/>
        </w:rPr>
        <w:t xml:space="preserve"> </w:t>
      </w:r>
    </w:p>
    <w:p w14:paraId="382E86CF">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Overall, the Diamond Model demonstrates that Spain possesses a resilient and multifaceted competitive base in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yet maintaining global leadership requires strategic adaptation to environmental, economic and demand-side changes.</w:t>
      </w:r>
    </w:p>
    <w:p w14:paraId="255B90DC">
      <w:pPr>
        <w:numPr>
          <w:ilvl w:val="0"/>
          <w:numId w:val="1"/>
        </w:numPr>
        <w:spacing w:line="360" w:lineRule="auto"/>
        <w:ind w:left="0" w:leftChars="0" w:firstLine="0" w:firstLineChars="0"/>
        <w:jc w:val="both"/>
        <w:rPr>
          <w:rFonts w:hint="default" w:ascii="Arial Regular" w:hAnsi="Arial Regular" w:cs="Arial Regular"/>
          <w:b/>
          <w:bCs/>
          <w:sz w:val="24"/>
          <w:szCs w:val="24"/>
          <w:lang w:val="de-DE"/>
        </w:rPr>
      </w:pPr>
      <w:r>
        <w:rPr>
          <w:rFonts w:hint="default" w:ascii="Arial Regular" w:hAnsi="Arial Regular" w:cs="Arial Regular"/>
          <w:b/>
          <w:bCs/>
          <w:sz w:val="24"/>
          <w:szCs w:val="24"/>
        </w:rPr>
        <w:t>Evaluation of factors impacting the</w:t>
      </w:r>
      <w:r>
        <w:rPr>
          <w:rFonts w:hint="default" w:ascii="Arial Regular" w:hAnsi="Arial Regular" w:cs="Arial Regular"/>
          <w:b/>
          <w:bCs/>
          <w:sz w:val="24"/>
          <w:szCs w:val="24"/>
          <w:lang w:val="de-DE"/>
        </w:rPr>
        <w:t xml:space="preserve"> </w:t>
      </w:r>
      <w:r>
        <w:rPr>
          <w:rFonts w:hint="default" w:ascii="Arial Regular" w:hAnsi="Arial Regular" w:cs="Arial Regular"/>
          <w:b/>
          <w:bCs/>
          <w:sz w:val="24"/>
          <w:szCs w:val="24"/>
        </w:rPr>
        <w:t>Meliá</w:t>
      </w:r>
      <w:r>
        <w:rPr>
          <w:rFonts w:hint="default" w:ascii="Arial Regular" w:hAnsi="Arial Regular" w:cs="Arial Regular"/>
          <w:b/>
          <w:bCs/>
          <w:sz w:val="24"/>
          <w:szCs w:val="24"/>
          <w:lang w:val="de-DE"/>
        </w:rPr>
        <w:t xml:space="preserve"> Hotels International </w:t>
      </w:r>
      <w:r>
        <w:rPr>
          <w:rFonts w:hint="default" w:ascii="Arial Regular" w:hAnsi="Arial Regular" w:cs="Arial Regular"/>
          <w:b/>
          <w:bCs/>
          <w:sz w:val="24"/>
          <w:szCs w:val="24"/>
        </w:rPr>
        <w:t xml:space="preserve">in </w:t>
      </w:r>
      <w:r>
        <w:rPr>
          <w:rFonts w:hint="default" w:ascii="Arial Regular" w:hAnsi="Arial Regular" w:cs="Arial Regular"/>
          <w:b/>
          <w:bCs/>
          <w:sz w:val="24"/>
          <w:szCs w:val="24"/>
          <w:lang w:val="de-DE"/>
        </w:rPr>
        <w:t>Spain</w:t>
      </w:r>
    </w:p>
    <w:p w14:paraId="60C1697F">
      <w:pPr>
        <w:pStyle w:val="2"/>
        <w:keepNext w:val="0"/>
        <w:keepLines w:val="0"/>
        <w:widowControl/>
        <w:numPr>
          <w:ilvl w:val="0"/>
          <w:numId w:val="0"/>
        </w:numPr>
        <w:suppressLineNumbers w:val="0"/>
        <w:spacing w:line="360" w:lineRule="auto"/>
        <w:ind w:leftChars="0"/>
        <w:jc w:val="both"/>
        <w:outlineLvl w:val="1"/>
        <w:rPr>
          <w:rFonts w:hint="default" w:ascii="Arial Regular" w:hAnsi="Arial Regular" w:cs="Arial Regular"/>
          <w:b/>
          <w:bCs/>
          <w:sz w:val="24"/>
          <w:szCs w:val="24"/>
        </w:rPr>
      </w:pPr>
      <w:r>
        <w:rPr>
          <w:rFonts w:hint="default" w:ascii="Arial Regular" w:hAnsi="Arial Regular" w:cs="Arial Regular"/>
          <w:b/>
          <w:bCs/>
          <w:sz w:val="24"/>
          <w:szCs w:val="24"/>
          <w:lang w:val="de-DE"/>
        </w:rPr>
        <w:t xml:space="preserve">4.1 </w:t>
      </w:r>
      <w:r>
        <w:rPr>
          <w:rFonts w:hint="default" w:ascii="Arial Regular" w:hAnsi="Arial Regular" w:cs="Arial Regular"/>
          <w:b/>
          <w:bCs/>
          <w:sz w:val="24"/>
          <w:szCs w:val="24"/>
        </w:rPr>
        <w:t xml:space="preserve">PESTEL Analysis </w:t>
      </w:r>
    </w:p>
    <w:p w14:paraId="16533AAF">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PESTEL analysis is a strategic framework used to evaluate the </w:t>
      </w:r>
      <w:r>
        <w:rPr>
          <w:rStyle w:val="11"/>
          <w:rFonts w:hint="default" w:ascii="Arial Regular" w:hAnsi="Arial Regular" w:cs="Arial Regular"/>
          <w:b w:val="0"/>
          <w:bCs w:val="0"/>
          <w:sz w:val="24"/>
          <w:szCs w:val="24"/>
        </w:rPr>
        <w:t>macro-environmental factors—political, economic, social, technological, environmental and legal—that influence an organisation’s performance and strategic decision-making</w:t>
      </w:r>
      <w:r>
        <w:rPr>
          <w:rFonts w:hint="default" w:ascii="Arial Regular" w:hAnsi="Arial Regular" w:cs="Arial Regular"/>
          <w:b w:val="0"/>
          <w:bCs w:val="0"/>
          <w:sz w:val="24"/>
          <w:szCs w:val="24"/>
        </w:rPr>
        <w:t xml:space="preserve"> (Johnson, Scholes &amp; Whittington, 2017). Applying this framework enables a critical evaluation of the external factors shaping </w:t>
      </w:r>
      <w:r>
        <w:rPr>
          <w:rStyle w:val="11"/>
          <w:rFonts w:hint="default" w:ascii="Arial Regular" w:hAnsi="Arial Regular" w:cs="Arial Regular"/>
          <w:b w:val="0"/>
          <w:bCs w:val="0"/>
          <w:sz w:val="24"/>
          <w:szCs w:val="24"/>
        </w:rPr>
        <w:t>Meliá Hotels International’s</w:t>
      </w:r>
      <w:r>
        <w:rPr>
          <w:rFonts w:hint="default" w:ascii="Arial Regular" w:hAnsi="Arial Regular" w:cs="Arial Regular"/>
          <w:b w:val="0"/>
          <w:bCs w:val="0"/>
          <w:sz w:val="24"/>
          <w:szCs w:val="24"/>
        </w:rPr>
        <w:t xml:space="preserve"> operations in Spain.</w:t>
      </w:r>
    </w:p>
    <w:p w14:paraId="36582B53">
      <w:pPr>
        <w:spacing w:line="360" w:lineRule="auto"/>
        <w:jc w:val="center"/>
        <w:rPr>
          <w:rFonts w:hint="default" w:ascii="Arial Regular" w:hAnsi="Arial Regular" w:cs="Arial Regular"/>
          <w:sz w:val="24"/>
          <w:szCs w:val="24"/>
        </w:rPr>
      </w:pPr>
      <w:r>
        <w:rPr>
          <w:rFonts w:hint="default" w:ascii="Arial Regular" w:hAnsi="Arial Regular" w:cs="Arial Regular"/>
          <w:sz w:val="24"/>
          <w:szCs w:val="24"/>
        </w:rPr>
        <w:drawing>
          <wp:inline distT="0" distB="0" distL="114300" distR="114300">
            <wp:extent cx="3800475" cy="2850515"/>
            <wp:effectExtent l="0" t="0" r="9525" b="19685"/>
            <wp:docPr id="6" name="Picture 6" descr="/Users/anikaayub/Downloads/Existing Product (1)/2.p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sers/anikaayub/Downloads/Existing Product (1)/2.png2"/>
                    <pic:cNvPicPr>
                      <a:picLocks noChangeAspect="1"/>
                    </pic:cNvPicPr>
                  </pic:nvPicPr>
                  <pic:blipFill>
                    <a:blip r:embed="rId10"/>
                    <a:srcRect t="9" b="9"/>
                    <a:stretch>
                      <a:fillRect/>
                    </a:stretch>
                  </pic:blipFill>
                  <pic:spPr>
                    <a:xfrm>
                      <a:off x="0" y="0"/>
                      <a:ext cx="3800475" cy="2850515"/>
                    </a:xfrm>
                    <a:prstGeom prst="rect">
                      <a:avLst/>
                    </a:prstGeom>
                  </pic:spPr>
                </pic:pic>
              </a:graphicData>
            </a:graphic>
          </wp:inline>
        </w:drawing>
      </w:r>
    </w:p>
    <w:p w14:paraId="2A1D3F0B">
      <w:pPr>
        <w:spacing w:line="360" w:lineRule="auto"/>
        <w:jc w:val="center"/>
        <w:rPr>
          <w:rStyle w:val="11"/>
          <w:rFonts w:hint="default" w:ascii="Arial Regular" w:hAnsi="Arial Regular" w:cs="Arial Regular"/>
          <w:b w:val="0"/>
          <w:bCs w:val="0"/>
          <w:sz w:val="24"/>
          <w:szCs w:val="24"/>
          <w:lang w:val="de-DE"/>
        </w:rPr>
      </w:pPr>
      <w:r>
        <w:rPr>
          <w:rFonts w:hint="default" w:ascii="Arial Regular" w:hAnsi="Arial Regular" w:cs="Arial Regular"/>
          <w:sz w:val="24"/>
          <w:szCs w:val="24"/>
          <w:lang w:val="de-DE"/>
        </w:rPr>
        <w:t xml:space="preserve">Figure 4: PESTEL Analysis of </w:t>
      </w:r>
      <w:r>
        <w:rPr>
          <w:rStyle w:val="11"/>
          <w:rFonts w:hint="default" w:ascii="Arial Regular" w:hAnsi="Arial Regular" w:cs="Arial Regular"/>
          <w:b w:val="0"/>
          <w:bCs w:val="0"/>
          <w:sz w:val="24"/>
          <w:szCs w:val="24"/>
        </w:rPr>
        <w:t>Meliá Hotels International</w:t>
      </w:r>
      <w:r>
        <w:rPr>
          <w:rStyle w:val="11"/>
          <w:rFonts w:hint="default" w:ascii="Arial Regular" w:hAnsi="Arial Regular" w:cs="Arial Regular"/>
          <w:b w:val="0"/>
          <w:bCs w:val="0"/>
          <w:sz w:val="24"/>
          <w:szCs w:val="24"/>
          <w:lang w:val="de-DE"/>
        </w:rPr>
        <w:t xml:space="preserve"> (Self Developed)</w:t>
      </w:r>
    </w:p>
    <w:p w14:paraId="42D0B485">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Political Factors</w:t>
      </w:r>
    </w:p>
    <w:p w14:paraId="76588EFA">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Spain provides a relatively stable political environment, which supports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development and long-term investment (Porter, 1990). Government policies strongly support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due to its contribution to GDP and employment, encouraging infrastructure investment and international promotion (Dwyer, Forsyth &amp; Dwyer, 2020). This creates favourable conditions for Meliá’s expansion and operational stability.</w:t>
      </w:r>
    </w:p>
    <w:p w14:paraId="32F8BF3C">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increasing political attention to over</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has led to stricter local regulations in destinations such as Barcelona and the Balearic Islands (Richards, 2020). These include potential limits on tourist numbers and tighter zoning laws, which may restrict hotel expansion. Therefore, while political stability enhances market attractiveness, regulatory tightening may constrain future growth (Porter, 1990).</w:t>
      </w:r>
    </w:p>
    <w:p w14:paraId="2557C294">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Economic Factors</w:t>
      </w:r>
    </w:p>
    <w:p w14:paraId="03664EEF">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demand is highly sensitive to economic conditions, as it is largely discretionary spending (Dwyer et al., 2020). Spain’s strong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-driven economy supports Meliá’s revenue growth, particularly through high international arrivals and spending. Improved performance indicators such as occupancy rates and revenue per available room reflect this favourable environment (Ivanov &amp; Webster, 2019).</w:t>
      </w:r>
    </w:p>
    <w:p w14:paraId="66821A40">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Nevertheless, Meliá faces exposure to economic volatility. Inflation, rising labour costs and energy prices increase operational expenses, while global economic downturns can reduce travel demand (Dwyer et al., 2020). Additionally, heavy reliance on the Spanish and European markets increases vulnerability to regional economic shocks. Thus, although the economic environment is attractive, it remains cyclical and risk-prone.</w:t>
      </w:r>
    </w:p>
    <w:p w14:paraId="5E13ADEF">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Social (Cultural) Factors</w:t>
      </w:r>
    </w:p>
    <w:p w14:paraId="2D657917">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Social and cultural factors significantly influence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demand. Spain’s rich cultural heritage, gastronomy and lifestyle enhance its global appeal, supporting sustained tourist inflows (Richards, 2020). Changing consumer preferences towards experiential and sustainable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create opportunities for Meliá to differentiate its offerings and strengthen brand positioning.</w:t>
      </w:r>
    </w:p>
    <w:p w14:paraId="2BBBF422">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rising anti-</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sentiment in major cities, driven by concerns over housing costs and overcrowding, presents challenges (Richards, 2020). This may lead to stricter regulations and reputational risks for large hotel chains. Additionally, labour shortages in the hospitality sector, partly due to rising living costs, create operational difficulties (Ivanov &amp; Webster, 2019). Therefore, while cultural attractiveness supports demand, social tensions may negatively impact long-term sustainability.</w:t>
      </w:r>
    </w:p>
    <w:p w14:paraId="79B8CABA">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Technological Factors</w:t>
      </w:r>
    </w:p>
    <w:p w14:paraId="1896B059">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Technological advancements play a critical role in enhancing competitiveness in the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Digital platforms, online booking systems and data analytics enable firms to improve customer experience and operational efficiency (Buhalis &amp; Law, 2008). Meliá has adopted digital transformation strategies to strengthen direct bookings and customer relationship management.</w:t>
      </w:r>
    </w:p>
    <w:p w14:paraId="70D16877">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the rise of online travel agencies increases price transparency and intensifies competition, reducing margins for hotel operators (Xiang, Magnini &amp; Fesenmaier, 2015). Continuous investment in technology is necessary to remain competitive, but this also increases costs. Thus, technology presents both opportunities for innovation and challenges in maintaining profitability.</w:t>
      </w:r>
    </w:p>
    <w:p w14:paraId="3F48B044">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Environmental Factors</w:t>
      </w:r>
    </w:p>
    <w:p w14:paraId="02C7BDD9">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Environmental sustainability is increasingly important in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competitiveness. Spain faces environmental challenges such as climate change, water scarcity and coastal degradation, which directly affect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destinations (Gössling, Scott &amp; Hall, 2015). These issues are particularly relevant for Meliá due to its concentration in coastal areas.</w:t>
      </w:r>
    </w:p>
    <w:p w14:paraId="56032975">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Regulatory pressures for sustainability are increasing, requiring firms to reduce emissions and adopt environmentally friendly practices (Gössling et al., 2015). Meliá’s sustainability initiatives enhance its brand image and align with growing consumer demand for responsible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However, these initiatives involve significant investment, increasing operational costs. Environmental risks, including extreme weather events, also pose potential threats to long-term performance.</w:t>
      </w:r>
    </w:p>
    <w:p w14:paraId="17F73C88">
      <w:pPr>
        <w:pStyle w:val="3"/>
        <w:keepNext w:val="0"/>
        <w:keepLines w:val="0"/>
        <w:widowControl/>
        <w:numPr>
          <w:ilvl w:val="0"/>
          <w:numId w:val="3"/>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Legal Factors</w:t>
      </w:r>
    </w:p>
    <w:p w14:paraId="3CEF56F9">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The legal environment shapes operational conditions through taxation, labour laws and regulatory compliance (Johnson et al., 2017). Spain’s corporate tax structure and VAT on hospitality services directly impact profitability. Additionally, compliance with EU regulations, such as data protection laws and consumer rights directives, increases operational complexity.</w:t>
      </w:r>
    </w:p>
    <w:p w14:paraId="3C4A69A0">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Labour regulations, including minimum wage policies and employment protections, contribute to rising labour costs but ensure workforce stability (Dwyer et al., 2020). Furthermore, stricter regulations on short-term rentals may benefit hotel operators by reducing competition from alternative accommodation providers. However, increasing legal restrictions related to sustainability and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management may limit expansion opportunities.</w:t>
      </w:r>
    </w:p>
    <w:p w14:paraId="579CBFC3">
      <w:pPr>
        <w:pStyle w:val="3"/>
        <w:keepNext w:val="0"/>
        <w:keepLines w:val="0"/>
        <w:widowControl/>
        <w:numPr>
          <w:ilvl w:val="0"/>
          <w:numId w:val="0"/>
        </w:numPr>
        <w:suppressLineNumbers w:val="0"/>
        <w:spacing w:line="360" w:lineRule="auto"/>
        <w:ind w:leftChars="0"/>
        <w:jc w:val="both"/>
        <w:outlineLvl w:val="2"/>
        <w:rPr>
          <w:rFonts w:hint="default" w:ascii="Arial Regular" w:hAnsi="Arial Regular" w:cs="Arial Regular"/>
          <w:b/>
          <w:bCs/>
          <w:sz w:val="24"/>
          <w:szCs w:val="24"/>
        </w:rPr>
      </w:pPr>
      <w:r>
        <w:rPr>
          <w:rFonts w:hint="default" w:ascii="Arial Regular" w:hAnsi="Arial Regular" w:cs="Arial Regular"/>
          <w:b/>
          <w:bCs/>
          <w:sz w:val="24"/>
          <w:szCs w:val="24"/>
        </w:rPr>
        <w:t xml:space="preserve">Critical Evaluation </w:t>
      </w:r>
    </w:p>
    <w:p w14:paraId="02AB6500">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Spain remains a highly attractive market for Meliá due to strong demand, advanced infrastructure and government support. Political stability and sophisticated consumer demand enhance competitiveness. However, the PESTEL analysis highlights several challenges.</w:t>
      </w:r>
    </w:p>
    <w:p w14:paraId="0B38D753">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Economic volatility, environmental pressures and social resistance to over</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present significant risks. Technological advancements require continuous investment, while legal regulations increase compliance costs. According to Porter (1990), sustained competitive advantage depends on the ability to adapt and innovate in response to such external pressures.</w:t>
      </w:r>
    </w:p>
    <w:p w14:paraId="6A97B14C">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Meliá’s strategic focus on premium services, sustainability and digital transformation aligns well with these challenges. However, its reliance on the Spanish market increases exposure to local risks. Therefore, diversification and continuous innovation are essential to maintain long-term competitiveness.</w:t>
      </w:r>
    </w:p>
    <w:p w14:paraId="07EEA152">
      <w:pPr>
        <w:pStyle w:val="2"/>
        <w:keepNext w:val="0"/>
        <w:keepLines w:val="0"/>
        <w:widowControl/>
        <w:suppressLineNumbers w:val="0"/>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lang w:val="de-DE"/>
        </w:rPr>
        <w:t xml:space="preserve">4.2 </w:t>
      </w:r>
      <w:r>
        <w:rPr>
          <w:rFonts w:hint="default" w:ascii="Arial Regular" w:hAnsi="Arial Regular" w:cs="Arial Regular"/>
          <w:b/>
          <w:bCs/>
          <w:sz w:val="24"/>
          <w:szCs w:val="24"/>
        </w:rPr>
        <w:t xml:space="preserve">Porter’s Five Forces Analysis </w:t>
      </w:r>
    </w:p>
    <w:p w14:paraId="2C528632">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Porter’s Five Forces analysis is a framework used to assess the </w:t>
      </w:r>
      <w:r>
        <w:rPr>
          <w:rStyle w:val="11"/>
          <w:rFonts w:hint="default" w:ascii="Arial Regular" w:hAnsi="Arial Regular" w:cs="Arial Regular"/>
          <w:b w:val="0"/>
          <w:bCs w:val="0"/>
          <w:sz w:val="24"/>
          <w:szCs w:val="24"/>
        </w:rPr>
        <w:t>competitive structure of an industry by examining five forces—competitive rivalry, threat of new entrants, bargaining power of suppliers, bargaining power of buyers, and threat of substitutes—that determine profitability and strategic positioning</w:t>
      </w:r>
      <w:r>
        <w:rPr>
          <w:rFonts w:hint="default" w:ascii="Arial Regular" w:hAnsi="Arial Regular" w:cs="Arial Regular"/>
          <w:b w:val="0"/>
          <w:bCs w:val="0"/>
          <w:sz w:val="24"/>
          <w:szCs w:val="24"/>
        </w:rPr>
        <w:t xml:space="preserve"> (Porter, 2008). Applying this model helps evaluate the factors influencing the success of Meliá Hotels International in Spain.</w:t>
      </w:r>
    </w:p>
    <w:p w14:paraId="0CA523E2">
      <w:pPr>
        <w:pStyle w:val="3"/>
        <w:keepNext w:val="0"/>
        <w:keepLines w:val="0"/>
        <w:widowControl/>
        <w:numPr>
          <w:ilvl w:val="0"/>
          <w:numId w:val="4"/>
        </w:numPr>
        <w:suppressLineNumbers w:val="0"/>
        <w:spacing w:line="360" w:lineRule="auto"/>
        <w:ind w:left="420" w:leftChars="0" w:hanging="420" w:firstLineChars="0"/>
        <w:jc w:val="both"/>
        <w:outlineLvl w:val="2"/>
        <w:rPr>
          <w:rFonts w:hint="default" w:ascii="Arial Bold" w:hAnsi="Arial Bold" w:cs="Arial Bold"/>
          <w:b/>
          <w:bCs/>
          <w:sz w:val="24"/>
          <w:szCs w:val="24"/>
        </w:rPr>
      </w:pPr>
      <w:r>
        <w:rPr>
          <w:rFonts w:hint="default" w:ascii="Arial Bold" w:hAnsi="Arial Bold" w:cs="Arial Bold"/>
          <w:b/>
          <w:bCs/>
          <w:sz w:val="24"/>
          <w:szCs w:val="24"/>
        </w:rPr>
        <w:t>Competitive Rivalry (High)</w:t>
      </w:r>
    </w:p>
    <w:p w14:paraId="0F73F49E">
      <w:pPr>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Competition in the hotel and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is intense due to the presence of both global chains and domestic operators. Firms compete on pricing, service quality, branding and customer experience (Porter, 2008). Meliá faces strong rivalry from multinational brands such as Marriott and Accor, as well as regional players. </w:t>
      </w:r>
      <w:r>
        <w:rPr>
          <w:rFonts w:hint="default" w:ascii="Arial Regular" w:hAnsi="Arial Regular" w:eastAsia="SimSun" w:cs="Arial Regular"/>
          <w:kern w:val="0"/>
          <w:sz w:val="24"/>
          <w:szCs w:val="24"/>
          <w:lang w:val="en-US" w:eastAsia="zh-CN" w:bidi="ar"/>
        </w:rPr>
        <w:t>Competitive rivalry within the tourism industry is intense due to the presence of a large number of competing firm</w:t>
      </w:r>
      <w:r>
        <w:rPr>
          <w:rFonts w:hint="default" w:ascii="Arial Regular" w:hAnsi="Arial Regular" w:eastAsia="SimSun" w:cs="Arial Regular"/>
          <w:b w:val="0"/>
          <w:bCs w:val="0"/>
          <w:kern w:val="0"/>
          <w:sz w:val="24"/>
          <w:szCs w:val="24"/>
          <w:lang w:val="en-US" w:eastAsia="zh-CN" w:bidi="ar"/>
        </w:rPr>
        <w:t xml:space="preserve">s </w:t>
      </w:r>
      <w:r>
        <w:rPr>
          <w:rStyle w:val="11"/>
          <w:rFonts w:hint="default" w:ascii="Arial Regular" w:hAnsi="Arial Regular" w:eastAsia="SimSun" w:cs="Arial Regular"/>
          <w:b w:val="0"/>
          <w:bCs w:val="0"/>
          <w:kern w:val="0"/>
          <w:sz w:val="24"/>
          <w:szCs w:val="24"/>
          <w:lang w:val="en-US" w:eastAsia="zh-CN" w:bidi="ar"/>
        </w:rPr>
        <w:t>(Porter, 2008)</w:t>
      </w:r>
      <w:r>
        <w:rPr>
          <w:rFonts w:hint="default" w:ascii="Arial Regular" w:hAnsi="Arial Regular" w:eastAsia="SimSun" w:cs="Arial Regular"/>
          <w:b w:val="0"/>
          <w:bCs w:val="0"/>
          <w:kern w:val="0"/>
          <w:sz w:val="24"/>
          <w:szCs w:val="24"/>
          <w:lang w:val="en-US" w:eastAsia="zh-CN" w:bidi="ar"/>
        </w:rPr>
        <w:t>.</w:t>
      </w:r>
      <w:r>
        <w:rPr>
          <w:rFonts w:hint="default" w:ascii="Arial Regular" w:hAnsi="Arial Regular" w:eastAsia="SimSun" w:cs="Arial Regular"/>
          <w:b w:val="0"/>
          <w:bCs w:val="0"/>
          <w:kern w:val="0"/>
          <w:sz w:val="24"/>
          <w:szCs w:val="24"/>
          <w:lang w:val="de-DE" w:eastAsia="zh-CN" w:bidi="ar"/>
        </w:rPr>
        <w:t xml:space="preserve"> </w:t>
      </w:r>
      <w:r>
        <w:rPr>
          <w:rFonts w:hint="default" w:ascii="Arial Regular" w:hAnsi="Arial Regular" w:cs="Arial Regular"/>
          <w:b w:val="0"/>
          <w:bCs w:val="0"/>
          <w:sz w:val="24"/>
          <w:szCs w:val="24"/>
        </w:rPr>
        <w:t>However, Meliá’s focus on premium and luxury segments enables differentiation, reducing direct price competition and supporting higher profitability. Nevertheless, continuous innovation and branding are required to maintain its competitive position.</w:t>
      </w:r>
    </w:p>
    <w:p w14:paraId="1AD8E19B">
      <w:pPr>
        <w:pStyle w:val="3"/>
        <w:keepNext w:val="0"/>
        <w:keepLines w:val="0"/>
        <w:widowControl/>
        <w:numPr>
          <w:ilvl w:val="0"/>
          <w:numId w:val="4"/>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Threat of New Entrants (Moderate)</w:t>
      </w:r>
    </w:p>
    <w:p w14:paraId="63A8458B">
      <w:pPr>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threat of new entrants in the hotel industry is generally moderate due to high capital requirements and barriers to entry (Porter, 2008). </w:t>
      </w:r>
      <w:r>
        <w:rPr>
          <w:rFonts w:hint="default" w:ascii="Arial Regular" w:hAnsi="Arial Regular" w:eastAsia="SimSun" w:cs="Arial Regular"/>
          <w:kern w:val="0"/>
          <w:sz w:val="24"/>
          <w:szCs w:val="24"/>
          <w:lang w:val="en-US" w:eastAsia="zh-CN" w:bidi="ar"/>
        </w:rPr>
        <w:t>New entrants face relatively low barriers to entry through digital platfo</w:t>
      </w:r>
      <w:r>
        <w:rPr>
          <w:rFonts w:hint="default" w:ascii="Arial Regular" w:hAnsi="Arial Regular" w:eastAsia="SimSun" w:cs="Arial Regular"/>
          <w:b w:val="0"/>
          <w:bCs w:val="0"/>
          <w:kern w:val="0"/>
          <w:sz w:val="24"/>
          <w:szCs w:val="24"/>
          <w:lang w:val="en-US" w:eastAsia="zh-CN" w:bidi="ar"/>
        </w:rPr>
        <w:t xml:space="preserve">rms </w:t>
      </w:r>
      <w:r>
        <w:rPr>
          <w:rStyle w:val="11"/>
          <w:rFonts w:hint="default" w:ascii="Arial Regular" w:hAnsi="Arial Regular" w:eastAsia="SimSun" w:cs="Arial Regular"/>
          <w:b w:val="0"/>
          <w:bCs w:val="0"/>
          <w:kern w:val="0"/>
          <w:sz w:val="24"/>
          <w:szCs w:val="24"/>
          <w:lang w:val="en-US" w:eastAsia="zh-CN" w:bidi="ar"/>
        </w:rPr>
        <w:t>(Guttentag, 2015)</w:t>
      </w:r>
      <w:r>
        <w:rPr>
          <w:rFonts w:hint="default" w:ascii="Arial Regular" w:hAnsi="Arial Regular" w:cs="Arial Regular"/>
          <w:b w:val="0"/>
          <w:bCs w:val="0"/>
          <w:sz w:val="24"/>
          <w:szCs w:val="24"/>
        </w:rPr>
        <w:t>. Additionally, established firms like Meliá benefit from strong brand recognition and customer loyalty, creating further barriers.</w:t>
      </w:r>
    </w:p>
    <w:p w14:paraId="7E237924">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the rise of asset-light business models and franchising reduces entry barriers, allowing new players to enter without owning physical assets. Digital platforms also enable smaller firms to reach global markets more easily. Thus, while entry barriers remain significant, evolving business models slightly increase competitive pressure.</w:t>
      </w:r>
    </w:p>
    <w:p w14:paraId="4C834EC4">
      <w:pPr>
        <w:pStyle w:val="3"/>
        <w:keepNext w:val="0"/>
        <w:keepLines w:val="0"/>
        <w:widowControl/>
        <w:numPr>
          <w:ilvl w:val="0"/>
          <w:numId w:val="4"/>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Bargaining Power of Suppliers (Moderate)</w:t>
      </w:r>
    </w:p>
    <w:p w14:paraId="7B565670">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Suppliers in the hospitality industry include labour, technology providers, food suppliers and property owners. Generally, supplier power is moderate, as hotels can switch between many suppliers (Cheng, 2013). However, specialised suppliers—such as technology providers and luxury food vendors—can exert higher influence due to limited alternatives.</w:t>
      </w:r>
    </w:p>
    <w:p w14:paraId="4FDF5A89">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For Meliá, reliance on property owners under asset-light strategies increases supplier power, as owners influence contract terms and operational decisions . Additionally, rising labour costs and skilled workforce shortages further strengthen supplier bargaining power. Therefore, while supplier power is not dominant, it remains a significant cost driver.</w:t>
      </w:r>
    </w:p>
    <w:p w14:paraId="56392731">
      <w:pPr>
        <w:pStyle w:val="3"/>
        <w:keepNext w:val="0"/>
        <w:keepLines w:val="0"/>
        <w:widowControl/>
        <w:numPr>
          <w:ilvl w:val="0"/>
          <w:numId w:val="4"/>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Bargaining Power of Buyers (High)</w:t>
      </w:r>
    </w:p>
    <w:p w14:paraId="4A321886">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Buyers in the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 including individual travellers, tour operators and online travel agencies, possess high bargaining power (Porter, 2008). Customers can easily compare prices across platforms, increasing price sensitivity and reducing switching costs (Xiang, Magnini &amp; Fesenmaier, 2015).</w:t>
      </w:r>
    </w:p>
    <w:p w14:paraId="2F6DE9CA">
      <w:pPr>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eastAsia="SimSun" w:cs="Arial Regular"/>
          <w:kern w:val="0"/>
          <w:sz w:val="24"/>
          <w:szCs w:val="24"/>
          <w:lang w:val="en-US" w:eastAsia="zh-CN" w:bidi="ar"/>
        </w:rPr>
        <w:t>The bargaining power of customers is high due to the availability of information and low switching costs (Guttentag, 2015)</w:t>
      </w:r>
      <w:r>
        <w:rPr>
          <w:rFonts w:hint="default" w:ascii="Arial Regular" w:hAnsi="Arial Regular" w:cs="Arial Regular"/>
          <w:b w:val="0"/>
          <w:bCs w:val="0"/>
          <w:sz w:val="24"/>
          <w:szCs w:val="24"/>
        </w:rPr>
        <w:t>. For Meliá, this creates pressure on pricing and margins. Although brand loyalty and premium positioning reduce sensitivity among high-end customers, overall buyer power remains high due to transparency and competition.</w:t>
      </w:r>
    </w:p>
    <w:p w14:paraId="004C6555">
      <w:pPr>
        <w:pStyle w:val="3"/>
        <w:keepNext w:val="0"/>
        <w:keepLines w:val="0"/>
        <w:widowControl/>
        <w:numPr>
          <w:ilvl w:val="0"/>
          <w:numId w:val="4"/>
        </w:numPr>
        <w:suppressLineNumbers w:val="0"/>
        <w:spacing w:line="360" w:lineRule="auto"/>
        <w:ind w:left="420" w:leftChars="0" w:hanging="420" w:firstLineChars="0"/>
        <w:jc w:val="both"/>
        <w:rPr>
          <w:rFonts w:hint="default" w:ascii="Arial Bold" w:hAnsi="Arial Bold" w:cs="Arial Bold"/>
          <w:b/>
          <w:bCs/>
          <w:sz w:val="24"/>
          <w:szCs w:val="24"/>
        </w:rPr>
      </w:pPr>
      <w:r>
        <w:rPr>
          <w:rFonts w:hint="default" w:ascii="Arial Bold" w:hAnsi="Arial Bold" w:cs="Arial Bold"/>
          <w:b/>
          <w:bCs/>
          <w:sz w:val="24"/>
          <w:szCs w:val="24"/>
        </w:rPr>
        <w:t>Threat of Substitutes (Moderate)</w:t>
      </w:r>
    </w:p>
    <w:p w14:paraId="6817C872">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Substitutes in the hotel industry include alternative accommodation options such as hostels, serviced apartments and short-term rental platforms (Porter, 2008). While traditional hotels offer superior service and amenities, cost-conscious travellers may switch to cheaper alternatives.</w:t>
      </w:r>
    </w:p>
    <w:p w14:paraId="0DD6B7FC">
      <w:pPr>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eastAsia="SimSun" w:cs="Arial Regular"/>
          <w:kern w:val="0"/>
          <w:sz w:val="24"/>
          <w:szCs w:val="24"/>
          <w:lang w:val="en-US" w:eastAsia="zh-CN" w:bidi="ar"/>
        </w:rPr>
        <w:t xml:space="preserve">The threat of substitutes such as Airbnb has significantly intensified competition in </w:t>
      </w:r>
      <w:r>
        <w:rPr>
          <w:rFonts w:hint="default" w:ascii="Arial Regular" w:hAnsi="Arial Regular" w:eastAsia="SimSun" w:cs="Arial Regular"/>
          <w:kern w:val="0"/>
          <w:sz w:val="24"/>
          <w:szCs w:val="24"/>
          <w:lang w:val="de-DE" w:eastAsia="zh-CN" w:bidi="ar"/>
        </w:rPr>
        <w:t xml:space="preserve">this </w:t>
      </w:r>
      <w:r>
        <w:rPr>
          <w:rFonts w:hint="default" w:ascii="Arial Regular" w:hAnsi="Arial Regular" w:eastAsia="SimSun" w:cs="Arial Regular"/>
          <w:kern w:val="0"/>
          <w:sz w:val="24"/>
          <w:szCs w:val="24"/>
          <w:lang w:val="en-US" w:eastAsia="zh-CN" w:bidi="ar"/>
        </w:rPr>
        <w:t>s</w:t>
      </w:r>
      <w:r>
        <w:rPr>
          <w:rFonts w:hint="default" w:ascii="Arial Regular" w:hAnsi="Arial Regular" w:eastAsia="SimSun" w:cs="Arial Regular"/>
          <w:b w:val="0"/>
          <w:bCs w:val="0"/>
          <w:kern w:val="0"/>
          <w:sz w:val="24"/>
          <w:szCs w:val="24"/>
          <w:lang w:val="en-US" w:eastAsia="zh-CN" w:bidi="ar"/>
        </w:rPr>
        <w:t xml:space="preserve">ector </w:t>
      </w:r>
      <w:r>
        <w:rPr>
          <w:rStyle w:val="11"/>
          <w:rFonts w:hint="default" w:ascii="Arial Regular" w:hAnsi="Arial Regular" w:eastAsia="SimSun" w:cs="Arial Regular"/>
          <w:b w:val="0"/>
          <w:bCs w:val="0"/>
          <w:kern w:val="0"/>
          <w:sz w:val="24"/>
          <w:szCs w:val="24"/>
          <w:lang w:val="en-US" w:eastAsia="zh-CN" w:bidi="ar"/>
        </w:rPr>
        <w:t>(Guttentag, 2015)</w:t>
      </w:r>
      <w:r>
        <w:rPr>
          <w:rFonts w:hint="default" w:ascii="Arial Regular" w:hAnsi="Arial Regular" w:cs="Arial Regular"/>
          <w:b w:val="0"/>
          <w:bCs w:val="0"/>
          <w:sz w:val="24"/>
          <w:szCs w:val="24"/>
        </w:rPr>
        <w:t>. However, for luxury and business travellers—key segments for Meliá—substitution is relatively limited due to the importance of service quality, brand reputation</w:t>
      </w:r>
      <w:r>
        <w:rPr>
          <w:rFonts w:hint="default" w:ascii="Arial Regular" w:hAnsi="Arial Regular" w:cs="Arial Regular"/>
          <w:b w:val="0"/>
          <w:bCs w:val="0"/>
          <w:sz w:val="24"/>
          <w:szCs w:val="24"/>
          <w:lang w:val="de-DE"/>
        </w:rPr>
        <w:t>,</w:t>
      </w:r>
      <w:r>
        <w:rPr>
          <w:rFonts w:hint="default" w:ascii="Arial Regular" w:hAnsi="Arial Regular" w:cs="Arial Regular"/>
          <w:b w:val="0"/>
          <w:bCs w:val="0"/>
          <w:sz w:val="24"/>
          <w:szCs w:val="24"/>
        </w:rPr>
        <w:t xml:space="preserve"> and facilities. Thus, the threat of substitutes is moderate but growing.</w:t>
      </w:r>
    </w:p>
    <w:p w14:paraId="0F027D73">
      <w:pPr>
        <w:pStyle w:val="3"/>
        <w:keepNext w:val="0"/>
        <w:keepLines w:val="0"/>
        <w:widowControl/>
        <w:numPr>
          <w:ilvl w:val="0"/>
          <w:numId w:val="0"/>
        </w:numPr>
        <w:suppressLineNumbers w:val="0"/>
        <w:spacing w:line="360" w:lineRule="auto"/>
        <w:ind w:leftChars="0"/>
        <w:jc w:val="both"/>
        <w:outlineLvl w:val="2"/>
        <w:rPr>
          <w:rFonts w:hint="default" w:ascii="Arial Regular" w:hAnsi="Arial Regular" w:cs="Arial Regular"/>
          <w:b/>
          <w:bCs/>
          <w:sz w:val="24"/>
          <w:szCs w:val="24"/>
        </w:rPr>
      </w:pPr>
      <w:r>
        <w:rPr>
          <w:rFonts w:hint="default" w:ascii="Arial Regular" w:hAnsi="Arial Regular" w:cs="Arial Regular"/>
          <w:b/>
          <w:bCs/>
          <w:sz w:val="24"/>
          <w:szCs w:val="24"/>
        </w:rPr>
        <w:t>Critical Evaluation</w:t>
      </w:r>
    </w:p>
    <w:p w14:paraId="7FC4F626">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Porter’s Five Forces analysis indicates that Meliá operates in a highly competitive industry characterised by strong rivalry and high buyer power. While barriers to entry and brand strength provide some protection, increasing competition from digital platforms and alternative accommodations challenges profitability.</w:t>
      </w:r>
    </w:p>
    <w:p w14:paraId="7463C498">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Meliá’s strategic focus on premium segments, brand differentiation and asset-light expansion helps mitigate these pressures. However, sustained success depends on continuous innovation, cost management and adaptation to evolving competitive forces within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w:t>
      </w:r>
    </w:p>
    <w:p w14:paraId="61508258">
      <w:pPr>
        <w:pStyle w:val="10"/>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4.3 SWOT Analysis </w:t>
      </w:r>
    </w:p>
    <w:p w14:paraId="680FAC19">
      <w:pPr>
        <w:pStyle w:val="10"/>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SWOT analysis is a strategic framework used to evaluate an organisation’s </w:t>
      </w:r>
      <w:r>
        <w:rPr>
          <w:rStyle w:val="11"/>
          <w:rFonts w:hint="default" w:ascii="Arial Regular" w:hAnsi="Arial Regular" w:cs="Arial Regular"/>
          <w:b w:val="0"/>
          <w:bCs w:val="0"/>
          <w:sz w:val="24"/>
          <w:szCs w:val="24"/>
        </w:rPr>
        <w:t>internal strengths and weaknesses, alongside external opportunities and threats, in order to assess its overall strategic position and competitiveness</w:t>
      </w:r>
      <w:r>
        <w:rPr>
          <w:rFonts w:hint="default" w:ascii="Arial Regular" w:hAnsi="Arial Regular" w:cs="Arial Regular"/>
          <w:b w:val="0"/>
          <w:bCs w:val="0"/>
          <w:sz w:val="24"/>
          <w:szCs w:val="24"/>
        </w:rPr>
        <w:t xml:space="preserve"> (Johnson, Scholes &amp; Whittington, 2017). Applying this model provides insight into the factors influencing the success of Meliá Hotels International in Spain’s </w:t>
      </w:r>
      <w:r>
        <w:rPr>
          <w:rFonts w:hint="default" w:ascii="Arial Regular" w:hAnsi="Arial Regular" w:cs="Arial Regular"/>
          <w:b w:val="0"/>
          <w:bCs w:val="0"/>
          <w:sz w:val="24"/>
          <w:szCs w:val="24"/>
          <w:lang w:val="de-DE"/>
        </w:rPr>
        <w:t>hospitality</w:t>
      </w:r>
      <w:r>
        <w:rPr>
          <w:rFonts w:hint="default" w:ascii="Arial Regular" w:hAnsi="Arial Regular" w:cs="Arial Regular"/>
          <w:b w:val="0"/>
          <w:bCs w:val="0"/>
          <w:sz w:val="24"/>
          <w:szCs w:val="24"/>
        </w:rPr>
        <w:t xml:space="preserve"> industry.</w:t>
      </w:r>
    </w:p>
    <w:p w14:paraId="5CD29DA9">
      <w:pPr>
        <w:pStyle w:val="10"/>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drawing>
          <wp:inline distT="0" distB="0" distL="114300" distR="114300">
            <wp:extent cx="5721985" cy="2408555"/>
            <wp:effectExtent l="0" t="0" r="18415" b="4445"/>
            <wp:docPr id="8" name="Picture 8" descr="swot-analys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wot-analysis-2"/>
                    <pic:cNvPicPr>
                      <a:picLocks noChangeAspect="1"/>
                    </pic:cNvPicPr>
                  </pic:nvPicPr>
                  <pic:blipFill>
                    <a:blip r:embed="rId11"/>
                    <a:stretch>
                      <a:fillRect/>
                    </a:stretch>
                  </pic:blipFill>
                  <pic:spPr>
                    <a:xfrm>
                      <a:off x="0" y="0"/>
                      <a:ext cx="5721985" cy="2408555"/>
                    </a:xfrm>
                    <a:prstGeom prst="rect">
                      <a:avLst/>
                    </a:prstGeom>
                  </pic:spPr>
                </pic:pic>
              </a:graphicData>
            </a:graphic>
          </wp:inline>
        </w:drawing>
      </w:r>
    </w:p>
    <w:p w14:paraId="5F28685F">
      <w:pPr>
        <w:keepNext w:val="0"/>
        <w:keepLines w:val="0"/>
        <w:widowControl/>
        <w:suppressLineNumbers w:val="0"/>
        <w:spacing w:line="360" w:lineRule="auto"/>
        <w:jc w:val="center"/>
        <w:rPr>
          <w:rFonts w:hint="default" w:ascii="Arial Regular" w:hAnsi="Arial Regular" w:eastAsia="SimSun" w:cs="Arial Regular"/>
          <w:kern w:val="0"/>
          <w:sz w:val="24"/>
          <w:szCs w:val="24"/>
          <w:lang w:val="en-US" w:eastAsia="zh-CN" w:bidi="ar"/>
        </w:rPr>
      </w:pPr>
      <w:r>
        <w:rPr>
          <w:rFonts w:hint="default" w:ascii="Arial Regular" w:hAnsi="Arial Regular" w:cs="Arial Regular"/>
          <w:b w:val="0"/>
          <w:bCs w:val="0"/>
          <w:sz w:val="24"/>
          <w:szCs w:val="24"/>
          <w:lang w:val="de-DE"/>
        </w:rPr>
        <w:t xml:space="preserve">Figure 5: SWOT Analysis (Source: </w:t>
      </w:r>
      <w:r>
        <w:rPr>
          <w:rFonts w:hint="default" w:ascii="Arial Regular" w:hAnsi="Arial Regular" w:eastAsia="SimSun" w:cs="Arial Regular"/>
          <w:kern w:val="0"/>
          <w:sz w:val="24"/>
          <w:szCs w:val="24"/>
          <w:lang w:val="en-US" w:eastAsia="zh-CN" w:bidi="ar"/>
        </w:rPr>
        <w:t>Corporate Finance Institute, no date)</w:t>
      </w:r>
    </w:p>
    <w:p w14:paraId="5B51C9F0">
      <w:pPr>
        <w:keepNext w:val="0"/>
        <w:keepLines w:val="0"/>
        <w:widowControl/>
        <w:suppressLineNumbers w:val="0"/>
        <w:spacing w:line="360" w:lineRule="auto"/>
        <w:jc w:val="both"/>
        <w:rPr>
          <w:rFonts w:hint="default" w:ascii="Arial Regular" w:hAnsi="Arial Regular" w:eastAsia="SimSun" w:cs="Arial Regular"/>
          <w:kern w:val="0"/>
          <w:sz w:val="24"/>
          <w:szCs w:val="24"/>
          <w:lang w:val="de-DE" w:eastAsia="zh-CN" w:bidi="ar"/>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34E0DDB1">
        <w:trPr>
          <w:trHeight w:val="90" w:hRule="atLeast"/>
        </w:trPr>
        <w:tc>
          <w:tcPr>
            <w:tcW w:w="4621" w:type="dxa"/>
          </w:tcPr>
          <w:p w14:paraId="188A0DCE">
            <w:pPr>
              <w:pStyle w:val="3"/>
              <w:keepNext w:val="0"/>
              <w:keepLines w:val="0"/>
              <w:widowControl/>
              <w:suppressLineNumbers w:val="0"/>
              <w:spacing w:line="360" w:lineRule="auto"/>
              <w:jc w:val="center"/>
              <w:rPr>
                <w:rFonts w:hint="default" w:ascii="Arial Regular" w:hAnsi="Arial Regular" w:cs="Arial Regular"/>
                <w:sz w:val="24"/>
                <w:szCs w:val="24"/>
                <w:vertAlign w:val="baseline"/>
              </w:rPr>
            </w:pPr>
            <w:r>
              <w:rPr>
                <w:rFonts w:hint="default" w:ascii="Arial Regular" w:hAnsi="Arial Regular" w:cs="Arial Regular"/>
                <w:sz w:val="24"/>
                <w:szCs w:val="24"/>
              </w:rPr>
              <w:t>Strengths</w:t>
            </w:r>
          </w:p>
        </w:tc>
        <w:tc>
          <w:tcPr>
            <w:tcW w:w="4621" w:type="dxa"/>
          </w:tcPr>
          <w:p w14:paraId="0ABEB21C">
            <w:pPr>
              <w:pStyle w:val="3"/>
              <w:keepNext w:val="0"/>
              <w:keepLines w:val="0"/>
              <w:widowControl/>
              <w:suppressLineNumbers w:val="0"/>
              <w:spacing w:line="360" w:lineRule="auto"/>
              <w:jc w:val="center"/>
              <w:rPr>
                <w:rFonts w:hint="default" w:ascii="Arial Regular" w:hAnsi="Arial Regular" w:cs="Arial Regular"/>
                <w:sz w:val="24"/>
                <w:szCs w:val="24"/>
                <w:vertAlign w:val="baseline"/>
              </w:rPr>
            </w:pPr>
            <w:r>
              <w:rPr>
                <w:rFonts w:hint="default" w:ascii="Arial Regular" w:hAnsi="Arial Regular" w:cs="Arial Regular"/>
                <w:sz w:val="24"/>
                <w:szCs w:val="24"/>
              </w:rPr>
              <w:t>Weaknesses</w:t>
            </w:r>
          </w:p>
        </w:tc>
      </w:tr>
      <w:tr w14:paraId="1090E995">
        <w:tc>
          <w:tcPr>
            <w:tcW w:w="4621" w:type="dxa"/>
          </w:tcPr>
          <w:p w14:paraId="6579626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Meliá Hotels International benefits from strong brand recognition and a well-established global presence, particularly in the upscale and luxury hotel segments (Ivanov &amp; Webster, 2019). Its diversified brand portfolio enables it to target multiple market segments, from premium leisure to business travellers. Additionally, the company’s asset-light strategy—focusing on management contracts rather than ownership—reduces capital requirements and enhances financial flexibility (Porter, 1990).</w:t>
            </w:r>
          </w:p>
          <w:p w14:paraId="5E748813">
            <w:pPr>
              <w:pStyle w:val="10"/>
              <w:keepNext w:val="0"/>
              <w:keepLines w:val="0"/>
              <w:widowControl/>
              <w:suppressLineNumbers w:val="0"/>
              <w:spacing w:line="360" w:lineRule="auto"/>
              <w:jc w:val="both"/>
              <w:rPr>
                <w:rFonts w:hint="default" w:ascii="Arial Regular" w:hAnsi="Arial Regular" w:cs="Arial Regular"/>
                <w:sz w:val="24"/>
                <w:szCs w:val="24"/>
                <w:vertAlign w:val="baseline"/>
              </w:rPr>
            </w:pPr>
            <w:r>
              <w:rPr>
                <w:rFonts w:hint="default" w:ascii="Arial Regular" w:hAnsi="Arial Regular" w:cs="Arial Regular"/>
                <w:sz w:val="24"/>
                <w:szCs w:val="24"/>
              </w:rPr>
              <w:t>Meliá’s commitment to sustainability and digital transformation further strengthens its competitive advantage, aligning with evolving consumer preferences and regulatory expectations (Gössling, Scott &amp; Hall, 2015). These strengths support higher occupancy rates and customer loyalty, reinforcing its market position in Spain.</w:t>
            </w:r>
          </w:p>
        </w:tc>
        <w:tc>
          <w:tcPr>
            <w:tcW w:w="4621" w:type="dxa"/>
          </w:tcPr>
          <w:p w14:paraId="3BAD3971">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Despite its strengths, Meliá has a significant dependence on the Spanish and European markets, which increases vulnerability to regional economic fluctuations (Dwyer, Forsyth &amp; Dwyer, 2020). High operational costs, particularly labour and energy expenses, also affect profitability in Spain’s competitive hospitality sector.</w:t>
            </w:r>
          </w:p>
          <w:p w14:paraId="779DEF0A">
            <w:pPr>
              <w:pStyle w:val="10"/>
              <w:keepNext w:val="0"/>
              <w:keepLines w:val="0"/>
              <w:widowControl/>
              <w:suppressLineNumbers w:val="0"/>
              <w:spacing w:line="360" w:lineRule="auto"/>
              <w:jc w:val="both"/>
              <w:rPr>
                <w:rFonts w:hint="default" w:ascii="Arial Regular" w:hAnsi="Arial Regular" w:cs="Arial Regular"/>
                <w:sz w:val="24"/>
                <w:szCs w:val="24"/>
                <w:vertAlign w:val="baseline"/>
              </w:rPr>
            </w:pPr>
            <w:r>
              <w:rPr>
                <w:rFonts w:hint="default" w:ascii="Arial Regular" w:hAnsi="Arial Regular" w:cs="Arial Regular"/>
                <w:sz w:val="24"/>
                <w:szCs w:val="24"/>
              </w:rPr>
              <w:t xml:space="preserve">Additionally, reliance on online travel agencies for distribution reduces direct customer relationships and increases commission costs, limiting margins (Xiang, Magnini &amp; Fesenmaier, 2015). The company’s exposure to seasonal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demand further creates fluctuations in occupancy and revenue.</w:t>
            </w:r>
          </w:p>
        </w:tc>
      </w:tr>
      <w:tr w14:paraId="41DAA0AB">
        <w:trPr>
          <w:trHeight w:val="300" w:hRule="atLeast"/>
        </w:trPr>
        <w:tc>
          <w:tcPr>
            <w:tcW w:w="4621" w:type="dxa"/>
          </w:tcPr>
          <w:p w14:paraId="2D4809DB">
            <w:pPr>
              <w:pStyle w:val="3"/>
              <w:keepNext w:val="0"/>
              <w:keepLines w:val="0"/>
              <w:widowControl/>
              <w:suppressLineNumbers w:val="0"/>
              <w:spacing w:line="360" w:lineRule="auto"/>
              <w:jc w:val="center"/>
              <w:rPr>
                <w:rFonts w:hint="default" w:ascii="Arial Regular" w:hAnsi="Arial Regular" w:cs="Arial Regular"/>
                <w:sz w:val="24"/>
                <w:szCs w:val="24"/>
                <w:vertAlign w:val="baseline"/>
              </w:rPr>
            </w:pPr>
            <w:r>
              <w:rPr>
                <w:rFonts w:hint="default" w:ascii="Arial Regular" w:hAnsi="Arial Regular" w:cs="Arial Regular"/>
                <w:sz w:val="24"/>
                <w:szCs w:val="24"/>
              </w:rPr>
              <w:t>Opportunities</w:t>
            </w:r>
          </w:p>
        </w:tc>
        <w:tc>
          <w:tcPr>
            <w:tcW w:w="4621" w:type="dxa"/>
          </w:tcPr>
          <w:p w14:paraId="7D3EC160">
            <w:pPr>
              <w:pStyle w:val="3"/>
              <w:keepNext w:val="0"/>
              <w:keepLines w:val="0"/>
              <w:widowControl/>
              <w:suppressLineNumbers w:val="0"/>
              <w:spacing w:line="360" w:lineRule="auto"/>
              <w:jc w:val="center"/>
              <w:rPr>
                <w:rFonts w:hint="default" w:ascii="Arial Regular" w:hAnsi="Arial Regular" w:cs="Arial Regular"/>
                <w:sz w:val="24"/>
                <w:szCs w:val="24"/>
                <w:vertAlign w:val="baseline"/>
              </w:rPr>
            </w:pPr>
            <w:r>
              <w:rPr>
                <w:rFonts w:hint="default" w:ascii="Arial Regular" w:hAnsi="Arial Regular" w:cs="Arial Regular"/>
                <w:sz w:val="24"/>
                <w:szCs w:val="24"/>
              </w:rPr>
              <w:t>Threats</w:t>
            </w:r>
          </w:p>
        </w:tc>
      </w:tr>
      <w:tr w14:paraId="128D5517">
        <w:tc>
          <w:tcPr>
            <w:tcW w:w="4621" w:type="dxa"/>
          </w:tcPr>
          <w:p w14:paraId="09161191">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Spain’s strong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demand and global attractiveness provide significant growth opportunities for Meliá. The increasing demand for experiential, sustainable and luxury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aligns with the company’s strategic positioning (Richards, 2020). Expansion into niche segments, such as wellness and eco-</w:t>
            </w:r>
            <w:r>
              <w:rPr>
                <w:rFonts w:hint="default" w:ascii="Arial Regular" w:hAnsi="Arial Regular" w:cs="Arial Regular"/>
                <w:sz w:val="24"/>
                <w:szCs w:val="24"/>
                <w:lang w:val="de-DE"/>
              </w:rPr>
              <w:t>hospitality</w:t>
            </w:r>
            <w:r>
              <w:rPr>
                <w:rFonts w:hint="default" w:ascii="Arial Regular" w:hAnsi="Arial Regular" w:cs="Arial Regular"/>
                <w:sz w:val="24"/>
                <w:szCs w:val="24"/>
              </w:rPr>
              <w:t>, offers further growth potential.</w:t>
            </w:r>
          </w:p>
          <w:p w14:paraId="5BBE865B">
            <w:pPr>
              <w:pStyle w:val="10"/>
              <w:keepNext w:val="0"/>
              <w:keepLines w:val="0"/>
              <w:widowControl/>
              <w:suppressLineNumbers w:val="0"/>
              <w:spacing w:line="360" w:lineRule="auto"/>
              <w:jc w:val="both"/>
              <w:rPr>
                <w:rFonts w:hint="default" w:ascii="Arial Regular" w:hAnsi="Arial Regular" w:cs="Arial Regular"/>
                <w:sz w:val="24"/>
                <w:szCs w:val="24"/>
                <w:vertAlign w:val="baseline"/>
              </w:rPr>
            </w:pPr>
            <w:r>
              <w:rPr>
                <w:rFonts w:hint="default" w:ascii="Arial Regular" w:hAnsi="Arial Regular" w:cs="Arial Regular"/>
                <w:sz w:val="24"/>
                <w:szCs w:val="24"/>
              </w:rPr>
              <w:t>Technological advancements also present opportunities for improving operational efficiency and customer experience through digital platforms and data analytics (Buhalis &amp; Law, 2008). Furthermore, regulatory restrictions on short-term rentals may reduce competition, benefiting traditional hotel operators.</w:t>
            </w:r>
          </w:p>
        </w:tc>
        <w:tc>
          <w:tcPr>
            <w:tcW w:w="4621" w:type="dxa"/>
          </w:tcPr>
          <w:p w14:paraId="6F0F6BBC">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Meliá faces intense competition from both multinational hotel chains and alternative accommodation providers, increasing price pressure and reducing market share (Porter, 1990). The rise of platforms such as Airbnb intensifies substitution threats, particularly in urban markets.</w:t>
            </w:r>
          </w:p>
          <w:p w14:paraId="610DCC59">
            <w:pPr>
              <w:pStyle w:val="10"/>
              <w:keepNext w:val="0"/>
              <w:keepLines w:val="0"/>
              <w:widowControl/>
              <w:suppressLineNumbers w:val="0"/>
              <w:spacing w:line="360" w:lineRule="auto"/>
              <w:jc w:val="both"/>
              <w:rPr>
                <w:rFonts w:hint="default" w:ascii="Arial Regular" w:hAnsi="Arial Regular" w:cs="Arial Regular"/>
                <w:sz w:val="24"/>
                <w:szCs w:val="24"/>
                <w:vertAlign w:val="baseline"/>
              </w:rPr>
            </w:pPr>
            <w:r>
              <w:rPr>
                <w:rFonts w:hint="default" w:ascii="Arial Regular" w:hAnsi="Arial Regular" w:cs="Arial Regular"/>
                <w:sz w:val="24"/>
                <w:szCs w:val="24"/>
              </w:rPr>
              <w:t xml:space="preserve">Economic uncertainty, including inflation and global downturns, can significantly reduce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demand (Dwyer et al., 2020). Environmental challenges, such as climate change and over</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also pose risks to key destinations in Spain (Gössling et al., 2015). Additionally, increasing regulatory pressures related to sustainability and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management may limit expansion opportunities and increase compliance costs.</w:t>
            </w:r>
          </w:p>
        </w:tc>
      </w:tr>
    </w:tbl>
    <w:p w14:paraId="706037C2">
      <w:pPr>
        <w:pStyle w:val="3"/>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 xml:space="preserve">Figure 6: SWOT Analysis of </w:t>
      </w:r>
      <w:r>
        <w:rPr>
          <w:rFonts w:hint="default" w:ascii="Arial Regular" w:hAnsi="Arial Regular" w:cs="Arial Regular"/>
          <w:b w:val="0"/>
          <w:bCs w:val="0"/>
          <w:sz w:val="24"/>
          <w:szCs w:val="24"/>
        </w:rPr>
        <w:t>Meliá Hotels International</w:t>
      </w:r>
      <w:r>
        <w:rPr>
          <w:rFonts w:hint="default" w:ascii="Arial Regular" w:hAnsi="Arial Regular" w:cs="Arial Regular"/>
          <w:b w:val="0"/>
          <w:bCs w:val="0"/>
          <w:sz w:val="24"/>
          <w:szCs w:val="24"/>
          <w:lang w:val="de-DE"/>
        </w:rPr>
        <w:t xml:space="preserve"> (Source: Self Developed)</w:t>
      </w:r>
    </w:p>
    <w:p w14:paraId="5783E486">
      <w:pPr>
        <w:pStyle w:val="3"/>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Critical Evaluation</w:t>
      </w:r>
    </w:p>
    <w:p w14:paraId="7CE9B05E">
      <w:pPr>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eastAsia="SimSun" w:cs="Arial Regular"/>
          <w:kern w:val="0"/>
          <w:sz w:val="24"/>
          <w:szCs w:val="24"/>
          <w:lang w:val="en-US" w:eastAsia="zh-CN" w:bidi="ar"/>
        </w:rPr>
        <w:t>The most critical issue is Meliá’s dependence on European markets, which increases exposure to regional shocks.</w:t>
      </w:r>
      <w:r>
        <w:rPr>
          <w:rFonts w:hint="default" w:ascii="Arial Regular" w:hAnsi="Arial Regular" w:eastAsia="SimSun" w:cs="Arial Regular"/>
          <w:kern w:val="0"/>
          <w:sz w:val="24"/>
          <w:szCs w:val="24"/>
          <w:lang w:val="de-DE" w:eastAsia="zh-CN" w:bidi="ar"/>
        </w:rPr>
        <w:t xml:space="preserve"> </w:t>
      </w:r>
      <w:r>
        <w:rPr>
          <w:rFonts w:hint="default" w:ascii="Arial Regular" w:hAnsi="Arial Regular" w:cs="Arial Regular"/>
          <w:sz w:val="24"/>
          <w:szCs w:val="24"/>
        </w:rPr>
        <w:t xml:space="preserve">The SWOT analysis indicates that Meliá’s strong brand, global presence and strategic focus on premium and sustainable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provide a solid foundation for success in Spain. However, external threats such as intense competition, economic volatility and environmental challenges create significant risks.</w:t>
      </w:r>
    </w:p>
    <w:p w14:paraId="385CBC3F">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To maintain competitiveness, Meliá must leverage its strengths in branding and innovation while addressing weaknesses such as market dependence and cost pressures. Strategic diversification and continued investment in sustainability and technology are essential for long-term success in Spain’s dynamic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w:t>
      </w:r>
    </w:p>
    <w:p w14:paraId="561F9085">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4.4 </w:t>
      </w:r>
      <w:r>
        <w:rPr>
          <w:rFonts w:hint="default" w:ascii="Arial Regular" w:hAnsi="Arial Regular" w:cs="Arial Regular"/>
          <w:b/>
          <w:bCs/>
          <w:sz w:val="24"/>
          <w:szCs w:val="24"/>
        </w:rPr>
        <w:t>Hofstede’s Cultural Distance Analysis</w:t>
      </w:r>
    </w:p>
    <w:p w14:paraId="6272D9A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Hofstede’s Cultural Distance Analysis is based on Hofstede’s cultural dimensions framework, which evaluates differences in national cultures across dimensions such as power distance, individualism, masculinity, uncertainty avoidance, long-term orientation and indulgence, to understand how cultural variations affect organisational behaviour and international business performance (Hofstede, Hofstede &amp; Minkov, 2010). Applying this framework helps assess the cultural factors influencing Meliá Hotels International’s operations in Spain.</w:t>
      </w:r>
    </w:p>
    <w:p w14:paraId="12B35434">
      <w:pPr>
        <w:pStyle w:val="10"/>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5492750" cy="3159125"/>
            <wp:effectExtent l="0" t="0" r="19050" b="15875"/>
            <wp:docPr id="3" name="Picture 3" descr="Screenshot 2026-04-09 at 16.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shot 2026-04-09 at 16.07.41"/>
                    <pic:cNvPicPr>
                      <a:picLocks noChangeAspect="1"/>
                    </pic:cNvPicPr>
                  </pic:nvPicPr>
                  <pic:blipFill>
                    <a:blip r:embed="rId12"/>
                    <a:stretch>
                      <a:fillRect/>
                    </a:stretch>
                  </pic:blipFill>
                  <pic:spPr>
                    <a:xfrm>
                      <a:off x="0" y="0"/>
                      <a:ext cx="5492750" cy="3159125"/>
                    </a:xfrm>
                    <a:prstGeom prst="rect">
                      <a:avLst/>
                    </a:prstGeom>
                  </pic:spPr>
                </pic:pic>
              </a:graphicData>
            </a:graphic>
          </wp:inline>
        </w:drawing>
      </w:r>
    </w:p>
    <w:p w14:paraId="48ED1FAB">
      <w:pPr>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t xml:space="preserve">Figure </w:t>
      </w:r>
      <w:r>
        <w:rPr>
          <w:rFonts w:hint="default" w:ascii="Arial Regular" w:hAnsi="Arial Regular" w:cs="Arial Regular"/>
          <w:b w:val="0"/>
          <w:bCs w:val="0"/>
          <w:sz w:val="24"/>
          <w:szCs w:val="24"/>
          <w:lang w:val="de-DE"/>
        </w:rPr>
        <w:t>7</w:t>
      </w:r>
      <w:r>
        <w:rPr>
          <w:rFonts w:hint="default" w:ascii="Arial Regular" w:hAnsi="Arial Regular" w:cs="Arial Regular"/>
          <w:b w:val="0"/>
          <w:bCs w:val="0"/>
          <w:sz w:val="24"/>
          <w:szCs w:val="24"/>
        </w:rPr>
        <w:t xml:space="preserve">: Cultural Comparison Between </w:t>
      </w:r>
      <w:r>
        <w:rPr>
          <w:rFonts w:hint="default" w:ascii="Arial Regular" w:hAnsi="Arial Regular" w:cs="Arial Regular"/>
          <w:b w:val="0"/>
          <w:bCs w:val="0"/>
          <w:sz w:val="24"/>
          <w:szCs w:val="24"/>
          <w:lang w:val="de-DE"/>
        </w:rPr>
        <w:t xml:space="preserve">Spain </w:t>
      </w:r>
      <w:r>
        <w:rPr>
          <w:rFonts w:hint="default" w:ascii="Arial Regular" w:hAnsi="Arial Regular" w:cs="Arial Regular"/>
          <w:b w:val="0"/>
          <w:bCs w:val="0"/>
          <w:sz w:val="24"/>
          <w:szCs w:val="24"/>
        </w:rPr>
        <w:t xml:space="preserve">and the </w:t>
      </w:r>
      <w:r>
        <w:rPr>
          <w:rFonts w:hint="default" w:ascii="Arial Regular" w:hAnsi="Arial Regular" w:cs="Arial Regular"/>
          <w:b w:val="0"/>
          <w:bCs w:val="0"/>
          <w:sz w:val="24"/>
          <w:szCs w:val="24"/>
          <w:lang w:val="de-DE"/>
        </w:rPr>
        <w:t xml:space="preserve">UK </w:t>
      </w:r>
      <w:r>
        <w:rPr>
          <w:rFonts w:hint="default" w:ascii="Arial Regular" w:hAnsi="Arial Regular" w:eastAsia="SimSun" w:cs="Arial Regular"/>
          <w:kern w:val="0"/>
          <w:sz w:val="24"/>
          <w:szCs w:val="24"/>
          <w:lang w:val="en-US" w:eastAsia="zh-CN" w:bidi="ar"/>
        </w:rPr>
        <w:t>(The Culture Factor, 2026)</w:t>
      </w:r>
    </w:p>
    <w:p w14:paraId="57692C9B">
      <w:pPr>
        <w:spacing w:line="360" w:lineRule="auto"/>
        <w:jc w:val="both"/>
        <w:rPr>
          <w:rFonts w:hint="default" w:ascii="Arial Regular" w:hAnsi="Arial Regular" w:cs="Arial Regular"/>
          <w:b/>
          <w:bCs/>
          <w:sz w:val="24"/>
          <w:szCs w:val="24"/>
          <w:lang w:val="de-DE"/>
        </w:rPr>
      </w:pPr>
    </w:p>
    <w:tbl>
      <w:tblPr>
        <w:tblStyle w:val="5"/>
        <w:tblW w:w="916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79"/>
        <w:gridCol w:w="1403"/>
        <w:gridCol w:w="1461"/>
        <w:gridCol w:w="4517"/>
      </w:tblGrid>
      <w:tr w14:paraId="0EA937A8">
        <w:trPr>
          <w:trHeight w:val="340" w:hRule="atLeast"/>
        </w:trPr>
        <w:tc>
          <w:tcPr>
            <w:tcW w:w="1779" w:type="dxa"/>
            <w:tcBorders>
              <w:tl2br w:val="nil"/>
              <w:tr2bl w:val="nil"/>
            </w:tcBorders>
            <w:shd w:val="clear" w:color="auto" w:fill="auto"/>
            <w:vAlign w:val="center"/>
          </w:tcPr>
          <w:p w14:paraId="3B4B7FA1">
            <w:pPr>
              <w:keepNext w:val="0"/>
              <w:keepLines w:val="0"/>
              <w:widowControl/>
              <w:suppressLineNumbers w:val="0"/>
              <w:spacing w:line="360" w:lineRule="auto"/>
              <w:jc w:val="center"/>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Dimension</w:t>
            </w:r>
          </w:p>
        </w:tc>
        <w:tc>
          <w:tcPr>
            <w:tcW w:w="1403" w:type="dxa"/>
            <w:tcBorders>
              <w:tl2br w:val="nil"/>
              <w:tr2bl w:val="nil"/>
            </w:tcBorders>
            <w:shd w:val="clear" w:color="auto" w:fill="auto"/>
            <w:vAlign w:val="center"/>
          </w:tcPr>
          <w:p w14:paraId="2F107228">
            <w:pPr>
              <w:keepNext w:val="0"/>
              <w:keepLines w:val="0"/>
              <w:widowControl/>
              <w:suppressLineNumbers w:val="0"/>
              <w:spacing w:line="360" w:lineRule="auto"/>
              <w:jc w:val="center"/>
              <w:textAlignment w:val="center"/>
              <w:rPr>
                <w:rFonts w:hint="default" w:ascii="Arial Regular" w:hAnsi="Arial Regular" w:cs="Arial Regular"/>
                <w:b/>
                <w:bCs/>
                <w:i w:val="0"/>
                <w:iCs w:val="0"/>
                <w:color w:val="000000"/>
                <w:sz w:val="24"/>
                <w:szCs w:val="24"/>
                <w:u w:val="none"/>
                <w:lang w:val="de-DE"/>
              </w:rPr>
            </w:pPr>
            <w:r>
              <w:rPr>
                <w:rFonts w:hint="default" w:ascii="Arial Regular" w:hAnsi="Arial Regular" w:eastAsia="SimSun" w:cs="Arial Regular"/>
                <w:b/>
                <w:bCs/>
                <w:i w:val="0"/>
                <w:iCs w:val="0"/>
                <w:color w:val="000000"/>
                <w:kern w:val="0"/>
                <w:sz w:val="24"/>
                <w:szCs w:val="24"/>
                <w:u w:val="none"/>
                <w:lang w:val="de-DE" w:eastAsia="zh-CN" w:bidi="ar"/>
              </w:rPr>
              <w:t>Spain</w:t>
            </w:r>
          </w:p>
        </w:tc>
        <w:tc>
          <w:tcPr>
            <w:tcW w:w="1461" w:type="dxa"/>
            <w:tcBorders>
              <w:tl2br w:val="nil"/>
              <w:tr2bl w:val="nil"/>
            </w:tcBorders>
            <w:shd w:val="clear" w:color="auto" w:fill="auto"/>
            <w:vAlign w:val="center"/>
          </w:tcPr>
          <w:p w14:paraId="0709CD40">
            <w:pPr>
              <w:keepNext w:val="0"/>
              <w:keepLines w:val="0"/>
              <w:widowControl/>
              <w:suppressLineNumbers w:val="0"/>
              <w:spacing w:line="360" w:lineRule="auto"/>
              <w:jc w:val="center"/>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UK</w:t>
            </w:r>
          </w:p>
        </w:tc>
        <w:tc>
          <w:tcPr>
            <w:tcW w:w="4517" w:type="dxa"/>
            <w:tcBorders>
              <w:tl2br w:val="nil"/>
              <w:tr2bl w:val="nil"/>
            </w:tcBorders>
            <w:shd w:val="clear" w:color="auto" w:fill="auto"/>
            <w:vAlign w:val="center"/>
          </w:tcPr>
          <w:p w14:paraId="2001D1B7">
            <w:pPr>
              <w:keepNext w:val="0"/>
              <w:keepLines w:val="0"/>
              <w:widowControl/>
              <w:suppressLineNumbers w:val="0"/>
              <w:spacing w:line="360" w:lineRule="auto"/>
              <w:jc w:val="center"/>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Comparison</w:t>
            </w:r>
          </w:p>
        </w:tc>
      </w:tr>
      <w:tr w14:paraId="4FBED2AC">
        <w:trPr>
          <w:trHeight w:val="1212" w:hRule="atLeast"/>
        </w:trPr>
        <w:tc>
          <w:tcPr>
            <w:tcW w:w="1779" w:type="dxa"/>
            <w:tcBorders>
              <w:tl2br w:val="nil"/>
              <w:tr2bl w:val="nil"/>
            </w:tcBorders>
            <w:shd w:val="clear" w:color="auto" w:fill="auto"/>
            <w:vAlign w:val="center"/>
          </w:tcPr>
          <w:p w14:paraId="43219B42">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Power Distance</w:t>
            </w:r>
          </w:p>
        </w:tc>
        <w:tc>
          <w:tcPr>
            <w:tcW w:w="1403" w:type="dxa"/>
            <w:tcBorders>
              <w:tl2br w:val="nil"/>
              <w:tr2bl w:val="nil"/>
            </w:tcBorders>
            <w:shd w:val="clear" w:color="auto" w:fill="auto"/>
            <w:vAlign w:val="center"/>
          </w:tcPr>
          <w:p w14:paraId="6D028220">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57 (Moderate–High)</w:t>
            </w:r>
          </w:p>
        </w:tc>
        <w:tc>
          <w:tcPr>
            <w:tcW w:w="1461" w:type="dxa"/>
            <w:tcBorders>
              <w:tl2br w:val="nil"/>
              <w:tr2bl w:val="nil"/>
            </w:tcBorders>
            <w:shd w:val="clear" w:color="auto" w:fill="auto"/>
            <w:vAlign w:val="center"/>
          </w:tcPr>
          <w:p w14:paraId="032336B7">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35 (Low)</w:t>
            </w:r>
          </w:p>
        </w:tc>
        <w:tc>
          <w:tcPr>
            <w:tcW w:w="4517" w:type="dxa"/>
            <w:tcBorders>
              <w:tl2br w:val="nil"/>
              <w:tr2bl w:val="nil"/>
            </w:tcBorders>
            <w:shd w:val="clear" w:color="auto" w:fill="auto"/>
            <w:vAlign w:val="center"/>
          </w:tcPr>
          <w:p w14:paraId="557ABB21">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Spain has a more hierarchical culture with greater acceptance of authority, whereas the UK favours flatter structures and equality (Hofstede, Hofstede &amp; Minkov, 2010).</w:t>
            </w:r>
          </w:p>
        </w:tc>
      </w:tr>
      <w:tr w14:paraId="04BDC401">
        <w:trPr>
          <w:trHeight w:val="1112" w:hRule="atLeast"/>
        </w:trPr>
        <w:tc>
          <w:tcPr>
            <w:tcW w:w="1779" w:type="dxa"/>
            <w:tcBorders>
              <w:tl2br w:val="nil"/>
              <w:tr2bl w:val="nil"/>
            </w:tcBorders>
            <w:shd w:val="clear" w:color="auto" w:fill="auto"/>
            <w:vAlign w:val="center"/>
          </w:tcPr>
          <w:p w14:paraId="62609F59">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Individualism</w:t>
            </w:r>
          </w:p>
        </w:tc>
        <w:tc>
          <w:tcPr>
            <w:tcW w:w="1403" w:type="dxa"/>
            <w:tcBorders>
              <w:tl2br w:val="nil"/>
              <w:tr2bl w:val="nil"/>
            </w:tcBorders>
            <w:shd w:val="clear" w:color="auto" w:fill="auto"/>
            <w:vAlign w:val="center"/>
          </w:tcPr>
          <w:p w14:paraId="0126CEAB">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51 (Moderate)</w:t>
            </w:r>
          </w:p>
        </w:tc>
        <w:tc>
          <w:tcPr>
            <w:tcW w:w="1461" w:type="dxa"/>
            <w:tcBorders>
              <w:tl2br w:val="nil"/>
              <w:tr2bl w:val="nil"/>
            </w:tcBorders>
            <w:shd w:val="clear" w:color="auto" w:fill="auto"/>
            <w:vAlign w:val="center"/>
          </w:tcPr>
          <w:p w14:paraId="379EEC6A">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89 (High)</w:t>
            </w:r>
          </w:p>
        </w:tc>
        <w:tc>
          <w:tcPr>
            <w:tcW w:w="4517" w:type="dxa"/>
            <w:tcBorders>
              <w:tl2br w:val="nil"/>
              <w:tr2bl w:val="nil"/>
            </w:tcBorders>
            <w:shd w:val="clear" w:color="auto" w:fill="auto"/>
            <w:vAlign w:val="center"/>
          </w:tcPr>
          <w:p w14:paraId="143C1AEA">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Spain is relatively collectivist and relationship-oriented, while the UK is highly individualistic, emphasising independence and personal achievement (Hofstede, Hofstede &amp; Minkov, 2010).</w:t>
            </w:r>
          </w:p>
        </w:tc>
      </w:tr>
      <w:tr w14:paraId="51EB11F2">
        <w:trPr>
          <w:trHeight w:val="1100" w:hRule="atLeast"/>
        </w:trPr>
        <w:tc>
          <w:tcPr>
            <w:tcW w:w="1779" w:type="dxa"/>
            <w:tcBorders>
              <w:tl2br w:val="nil"/>
              <w:tr2bl w:val="nil"/>
            </w:tcBorders>
            <w:shd w:val="clear" w:color="auto" w:fill="auto"/>
            <w:vAlign w:val="center"/>
          </w:tcPr>
          <w:p w14:paraId="6DB08B53">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Motivation toward Achievement (Masculinity)</w:t>
            </w:r>
          </w:p>
        </w:tc>
        <w:tc>
          <w:tcPr>
            <w:tcW w:w="1403" w:type="dxa"/>
            <w:tcBorders>
              <w:tl2br w:val="nil"/>
              <w:tr2bl w:val="nil"/>
            </w:tcBorders>
            <w:shd w:val="clear" w:color="auto" w:fill="auto"/>
            <w:vAlign w:val="center"/>
          </w:tcPr>
          <w:p w14:paraId="7705F375">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42 (Low–Moderate)</w:t>
            </w:r>
          </w:p>
        </w:tc>
        <w:tc>
          <w:tcPr>
            <w:tcW w:w="1461" w:type="dxa"/>
            <w:tcBorders>
              <w:tl2br w:val="nil"/>
              <w:tr2bl w:val="nil"/>
            </w:tcBorders>
            <w:shd w:val="clear" w:color="auto" w:fill="auto"/>
            <w:vAlign w:val="center"/>
          </w:tcPr>
          <w:p w14:paraId="5D381A2A">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66 (High)</w:t>
            </w:r>
          </w:p>
        </w:tc>
        <w:tc>
          <w:tcPr>
            <w:tcW w:w="4517" w:type="dxa"/>
            <w:tcBorders>
              <w:tl2br w:val="nil"/>
              <w:tr2bl w:val="nil"/>
            </w:tcBorders>
            <w:shd w:val="clear" w:color="auto" w:fill="auto"/>
            <w:vAlign w:val="center"/>
          </w:tcPr>
          <w:p w14:paraId="68D33216">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Spain focuses more on quality of life and cooperation, whereas the UK is more competitive and success-driven (Hofstede, Hofstede &amp; Minkov, 2010).</w:t>
            </w:r>
          </w:p>
        </w:tc>
      </w:tr>
      <w:tr w14:paraId="28CEDE48">
        <w:trPr>
          <w:trHeight w:val="1300" w:hRule="atLeast"/>
        </w:trPr>
        <w:tc>
          <w:tcPr>
            <w:tcW w:w="1779" w:type="dxa"/>
            <w:tcBorders>
              <w:tl2br w:val="nil"/>
              <w:tr2bl w:val="nil"/>
            </w:tcBorders>
            <w:shd w:val="clear" w:color="auto" w:fill="auto"/>
            <w:vAlign w:val="center"/>
          </w:tcPr>
          <w:p w14:paraId="761759CE">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Uncertainty Avoidance</w:t>
            </w:r>
          </w:p>
        </w:tc>
        <w:tc>
          <w:tcPr>
            <w:tcW w:w="1403" w:type="dxa"/>
            <w:tcBorders>
              <w:tl2br w:val="nil"/>
              <w:tr2bl w:val="nil"/>
            </w:tcBorders>
            <w:shd w:val="clear" w:color="auto" w:fill="auto"/>
            <w:vAlign w:val="center"/>
          </w:tcPr>
          <w:p w14:paraId="18D52E94">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86 (High)</w:t>
            </w:r>
          </w:p>
        </w:tc>
        <w:tc>
          <w:tcPr>
            <w:tcW w:w="1461" w:type="dxa"/>
            <w:tcBorders>
              <w:tl2br w:val="nil"/>
              <w:tr2bl w:val="nil"/>
            </w:tcBorders>
            <w:shd w:val="clear" w:color="auto" w:fill="auto"/>
            <w:vAlign w:val="center"/>
          </w:tcPr>
          <w:p w14:paraId="065420A9">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35 (Low)</w:t>
            </w:r>
          </w:p>
        </w:tc>
        <w:tc>
          <w:tcPr>
            <w:tcW w:w="4517" w:type="dxa"/>
            <w:tcBorders>
              <w:tl2br w:val="nil"/>
              <w:tr2bl w:val="nil"/>
            </w:tcBorders>
            <w:shd w:val="clear" w:color="auto" w:fill="auto"/>
            <w:vAlign w:val="center"/>
          </w:tcPr>
          <w:p w14:paraId="0FF296D6">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lang w:val="de-DE"/>
              </w:rPr>
            </w:pPr>
            <w:r>
              <w:rPr>
                <w:rFonts w:hint="default" w:ascii="Arial Regular" w:hAnsi="Arial Regular" w:eastAsia="SimSun" w:cs="Arial Regular"/>
                <w:kern w:val="0"/>
                <w:sz w:val="24"/>
                <w:szCs w:val="24"/>
                <w:lang w:val="en-US" w:eastAsia="zh-CN" w:bidi="ar"/>
              </w:rPr>
              <w:t>Spain strongly prefers rules and structured environments, while the UK is more comfortable with ambiguity and change (Hofstede, Hofstede &amp; Minkov, 2010; Johnson, Scholes &amp; Whittington, 2017).</w:t>
            </w:r>
          </w:p>
        </w:tc>
      </w:tr>
      <w:tr w14:paraId="1EA84A0E">
        <w:trPr>
          <w:trHeight w:val="1018" w:hRule="atLeast"/>
        </w:trPr>
        <w:tc>
          <w:tcPr>
            <w:tcW w:w="1779" w:type="dxa"/>
            <w:tcBorders>
              <w:tl2br w:val="nil"/>
              <w:tr2bl w:val="nil"/>
            </w:tcBorders>
            <w:shd w:val="clear" w:color="auto" w:fill="auto"/>
            <w:vAlign w:val="center"/>
          </w:tcPr>
          <w:p w14:paraId="626C2712">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Long-Term Orientation</w:t>
            </w:r>
          </w:p>
        </w:tc>
        <w:tc>
          <w:tcPr>
            <w:tcW w:w="1403" w:type="dxa"/>
            <w:tcBorders>
              <w:tl2br w:val="nil"/>
              <w:tr2bl w:val="nil"/>
            </w:tcBorders>
            <w:shd w:val="clear" w:color="auto" w:fill="auto"/>
            <w:vAlign w:val="center"/>
          </w:tcPr>
          <w:p w14:paraId="0DBBB576">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48 (Moderate)</w:t>
            </w:r>
          </w:p>
        </w:tc>
        <w:tc>
          <w:tcPr>
            <w:tcW w:w="1461" w:type="dxa"/>
            <w:tcBorders>
              <w:tl2br w:val="nil"/>
              <w:tr2bl w:val="nil"/>
            </w:tcBorders>
            <w:shd w:val="clear" w:color="auto" w:fill="auto"/>
            <w:vAlign w:val="center"/>
          </w:tcPr>
          <w:p w14:paraId="2C22669A">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51 (Moderate)</w:t>
            </w:r>
          </w:p>
        </w:tc>
        <w:tc>
          <w:tcPr>
            <w:tcW w:w="4517" w:type="dxa"/>
            <w:tcBorders>
              <w:tl2br w:val="nil"/>
              <w:tr2bl w:val="nil"/>
            </w:tcBorders>
            <w:shd w:val="clear" w:color="auto" w:fill="auto"/>
            <w:vAlign w:val="center"/>
          </w:tcPr>
          <w:p w14:paraId="23E6CBAE">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Both countries show a balanced approach between short-term results and long-term planning, with minimal difference (Hofstede, Hofstede &amp; Minkov, 2010).</w:t>
            </w:r>
          </w:p>
        </w:tc>
      </w:tr>
      <w:tr w14:paraId="733EE322">
        <w:trPr>
          <w:trHeight w:val="983" w:hRule="atLeast"/>
        </w:trPr>
        <w:tc>
          <w:tcPr>
            <w:tcW w:w="1779" w:type="dxa"/>
            <w:tcBorders>
              <w:tl2br w:val="nil"/>
              <w:tr2bl w:val="nil"/>
            </w:tcBorders>
            <w:shd w:val="clear" w:color="auto" w:fill="auto"/>
            <w:vAlign w:val="center"/>
          </w:tcPr>
          <w:p w14:paraId="36531DED">
            <w:pPr>
              <w:keepNext w:val="0"/>
              <w:keepLines w:val="0"/>
              <w:widowControl/>
              <w:suppressLineNumbers w:val="0"/>
              <w:spacing w:line="360" w:lineRule="auto"/>
              <w:jc w:val="both"/>
              <w:textAlignment w:val="center"/>
              <w:rPr>
                <w:rFonts w:hint="default" w:ascii="Arial Regular" w:hAnsi="Arial Regular" w:cs="Arial Regular"/>
                <w:b/>
                <w:bCs/>
                <w:i w:val="0"/>
                <w:iCs w:val="0"/>
                <w:color w:val="000000"/>
                <w:sz w:val="24"/>
                <w:szCs w:val="24"/>
                <w:u w:val="none"/>
              </w:rPr>
            </w:pPr>
            <w:r>
              <w:rPr>
                <w:rFonts w:hint="default" w:ascii="Arial Regular" w:hAnsi="Arial Regular" w:eastAsia="SimSun" w:cs="Arial Regular"/>
                <w:b/>
                <w:bCs/>
                <w:i w:val="0"/>
                <w:iCs w:val="0"/>
                <w:color w:val="000000"/>
                <w:kern w:val="0"/>
                <w:sz w:val="24"/>
                <w:szCs w:val="24"/>
                <w:u w:val="none"/>
                <w:lang w:val="en-US" w:eastAsia="zh-CN" w:bidi="ar"/>
              </w:rPr>
              <w:t>Indulgence</w:t>
            </w:r>
          </w:p>
        </w:tc>
        <w:tc>
          <w:tcPr>
            <w:tcW w:w="1403" w:type="dxa"/>
            <w:tcBorders>
              <w:tl2br w:val="nil"/>
              <w:tr2bl w:val="nil"/>
            </w:tcBorders>
            <w:shd w:val="clear" w:color="auto" w:fill="auto"/>
            <w:vAlign w:val="center"/>
          </w:tcPr>
          <w:p w14:paraId="6632E13F">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44 (Moderate)</w:t>
            </w:r>
          </w:p>
        </w:tc>
        <w:tc>
          <w:tcPr>
            <w:tcW w:w="1461" w:type="dxa"/>
            <w:tcBorders>
              <w:tl2br w:val="nil"/>
              <w:tr2bl w:val="nil"/>
            </w:tcBorders>
            <w:shd w:val="clear" w:color="auto" w:fill="auto"/>
            <w:vAlign w:val="center"/>
          </w:tcPr>
          <w:p w14:paraId="1F79F445">
            <w:pPr>
              <w:keepNext w:val="0"/>
              <w:keepLines w:val="0"/>
              <w:widowControl/>
              <w:suppressLineNumbers w:val="0"/>
              <w:spacing w:line="360" w:lineRule="auto"/>
              <w:jc w:val="both"/>
              <w:textAlignment w:val="center"/>
              <w:rPr>
                <w:rFonts w:hint="default" w:ascii="Arial Regular" w:hAnsi="Arial Regular" w:cs="Arial Regular"/>
                <w:i w:val="0"/>
                <w:iCs w:val="0"/>
                <w:color w:val="000000"/>
                <w:sz w:val="24"/>
                <w:szCs w:val="24"/>
                <w:u w:val="none"/>
                <w:lang w:val="de-DE"/>
              </w:rPr>
            </w:pPr>
            <w:r>
              <w:rPr>
                <w:rFonts w:hint="default" w:ascii="Arial Regular" w:hAnsi="Arial Regular" w:cs="Arial Regular"/>
                <w:i w:val="0"/>
                <w:iCs w:val="0"/>
                <w:color w:val="000000"/>
                <w:sz w:val="24"/>
                <w:szCs w:val="24"/>
                <w:u w:val="none"/>
                <w:lang w:val="de-DE"/>
              </w:rPr>
              <w:t>69 (High)</w:t>
            </w:r>
          </w:p>
        </w:tc>
        <w:tc>
          <w:tcPr>
            <w:tcW w:w="4517" w:type="dxa"/>
            <w:tcBorders>
              <w:tl2br w:val="nil"/>
              <w:tr2bl w:val="nil"/>
            </w:tcBorders>
            <w:shd w:val="clear" w:color="auto" w:fill="auto"/>
            <w:vAlign w:val="center"/>
          </w:tcPr>
          <w:p w14:paraId="37C4DF2C">
            <w:pPr>
              <w:keepNext w:val="0"/>
              <w:keepLines w:val="0"/>
              <w:widowControl/>
              <w:suppressLineNumbers w:val="0"/>
              <w:spacing w:line="360" w:lineRule="auto"/>
              <w:jc w:val="both"/>
              <w:rPr>
                <w:rFonts w:hint="default" w:ascii="Arial Regular" w:hAnsi="Arial Regular" w:cs="Arial Regular"/>
                <w:i w:val="0"/>
                <w:iCs w:val="0"/>
                <w:color w:val="000000"/>
                <w:sz w:val="24"/>
                <w:szCs w:val="24"/>
                <w:u w:val="none"/>
              </w:rPr>
            </w:pPr>
            <w:r>
              <w:rPr>
                <w:rFonts w:hint="default" w:ascii="Arial Regular" w:hAnsi="Arial Regular" w:eastAsia="SimSun" w:cs="Arial Regular"/>
                <w:kern w:val="0"/>
                <w:sz w:val="24"/>
                <w:szCs w:val="24"/>
                <w:lang w:val="en-US" w:eastAsia="zh-CN" w:bidi="ar"/>
              </w:rPr>
              <w:t>Spain values leisure and enjoyment, but the UK is more indulgent, showing a stronger orientation towards gratification and lifestyle (Hofstede, Hofstede &amp; Minkov, 2010).</w:t>
            </w:r>
          </w:p>
        </w:tc>
      </w:tr>
    </w:tbl>
    <w:p w14:paraId="520B17E8">
      <w:pPr>
        <w:keepNext w:val="0"/>
        <w:keepLines w:val="0"/>
        <w:widowControl/>
        <w:suppressLineNumbers w:val="0"/>
        <w:spacing w:line="360" w:lineRule="auto"/>
        <w:jc w:val="both"/>
        <w:rPr>
          <w:rFonts w:hint="default" w:ascii="Arial Regular" w:hAnsi="Arial Regular" w:cs="Arial Regular"/>
          <w:b w:val="0"/>
          <w:bCs w:val="0"/>
          <w:sz w:val="24"/>
          <w:szCs w:val="24"/>
          <w:lang w:val="de-DE"/>
        </w:rPr>
      </w:pPr>
    </w:p>
    <w:p w14:paraId="0ED7C458">
      <w:pPr>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b w:val="0"/>
          <w:bCs w:val="0"/>
          <w:sz w:val="24"/>
          <w:szCs w:val="24"/>
          <w:lang w:val="de-DE"/>
        </w:rPr>
        <w:t xml:space="preserve">Figure 8: Hofstede’s Cultural Dimensions for Spain and UK </w:t>
      </w:r>
      <w:r>
        <w:rPr>
          <w:rFonts w:hint="default" w:ascii="Arial Regular" w:hAnsi="Arial Regular" w:eastAsia="SimSun" w:cs="Arial Regular"/>
          <w:kern w:val="0"/>
          <w:sz w:val="24"/>
          <w:szCs w:val="24"/>
          <w:lang w:val="en-US" w:eastAsia="zh-CN" w:bidi="ar"/>
        </w:rPr>
        <w:t>(The Culture Factor, 2026)</w:t>
      </w:r>
    </w:p>
    <w:p w14:paraId="147F3879">
      <w:pPr>
        <w:pStyle w:val="3"/>
        <w:keepNext w:val="0"/>
        <w:keepLines w:val="0"/>
        <w:widowControl/>
        <w:suppressLineNumbers w:val="0"/>
        <w:spacing w:line="360" w:lineRule="auto"/>
        <w:jc w:val="both"/>
        <w:rPr>
          <w:rFonts w:hint="default" w:ascii="Arial Regular" w:hAnsi="Arial Regular" w:cs="Arial Regular"/>
          <w:sz w:val="24"/>
          <w:szCs w:val="24"/>
          <w:lang w:val="de-DE"/>
        </w:rPr>
      </w:pPr>
      <w:r>
        <w:rPr>
          <w:rStyle w:val="11"/>
          <w:rFonts w:hint="default" w:ascii="Arial Regular" w:hAnsi="Arial Regular" w:cs="Arial Regular"/>
          <w:b/>
          <w:bCs/>
          <w:sz w:val="24"/>
          <w:szCs w:val="24"/>
        </w:rPr>
        <w:t xml:space="preserve">Critical </w:t>
      </w:r>
      <w:r>
        <w:rPr>
          <w:rStyle w:val="11"/>
          <w:rFonts w:hint="default" w:ascii="Arial Regular" w:hAnsi="Arial Regular" w:cs="Arial Regular"/>
          <w:b/>
          <w:bCs/>
          <w:sz w:val="24"/>
          <w:szCs w:val="24"/>
          <w:lang w:val="de-DE"/>
        </w:rPr>
        <w:t>Analysis</w:t>
      </w:r>
    </w:p>
    <w:p w14:paraId="67C57772">
      <w:pPr>
        <w:pStyle w:val="10"/>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rPr>
        <w:t>Spain’s cultural characteristics—particularly high uncertainty avoidance, moderate collectivism and a focus on quality of life—strongly support hospitality operations by encouraging structured service delivery and relationship-oriented customer experiences (Hofstede, Hofstede &amp; Minkov, 2010). However, cultural differences with the UK, especially in individualism and risk tolerance, highlight the need for Meliá Hotels International to adapt its management practices and service strategies across markets to maintain competitiveness (Johnson, Scholes &amp; Whittington, 2017).</w:t>
      </w:r>
      <w:r>
        <w:rPr>
          <w:rFonts w:hint="default" w:ascii="Arial Regular" w:hAnsi="Arial Regular" w:cs="Arial Regular"/>
          <w:sz w:val="24"/>
          <w:szCs w:val="24"/>
          <w:lang w:val="de-DE"/>
        </w:rPr>
        <w:t xml:space="preserve"> </w:t>
      </w:r>
    </w:p>
    <w:p w14:paraId="281145E5">
      <w:pPr>
        <w:pStyle w:val="10"/>
        <w:keepNext w:val="0"/>
        <w:keepLines w:val="0"/>
        <w:widowControl/>
        <w:numPr>
          <w:ilvl w:val="0"/>
          <w:numId w:val="1"/>
        </w:numPr>
        <w:suppressLineNumbers w:val="0"/>
        <w:spacing w:line="360" w:lineRule="auto"/>
        <w:ind w:left="0" w:leftChars="0" w:right="0" w:rightChars="0" w:firstLine="0" w:firstLineChars="0"/>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Conclusion </w:t>
      </w:r>
    </w:p>
    <w:p w14:paraId="24152E95">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lang w:val="de-DE"/>
        </w:rPr>
        <w:t>T</w:t>
      </w:r>
      <w:r>
        <w:rPr>
          <w:rFonts w:hint="default" w:ascii="Arial Regular" w:hAnsi="Arial Regular" w:cs="Arial Regular"/>
          <w:sz w:val="24"/>
          <w:szCs w:val="24"/>
        </w:rPr>
        <w:t xml:space="preserve">he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in Spain remains one of the most competitive and globally recognised sectors, supported by strong natural resources, advanced infrastructure and high international demand. The industry’s economic significance is evident through its substantial contribution to GDP and employment, reinforcing its role as a key driver of national development (UNWTO, 2020). The presence of both domestic and multinational firms, such as Meliá Hotels International, demonstrates a highly competitive environment characterised by strategic differentiation and innovation (Ivanov &amp; Webster, 2019).</w:t>
      </w:r>
    </w:p>
    <w:p w14:paraId="3AD9AE38">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application of Porter’s Diamond Model highlights Spain’s strong competitive advantages, particularly in factor conditions, demand sophistication and supporting industries (Porter, 1990). However, challenges such as seasonality, over</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and environmental sustainability pose risks to long-term growth.</w:t>
      </w:r>
    </w:p>
    <w:p w14:paraId="184A539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analysis of Meliá Hotels International further reveals that while the company benefits from strong branding, global presence and strategic positioning, it operates within a complex environment influenced by economic volatility, technological disruption and regulatory pressures. Frameworks such as PESTEL and Porter’s Five Forces demonstrate that high competition and buyer power significantly impact profitability, while SWOT analysis identifies both growth opportunities and operational risks (Johnson et al., 2017).</w:t>
      </w:r>
    </w:p>
    <w:p w14:paraId="65D1A049">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Overall, Spain remains an attractive market for </w:t>
      </w:r>
      <w:r>
        <w:rPr>
          <w:rFonts w:hint="default" w:ascii="Arial Regular" w:hAnsi="Arial Regular" w:cs="Arial Regular"/>
          <w:sz w:val="24"/>
          <w:szCs w:val="24"/>
          <w:lang w:val="de-DE"/>
        </w:rPr>
        <w:t>hospitality</w:t>
      </w:r>
      <w:r>
        <w:rPr>
          <w:rFonts w:hint="default" w:ascii="Arial Regular" w:hAnsi="Arial Regular" w:cs="Arial Regular"/>
          <w:sz w:val="24"/>
          <w:szCs w:val="24"/>
        </w:rPr>
        <w:t>, but sustained success for firms like Meliá depends on continuous innovation, sustainability initiatives and strategic adaptability. Long-term competitiveness will rely on balancing growth with environmental and social considerations.</w:t>
      </w:r>
    </w:p>
    <w:p w14:paraId="4BAA652A">
      <w:pPr>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eastAsia="SimSun" w:cs="Arial Regular"/>
          <w:b w:val="0"/>
          <w:bCs w:val="0"/>
          <w:kern w:val="0"/>
          <w:sz w:val="24"/>
          <w:szCs w:val="24"/>
          <w:lang w:val="en-US" w:eastAsia="zh-CN" w:bidi="ar"/>
        </w:rPr>
        <w:t xml:space="preserve">In conclusion, Spain’s </w:t>
      </w:r>
      <w:r>
        <w:rPr>
          <w:rFonts w:hint="default" w:ascii="Arial Regular" w:hAnsi="Arial Regular" w:eastAsia="SimSun" w:cs="Arial Regular"/>
          <w:b w:val="0"/>
          <w:bCs w:val="0"/>
          <w:kern w:val="0"/>
          <w:sz w:val="24"/>
          <w:szCs w:val="24"/>
          <w:lang w:val="de-DE" w:eastAsia="zh-CN" w:bidi="ar"/>
        </w:rPr>
        <w:t xml:space="preserve">hospitality </w:t>
      </w:r>
      <w:r>
        <w:rPr>
          <w:rFonts w:hint="default" w:ascii="Arial Regular" w:hAnsi="Arial Regular" w:eastAsia="SimSun" w:cs="Arial Regular"/>
          <w:b w:val="0"/>
          <w:bCs w:val="0"/>
          <w:kern w:val="0"/>
          <w:sz w:val="24"/>
          <w:szCs w:val="24"/>
          <w:lang w:val="en-US" w:eastAsia="zh-CN" w:bidi="ar"/>
        </w:rPr>
        <w:t>industry is highly competitive and contributes significantly to the economy.</w:t>
      </w:r>
      <w:r>
        <w:rPr>
          <w:rFonts w:hint="default" w:ascii="Arial Regular" w:hAnsi="Arial Regular" w:eastAsia="SimSun" w:cs="Arial Regular"/>
          <w:b w:val="0"/>
          <w:bCs w:val="0"/>
          <w:kern w:val="0"/>
          <w:sz w:val="24"/>
          <w:szCs w:val="24"/>
          <w:lang w:val="en-US" w:eastAsia="zh-CN" w:bidi="ar"/>
        </w:rPr>
        <w:br w:type="textWrapping"/>
      </w:r>
      <w:r>
        <w:rPr>
          <w:rStyle w:val="11"/>
          <w:rFonts w:hint="default" w:ascii="Arial Regular" w:hAnsi="Arial Regular" w:eastAsia="SimSun" w:cs="Arial Regular"/>
          <w:b w:val="0"/>
          <w:bCs w:val="0"/>
          <w:kern w:val="0"/>
          <w:sz w:val="24"/>
          <w:szCs w:val="24"/>
          <w:lang w:val="en-US" w:eastAsia="zh-CN" w:bidi="ar"/>
        </w:rPr>
        <w:t>Overall, while Spain maintains strong competitive advantages, its long-term sustainability will depend on balancing growth with environmental and regulatory constraints.</w:t>
      </w:r>
    </w:p>
    <w:p w14:paraId="633471E8">
      <w:pPr>
        <w:pStyle w:val="10"/>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Section 2 </w:t>
      </w:r>
    </w:p>
    <w:p w14:paraId="5C201846">
      <w:pPr>
        <w:pStyle w:val="10"/>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rPr>
        <w:t>Reflective Account Using Gibbs’ Reflective Cycle</w:t>
      </w:r>
      <w:r>
        <w:rPr>
          <w:rFonts w:hint="default" w:ascii="Arial Regular" w:hAnsi="Arial Regular" w:cs="Arial Regular"/>
          <w:b/>
          <w:bCs/>
          <w:sz w:val="24"/>
          <w:szCs w:val="24"/>
          <w:lang w:val="de-DE"/>
        </w:rPr>
        <w:t xml:space="preserve"> </w:t>
      </w:r>
    </w:p>
    <w:p w14:paraId="666FA20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Gibbs’ Reflective Cycle is a structured model that enables individuals to learn from experience through six stages: description, feelings, evaluation, analysis, conclusion and action plan (Gibbs, 1988). This model encourages critical thinking and continuous improvement by systematically reflecting on experiences. This reflective account evaluates my learning process while completing the report on Spain’s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and the strategic analysis of Meliá Hotels International.</w:t>
      </w:r>
    </w:p>
    <w:p w14:paraId="5D1F54D9">
      <w:pPr>
        <w:pStyle w:val="10"/>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2891790" cy="2891790"/>
            <wp:effectExtent l="0" t="0" r="3810" b="3810"/>
            <wp:docPr id="2" name="Picture 2" descr="Gibbs-Reflective-Cycle-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ibbs-Reflective-Cycle-1024x1024"/>
                    <pic:cNvPicPr>
                      <a:picLocks noChangeAspect="1"/>
                    </pic:cNvPicPr>
                  </pic:nvPicPr>
                  <pic:blipFill>
                    <a:blip r:embed="rId13"/>
                    <a:stretch>
                      <a:fillRect/>
                    </a:stretch>
                  </pic:blipFill>
                  <pic:spPr>
                    <a:xfrm>
                      <a:off x="0" y="0"/>
                      <a:ext cx="2891790" cy="2891790"/>
                    </a:xfrm>
                    <a:prstGeom prst="rect">
                      <a:avLst/>
                    </a:prstGeom>
                  </pic:spPr>
                </pic:pic>
              </a:graphicData>
            </a:graphic>
          </wp:inline>
        </w:drawing>
      </w:r>
    </w:p>
    <w:p w14:paraId="1696AF58">
      <w:pPr>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Figure 9: Gibbs Reflective Cycle </w:t>
      </w:r>
      <w:r>
        <w:rPr>
          <w:rFonts w:hint="default" w:ascii="Arial Regular" w:hAnsi="Arial Regular" w:eastAsia="SimSun" w:cs="Arial Regular"/>
          <w:kern w:val="0"/>
          <w:sz w:val="24"/>
          <w:szCs w:val="24"/>
          <w:lang w:val="en-US" w:eastAsia="zh-CN" w:bidi="ar"/>
        </w:rPr>
        <w:t xml:space="preserve">(Channell, </w:t>
      </w:r>
      <w:r>
        <w:rPr>
          <w:rFonts w:hint="default" w:ascii="Arial Regular" w:hAnsi="Arial Regular" w:cs="Arial Regular"/>
          <w:kern w:val="0"/>
          <w:sz w:val="24"/>
          <w:szCs w:val="24"/>
          <w:lang w:val="de-DE" w:eastAsia="zh-CN" w:bidi="ar"/>
        </w:rPr>
        <w:t>2025</w:t>
      </w:r>
      <w:r>
        <w:rPr>
          <w:rFonts w:hint="default" w:ascii="Arial Regular" w:hAnsi="Arial Regular" w:eastAsia="SimSun" w:cs="Arial Regular"/>
          <w:kern w:val="0"/>
          <w:sz w:val="24"/>
          <w:szCs w:val="24"/>
          <w:lang w:val="en-US" w:eastAsia="zh-CN" w:bidi="ar"/>
        </w:rPr>
        <w:t>)</w:t>
      </w:r>
    </w:p>
    <w:p w14:paraId="1E2D5A8B">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Description</w:t>
      </w:r>
    </w:p>
    <w:p w14:paraId="46E4794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This assignment required me to conduct a comprehensive analysis of Spain’s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using multiple strategic frameworks. These included Porter’s Diamond Model to assess national competitiveness, PESTEL analysis to evaluate the macro-environment, Porter’s Five Forces to examine industry competition, SWOT analysis to identify internal and external factors, and Hofstede’s Cultural Dimensions to understand cultural influences. Additionally, I had to analyse key firms in the Spanish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industry and critically evaluate Meliá Hotels International’s position within this competitive environment.</w:t>
      </w:r>
    </w:p>
    <w:p w14:paraId="3C63D92D">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task involved extensive research using academic books and journal articles, as well as the application of theoretical concepts to real-world business scenarios. I also had to ensure proper academic writing, including Harvard-style referencing, maintaining strict word limits and presenting arguments in a structured and logical manner.</w:t>
      </w:r>
    </w:p>
    <w:p w14:paraId="690CE746">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Feelings</w:t>
      </w:r>
    </w:p>
    <w:p w14:paraId="4752D030">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At the beginning of the assignment, I felt overwhelmed due to the wide scope of the task and the requirement to apply multiple frameworks accurately. I was particularly concerned about whether I would be able to integrate theory with practice effectively. The strict word limits added additional pressure, as I needed to be concise while maintaining critical depth.</w:t>
      </w:r>
    </w:p>
    <w:p w14:paraId="7547714B">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However, as I progressed, my confidence gradually increased. I began to understand how each framework contributed to the overall analysis and how they could be interconnected. I found the process of applying theoretical models to a real company, such as Meliá Hotels International, both interesting and rewarding. By the end of the assignment, I felt a sense of accomplishment and satisfaction with my work.</w:t>
      </w:r>
    </w:p>
    <w:p w14:paraId="74252892">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Evaluation</w:t>
      </w:r>
    </w:p>
    <w:p w14:paraId="647F71EF">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One of the key strengths of my work was the ability to apply multiple strategic frameworks to analyse a real-world industry. This helped me develop a deeper understanding of how theoretical concepts are used in practice (Johnson, Scholes &amp; Whittington, 2017). I also improved my research skills by using academic sources and incorporating in-text citations appropriately.</w:t>
      </w:r>
    </w:p>
    <w:p w14:paraId="3F90A70D">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Another positive aspect was my improved ability to structure a report logically. I was able to organise the content into clear sections, making it easier to present arguments systematically. This reflects the importance of structured thinking in academic writing.</w:t>
      </w:r>
    </w:p>
    <w:p w14:paraId="157F3A40">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However, there were also some weaknesses. At times, I focused too much on describing the frameworks rather than critically analysing their implications. This limited the depth of my evaluation in certain sections. Additionally, managing the word limit was challenging, as I had to balance detail with conciseness. Time management was another issue, as the assignment required significant research and careful editing.</w:t>
      </w:r>
    </w:p>
    <w:p w14:paraId="49491F19">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Analysis</w:t>
      </w:r>
    </w:p>
    <w:p w14:paraId="73341125">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This assignment highlighted the importance of integrating theory with real-world application. For example, using Porter’s Diamond Model helped me understand how Spain’s competitive advantage in </w:t>
      </w:r>
      <w:r>
        <w:rPr>
          <w:rFonts w:hint="default" w:ascii="Arial Regular" w:hAnsi="Arial Regular" w:cs="Arial Regular"/>
          <w:sz w:val="24"/>
          <w:szCs w:val="24"/>
          <w:lang w:val="de-DE"/>
        </w:rPr>
        <w:t>hospitality</w:t>
      </w:r>
      <w:r>
        <w:rPr>
          <w:rFonts w:hint="default" w:ascii="Arial Regular" w:hAnsi="Arial Regular" w:cs="Arial Regular"/>
          <w:sz w:val="24"/>
          <w:szCs w:val="24"/>
        </w:rPr>
        <w:t xml:space="preserve"> is influenced by interconnected factors such as infrastructure, demand and industry rivalry (Porter, 1990). Similarly, PESTEL analysis demonstrated how external factors such as political stability, economic conditions and environmental challenges impact business operations.</w:t>
      </w:r>
    </w:p>
    <w:p w14:paraId="3958CFBD">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use of multiple frameworks also emphasised the complexity of strategic analysis. Each framework provided a different perspective, and combining them allowed for a more comprehensive understanding of the industry. This aligns with the idea that no single model can fully explain organisational performance, and multiple approaches are needed for effective analysis (Johnson et al., 2017).</w:t>
      </w:r>
    </w:p>
    <w:p w14:paraId="692F2670">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Furthermore, this experience reinforced the importance of critical thinking. According to Gibbs (1988), reflection involves analysing both positive and negative aspects of an experience to improve future performance. I realised that effective academic work requires not only understanding theories but also evaluating their relevance and limitations.</w:t>
      </w:r>
    </w:p>
    <w:p w14:paraId="70966E5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Another important learning point was the significance of cultural factors in international business. Applying Hofstede’s Cultural Dimensions helped me understand how cultural differences influence management practices and customer expectations. This highlighted the importance of adapting business strategies to different cultural contexts.</w:t>
      </w:r>
    </w:p>
    <w:p w14:paraId="054CF5B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Additionally, the assignment improved my ability to use academic references effectively. I learned how to integrate citations into my writing to support arguments and enhance credibility. This is a crucial skill in academic and professional contexts.</w:t>
      </w:r>
    </w:p>
    <w:p w14:paraId="059D3090">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Conclusion</w:t>
      </w:r>
    </w:p>
    <w:p w14:paraId="0E56210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Overall, this assignment was a valuable learning experience that significantly enhanced my understanding of strategic analysis and international business. I developed important skills in research, critical thinking and academic writing. While I faced challenges such as managing word limits and ensuring critical depth, I was able to overcome them through practice and revision.</w:t>
      </w:r>
    </w:p>
    <w:p w14:paraId="51F2D3B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The experience has increased my confidence in applying theoretical frameworks to real-world situations. It has also highlighted areas for improvement, particularly in developing stronger critical analysis and time management skills. Reflecting on this experience has helped me identify both my strengths and weaknesses, which is essential for continuous learning and development (Gibbs, 1988).</w:t>
      </w:r>
    </w:p>
    <w:p w14:paraId="488464A8">
      <w:pPr>
        <w:pStyle w:val="3"/>
        <w:keepNext w:val="0"/>
        <w:keepLines w:val="0"/>
        <w:widowControl/>
        <w:numPr>
          <w:ilvl w:val="0"/>
          <w:numId w:val="5"/>
        </w:numPr>
        <w:suppressLineNumbers w:val="0"/>
        <w:spacing w:line="360" w:lineRule="auto"/>
        <w:ind w:left="420" w:leftChars="0" w:hanging="420" w:firstLineChars="0"/>
        <w:jc w:val="both"/>
        <w:rPr>
          <w:rFonts w:hint="default" w:ascii="Arial Regular" w:hAnsi="Arial Regular" w:cs="Arial Regular"/>
          <w:sz w:val="24"/>
          <w:szCs w:val="24"/>
        </w:rPr>
      </w:pPr>
      <w:r>
        <w:rPr>
          <w:rStyle w:val="11"/>
          <w:rFonts w:hint="default" w:ascii="Arial Regular" w:hAnsi="Arial Regular" w:cs="Arial Regular"/>
          <w:b/>
          <w:bCs/>
          <w:sz w:val="24"/>
          <w:szCs w:val="24"/>
        </w:rPr>
        <w:t>Action Plan</w:t>
      </w:r>
    </w:p>
    <w:p w14:paraId="0CE0DF18">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In the future, I plan to improve my critical analysis skills by engaging more deeply with academic literature and focusing on evaluating rather than describing concepts. I will practise writing concise arguments that demonstrate deeper insight within limited word counts.</w:t>
      </w:r>
    </w:p>
    <w:p w14:paraId="3E49DB3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To address time management issues, I will start assignments earlier and create a structured plan with specific deadlines for each section. This will help me manage workload more effectively and allow sufficient time for revision and improvement.</w:t>
      </w:r>
    </w:p>
    <w:p w14:paraId="4A9B94A6">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 also aim to enhance my academic writing skills by practising proper referencing and improving the clarity and coherence of my arguments. Additionally, I will continue applying theoretical frameworks to real-world case studies, as this approach strengthens my understanding and practical application of concepts.</w:t>
      </w:r>
    </w:p>
    <w:p w14:paraId="7EB43C67">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By following this action plan, I aim to improve my academic performance and develop the skills necessary for future studies and professional success in the field of business and management.</w:t>
      </w:r>
    </w:p>
    <w:p w14:paraId="3C253CDD">
      <w:pPr>
        <w:pStyle w:val="10"/>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5718810" cy="1882140"/>
            <wp:effectExtent l="0" t="0" r="21590" b="22860"/>
            <wp:docPr id="9" name="Picture 9"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nner"/>
                    <pic:cNvPicPr>
                      <a:picLocks noChangeAspect="1"/>
                    </pic:cNvPicPr>
                  </pic:nvPicPr>
                  <pic:blipFill>
                    <a:blip r:embed="rId14"/>
                    <a:stretch>
                      <a:fillRect/>
                    </a:stretch>
                  </pic:blipFill>
                  <pic:spPr>
                    <a:xfrm>
                      <a:off x="0" y="0"/>
                      <a:ext cx="5718810" cy="1882140"/>
                    </a:xfrm>
                    <a:prstGeom prst="rect">
                      <a:avLst/>
                    </a:prstGeom>
                  </pic:spPr>
                </pic:pic>
              </a:graphicData>
            </a:graphic>
          </wp:inline>
        </w:drawing>
      </w:r>
    </w:p>
    <w:p w14:paraId="459C186F">
      <w:pPr>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t xml:space="preserve">Figure 10: </w:t>
      </w:r>
      <w:r>
        <w:rPr>
          <w:rFonts w:hint="default" w:ascii="Arial Regular" w:hAnsi="Arial Regular" w:eastAsia="SimSun" w:cs="Arial Regular"/>
          <w:kern w:val="0"/>
          <w:sz w:val="24"/>
          <w:szCs w:val="24"/>
          <w:lang w:val="en-US" w:eastAsia="zh-CN" w:bidi="ar"/>
        </w:rPr>
        <w:t>Meliá Hotels International</w:t>
      </w:r>
      <w:r>
        <w:rPr>
          <w:rFonts w:hint="default" w:ascii="Arial Regular" w:hAnsi="Arial Regular" w:cs="Arial Regular"/>
          <w:kern w:val="0"/>
          <w:sz w:val="24"/>
          <w:szCs w:val="24"/>
          <w:lang w:val="de-DE" w:eastAsia="zh-CN" w:bidi="ar"/>
        </w:rPr>
        <w:t xml:space="preserve"> (Source: </w:t>
      </w:r>
      <w:r>
        <w:rPr>
          <w:rFonts w:hint="default" w:ascii="Arial Regular" w:hAnsi="Arial Regular" w:eastAsia="SimSun" w:cs="Arial Regular"/>
          <w:kern w:val="0"/>
          <w:sz w:val="24"/>
          <w:szCs w:val="24"/>
          <w:lang w:val="en-US" w:eastAsia="zh-CN" w:bidi="ar"/>
        </w:rPr>
        <w:t>Hospitality ON, no date)</w:t>
      </w:r>
    </w:p>
    <w:p w14:paraId="6F0986FA">
      <w:pPr>
        <w:pStyle w:val="10"/>
        <w:keepNext w:val="0"/>
        <w:keepLines w:val="0"/>
        <w:widowControl/>
        <w:suppressLineNumbers w:val="0"/>
        <w:spacing w:line="360" w:lineRule="auto"/>
        <w:jc w:val="both"/>
        <w:rPr>
          <w:rFonts w:hint="default" w:ascii="Arial Regular" w:hAnsi="Arial Regular" w:cs="Arial Regular"/>
          <w:sz w:val="24"/>
          <w:szCs w:val="24"/>
          <w:lang w:val="de-DE"/>
        </w:rPr>
      </w:pPr>
      <w:r>
        <w:rPr>
          <w:rStyle w:val="11"/>
          <w:rFonts w:hint="default" w:ascii="Arial Regular" w:hAnsi="Arial Regular" w:cs="Arial Regular"/>
          <w:sz w:val="24"/>
          <w:szCs w:val="24"/>
        </w:rPr>
        <w:t xml:space="preserve">Summary </w:t>
      </w:r>
      <w:r>
        <w:rPr>
          <w:rFonts w:hint="default" w:ascii="Arial Regular" w:hAnsi="Arial Regular" w:cs="Arial Regular"/>
          <w:sz w:val="24"/>
          <w:szCs w:val="24"/>
        </w:rPr>
        <w:br w:type="textWrapping"/>
      </w:r>
      <w:r>
        <w:rPr>
          <w:rFonts w:hint="default" w:ascii="Arial Regular" w:hAnsi="Arial Regular" w:cs="Arial Regular"/>
          <w:sz w:val="24"/>
          <w:szCs w:val="24"/>
        </w:rPr>
        <w:t>This report analyses Spain’s hospitality industry, examining its economic importance, competitive structure and key firms, focusing on Meliá Hotels International. Using Porter’s Diamond, PESTEL, Five Forces, SWOT and Hofstede frameworks, it identifies demand, infrastructure and rivalry as advantages, highlighting risks from seasonality, regulation and environmental pressures (Porter, 1990; UNWTO, 2020).</w:t>
      </w:r>
    </w:p>
    <w:p w14:paraId="6FE22C72">
      <w:pPr>
        <w:pStyle w:val="10"/>
        <w:keepNext w:val="0"/>
        <w:keepLines w:val="0"/>
        <w:widowControl/>
        <w:suppressLineNumbers w:val="0"/>
        <w:spacing w:line="360" w:lineRule="auto"/>
        <w:jc w:val="both"/>
        <w:rPr>
          <w:rFonts w:hint="default" w:ascii="Arial Regular" w:hAnsi="Arial Regular" w:cs="Arial Regular"/>
          <w:sz w:val="24"/>
          <w:szCs w:val="24"/>
        </w:rPr>
      </w:pPr>
      <w:r>
        <w:rPr>
          <w:rStyle w:val="11"/>
          <w:rFonts w:hint="default" w:ascii="Arial Regular" w:hAnsi="Arial Regular" w:cs="Arial Regular"/>
          <w:sz w:val="24"/>
          <w:szCs w:val="24"/>
        </w:rPr>
        <w:t xml:space="preserve">Conclusion </w:t>
      </w:r>
      <w:r>
        <w:rPr>
          <w:rFonts w:hint="default" w:ascii="Arial Regular" w:hAnsi="Arial Regular" w:cs="Arial Regular"/>
          <w:sz w:val="24"/>
          <w:szCs w:val="24"/>
        </w:rPr>
        <w:br w:type="textWrapping"/>
      </w:r>
      <w:r>
        <w:rPr>
          <w:rFonts w:hint="default" w:ascii="Arial Regular" w:hAnsi="Arial Regular" w:cs="Arial Regular"/>
          <w:sz w:val="24"/>
          <w:szCs w:val="24"/>
        </w:rPr>
        <w:t>In conclusion, Spain’s hospitality industry remains competitive and significant, supported by infrastructure and demand. However, sustainability depends on addressing environmental challenges, regulatory constraints and market dependence. Meliá Hotels International must prioritise innovation, diversification and sustainability to maintain competitiveness and adapt to pressures (Johnson et al., 2017; Gössling et al., 2015).</w:t>
      </w:r>
    </w:p>
    <w:p w14:paraId="79668892">
      <w:pPr>
        <w:pStyle w:val="10"/>
        <w:keepNext w:val="0"/>
        <w:keepLines w:val="0"/>
        <w:widowControl/>
        <w:suppressLineNumbers w:val="0"/>
        <w:spacing w:line="360" w:lineRule="auto"/>
        <w:jc w:val="both"/>
        <w:rPr>
          <w:rFonts w:hint="default" w:ascii="Arial Regular" w:hAnsi="Arial Regular" w:cs="Arial Regular"/>
          <w:sz w:val="24"/>
          <w:szCs w:val="24"/>
        </w:rPr>
      </w:pPr>
    </w:p>
    <w:p w14:paraId="5BFF6FF2">
      <w:pPr>
        <w:spacing w:line="360" w:lineRule="auto"/>
        <w:jc w:val="both"/>
        <w:rPr>
          <w:rFonts w:hint="default" w:ascii="Arial Regular" w:hAnsi="Arial Regular" w:cs="Arial Regular"/>
          <w:b w:val="0"/>
          <w:bCs w:val="0"/>
          <w:sz w:val="24"/>
          <w:szCs w:val="24"/>
        </w:rPr>
      </w:pPr>
    </w:p>
    <w:p w14:paraId="631228E2">
      <w:pPr>
        <w:spacing w:line="360" w:lineRule="auto"/>
        <w:jc w:val="both"/>
        <w:rPr>
          <w:rStyle w:val="11"/>
          <w:rFonts w:hint="default" w:ascii="Arial Regular" w:hAnsi="Arial Regular" w:cs="Arial Regular"/>
          <w:b/>
          <w:bCs/>
          <w:sz w:val="24"/>
          <w:szCs w:val="24"/>
          <w:lang w:val="de-DE"/>
        </w:rPr>
      </w:pPr>
      <w:r>
        <w:rPr>
          <w:rStyle w:val="11"/>
          <w:rFonts w:hint="default" w:ascii="Arial Regular" w:hAnsi="Arial Regular" w:cs="Arial Regular"/>
          <w:b/>
          <w:bCs/>
          <w:sz w:val="24"/>
          <w:szCs w:val="24"/>
          <w:lang w:val="de-DE"/>
        </w:rPr>
        <w:br w:type="page"/>
      </w:r>
    </w:p>
    <w:p w14:paraId="3753C011">
      <w:pPr>
        <w:spacing w:line="360" w:lineRule="auto"/>
        <w:jc w:val="both"/>
        <w:rPr>
          <w:rFonts w:hint="default" w:ascii="Arial Regular" w:hAnsi="Arial Regular" w:cs="Arial Regular"/>
          <w:b/>
          <w:bCs/>
          <w:sz w:val="24"/>
          <w:szCs w:val="24"/>
          <w:lang w:val="de-DE"/>
        </w:rPr>
      </w:pPr>
      <w:r>
        <w:rPr>
          <w:rStyle w:val="11"/>
          <w:rFonts w:hint="default" w:ascii="Arial Regular" w:hAnsi="Arial Regular" w:cs="Arial Regular"/>
          <w:b/>
          <w:bCs/>
          <w:sz w:val="24"/>
          <w:szCs w:val="24"/>
          <w:lang w:val="de-DE"/>
        </w:rPr>
        <w:t xml:space="preserve">Bibliography </w:t>
      </w:r>
    </w:p>
    <w:p w14:paraId="33CCA5D7">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Bello, L. and Roig, J. (2017) </w:t>
      </w:r>
      <w:r>
        <w:rPr>
          <w:rStyle w:val="6"/>
          <w:rFonts w:hint="default" w:ascii="Arial Regular" w:hAnsi="Arial Regular" w:cs="Arial Regular"/>
          <w:sz w:val="24"/>
          <w:szCs w:val="24"/>
        </w:rPr>
        <w:t>Tourism economics and policy</w:t>
      </w:r>
      <w:r>
        <w:rPr>
          <w:rFonts w:hint="default" w:ascii="Arial Regular" w:hAnsi="Arial Regular" w:cs="Arial Regular"/>
          <w:sz w:val="24"/>
          <w:szCs w:val="24"/>
        </w:rPr>
        <w:t>. London: Routledge.</w:t>
      </w:r>
    </w:p>
    <w:p w14:paraId="6A0BA8F1">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Buhalis, D. and Law, R. (2008) ‘Progress in information technology and tourism management’, </w:t>
      </w:r>
      <w:r>
        <w:rPr>
          <w:rStyle w:val="6"/>
          <w:rFonts w:hint="default" w:ascii="Arial Regular" w:hAnsi="Arial Regular" w:cs="Arial Regular"/>
          <w:sz w:val="24"/>
          <w:szCs w:val="24"/>
        </w:rPr>
        <w:t>Tourism Management</w:t>
      </w:r>
      <w:r>
        <w:rPr>
          <w:rFonts w:hint="default" w:ascii="Arial Regular" w:hAnsi="Arial Regular" w:cs="Arial Regular"/>
          <w:sz w:val="24"/>
          <w:szCs w:val="24"/>
        </w:rPr>
        <w:t>, 29(4), pp. 609–623.</w:t>
      </w:r>
    </w:p>
    <w:p w14:paraId="0792D65B">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Buhalis, D. and Laws, E. (2001) </w:t>
      </w:r>
      <w:r>
        <w:rPr>
          <w:rStyle w:val="6"/>
          <w:rFonts w:hint="default" w:ascii="Arial Regular" w:hAnsi="Arial Regular" w:cs="Arial Regular"/>
          <w:sz w:val="24"/>
          <w:szCs w:val="24"/>
        </w:rPr>
        <w:t>Tourism distribution channels: Practices, issues and transformations</w:t>
      </w:r>
      <w:r>
        <w:rPr>
          <w:rFonts w:hint="default" w:ascii="Arial Regular" w:hAnsi="Arial Regular" w:cs="Arial Regular"/>
          <w:sz w:val="24"/>
          <w:szCs w:val="24"/>
        </w:rPr>
        <w:t>. London: Continuum.</w:t>
      </w:r>
    </w:p>
    <w:p w14:paraId="077C9A0D">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Channell, M. (2025) </w:t>
      </w:r>
      <w:r>
        <w:rPr>
          <w:rStyle w:val="6"/>
          <w:rFonts w:hint="default" w:ascii="Arial Regular" w:hAnsi="Arial Regular" w:cs="Arial Regular"/>
          <w:sz w:val="24"/>
          <w:szCs w:val="24"/>
        </w:rPr>
        <w:t>Gibbs Reflective Cycle – A Practical Guide</w:t>
      </w:r>
      <w:r>
        <w:rPr>
          <w:rFonts w:hint="default" w:ascii="Arial Regular" w:hAnsi="Arial Regular" w:cs="Arial Regular"/>
          <w:sz w:val="24"/>
          <w:szCs w:val="24"/>
        </w:rPr>
        <w:t xml:space="preserve">. The Skills Workshop.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"https://www.tsw.co.uk/insights/gibbs-reflective-cycle/" \t "/Users/anikaayub/Documents\\x/_new"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https://www.tsw.co.uk/insights/gibbs-reflective-cycle/</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06CE3AD5">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Cheng, M. (2013) ‘Analysis of the hotel industry using Porter’s Five Forces model’, </w:t>
      </w:r>
      <w:r>
        <w:rPr>
          <w:rStyle w:val="6"/>
          <w:rFonts w:hint="default" w:ascii="Arial Regular" w:hAnsi="Arial Regular" w:cs="Arial Regular"/>
          <w:sz w:val="24"/>
          <w:szCs w:val="24"/>
        </w:rPr>
        <w:t>Journal of Tourism Studies</w:t>
      </w:r>
      <w:r>
        <w:rPr>
          <w:rFonts w:hint="default" w:ascii="Arial Regular" w:hAnsi="Arial Regular" w:cs="Arial Regular"/>
          <w:sz w:val="24"/>
          <w:szCs w:val="24"/>
        </w:rPr>
        <w:t>, pp. 1–10.</w:t>
      </w:r>
    </w:p>
    <w:p w14:paraId="0246794B">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Corporate Finance Institute (no date) </w:t>
      </w:r>
      <w:r>
        <w:rPr>
          <w:rStyle w:val="6"/>
          <w:rFonts w:hint="default" w:ascii="Arial Regular" w:hAnsi="Arial Regular" w:cs="Arial Regular"/>
          <w:sz w:val="24"/>
          <w:szCs w:val="24"/>
        </w:rPr>
        <w:t>SWOT analysis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"https://corporatefinanceinstitute.com/resources/management/swot-analysis/" \t "/Users/anikaayub/Documents\\x/_new"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https://corporatefinanceinstitute.com/resources/management/swot-analysis/</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12 April 2026).</w:t>
      </w:r>
    </w:p>
    <w:p w14:paraId="2C5C19C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Díaz-Muñoz, E. (2019) </w:t>
      </w:r>
      <w:r>
        <w:rPr>
          <w:rStyle w:val="6"/>
          <w:rFonts w:hint="default" w:ascii="Arial Regular" w:hAnsi="Arial Regular" w:cs="Arial Regular"/>
          <w:sz w:val="24"/>
          <w:szCs w:val="24"/>
        </w:rPr>
        <w:t>Tourism in Spain: Historical and contemporary perspectives</w:t>
      </w:r>
      <w:r>
        <w:rPr>
          <w:rFonts w:hint="default" w:ascii="Arial Regular" w:hAnsi="Arial Regular" w:cs="Arial Regular"/>
          <w:sz w:val="24"/>
          <w:szCs w:val="24"/>
        </w:rPr>
        <w:t>. Cham: Springer.</w:t>
      </w:r>
    </w:p>
    <w:p w14:paraId="17B3DE91">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Dwyer, L., Forsyth, P. and Dwyer, W. (2020) </w:t>
      </w:r>
      <w:r>
        <w:rPr>
          <w:rStyle w:val="6"/>
          <w:rFonts w:hint="default" w:ascii="Arial Regular" w:hAnsi="Arial Regular" w:cs="Arial Regular"/>
          <w:sz w:val="24"/>
          <w:szCs w:val="24"/>
        </w:rPr>
        <w:t>Tourism economics and policy</w:t>
      </w:r>
      <w:r>
        <w:rPr>
          <w:rFonts w:hint="default" w:ascii="Arial Regular" w:hAnsi="Arial Regular" w:cs="Arial Regular"/>
          <w:sz w:val="24"/>
          <w:szCs w:val="24"/>
        </w:rPr>
        <w:t>. 2nd edn. Bristol: Channel View Publications.</w:t>
      </w:r>
    </w:p>
    <w:p w14:paraId="3A3C801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García, J. and García, R. (2022) ‘Post-pandemic recovery in European tourism: The case of Spain’, </w:t>
      </w:r>
      <w:r>
        <w:rPr>
          <w:rStyle w:val="6"/>
          <w:rFonts w:hint="default" w:ascii="Arial Regular" w:hAnsi="Arial Regular" w:cs="Arial Regular"/>
          <w:sz w:val="24"/>
          <w:szCs w:val="24"/>
        </w:rPr>
        <w:t>Journal of Travel Research</w:t>
      </w:r>
      <w:r>
        <w:rPr>
          <w:rFonts w:hint="default" w:ascii="Arial Regular" w:hAnsi="Arial Regular" w:cs="Arial Regular"/>
          <w:sz w:val="24"/>
          <w:szCs w:val="24"/>
        </w:rPr>
        <w:t>, 61(4), pp. 558–574.</w:t>
      </w:r>
    </w:p>
    <w:p w14:paraId="3F1D6597">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Gibbs, G. (1988) </w:t>
      </w:r>
      <w:r>
        <w:rPr>
          <w:rStyle w:val="6"/>
          <w:rFonts w:hint="default" w:ascii="Arial Regular" w:hAnsi="Arial Regular" w:cs="Arial Regular"/>
          <w:sz w:val="24"/>
          <w:szCs w:val="24"/>
        </w:rPr>
        <w:t>Learning by doing: A guide to teaching and learning methods</w:t>
      </w:r>
      <w:r>
        <w:rPr>
          <w:rFonts w:hint="default" w:ascii="Arial Regular" w:hAnsi="Arial Regular" w:cs="Arial Regular"/>
          <w:sz w:val="24"/>
          <w:szCs w:val="24"/>
        </w:rPr>
        <w:t>. Oxford: Oxford Polytechnic.</w:t>
      </w:r>
    </w:p>
    <w:p w14:paraId="287CF80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Gössling, S., Scott, D. and Hall, C.M. (2015) ‘Inter-market variability in CO₂ emission-intensities in tourism’, </w:t>
      </w:r>
      <w:r>
        <w:rPr>
          <w:rStyle w:val="6"/>
          <w:rFonts w:hint="default" w:ascii="Arial Regular" w:hAnsi="Arial Regular" w:cs="Arial Regular"/>
          <w:sz w:val="24"/>
          <w:szCs w:val="24"/>
        </w:rPr>
        <w:t>Tourism Management</w:t>
      </w:r>
      <w:r>
        <w:rPr>
          <w:rFonts w:hint="default" w:ascii="Arial Regular" w:hAnsi="Arial Regular" w:cs="Arial Regular"/>
          <w:sz w:val="24"/>
          <w:szCs w:val="24"/>
        </w:rPr>
        <w:t>, 46, pp. 265–277.</w:t>
      </w:r>
    </w:p>
    <w:p w14:paraId="4F64F1C7">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Graham, A., Papatheodorou, A. and Forsyth, P. (2019) </w:t>
      </w:r>
      <w:r>
        <w:rPr>
          <w:rStyle w:val="6"/>
          <w:rFonts w:hint="default" w:ascii="Arial Regular" w:hAnsi="Arial Regular" w:cs="Arial Regular"/>
          <w:sz w:val="24"/>
          <w:szCs w:val="24"/>
        </w:rPr>
        <w:t>Aviation and tourism: Implications for leisure travel</w:t>
      </w:r>
      <w:r>
        <w:rPr>
          <w:rFonts w:hint="default" w:ascii="Arial Regular" w:hAnsi="Arial Regular" w:cs="Arial Regular"/>
          <w:sz w:val="24"/>
          <w:szCs w:val="24"/>
        </w:rPr>
        <w:t>. London: Routledge.</w:t>
      </w:r>
    </w:p>
    <w:p w14:paraId="2FE6328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Guttentag, D. (2015) ‘Airbnb: disruptive innovation and the rise of an informal tourism accommodation sector’, </w:t>
      </w:r>
      <w:r>
        <w:rPr>
          <w:rStyle w:val="6"/>
          <w:rFonts w:hint="default" w:ascii="Arial Regular" w:hAnsi="Arial Regular" w:cs="Arial Regular"/>
          <w:sz w:val="24"/>
          <w:szCs w:val="24"/>
        </w:rPr>
        <w:t>Current Issues in Tourism</w:t>
      </w:r>
      <w:r>
        <w:rPr>
          <w:rFonts w:hint="default" w:ascii="Arial Regular" w:hAnsi="Arial Regular" w:cs="Arial Regular"/>
          <w:sz w:val="24"/>
          <w:szCs w:val="24"/>
        </w:rPr>
        <w:t>, 18(12), pp. 1192–1217.</w:t>
      </w:r>
    </w:p>
    <w:p w14:paraId="6EAE75D4">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Hofstede, G., Hofstede, G.J. and Minkov, M. (2010) </w:t>
      </w:r>
      <w:r>
        <w:rPr>
          <w:rStyle w:val="6"/>
          <w:rFonts w:hint="default" w:ascii="Arial Regular" w:hAnsi="Arial Regular" w:cs="Arial Regular"/>
          <w:sz w:val="24"/>
          <w:szCs w:val="24"/>
        </w:rPr>
        <w:t>Cultures and organizations: Software of the mind</w:t>
      </w:r>
      <w:r>
        <w:rPr>
          <w:rFonts w:hint="default" w:ascii="Arial Regular" w:hAnsi="Arial Regular" w:cs="Arial Regular"/>
          <w:sz w:val="24"/>
          <w:szCs w:val="24"/>
        </w:rPr>
        <w:t>. 3rd edn. New York: McGraw-Hill.</w:t>
      </w:r>
    </w:p>
    <w:p w14:paraId="1B2D2C56">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Hospitality ON (no date) </w:t>
      </w:r>
      <w:r>
        <w:rPr>
          <w:rStyle w:val="6"/>
          <w:rFonts w:hint="default" w:ascii="Arial Regular" w:hAnsi="Arial Regular" w:cs="Arial Regular"/>
          <w:sz w:val="24"/>
          <w:szCs w:val="24"/>
        </w:rPr>
        <w:t>Meliá Hotels International</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"https://hospitality-on.com/en/companies/melia-hotels-international" \t "/Users/anikaayub/Documents\\x/_new"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https://hospitality-on.com/en/companies/melia-hotels-international</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19 April 2026).</w:t>
      </w:r>
    </w:p>
    <w:p w14:paraId="4F13E005">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Ivanov, S. and Webster, C. (2019) </w:t>
      </w:r>
      <w:r>
        <w:rPr>
          <w:rStyle w:val="6"/>
          <w:rFonts w:hint="default" w:ascii="Arial Regular" w:hAnsi="Arial Regular" w:cs="Arial Regular"/>
          <w:sz w:val="24"/>
          <w:szCs w:val="24"/>
        </w:rPr>
        <w:t>Hotel management and operations</w:t>
      </w:r>
      <w:r>
        <w:rPr>
          <w:rFonts w:hint="default" w:ascii="Arial Regular" w:hAnsi="Arial Regular" w:cs="Arial Regular"/>
          <w:sz w:val="24"/>
          <w:szCs w:val="24"/>
        </w:rPr>
        <w:t>. London: Pearson.</w:t>
      </w:r>
    </w:p>
    <w:p w14:paraId="055F891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Johnson, G., Scholes, K. and Whittington, R. (2017) </w:t>
      </w:r>
      <w:r>
        <w:rPr>
          <w:rStyle w:val="6"/>
          <w:rFonts w:hint="default" w:ascii="Arial Regular" w:hAnsi="Arial Regular" w:cs="Arial Regular"/>
          <w:sz w:val="24"/>
          <w:szCs w:val="24"/>
        </w:rPr>
        <w:t>Exploring strategy</w:t>
      </w:r>
      <w:r>
        <w:rPr>
          <w:rFonts w:hint="default" w:ascii="Arial Regular" w:hAnsi="Arial Regular" w:cs="Arial Regular"/>
          <w:sz w:val="24"/>
          <w:szCs w:val="24"/>
        </w:rPr>
        <w:t>. 11th edn. Harlow: Pearson.</w:t>
      </w:r>
    </w:p>
    <w:p w14:paraId="342EAE56">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O’Connell, J.F. and Williams, G. (2016) </w:t>
      </w:r>
      <w:r>
        <w:rPr>
          <w:rStyle w:val="6"/>
          <w:rFonts w:hint="default" w:ascii="Arial Regular" w:hAnsi="Arial Regular" w:cs="Arial Regular"/>
          <w:sz w:val="24"/>
          <w:szCs w:val="24"/>
        </w:rPr>
        <w:t>Air transport in the 21st century: Key strategic developments</w:t>
      </w:r>
      <w:r>
        <w:rPr>
          <w:rFonts w:hint="default" w:ascii="Arial Regular" w:hAnsi="Arial Regular" w:cs="Arial Regular"/>
          <w:sz w:val="24"/>
          <w:szCs w:val="24"/>
        </w:rPr>
        <w:t>. London: Routledge.</w:t>
      </w:r>
    </w:p>
    <w:p w14:paraId="59C23ADE">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Pearce, D. (2018) </w:t>
      </w:r>
      <w:r>
        <w:rPr>
          <w:rStyle w:val="6"/>
          <w:rFonts w:hint="default" w:ascii="Arial Regular" w:hAnsi="Arial Regular" w:cs="Arial Regular"/>
          <w:sz w:val="24"/>
          <w:szCs w:val="24"/>
        </w:rPr>
        <w:t>Tourism: Principles and practice</w:t>
      </w:r>
      <w:r>
        <w:rPr>
          <w:rFonts w:hint="default" w:ascii="Arial Regular" w:hAnsi="Arial Regular" w:cs="Arial Regular"/>
          <w:sz w:val="24"/>
          <w:szCs w:val="24"/>
        </w:rPr>
        <w:t>. 6th edn. Harlow: Pearson Education.</w:t>
      </w:r>
    </w:p>
    <w:p w14:paraId="21EE5362">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Pons, C. (2025) ‘Spain’s tourism sector expects slowdown in summer sales’, </w:t>
      </w:r>
      <w:r>
        <w:rPr>
          <w:rStyle w:val="6"/>
          <w:rFonts w:hint="default" w:ascii="Arial Regular" w:hAnsi="Arial Regular" w:cs="Arial Regular"/>
          <w:sz w:val="24"/>
          <w:szCs w:val="24"/>
        </w:rPr>
        <w:t>The Independent</w:t>
      </w:r>
      <w:r>
        <w:rPr>
          <w:rFonts w:hint="default" w:ascii="Arial Regular" w:hAnsi="Arial Regular" w:cs="Arial Regular"/>
          <w:sz w:val="24"/>
          <w:szCs w:val="24"/>
        </w:rPr>
        <w:t>, 11 July.</w:t>
      </w:r>
    </w:p>
    <w:p w14:paraId="26A1C31F">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Porter, M.E. (1990) </w:t>
      </w:r>
      <w:r>
        <w:rPr>
          <w:rStyle w:val="6"/>
          <w:rFonts w:hint="default" w:ascii="Arial Regular" w:hAnsi="Arial Regular" w:cs="Arial Regular"/>
          <w:sz w:val="24"/>
          <w:szCs w:val="24"/>
        </w:rPr>
        <w:t>The competitive advantage of nations</w:t>
      </w:r>
      <w:r>
        <w:rPr>
          <w:rFonts w:hint="default" w:ascii="Arial Regular" w:hAnsi="Arial Regular" w:cs="Arial Regular"/>
          <w:sz w:val="24"/>
          <w:szCs w:val="24"/>
        </w:rPr>
        <w:t>. New York: Free Press.</w:t>
      </w:r>
    </w:p>
    <w:p w14:paraId="789A836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Porter, M.E. (2008) ‘The five competitive forces that shape strategy’, </w:t>
      </w:r>
      <w:r>
        <w:rPr>
          <w:rStyle w:val="6"/>
          <w:rFonts w:hint="default" w:ascii="Arial Regular" w:hAnsi="Arial Regular" w:cs="Arial Regular"/>
          <w:sz w:val="24"/>
          <w:szCs w:val="24"/>
        </w:rPr>
        <w:t>Harvard Business Review</w:t>
      </w:r>
      <w:r>
        <w:rPr>
          <w:rFonts w:hint="default" w:ascii="Arial Regular" w:hAnsi="Arial Regular" w:cs="Arial Regular"/>
          <w:sz w:val="24"/>
          <w:szCs w:val="24"/>
        </w:rPr>
        <w:t>, 86(1), pp. 78–93.</w:t>
      </w:r>
    </w:p>
    <w:p w14:paraId="36A7396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Richards, G. (2020) ‘Cultural tourism in Spain’, </w:t>
      </w:r>
      <w:r>
        <w:rPr>
          <w:rStyle w:val="6"/>
          <w:rFonts w:hint="default" w:ascii="Arial Regular" w:hAnsi="Arial Regular" w:cs="Arial Regular"/>
          <w:sz w:val="24"/>
          <w:szCs w:val="24"/>
        </w:rPr>
        <w:t>Annals of Tourism Research</w:t>
      </w:r>
      <w:r>
        <w:rPr>
          <w:rFonts w:hint="default" w:ascii="Arial Regular" w:hAnsi="Arial Regular" w:cs="Arial Regular"/>
          <w:sz w:val="24"/>
          <w:szCs w:val="24"/>
        </w:rPr>
        <w:t>, 82, pp. 102–123.</w:t>
      </w:r>
    </w:p>
    <w:p w14:paraId="5BA22F5A">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Richards, G. and Wilson, J. (2021) </w:t>
      </w:r>
      <w:r>
        <w:rPr>
          <w:rStyle w:val="6"/>
          <w:rFonts w:hint="default" w:ascii="Arial Regular" w:hAnsi="Arial Regular" w:cs="Arial Regular"/>
          <w:sz w:val="24"/>
          <w:szCs w:val="24"/>
        </w:rPr>
        <w:t>Designing creative tourism experiences</w:t>
      </w:r>
      <w:r>
        <w:rPr>
          <w:rFonts w:hint="default" w:ascii="Arial Regular" w:hAnsi="Arial Regular" w:cs="Arial Regular"/>
          <w:sz w:val="24"/>
          <w:szCs w:val="24"/>
        </w:rPr>
        <w:t>. Wallingford: CABI.</w:t>
      </w:r>
    </w:p>
    <w:p w14:paraId="0EC04F86">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Culture Factor Group (2026) </w:t>
      </w:r>
      <w:r>
        <w:rPr>
          <w:rStyle w:val="6"/>
          <w:rFonts w:hint="default" w:ascii="Arial Regular" w:hAnsi="Arial Regular" w:cs="Arial Regular"/>
          <w:sz w:val="24"/>
          <w:szCs w:val="24"/>
        </w:rPr>
        <w:t>Country Comparison Tool</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"https://www.theculturefactor.com/country-comparison-tool?countries=spain,united+kingdom" \t "/Users/anikaayub/Documents\\x/_new"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https://www.theculturefactor.com/country-comparison-tool?countries=spain%2Cunited+kingdom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4355303D">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The Times (2026) </w:t>
      </w:r>
      <w:r>
        <w:rPr>
          <w:rStyle w:val="6"/>
          <w:rFonts w:hint="default" w:ascii="Arial Regular" w:hAnsi="Arial Regular" w:cs="Arial Regular"/>
          <w:sz w:val="24"/>
          <w:szCs w:val="24"/>
        </w:rPr>
        <w:t>The best all-inclusive hotels in Spain</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"https://www.thetimes.com/travel/destinations/europe-travel/spain/the-best-all-inclusive-hotels-in-spain-rrs09pp8f" \t "/Users/anikaayub/Documents\\x/_new" </w:instrText>
      </w:r>
      <w:r>
        <w:rPr>
          <w:rFonts w:hint="default" w:ascii="Arial Regular" w:hAnsi="Arial Regular" w:cs="Arial Regular"/>
          <w:sz w:val="24"/>
          <w:szCs w:val="24"/>
        </w:rPr>
        <w:fldChar w:fldCharType="separate"/>
      </w:r>
      <w:r>
        <w:rPr>
          <w:rStyle w:val="9"/>
          <w:rFonts w:hint="default" w:ascii="Arial Regular" w:hAnsi="Arial Regular" w:cs="Arial Regular"/>
          <w:sz w:val="24"/>
          <w:szCs w:val="24"/>
        </w:rPr>
        <w:t>https://www.thetimes.com/travel/destinations/europe-travel/spain/the-best-all-inclusive-hotels-in-spain-rrs09pp8f</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436F9503">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UNWTO (2020) </w:t>
      </w:r>
      <w:r>
        <w:rPr>
          <w:rStyle w:val="6"/>
          <w:rFonts w:hint="default" w:ascii="Arial Regular" w:hAnsi="Arial Regular" w:cs="Arial Regular"/>
          <w:sz w:val="24"/>
          <w:szCs w:val="24"/>
        </w:rPr>
        <w:t>International tourism highlights</w:t>
      </w:r>
      <w:r>
        <w:rPr>
          <w:rFonts w:hint="default" w:ascii="Arial Regular" w:hAnsi="Arial Regular" w:cs="Arial Regular"/>
          <w:sz w:val="24"/>
          <w:szCs w:val="24"/>
        </w:rPr>
        <w:t>. Madrid: UNWTO.</w:t>
      </w:r>
    </w:p>
    <w:p w14:paraId="269A011C">
      <w:pPr>
        <w:pStyle w:val="10"/>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Xiang, Z., Magnini, V.P. and Fesenmaier, D.R. (2015) ‘Information technology and consumer behaviour in travel and tourism’, </w:t>
      </w:r>
      <w:r>
        <w:rPr>
          <w:rStyle w:val="6"/>
          <w:rFonts w:hint="default" w:ascii="Arial Regular" w:hAnsi="Arial Regular" w:cs="Arial Regular"/>
          <w:sz w:val="24"/>
          <w:szCs w:val="24"/>
        </w:rPr>
        <w:t>Annals of Tourism Research</w:t>
      </w:r>
      <w:r>
        <w:rPr>
          <w:rFonts w:hint="default" w:ascii="Arial Regular" w:hAnsi="Arial Regular" w:cs="Arial Regular"/>
          <w:sz w:val="24"/>
          <w:szCs w:val="24"/>
        </w:rPr>
        <w:t>, 48, pp. 244–249.</w:t>
      </w:r>
    </w:p>
    <w:p w14:paraId="0A66858D">
      <w:pPr>
        <w:pStyle w:val="10"/>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lang w:val="de-DE"/>
        </w:rPr>
      </w:pPr>
    </w:p>
    <w:p w14:paraId="7D16B8A6">
      <w:pPr>
        <w:pStyle w:val="10"/>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lang w:val="de-DE"/>
        </w:rPr>
      </w:pPr>
    </w:p>
    <w:sectPr>
      <w:footerReference r:id="rId5"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Arial Regular">
    <w:panose1 w:val="020B0704020202020204"/>
    <w:charset w:val="00"/>
    <w:family w:val="auto"/>
    <w:pitch w:val="default"/>
    <w:sig w:usb0="E0002AFF" w:usb1="C0007843" w:usb2="00000009" w:usb3="00000000" w:csb0="400001FF" w:csb1="FFFF0000"/>
  </w:font>
  <w:font w:name="Arial Bold">
    <w:panose1 w:val="020B0704020202020204"/>
    <w:charset w:val="00"/>
    <w:family w:val="auto"/>
    <w:pitch w:val="default"/>
    <w:sig w:usb0="E0002AFF" w:usb1="C0007843" w:usb2="00000009" w:usb3="00000000" w:csb0="400001FF" w:csb1="FFFF0000"/>
  </w:font>
  <w:font w:name="宋体-简">
    <w:panose1 w:val="02010800040101010101"/>
    <w:charset w:val="86"/>
    <w:family w:val="auto"/>
    <w:pitch w:val="default"/>
    <w:sig w:usb0="00000001" w:usb1="080F0000" w:usb2="00000000" w:usb3="00000000" w:csb0="00040000" w:csb1="00000000"/>
  </w:font>
  <w:font w:name="Hiragino Sans GB">
    <w:panose1 w:val="020B0300000000000000"/>
    <w:charset w:val="86"/>
    <w:family w:val="auto"/>
    <w:pitch w:val="default"/>
    <w:sig w:usb0="A00002BF" w:usb1="1ACF7CFA" w:usb2="00000016" w:usb3="00000000" w:csb0="00060007"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SimSun">
    <w:altName w:val="宋体-简"/>
    <w:panose1 w:val="02010600030101010101"/>
    <w:charset w:val="86"/>
    <w:family w:val="roman"/>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363A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642B4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p w14:paraId="0C642B4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D9C5EF"/>
    <w:multiLevelType w:val="singleLevel"/>
    <w:tmpl w:val="DFD9C5E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BFE22F3"/>
    <w:multiLevelType w:val="singleLevel"/>
    <w:tmpl w:val="FBFE22F3"/>
    <w:lvl w:ilvl="0" w:tentative="0">
      <w:start w:val="1"/>
      <w:numFmt w:val="decimal"/>
      <w:suff w:val="space"/>
      <w:lvlText w:val="%1."/>
      <w:lvlJc w:val="left"/>
    </w:lvl>
  </w:abstractNum>
  <w:abstractNum w:abstractNumId="2">
    <w:nsid w:val="4FE31EDB"/>
    <w:multiLevelType w:val="singleLevel"/>
    <w:tmpl w:val="4FE31ED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7C7F6389"/>
    <w:multiLevelType w:val="singleLevel"/>
    <w:tmpl w:val="7C7F63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7FBA3342"/>
    <w:multiLevelType w:val="singleLevel"/>
    <w:tmpl w:val="7FBA3342"/>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EE95A"/>
    <w:rsid w:val="076B8912"/>
    <w:rsid w:val="0FFF4F77"/>
    <w:rsid w:val="339C4E99"/>
    <w:rsid w:val="4C9A7447"/>
    <w:rsid w:val="5EDDAFE6"/>
    <w:rsid w:val="63B4C0EA"/>
    <w:rsid w:val="6ABF0213"/>
    <w:rsid w:val="6FF45731"/>
    <w:rsid w:val="70E6F4AC"/>
    <w:rsid w:val="72D764BF"/>
    <w:rsid w:val="77FEE95A"/>
    <w:rsid w:val="7EFE62FD"/>
    <w:rsid w:val="7F6FC2C6"/>
    <w:rsid w:val="7F7F2065"/>
    <w:rsid w:val="7FFD193F"/>
    <w:rsid w:val="9F7D8AC5"/>
    <w:rsid w:val="CBEF1193"/>
    <w:rsid w:val="DBB53AFC"/>
    <w:rsid w:val="EAAF681E"/>
    <w:rsid w:val="EAFD7C92"/>
    <w:rsid w:val="EB7CAA1D"/>
    <w:rsid w:val="EC7FAA87"/>
    <w:rsid w:val="EDD7FC48"/>
    <w:rsid w:val="F37F29B0"/>
    <w:rsid w:val="F6265B92"/>
    <w:rsid w:val="F7F04F37"/>
    <w:rsid w:val="FFFB748D"/>
    <w:rsid w:val="FFFEB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zh-CN"/>
    </w:rPr>
  </w:style>
  <w:style w:type="paragraph" w:styleId="2">
    <w:name w:val="heading 2"/>
    <w:next w:val="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0"/>
    <w:rPr>
      <w:b/>
      <w:bCs/>
    </w:rPr>
  </w:style>
  <w:style w:type="table" w:styleId="12">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oc 1"/>
    <w:basedOn w:val="1"/>
    <w:next w:val="1"/>
    <w:unhideWhenUsed/>
    <w:uiPriority w:val="39"/>
    <w:pPr>
      <w:spacing w:after="100"/>
    </w:pPr>
  </w:style>
  <w:style w:type="paragraph" w:styleId="14">
    <w:name w:val="toc 2"/>
    <w:basedOn w:val="1"/>
    <w:next w:val="1"/>
    <w:uiPriority w:val="0"/>
    <w:pPr>
      <w:ind w:left="420" w:leftChars="200"/>
    </w:pPr>
  </w:style>
  <w:style w:type="paragraph" w:styleId="15">
    <w:name w:val="toc 3"/>
    <w:basedOn w:val="1"/>
    <w:next w:val="1"/>
    <w:uiPriority w:val="0"/>
    <w:pPr>
      <w:ind w:left="840" w:leftChars="400"/>
    </w:pPr>
  </w:style>
  <w:style w:type="paragraph" w:customStyle="1" w:styleId="16">
    <w:name w:val="p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c6c7d98-4fff-45cd-a704-1a84605e138d}"/>
        <w:style w:val=""/>
        <w:category>
          <w:name w:val="General"/>
          <w:gallery w:val="placeholder"/>
        </w:category>
        <w:types>
          <w:type w:val="bbPlcHdr"/>
        </w:types>
        <w:behaviors>
          <w:behavior w:val="content"/>
        </w:behaviors>
        <w:description w:val=""/>
        <w:guid w:val="{bc6c7d98-4fff-45cd-a704-1a84605e138d}"/>
      </w:docPartPr>
      <w:docPartBody>
        <w:p w14:paraId="38432BAC">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1</TotalTime>
  <ScaleCrop>false</ScaleCrop>
  <LinksUpToDate>false</LinksUpToDate>
  <CharactersWithSpaces>0</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2026-03-06T03:29:00Z</dcterms:created>
  <dc:creator>anikaayub</dc:creator>
  <cp:lastModifiedBy>anika ayub</cp:lastModifiedBy>
  <dcterms:modified xsi:type="dcterms:W3CDTF">2026-04-23T17:40:14Z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F9DAEAE50FBCFBCF5BCEA869C8E58C8C_41</vt:lpwstr>
  </property>
</Properties>
</file>