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7628C6" w14:textId="77777777" w:rsidR="006B65FC" w:rsidRDefault="00484AB6">
      <w:pPr>
        <w:pBdr>
          <w:top w:val="single" w:sz="4" w:space="1" w:color="000000"/>
          <w:bottom w:val="single" w:sz="4" w:space="1" w:color="000000"/>
        </w:pBd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Programme: BA (Hons) Business Management</w:t>
      </w:r>
    </w:p>
    <w:p w14:paraId="0906F5F2" w14:textId="77777777" w:rsidR="006B65FC" w:rsidRDefault="00484AB6">
      <w:pPr>
        <w:pBdr>
          <w:top w:val="single" w:sz="4" w:space="1" w:color="000000"/>
          <w:bottom w:val="single" w:sz="4" w:space="1" w:color="000000"/>
        </w:pBd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Component 1: Coursework: Written Report</w:t>
      </w:r>
    </w:p>
    <w:p w14:paraId="6B15F95D" w14:textId="77777777" w:rsidR="006B65FC" w:rsidRDefault="006B65FC">
      <w:pPr>
        <w:pBdr>
          <w:top w:val="single" w:sz="4" w:space="1" w:color="000000"/>
          <w:bottom w:val="single" w:sz="4" w:space="1" w:color="000000"/>
        </w:pBdr>
        <w:spacing w:before="200" w:after="200" w:line="360" w:lineRule="auto"/>
        <w:jc w:val="center"/>
        <w:rPr>
          <w:rFonts w:ascii="Times New Roman" w:eastAsia="Times New Roman" w:hAnsi="Times New Roman" w:cs="Times New Roman"/>
          <w:b/>
          <w:sz w:val="32"/>
          <w:szCs w:val="32"/>
        </w:rPr>
      </w:pPr>
    </w:p>
    <w:p w14:paraId="450C4452" w14:textId="77777777" w:rsidR="006B65FC" w:rsidRDefault="00484AB6">
      <w:pPr>
        <w:pBdr>
          <w:top w:val="single" w:sz="4" w:space="1" w:color="000000"/>
          <w:bottom w:val="single" w:sz="4" w:space="1" w:color="000000"/>
        </w:pBd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International Financial Management</w:t>
      </w:r>
    </w:p>
    <w:p w14:paraId="02A5C80C" w14:textId="77777777" w:rsidR="006B65FC" w:rsidRDefault="00484AB6">
      <w:pPr>
        <w:pBdr>
          <w:top w:val="single" w:sz="4" w:space="1" w:color="000000"/>
          <w:bottom w:val="single" w:sz="4" w:space="1" w:color="000000"/>
        </w:pBd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LCBB6002</w:t>
      </w:r>
    </w:p>
    <w:p w14:paraId="2CF82810" w14:textId="77777777" w:rsidR="006B65FC" w:rsidRDefault="006B65FC">
      <w:pPr>
        <w:spacing w:before="200" w:after="200" w:line="360" w:lineRule="auto"/>
      </w:pPr>
    </w:p>
    <w:p w14:paraId="4725AE07" w14:textId="77777777" w:rsidR="006B65FC" w:rsidRDefault="006B65FC">
      <w:pPr>
        <w:spacing w:before="200" w:after="200" w:line="360" w:lineRule="auto"/>
        <w:jc w:val="center"/>
      </w:pPr>
    </w:p>
    <w:p w14:paraId="0B922693" w14:textId="77777777" w:rsidR="006B65FC" w:rsidRDefault="00484AB6">
      <w:pPr>
        <w:spacing w:before="200" w:after="200" w:line="360" w:lineRule="auto"/>
        <w:jc w:val="center"/>
      </w:pPr>
      <w:r>
        <w:rPr>
          <w:noProof/>
        </w:rPr>
        <w:drawing>
          <wp:inline distT="114300" distB="114300" distL="114300" distR="114300" wp14:anchorId="2D6B2FFE" wp14:editId="041CF5A0">
            <wp:extent cx="3505316" cy="262898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505316" cy="2628987"/>
                    </a:xfrm>
                    <a:prstGeom prst="rect">
                      <a:avLst/>
                    </a:prstGeom>
                    <a:ln/>
                  </pic:spPr>
                </pic:pic>
              </a:graphicData>
            </a:graphic>
          </wp:inline>
        </w:drawing>
      </w:r>
    </w:p>
    <w:p w14:paraId="00DE9BB0" w14:textId="77777777" w:rsidR="006B65FC" w:rsidRDefault="006B65FC">
      <w:pPr>
        <w:spacing w:before="200" w:after="200" w:line="360" w:lineRule="auto"/>
      </w:pPr>
    </w:p>
    <w:p w14:paraId="770770F2" w14:textId="77777777" w:rsidR="006B65FC" w:rsidRDefault="006B65FC">
      <w:pPr>
        <w:spacing w:before="200" w:after="200" w:line="360" w:lineRule="auto"/>
        <w:jc w:val="center"/>
      </w:pPr>
    </w:p>
    <w:p w14:paraId="7384F517" w14:textId="5D9A9447" w:rsidR="006B65FC" w:rsidRDefault="00484AB6">
      <w:pPr>
        <w:pBdr>
          <w:top w:val="single" w:sz="4" w:space="1" w:color="000000"/>
          <w:bottom w:val="single" w:sz="4" w:space="1" w:color="000000"/>
        </w:pBd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6B33ED">
        <w:rPr>
          <w:rFonts w:ascii="Times New Roman" w:eastAsia="Times New Roman" w:hAnsi="Times New Roman" w:cs="Times New Roman"/>
          <w:b/>
          <w:sz w:val="32"/>
          <w:szCs w:val="32"/>
        </w:rPr>
        <w:t xml:space="preserve">Bogdan Pacuraru </w:t>
      </w:r>
    </w:p>
    <w:p w14:paraId="4EBB5E6D" w14:textId="156FAD83" w:rsidR="006B65FC" w:rsidRDefault="00484AB6">
      <w:pPr>
        <w:pBdr>
          <w:top w:val="single" w:sz="4" w:space="1" w:color="000000"/>
          <w:bottom w:val="single" w:sz="4" w:space="1" w:color="000000"/>
        </w:pBd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6B33ED">
        <w:rPr>
          <w:rFonts w:ascii="Times New Roman" w:eastAsia="Times New Roman" w:hAnsi="Times New Roman" w:cs="Times New Roman"/>
          <w:b/>
          <w:sz w:val="32"/>
          <w:szCs w:val="32"/>
        </w:rPr>
        <w:t>22</w:t>
      </w:r>
      <w:r w:rsidR="000D2FBF">
        <w:rPr>
          <w:rFonts w:ascii="Times New Roman" w:eastAsia="Times New Roman" w:hAnsi="Times New Roman" w:cs="Times New Roman"/>
          <w:b/>
          <w:sz w:val="32"/>
          <w:szCs w:val="32"/>
        </w:rPr>
        <w:t>45496</w:t>
      </w:r>
    </w:p>
    <w:p w14:paraId="05226B2B" w14:textId="77777777" w:rsidR="006B65FC" w:rsidRDefault="00484AB6">
      <w:pPr>
        <w:pBdr>
          <w:top w:val="single" w:sz="4" w:space="1" w:color="000000"/>
          <w:bottom w:val="single" w:sz="4" w:space="1" w:color="000000"/>
        </w:pBdr>
        <w:spacing w:before="200" w:after="200" w:line="360" w:lineRule="auto"/>
        <w:jc w:val="center"/>
      </w:pPr>
      <w:r>
        <w:rPr>
          <w:rFonts w:ascii="Times New Roman" w:eastAsia="Times New Roman" w:hAnsi="Times New Roman" w:cs="Times New Roman"/>
          <w:b/>
          <w:sz w:val="32"/>
          <w:szCs w:val="32"/>
        </w:rPr>
        <w:t>Date of Submission:</w:t>
      </w:r>
      <w:r>
        <w:br w:type="page"/>
      </w:r>
    </w:p>
    <w:p w14:paraId="147615DC" w14:textId="77777777" w:rsidR="006B65FC" w:rsidRDefault="00484AB6">
      <w:pPr>
        <w:spacing w:before="240" w:after="240" w:line="360" w:lineRule="auto"/>
        <w:jc w:val="both"/>
        <w:rPr>
          <w:rFonts w:ascii="Times New Roman" w:eastAsia="Times New Roman" w:hAnsi="Times New Roman" w:cs="Times New Roman"/>
          <w:b/>
          <w:sz w:val="24"/>
          <w:szCs w:val="24"/>
        </w:rPr>
      </w:pPr>
      <w:bookmarkStart w:id="0" w:name="_heading=h.y5suq9bp9zq4" w:colFirst="0" w:colLast="0"/>
      <w:bookmarkEnd w:id="0"/>
      <w:r>
        <w:rPr>
          <w:rFonts w:ascii="Times New Roman" w:eastAsia="Times New Roman" w:hAnsi="Times New Roman" w:cs="Times New Roman"/>
          <w:b/>
          <w:sz w:val="24"/>
          <w:szCs w:val="24"/>
        </w:rPr>
        <w:t>Abstract</w:t>
      </w:r>
    </w:p>
    <w:p w14:paraId="1131461B" w14:textId="77777777" w:rsidR="006B65FC" w:rsidRDefault="00484AB6">
      <w:pPr>
        <w:spacing w:before="200" w:after="200" w:line="360" w:lineRule="auto"/>
        <w:ind w:firstLine="720"/>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 xml:space="preserve">This report aims to supply strategic advice to a family-owned service company; whose plan is to IPO on the UK’s Alternative Investment Market (AIM). Based on the review, it examines the key governance issues in relation to such a transition with regard to the application of corporate governance principles, agency theory and the limits to control retention with reduced ownership. Director remuneration best practices are addressed as well as relevant UK governance codes. </w:t>
      </w:r>
    </w:p>
    <w:p w14:paraId="2A5B4197" w14:textId="77777777" w:rsidR="006B65FC" w:rsidRDefault="00484AB6">
      <w:pPr>
        <w:spacing w:before="200" w:after="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The report also makes institutional comparisons of governance differences between the UK, Shanghai and the Netherlands, including implications of relocating headquarters. Recommendations are provided for governance to be effective, strategic influence sustained and international listing decisions reasoned.</w:t>
      </w:r>
      <w:r>
        <w:br w:type="page"/>
      </w:r>
    </w:p>
    <w:p w14:paraId="09F01826" w14:textId="77777777" w:rsidR="006B65FC" w:rsidRDefault="00484AB6">
      <w:pPr>
        <w:keepNext/>
        <w:keepLines/>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bookmarkStart w:id="1" w:name="_heading=h.wg8whammkxgp" w:colFirst="0" w:colLast="0"/>
      <w:bookmarkEnd w:id="1"/>
      <w:r>
        <w:rPr>
          <w:rFonts w:ascii="Times New Roman" w:eastAsia="Times New Roman" w:hAnsi="Times New Roman" w:cs="Times New Roman"/>
          <w:b/>
          <w:color w:val="000000"/>
          <w:sz w:val="28"/>
          <w:szCs w:val="28"/>
        </w:rPr>
        <w:t>Table of Contents</w:t>
      </w:r>
    </w:p>
    <w:sdt>
      <w:sdtPr>
        <w:id w:val="-2016059299"/>
        <w:docPartObj>
          <w:docPartGallery w:val="Table of Contents"/>
          <w:docPartUnique/>
        </w:docPartObj>
      </w:sdtPr>
      <w:sdtEndPr/>
      <w:sdtContent>
        <w:p w14:paraId="5ADB188F" w14:textId="77777777" w:rsidR="006B65FC" w:rsidRDefault="00484AB6">
          <w:pPr>
            <w:pBdr>
              <w:top w:val="nil"/>
              <w:left w:val="nil"/>
              <w:bottom w:val="nil"/>
              <w:right w:val="nil"/>
              <w:between w:val="nil"/>
            </w:pBdr>
            <w:tabs>
              <w:tab w:val="right" w:pos="9019"/>
            </w:tabs>
            <w:spacing w:after="24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vi741c7doojo">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4</w:t>
            </w:r>
          </w:hyperlink>
        </w:p>
        <w:p w14:paraId="224A0CFA" w14:textId="77777777" w:rsidR="006B65FC" w:rsidRDefault="00484AB6">
          <w:pPr>
            <w:pBdr>
              <w:top w:val="nil"/>
              <w:left w:val="nil"/>
              <w:bottom w:val="nil"/>
              <w:right w:val="nil"/>
              <w:between w:val="nil"/>
            </w:pBdr>
            <w:tabs>
              <w:tab w:val="right" w:pos="9019"/>
            </w:tabs>
            <w:spacing w:after="240" w:line="360" w:lineRule="auto"/>
            <w:jc w:val="both"/>
            <w:rPr>
              <w:rFonts w:ascii="Times New Roman" w:eastAsia="Times New Roman" w:hAnsi="Times New Roman" w:cs="Times New Roman"/>
              <w:color w:val="000000"/>
              <w:sz w:val="24"/>
              <w:szCs w:val="24"/>
            </w:rPr>
          </w:pPr>
          <w:hyperlink w:anchor="_heading=h.n9aqqpqq4axj">
            <w:r>
              <w:rPr>
                <w:rFonts w:ascii="Times New Roman" w:eastAsia="Times New Roman" w:hAnsi="Times New Roman" w:cs="Times New Roman"/>
                <w:color w:val="000000"/>
                <w:sz w:val="24"/>
                <w:szCs w:val="24"/>
              </w:rPr>
              <w:t>2. “Discussion of Findings”</w:t>
            </w:r>
            <w:r>
              <w:rPr>
                <w:rFonts w:ascii="Times New Roman" w:eastAsia="Times New Roman" w:hAnsi="Times New Roman" w:cs="Times New Roman"/>
                <w:color w:val="000000"/>
                <w:sz w:val="24"/>
                <w:szCs w:val="24"/>
              </w:rPr>
              <w:tab/>
              <w:t>4</w:t>
            </w:r>
          </w:hyperlink>
        </w:p>
        <w:p w14:paraId="0DE0A34C" w14:textId="77777777" w:rsidR="006B65FC" w:rsidRDefault="00484AB6">
          <w:pPr>
            <w:pBdr>
              <w:top w:val="nil"/>
              <w:left w:val="nil"/>
              <w:bottom w:val="nil"/>
              <w:right w:val="nil"/>
              <w:between w:val="nil"/>
            </w:pBdr>
            <w:tabs>
              <w:tab w:val="right" w:pos="9019"/>
            </w:tabs>
            <w:spacing w:after="240" w:line="360" w:lineRule="auto"/>
            <w:ind w:left="220"/>
            <w:jc w:val="both"/>
            <w:rPr>
              <w:rFonts w:ascii="Times New Roman" w:eastAsia="Times New Roman" w:hAnsi="Times New Roman" w:cs="Times New Roman"/>
              <w:color w:val="000000"/>
              <w:sz w:val="24"/>
              <w:szCs w:val="24"/>
            </w:rPr>
          </w:pPr>
          <w:hyperlink w:anchor="_heading=h.z3fk48pfbrab">
            <w:r>
              <w:rPr>
                <w:rFonts w:ascii="Times New Roman" w:eastAsia="Times New Roman" w:hAnsi="Times New Roman" w:cs="Times New Roman"/>
                <w:color w:val="000000"/>
                <w:sz w:val="24"/>
                <w:szCs w:val="24"/>
              </w:rPr>
              <w:t>A. “Corporate Governance &amp; Agency Theory”</w:t>
            </w:r>
            <w:r>
              <w:rPr>
                <w:rFonts w:ascii="Times New Roman" w:eastAsia="Times New Roman" w:hAnsi="Times New Roman" w:cs="Times New Roman"/>
                <w:color w:val="000000"/>
                <w:sz w:val="24"/>
                <w:szCs w:val="24"/>
              </w:rPr>
              <w:tab/>
              <w:t>4</w:t>
            </w:r>
          </w:hyperlink>
        </w:p>
        <w:p w14:paraId="7DE5513B" w14:textId="77777777" w:rsidR="006B65FC" w:rsidRDefault="00484AB6">
          <w:pPr>
            <w:pBdr>
              <w:top w:val="nil"/>
              <w:left w:val="nil"/>
              <w:bottom w:val="nil"/>
              <w:right w:val="nil"/>
              <w:between w:val="nil"/>
            </w:pBdr>
            <w:tabs>
              <w:tab w:val="right" w:pos="9019"/>
            </w:tabs>
            <w:spacing w:after="240" w:line="360" w:lineRule="auto"/>
            <w:ind w:left="220"/>
            <w:jc w:val="both"/>
            <w:rPr>
              <w:rFonts w:ascii="Times New Roman" w:eastAsia="Times New Roman" w:hAnsi="Times New Roman" w:cs="Times New Roman"/>
              <w:color w:val="000000"/>
              <w:sz w:val="24"/>
              <w:szCs w:val="24"/>
            </w:rPr>
          </w:pPr>
          <w:hyperlink w:anchor="_heading=h.vh5sr3uqdr75">
            <w:r>
              <w:rPr>
                <w:rFonts w:ascii="Times New Roman" w:eastAsia="Times New Roman" w:hAnsi="Times New Roman" w:cs="Times New Roman"/>
                <w:color w:val="000000"/>
                <w:sz w:val="24"/>
                <w:szCs w:val="24"/>
              </w:rPr>
              <w:t>B. Retaining Control with 30% Shareholding</w:t>
            </w:r>
            <w:r>
              <w:rPr>
                <w:rFonts w:ascii="Times New Roman" w:eastAsia="Times New Roman" w:hAnsi="Times New Roman" w:cs="Times New Roman"/>
                <w:color w:val="000000"/>
                <w:sz w:val="24"/>
                <w:szCs w:val="24"/>
              </w:rPr>
              <w:tab/>
              <w:t>5</w:t>
            </w:r>
          </w:hyperlink>
        </w:p>
        <w:p w14:paraId="616A2E3B" w14:textId="77777777" w:rsidR="006B65FC" w:rsidRDefault="00484AB6">
          <w:pPr>
            <w:pBdr>
              <w:top w:val="nil"/>
              <w:left w:val="nil"/>
              <w:bottom w:val="nil"/>
              <w:right w:val="nil"/>
              <w:between w:val="nil"/>
            </w:pBdr>
            <w:tabs>
              <w:tab w:val="right" w:pos="9019"/>
            </w:tabs>
            <w:spacing w:after="240" w:line="360" w:lineRule="auto"/>
            <w:ind w:left="220"/>
            <w:jc w:val="both"/>
            <w:rPr>
              <w:rFonts w:ascii="Times New Roman" w:eastAsia="Times New Roman" w:hAnsi="Times New Roman" w:cs="Times New Roman"/>
              <w:color w:val="000000"/>
              <w:sz w:val="24"/>
              <w:szCs w:val="24"/>
            </w:rPr>
          </w:pPr>
          <w:hyperlink w:anchor="_heading=h.y58mkviwejs6">
            <w:r>
              <w:rPr>
                <w:rFonts w:ascii="Times New Roman" w:eastAsia="Times New Roman" w:hAnsi="Times New Roman" w:cs="Times New Roman"/>
                <w:color w:val="000000"/>
                <w:sz w:val="24"/>
                <w:szCs w:val="24"/>
              </w:rPr>
              <w:t>C. Director Remuneration Structures</w:t>
            </w:r>
            <w:r>
              <w:rPr>
                <w:rFonts w:ascii="Times New Roman" w:eastAsia="Times New Roman" w:hAnsi="Times New Roman" w:cs="Times New Roman"/>
                <w:color w:val="000000"/>
                <w:sz w:val="24"/>
                <w:szCs w:val="24"/>
              </w:rPr>
              <w:tab/>
              <w:t>6</w:t>
            </w:r>
          </w:hyperlink>
        </w:p>
        <w:p w14:paraId="417C798E" w14:textId="77777777" w:rsidR="006B65FC" w:rsidRDefault="00484AB6">
          <w:pPr>
            <w:pBdr>
              <w:top w:val="nil"/>
              <w:left w:val="nil"/>
              <w:bottom w:val="nil"/>
              <w:right w:val="nil"/>
              <w:between w:val="nil"/>
            </w:pBdr>
            <w:tabs>
              <w:tab w:val="right" w:pos="9019"/>
            </w:tabs>
            <w:spacing w:after="240" w:line="360" w:lineRule="auto"/>
            <w:ind w:left="220"/>
            <w:jc w:val="both"/>
            <w:rPr>
              <w:rFonts w:ascii="Times New Roman" w:eastAsia="Times New Roman" w:hAnsi="Times New Roman" w:cs="Times New Roman"/>
              <w:color w:val="000000"/>
              <w:sz w:val="24"/>
              <w:szCs w:val="24"/>
            </w:rPr>
          </w:pPr>
          <w:hyperlink w:anchor="_heading=h.jfh8u7c9rvyc">
            <w:r>
              <w:rPr>
                <w:rFonts w:ascii="Times New Roman" w:eastAsia="Times New Roman" w:hAnsi="Times New Roman" w:cs="Times New Roman"/>
                <w:color w:val="000000"/>
                <w:sz w:val="24"/>
                <w:szCs w:val="24"/>
              </w:rPr>
              <w:t>D. “Institutional Differences: UK vs Shanghai vs Netherlands”</w:t>
            </w:r>
            <w:r>
              <w:rPr>
                <w:rFonts w:ascii="Times New Roman" w:eastAsia="Times New Roman" w:hAnsi="Times New Roman" w:cs="Times New Roman"/>
                <w:color w:val="000000"/>
                <w:sz w:val="24"/>
                <w:szCs w:val="24"/>
              </w:rPr>
              <w:tab/>
              <w:t>6</w:t>
            </w:r>
          </w:hyperlink>
        </w:p>
        <w:p w14:paraId="5F501A8B" w14:textId="77777777" w:rsidR="006B65FC" w:rsidRDefault="00484AB6">
          <w:pPr>
            <w:pBdr>
              <w:top w:val="nil"/>
              <w:left w:val="nil"/>
              <w:bottom w:val="nil"/>
              <w:right w:val="nil"/>
              <w:between w:val="nil"/>
            </w:pBdr>
            <w:tabs>
              <w:tab w:val="right" w:pos="9019"/>
            </w:tabs>
            <w:spacing w:after="240" w:line="360" w:lineRule="auto"/>
            <w:jc w:val="both"/>
            <w:rPr>
              <w:rFonts w:ascii="Times New Roman" w:eastAsia="Times New Roman" w:hAnsi="Times New Roman" w:cs="Times New Roman"/>
              <w:color w:val="000000"/>
              <w:sz w:val="24"/>
              <w:szCs w:val="24"/>
            </w:rPr>
          </w:pPr>
          <w:hyperlink w:anchor="_heading=h.17fmw93kbujd">
            <w:r>
              <w:rPr>
                <w:rFonts w:ascii="Times New Roman" w:eastAsia="Times New Roman" w:hAnsi="Times New Roman" w:cs="Times New Roman"/>
                <w:color w:val="000000"/>
                <w:sz w:val="24"/>
                <w:szCs w:val="24"/>
              </w:rPr>
              <w:t>3. Conclusion</w:t>
            </w:r>
            <w:r>
              <w:rPr>
                <w:rFonts w:ascii="Times New Roman" w:eastAsia="Times New Roman" w:hAnsi="Times New Roman" w:cs="Times New Roman"/>
                <w:color w:val="000000"/>
                <w:sz w:val="24"/>
                <w:szCs w:val="24"/>
              </w:rPr>
              <w:tab/>
              <w:t>7</w:t>
            </w:r>
          </w:hyperlink>
        </w:p>
        <w:p w14:paraId="1F173E29" w14:textId="77777777" w:rsidR="006B65FC" w:rsidRDefault="00484AB6">
          <w:pPr>
            <w:pBdr>
              <w:top w:val="nil"/>
              <w:left w:val="nil"/>
              <w:bottom w:val="nil"/>
              <w:right w:val="nil"/>
              <w:between w:val="nil"/>
            </w:pBdr>
            <w:tabs>
              <w:tab w:val="right" w:pos="9019"/>
            </w:tabs>
            <w:spacing w:after="240" w:line="360" w:lineRule="auto"/>
            <w:jc w:val="both"/>
            <w:rPr>
              <w:rFonts w:ascii="Times New Roman" w:eastAsia="Times New Roman" w:hAnsi="Times New Roman" w:cs="Times New Roman"/>
              <w:color w:val="000000"/>
              <w:sz w:val="24"/>
              <w:szCs w:val="24"/>
            </w:rPr>
          </w:pPr>
          <w:hyperlink w:anchor="_heading=h.xt6hdulbmrf6">
            <w:r>
              <w:rPr>
                <w:rFonts w:ascii="Times New Roman" w:eastAsia="Times New Roman" w:hAnsi="Times New Roman" w:cs="Times New Roman"/>
                <w:color w:val="000000"/>
                <w:sz w:val="24"/>
                <w:szCs w:val="24"/>
              </w:rPr>
              <w:t>4. Recommendations</w:t>
            </w:r>
            <w:r>
              <w:rPr>
                <w:rFonts w:ascii="Times New Roman" w:eastAsia="Times New Roman" w:hAnsi="Times New Roman" w:cs="Times New Roman"/>
                <w:color w:val="000000"/>
                <w:sz w:val="24"/>
                <w:szCs w:val="24"/>
              </w:rPr>
              <w:tab/>
              <w:t>8</w:t>
            </w:r>
          </w:hyperlink>
        </w:p>
        <w:p w14:paraId="59B86171" w14:textId="77777777" w:rsidR="006B65FC" w:rsidRDefault="00484AB6">
          <w:pPr>
            <w:pBdr>
              <w:top w:val="nil"/>
              <w:left w:val="nil"/>
              <w:bottom w:val="nil"/>
              <w:right w:val="nil"/>
              <w:between w:val="nil"/>
            </w:pBdr>
            <w:tabs>
              <w:tab w:val="right" w:pos="9019"/>
            </w:tabs>
            <w:spacing w:after="240" w:line="360" w:lineRule="auto"/>
            <w:jc w:val="both"/>
            <w:rPr>
              <w:rFonts w:ascii="Times New Roman" w:eastAsia="Times New Roman" w:hAnsi="Times New Roman" w:cs="Times New Roman"/>
              <w:color w:val="000000"/>
              <w:sz w:val="24"/>
              <w:szCs w:val="24"/>
            </w:rPr>
          </w:pPr>
          <w:hyperlink w:anchor="_heading=h.db6zx3lbkzf7">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9</w:t>
            </w:r>
          </w:hyperlink>
        </w:p>
        <w:p w14:paraId="117F0EE2" w14:textId="77777777" w:rsidR="006B65FC" w:rsidRDefault="00484AB6">
          <w:pPr>
            <w:spacing w:after="240" w:line="360" w:lineRule="auto"/>
            <w:jc w:val="both"/>
            <w:rPr>
              <w:rFonts w:ascii="Times New Roman" w:eastAsia="Times New Roman" w:hAnsi="Times New Roman" w:cs="Times New Roman"/>
              <w:sz w:val="24"/>
              <w:szCs w:val="24"/>
            </w:rPr>
          </w:pPr>
          <w:r>
            <w:fldChar w:fldCharType="end"/>
          </w:r>
        </w:p>
      </w:sdtContent>
    </w:sdt>
    <w:p w14:paraId="526ABDFB" w14:textId="77777777" w:rsidR="006B65FC" w:rsidRDefault="00484AB6">
      <w:pPr>
        <w:rPr>
          <w:rFonts w:ascii="Times New Roman" w:eastAsia="Times New Roman" w:hAnsi="Times New Roman" w:cs="Times New Roman"/>
          <w:b/>
          <w:sz w:val="24"/>
          <w:szCs w:val="24"/>
        </w:rPr>
      </w:pPr>
      <w:r>
        <w:br w:type="page"/>
      </w:r>
    </w:p>
    <w:p w14:paraId="640723C4" w14:textId="77777777" w:rsidR="006B65FC" w:rsidRDefault="00484AB6">
      <w:pPr>
        <w:pStyle w:val="Titlu1"/>
        <w:keepNext w:val="0"/>
        <w:keepLines w:val="0"/>
        <w:spacing w:before="200" w:after="200"/>
        <w:rPr>
          <w:i/>
        </w:rPr>
      </w:pPr>
      <w:bookmarkStart w:id="2" w:name="_heading=h.vi741c7doojo" w:colFirst="0" w:colLast="0"/>
      <w:bookmarkEnd w:id="2"/>
      <w:r>
        <w:t>1. Introduction</w:t>
      </w:r>
    </w:p>
    <w:p w14:paraId="00F41164" w14:textId="77777777" w:rsidR="006B65FC" w:rsidRDefault="00484AB6">
      <w:pPr>
        <w:spacing w:before="200" w:after="20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sz w:val="24"/>
          <w:szCs w:val="24"/>
          <w:highlight w:val="white"/>
        </w:rPr>
        <w:t>The assessment focuses on a private family firm that is operated by four siblings, each of whom owns 25% of the company's shares and serves as a director.</w:t>
      </w:r>
      <w:r>
        <w:rPr>
          <w:rFonts w:ascii="Times New Roman" w:eastAsia="Times New Roman" w:hAnsi="Times New Roman" w:cs="Times New Roman"/>
          <w:sz w:val="24"/>
          <w:szCs w:val="24"/>
        </w:rPr>
        <w:t xml:space="preserve"> The co</w:t>
      </w:r>
      <w:r>
        <w:rPr>
          <w:rFonts w:ascii="Times New Roman" w:eastAsia="Times New Roman" w:hAnsi="Times New Roman" w:cs="Times New Roman"/>
          <w:color w:val="0A0A0A"/>
          <w:sz w:val="24"/>
          <w:szCs w:val="24"/>
        </w:rPr>
        <w:t>mpany is scheduled to become a publicly listed entity on the Alternative Investment Market (AIM) in the UK which will lead to major governance structure changes, changes in ownership and new regulatory exigency (</w:t>
      </w:r>
      <w:r>
        <w:rPr>
          <w:rFonts w:ascii="Times New Roman" w:eastAsia="Times New Roman" w:hAnsi="Times New Roman" w:cs="Times New Roman"/>
          <w:sz w:val="24"/>
          <w:szCs w:val="24"/>
          <w:highlight w:val="white"/>
        </w:rPr>
        <w:t>Chiu and Hirt, 2023</w:t>
      </w:r>
      <w:r>
        <w:rPr>
          <w:rFonts w:ascii="Times New Roman" w:eastAsia="Times New Roman" w:hAnsi="Times New Roman" w:cs="Times New Roman"/>
          <w:color w:val="0A0A0A"/>
          <w:sz w:val="24"/>
          <w:szCs w:val="24"/>
        </w:rPr>
        <w:t>). According to their listed plan, 70% of the company shares will be owned by external investors after listing, down from the family’s 100% which raises questions about the ability to retain control over strategy and the decision-making process.</w:t>
      </w:r>
    </w:p>
    <w:p w14:paraId="2E4BCE1F" w14:textId="77777777" w:rsidR="006B65FC" w:rsidRDefault="00484AB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This report's objective is to advise the present Board of Directors on important transitional problems. The purpose is to investigate the ideas of agency theory and corporate governance, how control can be held with minority ownership, method to appoint director's remuneration and differences in institutions if listed in Shanghai or Netherlands. Analysis and recommendations for each section will help decision makers.</w:t>
      </w:r>
    </w:p>
    <w:p w14:paraId="2D2F35DC" w14:textId="77777777" w:rsidR="006B65FC" w:rsidRDefault="00484AB6">
      <w:pPr>
        <w:pStyle w:val="Titlu1"/>
        <w:keepNext w:val="0"/>
        <w:keepLines w:val="0"/>
        <w:spacing w:before="200" w:after="200"/>
        <w:rPr>
          <w:i/>
        </w:rPr>
      </w:pPr>
      <w:bookmarkStart w:id="3" w:name="_heading=h.n9aqqpqq4axj" w:colFirst="0" w:colLast="0"/>
      <w:bookmarkEnd w:id="3"/>
      <w:r>
        <w:t>2. “Discussion of Findings”</w:t>
      </w:r>
    </w:p>
    <w:p w14:paraId="0731F98D" w14:textId="77777777" w:rsidR="006B65FC" w:rsidRDefault="00484AB6">
      <w:pPr>
        <w:pStyle w:val="Titlu2"/>
        <w:keepNext w:val="0"/>
        <w:keepLines w:val="0"/>
        <w:spacing w:before="200" w:after="200"/>
        <w:rPr>
          <w:i/>
        </w:rPr>
      </w:pPr>
      <w:bookmarkStart w:id="4" w:name="_heading=h.z3fk48pfbrab" w:colFirst="0" w:colLast="0"/>
      <w:bookmarkEnd w:id="4"/>
      <w:r>
        <w:t>A. “Corporate Governance &amp; Agency Theory”</w:t>
      </w:r>
    </w:p>
    <w:p w14:paraId="233F5008" w14:textId="77777777" w:rsidR="006B65FC" w:rsidRDefault="00484AB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A0A0A"/>
          <w:sz w:val="24"/>
          <w:szCs w:val="24"/>
        </w:rPr>
        <w:t>“Corporate governance”,</w:t>
      </w:r>
      <w:r>
        <w:rPr>
          <w:rFonts w:ascii="Times New Roman" w:eastAsia="Times New Roman" w:hAnsi="Times New Roman" w:cs="Times New Roman"/>
          <w:color w:val="0A0A0A"/>
          <w:sz w:val="24"/>
          <w:szCs w:val="24"/>
        </w:rPr>
        <w:t xml:space="preserve"> is the system by which a company's affairs are directed and </w:t>
      </w:r>
      <w:r>
        <w:rPr>
          <w:rFonts w:ascii="Times New Roman" w:eastAsia="Times New Roman" w:hAnsi="Times New Roman" w:cs="Times New Roman"/>
          <w:sz w:val="24"/>
          <w:szCs w:val="24"/>
        </w:rPr>
        <w:t>controlled (</w:t>
      </w:r>
      <w:r>
        <w:rPr>
          <w:rFonts w:ascii="Times New Roman" w:eastAsia="Times New Roman" w:hAnsi="Times New Roman" w:cs="Times New Roman"/>
          <w:sz w:val="24"/>
          <w:szCs w:val="24"/>
          <w:highlight w:val="white"/>
        </w:rPr>
        <w:t>Cash and Goddard, 2021</w:t>
      </w:r>
      <w:r>
        <w:rPr>
          <w:rFonts w:ascii="Times New Roman" w:eastAsia="Times New Roman" w:hAnsi="Times New Roman" w:cs="Times New Roman"/>
          <w:sz w:val="24"/>
          <w:szCs w:val="24"/>
        </w:rPr>
        <w:t>). Setting up the bedrock of attaining an equilibrium between the interests of a company’s shareholders, management and other stakeholders. A company’s ability to govern itself effectively ensures accountability, fairness and transparency particularly to companies that are publicly listed. In the context of companies that aim to be listed in the Alternative Investment Market (AIM), having adherence to sound corpor</w:t>
      </w:r>
      <w:r>
        <w:rPr>
          <w:rFonts w:ascii="Times New Roman" w:eastAsia="Times New Roman" w:hAnsi="Times New Roman" w:cs="Times New Roman"/>
          <w:sz w:val="24"/>
          <w:szCs w:val="24"/>
        </w:rPr>
        <w:t>ate governance practices helps to instil confidence of investors and at the same time, to attain regulatory expectations.</w:t>
      </w:r>
    </w:p>
    <w:p w14:paraId="4EEE0EC5" w14:textId="77777777" w:rsidR="006B65FC" w:rsidRDefault="00484AB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“Agency Theory”</w:t>
      </w:r>
      <w:r>
        <w:rPr>
          <w:rFonts w:ascii="Times New Roman" w:eastAsia="Times New Roman" w:hAnsi="Times New Roman" w:cs="Times New Roman"/>
          <w:sz w:val="24"/>
          <w:szCs w:val="24"/>
        </w:rPr>
        <w:t>, a concept in corporate governance, explains the connections between shareholders (principals) and management (agents) in the organisation (</w:t>
      </w:r>
      <w:r>
        <w:rPr>
          <w:rFonts w:ascii="Times New Roman" w:eastAsia="Times New Roman" w:hAnsi="Times New Roman" w:cs="Times New Roman"/>
          <w:sz w:val="24"/>
          <w:szCs w:val="24"/>
          <w:highlight w:val="white"/>
        </w:rPr>
        <w:t>Hill, 2024</w:t>
      </w:r>
      <w:r>
        <w:rPr>
          <w:rFonts w:ascii="Times New Roman" w:eastAsia="Times New Roman" w:hAnsi="Times New Roman" w:cs="Times New Roman"/>
          <w:sz w:val="24"/>
          <w:szCs w:val="24"/>
        </w:rPr>
        <w:t>). It raises the issue of conflict of interests because the agents are likely to take their own interests at the expense of the goals of the principals. This misalignment may cause inefficient performance and share-holder undervaluation. Agency theory is particularly adopted whenever there is a privately owned firm to public ownership where the</w:t>
      </w:r>
      <w:r>
        <w:rPr>
          <w:rFonts w:ascii="Times New Roman" w:eastAsia="Times New Roman" w:hAnsi="Times New Roman" w:cs="Times New Roman"/>
          <w:sz w:val="24"/>
          <w:szCs w:val="24"/>
        </w:rPr>
        <w:t xml:space="preserve"> number of external investors increases and the distance between ownership and control also increases.</w:t>
      </w:r>
    </w:p>
    <w:p w14:paraId="1DB9852E" w14:textId="77777777" w:rsidR="006B65FC" w:rsidRDefault="00484AB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Agency Theory is</w:t>
      </w:r>
      <w:r>
        <w:rPr>
          <w:rFonts w:ascii="Times New Roman" w:eastAsia="Times New Roman" w:hAnsi="Times New Roman" w:cs="Times New Roman"/>
          <w:b/>
          <w:sz w:val="24"/>
          <w:szCs w:val="24"/>
        </w:rPr>
        <w:t xml:space="preserve"> important </w:t>
      </w:r>
      <w:r>
        <w:rPr>
          <w:rFonts w:ascii="Times New Roman" w:eastAsia="Times New Roman" w:hAnsi="Times New Roman" w:cs="Times New Roman"/>
          <w:sz w:val="24"/>
          <w:szCs w:val="24"/>
        </w:rPr>
        <w:t>as it enhances accountability, and acts in line with the interests of the shareholders. Companies can reduce the problem of agency through independent boards, audit committees and through open disclosure practices (</w:t>
      </w:r>
      <w:r>
        <w:rPr>
          <w:rFonts w:ascii="Times New Roman" w:eastAsia="Times New Roman" w:hAnsi="Times New Roman" w:cs="Times New Roman"/>
          <w:sz w:val="24"/>
          <w:szCs w:val="24"/>
          <w:highlight w:val="white"/>
        </w:rPr>
        <w:t>Alyousef and Alsughayer, 2021</w:t>
      </w:r>
      <w:r>
        <w:rPr>
          <w:rFonts w:ascii="Times New Roman" w:eastAsia="Times New Roman" w:hAnsi="Times New Roman" w:cs="Times New Roman"/>
          <w:sz w:val="24"/>
          <w:szCs w:val="24"/>
        </w:rPr>
        <w:t>). In the case of a family-owned firm considering going public on the alternative investment market (AIM), the agency theory can be understood and used to gain investor confidence, create the long-lasting governance, and align the strategies between the ini</w:t>
      </w:r>
      <w:r>
        <w:rPr>
          <w:rFonts w:ascii="Times New Roman" w:eastAsia="Times New Roman" w:hAnsi="Times New Roman" w:cs="Times New Roman"/>
          <w:sz w:val="24"/>
          <w:szCs w:val="24"/>
        </w:rPr>
        <w:t>tial shareholders and new ones.</w:t>
      </w:r>
    </w:p>
    <w:p w14:paraId="7136FD44" w14:textId="77777777" w:rsidR="006B65FC" w:rsidRDefault="00484AB6">
      <w:pPr>
        <w:pStyle w:val="Titlu2"/>
        <w:keepNext w:val="0"/>
        <w:keepLines w:val="0"/>
        <w:spacing w:after="200"/>
        <w:rPr>
          <w:i/>
        </w:rPr>
      </w:pPr>
      <w:bookmarkStart w:id="5" w:name="_heading=h.vh5sr3uqdr75" w:colFirst="0" w:colLast="0"/>
      <w:bookmarkEnd w:id="5"/>
      <w:r>
        <w:t xml:space="preserve">B. Retaining Control with 30% Shareholding </w:t>
      </w:r>
    </w:p>
    <w:p w14:paraId="659F0573" w14:textId="77777777" w:rsidR="006B65FC" w:rsidRDefault="00484AB6">
      <w:pPr>
        <w:spacing w:before="24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Retain Strategic Control </w:t>
      </w:r>
    </w:p>
    <w:tbl>
      <w:tblPr>
        <w:tblStyle w:val="a7"/>
        <w:tblW w:w="9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7"/>
        <w:gridCol w:w="6998"/>
      </w:tblGrid>
      <w:tr w:rsidR="006B65FC" w14:paraId="545C75C6" w14:textId="77777777">
        <w:trPr>
          <w:trHeight w:val="500"/>
        </w:trPr>
        <w:tc>
          <w:tcPr>
            <w:tcW w:w="2027" w:type="dxa"/>
            <w:tcBorders>
              <w:top w:val="single" w:sz="8" w:space="0" w:color="000000"/>
              <w:left w:val="single" w:sz="8" w:space="0" w:color="000000"/>
              <w:bottom w:val="single" w:sz="8" w:space="0" w:color="000000"/>
              <w:right w:val="single" w:sz="8" w:space="0" w:color="000000"/>
            </w:tcBorders>
            <w:shd w:val="clear" w:color="auto" w:fill="9BBB59"/>
            <w:tcMar>
              <w:top w:w="100" w:type="dxa"/>
              <w:left w:w="100" w:type="dxa"/>
              <w:bottom w:w="100" w:type="dxa"/>
              <w:right w:w="100" w:type="dxa"/>
            </w:tcMar>
          </w:tcPr>
          <w:p w14:paraId="20A0EE43" w14:textId="77777777" w:rsidR="006B65FC" w:rsidRDefault="00484AB6">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Method</w:t>
            </w:r>
          </w:p>
        </w:tc>
        <w:tc>
          <w:tcPr>
            <w:tcW w:w="6998" w:type="dxa"/>
            <w:tcBorders>
              <w:top w:val="single" w:sz="8" w:space="0" w:color="000000"/>
              <w:left w:val="single" w:sz="8" w:space="0" w:color="000000"/>
              <w:bottom w:val="single" w:sz="8" w:space="0" w:color="000000"/>
              <w:right w:val="single" w:sz="8" w:space="0" w:color="000000"/>
            </w:tcBorders>
            <w:shd w:val="clear" w:color="auto" w:fill="9BBB59"/>
            <w:tcMar>
              <w:top w:w="100" w:type="dxa"/>
              <w:left w:w="100" w:type="dxa"/>
              <w:bottom w:w="100" w:type="dxa"/>
              <w:right w:w="100" w:type="dxa"/>
            </w:tcMar>
          </w:tcPr>
          <w:p w14:paraId="58E13FE1" w14:textId="77777777" w:rsidR="006B65FC" w:rsidRDefault="00484AB6">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Explanation</w:t>
            </w:r>
          </w:p>
        </w:tc>
      </w:tr>
      <w:tr w:rsidR="006B65FC" w14:paraId="71D025CF" w14:textId="77777777">
        <w:trPr>
          <w:trHeight w:val="785"/>
        </w:trPr>
        <w:tc>
          <w:tcPr>
            <w:tcW w:w="2027" w:type="dxa"/>
            <w:tcBorders>
              <w:top w:val="single" w:sz="8" w:space="0" w:color="000000"/>
              <w:left w:val="single" w:sz="8" w:space="0" w:color="000000"/>
              <w:bottom w:val="single" w:sz="8" w:space="0" w:color="000000"/>
              <w:right w:val="single" w:sz="8" w:space="0" w:color="000000"/>
            </w:tcBorders>
            <w:shd w:val="clear" w:color="auto" w:fill="8DB3E2"/>
            <w:tcMar>
              <w:top w:w="100" w:type="dxa"/>
              <w:left w:w="100" w:type="dxa"/>
              <w:bottom w:w="100" w:type="dxa"/>
              <w:right w:w="100" w:type="dxa"/>
            </w:tcMar>
          </w:tcPr>
          <w:p w14:paraId="7A1F215D" w14:textId="77777777" w:rsidR="006B65FC" w:rsidRDefault="00484AB6">
            <w:pPr>
              <w:spacing w:before="24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Dual-Class Shares</w:t>
            </w:r>
          </w:p>
        </w:tc>
        <w:tc>
          <w:tcPr>
            <w:tcW w:w="69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4FF755" w14:textId="77777777" w:rsidR="006B65FC" w:rsidRDefault="00484AB6">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give the family more influence, issue distinct share classes (such as Class A and Class B) with unequal voting rights.</w:t>
            </w:r>
          </w:p>
        </w:tc>
      </w:tr>
      <w:tr w:rsidR="006B65FC" w14:paraId="3D0EFD60" w14:textId="77777777">
        <w:trPr>
          <w:trHeight w:val="785"/>
        </w:trPr>
        <w:tc>
          <w:tcPr>
            <w:tcW w:w="2027" w:type="dxa"/>
            <w:tcBorders>
              <w:top w:val="single" w:sz="8" w:space="0" w:color="000000"/>
              <w:left w:val="single" w:sz="8" w:space="0" w:color="000000"/>
              <w:bottom w:val="single" w:sz="8" w:space="0" w:color="000000"/>
              <w:right w:val="single" w:sz="8" w:space="0" w:color="000000"/>
            </w:tcBorders>
            <w:shd w:val="clear" w:color="auto" w:fill="8DB3E2"/>
            <w:tcMar>
              <w:top w:w="100" w:type="dxa"/>
              <w:left w:w="100" w:type="dxa"/>
              <w:bottom w:w="100" w:type="dxa"/>
              <w:right w:w="100" w:type="dxa"/>
            </w:tcMar>
          </w:tcPr>
          <w:p w14:paraId="59475D4D" w14:textId="77777777" w:rsidR="006B65FC" w:rsidRDefault="00484AB6">
            <w:pPr>
              <w:spacing w:before="24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Golden Shares</w:t>
            </w:r>
          </w:p>
        </w:tc>
        <w:tc>
          <w:tcPr>
            <w:tcW w:w="69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32A6B" w14:textId="77777777" w:rsidR="006B65FC" w:rsidRDefault="00484AB6">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Grant a special share to the family with veto power over key decisions, even with minority ownership (</w:t>
            </w:r>
            <w:r>
              <w:rPr>
                <w:rFonts w:ascii="Times New Roman" w:eastAsia="Times New Roman" w:hAnsi="Times New Roman" w:cs="Times New Roman"/>
                <w:sz w:val="24"/>
                <w:szCs w:val="24"/>
                <w:highlight w:val="white"/>
              </w:rPr>
              <w:t>Hardman, 2022</w:t>
            </w:r>
            <w:r>
              <w:rPr>
                <w:rFonts w:ascii="Times New Roman" w:eastAsia="Times New Roman" w:hAnsi="Times New Roman" w:cs="Times New Roman"/>
                <w:sz w:val="24"/>
                <w:szCs w:val="24"/>
              </w:rPr>
              <w:t>).</w:t>
            </w:r>
          </w:p>
        </w:tc>
      </w:tr>
      <w:tr w:rsidR="006B65FC" w14:paraId="62A8A8B4" w14:textId="77777777">
        <w:trPr>
          <w:trHeight w:val="785"/>
        </w:trPr>
        <w:tc>
          <w:tcPr>
            <w:tcW w:w="2027" w:type="dxa"/>
            <w:tcBorders>
              <w:top w:val="single" w:sz="8" w:space="0" w:color="000000"/>
              <w:left w:val="single" w:sz="8" w:space="0" w:color="000000"/>
              <w:bottom w:val="single" w:sz="8" w:space="0" w:color="000000"/>
              <w:right w:val="single" w:sz="8" w:space="0" w:color="000000"/>
            </w:tcBorders>
            <w:shd w:val="clear" w:color="auto" w:fill="8DB3E2"/>
            <w:tcMar>
              <w:top w:w="100" w:type="dxa"/>
              <w:left w:w="100" w:type="dxa"/>
              <w:bottom w:w="100" w:type="dxa"/>
              <w:right w:w="100" w:type="dxa"/>
            </w:tcMar>
          </w:tcPr>
          <w:p w14:paraId="031B0FB0" w14:textId="77777777" w:rsidR="006B65FC" w:rsidRDefault="00484AB6">
            <w:pPr>
              <w:spacing w:before="24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Shareholder Agreements</w:t>
            </w:r>
          </w:p>
        </w:tc>
        <w:tc>
          <w:tcPr>
            <w:tcW w:w="69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35952D" w14:textId="77777777" w:rsidR="006B65FC" w:rsidRDefault="00484AB6">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Enter agreements among existing shareholders to vote in line with the family’s interests on major strategic matters (</w:t>
            </w:r>
            <w:r>
              <w:rPr>
                <w:rFonts w:ascii="Times New Roman" w:eastAsia="Times New Roman" w:hAnsi="Times New Roman" w:cs="Times New Roman"/>
                <w:sz w:val="24"/>
                <w:szCs w:val="24"/>
                <w:highlight w:val="white"/>
              </w:rPr>
              <w:t>Rauterberg, 2021</w:t>
            </w:r>
            <w:r>
              <w:rPr>
                <w:rFonts w:ascii="Times New Roman" w:eastAsia="Times New Roman" w:hAnsi="Times New Roman" w:cs="Times New Roman"/>
                <w:sz w:val="24"/>
                <w:szCs w:val="24"/>
              </w:rPr>
              <w:t>).</w:t>
            </w:r>
          </w:p>
        </w:tc>
      </w:tr>
    </w:tbl>
    <w:p w14:paraId="7B5CEB90" w14:textId="77777777" w:rsidR="006B65FC" w:rsidRDefault="00484AB6">
      <w:pPr>
        <w:spacing w:before="24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Board Control and Strategic Voting Power </w:t>
      </w:r>
    </w:p>
    <w:p w14:paraId="36C5DBEA" w14:textId="77777777" w:rsidR="006B65FC" w:rsidRDefault="00484AB6">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existing board will also be able to maintain a company with 30% of shareholding through the partnership of governing systems and the organization of alliances. To begin with, they can embrace the </w:t>
      </w:r>
      <w:r>
        <w:rPr>
          <w:rFonts w:ascii="Times New Roman" w:eastAsia="Times New Roman" w:hAnsi="Times New Roman" w:cs="Times New Roman"/>
          <w:b/>
          <w:sz w:val="24"/>
          <w:szCs w:val="24"/>
        </w:rPr>
        <w:t>dual-class shares</w:t>
      </w:r>
      <w:r>
        <w:rPr>
          <w:rFonts w:ascii="Times New Roman" w:eastAsia="Times New Roman" w:hAnsi="Times New Roman" w:cs="Times New Roman"/>
          <w:sz w:val="24"/>
          <w:szCs w:val="24"/>
        </w:rPr>
        <w:t>, where the family gets a larger percentage in voting per share to counter critical decisions (</w:t>
      </w:r>
      <w:r>
        <w:rPr>
          <w:rFonts w:ascii="Times New Roman" w:eastAsia="Times New Roman" w:hAnsi="Times New Roman" w:cs="Times New Roman"/>
          <w:sz w:val="24"/>
          <w:szCs w:val="24"/>
          <w:highlight w:val="white"/>
        </w:rPr>
        <w:t>Bruslerie, 2023</w:t>
      </w:r>
      <w:r>
        <w:rPr>
          <w:rFonts w:ascii="Times New Roman" w:eastAsia="Times New Roman" w:hAnsi="Times New Roman" w:cs="Times New Roman"/>
          <w:sz w:val="24"/>
          <w:szCs w:val="24"/>
        </w:rPr>
        <w:t xml:space="preserve">). Secondly, </w:t>
      </w:r>
      <w:r>
        <w:rPr>
          <w:rFonts w:ascii="Times New Roman" w:eastAsia="Times New Roman" w:hAnsi="Times New Roman" w:cs="Times New Roman"/>
          <w:b/>
          <w:sz w:val="24"/>
          <w:szCs w:val="24"/>
        </w:rPr>
        <w:t>shareholder</w:t>
      </w:r>
      <w:r>
        <w:rPr>
          <w:rFonts w:ascii="Times New Roman" w:eastAsia="Times New Roman" w:hAnsi="Times New Roman" w:cs="Times New Roman"/>
          <w:sz w:val="24"/>
          <w:szCs w:val="24"/>
        </w:rPr>
        <w:t xml:space="preserve"> contracts are able to sync the vote of voters to the perceptions of the family. Third, keeping a</w:t>
      </w:r>
      <w:r>
        <w:rPr>
          <w:rFonts w:ascii="Times New Roman" w:eastAsia="Times New Roman" w:hAnsi="Times New Roman" w:cs="Times New Roman"/>
          <w:b/>
          <w:sz w:val="24"/>
          <w:szCs w:val="24"/>
        </w:rPr>
        <w:t xml:space="preserve"> majority position </w:t>
      </w:r>
      <w:r>
        <w:rPr>
          <w:rFonts w:ascii="Times New Roman" w:eastAsia="Times New Roman" w:hAnsi="Times New Roman" w:cs="Times New Roman"/>
          <w:sz w:val="24"/>
          <w:szCs w:val="24"/>
        </w:rPr>
        <w:t>on boards through appointment of people that can be trusted or allies remains in control of most important decisions such as appointment of the executive and strategic decision making. Also, voting power can be concentrated through forming coali</w:t>
      </w:r>
      <w:r>
        <w:rPr>
          <w:rFonts w:ascii="Times New Roman" w:eastAsia="Times New Roman" w:hAnsi="Times New Roman" w:cs="Times New Roman"/>
          <w:sz w:val="24"/>
          <w:szCs w:val="24"/>
        </w:rPr>
        <w:t>tions with institutional investors with congruent values (</w:t>
      </w:r>
      <w:r>
        <w:rPr>
          <w:rFonts w:ascii="Times New Roman" w:eastAsia="Times New Roman" w:hAnsi="Times New Roman" w:cs="Times New Roman"/>
          <w:sz w:val="24"/>
          <w:szCs w:val="24"/>
          <w:highlight w:val="white"/>
        </w:rPr>
        <w:t>Dressler and Mugerman, 2023</w:t>
      </w:r>
      <w:r>
        <w:rPr>
          <w:rFonts w:ascii="Times New Roman" w:eastAsia="Times New Roman" w:hAnsi="Times New Roman" w:cs="Times New Roman"/>
          <w:sz w:val="24"/>
          <w:szCs w:val="24"/>
        </w:rPr>
        <w:t>). These strategies will help the board to protect the vision and leadership of the company in spite of the decreased ownership.</w:t>
      </w:r>
    </w:p>
    <w:p w14:paraId="5F92695C" w14:textId="77777777" w:rsidR="006B65FC" w:rsidRDefault="00484AB6">
      <w:pPr>
        <w:pStyle w:val="Titlu2"/>
        <w:keepNext w:val="0"/>
        <w:keepLines w:val="0"/>
        <w:spacing w:after="200"/>
        <w:rPr>
          <w:i/>
        </w:rPr>
      </w:pPr>
      <w:bookmarkStart w:id="6" w:name="_heading=h.y58mkviwejs6" w:colFirst="0" w:colLast="0"/>
      <w:bookmarkEnd w:id="6"/>
      <w:r>
        <w:t>C. Director Remuneration Structures</w:t>
      </w:r>
    </w:p>
    <w:p w14:paraId="0EE0E7F5" w14:textId="77777777" w:rsidR="006B65FC" w:rsidRDefault="00484AB6">
      <w:pPr>
        <w:spacing w:before="24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Best Practices for Setting Remuneration</w:t>
      </w:r>
    </w:p>
    <w:p w14:paraId="652F6D4E" w14:textId="77777777" w:rsidR="006B65FC" w:rsidRDefault="00484AB6">
      <w:pPr>
        <w:spacing w:before="24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In order to compensate the directors reasonably, a strong compensation system should be put in place. The pay decisions should be released by an </w:t>
      </w:r>
      <w:r>
        <w:rPr>
          <w:rFonts w:ascii="Times New Roman" w:eastAsia="Times New Roman" w:hAnsi="Times New Roman" w:cs="Times New Roman"/>
          <w:b/>
          <w:sz w:val="24"/>
          <w:szCs w:val="24"/>
        </w:rPr>
        <w:t>independent remuneration committee</w:t>
      </w:r>
      <w:r>
        <w:rPr>
          <w:rFonts w:ascii="Times New Roman" w:eastAsia="Times New Roman" w:hAnsi="Times New Roman" w:cs="Times New Roman"/>
          <w:sz w:val="24"/>
          <w:szCs w:val="24"/>
        </w:rPr>
        <w:t xml:space="preserve"> supported by non-executive directors as to mitigate conflict of interests (</w:t>
      </w:r>
      <w:r>
        <w:rPr>
          <w:rFonts w:ascii="Times New Roman" w:eastAsia="Times New Roman" w:hAnsi="Times New Roman" w:cs="Times New Roman"/>
          <w:sz w:val="24"/>
          <w:szCs w:val="24"/>
          <w:highlight w:val="white"/>
        </w:rPr>
        <w:t>Akinsola, 2025</w:t>
      </w:r>
      <w:r>
        <w:rPr>
          <w:rFonts w:ascii="Times New Roman" w:eastAsia="Times New Roman" w:hAnsi="Times New Roman" w:cs="Times New Roman"/>
          <w:sz w:val="24"/>
          <w:szCs w:val="24"/>
        </w:rPr>
        <w:t xml:space="preserve">). Pay structures need to be changed into a </w:t>
      </w:r>
      <w:r>
        <w:rPr>
          <w:rFonts w:ascii="Times New Roman" w:eastAsia="Times New Roman" w:hAnsi="Times New Roman" w:cs="Times New Roman"/>
          <w:b/>
          <w:sz w:val="24"/>
          <w:szCs w:val="24"/>
        </w:rPr>
        <w:t>performance-based system</w:t>
      </w:r>
      <w:r>
        <w:rPr>
          <w:rFonts w:ascii="Times New Roman" w:eastAsia="Times New Roman" w:hAnsi="Times New Roman" w:cs="Times New Roman"/>
          <w:sz w:val="24"/>
          <w:szCs w:val="24"/>
        </w:rPr>
        <w:t xml:space="preserve"> whereby directors incentives are associated with corporation objectives and share value. Annual reports outline distinguished disclosure and transparency policies of remunerations that put investors at trust (</w:t>
      </w:r>
      <w:r>
        <w:rPr>
          <w:rFonts w:ascii="Times New Roman" w:eastAsia="Times New Roman" w:hAnsi="Times New Roman" w:cs="Times New Roman"/>
          <w:sz w:val="24"/>
          <w:szCs w:val="24"/>
          <w:highlight w:val="white"/>
        </w:rPr>
        <w:t>Bamberger, 2023</w:t>
      </w:r>
      <w:r>
        <w:rPr>
          <w:rFonts w:ascii="Times New Roman" w:eastAsia="Times New Roman" w:hAnsi="Times New Roman" w:cs="Times New Roman"/>
          <w:sz w:val="24"/>
          <w:szCs w:val="24"/>
        </w:rPr>
        <w:t>). The framework should be aligned to the UK Corporate Governance Code, which supports long-ter</w:t>
      </w:r>
      <w:r>
        <w:rPr>
          <w:rFonts w:ascii="Times New Roman" w:eastAsia="Times New Roman" w:hAnsi="Times New Roman" w:cs="Times New Roman"/>
          <w:sz w:val="24"/>
          <w:szCs w:val="24"/>
        </w:rPr>
        <w:t>m value production and equity. Comparison of the salaries to the standards within the industry and ad-hoc reviews also make the pay provided to the directors competitive, reasonable, and aligned in terms of the company strategic goals.</w:t>
      </w:r>
    </w:p>
    <w:p w14:paraId="6781383A" w14:textId="77777777" w:rsidR="006B65FC" w:rsidRDefault="00484AB6">
      <w:pPr>
        <w:spacing w:before="24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UK Corporate Governance Code Recommendations </w:t>
      </w:r>
    </w:p>
    <w:p w14:paraId="635702AD" w14:textId="77777777" w:rsidR="006B65FC" w:rsidRDefault="00484AB6">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According to the UK Corporate Governance Code, director compensation should be structured to guarantee the company's long-term success, with performance accounting for the majority of the pay component (</w:t>
      </w:r>
      <w:r>
        <w:rPr>
          <w:rFonts w:ascii="Times New Roman" w:eastAsia="Times New Roman" w:hAnsi="Times New Roman" w:cs="Times New Roman"/>
          <w:sz w:val="24"/>
          <w:szCs w:val="24"/>
          <w:highlight w:val="white"/>
        </w:rPr>
        <w:t>Porcuna Enguix, 2021</w:t>
      </w:r>
      <w:r>
        <w:rPr>
          <w:rFonts w:ascii="Times New Roman" w:eastAsia="Times New Roman" w:hAnsi="Times New Roman" w:cs="Times New Roman"/>
          <w:color w:val="0A0A0A"/>
          <w:sz w:val="24"/>
          <w:szCs w:val="24"/>
        </w:rPr>
        <w:t>). Remuneration committees, whose independence is assured by the fact they are composed of independent non-executive directors, should also set compensation for executives. Full transparency is necessary to maintain trust and firm shareholder alignment including disclosures of pay structures, justifications. Following these principles leads to the avoidance of ‘sky high’ pay and makes leadership’s incentives consistent with sustainable company growth.</w:t>
      </w:r>
    </w:p>
    <w:p w14:paraId="1C0E9F7C" w14:textId="77777777" w:rsidR="006B65FC" w:rsidRDefault="00484AB6">
      <w:pPr>
        <w:pStyle w:val="Titlu2"/>
        <w:keepNext w:val="0"/>
        <w:keepLines w:val="0"/>
        <w:spacing w:after="200"/>
        <w:rPr>
          <w:i/>
        </w:rPr>
      </w:pPr>
      <w:bookmarkStart w:id="7" w:name="_heading=h.jfh8u7c9rvyc" w:colFirst="0" w:colLast="0"/>
      <w:bookmarkEnd w:id="7"/>
      <w:r>
        <w:t>D. “Institutional Differences: UK vs Shanghai vs Netherlands”</w:t>
      </w:r>
    </w:p>
    <w:p w14:paraId="78091C74" w14:textId="77777777" w:rsidR="006B65FC" w:rsidRDefault="00484AB6">
      <w:pPr>
        <w:spacing w:before="24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Legal and Governance Frameworks </w:t>
      </w:r>
    </w:p>
    <w:tbl>
      <w:tblPr>
        <w:tblStyle w:val="a8"/>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7365"/>
      </w:tblGrid>
      <w:tr w:rsidR="006B65FC" w14:paraId="702BF30A" w14:textId="77777777">
        <w:trPr>
          <w:trHeight w:val="500"/>
        </w:trPr>
        <w:tc>
          <w:tcPr>
            <w:tcW w:w="1665" w:type="dxa"/>
            <w:tcBorders>
              <w:top w:val="single" w:sz="8" w:space="0" w:color="000000"/>
              <w:left w:val="single" w:sz="8" w:space="0" w:color="000000"/>
              <w:bottom w:val="single" w:sz="8" w:space="0" w:color="000000"/>
              <w:right w:val="single" w:sz="8" w:space="0" w:color="000000"/>
            </w:tcBorders>
            <w:shd w:val="clear" w:color="auto" w:fill="F79646"/>
            <w:tcMar>
              <w:top w:w="100" w:type="dxa"/>
              <w:left w:w="100" w:type="dxa"/>
              <w:bottom w:w="100" w:type="dxa"/>
              <w:right w:w="100" w:type="dxa"/>
            </w:tcMar>
          </w:tcPr>
          <w:p w14:paraId="10958821" w14:textId="77777777" w:rsidR="006B65FC" w:rsidRDefault="00484AB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“Country”</w:t>
            </w:r>
          </w:p>
        </w:tc>
        <w:tc>
          <w:tcPr>
            <w:tcW w:w="7365" w:type="dxa"/>
            <w:tcBorders>
              <w:top w:val="single" w:sz="8" w:space="0" w:color="000000"/>
              <w:left w:val="single" w:sz="8" w:space="0" w:color="000000"/>
              <w:bottom w:val="single" w:sz="8" w:space="0" w:color="000000"/>
              <w:right w:val="single" w:sz="8" w:space="0" w:color="000000"/>
            </w:tcBorders>
            <w:shd w:val="clear" w:color="auto" w:fill="F79646"/>
            <w:tcMar>
              <w:top w:w="100" w:type="dxa"/>
              <w:left w:w="100" w:type="dxa"/>
              <w:bottom w:w="100" w:type="dxa"/>
              <w:right w:w="100" w:type="dxa"/>
            </w:tcMar>
          </w:tcPr>
          <w:p w14:paraId="53940260" w14:textId="77777777" w:rsidR="006B65FC" w:rsidRDefault="00484AB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“Governance Features”</w:t>
            </w:r>
          </w:p>
        </w:tc>
      </w:tr>
      <w:tr w:rsidR="006B65FC" w14:paraId="2B048B1C" w14:textId="77777777">
        <w:trPr>
          <w:trHeight w:val="785"/>
        </w:trPr>
        <w:tc>
          <w:tcPr>
            <w:tcW w:w="1665" w:type="dxa"/>
            <w:tcBorders>
              <w:top w:val="single" w:sz="8" w:space="0" w:color="000000"/>
              <w:left w:val="single" w:sz="8" w:space="0" w:color="000000"/>
              <w:bottom w:val="single" w:sz="8" w:space="0" w:color="000000"/>
              <w:right w:val="single" w:sz="8" w:space="0" w:color="000000"/>
            </w:tcBorders>
            <w:shd w:val="clear" w:color="auto" w:fill="9BBB59"/>
            <w:tcMar>
              <w:top w:w="100" w:type="dxa"/>
              <w:left w:w="100" w:type="dxa"/>
              <w:bottom w:w="100" w:type="dxa"/>
              <w:right w:w="100" w:type="dxa"/>
            </w:tcMar>
          </w:tcPr>
          <w:p w14:paraId="6117C27D" w14:textId="77777777" w:rsidR="006B65FC" w:rsidRDefault="00484AB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UK</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8D18FD" w14:textId="77777777" w:rsidR="006B65FC" w:rsidRDefault="00484AB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Complies with UK Corporate Governance Code; strong emphasis on transparency and accountability (</w:t>
            </w:r>
            <w:r>
              <w:rPr>
                <w:rFonts w:ascii="Times New Roman" w:eastAsia="Times New Roman" w:hAnsi="Times New Roman" w:cs="Times New Roman"/>
                <w:sz w:val="24"/>
                <w:szCs w:val="24"/>
                <w:highlight w:val="white"/>
              </w:rPr>
              <w:t xml:space="preserve">Efunniyi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2024</w:t>
            </w:r>
            <w:r>
              <w:rPr>
                <w:rFonts w:ascii="Times New Roman" w:eastAsia="Times New Roman" w:hAnsi="Times New Roman" w:cs="Times New Roman"/>
                <w:sz w:val="24"/>
                <w:szCs w:val="24"/>
              </w:rPr>
              <w:t>).</w:t>
            </w:r>
          </w:p>
        </w:tc>
      </w:tr>
      <w:tr w:rsidR="006B65FC" w14:paraId="514DDFEB" w14:textId="77777777">
        <w:trPr>
          <w:trHeight w:val="785"/>
        </w:trPr>
        <w:tc>
          <w:tcPr>
            <w:tcW w:w="1665" w:type="dxa"/>
            <w:tcBorders>
              <w:top w:val="single" w:sz="8" w:space="0" w:color="000000"/>
              <w:left w:val="single" w:sz="8" w:space="0" w:color="000000"/>
              <w:bottom w:val="single" w:sz="8" w:space="0" w:color="000000"/>
              <w:right w:val="single" w:sz="8" w:space="0" w:color="000000"/>
            </w:tcBorders>
            <w:shd w:val="clear" w:color="auto" w:fill="9BBB59"/>
            <w:tcMar>
              <w:top w:w="100" w:type="dxa"/>
              <w:left w:w="100" w:type="dxa"/>
              <w:bottom w:w="100" w:type="dxa"/>
              <w:right w:w="100" w:type="dxa"/>
            </w:tcMar>
          </w:tcPr>
          <w:p w14:paraId="68598BE8" w14:textId="77777777" w:rsidR="006B65FC" w:rsidRDefault="00484AB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Shanghai</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94236" w14:textId="77777777" w:rsidR="006B65FC" w:rsidRDefault="00484AB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Influenced by state ownership; stricter regulatory approval and intervention by government bodies.</w:t>
            </w:r>
          </w:p>
        </w:tc>
      </w:tr>
      <w:tr w:rsidR="006B65FC" w14:paraId="5E2CFDA8" w14:textId="77777777">
        <w:trPr>
          <w:trHeight w:val="785"/>
        </w:trPr>
        <w:tc>
          <w:tcPr>
            <w:tcW w:w="1665" w:type="dxa"/>
            <w:tcBorders>
              <w:top w:val="single" w:sz="8" w:space="0" w:color="000000"/>
              <w:left w:val="single" w:sz="8" w:space="0" w:color="000000"/>
              <w:bottom w:val="single" w:sz="8" w:space="0" w:color="000000"/>
              <w:right w:val="single" w:sz="8" w:space="0" w:color="000000"/>
            </w:tcBorders>
            <w:shd w:val="clear" w:color="auto" w:fill="9BBB59"/>
            <w:tcMar>
              <w:top w:w="100" w:type="dxa"/>
              <w:left w:w="100" w:type="dxa"/>
              <w:bottom w:w="100" w:type="dxa"/>
              <w:right w:w="100" w:type="dxa"/>
            </w:tcMar>
          </w:tcPr>
          <w:p w14:paraId="33940D18" w14:textId="77777777" w:rsidR="006B65FC" w:rsidRDefault="00484AB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Netherlands</w:t>
            </w:r>
          </w:p>
        </w:tc>
        <w:tc>
          <w:tcPr>
            <w:tcW w:w="7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C71993" w14:textId="77777777" w:rsidR="006B65FC" w:rsidRDefault="00484AB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Two-tier board system (management and supervisory boards); promotes long-term stakeholder engagement.</w:t>
            </w:r>
          </w:p>
        </w:tc>
      </w:tr>
    </w:tbl>
    <w:p w14:paraId="7F0C0D63" w14:textId="77777777" w:rsidR="006B65FC" w:rsidRDefault="00484AB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Shanghai or Netherland listing has its advantages and disadvantages. Shanghai provides an entry to one of the biggest and rapidly increasing markets and is accompanied by thorough state control and a regulatory barrier along with restricted income refer to the shareholders because of rigorous government control. The Netherlands is a place where the legal climate is stable and based on the two-tier system of the board, encouraging the participation of stakeholders and the employees. However, changes in Dutch</w:t>
      </w:r>
      <w:r>
        <w:rPr>
          <w:rFonts w:ascii="Times New Roman" w:eastAsia="Times New Roman" w:hAnsi="Times New Roman" w:cs="Times New Roman"/>
          <w:sz w:val="24"/>
          <w:szCs w:val="24"/>
        </w:rPr>
        <w:t xml:space="preserve"> structures of governance and cultural expectations, may involve change in operations (</w:t>
      </w:r>
      <w:r>
        <w:rPr>
          <w:rFonts w:ascii="Times New Roman" w:eastAsia="Times New Roman" w:hAnsi="Times New Roman" w:cs="Times New Roman"/>
          <w:sz w:val="24"/>
          <w:szCs w:val="24"/>
          <w:highlight w:val="white"/>
        </w:rPr>
        <w:t xml:space="preserve">Loorbach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The move to one of the jurisdictions is associated with legal, and language, and compliance expenses, as well. As such, one of the areas that the company needs to consider critically when choosing the international listing place is the strategic alignment, appeal to investors as well as compatibility with the regulations.</w:t>
      </w:r>
    </w:p>
    <w:p w14:paraId="0C6A9CBC" w14:textId="77777777" w:rsidR="006B65FC" w:rsidRDefault="00484AB6">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Cultural, Regulatory, and Financial Differences</w:t>
      </w:r>
    </w:p>
    <w:p w14:paraId="710B7EE2" w14:textId="77777777" w:rsidR="006B65FC" w:rsidRDefault="00484AB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UK corporate governance is culturally oriented towards providing investor protection and managerial independence, tending toward Chinese organizations oriented towards the hierarchical and state influenced types (</w:t>
      </w:r>
      <w:r>
        <w:rPr>
          <w:rFonts w:ascii="Times New Roman" w:eastAsia="Times New Roman" w:hAnsi="Times New Roman" w:cs="Times New Roman"/>
          <w:sz w:val="24"/>
          <w:szCs w:val="24"/>
          <w:highlight w:val="white"/>
        </w:rPr>
        <w:t>Tang, 2025</w:t>
      </w:r>
      <w:r>
        <w:rPr>
          <w:rFonts w:ascii="Times New Roman" w:eastAsia="Times New Roman" w:hAnsi="Times New Roman" w:cs="Times New Roman"/>
          <w:color w:val="0A0A0A"/>
          <w:sz w:val="24"/>
          <w:szCs w:val="24"/>
        </w:rPr>
        <w:t>). Employee participation and long-term value creation is emphasised in the Netherlands. Regulations also differ namely United Kingdom regulations emphasize shareholders rights and disclosure; China has tighter state controls and Dutch regulations require broader stakeholder consultation. Thus, the differences that exist between these jurisdictions have a bearing on how companies deal with regulators, shareholders and employees in the jurisdiction that such a company operates in.</w:t>
      </w:r>
    </w:p>
    <w:p w14:paraId="610F92D8" w14:textId="77777777" w:rsidR="006B65FC" w:rsidRDefault="00484AB6">
      <w:pPr>
        <w:spacing w:before="24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Relocation Implications </w:t>
      </w:r>
    </w:p>
    <w:p w14:paraId="2D815424" w14:textId="77777777" w:rsidR="006B65FC" w:rsidRDefault="00484AB6">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A0A0A"/>
          <w:sz w:val="24"/>
          <w:szCs w:val="24"/>
        </w:rPr>
        <w:t>Relocation of headquarters to Shanghai, Netherlands possibly entails changes in its structure in that there would be the need to adjust to dual-board systems, language and compliance requirements as well as difference in reporting standards (</w:t>
      </w:r>
      <w:r>
        <w:rPr>
          <w:rFonts w:ascii="Times New Roman" w:eastAsia="Times New Roman" w:hAnsi="Times New Roman" w:cs="Times New Roman"/>
          <w:sz w:val="24"/>
          <w:szCs w:val="24"/>
          <w:highlight w:val="white"/>
        </w:rPr>
        <w:t>Hopt and Kalss, 2024</w:t>
      </w:r>
      <w:r>
        <w:rPr>
          <w:rFonts w:ascii="Times New Roman" w:eastAsia="Times New Roman" w:hAnsi="Times New Roman" w:cs="Times New Roman"/>
          <w:color w:val="0A0A0A"/>
          <w:sz w:val="24"/>
          <w:szCs w:val="24"/>
        </w:rPr>
        <w:t>). Local Expectations Might Realignment of Governance Frameworks be Required.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A0A0A"/>
          <w:sz w:val="24"/>
          <w:szCs w:val="24"/>
        </w:rPr>
        <w:t>Moving is something that the company has to think about including the legal costs, the talent availability and their strategic alignment with their long-term goals.</w:t>
      </w:r>
    </w:p>
    <w:p w14:paraId="5585C397" w14:textId="77777777" w:rsidR="006B65FC" w:rsidRDefault="00484AB6">
      <w:pPr>
        <w:pStyle w:val="Titlu1"/>
        <w:keepNext w:val="0"/>
        <w:keepLines w:val="0"/>
        <w:spacing w:before="200" w:after="200"/>
        <w:rPr>
          <w:i/>
        </w:rPr>
      </w:pPr>
      <w:bookmarkStart w:id="8" w:name="_heading=h.17fmw93kbujd" w:colFirst="0" w:colLast="0"/>
      <w:bookmarkEnd w:id="8"/>
      <w:r>
        <w:t>3. Conclusion</w:t>
      </w:r>
    </w:p>
    <w:p w14:paraId="07AD61E2" w14:textId="77777777" w:rsidR="006B65FC" w:rsidRDefault="00484AB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focus of this report is to explore key considerations that will help the company in its advancement from being a private limited enterprise to being a publicly listed company (PLC) on AIM. Corporate governance and agency theory were emphasised as significant in guaranteeing responsibility and protecting stakeholder interests. The family has considered strategies like dual class shares and board control to keep influence even if it controls a smaller number of shares. In accordance with the UK Corporate </w:t>
      </w:r>
      <w:r>
        <w:rPr>
          <w:rFonts w:ascii="Times New Roman" w:eastAsia="Times New Roman" w:hAnsi="Times New Roman" w:cs="Times New Roman"/>
          <w:sz w:val="24"/>
          <w:szCs w:val="24"/>
        </w:rPr>
        <w:t>Governance Code, the best practices for director compensation were described. The institutional distinctions between the UK, Shanghai, and the Netherlands also exposed the legal, cultural, and operational ramifications of possible foreign listings. Ultimately, strong governance structures must be adapted, listing environments adjudged and only then in essence will investor confidence and consequent sustainable business growth, be secured.</w:t>
      </w:r>
    </w:p>
    <w:p w14:paraId="2190CF67" w14:textId="77777777" w:rsidR="006B65FC" w:rsidRDefault="00484AB6">
      <w:pPr>
        <w:pStyle w:val="Titlu1"/>
        <w:keepNext w:val="0"/>
        <w:keepLines w:val="0"/>
        <w:spacing w:before="200" w:after="200"/>
        <w:rPr>
          <w:i/>
        </w:rPr>
      </w:pPr>
      <w:bookmarkStart w:id="9" w:name="_heading=h.xt6hdulbmrf6" w:colFirst="0" w:colLast="0"/>
      <w:bookmarkEnd w:id="9"/>
      <w:r>
        <w:t>4. Recommendations</w:t>
      </w:r>
    </w:p>
    <w:p w14:paraId="4B717404" w14:textId="77777777" w:rsidR="006B65FC" w:rsidRDefault="00484AB6">
      <w:pPr>
        <w:spacing w:before="200" w:after="20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 board should adopt a robust corporate governance framework based on the UK Corporate Governance Code which will help guarantee a smooth transition to a publicly listed company and which promotes transparency, accountability and investor confidence (</w:t>
      </w:r>
      <w:r>
        <w:rPr>
          <w:rFonts w:ascii="Times New Roman" w:eastAsia="Times New Roman" w:hAnsi="Times New Roman" w:cs="Times New Roman"/>
          <w:sz w:val="24"/>
          <w:szCs w:val="24"/>
          <w:highlight w:val="white"/>
        </w:rPr>
        <w:t>Cheffins and Reddy, 2022</w:t>
      </w:r>
      <w:r>
        <w:rPr>
          <w:rFonts w:ascii="Times New Roman" w:eastAsia="Times New Roman" w:hAnsi="Times New Roman" w:cs="Times New Roman"/>
          <w:color w:val="0A0A0A"/>
          <w:sz w:val="24"/>
          <w:szCs w:val="24"/>
        </w:rPr>
        <w:t>). Reduced ownership should be retained in the company; this can be done through exploring mechanisms such as dual class shares or shareholder agreements to retain strategic control. Directors must be paid according to performance and not conflict of interest and an independent remuneration committee must be set up to achieve this. Finally, when considering a listing in Shanghai or the Netherlands, the board should conduct an in-depth evaluation of the institutional, legal and cultur</w:t>
      </w:r>
      <w:r>
        <w:rPr>
          <w:rFonts w:ascii="Times New Roman" w:eastAsia="Times New Roman" w:hAnsi="Times New Roman" w:cs="Times New Roman"/>
          <w:color w:val="0A0A0A"/>
          <w:sz w:val="24"/>
          <w:szCs w:val="24"/>
        </w:rPr>
        <w:t>al differences. The beneficial actions will help streamline governance, synchronize stakeholder interests and assist the company’s long term strategic goals in a competitive public marketplace.</w:t>
      </w:r>
    </w:p>
    <w:p w14:paraId="5A7C8FDF" w14:textId="77777777" w:rsidR="006B65FC" w:rsidRDefault="006B65FC">
      <w:pPr>
        <w:pStyle w:val="Titlu3"/>
        <w:keepNext w:val="0"/>
        <w:keepLines w:val="0"/>
        <w:spacing w:before="280" w:line="360" w:lineRule="auto"/>
        <w:jc w:val="both"/>
      </w:pPr>
      <w:bookmarkStart w:id="10" w:name="_heading=h.db6zx3lbkzf7" w:colFirst="0" w:colLast="0"/>
      <w:bookmarkEnd w:id="10"/>
    </w:p>
    <w:p w14:paraId="77A856B8" w14:textId="77777777" w:rsidR="006B65FC" w:rsidRDefault="006B65FC">
      <w:pPr>
        <w:pStyle w:val="Titlu1"/>
      </w:pPr>
    </w:p>
    <w:p w14:paraId="1013C297" w14:textId="77777777" w:rsidR="006B65FC" w:rsidRDefault="006B65FC">
      <w:pPr>
        <w:pStyle w:val="Titlu1"/>
      </w:pPr>
    </w:p>
    <w:p w14:paraId="611CC3FD" w14:textId="77777777" w:rsidR="006B65FC" w:rsidRDefault="006B65FC">
      <w:pPr>
        <w:pStyle w:val="Titlu1"/>
      </w:pPr>
    </w:p>
    <w:p w14:paraId="2797B666" w14:textId="77777777" w:rsidR="006B65FC" w:rsidRDefault="006B65FC">
      <w:pPr>
        <w:pStyle w:val="Titlu1"/>
      </w:pPr>
    </w:p>
    <w:p w14:paraId="023D39B4" w14:textId="77777777" w:rsidR="006B65FC" w:rsidRDefault="006B65FC">
      <w:pPr>
        <w:pStyle w:val="Titlu1"/>
      </w:pPr>
    </w:p>
    <w:p w14:paraId="01DB6F48" w14:textId="77777777" w:rsidR="006B65FC" w:rsidRDefault="006B65FC">
      <w:pPr>
        <w:pStyle w:val="Titlu1"/>
      </w:pPr>
    </w:p>
    <w:p w14:paraId="5A48DC2C" w14:textId="77777777" w:rsidR="006B65FC" w:rsidRDefault="006B65FC">
      <w:pPr>
        <w:pStyle w:val="Titlu1"/>
      </w:pPr>
    </w:p>
    <w:p w14:paraId="38336B9B" w14:textId="77777777" w:rsidR="006B65FC" w:rsidRDefault="006B65FC">
      <w:pPr>
        <w:pStyle w:val="Titlu1"/>
      </w:pPr>
    </w:p>
    <w:p w14:paraId="27B3F386" w14:textId="77777777" w:rsidR="006B65FC" w:rsidRDefault="006B65FC">
      <w:pPr>
        <w:pStyle w:val="Titlu1"/>
      </w:pPr>
    </w:p>
    <w:p w14:paraId="3D9229D5" w14:textId="77777777" w:rsidR="006B65FC" w:rsidRDefault="006B65FC">
      <w:pPr>
        <w:pStyle w:val="Titlu1"/>
      </w:pPr>
    </w:p>
    <w:p w14:paraId="2B5B952A" w14:textId="77777777" w:rsidR="006B65FC" w:rsidRDefault="006B65FC">
      <w:pPr>
        <w:pStyle w:val="Titlu1"/>
      </w:pPr>
    </w:p>
    <w:p w14:paraId="73763C5A" w14:textId="77777777" w:rsidR="006B65FC" w:rsidRDefault="006B65FC">
      <w:pPr>
        <w:pStyle w:val="Titlu1"/>
      </w:pPr>
    </w:p>
    <w:p w14:paraId="19F64F92" w14:textId="77777777" w:rsidR="006B65FC" w:rsidRDefault="006B65FC">
      <w:pPr>
        <w:pStyle w:val="Titlu1"/>
      </w:pPr>
    </w:p>
    <w:p w14:paraId="195745B8" w14:textId="77777777" w:rsidR="006B65FC" w:rsidRDefault="006B65FC">
      <w:pPr>
        <w:pStyle w:val="Titlu1"/>
      </w:pPr>
    </w:p>
    <w:p w14:paraId="441A67BB" w14:textId="77777777" w:rsidR="006B65FC" w:rsidRDefault="006B65FC">
      <w:pPr>
        <w:pStyle w:val="Titlu1"/>
        <w:rPr>
          <w:sz w:val="26"/>
          <w:szCs w:val="26"/>
        </w:rPr>
      </w:pPr>
    </w:p>
    <w:p w14:paraId="440A3A23" w14:textId="77777777" w:rsidR="006B65FC" w:rsidRDefault="006B65FC">
      <w:pPr>
        <w:spacing w:before="200" w:after="200" w:line="360" w:lineRule="auto"/>
        <w:jc w:val="both"/>
        <w:rPr>
          <w:rFonts w:ascii="Times New Roman" w:eastAsia="Times New Roman" w:hAnsi="Times New Roman" w:cs="Times New Roman"/>
          <w:sz w:val="24"/>
          <w:szCs w:val="24"/>
          <w:highlight w:val="white"/>
        </w:rPr>
      </w:pPr>
    </w:p>
    <w:p w14:paraId="57653C50" w14:textId="77777777" w:rsidR="006B65FC" w:rsidRDefault="006B65FC">
      <w:pPr>
        <w:spacing w:before="200" w:after="200" w:line="360" w:lineRule="auto"/>
        <w:jc w:val="both"/>
        <w:rPr>
          <w:rFonts w:ascii="Times New Roman" w:eastAsia="Times New Roman" w:hAnsi="Times New Roman" w:cs="Times New Roman"/>
          <w:sz w:val="24"/>
          <w:szCs w:val="24"/>
          <w:highlight w:val="white"/>
        </w:rPr>
      </w:pPr>
    </w:p>
    <w:p w14:paraId="61C79C9B" w14:textId="77777777" w:rsidR="006B65FC" w:rsidRDefault="00484AB6">
      <w:pPr>
        <w:pStyle w:val="Titlu1"/>
        <w:rPr>
          <w:highlight w:val="white"/>
        </w:rPr>
      </w:pPr>
      <w:bookmarkStart w:id="11" w:name="_heading=h.4kqdqe9j17au" w:colFirst="0" w:colLast="0"/>
      <w:bookmarkEnd w:id="11"/>
      <w:r>
        <w:t xml:space="preserve">References </w:t>
      </w:r>
    </w:p>
    <w:p w14:paraId="41CFD474"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Akinsola</w:t>
      </w:r>
      <w:r>
        <w:rPr>
          <w:rFonts w:ascii="Times New Roman" w:eastAsia="Times New Roman" w:hAnsi="Times New Roman" w:cs="Times New Roman"/>
          <w:b/>
          <w:sz w:val="24"/>
          <w:szCs w:val="24"/>
          <w:highlight w:val="white"/>
        </w:rPr>
        <w:t>,</w:t>
      </w:r>
      <w:r>
        <w:rPr>
          <w:rFonts w:ascii="Times New Roman" w:eastAsia="Times New Roman" w:hAnsi="Times New Roman" w:cs="Times New Roman"/>
          <w:sz w:val="24"/>
          <w:szCs w:val="24"/>
          <w:highlight w:val="white"/>
        </w:rPr>
        <w:t xml:space="preserve"> O.K., 2025. The Legal and Ethical Dimensions of Shareholder Activism: Challenges and Opportunities for Corporate Governance.</w:t>
      </w:r>
    </w:p>
    <w:p w14:paraId="5D16406E"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Alyousef, L. and Alsughayer, S., 2021. The relationship between corporate governance and voluntary disclosure: The role of boards of directors and audit committees. </w:t>
      </w:r>
      <w:r>
        <w:rPr>
          <w:rFonts w:ascii="Times New Roman" w:eastAsia="Times New Roman" w:hAnsi="Times New Roman" w:cs="Times New Roman"/>
          <w:i/>
          <w:sz w:val="24"/>
          <w:szCs w:val="24"/>
          <w:highlight w:val="white"/>
        </w:rPr>
        <w:t>Universal Journal of Accounting and Finance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(4), pp.678-692.</w:t>
      </w:r>
    </w:p>
    <w:p w14:paraId="39B29115"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Bamberger, P., 2023. </w:t>
      </w:r>
      <w:r>
        <w:rPr>
          <w:rFonts w:ascii="Times New Roman" w:eastAsia="Times New Roman" w:hAnsi="Times New Roman" w:cs="Times New Roman"/>
          <w:i/>
          <w:sz w:val="24"/>
          <w:szCs w:val="24"/>
          <w:highlight w:val="white"/>
        </w:rPr>
        <w:t>Exposing pay: Pay transparency and what it means for employees, employers, and public policy</w:t>
      </w:r>
      <w:r>
        <w:rPr>
          <w:rFonts w:ascii="Times New Roman" w:eastAsia="Times New Roman" w:hAnsi="Times New Roman" w:cs="Times New Roman"/>
          <w:sz w:val="24"/>
          <w:szCs w:val="24"/>
          <w:highlight w:val="white"/>
        </w:rPr>
        <w:t>. Oxford University Press.</w:t>
      </w:r>
    </w:p>
    <w:p w14:paraId="1274934C"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Bruslerie, H.D.L., 2023. Multiple class shares and double voting rights: Literature review and research prospects. </w:t>
      </w:r>
      <w:r>
        <w:rPr>
          <w:rFonts w:ascii="Times New Roman" w:eastAsia="Times New Roman" w:hAnsi="Times New Roman" w:cs="Times New Roman"/>
          <w:i/>
          <w:sz w:val="24"/>
          <w:szCs w:val="24"/>
          <w:highlight w:val="white"/>
        </w:rPr>
        <w:t>Finance Contrôle Stratégie</w:t>
      </w:r>
      <w:r>
        <w:rPr>
          <w:rFonts w:ascii="Times New Roman" w:eastAsia="Times New Roman" w:hAnsi="Times New Roman" w:cs="Times New Roman"/>
          <w:sz w:val="24"/>
          <w:szCs w:val="24"/>
          <w:highlight w:val="white"/>
        </w:rPr>
        <w:t>, (26-3).</w:t>
      </w:r>
    </w:p>
    <w:p w14:paraId="1D4374B9"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Cash, D. and Goddard, R., 2021. </w:t>
      </w:r>
      <w:r>
        <w:rPr>
          <w:rFonts w:ascii="Times New Roman" w:eastAsia="Times New Roman" w:hAnsi="Times New Roman" w:cs="Times New Roman"/>
          <w:i/>
          <w:sz w:val="24"/>
          <w:szCs w:val="24"/>
          <w:highlight w:val="white"/>
        </w:rPr>
        <w:t>Investor stewardship and the UK Stewardship Code: the role of institutional investors in corporate governance</w:t>
      </w:r>
      <w:r>
        <w:rPr>
          <w:rFonts w:ascii="Times New Roman" w:eastAsia="Times New Roman" w:hAnsi="Times New Roman" w:cs="Times New Roman"/>
          <w:sz w:val="24"/>
          <w:szCs w:val="24"/>
          <w:highlight w:val="white"/>
        </w:rPr>
        <w:t>. Springer Nature.</w:t>
      </w:r>
    </w:p>
    <w:p w14:paraId="3FE193D5"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Cheffins, B.R. and Reddy, B.V., 2022. Thirty years and done–time to abolish the UK Corporate Governance Code. </w:t>
      </w:r>
      <w:r>
        <w:rPr>
          <w:rFonts w:ascii="Times New Roman" w:eastAsia="Times New Roman" w:hAnsi="Times New Roman" w:cs="Times New Roman"/>
          <w:i/>
          <w:sz w:val="24"/>
          <w:szCs w:val="24"/>
          <w:highlight w:val="white"/>
        </w:rPr>
        <w:t>Journal of Corporate Law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22</w:t>
      </w:r>
      <w:r>
        <w:rPr>
          <w:rFonts w:ascii="Times New Roman" w:eastAsia="Times New Roman" w:hAnsi="Times New Roman" w:cs="Times New Roman"/>
          <w:sz w:val="24"/>
          <w:szCs w:val="24"/>
          <w:highlight w:val="white"/>
        </w:rPr>
        <w:t>(2), pp.709-748.</w:t>
      </w:r>
    </w:p>
    <w:p w14:paraId="4BF115D0"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Chiu, I.H. and Hirt, H.C. eds., 2023. </w:t>
      </w:r>
      <w:r>
        <w:rPr>
          <w:rFonts w:ascii="Times New Roman" w:eastAsia="Times New Roman" w:hAnsi="Times New Roman" w:cs="Times New Roman"/>
          <w:i/>
          <w:sz w:val="24"/>
          <w:szCs w:val="24"/>
          <w:highlight w:val="white"/>
        </w:rPr>
        <w:t>Investment Management, Stewardship and Sustainability: Transformation and Challenges in Law and Regulation</w:t>
      </w:r>
      <w:r>
        <w:rPr>
          <w:rFonts w:ascii="Times New Roman" w:eastAsia="Times New Roman" w:hAnsi="Times New Roman" w:cs="Times New Roman"/>
          <w:sz w:val="24"/>
          <w:szCs w:val="24"/>
          <w:highlight w:val="white"/>
        </w:rPr>
        <w:t>. Bloomsbury Publishing.</w:t>
      </w:r>
    </w:p>
    <w:p w14:paraId="7ADEB8AE"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Dressler, E. and Mugerman, Y., 2023. Doing the right thing? The voting power effect and institutional shareholder voting. </w:t>
      </w:r>
      <w:r>
        <w:rPr>
          <w:rFonts w:ascii="Times New Roman" w:eastAsia="Times New Roman" w:hAnsi="Times New Roman" w:cs="Times New Roman"/>
          <w:i/>
          <w:sz w:val="24"/>
          <w:szCs w:val="24"/>
          <w:highlight w:val="white"/>
        </w:rPr>
        <w:t>Journal of Business Ethics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183</w:t>
      </w:r>
      <w:r>
        <w:rPr>
          <w:rFonts w:ascii="Times New Roman" w:eastAsia="Times New Roman" w:hAnsi="Times New Roman" w:cs="Times New Roman"/>
          <w:sz w:val="24"/>
          <w:szCs w:val="24"/>
          <w:highlight w:val="white"/>
        </w:rPr>
        <w:t>(4), pp.1089-1112.</w:t>
      </w:r>
    </w:p>
    <w:p w14:paraId="4D5FEF89"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Efunniyi, C.P., Abhulimen, A.O., Obiki-Osafiele, A.N., Osundare, O.S., Agu, E.E. and Adeniran, I.A., 2024. Strengthening corporate governance and financial compliance: Enhancing accountability and transparency. </w:t>
      </w:r>
      <w:r>
        <w:rPr>
          <w:rFonts w:ascii="Times New Roman" w:eastAsia="Times New Roman" w:hAnsi="Times New Roman" w:cs="Times New Roman"/>
          <w:i/>
          <w:sz w:val="24"/>
          <w:szCs w:val="24"/>
          <w:highlight w:val="white"/>
        </w:rPr>
        <w:t>Finance &amp; Accounting Research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(8), pp.1597-1616.</w:t>
      </w:r>
    </w:p>
    <w:p w14:paraId="74752C10"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Hardman, J., 2022. The plight of the UK private company minority shareholder. </w:t>
      </w:r>
      <w:r>
        <w:rPr>
          <w:rFonts w:ascii="Times New Roman" w:eastAsia="Times New Roman" w:hAnsi="Times New Roman" w:cs="Times New Roman"/>
          <w:i/>
          <w:sz w:val="24"/>
          <w:szCs w:val="24"/>
          <w:highlight w:val="white"/>
        </w:rPr>
        <w:t>European Business Law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33</w:t>
      </w:r>
      <w:r>
        <w:rPr>
          <w:rFonts w:ascii="Times New Roman" w:eastAsia="Times New Roman" w:hAnsi="Times New Roman" w:cs="Times New Roman"/>
          <w:sz w:val="24"/>
          <w:szCs w:val="24"/>
          <w:highlight w:val="white"/>
        </w:rPr>
        <w:t>(1).</w:t>
      </w:r>
    </w:p>
    <w:p w14:paraId="4E286516"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Hill, J.G., 2024. Hidden fallacies in the agency theory of the corporation. </w:t>
      </w:r>
      <w:r>
        <w:rPr>
          <w:rFonts w:ascii="Times New Roman" w:eastAsia="Times New Roman" w:hAnsi="Times New Roman" w:cs="Times New Roman"/>
          <w:i/>
          <w:sz w:val="24"/>
          <w:szCs w:val="24"/>
          <w:highlight w:val="white"/>
        </w:rPr>
        <w:t>European Corporate Governance Institute-Law Working Paper</w:t>
      </w:r>
      <w:r>
        <w:rPr>
          <w:rFonts w:ascii="Times New Roman" w:eastAsia="Times New Roman" w:hAnsi="Times New Roman" w:cs="Times New Roman"/>
          <w:sz w:val="24"/>
          <w:szCs w:val="24"/>
          <w:highlight w:val="white"/>
        </w:rPr>
        <w:t>, (799).</w:t>
      </w:r>
    </w:p>
    <w:p w14:paraId="7EBADFD2"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Hopt, K.J. and Kalss, S., 2024. Multiple-voting shares in Europe-A comparative law and economic analysis. </w:t>
      </w:r>
      <w:r>
        <w:rPr>
          <w:rFonts w:ascii="Times New Roman" w:eastAsia="Times New Roman" w:hAnsi="Times New Roman" w:cs="Times New Roman"/>
          <w:i/>
          <w:sz w:val="24"/>
          <w:szCs w:val="24"/>
          <w:highlight w:val="white"/>
        </w:rPr>
        <w:t>European Corporate Governance Institute-Law Working Paper</w:t>
      </w:r>
      <w:r>
        <w:rPr>
          <w:rFonts w:ascii="Times New Roman" w:eastAsia="Times New Roman" w:hAnsi="Times New Roman" w:cs="Times New Roman"/>
          <w:sz w:val="24"/>
          <w:szCs w:val="24"/>
          <w:highlight w:val="white"/>
        </w:rPr>
        <w:t>, (786).</w:t>
      </w:r>
    </w:p>
    <w:p w14:paraId="62296B88"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Laskin, A.V., 2021. </w:t>
      </w:r>
      <w:r>
        <w:rPr>
          <w:rFonts w:ascii="Times New Roman" w:eastAsia="Times New Roman" w:hAnsi="Times New Roman" w:cs="Times New Roman"/>
          <w:i/>
          <w:sz w:val="24"/>
          <w:szCs w:val="24"/>
          <w:highlight w:val="white"/>
        </w:rPr>
        <w:t>Investor relations and financial communication: Creating value through trust and understanding</w:t>
      </w:r>
      <w:r>
        <w:rPr>
          <w:rFonts w:ascii="Times New Roman" w:eastAsia="Times New Roman" w:hAnsi="Times New Roman" w:cs="Times New Roman"/>
          <w:sz w:val="24"/>
          <w:szCs w:val="24"/>
          <w:highlight w:val="white"/>
        </w:rPr>
        <w:t>. John Wiley &amp; Sons.</w:t>
      </w:r>
    </w:p>
    <w:p w14:paraId="6A0F1DFD"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Loorbach, D., Schwanen, T., Doody, B.J., Arnfalk, P., Langeland, O. and Farstad, E., 2021. Transition governance for just, sustainable urban mobility: An experimental approach from Rotterdam, the Netherlands. </w:t>
      </w:r>
      <w:r>
        <w:rPr>
          <w:rFonts w:ascii="Times New Roman" w:eastAsia="Times New Roman" w:hAnsi="Times New Roman" w:cs="Times New Roman"/>
          <w:i/>
          <w:sz w:val="24"/>
          <w:szCs w:val="24"/>
          <w:highlight w:val="white"/>
        </w:rPr>
        <w:t>Journal of Urban Mobility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 p.100009.</w:t>
      </w:r>
    </w:p>
    <w:p w14:paraId="60FE6E17"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Porcuna Enguix, L., 2021. The new EU remuneration policy was a good but not desired corporate governance mechanism and the role of CSR disclosing.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(10), p.5476.</w:t>
      </w:r>
    </w:p>
    <w:p w14:paraId="1BD259E0"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Rauterberg, G., 2021. The separation of voting and control: the role of contract in corporate governance. </w:t>
      </w:r>
      <w:r>
        <w:rPr>
          <w:rFonts w:ascii="Times New Roman" w:eastAsia="Times New Roman" w:hAnsi="Times New Roman" w:cs="Times New Roman"/>
          <w:i/>
          <w:sz w:val="24"/>
          <w:szCs w:val="24"/>
          <w:highlight w:val="white"/>
        </w:rPr>
        <w:t>Yale J. on Reg.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38</w:t>
      </w:r>
      <w:r>
        <w:rPr>
          <w:rFonts w:ascii="Times New Roman" w:eastAsia="Times New Roman" w:hAnsi="Times New Roman" w:cs="Times New Roman"/>
          <w:sz w:val="24"/>
          <w:szCs w:val="24"/>
          <w:highlight w:val="white"/>
        </w:rPr>
        <w:t>, p.1124.</w:t>
      </w:r>
    </w:p>
    <w:p w14:paraId="6FCEA0F7" w14:textId="77777777" w:rsidR="006B65FC" w:rsidRDefault="00484AB6">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Tang, W., 2025. " Double-Sided Shareholder Primacy": Even More Powerful Corporate Governance Machine in China than the United States?.</w:t>
      </w:r>
    </w:p>
    <w:p w14:paraId="65022594" w14:textId="77777777" w:rsidR="006B65FC" w:rsidRDefault="006B65FC">
      <w:pPr>
        <w:spacing w:before="200" w:after="200" w:line="360" w:lineRule="auto"/>
        <w:jc w:val="both"/>
        <w:rPr>
          <w:rFonts w:ascii="Times New Roman" w:eastAsia="Times New Roman" w:hAnsi="Times New Roman" w:cs="Times New Roman"/>
          <w:sz w:val="24"/>
          <w:szCs w:val="24"/>
        </w:rPr>
      </w:pPr>
    </w:p>
    <w:p w14:paraId="1E6896BA" w14:textId="77777777" w:rsidR="006B65FC" w:rsidRDefault="006B65FC">
      <w:pPr>
        <w:spacing w:before="200" w:after="200" w:line="360" w:lineRule="auto"/>
        <w:jc w:val="both"/>
        <w:rPr>
          <w:rFonts w:ascii="Times New Roman" w:eastAsia="Times New Roman" w:hAnsi="Times New Roman" w:cs="Times New Roman"/>
          <w:sz w:val="24"/>
          <w:szCs w:val="24"/>
        </w:rPr>
      </w:pPr>
    </w:p>
    <w:sectPr w:rsidR="006B65FC">
      <w:footerReference w:type="default" r:id="rId8"/>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D577A" w14:textId="77777777" w:rsidR="00484AB6" w:rsidRDefault="00484AB6">
      <w:pPr>
        <w:spacing w:line="240" w:lineRule="auto"/>
      </w:pPr>
      <w:r>
        <w:separator/>
      </w:r>
    </w:p>
  </w:endnote>
  <w:endnote w:type="continuationSeparator" w:id="0">
    <w:p w14:paraId="0FB2444C" w14:textId="77777777" w:rsidR="00484AB6" w:rsidRDefault="00484A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3FFBD1" w14:textId="77777777" w:rsidR="006B65FC" w:rsidRDefault="00484AB6">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Pr>
        <w:color w:val="000000"/>
      </w:rPr>
      <w:fldChar w:fldCharType="end"/>
    </w:r>
    <w:r>
      <w:rPr>
        <w:color w:val="000000"/>
      </w:rPr>
      <w:t xml:space="preserve"> </w:t>
    </w:r>
  </w:p>
  <w:p w14:paraId="15AC4F61" w14:textId="77777777" w:rsidR="006B65FC" w:rsidRDefault="006B65F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480E4" w14:textId="77777777" w:rsidR="00484AB6" w:rsidRDefault="00484AB6">
      <w:pPr>
        <w:spacing w:line="240" w:lineRule="auto"/>
      </w:pPr>
      <w:r>
        <w:separator/>
      </w:r>
    </w:p>
  </w:footnote>
  <w:footnote w:type="continuationSeparator" w:id="0">
    <w:p w14:paraId="14D77236" w14:textId="77777777" w:rsidR="00484AB6" w:rsidRDefault="00484AB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65FC"/>
    <w:rsid w:val="000D2FBF"/>
    <w:rsid w:val="00484AB6"/>
    <w:rsid w:val="006B33ED"/>
    <w:rsid w:val="006B65FC"/>
    <w:rsid w:val="00EF303A"/>
    <w:rsid w:val="00F862B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16EBEDC8"/>
  <w15:docId w15:val="{B185D573-B74F-4A49-ACED-39CD25FEE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280" w:after="80"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uiPriority w:val="9"/>
    <w:unhideWhenUsed/>
    <w:qFormat/>
    <w:pPr>
      <w:keepNext/>
      <w:keepLines/>
      <w:spacing w:before="240" w:after="40" w:line="360" w:lineRule="auto"/>
      <w:jc w:val="both"/>
      <w:outlineLvl w:val="1"/>
    </w:pPr>
    <w:rPr>
      <w:rFonts w:ascii="Times New Roman" w:eastAsia="Times New Roman" w:hAnsi="Times New Roman" w:cs="Times New Roman"/>
      <w:b/>
      <w:sz w:val="24"/>
      <w:szCs w:val="24"/>
    </w:rPr>
  </w:style>
  <w:style w:type="paragraph" w:styleId="Titlu3">
    <w:name w:val="heading 3"/>
    <w:basedOn w:val="Normal"/>
    <w:next w:val="Normal"/>
    <w:uiPriority w:val="9"/>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0" w:type="dxa"/>
        <w:left w:w="0" w:type="dxa"/>
        <w:bottom w:w="0" w:type="dxa"/>
        <w:right w:w="0" w:type="dxa"/>
      </w:tblCellMar>
    </w:tbl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86779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86779F"/>
    <w:pPr>
      <w:spacing w:after="100"/>
    </w:pPr>
  </w:style>
  <w:style w:type="paragraph" w:styleId="Cuprins2">
    <w:name w:val="toc 2"/>
    <w:basedOn w:val="Normal"/>
    <w:next w:val="Normal"/>
    <w:autoRedefine/>
    <w:uiPriority w:val="39"/>
    <w:unhideWhenUsed/>
    <w:rsid w:val="0086779F"/>
    <w:pPr>
      <w:spacing w:after="100"/>
      <w:ind w:left="220"/>
    </w:pPr>
  </w:style>
  <w:style w:type="character" w:styleId="Hyperlink">
    <w:name w:val="Hyperlink"/>
    <w:basedOn w:val="Fontdeparagrafimplicit"/>
    <w:uiPriority w:val="99"/>
    <w:unhideWhenUsed/>
    <w:rsid w:val="0086779F"/>
    <w:rPr>
      <w:color w:val="0000FF" w:themeColor="hyperlink"/>
      <w:u w:val="single"/>
    </w:rPr>
  </w:style>
  <w:style w:type="paragraph" w:styleId="Antet">
    <w:name w:val="header"/>
    <w:basedOn w:val="Normal"/>
    <w:link w:val="AntetCaracter"/>
    <w:uiPriority w:val="99"/>
    <w:unhideWhenUsed/>
    <w:rsid w:val="0086779F"/>
    <w:pPr>
      <w:tabs>
        <w:tab w:val="center" w:pos="4513"/>
        <w:tab w:val="right" w:pos="9026"/>
      </w:tabs>
      <w:spacing w:line="240" w:lineRule="auto"/>
    </w:pPr>
  </w:style>
  <w:style w:type="character" w:customStyle="1" w:styleId="AntetCaracter">
    <w:name w:val="Antet Caracter"/>
    <w:basedOn w:val="Fontdeparagrafimplicit"/>
    <w:link w:val="Antet"/>
    <w:uiPriority w:val="99"/>
    <w:rsid w:val="0086779F"/>
  </w:style>
  <w:style w:type="paragraph" w:styleId="Subsol">
    <w:name w:val="footer"/>
    <w:basedOn w:val="Normal"/>
    <w:link w:val="SubsolCaracter"/>
    <w:uiPriority w:val="99"/>
    <w:unhideWhenUsed/>
    <w:rsid w:val="0086779F"/>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6779F"/>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top w:w="100" w:type="dxa"/>
        <w:left w:w="100" w:type="dxa"/>
        <w:bottom w:w="100" w:type="dxa"/>
        <w:right w:w="100" w:type="dxa"/>
      </w:tblCellMar>
    </w:tblPr>
  </w:style>
  <w:style w:type="table" w:customStyle="1" w:styleId="a5">
    <w:basedOn w:val="TabelNormal"/>
    <w:tblPr>
      <w:tblStyleRowBandSize w:val="1"/>
      <w:tblStyleColBandSize w:val="1"/>
      <w:tblCellMar>
        <w:top w:w="100" w:type="dxa"/>
        <w:left w:w="100" w:type="dxa"/>
        <w:bottom w:w="100" w:type="dxa"/>
        <w:right w:w="100" w:type="dxa"/>
      </w:tblCellMar>
    </w:tblPr>
  </w:style>
  <w:style w:type="table" w:customStyle="1" w:styleId="a6">
    <w:basedOn w:val="TabelNormal"/>
    <w:tblPr>
      <w:tblStyleRowBandSize w:val="1"/>
      <w:tblStyleColBandSize w:val="1"/>
      <w:tblCellMar>
        <w:top w:w="100" w:type="dxa"/>
        <w:left w:w="100" w:type="dxa"/>
        <w:bottom w:w="100" w:type="dxa"/>
        <w:right w:w="100" w:type="dxa"/>
      </w:tblCellMar>
    </w:tblPr>
  </w:style>
  <w:style w:type="table" w:customStyle="1" w:styleId="a7">
    <w:basedOn w:val="TabelNormal"/>
    <w:tblPr>
      <w:tblStyleRowBandSize w:val="1"/>
      <w:tblStyleColBandSize w:val="1"/>
      <w:tblCellMar>
        <w:top w:w="100" w:type="dxa"/>
        <w:left w:w="100" w:type="dxa"/>
        <w:bottom w:w="100" w:type="dxa"/>
        <w:right w:w="100" w:type="dxa"/>
      </w:tblCellMar>
    </w:tblPr>
  </w:style>
  <w:style w:type="table" w:customStyle="1" w:styleId="a8">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zBwwradmVpU0o/ZHbdmfi5bF/A==">CgMxLjAyDmgueTVzdXE5YnA5enE0Mg5oLndnOHdoYW1ta3hncDIOaC52aTc0MWM3ZG9vam8yDmgubjlhcXFwcXE0YXhqMg5oLnozZms0OHBmYnJhYjIOaC52aDVzcjN1cWRyNzUyDmgueTU4bWt2aXdlanM2Mg5oLmpmaDh1N2M5cnZ5YzIOaC4xN2Ztdzkza2J1amQyDmgueHQ2aGR1bGJtcmY2Mg5oLmRiNnp4M2xia3pmNzIOaC40a3FkcWU5ajE3YXU4AHIhMUl2UllOMmJreGF1cXl0NDk0ME9NMTVxaG42MWZHY2J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2282</Words>
  <Characters>13240</Characters>
  <Application>Microsoft Office Word</Application>
  <DocSecurity>0</DocSecurity>
  <Lines>110</Lines>
  <Paragraphs>30</Paragraphs>
  <ScaleCrop>false</ScaleCrop>
  <Company/>
  <LinksUpToDate>false</LinksUpToDate>
  <CharactersWithSpaces>15492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Pacuraru</cp:lastModifiedBy>
  <cp:revision>2</cp:revision>
  <dcterms:created xsi:type="dcterms:W3CDTF">2025-06-16T10:20:00Z</dcterms:created>
  <dcterms:modified xsi:type="dcterms:W3CDTF">2025-06-16T10:20:00Z</dcterms:modified>
</cp:coreProperties>
</file>