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drawing>
          <wp:inline xmlns:a="http://schemas.openxmlformats.org/drawingml/2006/main" xmlns:pic="http://schemas.openxmlformats.org/drawingml/2006/picture">
            <wp:extent cx="1234286" cy="1152000"/>
            <wp:docPr id="1" name="Picture 1"/>
            <wp:cNvGraphicFramePr>
              <a:graphicFrameLocks noChangeAspect="1"/>
            </wp:cNvGraphicFramePr>
            <a:graphic>
              <a:graphicData uri="http://schemas.openxmlformats.org/drawingml/2006/picture">
                <pic:pic>
                  <pic:nvPicPr>
                    <pic:cNvPr id="0" name="alien_C.png"/>
                    <pic:cNvPicPr/>
                  </pic:nvPicPr>
                  <pic:blipFill>
                    <a:blip r:embed="rId10"/>
                    <a:stretch>
                      <a:fillRect/>
                    </a:stretch>
                  </pic:blipFill>
                  <pic:spPr>
                    <a:xfrm>
                      <a:off x="0" y="0"/>
                      <a:ext cx="1234286" cy="1152000"/>
                    </a:xfrm>
                    <a:prstGeom prst="rect"/>
                  </pic:spPr>
                </pic:pic>
              </a:graphicData>
            </a:graphic>
          </wp:inline>
        </w:drawing>
      </w:r>
    </w:p>
    <w:p>
      <w:pPr>
        <w:jc w:val="center"/>
      </w:pPr>
      <w:r>
        <w:rPr>
          <w:b/>
          <w:sz w:val="32"/>
        </w:rPr>
        <w:t>Interpretivism: the full overview</w:t>
      </w:r>
    </w:p>
    <w:p>
      <w:pPr>
        <w:spacing w:after="120"/>
        <w:jc w:val="center"/>
      </w:pPr>
      <w:r>
        <w:rPr>
          <w:i/>
        </w:rPr>
        <w:t>Table 1. Every interpretivism entry from the super table (2026 edition), in the same order</w:t>
      </w:r>
    </w:p>
    <w:tbl>
      <w:tblPr>
        <w:tblStyle w:val="TableGrid"/>
        <w:jc w:val="center"/>
        <w:tblLayout w:type="fixed"/>
        <w:tblLook w:firstColumn="1" w:firstRow="1" w:lastColumn="0" w:lastRow="0" w:noHBand="0" w:noVBand="1" w:val="04A0"/>
        <w:tblW w:w="9637" w:type="dxa"/>
        <w:tblLayout w:type="fixed"/>
        <w:tblBorders>
          <w:top w:val="single" w:sz="4" w:color="7F7F7F"/>
          <w:left w:val="single" w:sz="4" w:color="7F7F7F"/>
          <w:bottom w:val="single" w:sz="4" w:color="7F7F7F"/>
          <w:right w:val="single" w:sz="4" w:color="7F7F7F"/>
          <w:insideH w:val="single" w:sz="4" w:color="7F7F7F"/>
          <w:insideV w:val="single" w:sz="4" w:color="7F7F7F"/>
        </w:tblBorders>
      </w:tblPr>
      <w:tblGrid>
        <w:gridCol w:w="2437"/>
        <w:gridCol w:w="7200"/>
      </w:tblGrid>
      <w:tr>
        <w:trPr>
          <w:tblHeader w:val="true"/>
        </w:trPr>
        <w:tc>
          <w:tcPr>
            <w:tcW w:type="dxa" w:w="2438"/>
            <w:shd w:val="clear" w:color="auto" w:fill="B9E39A"/>
            <w:tcMar>
              <w:top w:w="60" w:type="dxa"/>
              <w:bottom w:w="60" w:type="dxa"/>
              <w:left w:w="100" w:type="dxa"/>
              <w:right w:w="100" w:type="dxa"/>
            </w:tcMar>
            <w:vAlign w:val="top"/>
          </w:tcPr>
          <w:p>
            <w:r/>
            <w:r>
              <w:rPr>
                <w:b/>
              </w:rPr>
              <w:t>Dimension</w:t>
            </w:r>
          </w:p>
        </w:tc>
        <w:tc>
          <w:tcPr>
            <w:tcW w:type="dxa" w:w="7200"/>
            <w:shd w:val="clear" w:color="auto" w:fill="B9E39A"/>
            <w:tcMar>
              <w:top w:w="60" w:type="dxa"/>
              <w:bottom w:w="60" w:type="dxa"/>
              <w:left w:w="100" w:type="dxa"/>
              <w:right w:w="100" w:type="dxa"/>
            </w:tcMar>
            <w:vAlign w:val="top"/>
          </w:tcPr>
          <w:p>
            <w:r/>
            <w:r>
              <w:rPr>
                <w:b/>
              </w:rPr>
              <w:t>Interpretivism</w:t>
            </w:r>
          </w:p>
        </w:tc>
      </w:tr>
      <w:tr>
        <w:tc>
          <w:tcPr>
            <w:tcW w:type="dxa" w:w="2438"/>
            <w:shd w:val="clear" w:color="auto" w:fill="EEF8E6"/>
            <w:tcMar>
              <w:top w:w="60" w:type="dxa"/>
              <w:bottom w:w="60" w:type="dxa"/>
              <w:left w:w="100" w:type="dxa"/>
              <w:right w:w="100" w:type="dxa"/>
            </w:tcMar>
            <w:vAlign w:val="top"/>
          </w:tcPr>
          <w:p w14:paraId="7B9CD2FB" w14:textId="77777777" w:rsidR="002041B0" w:rsidRPr="002041B0" w:rsidRDefault="002041B0" w:rsidP="002041B0">
            <w:pPr>
              <w:spacing w:after="0" w:line="240" w:lineRule="auto"/>
              <w:rPr>
                <w:b/>
                <w:bCs/>
                <w14:ligatures w14:val="none"/>
              </w:rPr>
            </w:pPr>
            <w:r>
              <w:rPr>
                <w:b/>
                <w:bCs/>
                <w14:ligatures w14:val="none"/>
              </w:rPr>
              <w:t>When to use</w:t>
            </w:r>
          </w:p>
        </w:tc>
        <w:tc>
          <w:tcPr>
            <w:tcW w:type="dxa" w:w="7200"/>
            <w:tcMar>
              <w:top w:w="60" w:type="dxa"/>
              <w:bottom w:w="60" w:type="dxa"/>
              <w:left w:w="100" w:type="dxa"/>
              <w:right w:w="100" w:type="dxa"/>
            </w:tcMar>
            <w:vAlign w:val="top"/>
          </w:tcPr>
          <w:p w14:paraId="20040D92" w14:textId="77777777" w:rsidR="002041B0" w:rsidRPr="002041B0" w:rsidRDefault="002041B0" w:rsidP="002041B0">
            <w:pPr>
              <w:spacing w:after="0" w:line="240" w:lineRule="auto"/>
              <w:rPr>
                <w14:ligatures w14:val="none"/>
              </w:rPr>
            </w:pPr>
            <w:r>
              <w:rPr>
                <w14:ligatures w14:val="none"/>
              </w:rPr>
              <w:t>Gain deep understanding of individual experiences, perspectives and meanings people assign to social phenomena</w:t>
            </w:r>
          </w:p>
        </w:tc>
      </w:tr>
      <w:tr>
        <w:tc>
          <w:tcPr>
            <w:tcW w:type="dxa" w:w="2438"/>
            <w:shd w:val="clear" w:color="auto" w:fill="EEF8E6"/>
            <w:tcMar>
              <w:top w:w="60" w:type="dxa"/>
              <w:bottom w:w="60" w:type="dxa"/>
              <w:left w:w="100" w:type="dxa"/>
              <w:right w:w="100" w:type="dxa"/>
            </w:tcMar>
            <w:vAlign w:val="top"/>
          </w:tcPr>
          <w:p w14:paraId="36DACCD1" w14:textId="725947DC" w:rsidR="00975D85" w:rsidRPr="002041B0" w:rsidRDefault="00776C6D" w:rsidP="002041B0">
            <w:pPr>
              <w:spacing w:after="0" w:line="240" w:lineRule="auto"/>
              <w:rPr>
                <w:b/>
                <w:bCs/>
                <w14:ligatures w14:val="none"/>
              </w:rPr>
            </w:pPr>
            <w:r>
              <w:rPr>
                <w:b/>
                <w:bCs/>
                <w14:ligatures w14:val="none"/>
              </w:rPr>
              <w:t>Research question type</w:t>
            </w:r>
          </w:p>
        </w:tc>
        <w:tc>
          <w:tcPr>
            <w:tcW w:type="dxa" w:w="7200"/>
            <w:tcMar>
              <w:top w:w="60" w:type="dxa"/>
              <w:bottom w:w="60" w:type="dxa"/>
              <w:left w:w="100" w:type="dxa"/>
              <w:right w:w="100" w:type="dxa"/>
            </w:tcMar>
            <w:vAlign w:val="top"/>
          </w:tcPr>
          <w:p w14:paraId="11FB8F4A" w14:textId="5E1A5681" w:rsidR="00975D85" w:rsidRPr="002041B0" w:rsidRDefault="001B0524" w:rsidP="002041B0">
            <w:pPr>
              <w:spacing w:after="0" w:line="240" w:lineRule="auto"/>
              <w:rPr>
                <w14:ligatures w14:val="none"/>
              </w:rPr>
            </w:pPr>
            <w:r>
              <w:rPr>
                <w14:ligatures w14:val="none"/>
              </w:rPr>
              <w:lastRenderedPageBreak/>
              <w:t xml:space="preserve">Questions that seek to understand meaning, experience and interpretation from the perspective of those living it. Typically beginning with </w:t>
              <w:lastRenderedPageBreak/>
              <w:t>how or what: how do people experience X? What does X mean to people in this context? What is it like to be Y? The question is open and may evolve as understanding deepens. Example: How do experienced nurses make sense of ethical dilemmas in end-of-life care?</w:t>
            </w:r>
          </w:p>
        </w:tc>
      </w:tr>
      <w:tr>
        <w:tc>
          <w:tcPr>
            <w:tcW w:type="dxa" w:w="2438"/>
            <w:shd w:val="clear" w:color="auto" w:fill="EEF8E6"/>
            <w:tcMar>
              <w:top w:w="60" w:type="dxa"/>
              <w:bottom w:w="60" w:type="dxa"/>
              <w:left w:w="100" w:type="dxa"/>
              <w:right w:w="100" w:type="dxa"/>
            </w:tcMar>
            <w:vAlign w:val="top"/>
          </w:tcPr>
          <w:p w14:paraId="7C4B8F66" w14:textId="77777777" w:rsidR="00476654" w:rsidRPr="00476654" w:rsidRDefault="00476654" w:rsidP="00476654">
            <w:pPr>
              <w:spacing w:after="0" w:line="240" w:lineRule="auto"/>
              <w:rPr>
                <w:b/>
                <w:bCs/>
                <w14:ligatures w14:val="none"/>
              </w:rPr>
            </w:pPr>
            <w:r>
              <w:rPr>
                <w:b/>
                <w:bCs/>
                <w14:ligatures w14:val="none"/>
              </w:rPr>
              <w:lastRenderedPageBreak/>
              <w:t>Key Assumptions Summary</w:t>
            </w:r>
          </w:p>
        </w:tc>
        <w:tc>
          <w:tcPr>
            <w:tcW w:type="dxa" w:w="7200"/>
            <w:tcMar>
              <w:top w:w="60" w:type="dxa"/>
              <w:bottom w:w="60" w:type="dxa"/>
              <w:left w:w="100" w:type="dxa"/>
              <w:right w:w="100" w:type="dxa"/>
            </w:tcMar>
            <w:vAlign w:val="top"/>
          </w:tcPr>
          <w:p w14:paraId="38423A32" w14:textId="77777777" w:rsidR="00476654" w:rsidRPr="00476654" w:rsidRDefault="00476654" w:rsidP="00476654">
            <w:pPr>
              <w:spacing w:after="0" w:line="240" w:lineRule="auto"/>
              <w:rPr>
                <w14:ligatures w14:val="none"/>
              </w:rPr>
            </w:pPr>
            <w:r>
              <w:rPr>
                <w14:ligatures w14:val="none"/>
              </w:rPr>
              <w:lastRenderedPageBreak/>
              <w:t>1. Reality is subjective and multiple</w:t>
              <w:br/>
              <w:t>2. Knowledge comes from understanding meanings</w:t>
              <w:br/>
              <w:lastRenderedPageBreak/>
              <w:t>3. Researcher values and interpretations are integral</w:t>
              <w:br/>
              <w:t>4. Context is essential to understanding</w:t>
            </w:r>
          </w:p>
        </w:tc>
      </w:tr>
      <w:tr>
        <w:tc>
          <w:tcPr>
            <w:tcW w:type="dxa" w:w="2438"/>
            <w:shd w:val="clear" w:color="auto" w:fill="EEF8E6"/>
            <w:tcMar>
              <w:top w:w="60" w:type="dxa"/>
              <w:bottom w:w="60" w:type="dxa"/>
              <w:left w:w="100" w:type="dxa"/>
              <w:right w:w="100" w:type="dxa"/>
            </w:tcMar>
            <w:vAlign w:val="top"/>
          </w:tcPr>
          <w:p w14:paraId="1C047C4C" w14:textId="77777777" w:rsidR="002459EE" w:rsidRPr="0036319E" w:rsidRDefault="002459EE" w:rsidP="002459EE">
            <w:pPr>
              <w:spacing w:after="0" w:line="240" w:lineRule="auto"/>
              <w:rPr>
                <w:b/>
                <w:bCs/>
              </w:rPr>
            </w:pPr>
            <w:r>
              <w:rPr>
                <w:b/>
                <w:bCs/>
              </w:rPr>
              <w:lastRenderedPageBreak/>
              <w:t>Limitations</w:t>
            </w:r>
          </w:p>
        </w:tc>
        <w:tc>
          <w:tcPr>
            <w:tcW w:type="dxa" w:w="7200"/>
            <w:tcMar>
              <w:top w:w="60" w:type="dxa"/>
              <w:bottom w:w="60" w:type="dxa"/>
              <w:left w:w="100" w:type="dxa"/>
              <w:right w:w="100" w:type="dxa"/>
            </w:tcMar>
            <w:vAlign w:val="top"/>
          </w:tcPr>
          <w:p w14:paraId="40923674" w14:textId="0B7C36A1" w:rsidR="002459EE" w:rsidRPr="0036319E" w:rsidRDefault="002459EE" w:rsidP="002459EE">
            <w:pPr>
              <w:spacing w:after="0" w:line="240" w:lineRule="auto"/>
              <w:rPr>
                <w14:ligatures w14:val="none"/>
              </w:rPr>
            </w:pPr>
            <w:r>
              <w:rPr/>
              <w:t>Findings highly context-specific, limited generalisability, intensive time/resources, dependent on researcher's interpretive skill. Inappropriate when: need to generalise to populations, testing causal hypotheses, large-scale measurement needed, time/resources very limited, studying phenomena requiring objective measurement, funders require quantitative outcomes.</w:t>
            </w:r>
          </w:p>
        </w:tc>
      </w:tr>
      <w:tr>
        <w:tc>
          <w:tcPr>
            <w:tcW w:type="dxa" w:w="2438"/>
            <w:shd w:val="clear" w:color="auto" w:fill="EEF8E6"/>
            <w:tcMar>
              <w:top w:w="60" w:type="dxa"/>
              <w:bottom w:w="60" w:type="dxa"/>
              <w:left w:w="100" w:type="dxa"/>
              <w:right w:w="100" w:type="dxa"/>
            </w:tcMar>
            <w:vAlign w:val="top"/>
          </w:tcPr>
          <w:p w14:paraId="3C79EA09" w14:textId="15912A02" w:rsidR="002459EE" w:rsidRPr="0036319E" w:rsidRDefault="002459EE" w:rsidP="002459EE">
            <w:pPr>
              <w:spacing w:after="0" w:line="240" w:lineRule="auto"/>
              <w:rPr>
                <w:b/>
                <w:bCs/>
                <w14:ligatures w14:val="none"/>
              </w:rPr>
            </w:pPr>
            <w:r>
              <w:rPr>
                <w:b/>
                <w:bCs/>
              </w:rPr>
              <w:lastRenderedPageBreak/>
              <w:t>Common Misconceptions</w:t>
            </w:r>
          </w:p>
        </w:tc>
        <w:tc>
          <w:tcPr>
            <w:tcW w:type="dxa" w:w="7200"/>
            <w:tcMar>
              <w:top w:w="60" w:type="dxa"/>
              <w:bottom w:w="60" w:type="dxa"/>
              <w:left w:w="100" w:type="dxa"/>
              <w:right w:w="100" w:type="dxa"/>
            </w:tcMar>
            <w:vAlign w:val="top"/>
          </w:tcPr>
          <w:p w14:paraId="541B9DF5" w14:textId="6976CD5C" w:rsidR="002459EE" w:rsidRPr="0036319E" w:rsidRDefault="00576D49" w:rsidP="002459EE">
            <w:pPr>
              <w:spacing w:after="0" w:line="240" w:lineRule="auto"/>
              <w:rPr>
                <w14:ligatures w14:val="none"/>
              </w:rPr>
            </w:pPr>
            <w:r>
              <w:rPr/>
              <w:t xml:space="preserve">‘Anything goes/no standards’, ‘It's just opinion’, ‘It's easier than quantitative research’, ‘Can't be generalised so isn't useful’, ‘The researcher just makes it up’. REALITY: Has rigorous quality criteria; seeks systematic understanding of subjective meanings; extremely time-intensive and demanding; transferability to similar contexts; interpretation must be grounded in data with clear audit trail.</w:t>
            </w:r>
          </w:p>
        </w:tc>
      </w:tr>
      <w:tr>
        <w:tc>
          <w:tcPr>
            <w:tcW w:type="dxa" w:w="2438"/>
            <w:shd w:val="clear" w:color="auto" w:fill="EEF8E6"/>
            <w:tcMar>
              <w:top w:w="60" w:type="dxa"/>
              <w:bottom w:w="60" w:type="dxa"/>
              <w:left w:w="100" w:type="dxa"/>
              <w:right w:w="100" w:type="dxa"/>
            </w:tcMar>
            <w:vAlign w:val="top"/>
          </w:tcPr>
          <w:p w14:paraId="3AA9CAEA" w14:textId="77777777" w:rsidR="002041B0" w:rsidRPr="002041B0" w:rsidRDefault="002041B0" w:rsidP="002041B0">
            <w:pPr>
              <w:spacing w:after="0" w:line="240" w:lineRule="auto"/>
              <w:rPr>
                <w:b/>
                <w:bCs/>
                <w14:ligatures w14:val="none"/>
              </w:rPr>
            </w:pPr>
            <w:r>
              <w:rPr>
                <w:b/>
                <w:bCs/>
                <w14:ligatures w14:val="none"/>
              </w:rPr>
              <w:t>Ontology (Reality)</w:t>
            </w:r>
          </w:p>
        </w:tc>
        <w:tc>
          <w:tcPr>
            <w:tcW w:type="dxa" w:w="7200"/>
            <w:tcMar>
              <w:top w:w="60" w:type="dxa"/>
              <w:bottom w:w="60" w:type="dxa"/>
              <w:left w:w="100" w:type="dxa"/>
              <w:right w:w="100" w:type="dxa"/>
            </w:tcMar>
            <w:vAlign w:val="top"/>
          </w:tcPr>
          <w:p w14:paraId="21EE78E3" w14:textId="77777777" w:rsidR="002041B0" w:rsidRPr="002041B0" w:rsidRDefault="002041B0" w:rsidP="002041B0">
            <w:pPr>
              <w:spacing w:after="0" w:line="240" w:lineRule="auto"/>
              <w:rPr>
                <w14:ligatures w14:val="none"/>
              </w:rPr>
            </w:pPr>
            <w:r>
              <w:rPr>
                <w14:ligatures w14:val="none"/>
              </w:rPr>
              <w:lastRenderedPageBreak/>
              <w:t>Reality is subjective and multiple; each individual experiences and interprets reality differently based on their unique perspectives, experiences and contexts. There is no single objective reality, instead, there are multiple realities constructed through individual meaning-making. What is 'real' for one person may differ from another's reality</w:t>
            </w:r>
          </w:p>
        </w:tc>
      </w:tr>
      <w:tr>
        <w:tc>
          <w:tcPr>
            <w:tcW w:type="dxa" w:w="2438"/>
            <w:shd w:val="clear" w:color="auto" w:fill="EEF8E6"/>
            <w:tcMar>
              <w:top w:w="60" w:type="dxa"/>
              <w:bottom w:w="60" w:type="dxa"/>
              <w:left w:w="100" w:type="dxa"/>
              <w:right w:w="100" w:type="dxa"/>
            </w:tcMar>
            <w:vAlign w:val="top"/>
          </w:tcPr>
          <w:p w14:paraId="517F60BF" w14:textId="77777777" w:rsidR="002041B0" w:rsidRPr="002041B0" w:rsidRDefault="002041B0" w:rsidP="002041B0">
            <w:pPr>
              <w:spacing w:after="0" w:line="240" w:lineRule="auto"/>
              <w:rPr>
                <w:b/>
                <w:bCs/>
                <w14:ligatures w14:val="none"/>
              </w:rPr>
            </w:pPr>
            <w:r>
              <w:rPr>
                <w:b/>
                <w:bCs/>
                <w14:ligatures w14:val="none"/>
              </w:rPr>
              <w:lastRenderedPageBreak/>
              <w:t>Epistemology</w:t>
              <w:br/>
              <w:t>(Knowledge)</w:t>
            </w:r>
          </w:p>
        </w:tc>
        <w:tc>
          <w:tcPr>
            <w:tcW w:type="dxa" w:w="7200"/>
            <w:tcMar>
              <w:top w:w="60" w:type="dxa"/>
              <w:bottom w:w="60" w:type="dxa"/>
              <w:left w:w="100" w:type="dxa"/>
              <w:right w:w="100" w:type="dxa"/>
            </w:tcMar>
            <w:vAlign w:val="top"/>
          </w:tcPr>
          <w:p w14:paraId="51A7F90A" w14:textId="77777777" w:rsidR="002041B0" w:rsidRPr="002041B0" w:rsidRDefault="002041B0" w:rsidP="002041B0">
            <w:pPr>
              <w:spacing w:after="0" w:line="240" w:lineRule="auto"/>
              <w:rPr>
                <w14:ligatures w14:val="none"/>
              </w:rPr>
            </w:pPr>
            <w:r>
              <w:rPr>
                <w14:ligatures w14:val="none"/>
              </w:rPr>
              <w:t>Knowledge is gained through understanding individual experiences, meanings and interpretations. Researcher and participant interact; knowledge emerges through interpretation of participants' subjective realities. The researcher's understanding is shaped by their own experiences and perspectives. Knowledge is contextual, idiographic and emphasises depth over breadth</w:t>
            </w:r>
          </w:p>
        </w:tc>
      </w:tr>
      <w:tr>
        <w:tc>
          <w:tcPr>
            <w:tcW w:type="dxa" w:w="2438"/>
            <w:shd w:val="clear" w:color="auto" w:fill="EEF8E6"/>
            <w:tcMar>
              <w:top w:w="60" w:type="dxa"/>
              <w:bottom w:w="60" w:type="dxa"/>
              <w:left w:w="100" w:type="dxa"/>
              <w:right w:w="100" w:type="dxa"/>
            </w:tcMar>
            <w:vAlign w:val="top"/>
          </w:tcPr>
          <w:p w14:paraId="63D58DBE" w14:textId="77777777" w:rsidR="002041B0" w:rsidRPr="002041B0" w:rsidRDefault="002041B0" w:rsidP="002041B0">
            <w:pPr>
              <w:spacing w:after="0" w:line="240" w:lineRule="auto"/>
              <w:rPr>
                <w:b/>
                <w:bCs/>
                <w14:ligatures w14:val="none"/>
              </w:rPr>
            </w:pPr>
            <w:r>
              <w:rPr>
                <w:b/>
                <w:bCs/>
                <w14:ligatures w14:val="none"/>
              </w:rPr>
              <w:t>Axiology</w:t>
            </w:r>
          </w:p>
        </w:tc>
        <w:tc>
          <w:tcPr>
            <w:tcW w:type="dxa" w:w="7200"/>
            <w:tcMar>
              <w:top w:w="60" w:type="dxa"/>
              <w:bottom w:w="60" w:type="dxa"/>
              <w:left w:w="100" w:type="dxa"/>
              <w:right w:w="100" w:type="dxa"/>
            </w:tcMar>
            <w:vAlign w:val="top"/>
          </w:tcPr>
          <w:p w14:paraId="3D3641A5" w14:textId="77777777" w:rsidR="002041B0" w:rsidRPr="002041B0" w:rsidRDefault="002041B0" w:rsidP="002041B0">
            <w:pPr>
              <w:spacing w:after="0" w:line="240" w:lineRule="auto"/>
              <w:rPr>
                <w14:ligatures w14:val="none"/>
              </w:rPr>
            </w:pPr>
            <w:r>
              <w:rPr>
                <w14:ligatures w14:val="none"/>
              </w:rPr>
              <w:lastRenderedPageBreak/>
              <w:t xml:space="preserve">Researcher's values and biases are integral to the research process and inevitable in interpretation. Rather than eliminating values, researcher </w:t>
              <w:lastRenderedPageBreak/>
              <w:t>reflexively examines how their values, beliefs and experiences shape their understanding. Values are acknowledged as part of meaning-making. Researcher brings their 'whole self' to interpretation whilst remaining aware of value influences</w:t>
            </w:r>
          </w:p>
        </w:tc>
      </w:tr>
      <w:tr>
        <w:tc>
          <w:tcPr>
            <w:tcW w:type="dxa" w:w="2438"/>
            <w:shd w:val="clear" w:color="auto" w:fill="EEF8E6"/>
            <w:tcMar>
              <w:top w:w="60" w:type="dxa"/>
              <w:bottom w:w="60" w:type="dxa"/>
              <w:left w:w="100" w:type="dxa"/>
              <w:right w:w="100" w:type="dxa"/>
            </w:tcMar>
            <w:vAlign w:val="top"/>
          </w:tcPr>
          <w:p w14:paraId="02A82D5E" w14:textId="77777777" w:rsidR="002041B0" w:rsidRPr="002041B0" w:rsidRDefault="002041B0" w:rsidP="002041B0">
            <w:pPr>
              <w:spacing w:after="0" w:line="240" w:lineRule="auto"/>
              <w:rPr>
                <w:b/>
                <w:bCs/>
                <w14:ligatures w14:val="none"/>
              </w:rPr>
            </w:pPr>
            <w:r>
              <w:rPr>
                <w:b/>
                <w:bCs/>
                <w14:ligatures w14:val="none"/>
              </w:rPr>
              <w:lastRenderedPageBreak/>
              <w:t>Time Orientation</w:t>
            </w:r>
          </w:p>
        </w:tc>
        <w:tc>
          <w:tcPr>
            <w:tcW w:type="dxa" w:w="7200"/>
            <w:tcMar>
              <w:top w:w="60" w:type="dxa"/>
              <w:bottom w:w="60" w:type="dxa"/>
              <w:left w:w="100" w:type="dxa"/>
              <w:right w:w="100" w:type="dxa"/>
            </w:tcMar>
            <w:vAlign w:val="top"/>
          </w:tcPr>
          <w:p w14:paraId="58FCAB56" w14:textId="77777777" w:rsidR="002041B0" w:rsidRPr="002041B0" w:rsidRDefault="002041B0" w:rsidP="002041B0">
            <w:pPr>
              <w:spacing w:after="0" w:line="240" w:lineRule="auto"/>
              <w:rPr>
                <w14:ligatures w14:val="none"/>
              </w:rPr>
            </w:pPr>
            <w:r>
              <w:rPr>
                <w14:ligatures w14:val="none"/>
              </w:rPr>
              <w:t>Present experience: Emphasises participants' current lived experiences and present meanings. Past experiences matter only as they shape current interpretations and sense-making</w:t>
            </w:r>
          </w:p>
        </w:tc>
      </w:tr>
      <w:tr>
        <w:tc>
          <w:tcPr>
            <w:tcW w:type="dxa" w:w="2438"/>
            <w:shd w:val="clear" w:color="auto" w:fill="EEF8E6"/>
            <w:tcMar>
              <w:top w:w="60" w:type="dxa"/>
              <w:bottom w:w="60" w:type="dxa"/>
              <w:left w:w="100" w:type="dxa"/>
              <w:right w:w="100" w:type="dxa"/>
            </w:tcMar>
            <w:vAlign w:val="top"/>
          </w:tcPr>
          <w:p w14:paraId="4F9C25AD" w14:textId="77777777" w:rsidR="002041B0" w:rsidRPr="002041B0" w:rsidRDefault="002041B0" w:rsidP="002041B0">
            <w:pPr>
              <w:spacing w:after="0" w:line="240" w:lineRule="auto"/>
              <w:rPr>
                <w:b/>
                <w:bCs/>
                <w14:ligatures w14:val="none"/>
              </w:rPr>
            </w:pPr>
            <w:r>
              <w:rPr>
                <w:b/>
                <w:bCs/>
                <w14:ligatures w14:val="none"/>
              </w:rPr>
              <w:t>What it seeks to do</w:t>
            </w:r>
          </w:p>
        </w:tc>
        <w:tc>
          <w:tcPr>
            <w:tcW w:type="dxa" w:w="7200"/>
            <w:tcMar>
              <w:top w:w="60" w:type="dxa"/>
              <w:bottom w:w="60" w:type="dxa"/>
              <w:left w:w="100" w:type="dxa"/>
              <w:right w:w="100" w:type="dxa"/>
            </w:tcMar>
            <w:vAlign w:val="top"/>
          </w:tcPr>
          <w:p w14:paraId="2A882CC0" w14:textId="77777777" w:rsidR="002041B0" w:rsidRPr="002041B0" w:rsidRDefault="002041B0" w:rsidP="002041B0">
            <w:pPr>
              <w:spacing w:after="0" w:line="240" w:lineRule="auto"/>
              <w:rPr>
                <w14:ligatures w14:val="none"/>
              </w:rPr>
            </w:pPr>
            <w:r>
              <w:rPr>
                <w14:ligatures w14:val="none"/>
              </w:rPr>
              <w:t>Seeks to understand social phenomena through the meanings individuals assign to them</w:t>
            </w:r>
          </w:p>
        </w:tc>
      </w:tr>
      <w:tr>
        <w:tc>
          <w:tcPr>
            <w:tcW w:type="dxa" w:w="2438"/>
            <w:shd w:val="clear" w:color="auto" w:fill="EEF8E6"/>
            <w:tcMar>
              <w:top w:w="60" w:type="dxa"/>
              <w:bottom w:w="60" w:type="dxa"/>
              <w:left w:w="100" w:type="dxa"/>
              <w:right w:w="100" w:type="dxa"/>
            </w:tcMar>
            <w:vAlign w:val="top"/>
          </w:tcPr>
          <w:p w14:paraId="2CD5EF8F" w14:textId="77777777" w:rsidR="002041B0" w:rsidRPr="002041B0" w:rsidRDefault="002041B0" w:rsidP="002041B0">
            <w:pPr>
              <w:spacing w:after="0" w:line="240" w:lineRule="auto"/>
              <w:rPr>
                <w:b/>
                <w:bCs/>
                <w14:ligatures w14:val="none"/>
              </w:rPr>
            </w:pPr>
            <w:r>
              <w:rPr>
                <w:b/>
                <w:bCs/>
                <w14:ligatures w14:val="none"/>
              </w:rPr>
              <w:t>Rationale</w:t>
            </w:r>
          </w:p>
        </w:tc>
        <w:tc>
          <w:tcPr>
            <w:tcW w:type="dxa" w:w="7200"/>
            <w:tcMar>
              <w:top w:w="60" w:type="dxa"/>
              <w:bottom w:w="60" w:type="dxa"/>
              <w:left w:w="100" w:type="dxa"/>
              <w:right w:w="100" w:type="dxa"/>
            </w:tcMar>
            <w:vAlign w:val="top"/>
          </w:tcPr>
          <w:p w14:paraId="652396F6" w14:textId="77777777" w:rsidR="002041B0" w:rsidRPr="002041B0" w:rsidRDefault="002041B0" w:rsidP="002041B0">
            <w:pPr>
              <w:spacing w:after="0" w:line="240" w:lineRule="auto"/>
              <w:rPr>
                <w14:ligatures w14:val="none"/>
              </w:rPr>
            </w:pPr>
            <w:r>
              <w:rPr>
                <w14:ligatures w14:val="none"/>
              </w:rPr>
              <w:t>Reality is subjective and can only be understood through participants' eyes</w:t>
            </w:r>
          </w:p>
        </w:tc>
      </w:tr>
      <w:tr>
        <w:tc>
          <w:tcPr>
            <w:tcW w:type="dxa" w:w="2438"/>
            <w:shd w:val="clear" w:color="auto" w:fill="EEF8E6"/>
            <w:tcMar>
              <w:top w:w="60" w:type="dxa"/>
              <w:bottom w:w="60" w:type="dxa"/>
              <w:left w:w="100" w:type="dxa"/>
              <w:right w:w="100" w:type="dxa"/>
            </w:tcMar>
            <w:vAlign w:val="top"/>
          </w:tcPr>
          <w:p w14:paraId="0506985A" w14:textId="77777777" w:rsidR="00903474" w:rsidRPr="00903474" w:rsidRDefault="00903474" w:rsidP="00903474">
            <w:pPr>
              <w:spacing w:after="0" w:line="240" w:lineRule="auto"/>
              <w:rPr>
                <w:b/>
                <w:bCs/>
                <w14:ligatures w14:val="none"/>
              </w:rPr>
            </w:pPr>
            <w:r>
              <w:rPr>
                <w:b/>
                <w:bCs/>
                <w14:ligatures w14:val="none"/>
              </w:rPr>
              <w:lastRenderedPageBreak/>
              <w:t>Philosophical Traditions Within Paradigms</w:t>
            </w:r>
          </w:p>
        </w:tc>
        <w:tc>
          <w:tcPr>
            <w:tcW w:type="dxa" w:w="7200"/>
            <w:tcMar>
              <w:top w:w="60" w:type="dxa"/>
              <w:bottom w:w="60" w:type="dxa"/>
              <w:left w:w="100" w:type="dxa"/>
              <w:right w:w="100" w:type="dxa"/>
            </w:tcMar>
            <w:vAlign w:val="top"/>
          </w:tcPr>
          <w:p w14:paraId="31C51DDD" w14:textId="77777777" w:rsidR="00903474" w:rsidRPr="00903474" w:rsidRDefault="00903474" w:rsidP="00903474">
            <w:pPr>
              <w:spacing w:after="0" w:line="240" w:lineRule="auto"/>
              <w:rPr>
                <w14:ligatures w14:val="none"/>
              </w:rPr>
            </w:pPr>
            <w:r>
              <w:rPr>
                <w14:ligatures w14:val="none"/>
              </w:rPr>
              <w:t>THREE PHILOSOPHICAL TRADITIONS within interpretivism (developed independently but all share interpretivist assumptions):</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14:ligatures w14:val="none"/>
              </w:rPr>
              <w:t>1. PHENOMENOLOGY (German, 1900s)</w:t>
            </w:r>
          </w:p>
          <w:p w14:paraId="31C51DDD" w14:textId="77777777" w:rsidR="00903474" w:rsidRPr="00903474" w:rsidRDefault="00903474" w:rsidP="00903474">
            <w:pPr>
              <w:spacing w:after="0" w:line="240" w:lineRule="auto"/>
              <w:rPr>
                <w14:ligatures w14:val="none"/>
              </w:rPr>
            </w:pPr>
            <w:r>
              <w:rPr>
                <w14:ligatures w14:val="none"/>
              </w:rPr>
              <w:t>• Founders: Edmund Husserl (1859-1938), Martin Heidegger (1889-1976)</w:t>
            </w:r>
          </w:p>
          <w:p w14:paraId="31C51DDD" w14:textId="77777777" w:rsidR="00903474" w:rsidRPr="00903474" w:rsidRDefault="00903474" w:rsidP="00903474">
            <w:pPr>
              <w:spacing w:after="0" w:line="240" w:lineRule="auto"/>
              <w:rPr>
                <w14:ligatures w14:val="none"/>
              </w:rPr>
            </w:pPr>
            <w:r>
              <w:rPr>
                <w14:ligatures w14:val="none"/>
              </w:rPr>
              <w:t>• Question: What is it like to experience this phenomenon?</w:t>
            </w:r>
          </w:p>
          <w:p w14:paraId="31C51DDD" w14:textId="77777777" w:rsidR="00903474" w:rsidRPr="00903474" w:rsidRDefault="00903474" w:rsidP="00903474">
            <w:pPr>
              <w:spacing w:after="0" w:line="240" w:lineRule="auto"/>
              <w:rPr>
                <w14:ligatures w14:val="none"/>
              </w:rPr>
            </w:pPr>
            <w:r>
              <w:rPr>
                <w14:ligatures w14:val="none"/>
              </w:rPr>
              <w:t>• Focus: Consciousness, lived experience, essence of phenomena</w:t>
            </w:r>
          </w:p>
          <w:p w14:paraId="31C51DDD" w14:textId="77777777" w:rsidR="00903474" w:rsidRPr="00903474" w:rsidRDefault="00903474" w:rsidP="00903474">
            <w:pPr>
              <w:spacing w:after="0" w:line="240" w:lineRule="auto"/>
              <w:rPr>
                <w14:ligatures w14:val="none"/>
              </w:rPr>
            </w:pPr>
            <w:r>
              <w:rPr>
                <w14:ligatures w14:val="none"/>
              </w:rPr>
              <w:t>• Types: Descriptive (Husserl - bracketing preconceptions) or Interpretive/Hermeneutic (Heidegger - interpretation fundamental)</w:t>
            </w:r>
          </w:p>
          <w:p w14:paraId="31C51DDD" w14:textId="77777777" w:rsidR="00903474" w:rsidRPr="00903474" w:rsidRDefault="00903474" w:rsidP="00903474">
            <w:pPr>
              <w:spacing w:after="0" w:line="240" w:lineRule="auto"/>
              <w:rPr>
                <w14:ligatures w14:val="none"/>
              </w:rPr>
            </w:pPr>
            <w:r>
              <w:rPr>
                <w14:ligatures w14:val="none"/>
              </w:rPr>
              <w:t>• Methods: Small samples (5-15), in-depth interviews, phenomenological analysis</w:t>
            </w:r>
          </w:p>
          <w:p w14:paraId="31C51DDD" w14:textId="77777777" w:rsidR="00903474" w:rsidRPr="00903474" w:rsidRDefault="00903474" w:rsidP="00903474">
            <w:pPr>
              <w:spacing w:after="0" w:line="240" w:lineRule="auto"/>
              <w:rPr>
                <w14:ligatures w14:val="none"/>
              </w:rPr>
            </w:pPr>
            <w:r>
              <w:rPr>
                <w14:ligatures w14:val="none"/>
              </w:rPr>
              <w:t>• Example: What is the lived experience of whistleblowing? How do entrepreneurs experience business failure?</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14:ligatures w14:val="none"/>
              </w:rPr>
              <w:t>2. HERMENEUTICS (German, 1800s-1900s)</w:t>
            </w:r>
          </w:p>
          <w:p w14:paraId="31C51DDD" w14:textId="77777777" w:rsidR="00903474" w:rsidRPr="00903474" w:rsidRDefault="00903474" w:rsidP="00903474">
            <w:pPr>
              <w:spacing w:after="0" w:line="240" w:lineRule="auto"/>
              <w:rPr>
                <w14:ligatures w14:val="none"/>
              </w:rPr>
            </w:pPr>
            <w:r>
              <w:rPr>
                <w14:ligatures w14:val="none"/>
              </w:rPr>
              <w:t>• Founders: Wilhelm Dilthey, Hans-Georg Gadamer (1900-2002)</w:t>
            </w:r>
          </w:p>
          <w:p w14:paraId="31C51DDD" w14:textId="77777777" w:rsidR="00903474" w:rsidRPr="00903474" w:rsidRDefault="00903474" w:rsidP="00903474">
            <w:pPr>
              <w:spacing w:after="0" w:line="240" w:lineRule="auto"/>
              <w:rPr>
                <w14:ligatures w14:val="none"/>
              </w:rPr>
            </w:pPr>
            <w:r>
              <w:rPr>
                <w14:ligatures w14:val="none"/>
              </w:rPr>
              <w:t>• Question: How do we interpret and understand meanings?</w:t>
            </w:r>
          </w:p>
          <w:p w14:paraId="31C51DDD" w14:textId="77777777" w:rsidR="00903474" w:rsidRPr="00903474" w:rsidRDefault="00903474" w:rsidP="00903474">
            <w:pPr>
              <w:spacing w:after="0" w:line="240" w:lineRule="auto"/>
              <w:rPr>
                <w14:ligatures w14:val="none"/>
              </w:rPr>
            </w:pPr>
            <w:r>
              <w:rPr>
                <w14:ligatures w14:val="none"/>
              </w:rPr>
              <w:t>• Focus: Interpretation, understanding texts and meanings, dialogue</w:t>
            </w:r>
          </w:p>
          <w:p w14:paraId="31C51DDD" w14:textId="77777777" w:rsidR="00903474" w:rsidRPr="00903474" w:rsidRDefault="00903474" w:rsidP="00903474">
            <w:pPr>
              <w:spacing w:after="0" w:line="240" w:lineRule="auto"/>
              <w:rPr>
                <w14:ligatures w14:val="none"/>
              </w:rPr>
            </w:pPr>
            <w:r>
              <w:rPr>
                <w14:ligatures w14:val="none"/>
              </w:rPr>
              <w:t>• Key concepts: Hermeneutic circle (parts-whole iteration), prejudice as productive, fusion of horizons</w:t>
            </w:r>
          </w:p>
          <w:p w14:paraId="31C51DDD" w14:textId="77777777" w:rsidR="00903474" w:rsidRPr="00903474" w:rsidRDefault="00903474" w:rsidP="00903474">
            <w:pPr>
              <w:spacing w:after="0" w:line="240" w:lineRule="auto"/>
              <w:rPr>
                <w14:ligatures w14:val="none"/>
              </w:rPr>
            </w:pPr>
            <w:r>
              <w:rPr>
                <w14:ligatures w14:val="none"/>
              </w:rPr>
              <w:t>• Methods: Texts, narratives, documents, iterative interpretation</w:t>
            </w:r>
          </w:p>
          <w:p w14:paraId="31C51DDD" w14:textId="77777777" w:rsidR="00903474" w:rsidRPr="00903474" w:rsidRDefault="00903474" w:rsidP="00903474">
            <w:pPr>
              <w:spacing w:after="0" w:line="240" w:lineRule="auto"/>
              <w:rPr>
                <w14:ligatures w14:val="none"/>
              </w:rPr>
            </w:pPr>
            <w:r>
              <w:rPr>
                <w14:ligatures w14:val="none"/>
              </w:rPr>
              <w:t>• Example: How do executives make sense of strategic ambiguity? How is CSR interpreted differently across stakeholder groups?</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b/>
                <w14:ligatures w14:val="none"/>
              </w:rPr>
              <w:t>WHERE PHENOMENOLOGY AND HERMENEUTICS MEET IN PRACTICE: INTERPRETATIVE PHENOMENOLOGICAL ANALYSIS (IPA)</w:t>
            </w:r>
          </w:p>
          <w:p w14:paraId="31C51DDD" w14:textId="77777777" w:rsidR="00903474" w:rsidRPr="00903474" w:rsidRDefault="00903474" w:rsidP="00903474">
            <w:pPr>
              <w:spacing w:after="0" w:line="240" w:lineRule="auto"/>
              <w:rPr>
                <w14:ligatures w14:val="none"/>
              </w:rPr>
            </w:pPr>
            <w:r>
              <w:rPr>
                <w14:ligatures w14:val="none"/>
              </w:rPr>
              <w:t>• Developed by: Jonathan Smith (1996), with Paul Flowers and Michael Larkin</w:t>
            </w:r>
          </w:p>
          <w:p w14:paraId="31C51DDD" w14:textId="77777777" w:rsidR="00903474" w:rsidRPr="00903474" w:rsidRDefault="00903474" w:rsidP="00903474">
            <w:pPr>
              <w:spacing w:after="0" w:line="240" w:lineRule="auto"/>
              <w:rPr>
                <w14:ligatures w14:val="none"/>
              </w:rPr>
            </w:pPr>
            <w:r>
              <w:rPr>
                <w14:ligatures w14:val="none"/>
              </w:rPr>
              <w:t>• Draws on: Heideggerian phenomenology, hermeneutics and idiography</w:t>
            </w:r>
          </w:p>
          <w:p w14:paraId="31C51DDD" w14:textId="77777777" w:rsidR="00903474" w:rsidRPr="00903474" w:rsidRDefault="00903474" w:rsidP="00903474">
            <w:pPr>
              <w:spacing w:after="0" w:line="240" w:lineRule="auto"/>
              <w:rPr>
                <w14:ligatures w14:val="none"/>
              </w:rPr>
            </w:pPr>
            <w:r>
              <w:rPr>
                <w14:ligatures w14:val="none"/>
              </w:rPr>
              <w:t>• Question: How do particular people, in a particular context, make sense of a significant experience?</w:t>
            </w:r>
          </w:p>
          <w:p w14:paraId="31C51DDD" w14:textId="77777777" w:rsidR="00903474" w:rsidRPr="00903474" w:rsidRDefault="00903474" w:rsidP="00903474">
            <w:pPr>
              <w:spacing w:after="0" w:line="240" w:lineRule="auto"/>
              <w:rPr>
                <w14:ligatures w14:val="none"/>
              </w:rPr>
            </w:pPr>
            <w:r>
              <w:rPr>
                <w14:ligatures w14:val="none"/>
              </w:rPr>
              <w:t>• Key concept: The double hermeneutic. The researcher is making sense of the participant making sense of their own experience</w:t>
            </w:r>
          </w:p>
          <w:p w14:paraId="31C51DDD" w14:textId="77777777" w:rsidR="00903474" w:rsidRPr="00903474" w:rsidRDefault="00903474" w:rsidP="00903474">
            <w:pPr>
              <w:spacing w:after="0" w:line="240" w:lineRule="auto"/>
              <w:rPr>
                <w14:ligatures w14:val="none"/>
              </w:rPr>
            </w:pPr>
            <w:r>
              <w:rPr>
                <w14:ligatures w14:val="none"/>
              </w:rPr>
              <w:t>• Methods: Small, fairly homogeneous purposive samples; semi-structured interviews; each case analysed in depth before looking for patterns across cases</w:t>
            </w:r>
          </w:p>
          <w:p w14:paraId="31C51DDD" w14:textId="77777777" w:rsidR="00903474" w:rsidRPr="00903474" w:rsidRDefault="00903474" w:rsidP="00903474">
            <w:pPr>
              <w:spacing w:after="0" w:line="240" w:lineRule="auto"/>
              <w:rPr>
                <w14:ligatures w14:val="none"/>
              </w:rPr>
            </w:pPr>
            <w:r>
              <w:rPr>
                <w14:ligatures w14:val="none"/>
              </w:rPr>
              <w:t>• Example: How do first-time founders make sense of closing their business? How do senior nurses experience moving into management?</w:t>
            </w:r>
          </w:p>
          <w:p w14:paraId="31C51DDD" w14:textId="77777777" w:rsidR="00903474" w:rsidRPr="00903474" w:rsidRDefault="00903474" w:rsidP="00903474">
            <w:pPr>
              <w:spacing w:after="0" w:line="240" w:lineRule="auto"/>
              <w:rPr>
                <w14:ligatures w14:val="none"/>
              </w:rPr>
            </w:pPr>
            <w:r>
              <w:rPr>
                <w14:ligatures w14:val="none"/>
              </w:rPr>
              <w:t>• Note: IPA is a methodology, not a separate philosophical tradition. It originated in health psychology but is increasingly used in business and management research</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14:ligatures w14:val="none"/>
              </w:rPr>
              <w:t>3. SYMBOLIC INTERACTIONISM (American, 1930s-1960s)</w:t>
            </w:r>
          </w:p>
          <w:p w14:paraId="31C51DDD" w14:textId="77777777" w:rsidR="00903474" w:rsidRPr="00903474" w:rsidRDefault="00903474" w:rsidP="00903474">
            <w:pPr>
              <w:spacing w:after="0" w:line="240" w:lineRule="auto"/>
              <w:rPr>
                <w14:ligatures w14:val="none"/>
              </w:rPr>
            </w:pPr>
            <w:r>
              <w:rPr>
                <w14:ligatures w14:val="none"/>
              </w:rPr>
              <w:t>• Founders: George Herbert Mead (1863-1931), Herbert Blumer (1900-1987)</w:t>
            </w:r>
          </w:p>
          <w:p w14:paraId="31C51DDD" w14:textId="77777777" w:rsidR="00903474" w:rsidRPr="00903474" w:rsidRDefault="00903474" w:rsidP="00903474">
            <w:pPr>
              <w:spacing w:after="0" w:line="240" w:lineRule="auto"/>
              <w:rPr>
                <w14:ligatures w14:val="none"/>
              </w:rPr>
            </w:pPr>
            <w:r>
              <w:rPr>
                <w14:ligatures w14:val="none"/>
              </w:rPr>
              <w:t>• Question: How do people create meanings through social interaction?</w:t>
            </w:r>
          </w:p>
          <w:p w14:paraId="31C51DDD" w14:textId="77777777" w:rsidR="00903474" w:rsidRPr="00903474" w:rsidRDefault="00903474" w:rsidP="00903474">
            <w:pPr>
              <w:spacing w:after="0" w:line="240" w:lineRule="auto"/>
              <w:rPr>
                <w14:ligatures w14:val="none"/>
              </w:rPr>
            </w:pPr>
            <w:r>
              <w:rPr>
                <w14:ligatures w14:val="none"/>
              </w:rPr>
              <w:t>• Focus: Social processes, symbols, negotiated meanings, identity construction</w:t>
            </w:r>
          </w:p>
          <w:p w14:paraId="31C51DDD" w14:textId="77777777" w:rsidR="00903474" w:rsidRPr="00903474" w:rsidRDefault="00903474" w:rsidP="00903474">
            <w:pPr>
              <w:spacing w:after="0" w:line="240" w:lineRule="auto"/>
              <w:rPr>
                <w14:ligatures w14:val="none"/>
              </w:rPr>
            </w:pPr>
            <w:r>
              <w:rPr>
                <w14:ligatures w14:val="none"/>
              </w:rPr>
              <w:t>• Key concepts: Definition of situation, self as social object, joint action</w:t>
            </w:r>
          </w:p>
          <w:p w14:paraId="31C51DDD" w14:textId="77777777" w:rsidR="00903474" w:rsidRPr="00903474" w:rsidRDefault="00903474" w:rsidP="00903474">
            <w:pPr>
              <w:spacing w:after="0" w:line="240" w:lineRule="auto"/>
              <w:rPr>
                <w14:ligatures w14:val="none"/>
              </w:rPr>
            </w:pPr>
            <w:r>
              <w:rPr>
                <w14:ligatures w14:val="none"/>
              </w:rPr>
              <w:t>• Methods: Participant observation, focus on interaction and process</w:t>
            </w:r>
          </w:p>
          <w:p w14:paraId="31C51DDD" w14:textId="77777777" w:rsidR="00903474" w:rsidRPr="00903474" w:rsidRDefault="00903474" w:rsidP="00903474">
            <w:pPr>
              <w:spacing w:after="0" w:line="240" w:lineRule="auto"/>
              <w:rPr>
                <w14:ligatures w14:val="none"/>
              </w:rPr>
            </w:pPr>
            <w:r>
              <w:rPr>
                <w14:ligatures w14:val="none"/>
              </w:rPr>
              <w:t>• Example: How do entrepreneurs construct identity? How do professionals learn 'what counts' in organisations?</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14:ligatures w14:val="none"/>
              </w:rPr>
              <w:t>All three share: reality is subjective and multiple, meanings matter, understanding requires interpretation, context is essential.</w:t>
            </w:r>
          </w:p>
          <w:p w14:paraId="31C51DDD" w14:textId="77777777" w:rsidR="00903474" w:rsidRPr="00903474" w:rsidRDefault="00903474" w:rsidP="00903474">
            <w:pPr>
              <w:spacing w:after="0" w:line="240" w:lineRule="auto"/>
              <w:rPr>
                <w14:ligatures w14:val="none"/>
              </w:rPr>
            </w:pPr>
          </w:p>
          <w:p w14:paraId="31C51DDD" w14:textId="77777777" w:rsidR="00903474" w:rsidRPr="00903474" w:rsidRDefault="00903474" w:rsidP="00903474">
            <w:pPr>
              <w:spacing w:after="0" w:line="240" w:lineRule="auto"/>
              <w:rPr>
                <w14:ligatures w14:val="none"/>
              </w:rPr>
            </w:pPr>
            <w:r>
              <w:rPr>
                <w14:ligatures w14:val="none"/>
              </w:rPr>
              <w:t>These are NOT divisions OF interpretivism - they're different philosophical traditions that all HAPPEN TO BE interpretivist because they developed independently asking different questions but arrived at similar ontological and epistemological positions.</w:t>
            </w:r>
          </w:p>
        </w:tc>
      </w:tr>
      <w:tr>
        <w:tc>
          <w:tcPr>
            <w:tcW w:type="dxa" w:w="2438"/>
            <w:shd w:val="clear" w:color="auto" w:fill="EEF8E6"/>
            <w:tcMar>
              <w:top w:w="60" w:type="dxa"/>
              <w:bottom w:w="60" w:type="dxa"/>
              <w:left w:w="100" w:type="dxa"/>
              <w:right w:w="100" w:type="dxa"/>
            </w:tcMar>
            <w:vAlign w:val="top"/>
          </w:tcPr>
          <w:p w14:paraId="326FE251" w14:textId="6A3B9D3B" w:rsidR="002041B0" w:rsidRPr="00272F9E" w:rsidRDefault="002041B0" w:rsidP="002041B0">
            <w:pPr>
              <w:spacing w:after="0" w:line="240" w:lineRule="auto"/>
              <w:rPr>
                <w:b/>
                <w:bCs/>
                <w14:ligatures w14:val="none"/>
              </w:rPr>
            </w:pPr>
            <w:r>
              <w:rPr>
                <w:b/>
                <w:bCs/>
                <w14:ligatures w14:val="none"/>
              </w:rPr>
              <w:lastRenderedPageBreak/>
              <w:t>Purpose of Literature Review</w:t>
            </w:r>
          </w:p>
        </w:tc>
        <w:tc>
          <w:tcPr>
            <w:tcW w:type="dxa" w:w="7200"/>
            <w:tcMar>
              <w:top w:w="60" w:type="dxa"/>
              <w:bottom w:w="60" w:type="dxa"/>
              <w:left w:w="100" w:type="dxa"/>
              <w:right w:w="100" w:type="dxa"/>
            </w:tcMar>
            <w:vAlign w:val="top"/>
          </w:tcPr>
          <w:p w14:paraId="05B1CC3A" w14:textId="77777777" w:rsidR="002041B0" w:rsidRPr="002041B0" w:rsidRDefault="002041B0" w:rsidP="002041B0">
            <w:pPr>
              <w:spacing w:after="0" w:line="240" w:lineRule="auto"/>
              <w:rPr>
                <w14:ligatures w14:val="none"/>
              </w:rPr>
            </w:pPr>
            <w:r>
              <w:rPr>
                <w14:ligatures w14:val="none"/>
              </w:rPr>
              <w:t>To identify gaps in understanding of how phenomena are experienced and interpreted. Literature provides sensitising concepts to help refine research questions and develop initial interview questions/topic guides. Reveals what meanings have been explored and identifies whose experiences/interpretations are missing, helping focus the inquiry whilst remaining open to emergent themes.</w:t>
            </w:r>
          </w:p>
        </w:tc>
      </w:tr>
      <w:tr>
        <w:tc>
          <w:tcPr>
            <w:tcW w:type="dxa" w:w="2438"/>
            <w:shd w:val="clear" w:color="auto" w:fill="EEF8E6"/>
            <w:tcMar>
              <w:top w:w="60" w:type="dxa"/>
              <w:bottom w:w="60" w:type="dxa"/>
              <w:left w:w="100" w:type="dxa"/>
              <w:right w:w="100" w:type="dxa"/>
            </w:tcMar>
            <w:vAlign w:val="top"/>
          </w:tcPr>
          <w:p w14:paraId="495BF595" w14:textId="04CFC000" w:rsidR="0027306D" w:rsidRPr="007A5F08" w:rsidRDefault="0027306D" w:rsidP="0027306D">
            <w:pPr>
              <w:spacing w:after="0" w:line="240" w:lineRule="auto"/>
              <w:rPr>
                <w:b/>
                <w:bCs/>
                <w14:ligatures w14:val="none"/>
              </w:rPr>
            </w:pPr>
            <w:r>
              <w:rPr>
                <w:b/>
                <w:bCs/>
              </w:rPr>
              <w:t>Theoretical Framework</w:t>
            </w:r>
          </w:p>
        </w:tc>
        <w:tc>
          <w:tcPr>
            <w:tcW w:type="dxa" w:w="7200"/>
            <w:tcMar>
              <w:top w:w="60" w:type="dxa"/>
              <w:bottom w:w="60" w:type="dxa"/>
              <w:left w:w="100" w:type="dxa"/>
              <w:right w:w="100" w:type="dxa"/>
            </w:tcMar>
            <w:vAlign w:val="top"/>
          </w:tcPr>
          <w:p w14:paraId="4EE21CD1" w14:textId="27C858FE" w:rsidR="0027306D" w:rsidRPr="007A5F08" w:rsidRDefault="0027306D" w:rsidP="0027306D">
            <w:pPr>
              <w:spacing w:after="0" w:line="240" w:lineRule="auto"/>
              <w:rPr>
                <w14:ligatures w14:val="none"/>
              </w:rPr>
            </w:pPr>
            <w:r>
              <w:rPr/>
              <w:t xml:space="preserve">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r>
      <w:tr>
        <w:tc>
          <w:tcPr>
            <w:tcW w:type="dxa" w:w="2438"/>
            <w:shd w:val="clear" w:color="auto" w:fill="EEF8E6"/>
            <w:tcMar>
              <w:top w:w="60" w:type="dxa"/>
              <w:bottom w:w="60" w:type="dxa"/>
              <w:left w:w="100" w:type="dxa"/>
              <w:right w:w="100" w:type="dxa"/>
            </w:tcMar>
            <w:vAlign w:val="top"/>
          </w:tcPr>
          <w:p w14:paraId="4BECA5DB" w14:textId="6147CF64" w:rsidR="00D93057" w:rsidRPr="00D93057" w:rsidRDefault="00D93057" w:rsidP="00D93057">
            <w:pPr>
              <w:spacing w:after="0" w:line="240" w:lineRule="auto"/>
              <w:rPr>
                <w:b/>
                <w:bCs/>
              </w:rPr>
            </w:pPr>
            <w:r>
              <w:rPr>
                <w:b/>
                <w:bCs/>
              </w:rPr>
              <w:lastRenderedPageBreak/>
              <w:t>Theory-Data Relationship</w:t>
            </w:r>
          </w:p>
        </w:tc>
        <w:tc>
          <w:tcPr>
            <w:tcW w:type="dxa" w:w="7200"/>
            <w:tcMar>
              <w:top w:w="60" w:type="dxa"/>
              <w:bottom w:w="60" w:type="dxa"/>
              <w:left w:w="100" w:type="dxa"/>
              <w:right w:w="100" w:type="dxa"/>
            </w:tcMar>
            <w:vAlign w:val="top"/>
          </w:tcPr>
          <w:p w14:paraId="3018C8A5" w14:textId="266C79E6" w:rsidR="00D93057" w:rsidRPr="00D93057" w:rsidRDefault="00D93057" w:rsidP="00D93057">
            <w:pPr>
              <w:spacing w:after="0" w:line="240" w:lineRule="auto"/>
              <w:rPr/>
            </w:pPr>
            <w:r>
              <w:rPr>
                <w:b/>
              </w:rPr>
              <w:t>Theory developed from data:</w:t>
            </w:r>
            <w:r>
              <w:rPr/>
              <w:t xml:space="preserve"> Theory is built from immersion in data rather than directing it. Minimal predetermined theoretical framework; instead sensitising concepts loosely guide inquiry. Data collection precedes theorising. The researcher develops concepts and themes inductively from patterns, themes and meanings in participants' accounts, often moving back and forth between the data and their developing interpretation (the hermeneutic circle). Themes and theory do not simply 'emerge' from the data; they are actively constructed by the researcher.</w:t>
            </w:r>
          </w:p>
          <w:p w14:paraId="3018C8A5" w14:textId="266C79E6" w:rsidR="00D93057" w:rsidRPr="00D93057" w:rsidRDefault="00D93057" w:rsidP="00D93057">
            <w:pPr>
              <w:spacing w:after="0" w:line="240" w:lineRule="auto"/>
              <w:rPr/>
            </w:pPr>
          </w:p>
          <w:p w14:paraId="3018C8A5" w14:textId="266C79E6" w:rsidR="00D93057" w:rsidRPr="00D93057" w:rsidRDefault="00D93057" w:rsidP="00D93057">
            <w:pPr>
              <w:spacing w:after="0" w:line="240" w:lineRule="auto"/>
              <w:rPr/>
            </w:pPr>
            <w:r>
              <w:rPr>
                <w:b/>
              </w:rPr>
              <w:t>IPA:</w:t>
            </w:r>
            <w:r>
              <w:rPr/>
              <w:t xml:space="preserve"> Existing theory is kept in the background during analysis so the focus stays on participants' own sense-making. It is then brought in at the discussion stage to interpret and situate the findings.</w:t>
            </w:r>
          </w:p>
        </w:tc>
      </w:tr>
      <w:tr>
        <w:tc>
          <w:tcPr>
            <w:tcW w:type="dxa" w:w="2438"/>
            <w:shd w:val="clear" w:color="auto" w:fill="EEF8E6"/>
            <w:tcMar>
              <w:top w:w="60" w:type="dxa"/>
              <w:bottom w:w="60" w:type="dxa"/>
              <w:left w:w="100" w:type="dxa"/>
              <w:right w:w="100" w:type="dxa"/>
            </w:tcMar>
            <w:vAlign w:val="top"/>
          </w:tcPr>
          <w:p w14:paraId="40E35EE3" w14:textId="09A904A7" w:rsidR="0027306D" w:rsidRPr="008335C9" w:rsidRDefault="0027306D" w:rsidP="0027306D">
            <w:pPr>
              <w:spacing w:after="0" w:line="240" w:lineRule="auto"/>
              <w:rPr>
                <w:b/>
                <w:bCs/>
                <w14:ligatures w14:val="none"/>
              </w:rPr>
            </w:pPr>
            <w:r>
              <w:rPr>
                <w:b/>
                <w:bCs/>
              </w:rPr>
              <w:t>Conceptual Framework/Conceptual Model</w:t>
            </w:r>
          </w:p>
        </w:tc>
        <w:tc>
          <w:tcPr>
            <w:tcW w:type="dxa" w:w="7200"/>
            <w:tcMar>
              <w:top w:w="60" w:type="dxa"/>
              <w:bottom w:w="60" w:type="dxa"/>
              <w:left w:w="100" w:type="dxa"/>
              <w:right w:w="100" w:type="dxa"/>
            </w:tcMar>
            <w:vAlign w:val="top"/>
          </w:tcPr>
          <w:p w14:paraId="3CFA4546" w14:textId="704E7D0B" w:rsidR="0027306D" w:rsidRPr="007A5F08" w:rsidRDefault="0027306D" w:rsidP="0027306D">
            <w:pPr>
              <w:spacing w:after="0" w:line="240" w:lineRule="auto"/>
              <w:rPr>
                <w14:ligatures w14:val="none"/>
              </w:rPr>
            </w:pPr>
            <w:r>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r>
      <w:tr>
        <w:tc>
          <w:tcPr>
            <w:tcW w:type="dxa" w:w="2438"/>
            <w:shd w:val="clear" w:color="auto" w:fill="EEF8E6"/>
            <w:tcMar>
              <w:top w:w="60" w:type="dxa"/>
              <w:bottom w:w="60" w:type="dxa"/>
              <w:left w:w="100" w:type="dxa"/>
              <w:right w:w="100" w:type="dxa"/>
            </w:tcMar>
            <w:vAlign w:val="top"/>
          </w:tcPr>
          <w:p w14:paraId="54E09814" w14:textId="6D5D9877" w:rsidR="0039282A" w:rsidRPr="0039282A" w:rsidRDefault="0039282A" w:rsidP="0039282A">
            <w:pPr>
              <w:spacing w:after="0" w:line="240" w:lineRule="auto"/>
              <w:rPr>
                <w:b/>
                <w:bCs/>
              </w:rPr>
            </w:pPr>
            <w:r>
              <w:rPr>
                <w:b/>
                <w:bCs/>
              </w:rPr>
              <w:lastRenderedPageBreak/>
              <w:t xml:space="preserve">Research Design </w:t>
            </w:r>
          </w:p>
        </w:tc>
        <w:tc>
          <w:tcPr>
            <w:tcW w:type="dxa" w:w="7200"/>
            <w:tcMar>
              <w:top w:w="60" w:type="dxa"/>
              <w:bottom w:w="60" w:type="dxa"/>
              <w:left w:w="100" w:type="dxa"/>
              <w:right w:w="100" w:type="dxa"/>
            </w:tcMar>
            <w:vAlign w:val="top"/>
          </w:tcPr>
          <w:p w14:paraId="3BD5D2D2" w14:textId="0428F2ED" w:rsidR="0039282A" w:rsidRPr="0039282A" w:rsidRDefault="0039282A" w:rsidP="0039282A">
            <w:pPr>
              <w:spacing w:after="0" w:line="240" w:lineRule="auto"/>
              <w:rPr/>
            </w:pPr>
            <w:r>
              <w:rPr/>
              <w:t>Flexible, emergent designs that evolve during research. Case study designs, phenomenological designs, narrative inquiry designs. Design allows themes and questions to emerge from data. Purposive selection of information-rich cases. Design decisions documented and justified throughout the study.</w:t>
            </w:r>
          </w:p>
        </w:tc>
      </w:tr>
      <w:tr>
        <w:tc>
          <w:tcPr>
            <w:tcW w:type="dxa" w:w="2438"/>
            <w:shd w:val="clear" w:color="auto" w:fill="EEF8E6"/>
            <w:tcMar>
              <w:top w:w="60" w:type="dxa"/>
              <w:bottom w:w="60" w:type="dxa"/>
              <w:left w:w="100" w:type="dxa"/>
              <w:right w:w="100" w:type="dxa"/>
            </w:tcMar>
            <w:vAlign w:val="top"/>
          </w:tcPr>
          <w:p w14:paraId="7F78A038" w14:textId="77777777" w:rsidR="002041B0" w:rsidRPr="002041B0" w:rsidRDefault="002041B0" w:rsidP="002041B0">
            <w:pPr>
              <w:spacing w:after="0" w:line="240" w:lineRule="auto"/>
              <w:rPr>
                <w:b/>
                <w:bCs/>
                <w14:ligatures w14:val="none"/>
              </w:rPr>
            </w:pPr>
            <w:r>
              <w:rPr>
                <w:b/>
                <w:bCs/>
                <w14:ligatures w14:val="none"/>
              </w:rPr>
              <w:t>Research Questions/Hypothesis Format</w:t>
            </w:r>
          </w:p>
        </w:tc>
        <w:tc>
          <w:tcPr>
            <w:tcW w:type="dxa" w:w="7200"/>
            <w:tcMar>
              <w:top w:w="60" w:type="dxa"/>
              <w:bottom w:w="60" w:type="dxa"/>
              <w:left w:w="100" w:type="dxa"/>
              <w:right w:w="100" w:type="dxa"/>
            </w:tcMar>
            <w:vAlign w:val="top"/>
          </w:tcPr>
          <w:p w14:paraId="10711EE0" w14:textId="77777777" w:rsidR="002041B0" w:rsidRPr="002041B0" w:rsidRDefault="002041B0" w:rsidP="002041B0">
            <w:pPr>
              <w:spacing w:after="0" w:line="240" w:lineRule="auto"/>
              <w:rPr>
                <w14:ligatures w14:val="none"/>
              </w:rPr>
            </w:pPr>
            <w:r>
              <w:rPr>
                <w14:ligatures w14:val="none"/>
              </w:rPr>
              <w:t>Open research questions: Broad, exploratory questions focusing on understanding meaning and experience (eg 'How do individuals experience...?', 'What meanings do participants ascribe to...?')</w:t>
            </w:r>
          </w:p>
        </w:tc>
      </w:tr>
      <w:tr>
        <w:tc>
          <w:tcPr>
            <w:tcW w:type="dxa" w:w="7200"/>
            <w:gridSpan w:val="2"/>
            <w:shd w:val="clear" w:color="auto" w:fill="D7EFC4"/>
            <w:tcMar>
              <w:top w:w="60" w:type="dxa"/>
              <w:bottom w:w="60" w:type="dxa"/>
              <w:left w:w="100" w:type="dxa"/>
              <w:right w:w="100" w:type="dxa"/>
            </w:tcMar>
            <w:vAlign w:val="top"/>
            <w:tcMar>
              <w:top w:w="60" w:type="dxa"/>
              <w:bottom w:w="60" w:type="dxa"/>
              <w:left w:w="100" w:type="dxa"/>
              <w:right w:w="100" w:type="dxa"/>
            </w:tcMar>
          </w:tcPr>
          <w:p w14:paraId="41B9E302" w14:textId="3AFCA796" w:rsidR="00C700F1" w:rsidRPr="00C700F1" w:rsidRDefault="00C700F1" w:rsidP="008C0221">
            <w:pPr>
              <w:spacing w:after="0" w:line="240" w:lineRule="auto"/>
              <w:rPr>
                <w:b/>
                <w:bCs/>
                <w14:ligatures w14:val="none"/>
              </w:rPr>
            </w:pPr>
            <w:r>
              <w:rPr>
                <w:b/>
                <w:bCs/>
                <w14:ligatures w14:val="none"/>
              </w:rPr>
              <w:t xml:space="preserve">POSITIONALITY, REFLECTION AND REFLEXIVITY IN THIS ORDER </w:t>
            </w:r>
          </w:p>
          <w:p w14:paraId="78F0901D" w14:textId="57A7216B" w:rsidR="008C0221" w:rsidRPr="008C0221" w:rsidRDefault="008C0221" w:rsidP="008C0221">
            <w:pPr>
              <w:spacing w:after="0" w:line="240" w:lineRule="auto"/>
              <w:rPr>
                <w14:ligatures w14:val="none"/>
              </w:rPr>
            </w:pPr>
            <w:r>
              <w:rPr>
                <w14:ligatures w14:val="none"/>
              </w:rPr>
              <w:t>Positionality</w:t>
            </w:r>
          </w:p>
          <w:p w14:paraId="3FD58F0A" w14:textId="77777777" w:rsidR="008C0221" w:rsidRPr="008C0221" w:rsidRDefault="008C0221" w:rsidP="008C0221">
            <w:pPr>
              <w:spacing w:after="0" w:line="240" w:lineRule="auto"/>
              <w:rPr>
                <w14:ligatures w14:val="none"/>
              </w:rPr>
            </w:pPr>
            <w:r>
              <w:rPr>
                <w14:ligatures w14:val="none"/>
              </w:rPr>
              <w:t>Once a student understands when to use the paradigm, what question it generates and why it produces the knowledge it does, they are ready to ask: and where do I stand in relation to all of this? Positionality is the bridge between the philosophical and the personal. It belongs after the intellectual case has been made.</w:t>
            </w:r>
          </w:p>
          <w:p w14:paraId="7EDD38B0" w14:textId="79E29FCB" w:rsidR="008C0221" w:rsidRPr="008C0221" w:rsidRDefault="008C0221" w:rsidP="008C0221">
            <w:pPr>
              <w:spacing w:after="0" w:line="240" w:lineRule="auto"/>
              <w:rPr>
                <w14:ligatures w14:val="none"/>
              </w:rPr>
            </w:pPr>
            <w:r>
              <w:rPr>
                <w14:ligatures w14:val="none"/>
              </w:rPr>
              <w:t>Reflection</w:t>
            </w:r>
          </w:p>
          <w:p w14:paraId="07D4B1C6" w14:textId="77777777" w:rsidR="008C0221" w:rsidRPr="008C0221" w:rsidRDefault="008C0221" w:rsidP="008C0221">
            <w:pPr>
              <w:spacing w:after="0" w:line="240" w:lineRule="auto"/>
              <w:rPr>
                <w14:ligatures w14:val="none"/>
              </w:rPr>
            </w:pPr>
            <w:r>
              <w:rPr>
                <w14:ligatures w14:val="none"/>
              </w:rPr>
              <w:t>You cannot reflect meaningfully until you know where you are standing. Positionality establishes the ground. Reflection is the first analytical practice that builds on it.</w:t>
            </w:r>
          </w:p>
          <w:p w14:paraId="05B4B9E5" w14:textId="0619286F" w:rsidR="008C0221" w:rsidRPr="008C0221" w:rsidRDefault="008C0221" w:rsidP="008C0221">
            <w:pPr>
              <w:spacing w:after="0" w:line="240" w:lineRule="auto"/>
              <w:rPr>
                <w14:ligatures w14:val="none"/>
              </w:rPr>
            </w:pPr>
            <w:r>
              <w:rPr>
                <w14:ligatures w14:val="none"/>
              </w:rPr>
              <w:t>Reflexivity</w:t>
            </w:r>
          </w:p>
          <w:p w14:paraId="376B2C1D" w14:textId="014C4C2E" w:rsidR="008C0221" w:rsidRPr="002041B0" w:rsidRDefault="008C0221" w:rsidP="008C0221">
            <w:pPr>
              <w:spacing w:after="0" w:line="240" w:lineRule="auto"/>
              <w:rPr>
                <w14:ligatures w14:val="none"/>
              </w:rPr>
            </w:pPr>
            <w:r>
              <w:rPr>
                <w14:ligatures w14:val="none"/>
              </w:rPr>
              <w:t>Reflexivity goes further than reflection and depends on it. The sequence is earned: positionality, then reflection, then reflexivity. Each prepares the student for the next.</w:t>
            </w:r>
          </w:p>
        </w:tc>
      </w:tr>
      <w:tr>
        <w:tc>
          <w:tcPr>
            <w:tcW w:type="dxa" w:w="2438"/>
            <w:shd w:val="clear" w:color="auto" w:fill="EEF8E6"/>
            <w:tcMar>
              <w:top w:w="60" w:type="dxa"/>
              <w:bottom w:w="60" w:type="dxa"/>
              <w:left w:w="100" w:type="dxa"/>
              <w:right w:w="100" w:type="dxa"/>
            </w:tcMar>
            <w:vAlign w:val="top"/>
          </w:tcPr>
          <w:p w14:paraId="5A023250" w14:textId="77777777" w:rsidR="002041B0" w:rsidRPr="002041B0" w:rsidRDefault="002041B0" w:rsidP="002041B0">
            <w:pPr>
              <w:spacing w:after="0" w:line="240" w:lineRule="auto"/>
              <w:rPr>
                <w:b/>
                <w:bCs/>
                <w14:ligatures w14:val="none"/>
              </w:rPr>
            </w:pPr>
            <w:r>
              <w:rPr>
                <w:b/>
                <w:bCs/>
                <w14:ligatures w14:val="none"/>
              </w:rPr>
              <w:t>Positionality</w:t>
            </w:r>
          </w:p>
        </w:tc>
        <w:tc>
          <w:tcPr>
            <w:tcW w:type="dxa" w:w="7200"/>
            <w:tcMar>
              <w:top w:w="60" w:type="dxa"/>
              <w:bottom w:w="60" w:type="dxa"/>
              <w:left w:w="100" w:type="dxa"/>
              <w:right w:w="100" w:type="dxa"/>
            </w:tcMar>
            <w:vAlign w:val="top"/>
          </w:tcPr>
          <w:p w14:paraId="5024D68E" w14:textId="77777777" w:rsidR="002041B0" w:rsidRPr="002041B0" w:rsidRDefault="002041B0" w:rsidP="002041B0">
            <w:pPr>
              <w:spacing w:after="0" w:line="240" w:lineRule="auto"/>
              <w:rPr>
                <w14:ligatures w14:val="none"/>
              </w:rPr>
            </w:pPr>
            <w:r>
              <w:rPr>
                <w14:ligatures w14:val="none"/>
              </w:rPr>
              <w:t>Central to interpretation, researcher as instrument: Researcher's life experiences, cultural background, professional training and personal values fundamentally shape what they notice, how they interpret meanings and which themes they emphasise. A researcher who has experienced illness will understand patient narratives differently than one who hasn't. Position is not a limitation but the lens through which interpretation occurs. Detailed positionality statement explains how researcher's standpoint influences understanding</w:t>
            </w:r>
          </w:p>
        </w:tc>
      </w:tr>
      <w:tr>
        <w:tc>
          <w:tcPr>
            <w:tcW w:type="dxa" w:w="2438"/>
            <w:shd w:val="clear" w:color="auto" w:fill="EEF8E6"/>
            <w:tcMar>
              <w:top w:w="60" w:type="dxa"/>
              <w:bottom w:w="60" w:type="dxa"/>
              <w:left w:w="100" w:type="dxa"/>
              <w:right w:w="100" w:type="dxa"/>
            </w:tcMar>
            <w:vAlign w:val="top"/>
          </w:tcPr>
          <w:p w14:paraId="5FB37820" w14:textId="77777777" w:rsidR="002041B0" w:rsidRPr="002041B0" w:rsidRDefault="002041B0" w:rsidP="002041B0">
            <w:pPr>
              <w:spacing w:after="0" w:line="240" w:lineRule="auto"/>
              <w:rPr>
                <w:b/>
                <w:bCs/>
                <w14:ligatures w14:val="none"/>
              </w:rPr>
            </w:pPr>
            <w:r>
              <w:rPr>
                <w:b/>
                <w:bCs/>
                <w14:ligatures w14:val="none"/>
              </w:rPr>
              <w:lastRenderedPageBreak/>
              <w:t>Reflection</w:t>
            </w:r>
          </w:p>
        </w:tc>
        <w:tc>
          <w:tcPr>
            <w:tcW w:type="dxa" w:w="7200"/>
            <w:tcMar>
              <w:top w:w="60" w:type="dxa"/>
              <w:bottom w:w="60" w:type="dxa"/>
              <w:left w:w="100" w:type="dxa"/>
              <w:right w:w="100" w:type="dxa"/>
            </w:tcMar>
            <w:vAlign w:val="top"/>
          </w:tcPr>
          <w:p w14:paraId="16E0523B" w14:textId="77777777" w:rsidR="002041B0" w:rsidRPr="002041B0" w:rsidRDefault="002041B0" w:rsidP="002041B0">
            <w:pPr>
              <w:spacing w:after="0" w:line="240" w:lineRule="auto"/>
              <w:rPr>
                <w14:ligatures w14:val="none"/>
              </w:rPr>
            </w:pPr>
            <w:r>
              <w:rPr>
                <w14:ligatures w14:val="none"/>
              </w:rPr>
              <w:t>Ongoing and iterative reflection throughout research journey: After each interview or observation, researcher writes reflective memos asking 'What surprised me?', 'What assumptions did I bring?', 'What new questions emerged?', 'How did this interaction affect my understanding?'. These reflections directly inform subsequent data collection, reveal evolving insights and deepen interpretation. For example, reflecting 'This participant described the experience completely differently than others, why?' leads to exploring new themes</w:t>
            </w:r>
          </w:p>
        </w:tc>
      </w:tr>
      <w:tr>
        <w:tc>
          <w:tcPr>
            <w:tcW w:type="dxa" w:w="2438"/>
            <w:shd w:val="clear" w:color="auto" w:fill="EEF8E6"/>
            <w:tcMar>
              <w:top w:w="60" w:type="dxa"/>
              <w:bottom w:w="60" w:type="dxa"/>
              <w:left w:w="100" w:type="dxa"/>
              <w:right w:w="100" w:type="dxa"/>
            </w:tcMar>
            <w:vAlign w:val="top"/>
          </w:tcPr>
          <w:p w14:paraId="76CE82F8" w14:textId="77777777" w:rsidR="002041B0" w:rsidRPr="002041B0" w:rsidRDefault="002041B0" w:rsidP="002041B0">
            <w:pPr>
              <w:spacing w:after="0" w:line="240" w:lineRule="auto"/>
              <w:rPr>
                <w:b/>
                <w:bCs/>
                <w14:ligatures w14:val="none"/>
              </w:rPr>
            </w:pPr>
            <w:r>
              <w:rPr>
                <w:b/>
                <w:bCs/>
                <w14:ligatures w14:val="none"/>
              </w:rPr>
              <w:lastRenderedPageBreak/>
              <w:t>Reflexivity</w:t>
            </w:r>
          </w:p>
        </w:tc>
        <w:tc>
          <w:tcPr>
            <w:tcW w:type="dxa" w:w="7200"/>
            <w:tcMar>
              <w:top w:w="60" w:type="dxa"/>
              <w:bottom w:w="60" w:type="dxa"/>
              <w:left w:w="100" w:type="dxa"/>
              <w:right w:w="100" w:type="dxa"/>
            </w:tcMar>
            <w:vAlign w:val="top"/>
          </w:tcPr>
          <w:p w14:paraId="62A689AC" w14:textId="77777777" w:rsidR="002041B0" w:rsidRPr="002041B0" w:rsidRDefault="002041B0" w:rsidP="002041B0">
            <w:pPr>
              <w:spacing w:after="0" w:line="240" w:lineRule="auto"/>
              <w:rPr>
                <w14:ligatures w14:val="none"/>
              </w:rPr>
            </w:pPr>
            <w:r>
              <w:rPr>
                <w14:ligatures w14:val="none"/>
              </w:rPr>
              <w:t>Essential, ongoing and deeply integrated throughout: Researcher continuously and critically examines how their assumptions, theoretical preferences, emotional responses and power dynamics with participants shape every decision, from question formulation ('Why am I asking this and not that?'), to data collection ('How did my gender affect what this participant shared?'), to analysis ('Am I imposing my categories or truly hearing theirs?'). Keeps detailed reflexive journal examining moments of surprise, discomfort, or resonance. For example: 'When this participant cried, I stopped recording, but was that ethical care or my discomfort with emotion? How did my decision shape the data?' Reflexivity ensures methodological integrity</w:t>
            </w:r>
          </w:p>
        </w:tc>
      </w:tr>
      <w:tr>
        <w:tc>
          <w:tcPr>
            <w:tcW w:type="dxa" w:w="2438"/>
            <w:shd w:val="clear" w:color="auto" w:fill="EEF8E6"/>
            <w:tcMar>
              <w:top w:w="60" w:type="dxa"/>
              <w:bottom w:w="60" w:type="dxa"/>
              <w:left w:w="100" w:type="dxa"/>
              <w:right w:w="100" w:type="dxa"/>
            </w:tcMar>
            <w:vAlign w:val="top"/>
          </w:tcPr>
          <w:p w14:paraId="26C8A736" w14:textId="77777777" w:rsidR="00453456" w:rsidRPr="00453456" w:rsidRDefault="00453456" w:rsidP="00453456">
            <w:pPr>
              <w:spacing w:after="0" w:line="240" w:lineRule="auto"/>
              <w:rPr>
                <w:b/>
                <w:bCs/>
                <w14:ligatures w14:val="none"/>
              </w:rPr>
            </w:pPr>
            <w:r>
              <w:rPr>
                <w:b/>
                <w:bCs/>
                <w14:ligatures w14:val="none"/>
              </w:rPr>
              <w:lastRenderedPageBreak/>
              <w:t>Emic/Etic Perspectives</w:t>
            </w:r>
          </w:p>
        </w:tc>
        <w:tc>
          <w:tcPr>
            <w:tcW w:type="dxa" w:w="7200"/>
            <w:tcMar>
              <w:top w:w="60" w:type="dxa"/>
              <w:bottom w:w="60" w:type="dxa"/>
              <w:left w:w="100" w:type="dxa"/>
              <w:right w:w="100" w:type="dxa"/>
            </w:tcMar>
            <w:vAlign w:val="top"/>
          </w:tcPr>
          <w:p w14:paraId="4A9DD9B7" w14:textId="77777777" w:rsidR="00453456" w:rsidRPr="00453456" w:rsidRDefault="00453456" w:rsidP="00453456">
            <w:pPr>
              <w:spacing w:after="0" w:line="240" w:lineRule="auto"/>
              <w:rPr>
                <w14:ligatures w14:val="none"/>
              </w:rPr>
            </w:pPr>
            <w:r>
              <w:rPr>
                <w14:ligatures w14:val="none"/>
              </w:rPr>
              <w:t>Emic (insider) perspective prioritised: Researcher seeks to understand phenomena from participants' own frames of reference and cultural contexts. Meaning is derived from how participants themselves interpret their worlds. Researcher brackets external theoretical frameworks to access authentic insider perspectives. Rich, thick description captures emic understandings. Researcher learns participants' categories rather than imposing external ones.</w:t>
            </w:r>
          </w:p>
          <w:p w14:paraId="4A9DD9B7" w14:textId="77777777" w:rsidR="00453456" w:rsidRPr="00453456" w:rsidRDefault="00453456" w:rsidP="00453456">
            <w:pPr>
              <w:spacing w:after="0" w:line="240" w:lineRule="auto"/>
              <w:rPr>
                <w14:ligatures w14:val="none"/>
              </w:rPr>
            </w:pPr>
          </w:p>
          <w:p w14:paraId="4A9DD9B7" w14:textId="77777777" w:rsidR="00453456" w:rsidRPr="00453456" w:rsidRDefault="00453456" w:rsidP="00453456">
            <w:pPr>
              <w:spacing w:after="0" w:line="240" w:lineRule="auto"/>
              <w:rPr>
                <w14:ligatures w14:val="none"/>
              </w:rPr>
            </w:pPr>
            <w:r>
              <w:rPr>
                <w:b/>
                <w14:ligatures w14:val="none"/>
              </w:rPr>
              <w:t>IPA:</w:t>
            </w:r>
            <w:r>
              <w:rPr>
                <w14:ligatures w14:val="none"/>
              </w:rPr>
              <w:t xml:space="preserve"> IPA deliberately combines emic and etic through the double hermeneutic: the researcher is trying to make sense of the participant trying to make sense of their experience. The emic stance comes first ('giving voice' – staying close to the participant's own account), followed by an interpretative, etic stance ('making sense' – the researcher's psychological or theoretical reading of what the account means) (Larkin, Watts and Clifton, 2006). Frameworks are not bracketed out but brought in carefully, usually at the discussion stage.</w:t>
            </w:r>
          </w:p>
        </w:tc>
      </w:tr>
      <w:tr>
        <w:tc>
          <w:tcPr>
            <w:tcW w:type="dxa" w:w="2438"/>
            <w:shd w:val="clear" w:color="auto" w:fill="EEF8E6"/>
            <w:tcMar>
              <w:top w:w="60" w:type="dxa"/>
              <w:bottom w:w="60" w:type="dxa"/>
              <w:left w:w="100" w:type="dxa"/>
              <w:right w:w="100" w:type="dxa"/>
            </w:tcMar>
            <w:vAlign w:val="top"/>
          </w:tcPr>
          <w:p w14:paraId="4261FE48" w14:textId="77777777" w:rsidR="002041B0" w:rsidRPr="002041B0" w:rsidRDefault="002041B0" w:rsidP="002041B0">
            <w:pPr>
              <w:spacing w:after="0" w:line="240" w:lineRule="auto"/>
              <w:rPr>
                <w:b/>
                <w:bCs/>
                <w14:ligatures w14:val="none"/>
              </w:rPr>
            </w:pPr>
            <w:r>
              <w:rPr>
                <w:b/>
                <w:bCs/>
                <w14:ligatures w14:val="none"/>
              </w:rPr>
              <w:t>Primary Methods</w:t>
            </w:r>
          </w:p>
        </w:tc>
        <w:tc>
          <w:tcPr>
            <w:tcW w:type="dxa" w:w="7200"/>
            <w:tcMar>
              <w:top w:w="60" w:type="dxa"/>
              <w:bottom w:w="60" w:type="dxa"/>
              <w:left w:w="100" w:type="dxa"/>
              <w:right w:w="100" w:type="dxa"/>
            </w:tcMar>
            <w:vAlign w:val="top"/>
          </w:tcPr>
          <w:p w14:paraId="6AD8AD2A" w14:textId="77777777" w:rsidR="002041B0" w:rsidRPr="002041B0" w:rsidRDefault="002041B0" w:rsidP="002041B0">
            <w:pPr>
              <w:spacing w:after="0" w:line="240" w:lineRule="auto"/>
              <w:rPr>
                <w14:ligatures w14:val="none"/>
              </w:rPr>
            </w:pPr>
            <w:r>
              <w:rPr>
                <w14:ligatures w14:val="none"/>
              </w:rPr>
              <w:lastRenderedPageBreak/>
              <w:t>In-depth semi-structured interviews exploring individual experiences, participant observation in natural settings, individual case studies, phenomenological interviews, interpretative analysis of documents or artefacts. Methods prioritise depth, flexibility and accessing participants' subjective meanings. Small samples allow rich exploration</w:t>
            </w:r>
          </w:p>
        </w:tc>
      </w:tr>
      <w:tr>
        <w:tc>
          <w:tcPr>
            <w:tcW w:type="dxa" w:w="2438"/>
            <w:shd w:val="clear" w:color="auto" w:fill="EEF8E6"/>
            <w:tcMar>
              <w:top w:w="60" w:type="dxa"/>
              <w:bottom w:w="60" w:type="dxa"/>
              <w:left w:w="100" w:type="dxa"/>
              <w:right w:w="100" w:type="dxa"/>
            </w:tcMar>
            <w:vAlign w:val="top"/>
          </w:tcPr>
          <w:p w14:paraId="1A2064D2" w14:textId="77777777" w:rsidR="002041B0" w:rsidRPr="002041B0" w:rsidRDefault="002041B0" w:rsidP="002041B0">
            <w:pPr>
              <w:spacing w:after="0" w:line="240" w:lineRule="auto"/>
              <w:rPr>
                <w:b/>
                <w:bCs/>
                <w14:ligatures w14:val="none"/>
              </w:rPr>
            </w:pPr>
            <w:r>
              <w:rPr>
                <w:b/>
                <w:bCs/>
                <w14:ligatures w14:val="none"/>
              </w:rPr>
              <w:lastRenderedPageBreak/>
              <w:t>Sampling</w:t>
            </w:r>
          </w:p>
        </w:tc>
        <w:tc>
          <w:tcPr>
            <w:tcW w:type="dxa" w:w="7200"/>
            <w:tcMar>
              <w:top w:w="60" w:type="dxa"/>
              <w:bottom w:w="60" w:type="dxa"/>
              <w:left w:w="100" w:type="dxa"/>
              <w:right w:w="100" w:type="dxa"/>
            </w:tcMar>
            <w:vAlign w:val="top"/>
          </w:tcPr>
          <w:p w14:paraId="63BABB96" w14:textId="77777777" w:rsidR="002041B0" w:rsidRPr="002041B0" w:rsidRDefault="002041B0" w:rsidP="002041B0">
            <w:pPr>
              <w:spacing w:after="0" w:line="240" w:lineRule="auto"/>
              <w:rPr>
                <w14:ligatures w14:val="none"/>
              </w:rPr>
            </w:pPr>
            <w:r>
              <w:rPr>
                <w14:ligatures w14:val="none"/>
              </w:rPr>
              <w:t>Purposive sampling to select information-rich cases that illuminate the phenomenon. Criterion sampling, maximum variation sampling, or snowball sampling. Small sample sizes (often 10-30 participants) prioritising depth over breadth. Sampling continues until data saturation, when no new themes are identified. Focus on transferability rather than generalisability.</w:t>
            </w:r>
          </w:p>
          <w:p w14:paraId="63BABB96" w14:textId="77777777" w:rsidR="002041B0" w:rsidRPr="002041B0" w:rsidRDefault="002041B0" w:rsidP="002041B0">
            <w:pPr>
              <w:spacing w:after="0" w:line="240" w:lineRule="auto"/>
              <w:rPr>
                <w14:ligatures w14:val="none"/>
              </w:rPr>
            </w:pPr>
          </w:p>
          <w:p w14:paraId="63BABB96" w14:textId="77777777" w:rsidR="002041B0" w:rsidRPr="002041B0" w:rsidRDefault="002041B0" w:rsidP="002041B0">
            <w:pPr>
              <w:spacing w:after="0" w:line="240" w:lineRule="auto"/>
              <w:rPr>
                <w14:ligatures w14:val="none"/>
              </w:rPr>
            </w:pPr>
            <w:r>
              <w:rPr>
                <w:b/>
                <w14:ligatures w14:val="none"/>
              </w:rPr>
              <w:t>IPA:</w:t>
            </w:r>
            <w:r>
              <w:rPr>
                <w14:ligatures w14:val="none"/>
              </w:rPr>
              <w:t xml:space="preserve"> IPA does not use data saturation or maximum variation. Samples are small, purposive and deliberately homogeneous (participants who share the experience in question and for whom it is significant), so that variation within the group can be examined closely. Smith, Flowers and Larkin suggest roughly 4-10 interviews at professional doctorate level. Sample size is justified by depth of engagement with each case, not by saturation.</w:t>
            </w:r>
          </w:p>
        </w:tc>
      </w:tr>
      <w:tr>
        <w:tc>
          <w:tcPr>
            <w:tcW w:type="dxa" w:w="2438"/>
            <w:shd w:val="clear" w:color="auto" w:fill="EEF8E6"/>
            <w:tcMar>
              <w:top w:w="60" w:type="dxa"/>
              <w:bottom w:w="60" w:type="dxa"/>
              <w:left w:w="100" w:type="dxa"/>
              <w:right w:w="100" w:type="dxa"/>
            </w:tcMar>
            <w:vAlign w:val="top"/>
          </w:tcPr>
          <w:p w14:paraId="4A3C3EE4" w14:textId="77777777" w:rsidR="002041B0" w:rsidRPr="002041B0" w:rsidRDefault="002041B0" w:rsidP="002041B0">
            <w:pPr>
              <w:spacing w:after="0" w:line="240" w:lineRule="auto"/>
              <w:rPr>
                <w:b/>
                <w:bCs/>
                <w14:ligatures w14:val="none"/>
              </w:rPr>
            </w:pPr>
            <w:r>
              <w:rPr>
                <w:b/>
                <w:bCs/>
                <w14:ligatures w14:val="none"/>
              </w:rPr>
              <w:t>Recruitment</w:t>
            </w:r>
          </w:p>
        </w:tc>
        <w:tc>
          <w:tcPr>
            <w:tcW w:type="dxa" w:w="7200"/>
            <w:tcMar>
              <w:top w:w="60" w:type="dxa"/>
              <w:bottom w:w="60" w:type="dxa"/>
              <w:left w:w="100" w:type="dxa"/>
              <w:right w:w="100" w:type="dxa"/>
            </w:tcMar>
            <w:vAlign w:val="top"/>
          </w:tcPr>
          <w:p w14:paraId="5463AC22" w14:textId="77777777" w:rsidR="002041B0" w:rsidRPr="002041B0" w:rsidRDefault="002041B0" w:rsidP="002041B0">
            <w:pPr>
              <w:spacing w:after="0" w:line="240" w:lineRule="auto"/>
              <w:rPr>
                <w14:ligatures w14:val="none"/>
              </w:rPr>
            </w:pPr>
            <w:r>
              <w:rPr>
                <w14:ligatures w14:val="none"/>
              </w:rPr>
              <w:t>Recruitment builds relationships and trust, often through gatekeepers, community networks, or snowball referrals. Researcher explains study purpose and builds rapport before formal recruitment. Recruitment materials emphasise participant voice and sharing experiences. Allows time for participants to consider involvement. Recruitment is iterative, may recruit additional participants as understanding develops.</w:t>
            </w:r>
          </w:p>
        </w:tc>
      </w:tr>
      <w:tr>
        <w:tc>
          <w:tcPr>
            <w:tcW w:type="dxa" w:w="2438"/>
            <w:shd w:val="clear" w:color="auto" w:fill="EEF8E6"/>
            <w:tcMar>
              <w:top w:w="60" w:type="dxa"/>
              <w:bottom w:w="60" w:type="dxa"/>
              <w:left w:w="100" w:type="dxa"/>
              <w:right w:w="100" w:type="dxa"/>
            </w:tcMar>
            <w:vAlign w:val="top"/>
          </w:tcPr>
          <w:p w14:paraId="7DA6449D" w14:textId="77777777" w:rsidR="002041B0" w:rsidRPr="002041B0" w:rsidRDefault="002041B0" w:rsidP="002041B0">
            <w:pPr>
              <w:spacing w:after="0" w:line="240" w:lineRule="auto"/>
              <w:rPr>
                <w:b/>
                <w:bCs/>
                <w14:ligatures w14:val="none"/>
              </w:rPr>
            </w:pPr>
            <w:r>
              <w:rPr>
                <w:b/>
                <w:bCs/>
                <w14:ligatures w14:val="none"/>
              </w:rPr>
              <w:lastRenderedPageBreak/>
              <w:t>Pilot Study</w:t>
            </w:r>
          </w:p>
        </w:tc>
        <w:tc>
          <w:tcPr>
            <w:tcW w:type="dxa" w:w="7200"/>
            <w:tcMar>
              <w:top w:w="60" w:type="dxa"/>
              <w:bottom w:w="60" w:type="dxa"/>
              <w:left w:w="100" w:type="dxa"/>
              <w:right w:w="100" w:type="dxa"/>
            </w:tcMar>
            <w:vAlign w:val="top"/>
          </w:tcPr>
          <w:p w14:paraId="20AF538D" w14:textId="77777777" w:rsidR="002041B0" w:rsidRPr="002041B0" w:rsidRDefault="002041B0" w:rsidP="002041B0">
            <w:pPr>
              <w:spacing w:after="0" w:line="240" w:lineRule="auto"/>
              <w:rPr>
                <w14:ligatures w14:val="none"/>
              </w:rPr>
            </w:pPr>
            <w:r>
              <w:rPr>
                <w14:ligatures w14:val="none"/>
              </w:rPr>
              <w:t>Pilot interviews or observations test interview guide and researcher's interviewing skills. Focus on whether questions elicit rich, meaningful responses and whether researcher can build rapport effectively. Pilot helps researcher reflexively examine own assumptions, biases and interviewing approach, critical for researcher-as-instrument. Interview guide refined based on pilot, questions may be reordered, added, removed, or reworded to improve depth of responses. Timing and pacing adjusted. Pilot participants may be included in main study if ethically appropriate, as interpretive research is iterative and emergent rather than fixed.</w:t>
            </w:r>
          </w:p>
        </w:tc>
      </w:tr>
      <w:tr>
        <w:tc>
          <w:tcPr>
            <w:tcW w:type="dxa" w:w="2438"/>
            <w:shd w:val="clear" w:color="auto" w:fill="EEF8E6"/>
            <w:tcMar>
              <w:top w:w="60" w:type="dxa"/>
              <w:bottom w:w="60" w:type="dxa"/>
              <w:left w:w="100" w:type="dxa"/>
              <w:right w:w="100" w:type="dxa"/>
            </w:tcMar>
            <w:vAlign w:val="top"/>
          </w:tcPr>
          <w:p w14:paraId="4378CDD6" w14:textId="77777777" w:rsidR="002041B0" w:rsidRPr="002041B0" w:rsidRDefault="002041B0" w:rsidP="002041B0">
            <w:pPr>
              <w:spacing w:after="0" w:line="240" w:lineRule="auto"/>
              <w:rPr>
                <w:b/>
                <w:bCs/>
                <w14:ligatures w14:val="none"/>
              </w:rPr>
            </w:pPr>
            <w:r>
              <w:rPr>
                <w:b/>
                <w:bCs/>
                <w14:ligatures w14:val="none"/>
              </w:rPr>
              <w:t>Data Collection</w:t>
            </w:r>
          </w:p>
        </w:tc>
        <w:tc>
          <w:tcPr>
            <w:tcW w:type="dxa" w:w="7200"/>
            <w:tcMar>
              <w:top w:w="60" w:type="dxa"/>
              <w:bottom w:w="60" w:type="dxa"/>
              <w:left w:w="100" w:type="dxa"/>
              <w:right w:w="100" w:type="dxa"/>
            </w:tcMar>
            <w:vAlign w:val="top"/>
          </w:tcPr>
          <w:p w14:paraId="1C402C24" w14:textId="77777777" w:rsidR="002041B0" w:rsidRPr="002041B0" w:rsidRDefault="002041B0" w:rsidP="002041B0">
            <w:pPr>
              <w:spacing w:after="0" w:line="240" w:lineRule="auto"/>
              <w:rPr>
                <w14:ligatures w14:val="none"/>
              </w:rPr>
            </w:pPr>
            <w:r>
              <w:rPr>
                <w14:ligatures w14:val="none"/>
              </w:rPr>
              <w:t>Flexible semi-structured; audio-recorded; detailed field notes</w:t>
            </w:r>
          </w:p>
        </w:tc>
      </w:tr>
      <w:tr>
        <w:tc>
          <w:tcPr>
            <w:tcW w:type="dxa" w:w="2438"/>
            <w:shd w:val="clear" w:color="auto" w:fill="EEF8E6"/>
            <w:tcMar>
              <w:top w:w="60" w:type="dxa"/>
              <w:bottom w:w="60" w:type="dxa"/>
              <w:left w:w="100" w:type="dxa"/>
              <w:right w:w="100" w:type="dxa"/>
            </w:tcMar>
            <w:vAlign w:val="top"/>
          </w:tcPr>
          <w:p w14:paraId="0F3BEA14" w14:textId="77777777" w:rsidR="002041B0" w:rsidRPr="002041B0" w:rsidRDefault="002041B0" w:rsidP="002041B0">
            <w:pPr>
              <w:spacing w:after="0" w:line="240" w:lineRule="auto"/>
              <w:rPr>
                <w:b/>
                <w:bCs/>
                <w14:ligatures w14:val="none"/>
              </w:rPr>
            </w:pPr>
            <w:r>
              <w:rPr>
                <w:b/>
                <w:bCs/>
                <w14:ligatures w14:val="none"/>
              </w:rPr>
              <w:t>Unit of Analysis</w:t>
            </w:r>
          </w:p>
        </w:tc>
        <w:tc>
          <w:tcPr>
            <w:tcW w:type="dxa" w:w="7200"/>
            <w:tcMar>
              <w:top w:w="60" w:type="dxa"/>
              <w:bottom w:w="60" w:type="dxa"/>
              <w:left w:w="100" w:type="dxa"/>
              <w:right w:w="100" w:type="dxa"/>
            </w:tcMar>
            <w:vAlign w:val="top"/>
          </w:tcPr>
          <w:p w14:paraId="42A26BC2" w14:textId="77777777" w:rsidR="002041B0" w:rsidRPr="002041B0" w:rsidRDefault="002041B0" w:rsidP="002041B0">
            <w:pPr>
              <w:spacing w:after="0" w:line="240" w:lineRule="auto"/>
              <w:rPr>
                <w14:ligatures w14:val="none"/>
              </w:rPr>
            </w:pPr>
            <w:r>
              <w:rPr>
                <w14:ligatures w14:val="none"/>
              </w:rPr>
              <w:t>Individual meaning and subjective experience</w:t>
            </w:r>
          </w:p>
        </w:tc>
      </w:tr>
      <w:tr>
        <w:tc>
          <w:tcPr>
            <w:tcW w:type="dxa" w:w="2438"/>
            <w:shd w:val="clear" w:color="auto" w:fill="EEF8E6"/>
            <w:tcMar>
              <w:top w:w="60" w:type="dxa"/>
              <w:bottom w:w="60" w:type="dxa"/>
              <w:left w:w="100" w:type="dxa"/>
              <w:right w:w="100" w:type="dxa"/>
            </w:tcMar>
            <w:vAlign w:val="top"/>
          </w:tcPr>
          <w:p w14:paraId="689899AB" w14:textId="77777777" w:rsidR="002041B0" w:rsidRPr="002041B0" w:rsidRDefault="002041B0" w:rsidP="002041B0">
            <w:pPr>
              <w:spacing w:after="0" w:line="240" w:lineRule="auto"/>
              <w:rPr>
                <w:b/>
                <w:bCs/>
                <w14:ligatures w14:val="none"/>
              </w:rPr>
            </w:pPr>
            <w:r>
              <w:rPr>
                <w:b/>
                <w:bCs/>
                <w14:ligatures w14:val="none"/>
              </w:rPr>
              <w:t>Data Analysis</w:t>
            </w:r>
          </w:p>
        </w:tc>
        <w:tc>
          <w:tcPr>
            <w:tcW w:type="dxa" w:w="7200"/>
            <w:tcMar>
              <w:top w:w="60" w:type="dxa"/>
              <w:bottom w:w="60" w:type="dxa"/>
              <w:left w:w="100" w:type="dxa"/>
              <w:right w:w="100" w:type="dxa"/>
            </w:tcMar>
            <w:vAlign w:val="top"/>
          </w:tcPr>
          <w:p w14:paraId="69A71879" w14:textId="77777777" w:rsidR="002041B0" w:rsidRPr="002041B0" w:rsidRDefault="002041B0" w:rsidP="002041B0">
            <w:pPr>
              <w:spacing w:after="0" w:line="240" w:lineRule="auto"/>
              <w:rPr>
                <w14:ligatures w14:val="none"/>
              </w:rPr>
            </w:pPr>
            <w:r>
              <w:rPr>
                <w14:ligatures w14:val="none"/>
              </w:rPr>
              <w:t>Iterative, inductive coding and thematic analysis. Begins with open coding, reading transcripts line-by-line to identify concepts. Groups codes into categories, then organises categories into themes. Constant comparison across cases to refine themes. Researcher immerses in data, writing memos throughout. Software like NVivo aids organisation but researcher does interpretive work. Analysis is interpretive craft, shaped by researcher's insights and theoretical sensitivity.</w:t>
            </w:r>
          </w:p>
          <w:p w14:paraId="69A71879" w14:textId="77777777" w:rsidR="002041B0" w:rsidRPr="002041B0" w:rsidRDefault="002041B0" w:rsidP="002041B0">
            <w:pPr>
              <w:spacing w:after="0" w:line="240" w:lineRule="auto"/>
              <w:rPr>
                <w14:ligatures w14:val="none"/>
              </w:rPr>
            </w:pPr>
          </w:p>
          <w:p w14:paraId="69A71879" w14:textId="77777777" w:rsidR="002041B0" w:rsidRPr="002041B0" w:rsidRDefault="002041B0" w:rsidP="002041B0">
            <w:pPr>
              <w:spacing w:after="0" w:line="240" w:lineRule="auto"/>
              <w:rPr>
                <w14:ligatures w14:val="none"/>
              </w:rPr>
            </w:pPr>
            <w:r>
              <w:rPr>
                <w:b/>
                <w14:ligatures w14:val="none"/>
              </w:rPr>
              <w:t>IPA:</w:t>
            </w:r>
            <w:r>
              <w:rPr>
                <w14:ligatures w14:val="none"/>
              </w:rPr>
              <w:t xml:space="preserve"> IPA does not use open coding or constant comparison (these belong to grounded theory). Analysis is idiographic: each case is analysed fully before moving to the next. Steps (Smith, Flowers and Larkin, 2022): (1) reading and re-reading; (2) exploratory notes (descriptive, linguistic, conceptual); (3) constructing experiential statements; (4) searching for connections across experiential statements; (5) naming and consolidating Personal Experiential Themes (PETs) for that case; (6) repeating for each case; (7) developing Group Experiential Themes (GETs) across cases, showing both shared patterns and individual variation. Analysis moves around the hermeneutic circle, between the part and the whole.</w:t>
            </w:r>
          </w:p>
          <w:p w14:paraId="69A71879" w14:textId="77777777" w:rsidR="002041B0" w:rsidRPr="002041B0" w:rsidRDefault="002041B0" w:rsidP="002041B0">
            <w:pPr>
              <w:spacing w:after="0" w:line="240" w:lineRule="auto"/>
              <w:rPr>
                <w14:ligatures w14:val="none"/>
              </w:rPr>
            </w:pPr>
          </w:p>
          <w:p w14:paraId="69A71879" w14:textId="77777777" w:rsidR="002041B0" w:rsidRPr="002041B0" w:rsidRDefault="002041B0" w:rsidP="002041B0">
            <w:pPr>
              <w:spacing w:after="0" w:line="240" w:lineRule="auto"/>
              <w:rPr>
                <w14:ligatures w14:val="none"/>
              </w:rPr>
            </w:pPr>
            <w:r>
              <w:rPr>
                <w:b/>
                <w14:ligatures w14:val="none"/>
              </w:rPr>
              <w:t>TERMINOLOGY HAS CHANGED – check which edition your sources use:</w:t>
            </w:r>
          </w:p>
          <w:p w14:paraId="69A71879" w14:textId="77777777" w:rsidR="002041B0" w:rsidRPr="002041B0" w:rsidRDefault="002041B0" w:rsidP="002041B0">
            <w:pPr>
              <w:spacing w:after="0" w:line="240" w:lineRule="auto"/>
              <w:rPr>
                <w14:ligatures w14:val="none"/>
              </w:rPr>
            </w:pPr>
          </w:p>
          <w:p w14:paraId="69A71879" w14:textId="77777777" w:rsidR="002041B0" w:rsidRPr="002041B0" w:rsidRDefault="002041B0" w:rsidP="002041B0">
            <w:pPr>
              <w:spacing w:after="0" w:line="240" w:lineRule="auto"/>
              <w:rPr>
                <w14:ligatures w14:val="none"/>
              </w:rPr>
            </w:pPr>
            <w:r>
              <w:rPr>
                <w:b/>
                <w14:ligatures w14:val="none"/>
              </w:rPr>
              <w:t>Thematic Analysis → Reflexive Thematic Analysis (Braun and Clarke)</w:t>
            </w:r>
          </w:p>
          <w:p w14:paraId="69A71879" w14:textId="77777777" w:rsidR="002041B0" w:rsidRPr="002041B0" w:rsidRDefault="002041B0" w:rsidP="002041B0">
            <w:pPr>
              <w:spacing w:after="0" w:line="240" w:lineRule="auto"/>
              <w:rPr>
                <w14:ligatures w14:val="none"/>
              </w:rPr>
            </w:pPr>
            <w:r>
              <w:rPr>
                <w14:ligatures w14:val="none"/>
              </w:rPr>
              <w:t>Braun and Clarke's original 2006 paper used the term 'thematic analysis'. From 2019 they renamed their approach 'reflexive thematic analysis' (reflexive TA) to distinguish it from coding-reliability and codebook versions of TA, and to emphasise that themes are actively generated by the researcher, not found in the data. Their six phases were also renamed:</w:t>
            </w:r>
          </w:p>
          <w:p w14:paraId="69A71879" w14:textId="77777777" w:rsidR="002041B0" w:rsidRPr="002041B0" w:rsidRDefault="002041B0" w:rsidP="002041B0">
            <w:pPr>
              <w:spacing w:after="0" w:line="240" w:lineRule="auto"/>
              <w:rPr>
                <w14:ligatures w14:val="none"/>
              </w:rPr>
            </w:pPr>
            <w:r>
              <w:rPr>
                <w14:ligatures w14:val="none"/>
              </w:rPr>
              <w:t>• Searching for themes → Generating initial themes</w:t>
            </w:r>
          </w:p>
          <w:p w14:paraId="69A71879" w14:textId="77777777" w:rsidR="002041B0" w:rsidRPr="002041B0" w:rsidRDefault="002041B0" w:rsidP="002041B0">
            <w:pPr>
              <w:spacing w:after="0" w:line="240" w:lineRule="auto"/>
              <w:rPr>
                <w14:ligatures w14:val="none"/>
              </w:rPr>
            </w:pPr>
            <w:r>
              <w:rPr>
                <w14:ligatures w14:val="none"/>
              </w:rPr>
              <w:t>• Reviewing themes → Developing and reviewing themes</w:t>
            </w:r>
          </w:p>
          <w:p w14:paraId="69A71879" w14:textId="77777777" w:rsidR="002041B0" w:rsidRPr="002041B0" w:rsidRDefault="002041B0" w:rsidP="002041B0">
            <w:pPr>
              <w:spacing w:after="0" w:line="240" w:lineRule="auto"/>
              <w:rPr>
                <w14:ligatures w14:val="none"/>
              </w:rPr>
            </w:pPr>
            <w:r>
              <w:rPr>
                <w14:ligatures w14:val="none"/>
              </w:rPr>
              <w:t>• Defining and naming themes → Refining, defining and naming themes</w:t>
            </w:r>
          </w:p>
          <w:p w14:paraId="69A71879" w14:textId="77777777" w:rsidR="002041B0" w:rsidRPr="002041B0" w:rsidRDefault="002041B0" w:rsidP="002041B0">
            <w:pPr>
              <w:spacing w:after="0" w:line="240" w:lineRule="auto"/>
              <w:rPr>
                <w14:ligatures w14:val="none"/>
              </w:rPr>
            </w:pPr>
            <w:r>
              <w:rPr>
                <w14:ligatures w14:val="none"/>
              </w:rPr>
              <w:t>• Producing the report → Writing up</w:t>
            </w:r>
          </w:p>
          <w:p w14:paraId="69A71879" w14:textId="77777777" w:rsidR="002041B0" w:rsidRPr="002041B0" w:rsidRDefault="002041B0" w:rsidP="002041B0">
            <w:pPr>
              <w:spacing w:after="0" w:line="240" w:lineRule="auto"/>
              <w:rPr>
                <w14:ligatures w14:val="none"/>
              </w:rPr>
            </w:pPr>
            <w:r>
              <w:rPr>
                <w14:ligatures w14:val="none"/>
              </w:rPr>
              <w:t>Students should say 'reflexive thematic analysis' and cite the current sources, not only the 2006 paper.</w:t>
            </w:r>
          </w:p>
          <w:p w14:paraId="69A71879" w14:textId="77777777" w:rsidR="002041B0" w:rsidRPr="002041B0" w:rsidRDefault="002041B0" w:rsidP="002041B0">
            <w:pPr>
              <w:spacing w:after="0" w:line="240" w:lineRule="auto"/>
              <w:rPr>
                <w14:ligatures w14:val="none"/>
              </w:rPr>
            </w:pPr>
          </w:p>
          <w:p w14:paraId="69A71879" w14:textId="77777777" w:rsidR="002041B0" w:rsidRPr="002041B0" w:rsidRDefault="002041B0" w:rsidP="002041B0">
            <w:pPr>
              <w:spacing w:after="0" w:line="240" w:lineRule="auto"/>
              <w:rPr>
                <w14:ligatures w14:val="none"/>
              </w:rPr>
            </w:pPr>
            <w:r>
              <w:rPr>
                <w:b/>
                <w14:ligatures w14:val="none"/>
              </w:rPr>
              <w:t>IPA (Smith, Flowers and Larkin, 2009 → 2nd ed. 2022)</w:t>
            </w:r>
          </w:p>
          <w:p w14:paraId="69A71879" w14:textId="77777777" w:rsidR="002041B0" w:rsidRPr="002041B0" w:rsidRDefault="002041B0" w:rsidP="002041B0">
            <w:pPr>
              <w:spacing w:after="0" w:line="240" w:lineRule="auto"/>
              <w:rPr>
                <w14:ligatures w14:val="none"/>
              </w:rPr>
            </w:pPr>
            <w:r>
              <w:rPr>
                <w14:ligatures w14:val="none"/>
              </w:rPr>
              <w:t>• Emergent themes → Experiential statements</w:t>
            </w:r>
          </w:p>
          <w:p w14:paraId="69A71879" w14:textId="77777777" w:rsidR="002041B0" w:rsidRPr="002041B0" w:rsidRDefault="002041B0" w:rsidP="002041B0">
            <w:pPr>
              <w:spacing w:after="0" w:line="240" w:lineRule="auto"/>
              <w:rPr>
                <w14:ligatures w14:val="none"/>
              </w:rPr>
            </w:pPr>
            <w:r>
              <w:rPr>
                <w14:ligatures w14:val="none"/>
              </w:rPr>
              <w:t>• Superordinate themes (for each case) → Personal Experiential Themes (PETs)</w:t>
            </w:r>
          </w:p>
          <w:p w14:paraId="69A71879" w14:textId="77777777" w:rsidR="002041B0" w:rsidRPr="002041B0" w:rsidRDefault="002041B0" w:rsidP="002041B0">
            <w:pPr>
              <w:spacing w:after="0" w:line="240" w:lineRule="auto"/>
              <w:rPr>
                <w14:ligatures w14:val="none"/>
              </w:rPr>
            </w:pPr>
            <w:r>
              <w:rPr>
                <w14:ligatures w14:val="none"/>
              </w:rPr>
              <w:t>• Superordinate / master themes (across cases) → Group Experiential Themes (GETs)</w:t>
            </w:r>
          </w:p>
          <w:p w14:paraId="69A71879" w14:textId="77777777" w:rsidR="002041B0" w:rsidRPr="002041B0" w:rsidRDefault="002041B0" w:rsidP="002041B0">
            <w:pPr>
              <w:spacing w:after="0" w:line="240" w:lineRule="auto"/>
              <w:rPr>
                <w14:ligatures w14:val="none"/>
              </w:rPr>
            </w:pPr>
            <w:r>
              <w:rPr>
                <w14:ligatures w14:val="none"/>
              </w:rPr>
              <w:t>Students using the 2009 edition should either use the updated terms or explain which edition they are following.</w:t>
            </w:r>
          </w:p>
          <w:p w14:paraId="69A71879" w14:textId="77777777" w:rsidR="002041B0" w:rsidRPr="002041B0" w:rsidRDefault="002041B0" w:rsidP="002041B0">
            <w:pPr>
              <w:spacing w:after="0" w:line="240" w:lineRule="auto"/>
              <w:rPr>
                <w14:ligatures w14:val="none"/>
              </w:rPr>
            </w:pPr>
          </w:p>
          <w:p w14:paraId="69A71879" w14:textId="77777777" w:rsidR="002041B0" w:rsidRPr="002041B0" w:rsidRDefault="002041B0" w:rsidP="002041B0">
            <w:pPr>
              <w:spacing w:after="0" w:line="240" w:lineRule="auto"/>
              <w:rPr>
                <w14:ligatures w14:val="none"/>
              </w:rPr>
            </w:pPr>
            <w:r>
              <w:rPr>
                <w:b/>
                <w14:ligatures w14:val="none"/>
              </w:rPr>
              <w:t>Key sources:</w:t>
            </w:r>
            <w:r>
              <w:rPr>
                <w14:ligatures w14:val="none"/>
              </w:rPr>
              <w:t xml:space="preserve"> Braun, V. and Clarke, V. (2006) Using thematic analysis in psychology. Qualitative Research in Psychology; Braun, V. and Clarke, V. (2019) Reflecting on reflexive thematic analysis. Qualitative Research in Sport, Exercise and Health; Braun, V. and Clarke, V. (2022) Thematic Analysis: A Practical Guide. Sage; Smith, J.A., Flowers, P. and Larkin, M. (2022) Interpretative Phenomenological Analysis: Theory, Method and Research. 2nd edn. Sage.</w:t>
            </w:r>
          </w:p>
        </w:tc>
      </w:tr>
      <w:tr>
        <w:tc>
          <w:tcPr>
            <w:tcW w:type="dxa" w:w="2438"/>
            <w:shd w:val="clear" w:color="auto" w:fill="EEF8E6"/>
            <w:tcMar>
              <w:top w:w="60" w:type="dxa"/>
              <w:bottom w:w="60" w:type="dxa"/>
              <w:left w:w="100" w:type="dxa"/>
              <w:right w:w="100" w:type="dxa"/>
            </w:tcMar>
            <w:vAlign w:val="top"/>
          </w:tcPr>
          <w:p w14:paraId="52EAD84F" w14:textId="77777777" w:rsidR="002041B0" w:rsidRPr="002041B0" w:rsidRDefault="002041B0" w:rsidP="002041B0">
            <w:pPr>
              <w:spacing w:after="0" w:line="240" w:lineRule="auto"/>
              <w:rPr>
                <w:b/>
                <w:bCs/>
                <w14:ligatures w14:val="none"/>
              </w:rPr>
            </w:pPr>
            <w:r>
              <w:rPr>
                <w:b/>
                <w:bCs/>
                <w14:ligatures w14:val="none"/>
              </w:rPr>
              <w:t>Reasoning Approach</w:t>
            </w:r>
          </w:p>
          <w:p w14:paraId="52EAD84F" w14:textId="77777777" w:rsidR="002041B0" w:rsidRPr="002041B0" w:rsidRDefault="002041B0" w:rsidP="002041B0">
            <w:pPr>
              <w:spacing w:after="0" w:line="240" w:lineRule="auto"/>
              <w:rPr>
                <w:b/>
                <w:bCs/>
                <w14:ligatures w14:val="none"/>
              </w:rPr>
            </w:pPr>
          </w:p>
          <w:p w14:paraId="52EAD84F" w14:textId="77777777" w:rsidR="002041B0" w:rsidRPr="002041B0" w:rsidRDefault="002041B0" w:rsidP="002041B0">
            <w:pPr>
              <w:spacing w:after="0" w:line="240" w:lineRule="auto"/>
              <w:rPr>
                <w:b/>
                <w:bCs/>
                <w14:ligatures w14:val="none"/>
              </w:rPr>
            </w:pPr>
            <w:r>
              <w:rPr>
                <w:b/>
                <w:bCs/>
                <w14:ligatures w14:val="none"/>
              </w:rPr>
              <w:t>Deductive:</w:t>
            </w:r>
            <w:r>
              <w:rPr>
                <w:b/>
                <w:bCs/>
                <w14:ligatures w14:val="none"/>
              </w:rPr>
              <w:t xml:space="preserve"> theory → data. Start with a theory or hypothesis and test it against data.</w:t>
            </w:r>
          </w:p>
          <w:p w14:paraId="52EAD84F" w14:textId="77777777" w:rsidR="002041B0" w:rsidRPr="002041B0" w:rsidRDefault="002041B0" w:rsidP="002041B0">
            <w:pPr>
              <w:spacing w:after="0" w:line="240" w:lineRule="auto"/>
              <w:rPr>
                <w:b/>
                <w:bCs/>
                <w14:ligatures w14:val="none"/>
              </w:rPr>
            </w:pPr>
          </w:p>
          <w:p w14:paraId="52EAD84F" w14:textId="77777777" w:rsidR="002041B0" w:rsidRPr="002041B0" w:rsidRDefault="002041B0" w:rsidP="002041B0">
            <w:pPr>
              <w:spacing w:after="0" w:line="240" w:lineRule="auto"/>
              <w:rPr>
                <w:b/>
                <w:bCs/>
                <w14:ligatures w14:val="none"/>
              </w:rPr>
            </w:pPr>
            <w:r>
              <w:rPr>
                <w:b/>
                <w:bCs/>
                <w14:ligatures w14:val="none"/>
              </w:rPr>
              <w:t>Inductive:</w:t>
            </w:r>
            <w:r>
              <w:rPr>
                <w:b/>
                <w:bCs/>
                <w14:ligatures w14:val="none"/>
              </w:rPr>
              <w:t xml:space="preserve"> data → theory. Start with data and build patterns and concepts from it.</w:t>
            </w:r>
          </w:p>
          <w:p w14:paraId="52EAD84F" w14:textId="77777777" w:rsidR="002041B0" w:rsidRPr="002041B0" w:rsidRDefault="002041B0" w:rsidP="002041B0">
            <w:pPr>
              <w:spacing w:after="0" w:line="240" w:lineRule="auto"/>
              <w:rPr>
                <w:b/>
                <w:bCs/>
                <w14:ligatures w14:val="none"/>
              </w:rPr>
            </w:pPr>
          </w:p>
          <w:p w14:paraId="52EAD84F" w14:textId="77777777" w:rsidR="002041B0" w:rsidRPr="002041B0" w:rsidRDefault="002041B0" w:rsidP="002041B0">
            <w:pPr>
              <w:spacing w:after="0" w:line="240" w:lineRule="auto"/>
              <w:rPr>
                <w:b/>
                <w:bCs/>
                <w14:ligatures w14:val="none"/>
              </w:rPr>
            </w:pPr>
            <w:r>
              <w:rPr>
                <w:b/>
                <w:bCs/>
                <w14:ligatures w14:val="none"/>
              </w:rPr>
              <w:t>Abductive:</w:t>
            </w:r>
            <w:r>
              <w:rPr>
                <w:b/>
                <w:bCs/>
                <w14:ligatures w14:val="none"/>
              </w:rPr>
              <w:t xml:space="preserve"> theory ⇄ data, back and forth. Start with something surprising or puzzling in the data, then move repeatedly between data and theory to find the best explanation for it. Theory and data are revisited and refined in cycles. (Term coined by Charles Sanders Peirce, a founder of pragmatism.)</w:t>
            </w:r>
          </w:p>
          <w:p w14:paraId="52EAD84F" w14:textId="77777777" w:rsidR="002041B0" w:rsidRPr="002041B0" w:rsidRDefault="002041B0" w:rsidP="002041B0">
            <w:pPr>
              <w:spacing w:after="0" w:line="240" w:lineRule="auto"/>
              <w:rPr>
                <w:b/>
                <w:bCs/>
                <w14:ligatures w14:val="none"/>
              </w:rPr>
            </w:pPr>
          </w:p>
          <w:p w14:paraId="52EAD84F" w14:textId="77777777" w:rsidR="002041B0" w:rsidRPr="002041B0" w:rsidRDefault="002041B0" w:rsidP="002041B0">
            <w:pPr>
              <w:spacing w:after="0" w:line="240" w:lineRule="auto"/>
              <w:rPr>
                <w:b/>
                <w:bCs/>
                <w14:ligatures w14:val="none"/>
              </w:rPr>
            </w:pPr>
            <w:r>
              <w:rPr>
                <w:b/>
                <w:bCs/>
                <w14:ligatures w14:val="none"/>
              </w:rPr>
              <w:t>Note: in practice, most qualitative doctoral studies are abductive to some degree, even when they describe themselves as inductive.</w:t>
            </w:r>
          </w:p>
        </w:tc>
        <w:tc>
          <w:tcPr>
            <w:tcW w:type="dxa" w:w="7200"/>
            <w:tcMar>
              <w:top w:w="60" w:type="dxa"/>
              <w:bottom w:w="60" w:type="dxa"/>
              <w:left w:w="100" w:type="dxa"/>
              <w:right w:w="100" w:type="dxa"/>
            </w:tcMar>
            <w:vAlign w:val="top"/>
          </w:tcPr>
          <w:p w14:paraId="05DBFD5D" w14:textId="77777777" w:rsidR="002041B0" w:rsidRPr="002041B0" w:rsidRDefault="002041B0" w:rsidP="002041B0">
            <w:pPr>
              <w:spacing w:after="0" w:line="240" w:lineRule="auto"/>
              <w:rPr>
                <w14:ligatures w14:val="none"/>
              </w:rPr>
            </w:pPr>
            <w:r>
              <w:rPr>
                <w:b/>
                <w14:ligatures w14:val="none"/>
              </w:rPr>
              <w:t>Predominantly inductive:</w:t>
            </w:r>
            <w:r>
              <w:rPr>
                <w14:ligatures w14:val="none"/>
              </w:rPr>
              <w:t xml:space="preserve"> Builds understanding from specific observations and experiences. Patterns and meanings are developed by the researcher through close engagement with participants' accounts, rather than tested against predetermined theories. In practice, interpretive analysis is often abductive: the researcher moves back and forth between the data and their developing interpretation (the hermeneutic circle), and may bring in theory to make sense of unexpected findings.</w:t>
            </w:r>
          </w:p>
          <w:p w14:paraId="05DBFD5D" w14:textId="77777777" w:rsidR="002041B0" w:rsidRPr="002041B0" w:rsidRDefault="002041B0" w:rsidP="002041B0">
            <w:pPr>
              <w:spacing w:after="0" w:line="240" w:lineRule="auto"/>
              <w:rPr>
                <w14:ligatures w14:val="none"/>
              </w:rPr>
            </w:pPr>
          </w:p>
          <w:p w14:paraId="05DBFD5D" w14:textId="77777777" w:rsidR="002041B0" w:rsidRPr="002041B0" w:rsidRDefault="002041B0" w:rsidP="002041B0">
            <w:pPr>
              <w:spacing w:after="0" w:line="240" w:lineRule="auto"/>
              <w:rPr>
                <w14:ligatures w14:val="none"/>
              </w:rPr>
            </w:pPr>
            <w:r>
              <w:rPr>
                <w:b/>
                <w14:ligatures w14:val="none"/>
              </w:rPr>
              <w:t>IPA:</w:t>
            </w:r>
            <w:r>
              <w:rPr>
                <w14:ligatures w14:val="none"/>
              </w:rPr>
              <w:t xml:space="preserve"> Inductive and iterative. Analysis stays close to each participant's account; existing theory is mainly brought in at the discussion stage to make sense of the findings.</w:t>
            </w:r>
          </w:p>
        </w:tc>
      </w:tr>
      <w:tr>
        <w:tc>
          <w:tcPr>
            <w:tcW w:type="dxa" w:w="2438"/>
            <w:shd w:val="clear" w:color="auto" w:fill="EEF8E6"/>
            <w:tcMar>
              <w:top w:w="60" w:type="dxa"/>
              <w:bottom w:w="60" w:type="dxa"/>
              <w:left w:w="100" w:type="dxa"/>
              <w:right w:w="100" w:type="dxa"/>
            </w:tcMar>
            <w:vAlign w:val="top"/>
          </w:tcPr>
          <w:p w14:paraId="20FF3AC8" w14:textId="77777777" w:rsidR="002041B0" w:rsidRPr="002041B0" w:rsidRDefault="002041B0" w:rsidP="002041B0">
            <w:pPr>
              <w:spacing w:after="0" w:line="240" w:lineRule="auto"/>
              <w:rPr>
                <w:b/>
                <w:bCs/>
                <w14:ligatures w14:val="none"/>
              </w:rPr>
            </w:pPr>
            <w:r>
              <w:rPr>
                <w:b/>
                <w:bCs/>
                <w14:ligatures w14:val="none"/>
              </w:rPr>
              <w:t>Causality/Explanation</w:t>
            </w:r>
          </w:p>
        </w:tc>
        <w:tc>
          <w:tcPr>
            <w:tcW w:type="dxa" w:w="7200"/>
            <w:tcMar>
              <w:top w:w="60" w:type="dxa"/>
              <w:bottom w:w="60" w:type="dxa"/>
              <w:left w:w="100" w:type="dxa"/>
              <w:right w:w="100" w:type="dxa"/>
            </w:tcMar>
            <w:vAlign w:val="top"/>
          </w:tcPr>
          <w:p w14:paraId="6384D4D3" w14:textId="77777777" w:rsidR="002041B0" w:rsidRPr="002041B0" w:rsidRDefault="002041B0" w:rsidP="002041B0">
            <w:pPr>
              <w:spacing w:after="0" w:line="240" w:lineRule="auto"/>
              <w:rPr>
                <w14:ligatures w14:val="none"/>
              </w:rPr>
            </w:pPr>
            <w:r>
              <w:rPr>
                <w14:ligatures w14:val="none"/>
              </w:rPr>
              <w:t>Understanding not causation; focus on meanings</w:t>
            </w:r>
          </w:p>
        </w:tc>
      </w:tr>
      <w:tr>
        <w:tc>
          <w:tcPr>
            <w:tcW w:type="dxa" w:w="2438"/>
            <w:shd w:val="clear" w:color="auto" w:fill="EEF8E6"/>
            <w:tcMar>
              <w:top w:w="60" w:type="dxa"/>
              <w:bottom w:w="60" w:type="dxa"/>
              <w:left w:w="100" w:type="dxa"/>
              <w:right w:w="100" w:type="dxa"/>
            </w:tcMar>
            <w:vAlign w:val="top"/>
          </w:tcPr>
          <w:p w14:paraId="6C2038DD" w14:textId="77777777" w:rsidR="002041B0" w:rsidRPr="002041B0" w:rsidRDefault="002041B0" w:rsidP="002041B0">
            <w:pPr>
              <w:spacing w:after="0" w:line="240" w:lineRule="auto"/>
              <w:rPr>
                <w:b/>
                <w:bCs/>
                <w14:ligatures w14:val="none"/>
              </w:rPr>
            </w:pPr>
            <w:r>
              <w:rPr>
                <w:b/>
                <w:bCs/>
                <w14:ligatures w14:val="none"/>
              </w:rPr>
              <w:t>Generalisability/Transferability</w:t>
            </w:r>
          </w:p>
        </w:tc>
        <w:tc>
          <w:tcPr>
            <w:tcW w:type="dxa" w:w="7200"/>
            <w:tcMar>
              <w:top w:w="60" w:type="dxa"/>
              <w:bottom w:w="60" w:type="dxa"/>
              <w:left w:w="100" w:type="dxa"/>
              <w:right w:w="100" w:type="dxa"/>
            </w:tcMar>
            <w:vAlign w:val="top"/>
          </w:tcPr>
          <w:p w14:paraId="4CC18477" w14:textId="77777777" w:rsidR="002041B0" w:rsidRPr="002041B0" w:rsidRDefault="002041B0" w:rsidP="002041B0">
            <w:pPr>
              <w:spacing w:after="0" w:line="240" w:lineRule="auto"/>
              <w:rPr>
                <w14:ligatures w14:val="none"/>
              </w:rPr>
            </w:pPr>
            <w:r>
              <w:rPr>
                <w14:ligatures w14:val="none"/>
              </w:rPr>
              <w:t>Transferability to similar contexts through thick description</w:t>
            </w:r>
          </w:p>
        </w:tc>
      </w:tr>
      <w:tr>
        <w:tc>
          <w:tcPr>
            <w:tcW w:type="dxa" w:w="2438"/>
            <w:shd w:val="clear" w:color="auto" w:fill="EEF8E6"/>
            <w:tcMar>
              <w:top w:w="60" w:type="dxa"/>
              <w:bottom w:w="60" w:type="dxa"/>
              <w:left w:w="100" w:type="dxa"/>
              <w:right w:w="100" w:type="dxa"/>
            </w:tcMar>
            <w:vAlign w:val="top"/>
          </w:tcPr>
          <w:p w14:paraId="3559E4D8" w14:textId="77777777" w:rsidR="002041B0" w:rsidRPr="002041B0" w:rsidRDefault="002041B0" w:rsidP="002041B0">
            <w:pPr>
              <w:spacing w:after="0" w:line="240" w:lineRule="auto"/>
              <w:rPr>
                <w:b/>
                <w:bCs/>
                <w14:ligatures w14:val="none"/>
              </w:rPr>
            </w:pPr>
            <w:r>
              <w:rPr>
                <w:b/>
                <w:bCs/>
                <w14:ligatures w14:val="none"/>
              </w:rPr>
              <w:t>Validity/Trustworthiness Strategies</w:t>
            </w:r>
          </w:p>
        </w:tc>
        <w:tc>
          <w:tcPr>
            <w:tcW w:type="dxa" w:w="7200"/>
            <w:tcMar>
              <w:top w:w="60" w:type="dxa"/>
              <w:bottom w:w="60" w:type="dxa"/>
              <w:left w:w="100" w:type="dxa"/>
              <w:right w:w="100" w:type="dxa"/>
            </w:tcMar>
            <w:vAlign w:val="top"/>
          </w:tcPr>
          <w:p w14:paraId="303A4417" w14:textId="77777777" w:rsidR="002041B0" w:rsidRPr="002041B0" w:rsidRDefault="002041B0" w:rsidP="002041B0">
            <w:pPr>
              <w:spacing w:after="0" w:line="240" w:lineRule="auto"/>
              <w:rPr>
                <w14:ligatures w14:val="none"/>
              </w:rPr>
            </w:pPr>
            <w:r>
              <w:rPr>
                <w14:ligatures w14:val="none"/>
              </w:rPr>
              <w:t>Credibility (member checking, prolonged engagement), dependability (audit trail), confirmability (reflexive journal), transferability (thick description). Lincoln and Guba's trustworthiness criteria</w:t>
            </w:r>
          </w:p>
        </w:tc>
      </w:tr>
      <w:tr>
        <w:tc>
          <w:tcPr>
            <w:tcW w:type="dxa" w:w="2438"/>
            <w:shd w:val="clear" w:color="auto" w:fill="EEF8E6"/>
            <w:tcMar>
              <w:top w:w="60" w:type="dxa"/>
              <w:bottom w:w="60" w:type="dxa"/>
              <w:left w:w="100" w:type="dxa"/>
              <w:right w:w="100" w:type="dxa"/>
            </w:tcMar>
            <w:vAlign w:val="top"/>
          </w:tcPr>
          <w:p w14:paraId="674F6DD9" w14:textId="77777777" w:rsidR="00F77B68" w:rsidRPr="00F77B68" w:rsidRDefault="00F77B68" w:rsidP="00F77B68">
            <w:pPr>
              <w:spacing w:after="0" w:line="240" w:lineRule="auto"/>
              <w:rPr>
                <w:b/>
                <w:bCs/>
                <w14:ligatures w14:val="none"/>
              </w:rPr>
            </w:pPr>
            <w:r>
              <w:rPr>
                <w:b/>
                <w:bCs/>
                <w14:ligatures w14:val="none"/>
              </w:rPr>
              <w:t>Quality Criteria/Rigour Indicators</w:t>
            </w:r>
          </w:p>
        </w:tc>
        <w:tc>
          <w:tcPr>
            <w:tcW w:type="dxa" w:w="7200"/>
            <w:tcMar>
              <w:top w:w="60" w:type="dxa"/>
              <w:bottom w:w="60" w:type="dxa"/>
              <w:left w:w="100" w:type="dxa"/>
              <w:right w:w="100" w:type="dxa"/>
            </w:tcMar>
            <w:vAlign w:val="top"/>
          </w:tcPr>
          <w:p w14:paraId="689E950C" w14:textId="77777777" w:rsidR="00F77B68" w:rsidRPr="00F77B68" w:rsidRDefault="00F77B68" w:rsidP="00F77B68">
            <w:pPr>
              <w:spacing w:after="0" w:line="240" w:lineRule="auto"/>
              <w:rPr>
                <w14:ligatures w14:val="none"/>
              </w:rPr>
            </w:pPr>
            <w:r>
              <w:rPr>
                <w14:ligatures w14:val="none"/>
              </w:rPr>
              <w:t>Trustworthiness criteria (Lincoln &amp; Guba): Credibility (truth value - findings reflect participants' realities), Transferability (applicability - sufficient description for judgement), Dependability (consistency - documented process), Confirmability (neutrality - findings grounded in data not researcher bias). Additional: authenticity, resonance.</w:t>
            </w:r>
          </w:p>
        </w:tc>
      </w:tr>
      <w:tr>
        <w:tc>
          <w:tcPr>
            <w:tcW w:type="dxa" w:w="2438"/>
            <w:shd w:val="clear" w:color="auto" w:fill="EEF8E6"/>
            <w:tcMar>
              <w:top w:w="60" w:type="dxa"/>
              <w:bottom w:w="60" w:type="dxa"/>
              <w:left w:w="100" w:type="dxa"/>
              <w:right w:w="100" w:type="dxa"/>
            </w:tcMar>
            <w:vAlign w:val="top"/>
          </w:tcPr>
          <w:p w14:paraId="1CBEF74E" w14:textId="5D4DA16D" w:rsidR="00576D49" w:rsidRPr="00576D49" w:rsidRDefault="00576D49" w:rsidP="00576D49">
            <w:pPr>
              <w:spacing w:after="0" w:line="240" w:lineRule="auto"/>
              <w:rPr>
                <w:b/>
                <w:bCs/>
                <w14:ligatures w14:val="none"/>
              </w:rPr>
            </w:pPr>
            <w:r>
              <w:rPr>
                <w:b/>
                <w:bCs/>
              </w:rPr>
              <w:t>Researcher Stance/Voice</w:t>
            </w:r>
          </w:p>
        </w:tc>
        <w:tc>
          <w:tcPr>
            <w:tcW w:type="dxa" w:w="7200"/>
            <w:tcMar>
              <w:top w:w="60" w:type="dxa"/>
              <w:bottom w:w="60" w:type="dxa"/>
              <w:left w:w="100" w:type="dxa"/>
              <w:right w:w="100" w:type="dxa"/>
            </w:tcMar>
            <w:vAlign w:val="top"/>
          </w:tcPr>
          <w:p w14:paraId="6D6445FD" w14:textId="67927946" w:rsidR="00576D49" w:rsidRPr="00576D49" w:rsidRDefault="00576D49" w:rsidP="00576D49">
            <w:pPr>
              <w:spacing w:after="0" w:line="240" w:lineRule="auto"/>
              <w:rPr>
                <w14:ligatures w14:val="none"/>
              </w:rPr>
            </w:pPr>
            <w:r>
              <w:rPr/>
              <w:lastRenderedPageBreak/>
              <w:t xml:space="preserve">Empathetic interpreter and meaning-maker: Researcher as instrument of understanding. Close, trusting relationships essential for accessing meanings. First-person voice welcomed. ‘I came to understand...’ ‘Participants revealed...’. Researcher interprets participants' subjective realities. Prolonged engagement to </w:t>
              <w:lastRenderedPageBreak/>
              <w:t>build rapport. Empathetic, warm, respectful stance.</w:t>
            </w:r>
          </w:p>
        </w:tc>
      </w:tr>
      <w:tr>
        <w:tc>
          <w:tcPr>
            <w:tcW w:type="dxa" w:w="2438"/>
            <w:shd w:val="clear" w:color="auto" w:fill="EEF8E6"/>
            <w:tcMar>
              <w:top w:w="60" w:type="dxa"/>
              <w:bottom w:w="60" w:type="dxa"/>
              <w:left w:w="100" w:type="dxa"/>
              <w:right w:w="100" w:type="dxa"/>
            </w:tcMar>
            <w:vAlign w:val="top"/>
          </w:tcPr>
          <w:p w14:paraId="7F0409EE" w14:textId="77777777" w:rsidR="002041B0" w:rsidRPr="002041B0" w:rsidRDefault="002041B0" w:rsidP="002041B0">
            <w:pPr>
              <w:spacing w:after="0" w:line="240" w:lineRule="auto"/>
              <w:rPr>
                <w:b/>
                <w:bCs/>
                <w14:ligatures w14:val="none"/>
              </w:rPr>
            </w:pPr>
            <w:r>
              <w:rPr>
                <w:b/>
                <w:bCs/>
                <w14:ligatures w14:val="none"/>
              </w:rPr>
              <w:lastRenderedPageBreak/>
              <w:t>Role of Participants</w:t>
            </w:r>
          </w:p>
        </w:tc>
        <w:tc>
          <w:tcPr>
            <w:tcW w:type="dxa" w:w="7200"/>
            <w:tcMar>
              <w:top w:w="60" w:type="dxa"/>
              <w:bottom w:w="60" w:type="dxa"/>
              <w:left w:w="100" w:type="dxa"/>
              <w:right w:w="100" w:type="dxa"/>
            </w:tcMar>
            <w:vAlign w:val="top"/>
          </w:tcPr>
          <w:p w14:paraId="1C0DB33D" w14:textId="77777777" w:rsidR="002041B0" w:rsidRPr="002041B0" w:rsidRDefault="002041B0" w:rsidP="002041B0">
            <w:pPr>
              <w:spacing w:after="0" w:line="240" w:lineRule="auto"/>
              <w:rPr>
                <w14:ligatures w14:val="none"/>
              </w:rPr>
            </w:pPr>
            <w:r>
              <w:rPr>
                <w14:ligatures w14:val="none"/>
              </w:rPr>
              <w:t>Informants; share lived experiences and meanings</w:t>
            </w:r>
          </w:p>
        </w:tc>
      </w:tr>
      <w:tr>
        <w:tc>
          <w:tcPr>
            <w:tcW w:type="dxa" w:w="2438"/>
            <w:shd w:val="clear" w:color="auto" w:fill="EEF8E6"/>
            <w:tcMar>
              <w:top w:w="60" w:type="dxa"/>
              <w:bottom w:w="60" w:type="dxa"/>
              <w:left w:w="100" w:type="dxa"/>
              <w:right w:w="100" w:type="dxa"/>
            </w:tcMar>
            <w:vAlign w:val="top"/>
          </w:tcPr>
          <w:p w14:paraId="79F9EE03" w14:textId="77777777" w:rsidR="002041B0" w:rsidRPr="002041B0" w:rsidRDefault="002041B0" w:rsidP="002041B0">
            <w:pPr>
              <w:spacing w:after="0" w:line="240" w:lineRule="auto"/>
              <w:rPr>
                <w:b/>
                <w:bCs/>
                <w14:ligatures w14:val="none"/>
              </w:rPr>
            </w:pPr>
            <w:r>
              <w:rPr>
                <w:b/>
                <w:bCs/>
                <w14:ligatures w14:val="none"/>
              </w:rPr>
              <w:t>Writing Style/Reporting</w:t>
            </w:r>
          </w:p>
        </w:tc>
        <w:tc>
          <w:tcPr>
            <w:tcW w:type="dxa" w:w="7200"/>
            <w:tcMar>
              <w:top w:w="60" w:type="dxa"/>
              <w:bottom w:w="60" w:type="dxa"/>
              <w:left w:w="100" w:type="dxa"/>
              <w:right w:w="100" w:type="dxa"/>
            </w:tcMar>
            <w:vAlign w:val="top"/>
          </w:tcPr>
          <w:p w14:paraId="24493D80" w14:textId="77777777" w:rsidR="002041B0" w:rsidRPr="002041B0" w:rsidRDefault="002041B0" w:rsidP="002041B0">
            <w:pPr>
              <w:spacing w:after="0" w:line="240" w:lineRule="auto"/>
              <w:rPr>
                <w14:ligatures w14:val="none"/>
              </w:rPr>
            </w:pPr>
            <w:r>
              <w:rPr>
                <w14:ligatures w14:val="none"/>
              </w:rPr>
              <w:t>First-person narrative accepted: Rich, detailed descriptions of participants' experiences. Reflexive accounts of researcher's interpretive process. Evocative, thick description. May use narrative or thematic structure</w:t>
            </w:r>
          </w:p>
        </w:tc>
      </w:tr>
      <w:tr>
        <w:tc>
          <w:tcPr>
            <w:tcW w:type="dxa" w:w="2438"/>
            <w:shd w:val="clear" w:color="auto" w:fill="EEF8E6"/>
            <w:tcMar>
              <w:top w:w="60" w:type="dxa"/>
              <w:bottom w:w="60" w:type="dxa"/>
              <w:left w:w="100" w:type="dxa"/>
              <w:right w:w="100" w:type="dxa"/>
            </w:tcMar>
            <w:vAlign w:val="top"/>
          </w:tcPr>
          <w:p w14:paraId="3C55ADFB" w14:textId="77777777" w:rsidR="002041B0" w:rsidRPr="002041B0" w:rsidRDefault="002041B0" w:rsidP="002041B0">
            <w:pPr>
              <w:spacing w:after="0" w:line="240" w:lineRule="auto"/>
              <w:rPr>
                <w:b/>
                <w:bCs/>
                <w14:ligatures w14:val="none"/>
              </w:rPr>
            </w:pPr>
            <w:r>
              <w:rPr>
                <w:b/>
                <w:bCs/>
                <w14:ligatures w14:val="none"/>
              </w:rPr>
              <w:t>Strengths</w:t>
            </w:r>
          </w:p>
        </w:tc>
        <w:tc>
          <w:tcPr>
            <w:tcW w:type="dxa" w:w="7200"/>
            <w:tcMar>
              <w:top w:w="60" w:type="dxa"/>
              <w:bottom w:w="60" w:type="dxa"/>
              <w:left w:w="100" w:type="dxa"/>
              <w:right w:w="100" w:type="dxa"/>
            </w:tcMar>
            <w:vAlign w:val="top"/>
          </w:tcPr>
          <w:p w14:paraId="50702357" w14:textId="77777777" w:rsidR="002041B0" w:rsidRPr="002041B0" w:rsidRDefault="002041B0" w:rsidP="002041B0">
            <w:pPr>
              <w:spacing w:after="0" w:line="240" w:lineRule="auto"/>
              <w:rPr>
                <w14:ligatures w14:val="none"/>
              </w:rPr>
            </w:pPr>
            <w:r>
              <w:rPr>
                <w14:ligatures w14:val="none"/>
              </w:rPr>
              <w:t>• Rich, in-depth understanding of experiences</w:t>
              <w:br/>
              <w:t>• Acknowledges subjective nature of reality</w:t>
              <w:br/>
              <w:t>• Explores complex, context-specific phenomena</w:t>
              <w:br/>
              <w:t>• Emphasises participants' viewpoints</w:t>
              <w:br/>
              <w:t>• Grounded in lived experiences</w:t>
            </w:r>
          </w:p>
        </w:tc>
      </w:tr>
      <w:tr>
        <w:tc>
          <w:tcPr>
            <w:tcW w:type="dxa" w:w="2438"/>
            <w:shd w:val="clear" w:color="auto" w:fill="EEF8E6"/>
            <w:tcMar>
              <w:top w:w="60" w:type="dxa"/>
              <w:bottom w:w="60" w:type="dxa"/>
              <w:left w:w="100" w:type="dxa"/>
              <w:right w:w="100" w:type="dxa"/>
            </w:tcMar>
            <w:vAlign w:val="top"/>
          </w:tcPr>
          <w:p w14:paraId="32062E1D" w14:textId="77777777" w:rsidR="002041B0" w:rsidRPr="002041B0" w:rsidRDefault="002041B0" w:rsidP="002041B0">
            <w:pPr>
              <w:spacing w:after="0" w:line="240" w:lineRule="auto"/>
              <w:rPr>
                <w:b/>
                <w:bCs/>
                <w14:ligatures w14:val="none"/>
              </w:rPr>
            </w:pPr>
            <w:r>
              <w:rPr>
                <w:b/>
                <w:bCs/>
                <w14:ligatures w14:val="none"/>
              </w:rPr>
              <w:t>Weaknesses</w:t>
            </w:r>
          </w:p>
        </w:tc>
        <w:tc>
          <w:tcPr>
            <w:tcW w:type="dxa" w:w="7200"/>
            <w:tcMar>
              <w:top w:w="60" w:type="dxa"/>
              <w:bottom w:w="60" w:type="dxa"/>
              <w:left w:w="100" w:type="dxa"/>
              <w:right w:w="100" w:type="dxa"/>
            </w:tcMar>
            <w:vAlign w:val="top"/>
          </w:tcPr>
          <w:p w14:paraId="68682F5F" w14:textId="77777777" w:rsidR="002041B0" w:rsidRPr="002041B0" w:rsidRDefault="002041B0" w:rsidP="002041B0">
            <w:pPr>
              <w:spacing w:after="0" w:line="240" w:lineRule="auto"/>
              <w:rPr>
                <w14:ligatures w14:val="none"/>
              </w:rPr>
            </w:pPr>
            <w:r>
              <w:rPr>
                <w14:ligatures w14:val="none"/>
              </w:rPr>
              <w:lastRenderedPageBreak/>
              <w:t>• Findings may be context-specific</w:t>
              <w:br/>
              <w:lastRenderedPageBreak/>
              <w:t>• Relies on researcher's interpretive skills</w:t>
              <w:br/>
              <w:t>• May be influenced by biases</w:t>
              <w:br/>
              <w:t>• Subjective nature raises reliability questions</w:t>
              <w:br/>
              <w:t>• Time-intensive</w:t>
            </w:r>
          </w:p>
        </w:tc>
      </w:tr>
      <w:tr>
        <w:tc>
          <w:tcPr>
            <w:tcW w:type="dxa" w:w="2438"/>
            <w:shd w:val="clear" w:color="auto" w:fill="EEF8E6"/>
            <w:tcMar>
              <w:top w:w="60" w:type="dxa"/>
              <w:bottom w:w="60" w:type="dxa"/>
              <w:left w:w="100" w:type="dxa"/>
              <w:right w:w="100" w:type="dxa"/>
            </w:tcMar>
            <w:vAlign w:val="top"/>
          </w:tcPr>
          <w:p w14:paraId="46D9D95E" w14:textId="77777777" w:rsidR="002041B0" w:rsidRPr="002041B0" w:rsidRDefault="002041B0" w:rsidP="002041B0">
            <w:pPr>
              <w:spacing w:after="0" w:line="240" w:lineRule="auto"/>
              <w:rPr>
                <w:b/>
                <w:bCs/>
                <w14:ligatures w14:val="none"/>
              </w:rPr>
            </w:pPr>
            <w:r>
              <w:rPr>
                <w:b/>
                <w:bCs/>
                <w14:ligatures w14:val="none"/>
              </w:rPr>
              <w:lastRenderedPageBreak/>
              <w:t>Ethics</w:t>
            </w:r>
          </w:p>
        </w:tc>
        <w:tc>
          <w:tcPr>
            <w:tcW w:type="dxa" w:w="7200"/>
            <w:tcMar>
              <w:top w:w="60" w:type="dxa"/>
              <w:bottom w:w="60" w:type="dxa"/>
              <w:left w:w="100" w:type="dxa"/>
              <w:right w:w="100" w:type="dxa"/>
            </w:tcMar>
            <w:vAlign w:val="top"/>
          </w:tcPr>
          <w:p w14:paraId="1D91851F" w14:textId="77777777" w:rsidR="002041B0" w:rsidRPr="002041B0" w:rsidRDefault="002041B0" w:rsidP="002041B0">
            <w:pPr>
              <w:spacing w:after="0" w:line="240" w:lineRule="auto"/>
              <w:rPr>
                <w14:ligatures w14:val="none"/>
              </w:rPr>
            </w:pPr>
            <w:r>
              <w:rPr>
                <w14:ligatures w14:val="none"/>
              </w:rPr>
              <w:t>• Building trust and rapport</w:t>
              <w:br/>
              <w:t>• Maintaining confidentiality</w:t>
              <w:br/>
              <w:t>• Ethical representation of diverse viewpoints</w:t>
              <w:br/>
              <w:t>• Managing power dynamics</w:t>
              <w:br/>
              <w:t>• Reflexivity in acknowledging researcher's role</w:t>
            </w:r>
          </w:p>
        </w:tc>
      </w:tr>
      <w:tr>
        <w:tc>
          <w:tcPr>
            <w:tcW w:type="dxa" w:w="2438"/>
            <w:shd w:val="clear" w:color="auto" w:fill="EEF8E6"/>
            <w:tcMar>
              <w:top w:w="60" w:type="dxa"/>
              <w:bottom w:w="60" w:type="dxa"/>
              <w:left w:w="100" w:type="dxa"/>
              <w:right w:w="100" w:type="dxa"/>
            </w:tcMar>
            <w:vAlign w:val="top"/>
          </w:tcPr>
          <w:p w14:paraId="2B99888D" w14:textId="77777777" w:rsidR="002F5607" w:rsidRPr="002041B0" w:rsidRDefault="002F5607" w:rsidP="002041B0">
            <w:pPr>
              <w:spacing w:after="0" w:line="240" w:lineRule="auto"/>
              <w:rPr>
                <w:b/>
                <w:bCs/>
                <w14:ligatures w14:val="none"/>
              </w:rPr>
            </w:pPr>
            <w:r>
              <w:rPr>
                <w:b/>
                <w:bCs/>
                <w14:ligatures w14:val="none"/>
              </w:rPr>
              <w:t>Common ethical considerations across all paradigms</w:t>
            </w:r>
          </w:p>
        </w:tc>
        <w:tc>
          <w:tcPr>
            <w:tcW w:type="dxa" w:w="7200"/>
            <w:tcMar>
              <w:top w:w="60" w:type="dxa"/>
              <w:bottom w:w="60" w:type="dxa"/>
              <w:left w:w="100" w:type="dxa"/>
              <w:right w:w="100" w:type="dxa"/>
            </w:tcMar>
            <w:vAlign w:val="top"/>
          </w:tcPr>
          <w:p w14:paraId="6A59E28B" w14:textId="77777777" w:rsidR="002F5607" w:rsidRPr="00124566" w:rsidRDefault="002F5607" w:rsidP="002041B0">
            <w:pPr>
              <w:spacing w:after="0" w:line="240" w:lineRule="auto"/>
              <w:rPr>
                <w14:ligatures w14:val="none"/>
              </w:rPr>
            </w:pPr>
            <w:r>
              <w:rPr>
                <w14:ligatures w14:val="none"/>
              </w:rPr>
              <w:t>Informed consent: Ensuring participants understand the research and voluntarily agree to participate.</w:t>
              <w:br/>
              <w:t>Confidentiality and anonymity: Protecting participants' identities and personal information.</w:t>
              <w:br/>
              <w:t>Minimising harm: Ensuring the research does not cause physical, emotional, or reputational damage to participants.</w:t>
              <w:br/>
              <w:t>Beneficence: Striving for research that benefits participants and society.</w:t>
              <w:br/>
              <w:t>Justice: Ensuring fair selection of participants and equitable distribution of research benefits and burdens.</w:t>
              <w:br/>
              <w:t>Respect for persons: Treating participants as autonomous agents and protecting those with diminished autonomy.</w:t>
              <w:br/>
              <w:t>Scientific integrity: Maintaining honesty, objectivity and transparency in research processes and reporting.</w:t>
              <w:br/>
              <w:t>Ethical review: Submitting research proposals for review by ethics committees or institutional review boards.</w:t>
              <w:br/>
              <w:t>Cultural sensitivity: Respecting cultural norms and values in research design and implementation.</w:t>
              <w:br/>
              <w:t>Data management: Ensuring secure storage, appropriate sharing and eventual disposal of research data.</w:t>
            </w:r>
          </w:p>
        </w:tc>
      </w:tr>
      <w:tr>
        <w:tc>
          <w:tcPr>
            <w:tcW w:type="dxa" w:w="2438"/>
            <w:shd w:val="clear" w:color="auto" w:fill="EEF8E6"/>
            <w:tcMar>
              <w:top w:w="60" w:type="dxa"/>
              <w:bottom w:w="60" w:type="dxa"/>
              <w:left w:w="100" w:type="dxa"/>
              <w:right w:w="100" w:type="dxa"/>
            </w:tcMar>
            <w:vAlign w:val="top"/>
          </w:tcPr>
          <w:p w14:paraId="52CA9D5A" w14:textId="3244532A" w:rsidR="002041B0" w:rsidRPr="002041B0" w:rsidRDefault="002041B0" w:rsidP="002041B0">
            <w:pPr>
              <w:spacing w:after="0" w:line="240" w:lineRule="auto"/>
              <w:rPr>
                <w:b/>
                <w:bCs/>
                <w14:ligatures w14:val="none"/>
              </w:rPr>
            </w:pPr>
            <w:r>
              <w:rPr>
                <w:b/>
                <w:bCs/>
                <w14:ligatures w14:val="none"/>
              </w:rPr>
              <w:t xml:space="preserve">Implications for practice</w:t>
            </w:r>
          </w:p>
        </w:tc>
        <w:tc>
          <w:tcPr>
            <w:tcW w:type="dxa" w:w="7200"/>
            <w:tcMar>
              <w:top w:w="60" w:type="dxa"/>
              <w:bottom w:w="60" w:type="dxa"/>
              <w:left w:w="100" w:type="dxa"/>
              <w:right w:w="100" w:type="dxa"/>
            </w:tcMar>
            <w:vAlign w:val="top"/>
          </w:tcPr>
          <w:p w14:paraId="4D799188" w14:textId="77777777" w:rsidR="002041B0" w:rsidRPr="002041B0" w:rsidRDefault="002041B0" w:rsidP="002041B0">
            <w:pPr>
              <w:spacing w:after="0" w:line="240" w:lineRule="auto"/>
              <w:rPr>
                <w14:ligatures w14:val="none"/>
              </w:rPr>
            </w:pPr>
            <w:r>
              <w:rPr>
                <w14:ligatures w14:val="none"/>
              </w:rPr>
              <w:lastRenderedPageBreak/>
              <w:t xml:space="preserve">Findings provide rich contextual understanding informing practice in similar settings. Implications emphasise transferability, readers assess applicability to their contexts. Practitioners gain deeper understanding of </w:t>
              <w:lastRenderedPageBreak/>
              <w:t>client experiences, meanings and perspectives that inform responsive, person-centred practice. Results illuminate complexity requiring professional judgement. Insights enhance empathy and understanding rather than prescribing actions</w:t>
            </w:r>
          </w:p>
        </w:tc>
      </w:tr>
      <w:tr>
        <w:tc>
          <w:tcPr>
            <w:tcW w:type="dxa" w:w="7200"/>
            <w:gridSpan w:val="2"/>
            <w:shd w:val="clear" w:color="auto" w:fill="D7EFC4"/>
            <w:tcMar>
              <w:top w:w="60" w:type="dxa"/>
              <w:bottom w:w="60" w:type="dxa"/>
              <w:left w:w="100" w:type="dxa"/>
              <w:right w:w="100" w:type="dxa"/>
            </w:tcMar>
            <w:vAlign w:val="top"/>
            <w:tcMar>
              <w:top w:w="60" w:type="dxa"/>
              <w:bottom w:w="60" w:type="dxa"/>
              <w:left w:w="100" w:type="dxa"/>
              <w:right w:w="100" w:type="dxa"/>
            </w:tcMar>
          </w:tcPr>
          <w:p>
            <w:r/>
            <w:r>
              <w:rPr>
                <w:b/>
              </w:rPr>
              <w:t>Creswell's 5 Qualitative Approaches</w:t>
            </w:r>
          </w:p>
        </w:tc>
      </w:tr>
      <w:tr>
        <w:tc>
          <w:tcPr>
            <w:tcW w:type="dxa" w:w="2438"/>
            <w:shd w:val="clear" w:color="auto" w:fill="EEF8E6"/>
            <w:tcMar>
              <w:top w:w="60" w:type="dxa"/>
              <w:bottom w:w="60" w:type="dxa"/>
              <w:left w:w="100" w:type="dxa"/>
              <w:right w:w="100" w:type="dxa"/>
            </w:tcMar>
            <w:vAlign w:val="top"/>
          </w:tcPr>
          <w:p>
            <w:r/>
          </w:p>
        </w:tc>
        <w:tc>
          <w:tcPr>
            <w:tcW w:type="dxa" w:w="7200"/>
            <w:tcMar>
              <w:top w:w="60" w:type="dxa"/>
              <w:bottom w:w="60" w:type="dxa"/>
              <w:left w:w="100" w:type="dxa"/>
              <w:right w:w="100" w:type="dxa"/>
            </w:tcMar>
            <w:vAlign w:val="top"/>
          </w:tcPr>
          <w:p w14:paraId="6A4D257F" w14:textId="77777777" w:rsidR="00324848" w:rsidRPr="00124566" w:rsidRDefault="00324848" w:rsidP="000D0BE8">
            <w:pPr>
              <w:spacing w:after="0" w:line="240" w:lineRule="auto"/>
              <w:rPr>
                <w14:ligatures w14:val="none"/>
              </w:rPr>
            </w:pPr>
            <w:r>
              <w:rPr>
                <w14:ligatures w14:val="none"/>
              </w:rPr>
              <w:lastRenderedPageBreak/>
              <w:t>Narrative Research</w:t>
            </w:r>
          </w:p>
          <w:p w14:paraId="2CA46FD3" w14:textId="77777777" w:rsidR="00324848" w:rsidRPr="00124566" w:rsidRDefault="00324848" w:rsidP="000D0BE8">
            <w:pPr>
              <w:spacing w:after="0" w:line="240" w:lineRule="auto"/>
              <w:rPr>
                <w14:ligatures w14:val="none"/>
              </w:rPr>
            </w:pPr>
            <w:r>
              <w:rPr>
                <w14:ligatures w14:val="none"/>
              </w:rPr>
              <w:t>Aligns with the Interpretivism paradigm, as it focuses on understanding individual experiences and the meanings people attach to their stories.</w:t>
            </w:r>
          </w:p>
          <w:p w14:paraId="5135D7EE" w14:textId="42C9863D" w:rsidR="00324848" w:rsidRPr="00124566" w:rsidRDefault="00324848" w:rsidP="00A803F6">
            <w:pPr>
              <w:spacing w:after="0" w:line="240" w:lineRule="auto"/>
              <w:rPr>
                <w14:ligatures w14:val="none"/>
              </w:rPr>
            </w:pPr>
            <w:r>
              <w:rPr>
                <w14:ligatures w14:val="none"/>
              </w:rPr>
              <w:t>Emphasises the subjective nature of reality and the importance of understanding the participant's perspective.</w:t>
            </w:r>
          </w:p>
        </w:tc>
      </w:tr>
      <w:tr>
        <w:tc>
          <w:tcPr>
            <w:tcW w:type="dxa" w:w="2438"/>
            <w:shd w:val="clear" w:color="auto" w:fill="EEF8E6"/>
            <w:tcMar>
              <w:top w:w="60" w:type="dxa"/>
              <w:bottom w:w="60" w:type="dxa"/>
              <w:left w:w="100" w:type="dxa"/>
              <w:right w:w="100" w:type="dxa"/>
            </w:tcMar>
            <w:vAlign w:val="top"/>
          </w:tcPr>
          <w:p>
            <w:r/>
          </w:p>
        </w:tc>
        <w:tc>
          <w:tcPr>
            <w:tcW w:type="dxa" w:w="7200"/>
            <w:tcMar>
              <w:top w:w="60" w:type="dxa"/>
              <w:bottom w:w="60" w:type="dxa"/>
              <w:left w:w="100" w:type="dxa"/>
              <w:right w:w="100" w:type="dxa"/>
            </w:tcMar>
            <w:vAlign w:val="top"/>
          </w:tcPr>
          <w:p w14:paraId="7D7F0361" w14:textId="77777777" w:rsidR="00324848" w:rsidRPr="00124566" w:rsidRDefault="00324848" w:rsidP="000D0BE8">
            <w:pPr>
              <w:spacing w:after="0" w:line="240" w:lineRule="auto"/>
              <w:rPr>
                <w14:ligatures w14:val="none"/>
              </w:rPr>
            </w:pPr>
            <w:r>
              <w:rPr>
                <w14:ligatures w14:val="none"/>
              </w:rPr>
              <w:t>Phenomenology</w:t>
            </w:r>
          </w:p>
          <w:p w14:paraId="7D7F0361" w14:textId="77777777" w:rsidR="00324848" w:rsidRPr="00124566" w:rsidRDefault="00324848" w:rsidP="000D0BE8">
            <w:pPr>
              <w:spacing w:after="0" w:line="240" w:lineRule="auto"/>
              <w:rPr>
                <w14:ligatures w14:val="none"/>
              </w:rPr>
            </w:pPr>
            <w:r>
              <w:rPr>
                <w14:ligatures w14:val="none"/>
              </w:rPr>
              <w:t>Also aligns with the Interpretivism paradigm, as it seeks to understand the essence of a phenomenon through the lived experiences of individuals.</w:t>
            </w:r>
          </w:p>
          <w:p w14:paraId="7D7F0361" w14:textId="77777777" w:rsidR="00324848" w:rsidRPr="00124566" w:rsidRDefault="00324848" w:rsidP="000D0BE8">
            <w:pPr>
              <w:spacing w:after="0" w:line="240" w:lineRule="auto"/>
              <w:rPr>
                <w14:ligatures w14:val="none"/>
              </w:rPr>
            </w:pPr>
            <w:r>
              <w:rPr>
                <w14:ligatures w14:val="none"/>
              </w:rPr>
              <w:t>Focuses on interpreting the meanings people assign to their experiences and how they construct their realities.</w:t>
            </w:r>
          </w:p>
          <w:p w14:paraId="7D7F0361" w14:textId="77777777" w:rsidR="00324848" w:rsidRPr="00124566" w:rsidRDefault="00324848" w:rsidP="000D0BE8">
            <w:pPr>
              <w:spacing w:after="0" w:line="240" w:lineRule="auto"/>
              <w:rPr>
                <w14:ligatures w14:val="none"/>
              </w:rPr>
            </w:pPr>
          </w:p>
          <w:p w14:paraId="7D7F0361" w14:textId="77777777" w:rsidR="00324848" w:rsidRPr="00124566" w:rsidRDefault="00324848" w:rsidP="000D0BE8">
            <w:pPr>
              <w:spacing w:after="0" w:line="240" w:lineRule="auto"/>
              <w:rPr>
                <w14:ligatures w14:val="none"/>
              </w:rPr>
            </w:pPr>
            <w:r>
              <w:rPr>
                <w:b/>
                <w14:ligatures w14:val="none"/>
              </w:rPr>
              <w:t>IPA:</w:t>
            </w:r>
            <w:r>
              <w:rPr>
                <w14:ligatures w14:val="none"/>
              </w:rPr>
              <w:t xml:space="preserve"> Interpretative Phenomenological Analysis (Smith, Flowers and Larkin) is a widely used interpretive form of phenomenology, increasingly found in business and management research. It is Heideggerian (preconceptions are acknowledged, not bracketed) and idiographic (each case is analysed in depth before comparing across cases).</w:t>
            </w:r>
          </w:p>
        </w:tc>
      </w:tr>
      <w:tr>
        <w:tc>
          <w:tcPr>
            <w:tcW w:type="dxa" w:w="2438"/>
            <w:shd w:val="clear" w:color="auto" w:fill="EEF8E6"/>
            <w:tcMar>
              <w:top w:w="60" w:type="dxa"/>
              <w:bottom w:w="60" w:type="dxa"/>
              <w:left w:w="100" w:type="dxa"/>
              <w:right w:w="100" w:type="dxa"/>
            </w:tcMar>
            <w:vAlign w:val="top"/>
          </w:tcPr>
          <w:p>
            <w:r/>
          </w:p>
        </w:tc>
        <w:tc>
          <w:tcPr>
            <w:tcW w:type="dxa" w:w="7200"/>
            <w:tcMar>
              <w:top w:w="60" w:type="dxa"/>
              <w:bottom w:w="60" w:type="dxa"/>
              <w:left w:w="100" w:type="dxa"/>
              <w:right w:w="100" w:type="dxa"/>
            </w:tcMar>
            <w:vAlign w:val="top"/>
          </w:tcPr>
          <w:p w14:paraId="209F9083" w14:textId="77777777" w:rsidR="00324848" w:rsidRPr="00124566" w:rsidRDefault="00324848" w:rsidP="000D0BE8">
            <w:pPr>
              <w:spacing w:after="0" w:line="240" w:lineRule="auto"/>
              <w:rPr>
                <w14:ligatures w14:val="none"/>
              </w:rPr>
            </w:pPr>
            <w:r>
              <w:rPr>
                <w14:ligatures w14:val="none"/>
              </w:rPr>
              <w:t>Ethnography</w:t>
            </w:r>
          </w:p>
          <w:p w14:paraId="2477B2EE" w14:textId="77777777" w:rsidR="00324848" w:rsidRPr="00124566" w:rsidRDefault="00324848" w:rsidP="000D0BE8">
            <w:pPr>
              <w:spacing w:after="0" w:line="240" w:lineRule="auto"/>
              <w:rPr>
                <w14:ligatures w14:val="none"/>
              </w:rPr>
            </w:pPr>
            <w:r>
              <w:rPr>
                <w14:ligatures w14:val="none"/>
              </w:rPr>
              <w:t>Can align with either the Interpretivism or Critical Theory paradigm, depending on the focus of the study.</w:t>
            </w:r>
          </w:p>
          <w:p w14:paraId="1F1816ED" w14:textId="77777777" w:rsidR="00324848" w:rsidRPr="00124566" w:rsidRDefault="00324848" w:rsidP="000D0BE8">
            <w:pPr>
              <w:spacing w:after="0" w:line="240" w:lineRule="auto"/>
              <w:rPr>
                <w14:ligatures w14:val="none"/>
              </w:rPr>
            </w:pPr>
          </w:p>
          <w:p w14:paraId="2C02DA6C" w14:textId="7A3439FE" w:rsidR="00324848" w:rsidRPr="00124566" w:rsidRDefault="00324848" w:rsidP="000D0BE8">
            <w:pPr>
              <w:spacing w:after="0" w:line="240" w:lineRule="auto"/>
              <w:rPr>
                <w14:ligatures w14:val="none"/>
              </w:rPr>
            </w:pPr>
            <w:r>
              <w:rPr>
                <w14:ligatures w14:val="none"/>
              </w:rPr>
              <w:t>Interpretive ethnography seeks to understand a culture or social group through the meanings they assign to their experiences, aligning with the Interpretivism paradigm</w:t>
            </w:r>
          </w:p>
        </w:tc>
      </w:tr>
      <w:tr>
        <w:tc>
          <w:tcPr>
            <w:tcW w:type="dxa" w:w="2438"/>
            <w:shd w:val="clear" w:color="auto" w:fill="EEF8E6"/>
            <w:tcMar>
              <w:top w:w="60" w:type="dxa"/>
              <w:bottom w:w="60" w:type="dxa"/>
              <w:left w:w="100" w:type="dxa"/>
              <w:right w:w="100" w:type="dxa"/>
            </w:tcMar>
            <w:vAlign w:val="top"/>
          </w:tcPr>
          <w:p>
            <w:r/>
          </w:p>
        </w:tc>
        <w:tc>
          <w:tcPr>
            <w:tcW w:type="dxa" w:w="7200"/>
            <w:tcMar>
              <w:top w:w="60" w:type="dxa"/>
              <w:bottom w:w="60" w:type="dxa"/>
              <w:left w:w="100" w:type="dxa"/>
              <w:right w:w="100" w:type="dxa"/>
            </w:tcMar>
            <w:vAlign w:val="top"/>
          </w:tcPr>
          <w:p w14:paraId="48E8C93E" w14:textId="77777777" w:rsidR="00324848" w:rsidRPr="00124566" w:rsidRDefault="00324848" w:rsidP="00A803F6">
            <w:pPr>
              <w:spacing w:after="0" w:line="240" w:lineRule="auto"/>
              <w:rPr>
                <w14:ligatures w14:val="none"/>
              </w:rPr>
            </w:pPr>
            <w:r>
              <w:rPr>
                <w14:ligatures w14:val="none"/>
              </w:rPr>
              <w:t xml:space="preserve">Case Study </w:t>
            </w:r>
          </w:p>
          <w:p w14:paraId="257D2086" w14:textId="77777777" w:rsidR="00324848" w:rsidRPr="00124566" w:rsidRDefault="00324848" w:rsidP="00A803F6">
            <w:pPr>
              <w:spacing w:after="0" w:line="240" w:lineRule="auto"/>
              <w:rPr>
                <w14:ligatures w14:val="none"/>
              </w:rPr>
            </w:pPr>
            <w:r>
              <w:rPr>
                <w14:ligatures w14:val="none"/>
              </w:rPr>
              <w:t>Can align with various paradigms, including Postpositivism, Interpretivism, and Pragmatism, depending on the nature of the case and the research question.</w:t>
            </w:r>
          </w:p>
          <w:p w14:paraId="4C5575B8" w14:textId="77777777" w:rsidR="00324848" w:rsidRPr="00124566" w:rsidRDefault="00324848" w:rsidP="00A803F6">
            <w:pPr>
              <w:spacing w:after="0" w:line="240" w:lineRule="auto"/>
              <w:rPr>
                <w14:ligatures w14:val="none"/>
              </w:rPr>
            </w:pPr>
          </w:p>
          <w:p w14:paraId="3122F4CB" w14:textId="6737F262" w:rsidR="00324848" w:rsidRPr="00124566" w:rsidRDefault="00324848" w:rsidP="00324848">
            <w:pPr>
              <w:spacing w:after="0" w:line="240" w:lineRule="auto"/>
              <w:rPr>
                <w14:ligatures w14:val="none"/>
              </w:rPr>
            </w:pPr>
            <w:r>
              <w:rPr>
                <w14:ligatures w14:val="none"/>
              </w:rPr>
              <w:t>An interpretive case study may seek to understand the unique experiences and perspectives of individuals within a bounded system.</w:t>
            </w:r>
          </w:p>
          <w:p w14:paraId="52FCE4B1" w14:textId="70ED805B" w:rsidR="00324848" w:rsidRPr="00124566" w:rsidRDefault="00324848" w:rsidP="00324848">
            <w:pPr>
              <w:spacing w:after="0" w:line="240" w:lineRule="auto"/>
              <w:rPr>
                <w14:ligatures w14:val="none"/>
              </w:rPr>
            </w:pPr>
            <w:r>
              <w:rPr>
                <w14:ligatures w14:val="none"/>
              </w:rPr>
              <w:t>.</w:t>
            </w:r>
          </w:p>
        </w:tc>
      </w:tr>
      <w:tr>
        <w:tc>
          <w:tcPr>
            <w:tcW w:type="dxa" w:w="2438"/>
            <w:shd w:val="clear" w:color="auto" w:fill="EEF8E6"/>
            <w:tcMar>
              <w:top w:w="60" w:type="dxa"/>
              <w:bottom w:w="60" w:type="dxa"/>
              <w:left w:w="100" w:type="dxa"/>
              <w:right w:w="100" w:type="dxa"/>
            </w:tcMar>
            <w:vAlign w:val="top"/>
          </w:tcPr>
          <w:p>
            <w:r/>
          </w:p>
        </w:tc>
        <w:tc>
          <w:tcPr>
            <w:tcW w:type="dxa" w:w="7200"/>
            <w:tcMar>
              <w:top w:w="60" w:type="dxa"/>
              <w:bottom w:w="60" w:type="dxa"/>
              <w:left w:w="100" w:type="dxa"/>
              <w:right w:w="100" w:type="dxa"/>
            </w:tcMar>
            <w:vAlign w:val="top"/>
          </w:tcPr>
          <w:p w14:paraId="138F0A39" w14:textId="77777777" w:rsidR="00124566" w:rsidRPr="00124566" w:rsidRDefault="00124566" w:rsidP="00124566">
            <w:pPr>
              <w:spacing w:after="0" w:line="240" w:lineRule="auto"/>
              <w:rPr>
                <w14:ligatures w14:val="none"/>
              </w:rPr>
            </w:pPr>
            <w:r>
              <w:rPr>
                <w14:ligatures w14:val="none"/>
              </w:rPr>
              <w:t>Grounded Theory</w:t>
            </w:r>
          </w:p>
          <w:p w14:paraId="067FBCA6" w14:textId="77777777" w:rsidR="00324848" w:rsidRPr="00124566" w:rsidRDefault="00124566" w:rsidP="00124566">
            <w:pPr>
              <w:spacing w:after="0" w:line="240" w:lineRule="auto"/>
              <w:rPr>
                <w14:ligatures w14:val="none"/>
              </w:rPr>
            </w:pPr>
            <w:r>
              <w:rPr>
                <w14:ligatures w14:val="none"/>
              </w:rPr>
              <w:t>When focused on understanding meanings and processes as experienced by individuals, with theory emerging from participants' perspectives and interpretations</w:t>
            </w:r>
          </w:p>
          <w:p w14:paraId="6D74D450" w14:textId="77777777" w:rsidR="00124566" w:rsidRPr="00124566" w:rsidRDefault="00124566" w:rsidP="00124566">
            <w:pPr>
              <w:spacing w:after="0" w:line="240" w:lineRule="auto"/>
              <w:rPr>
                <w14:ligatures w14:val="none"/>
              </w:rPr>
            </w:pPr>
            <w:r>
              <w:rPr>
                <w14:ligatures w14:val="none"/>
              </w:rPr>
              <w:t>Note: The paradigm alignment depends on whether the grounded theory focuses on individual meanings (Interpretivism), co-construction through researcher-participant interaction (Constructivism), or comparative group-level processes (Social Constructionism).</w:t>
            </w:r>
          </w:p>
        </w:tc>
      </w:tr>
      <w:tr>
        <w:tc>
          <w:tcPr>
            <w:tcW w:type="dxa" w:w="7200"/>
            <w:gridSpan w:val="2"/>
            <w:shd w:val="clear" w:color="auto" w:fill="D7EFC4"/>
            <w:tcMar>
              <w:top w:w="60" w:type="dxa"/>
              <w:bottom w:w="60" w:type="dxa"/>
              <w:left w:w="100" w:type="dxa"/>
              <w:right w:w="100" w:type="dxa"/>
            </w:tcMar>
            <w:vAlign w:val="top"/>
            <w:tcMar>
              <w:top w:w="60" w:type="dxa"/>
              <w:bottom w:w="60" w:type="dxa"/>
              <w:left w:w="100" w:type="dxa"/>
              <w:right w:w="100" w:type="dxa"/>
            </w:tcMar>
          </w:tcPr>
          <w:p w14:paraId="3F000104" w14:textId="77777777" w:rsidR="00D622B5" w:rsidRPr="00124566" w:rsidRDefault="00D622B5" w:rsidP="00FC3EE9">
            <w:pPr>
              <w:spacing w:after="0" w:line="240" w:lineRule="auto"/>
              <w:jc w:val="center"/>
              <w:rPr>
                <w14:ligatures w14:val="none"/>
              </w:rPr>
            </w:pPr>
          </w:p>
          <w:p w14:paraId="725F6A36" w14:textId="77777777" w:rsidR="00DB0634" w:rsidRPr="00124566" w:rsidRDefault="00DB0634" w:rsidP="00FC3EE9">
            <w:pPr>
              <w:spacing w:before="0" w:beforeAutospacing="0" w:after="0" w:afterAutospacing="0"/>
              <w:jc w:val="center"/>
              <w:rPr/>
            </w:pPr>
            <w:r>
              <w:rPr>
                <w:b/>
                <w:bCs/>
              </w:rPr>
              <w:t>Research Topic: The Impact of Corporate Social Responsibility (CSR) on Consumer Loyalty in the Fast-Moving Consumer Goods (FMCG) Industry</w:t>
            </w:r>
          </w:p>
        </w:tc>
      </w:tr>
      <w:tr>
        <w:tc>
          <w:tcPr>
            <w:tcW w:type="dxa" w:w="2438"/>
            <w:shd w:val="clear" w:color="auto" w:fill="EEF8E6"/>
            <w:tcMar>
              <w:top w:w="60" w:type="dxa"/>
              <w:bottom w:w="60" w:type="dxa"/>
              <w:left w:w="100" w:type="dxa"/>
              <w:right w:w="100" w:type="dxa"/>
            </w:tcMar>
            <w:vAlign w:val="top"/>
          </w:tcPr>
          <w:p w14:paraId="17A0F8BE" w14:textId="77777777" w:rsidR="0078169B" w:rsidRPr="00124566" w:rsidRDefault="0078169B" w:rsidP="0078169B">
            <w:pPr>
              <w:spacing w:before="0" w:beforeAutospacing="0" w:after="0" w:afterAutospacing="0"/>
              <w:rPr/>
            </w:pPr>
            <w:r>
              <w:rPr>
                <w:b/>
                <w:bCs/>
              </w:rPr>
              <w:t>Narrative Research </w:t>
            </w:r>
          </w:p>
          <w:p w14:paraId="15733F08" w14:textId="77777777" w:rsidR="0078169B" w:rsidRPr="00124566" w:rsidRDefault="0078169B" w:rsidP="0078169B">
            <w:pPr>
              <w:rPr/>
            </w:pPr>
          </w:p>
          <w:p w14:paraId="0145DD9E" w14:textId="77777777" w:rsidR="0078169B" w:rsidRPr="00124566" w:rsidRDefault="0078169B" w:rsidP="0078169B">
            <w:pPr>
              <w:spacing w:before="0" w:beforeAutospacing="0" w:after="0" w:afterAutospacing="0"/>
              <w:rPr/>
            </w:pPr>
            <w:r>
              <w:rPr>
                <w:b/>
              </w:rPr>
              <w:t>Emphasises the subjective nature of reality and the importance of understanding the participant's perspective.</w:t>
            </w:r>
          </w:p>
        </w:tc>
        <w:tc>
          <w:tcPr>
            <w:tcW w:type="dxa" w:w="7200"/>
            <w:tcMar>
              <w:top w:w="60" w:type="dxa"/>
              <w:bottom w:w="60" w:type="dxa"/>
              <w:left w:w="100" w:type="dxa"/>
              <w:right w:w="100" w:type="dxa"/>
            </w:tcMar>
            <w:vAlign w:val="top"/>
          </w:tcPr>
          <w:p w14:paraId="7053A35A" w14:textId="77777777" w:rsidR="0078169B" w:rsidRPr="00124566" w:rsidRDefault="0078169B" w:rsidP="0078169B">
            <w:pPr>
              <w:spacing w:before="0" w:beforeAutospacing="0" w:after="0" w:afterAutospacing="0"/>
              <w:rPr/>
            </w:pPr>
            <w:r>
              <w:rPr>
                <w:b/>
                <w:bCs/>
              </w:rPr>
              <w:t>Narrative Research</w:t>
            </w:r>
          </w:p>
          <w:p w14:paraId="53AEB34C" w14:textId="77777777" w:rsidR="0078169B" w:rsidRPr="00124566" w:rsidRDefault="0078169B" w:rsidP="0078169B">
            <w:pPr>
              <w:rPr/>
            </w:pPr>
          </w:p>
          <w:p w14:paraId="70215CDF" w14:textId="77777777" w:rsidR="0078169B" w:rsidRPr="00124566" w:rsidRDefault="0078169B" w:rsidP="0078169B">
            <w:pPr>
              <w:spacing w:before="0" w:beforeAutospacing="0" w:after="0" w:afterAutospacing="0"/>
              <w:rPr/>
            </w:pPr>
            <w:r>
              <w:rPr/>
              <w:t>Research Question: How do individual consumers' experiences with FMCG companies' CSR initiatives shape their loyalty over time?</w:t>
            </w:r>
          </w:p>
          <w:p w14:paraId="4AF4D74A" w14:textId="77777777" w:rsidR="0078169B" w:rsidRPr="00124566" w:rsidRDefault="0078169B" w:rsidP="0078169B">
            <w:pPr>
              <w:spacing w:before="0" w:beforeAutospacing="0" w:after="0" w:afterAutospacing="0"/>
              <w:rPr/>
            </w:pPr>
            <w:r>
              <w:rPr/>
              <w:t>Methodology: Longitudinal narrative inquiry focusing on a small number of consumers' stories about their interactions with FMCG companies' CSR initiatives.</w:t>
            </w:r>
          </w:p>
          <w:p w14:paraId="2DF40A86" w14:textId="77777777" w:rsidR="0078169B" w:rsidRPr="00124566" w:rsidRDefault="0078169B" w:rsidP="0078169B">
            <w:pPr>
              <w:spacing w:before="0" w:beforeAutospacing="0" w:after="0" w:afterAutospacing="0"/>
              <w:rPr/>
            </w:pPr>
            <w:r>
              <w:rPr/>
              <w:t>Data Collection: In-depth interviews conducted at multiple points over an extended period (e.g., 1-2 years), supplemented by participants' journals or diaries.</w:t>
            </w:r>
          </w:p>
          <w:p w14:paraId="06448BF4" w14:textId="77777777" w:rsidR="0078169B" w:rsidRPr="00124566" w:rsidRDefault="0078169B" w:rsidP="0078169B">
            <w:pPr>
              <w:spacing w:before="0" w:beforeAutospacing="0" w:after="0" w:afterAutospacing="0"/>
              <w:rPr/>
            </w:pPr>
            <w:r>
              <w:rPr/>
              <w:t>Data Analysis: Chronological analysis of individual stories, identifying key events, turning points, and themes in consumers' evolving relationships with FMCG brands based on CSR experiences.</w:t>
            </w:r>
          </w:p>
          <w:p w14:paraId="0EB9B7E1" w14:textId="77777777" w:rsidR="0078169B" w:rsidRPr="00124566" w:rsidRDefault="0078169B" w:rsidP="0078169B">
            <w:pPr>
              <w:spacing w:before="0" w:beforeAutospacing="0" w:after="0" w:afterAutospacing="0"/>
              <w:rPr/>
            </w:pPr>
            <w:r>
              <w:rPr/>
              <w:t>When to use: When seeking to understand the long-term, personal impact of CSR initiatives on individual consumers' brand loyalty journeys.</w:t>
            </w:r>
          </w:p>
          <w:p w14:paraId="05CFFAF9" w14:textId="77777777" w:rsidR="0078169B" w:rsidRPr="00124566" w:rsidRDefault="0078169B" w:rsidP="0078169B">
            <w:pPr>
              <w:spacing w:before="0" w:beforeAutospacing="0" w:after="0" w:afterAutospacing="0"/>
              <w:rPr/>
            </w:pPr>
            <w:r>
              <w:rPr/>
              <w:t>Reality: Subjective and constructed through individual experiences and storytelling.</w:t>
            </w:r>
          </w:p>
          <w:p w14:paraId="16DBD9D5" w14:textId="77777777" w:rsidR="0078169B" w:rsidRPr="00124566" w:rsidRDefault="0078169B" w:rsidP="0078169B">
            <w:pPr>
              <w:spacing w:before="0" w:beforeAutospacing="0" w:after="0" w:afterAutospacing="0"/>
              <w:rPr/>
            </w:pPr>
            <w:r>
              <w:rPr/>
              <w:t>Knowledge: Gained through understanding and interpreting individual narratives and experiences.</w:t>
            </w:r>
          </w:p>
          <w:p w14:paraId="0B407CC6" w14:textId="77777777" w:rsidR="0078169B" w:rsidRPr="00124566" w:rsidRDefault="0078169B" w:rsidP="0078169B">
            <w:pPr>
              <w:spacing w:before="0" w:beforeAutospacing="0" w:after="0" w:afterAutospacing="0"/>
              <w:rPr/>
            </w:pPr>
            <w:r>
              <w:rPr/>
              <w:t>Focus: On the temporal and personal aspects of how CSR initiatives influence consumer loyalty.</w:t>
            </w:r>
          </w:p>
          <w:p w14:paraId="43FF7AD7" w14:textId="77777777" w:rsidR="0078169B" w:rsidRPr="00124566" w:rsidRDefault="0078169B" w:rsidP="0078169B">
            <w:pPr>
              <w:spacing w:before="0" w:beforeAutospacing="0" w:after="0" w:afterAutospacing="0"/>
              <w:rPr/>
            </w:pPr>
            <w:r>
              <w:rPr/>
              <w:t>What it seeks to do: Provide rich, detailed accounts of how CSR initiatives shape consumer loyalty over time.</w:t>
            </w:r>
          </w:p>
          <w:p w14:paraId="3B186BD0" w14:textId="77777777" w:rsidR="0078169B" w:rsidRPr="00124566" w:rsidRDefault="0078169B" w:rsidP="0078169B">
            <w:pPr>
              <w:spacing w:before="0" w:beforeAutospacing="0" w:after="0" w:afterAutospacing="0"/>
              <w:rPr/>
            </w:pPr>
            <w:r>
              <w:rPr/>
              <w:t>Rationale: Consumer loyalty is formed through ongoing experiences and interactions, best understood through personal stories.</w:t>
            </w:r>
          </w:p>
          <w:p w14:paraId="32ECDF02" w14:textId="77777777" w:rsidR="0078169B" w:rsidRPr="00124566" w:rsidRDefault="0078169B" w:rsidP="0078169B">
            <w:pPr>
              <w:spacing w:before="0" w:beforeAutospacing="0" w:after="0" w:afterAutospacing="0"/>
              <w:rPr/>
            </w:pPr>
            <w:r>
              <w:rPr/>
              <w:t>Axiology: Values the unique perspectives and experiences of individual consumers.</w:t>
            </w:r>
          </w:p>
          <w:p w14:paraId="44341E67" w14:textId="77777777" w:rsidR="0078169B" w:rsidRPr="00124566" w:rsidRDefault="0078169B" w:rsidP="0078169B">
            <w:pPr>
              <w:spacing w:before="0" w:beforeAutospacing="0" w:after="0" w:afterAutospacing="0"/>
              <w:rPr/>
            </w:pPr>
            <w:r>
              <w:rPr/>
              <w:t>Theoretical Framework: Draws on theories of narrative identity and brand relationship theory.</w:t>
            </w:r>
          </w:p>
          <w:p w14:paraId="1E7F249F" w14:textId="77777777" w:rsidR="0078169B" w:rsidRPr="00124566" w:rsidRDefault="0078169B" w:rsidP="0078169B">
            <w:pPr>
              <w:spacing w:before="0" w:beforeAutospacing="0" w:after="0" w:afterAutospacing="0"/>
              <w:rPr/>
            </w:pPr>
            <w:r>
              <w:rPr/>
              <w:t>Conceptual Model: Consumer-Brand Relationship Evolution Model influenced by CSR initiatives.</w:t>
            </w:r>
          </w:p>
          <w:p w14:paraId="0EAC9B04" w14:textId="77777777" w:rsidR="0078169B" w:rsidRPr="00124566" w:rsidRDefault="0078169B" w:rsidP="0078169B">
            <w:pPr>
              <w:spacing w:before="0" w:beforeAutospacing="0" w:after="0" w:afterAutospacing="0"/>
              <w:rPr/>
            </w:pPr>
            <w:r>
              <w:rPr/>
              <w:t>Conceptual Framework: Typically inductive, with theories emerging from the collected narratives.</w:t>
            </w:r>
          </w:p>
          <w:p w14:paraId="0EC3A539" w14:textId="77777777" w:rsidR="0078169B" w:rsidRPr="00124566" w:rsidRDefault="0078169B" w:rsidP="0078169B">
            <w:pPr>
              <w:spacing w:before="0" w:beforeAutospacing="0" w:after="0" w:afterAutospacing="0"/>
              <w:rPr/>
            </w:pPr>
            <w:r>
              <w:rPr/>
              <w:t>Implications for Practice: Informs long-term CSR strategy development and personalised consumer engagement approaches.</w:t>
            </w:r>
          </w:p>
          <w:p w14:paraId="02A63B1A" w14:textId="77777777" w:rsidR="0078169B" w:rsidRPr="00124566" w:rsidRDefault="0078169B" w:rsidP="0078169B">
            <w:pPr>
              <w:spacing w:before="0" w:beforeAutospacing="0" w:after="0" w:afterAutospacing="0"/>
              <w:rPr/>
            </w:pPr>
            <w:r>
              <w:rPr/>
              <w:t>Ethics: Ensures confidentiality and informed consent, with careful consideration of the long-term nature of participant involvement.</w:t>
            </w:r>
          </w:p>
          <w:p w14:paraId="3E35FB2F" w14:textId="77777777" w:rsidR="0078169B" w:rsidRPr="00124566" w:rsidRDefault="0078169B" w:rsidP="0078169B">
            <w:pPr>
              <w:spacing w:before="0" w:beforeAutospacing="0" w:after="0" w:afterAutospacing="0"/>
              <w:rPr/>
            </w:pPr>
            <w:r>
              <w:rPr/>
              <w:t>Approach: Primarily inductive, with theories about CSR impact emerging from collected narratives.</w:t>
            </w:r>
          </w:p>
          <w:p w14:paraId="37F21065" w14:textId="77777777" w:rsidR="0078169B" w:rsidRPr="00124566" w:rsidRDefault="0078169B" w:rsidP="0078169B">
            <w:pPr>
              <w:spacing w:before="0" w:beforeAutospacing="0" w:after="0" w:afterAutospacing="0"/>
              <w:rPr/>
            </w:pPr>
            <w:r>
              <w:rPr/>
              <w:t>Strengths: Provides deep, contextualised understanding of CSR's impact on consumer loyalty over time.</w:t>
            </w:r>
          </w:p>
          <w:p w14:paraId="5C6BC6C2" w14:textId="77777777" w:rsidR="0078169B" w:rsidRPr="00124566" w:rsidRDefault="0078169B" w:rsidP="0078169B">
            <w:pPr>
              <w:spacing w:before="0" w:beforeAutospacing="0" w:after="0" w:afterAutospacing="0"/>
              <w:rPr/>
            </w:pPr>
            <w:r>
              <w:rPr/>
              <w:t>Weaknesses: Limited generalisability due to small sample sise and highly personal nature of data.</w:t>
            </w:r>
          </w:p>
        </w:tc>
      </w:tr>
      <w:tr>
        <w:tc>
          <w:tcPr>
            <w:tcW w:type="dxa" w:w="2438"/>
            <w:shd w:val="clear" w:color="auto" w:fill="EEF8E6"/>
            <w:tcMar>
              <w:top w:w="60" w:type="dxa"/>
              <w:bottom w:w="60" w:type="dxa"/>
              <w:left w:w="100" w:type="dxa"/>
              <w:right w:w="100" w:type="dxa"/>
            </w:tcMar>
            <w:vAlign w:val="top"/>
          </w:tcPr>
          <w:p w14:paraId="4B989E92" w14:textId="1DCDCE6B" w:rsidR="0017596D" w:rsidRPr="00124566" w:rsidRDefault="0017596D" w:rsidP="0017596D">
            <w:pPr>
              <w:spacing w:before="0" w:beforeAutospacing="0" w:after="0" w:afterAutospacing="0"/>
              <w:rPr>
                <w:b/>
                <w:bCs/>
              </w:rPr>
            </w:pPr>
            <w:r>
              <w:rPr>
                <w:b/>
                <w:bCs/>
              </w:rPr>
              <w:lastRenderedPageBreak/>
              <w:t>Narrative Research and Ethics</w:t>
            </w:r>
          </w:p>
        </w:tc>
        <w:tc>
          <w:tcPr>
            <w:tcW w:type="dxa" w:w="7200"/>
            <w:tcMar>
              <w:top w:w="60" w:type="dxa"/>
              <w:bottom w:w="60" w:type="dxa"/>
              <w:left w:w="100" w:type="dxa"/>
              <w:right w:w="100" w:type="dxa"/>
            </w:tcMar>
            <w:vAlign w:val="top"/>
          </w:tcPr>
          <w:p w14:paraId="7B74A24E" w14:textId="77777777" w:rsidR="0017596D" w:rsidRPr="00124566" w:rsidRDefault="0017596D" w:rsidP="0017596D">
            <w:pPr>
              <w:spacing w:before="0" w:beforeAutospacing="0" w:after="0" w:afterAutospacing="0"/>
              <w:rPr/>
            </w:pPr>
            <w:r>
              <w:rPr/>
              <w:t>Respecting the storyteller's voice and perspective</w:t>
            </w:r>
          </w:p>
          <w:p w14:paraId="44837675" w14:textId="77777777" w:rsidR="0017596D" w:rsidRPr="00124566" w:rsidRDefault="0017596D" w:rsidP="0017596D">
            <w:pPr>
              <w:spacing w:before="0" w:beforeAutospacing="0" w:after="0" w:afterAutospacing="0"/>
              <w:rPr/>
            </w:pPr>
            <w:r>
              <w:rPr/>
              <w:t>Maintaining confidentiality when sharing personal stories</w:t>
            </w:r>
          </w:p>
          <w:p w14:paraId="0264448B" w14:textId="77777777" w:rsidR="0017596D" w:rsidRPr="00124566" w:rsidRDefault="0017596D" w:rsidP="0017596D">
            <w:pPr>
              <w:spacing w:before="0" w:beforeAutospacing="0" w:after="0" w:afterAutospacing="0"/>
              <w:rPr/>
            </w:pPr>
            <w:r>
              <w:rPr/>
              <w:t>Addressing potential psychological impacts of recounting personal experiences</w:t>
            </w:r>
          </w:p>
          <w:p w14:paraId="5BA63A66" w14:textId="77777777" w:rsidR="0017596D" w:rsidRPr="00124566" w:rsidRDefault="0017596D" w:rsidP="0017596D">
            <w:pPr>
              <w:spacing w:before="0" w:beforeAutospacing="0" w:after="0" w:afterAutospacing="0"/>
              <w:rPr/>
            </w:pPr>
            <w:r>
              <w:rPr/>
              <w:t>Ensuring accurate representation of narratives</w:t>
            </w:r>
          </w:p>
          <w:p w14:paraId="131B33DA" w14:textId="77777777" w:rsidR="0017596D" w:rsidRPr="00124566" w:rsidRDefault="0017596D" w:rsidP="0017596D">
            <w:pPr>
              <w:spacing w:before="0" w:beforeAutospacing="0" w:after="0" w:afterAutospacing="0"/>
              <w:rPr/>
            </w:pPr>
            <w:r>
              <w:rPr/>
              <w:t>Managing power dynamics between researcher and participant</w:t>
            </w:r>
          </w:p>
          <w:p w14:paraId="39082320" w14:textId="15A0DFAE" w:rsidR="0017596D" w:rsidRPr="00124566" w:rsidRDefault="0017596D" w:rsidP="0017596D">
            <w:pPr>
              <w:spacing w:before="0" w:beforeAutospacing="0" w:after="0" w:afterAutospacing="0"/>
              <w:rPr>
                <w:b/>
                <w:bCs/>
              </w:rPr>
            </w:pPr>
            <w:r>
              <w:rPr/>
              <w:t>Considering the impact of sharing stories on participants' relationships and communities</w:t>
            </w:r>
          </w:p>
        </w:tc>
      </w:tr>
      <w:tr>
        <w:tc>
          <w:tcPr>
            <w:tcW w:type="dxa" w:w="2438"/>
            <w:shd w:val="clear" w:color="auto" w:fill="EEF8E6"/>
            <w:tcMar>
              <w:top w:w="60" w:type="dxa"/>
              <w:bottom w:w="60" w:type="dxa"/>
              <w:left w:w="100" w:type="dxa"/>
              <w:right w:w="100" w:type="dxa"/>
            </w:tcMar>
            <w:vAlign w:val="top"/>
          </w:tcPr>
          <w:p w14:paraId="57B1D380" w14:textId="77777777" w:rsidR="0017596D" w:rsidRPr="00124566" w:rsidRDefault="0017596D" w:rsidP="0017596D">
            <w:pPr>
              <w:spacing w:before="0" w:beforeAutospacing="0" w:after="0" w:afterAutospacing="0"/>
              <w:rPr/>
            </w:pPr>
            <w:r>
              <w:rPr>
                <w:b/>
                <w:bCs/>
              </w:rPr>
              <w:t>Phenomenology</w:t>
            </w:r>
          </w:p>
          <w:p w14:paraId="5C0BC5AB" w14:textId="77777777" w:rsidR="0017596D" w:rsidRPr="00124566" w:rsidRDefault="0017596D" w:rsidP="0017596D">
            <w:pPr>
              <w:rPr/>
            </w:pPr>
          </w:p>
          <w:p w14:paraId="4AAB07BD" w14:textId="77777777" w:rsidR="0017596D" w:rsidRPr="00124566" w:rsidRDefault="0017596D" w:rsidP="0017596D">
            <w:pPr>
              <w:spacing w:before="0" w:beforeAutospacing="0" w:after="0" w:afterAutospacing="0"/>
              <w:rPr/>
            </w:pPr>
            <w:r>
              <w:rPr>
                <w:b/>
              </w:rPr>
              <w:t>Focuses on interpreting the meanings people assign to their experiences and how they construct their realities.</w:t>
            </w:r>
          </w:p>
        </w:tc>
        <w:tc>
          <w:tcPr>
            <w:tcW w:type="dxa" w:w="7200"/>
            <w:tcMar>
              <w:top w:w="60" w:type="dxa"/>
              <w:bottom w:w="60" w:type="dxa"/>
              <w:left w:w="100" w:type="dxa"/>
              <w:right w:w="100" w:type="dxa"/>
            </w:tcMar>
            <w:vAlign w:val="top"/>
          </w:tcPr>
          <w:p w14:paraId="1E54B69A" w14:textId="77777777" w:rsidR="0017596D" w:rsidRPr="00124566" w:rsidRDefault="0017596D" w:rsidP="0017596D">
            <w:pPr>
              <w:spacing w:before="0" w:beforeAutospacing="0" w:after="0" w:afterAutospacing="0"/>
              <w:rPr/>
            </w:pPr>
            <w:r>
              <w:rPr>
                <w:b/>
                <w:bCs/>
              </w:rPr>
              <w:t>Phenomenology (Interpretative Phenomenological Analysis)</w:t>
            </w:r>
          </w:p>
          <w:p w14:paraId="1E54B69A" w14:textId="77777777" w:rsidR="0017596D" w:rsidRPr="00124566" w:rsidRDefault="0017596D" w:rsidP="0017596D">
            <w:pPr>
              <w:spacing w:before="0" w:beforeAutospacing="0" w:after="0" w:afterAutospacing="0"/>
              <w:rPr/>
            </w:pPr>
          </w:p>
          <w:p w14:paraId="1E54B69A" w14:textId="77777777" w:rsidR="0017596D" w:rsidRPr="00124566" w:rsidRDefault="0017596D" w:rsidP="0017596D">
            <w:pPr>
              <w:spacing w:before="0" w:beforeAutospacing="0" w:after="0" w:afterAutospacing="0"/>
              <w:rPr/>
            </w:pPr>
            <w:r>
              <w:rPr>
                <w:bCs/>
              </w:rPr>
              <w:t>Research Question: How do individual consumers make sense of their engagement with FMCG companies' CSR initiatives, and what does this experience mean for their relationship with the brand?</w:t>
            </w:r>
          </w:p>
          <w:p w14:paraId="1E54B69A" w14:textId="77777777" w:rsidR="0017596D" w:rsidRPr="00124566" w:rsidRDefault="0017596D" w:rsidP="0017596D">
            <w:pPr>
              <w:spacing w:before="0" w:beforeAutospacing="0" w:after="0" w:afterAutospacing="0"/>
              <w:rPr/>
            </w:pPr>
            <w:r>
              <w:rPr>
                <w:bCs/>
              </w:rPr>
              <w:t>Methodology: Interpretative Phenomenological Analysis (IPA), drawing on Heideggerian phenomenology, hermeneutics and idiography.</w:t>
            </w:r>
          </w:p>
          <w:p w14:paraId="1E54B69A" w14:textId="77777777" w:rsidR="0017596D" w:rsidRPr="00124566" w:rsidRDefault="0017596D" w:rsidP="0017596D">
            <w:pPr>
              <w:spacing w:before="0" w:beforeAutospacing="0" w:after="0" w:afterAutospacing="0"/>
              <w:rPr/>
            </w:pPr>
            <w:r>
              <w:rPr>
                <w:bCs/>
              </w:rPr>
              <w:t>Data Collection: In-depth, semi-structured interviews with a small, homogeneous sample (e.g. 6-8 regular purchasers of one product category who have actively engaged with a CSR initiative), possibly supplemented by written reflections.</w:t>
            </w:r>
          </w:p>
          <w:p w14:paraId="1E54B69A" w14:textId="77777777" w:rsidR="0017596D" w:rsidRPr="00124566" w:rsidRDefault="0017596D" w:rsidP="0017596D">
            <w:pPr>
              <w:spacing w:before="0" w:beforeAutospacing="0" w:after="0" w:afterAutospacing="0"/>
              <w:rPr/>
            </w:pPr>
            <w:r>
              <w:rPr>
                <w:bCs/>
              </w:rPr>
              <w:t>Data Analysis: Case-by-case idiographic analysis: exploratory notes, experiential statements and Personal Experiential Themes for each participant, then Group Experiential Themes across cases, showing both shared meanings and individual differences.</w:t>
            </w:r>
          </w:p>
          <w:p w14:paraId="1E54B69A" w14:textId="77777777" w:rsidR="0017596D" w:rsidRPr="00124566" w:rsidRDefault="0017596D" w:rsidP="0017596D">
            <w:pPr>
              <w:spacing w:before="0" w:beforeAutospacing="0" w:after="0" w:afterAutospacing="0"/>
              <w:rPr/>
            </w:pPr>
            <w:r>
              <w:rPr>
                <w:bCs/>
              </w:rPr>
              <w:t>When to use: When aiming to understand in depth how particular consumers experience and make sense of CSR initiatives in relation to their loyalty.</w:t>
            </w:r>
          </w:p>
          <w:p w14:paraId="1E54B69A" w14:textId="77777777" w:rsidR="0017596D" w:rsidRPr="00124566" w:rsidRDefault="0017596D" w:rsidP="0017596D">
            <w:pPr>
              <w:spacing w:before="0" w:beforeAutospacing="0" w:after="0" w:afterAutospacing="0"/>
              <w:rPr/>
            </w:pPr>
            <w:r>
              <w:rPr>
                <w:bCs/>
              </w:rPr>
              <w:t>Reality: Subjective, and based on individuals' lived experiences and their sense-making of them.</w:t>
            </w:r>
          </w:p>
          <w:p w14:paraId="1E54B69A" w14:textId="77777777" w:rsidR="0017596D" w:rsidRPr="00124566" w:rsidRDefault="0017596D" w:rsidP="0017596D">
            <w:pPr>
              <w:spacing w:before="0" w:beforeAutospacing="0" w:after="0" w:afterAutospacing="0"/>
              <w:rPr/>
            </w:pPr>
            <w:r>
              <w:rPr>
                <w:bCs/>
              </w:rPr>
              <w:t>Knowledge: Gained through the double hermeneutic – the researcher interpreting the participant's own interpretation of their experience.</w:t>
            </w:r>
          </w:p>
          <w:p w14:paraId="1E54B69A" w14:textId="77777777" w:rsidR="0017596D" w:rsidRPr="00124566" w:rsidRDefault="0017596D" w:rsidP="0017596D">
            <w:pPr>
              <w:spacing w:before="0" w:beforeAutospacing="0" w:after="0" w:afterAutospacing="0"/>
              <w:rPr/>
            </w:pPr>
            <w:r>
              <w:rPr>
                <w:bCs/>
              </w:rPr>
              <w:t>Focus: On how individual consumers make sense of CSR initiatives, and on both convergence and divergence across cases.</w:t>
            </w:r>
          </w:p>
          <w:p w14:paraId="1E54B69A" w14:textId="77777777" w:rsidR="0017596D" w:rsidRPr="00124566" w:rsidRDefault="0017596D" w:rsidP="0017596D">
            <w:pPr>
              <w:spacing w:before="0" w:beforeAutospacing="0" w:after="0" w:afterAutospacing="0"/>
              <w:rPr/>
            </w:pPr>
            <w:r>
              <w:rPr>
                <w:bCs/>
              </w:rPr>
              <w:t>What it seeks to do: Produce a detailed, interpretative account of what the CSR-loyalty experience means to particular consumers in a particular context.</w:t>
            </w:r>
          </w:p>
          <w:p w14:paraId="1E54B69A" w14:textId="77777777" w:rsidR="0017596D" w:rsidRPr="00124566" w:rsidRDefault="0017596D" w:rsidP="0017596D">
            <w:pPr>
              <w:spacing w:before="0" w:beforeAutospacing="0" w:after="0" w:afterAutospacing="0"/>
              <w:rPr/>
            </w:pPr>
            <w:r>
              <w:rPr>
                <w:bCs/>
              </w:rPr>
              <w:t>Rationale: Consumer loyalty is shaped by how individuals experience and interpret CSR initiatives, and this is best understood case by case.</w:t>
            </w:r>
          </w:p>
          <w:p w14:paraId="1E54B69A" w14:textId="77777777" w:rsidR="0017596D" w:rsidRPr="00124566" w:rsidRDefault="0017596D" w:rsidP="0017596D">
            <w:pPr>
              <w:spacing w:before="0" w:beforeAutospacing="0" w:after="0" w:afterAutospacing="0"/>
              <w:rPr/>
            </w:pPr>
            <w:r>
              <w:rPr>
                <w:bCs/>
              </w:rPr>
              <w:t>Axiology: Values the subjective experiences of consumers; the researcher's own preconceptions are acknowledged and examined reflexively rather than bracketed.</w:t>
            </w:r>
          </w:p>
          <w:p w14:paraId="1E54B69A" w14:textId="77777777" w:rsidR="0017596D" w:rsidRPr="00124566" w:rsidRDefault="0017596D" w:rsidP="0017596D">
            <w:pPr>
              <w:spacing w:before="0" w:beforeAutospacing="0" w:after="0" w:afterAutospacing="0"/>
              <w:rPr/>
            </w:pPr>
            <w:r>
              <w:rPr>
                <w:bCs/>
              </w:rPr>
              <w:t>Theoretical Framework: Draws on interpretive (Heideggerian) phenomenology and hermeneutics; consumer experience theories are brought in mainly at the discussion stage.</w:t>
            </w:r>
          </w:p>
          <w:p w14:paraId="1E54B69A" w14:textId="77777777" w:rsidR="0017596D" w:rsidRPr="00124566" w:rsidRDefault="0017596D" w:rsidP="0017596D">
            <w:pPr>
              <w:spacing w:before="0" w:beforeAutospacing="0" w:after="0" w:afterAutospacing="0"/>
              <w:rPr/>
            </w:pPr>
            <w:r>
              <w:rPr>
                <w:bCs/>
              </w:rPr>
              <w:t>Conceptual Model: Experiential themes of the CSR-loyalty relationship (Group Experiential Themes with individual variation).</w:t>
            </w:r>
          </w:p>
          <w:p w14:paraId="1E54B69A" w14:textId="77777777" w:rsidR="0017596D" w:rsidRPr="00124566" w:rsidRDefault="0017596D" w:rsidP="0017596D">
            <w:pPr>
              <w:spacing w:before="0" w:beforeAutospacing="0" w:after="0" w:afterAutospacing="0"/>
              <w:rPr/>
            </w:pPr>
            <w:r>
              <w:rPr>
                <w:bCs/>
              </w:rPr>
              <w:t>Conceptual Framework: Inductive, with themes developed through close interpretative analysis of each case.</w:t>
            </w:r>
          </w:p>
          <w:p w14:paraId="1E54B69A" w14:textId="77777777" w:rsidR="0017596D" w:rsidRPr="00124566" w:rsidRDefault="0017596D" w:rsidP="0017596D">
            <w:pPr>
              <w:spacing w:before="0" w:beforeAutospacing="0" w:after="0" w:afterAutospacing="0"/>
              <w:rPr/>
            </w:pPr>
            <w:r>
              <w:rPr>
                <w:bCs/>
              </w:rPr>
              <w:t>Implications for Practice: Shows practitioners what CSR initiatives mean to consumers, informing the design of initiatives that feel meaningful and credible.</w:t>
            </w:r>
          </w:p>
          <w:p w14:paraId="1E54B69A" w14:textId="77777777" w:rsidR="0017596D" w:rsidRPr="00124566" w:rsidRDefault="0017596D" w:rsidP="0017596D">
            <w:pPr>
              <w:spacing w:before="0" w:beforeAutospacing="0" w:after="0" w:afterAutospacing="0"/>
              <w:rPr/>
            </w:pPr>
            <w:r>
              <w:rPr>
                <w:bCs/>
              </w:rPr>
              <w:t>Ethics: Ensures informed consent, protects identities within a small sample, and respects the personal nature of participants' accounts.</w:t>
            </w:r>
          </w:p>
          <w:p w14:paraId="1E54B69A" w14:textId="77777777" w:rsidR="0017596D" w:rsidRPr="00124566" w:rsidRDefault="0017596D" w:rsidP="0017596D">
            <w:pPr>
              <w:spacing w:before="0" w:beforeAutospacing="0" w:after="0" w:afterAutospacing="0"/>
              <w:rPr/>
            </w:pPr>
            <w:r>
              <w:rPr>
                <w:bCs/>
              </w:rPr>
              <w:t>Approach: Primarily inductive and idiographic, moving back and forth around the hermeneutic circle.</w:t>
            </w:r>
          </w:p>
          <w:p w14:paraId="1E54B69A" w14:textId="77777777" w:rsidR="0017596D" w:rsidRPr="00124566" w:rsidRDefault="0017596D" w:rsidP="0017596D">
            <w:pPr>
              <w:spacing w:before="0" w:beforeAutospacing="0" w:after="0" w:afterAutospacing="0"/>
              <w:rPr/>
            </w:pPr>
            <w:r>
              <w:rPr>
                <w:bCs/>
              </w:rPr>
              <w:t>Strengths: Provides rich, nuanced insight into individual sense-making and keeps individual voices visible alongside shared themes.</w:t>
            </w:r>
          </w:p>
          <w:p w14:paraId="1E54B69A" w14:textId="77777777" w:rsidR="0017596D" w:rsidRPr="00124566" w:rsidRDefault="0017596D" w:rsidP="0017596D">
            <w:pPr>
              <w:spacing w:before="0" w:beforeAutospacing="0" w:after="0" w:afterAutospacing="0"/>
              <w:rPr/>
            </w:pPr>
            <w:r>
              <w:rPr>
                <w:bCs/>
              </w:rPr>
              <w:t>Weaknesses: Small, homogeneous samples limit transferability; depends heavily on the researcher's interpretative skill; may overlook broader structural or market factors.</w:t>
            </w:r>
          </w:p>
        </w:tc>
      </w:tr>
      <w:tr>
        <w:tc>
          <w:tcPr>
            <w:tcW w:type="dxa" w:w="2438"/>
            <w:shd w:val="clear" w:color="auto" w:fill="EEF8E6"/>
            <w:tcMar>
              <w:top w:w="60" w:type="dxa"/>
              <w:bottom w:w="60" w:type="dxa"/>
              <w:left w:w="100" w:type="dxa"/>
              <w:right w:w="100" w:type="dxa"/>
            </w:tcMar>
            <w:vAlign w:val="top"/>
          </w:tcPr>
          <w:p w14:paraId="60AAEA9B" w14:textId="339A71BA" w:rsidR="00AF577E" w:rsidRPr="00124566" w:rsidRDefault="00AF577E" w:rsidP="00AF577E">
            <w:pPr>
              <w:spacing w:before="0" w:beforeAutospacing="0" w:after="0" w:afterAutospacing="0"/>
              <w:rPr>
                <w:b/>
                <w:bCs/>
              </w:rPr>
            </w:pPr>
            <w:r>
              <w:rPr>
                <w:b/>
                <w:bCs/>
              </w:rPr>
              <w:t>Phenomenology and Ethics</w:t>
            </w:r>
          </w:p>
        </w:tc>
        <w:tc>
          <w:tcPr>
            <w:tcW w:type="dxa" w:w="7200"/>
            <w:tcMar>
              <w:top w:w="60" w:type="dxa"/>
              <w:bottom w:w="60" w:type="dxa"/>
              <w:left w:w="100" w:type="dxa"/>
              <w:right w:w="100" w:type="dxa"/>
            </w:tcMar>
            <w:vAlign w:val="top"/>
          </w:tcPr>
          <w:p w14:paraId="4709B793" w14:textId="77777777" w:rsidR="00AF577E" w:rsidRPr="00124566" w:rsidRDefault="00AF577E" w:rsidP="00AF577E">
            <w:pPr>
              <w:spacing w:before="0" w:beforeAutospacing="0" w:after="0" w:afterAutospacing="0"/>
              <w:rPr/>
            </w:pPr>
            <w:r>
              <w:rPr/>
              <w:t>Respecting participants' lived experiences</w:t>
            </w:r>
          </w:p>
          <w:p w14:paraId="4709B793" w14:textId="77777777" w:rsidR="00AF577E" w:rsidRPr="00124566" w:rsidRDefault="00AF577E" w:rsidP="00AF577E">
            <w:pPr>
              <w:spacing w:before="0" w:beforeAutospacing="0" w:after="0" w:afterAutospacing="0"/>
              <w:rPr/>
            </w:pPr>
            <w:r>
              <w:rPr/>
              <w:t>Descriptive phenomenology (Husserl): bracketing researcher's preconceptions to avoid imposing them. Interpretive phenomenology, including IPA (Heidegger): preconceptions cannot be fully bracketed, so the researcher acknowledges them openly and examines them reflexively, linking to the positionality statement</w:t>
            </w:r>
          </w:p>
          <w:p w14:paraId="4709B793" w14:textId="77777777" w:rsidR="00AF577E" w:rsidRPr="00124566" w:rsidRDefault="00AF577E" w:rsidP="00AF577E">
            <w:pPr>
              <w:spacing w:before="0" w:beforeAutospacing="0" w:after="0" w:afterAutospacing="0"/>
              <w:rPr/>
            </w:pPr>
            <w:r>
              <w:rPr/>
              <w:t>Ensuring confidentiality in deeply personal accounts – particularly important with small, homogeneous samples, where participants may recognise each other</w:t>
            </w:r>
          </w:p>
          <w:p w14:paraId="4709B793" w14:textId="77777777" w:rsidR="00AF577E" w:rsidRPr="00124566" w:rsidRDefault="00AF577E" w:rsidP="00AF577E">
            <w:pPr>
              <w:spacing w:before="0" w:beforeAutospacing="0" w:after="0" w:afterAutospacing="0"/>
              <w:rPr/>
            </w:pPr>
            <w:r>
              <w:rPr/>
              <w:t>Managing potential emotional distress during in-depth interviews</w:t>
            </w:r>
          </w:p>
          <w:p w14:paraId="4709B793" w14:textId="77777777" w:rsidR="00AF577E" w:rsidRPr="00124566" w:rsidRDefault="00AF577E" w:rsidP="00AF577E">
            <w:pPr>
              <w:spacing w:before="0" w:beforeAutospacing="0" w:after="0" w:afterAutospacing="0"/>
              <w:rPr/>
            </w:pPr>
            <w:r>
              <w:rPr/>
              <w:t>Accurate representation of participants' experiences, keeping a clear distinction between participants' words and the researcher's interpretation</w:t>
            </w:r>
          </w:p>
          <w:p w14:paraId="4709B793" w14:textId="77777777" w:rsidR="00AF577E" w:rsidRPr="00124566" w:rsidRDefault="00AF577E" w:rsidP="00AF577E">
            <w:pPr>
              <w:spacing w:before="0" w:beforeAutospacing="0" w:after="0" w:afterAutospacing="0"/>
              <w:rPr/>
            </w:pPr>
            <w:r>
              <w:rPr/>
              <w:t>Considering the impact of reflection on participants' self-perception</w:t>
            </w:r>
          </w:p>
        </w:tc>
      </w:tr>
      <w:tr>
        <w:tc>
          <w:tcPr>
            <w:tcW w:type="dxa" w:w="7200"/>
            <w:gridSpan w:val="2"/>
            <w:shd w:val="clear" w:color="auto" w:fill="D7EFC4"/>
            <w:tcMar>
              <w:top w:w="60" w:type="dxa"/>
              <w:bottom w:w="60" w:type="dxa"/>
              <w:left w:w="100" w:type="dxa"/>
              <w:right w:w="100" w:type="dxa"/>
            </w:tcMar>
            <w:vAlign w:val="top"/>
            <w:tcMar>
              <w:top w:w="60" w:type="dxa"/>
              <w:bottom w:w="60" w:type="dxa"/>
              <w:left w:w="100" w:type="dxa"/>
              <w:right w:w="100" w:type="dxa"/>
            </w:tcMar>
          </w:tcPr>
          <w:p>
            <w:r/>
            <w:r>
              <w:rPr>
                <w:b/>
              </w:rPr>
              <w:t>Reading</w:t>
            </w:r>
          </w:p>
        </w:tc>
      </w:tr>
      <w:tr>
        <w:tc>
          <w:tcPr>
            <w:tcW w:type="dxa" w:w="2438"/>
            <w:shd w:val="clear" w:color="auto" w:fill="EEF8E6"/>
            <w:tcMar>
              <w:top w:w="60" w:type="dxa"/>
              <w:bottom w:w="60" w:type="dxa"/>
              <w:left w:w="100" w:type="dxa"/>
              <w:right w:w="100" w:type="dxa"/>
            </w:tcMar>
            <w:vAlign w:val="top"/>
          </w:tcPr>
          <w:p w14:paraId="71825088" w14:textId="0FA9D656" w:rsidR="00411467" w:rsidRPr="00124566" w:rsidRDefault="00411467" w:rsidP="00411467">
            <w:pPr>
              <w:spacing w:before="0" w:beforeAutospacing="0" w:after="0" w:afterAutospacing="0"/>
              <w:rPr>
                <w:b/>
                <w:bCs/>
              </w:rPr>
            </w:pPr>
            <w:r>
              <w:rPr>
                <w:b/>
              </w:rPr>
              <w:lastRenderedPageBreak/>
              <w:t>Interpretivism</w:t>
            </w:r>
          </w:p>
        </w:tc>
        <w:tc>
          <w:tcPr>
            <w:tcW w:type="dxa" w:w="7200"/>
            <w:tcMar>
              <w:top w:w="60" w:type="dxa"/>
              <w:bottom w:w="60" w:type="dxa"/>
              <w:left w:w="100" w:type="dxa"/>
              <w:right w:w="100" w:type="dxa"/>
            </w:tcMar>
            <w:vAlign w:val="top"/>
          </w:tcPr>
          <w:p w14:paraId="0190528D" w14:textId="2C7AC4B1" w:rsidR="00411467" w:rsidRPr="00124566" w:rsidRDefault="00411467" w:rsidP="00411467">
            <w:pPr>
              <w:spacing w:before="0" w:beforeAutospacing="0" w:after="0" w:afterAutospacing="0"/>
              <w:rPr/>
            </w:pPr>
            <w:r>
              <w:rPr/>
              <w:t xml:space="preserve">   - Max Weber: ‘Economy and Society’ (1922)</w:t>
            </w:r>
          </w:p>
          <w:p w14:paraId="0190528D" w14:textId="2C7AC4B1" w:rsidR="00411467" w:rsidRPr="00124566" w:rsidRDefault="00411467" w:rsidP="00411467">
            <w:pPr>
              <w:spacing w:before="0" w:beforeAutospacing="0" w:after="0" w:afterAutospacing="0"/>
              <w:rPr/>
            </w:pPr>
            <w:r>
              <w:rPr/>
              <w:t xml:space="preserve">   - Clifford Geertz: ‘The Interpretation of Cultures’ (1973)</w:t>
            </w:r>
          </w:p>
          <w:p w14:paraId="0190528D" w14:textId="2C7AC4B1" w:rsidR="00411467" w:rsidRPr="00124566" w:rsidRDefault="00411467" w:rsidP="00411467">
            <w:pPr>
              <w:spacing w:before="0" w:beforeAutospacing="0" w:after="0" w:afterAutospacing="0"/>
              <w:rPr/>
            </w:pPr>
            <w:r>
              <w:rPr/>
              <w:t xml:space="preserve">   - Norman Denzin: ‘Interpretive Interactionism’ (1989)</w:t>
            </w:r>
          </w:p>
          <w:p w14:paraId="0190528D" w14:textId="2C7AC4B1" w:rsidR="00411467" w:rsidRPr="00124566" w:rsidRDefault="00411467" w:rsidP="00411467">
            <w:pPr>
              <w:spacing w:before="0" w:beforeAutospacing="0" w:after="0" w:afterAutospacing="0"/>
              <w:rPr/>
            </w:pPr>
            <w:r>
              <w:rPr/>
              <w:t xml:space="preserve">   - Jonathan A. Smith, Paul Flowers and Michael Larkin: ‘Interpretative Phenomenological Analysis: Theory, Method and Research’ (2nd ed., 2022)</w:t>
            </w:r>
          </w:p>
          <w:p w14:paraId="0190528D" w14:textId="2C7AC4B1" w:rsidR="00411467" w:rsidRPr="00124566" w:rsidRDefault="00411467" w:rsidP="00411467">
            <w:pPr>
              <w:spacing w:before="0" w:beforeAutospacing="0" w:after="0" w:afterAutospacing="0"/>
              <w:rPr/>
            </w:pPr>
            <w:r>
              <w:rPr/>
              <w:t xml:space="preserve">   - Michael Larkin, Simon Watts and Elizabeth Clifton: ‘Giving voice and making sense in interpretative phenomenological analysis’ (2006)</w:t>
            </w:r>
          </w:p>
          <w:p w14:paraId="0190528D" w14:textId="2C7AC4B1" w:rsidR="00411467" w:rsidRPr="00124566" w:rsidRDefault="00411467" w:rsidP="00411467">
            <w:pPr>
              <w:spacing w:before="0" w:beforeAutospacing="0" w:after="0" w:afterAutospacing="0"/>
              <w:rPr/>
            </w:pPr>
            <w:r>
              <w:rPr/>
              <w:t xml:space="preserve">   - Michael J. Gill: ‘The possibilities of phenomenology for organizational research’ (2014)</w:t>
            </w:r>
          </w:p>
        </w:tc>
      </w:tr>
      <w:tr>
        <w:tc>
          <w:tcPr>
            <w:tcW w:type="dxa" w:w="2438"/>
            <w:shd w:val="clear" w:color="auto" w:fill="EEF8E6"/>
            <w:tcMar>
              <w:top w:w="60" w:type="dxa"/>
              <w:bottom w:w="60" w:type="dxa"/>
              <w:left w:w="100" w:type="dxa"/>
              <w:right w:w="100" w:type="dxa"/>
            </w:tcMar>
            <w:vAlign w:val="top"/>
          </w:tcPr>
          <w:p w14:paraId="5719FA61" w14:textId="59B43073" w:rsidR="00411467" w:rsidRPr="00124566" w:rsidRDefault="00411467" w:rsidP="00411467">
            <w:pPr>
              <w:spacing w:before="0" w:beforeAutospacing="0" w:after="0" w:afterAutospacing="0"/>
              <w:rPr>
                <w:b/>
                <w:bCs/>
              </w:rPr>
            </w:pPr>
            <w:r>
              <w:rPr>
                <w:b/>
              </w:rPr>
              <w:t>Additional Modern Authors</w:t>
            </w:r>
          </w:p>
        </w:tc>
        <w:tc>
          <w:tcPr>
            <w:tcW w:type="dxa" w:w="7200"/>
            <w:tcMar>
              <w:top w:w="60" w:type="dxa"/>
              <w:bottom w:w="60" w:type="dxa"/>
              <w:left w:w="100" w:type="dxa"/>
              <w:right w:w="100" w:type="dxa"/>
            </w:tcMar>
            <w:vAlign w:val="top"/>
          </w:tcPr>
          <w:p w14:paraId="70B38A1C" w14:textId="77777777" w:rsidR="00411467" w:rsidRPr="00124566" w:rsidRDefault="00411467" w:rsidP="00411467">
            <w:pPr>
              <w:spacing w:before="0" w:beforeAutospacing="0" w:after="0" w:afterAutospacing="0"/>
              <w:rPr/>
            </w:pPr>
            <w:r>
              <w:rPr/>
              <w:t>Modern Research Methods Writers:</w:t>
            </w:r>
          </w:p>
          <w:p w14:paraId="32C64850" w14:textId="77777777" w:rsidR="00411467" w:rsidRPr="00124566" w:rsidRDefault="00411467" w:rsidP="00411467">
            <w:pPr>
              <w:rPr/>
            </w:pPr>
          </w:p>
          <w:p w14:paraId="7BD0ED84" w14:textId="77777777" w:rsidR="00411467" w:rsidRPr="00124566" w:rsidRDefault="00411467" w:rsidP="00411467">
            <w:pPr>
              <w:spacing w:before="0" w:beforeAutospacing="0" w:after="0" w:afterAutospacing="0"/>
              <w:rPr/>
            </w:pPr>
            <w:r>
              <w:rPr/>
              <w:t>Mixed Methods and Paradigm Integration:</w:t>
            </w:r>
          </w:p>
          <w:p w14:paraId="1934D399" w14:textId="1159C61A" w:rsidR="00411467" w:rsidRPr="00124566" w:rsidRDefault="00411467" w:rsidP="00411467">
            <w:pPr>
              <w:spacing w:before="0" w:beforeAutospacing="0" w:after="0" w:afterAutospacing="0"/>
              <w:rPr/>
            </w:pPr>
            <w:r>
              <w:rPr/>
              <w:t xml:space="preserve">   - John W. Creswell: ‘Research Design: Qualitative, Quantitative, and Mixed Methods Approaches’ (4th ed., 2014)</w:t>
            </w:r>
          </w:p>
          <w:p w14:paraId="1AA644C3" w14:textId="03C1D74D" w:rsidR="00411467" w:rsidRPr="00124566" w:rsidRDefault="00411467" w:rsidP="00411467">
            <w:pPr>
              <w:spacing w:before="0" w:beforeAutospacing="0" w:after="0" w:afterAutospacing="0"/>
              <w:rPr/>
            </w:pPr>
            <w:r>
              <w:rPr/>
              <w:t xml:space="preserve">   - Abbas Tashakkori and Charles Teddlie: ‘Handbook of Mixed Methods in Social &amp; Behavioral Research’ (2nd ed., 2010)</w:t>
            </w:r>
          </w:p>
          <w:p w14:paraId="77A8BECF" w14:textId="77777777" w:rsidR="00411467" w:rsidRPr="00124566" w:rsidRDefault="00411467" w:rsidP="00411467">
            <w:pPr>
              <w:rPr/>
            </w:pPr>
          </w:p>
          <w:p w14:paraId="1FAD0077" w14:textId="77777777" w:rsidR="00411467" w:rsidRPr="00124566" w:rsidRDefault="00411467" w:rsidP="00411467">
            <w:pPr>
              <w:spacing w:before="0" w:beforeAutospacing="0" w:after="0" w:afterAutospacing="0"/>
              <w:rPr/>
            </w:pPr>
            <w:r>
              <w:rPr/>
              <w:t>Qualitative Research:</w:t>
            </w:r>
          </w:p>
          <w:p w14:paraId="4AF7930C" w14:textId="5017BE74" w:rsidR="00411467" w:rsidRPr="00124566" w:rsidRDefault="00411467" w:rsidP="00411467">
            <w:pPr>
              <w:spacing w:before="0" w:beforeAutospacing="0" w:after="0" w:afterAutospacing="0"/>
              <w:rPr/>
            </w:pPr>
            <w:r>
              <w:rPr/>
              <w:t xml:space="preserve">   - Yvonna Lincoln and Egon Guba: ‘Naturalistic Inquiry’ (1985)</w:t>
            </w:r>
          </w:p>
          <w:p w14:paraId="16D10795" w14:textId="3CE2F29C" w:rsidR="00411467" w:rsidRPr="00124566" w:rsidRDefault="00411467" w:rsidP="00411467">
            <w:pPr>
              <w:spacing w:before="0" w:beforeAutospacing="0" w:after="0" w:afterAutospacing="0"/>
              <w:rPr/>
            </w:pPr>
            <w:r>
              <w:rPr/>
              <w:t xml:space="preserve">   - Anselm Strauss and Juliet Corbin: ‘Basics of Qualitative Research’ (3rd ed., 2008)</w:t>
            </w:r>
          </w:p>
          <w:p w14:paraId="6C1C98E5" w14:textId="35E0A8ED" w:rsidR="00411467" w:rsidRPr="00124566" w:rsidRDefault="00411467" w:rsidP="00411467">
            <w:pPr>
              <w:spacing w:before="0" w:beforeAutospacing="0" w:after="0" w:afterAutospacing="0"/>
              <w:rPr/>
            </w:pPr>
            <w:r>
              <w:rPr/>
              <w:t xml:space="preserve">   - Robert K. Yin: ‘Case Study Research and Applications: Design and Methods’ (6th ed., 2017)</w:t>
            </w:r>
          </w:p>
          <w:p w14:paraId="20228B1F" w14:textId="7E797EE3" w:rsidR="00411467" w:rsidRPr="00124566" w:rsidRDefault="00411467" w:rsidP="00411467">
            <w:pPr>
              <w:spacing w:before="0" w:beforeAutospacing="0" w:after="0" w:afterAutospacing="0"/>
              <w:rPr/>
            </w:pPr>
            <w:r>
              <w:rPr/>
              <w:t xml:space="preserve">   - Kathy Charmaz: ‘Constructing Grounded Theory’ (2nd ed., 2014)</w:t>
            </w:r>
          </w:p>
          <w:p w14:paraId="683FD689" w14:textId="77777777" w:rsidR="00411467" w:rsidRPr="00124566" w:rsidRDefault="00411467" w:rsidP="00411467">
            <w:pPr>
              <w:rPr/>
            </w:pPr>
          </w:p>
          <w:p w14:paraId="74164166" w14:textId="77777777" w:rsidR="00411467" w:rsidRPr="00124566" w:rsidRDefault="00411467" w:rsidP="00411467">
            <w:pPr>
              <w:spacing w:before="0" w:beforeAutospacing="0" w:after="0" w:afterAutospacing="0"/>
              <w:rPr/>
            </w:pPr>
            <w:r>
              <w:rPr/>
              <w:t>Quantitative Research:</w:t>
            </w:r>
          </w:p>
          <w:p w14:paraId="14D7DB05" w14:textId="3E927A48" w:rsidR="00411467" w:rsidRPr="00124566" w:rsidRDefault="00411467" w:rsidP="00411467">
            <w:pPr>
              <w:spacing w:before="0" w:beforeAutospacing="0" w:after="0" w:afterAutospacing="0"/>
              <w:rPr/>
            </w:pPr>
            <w:r>
              <w:rPr/>
              <w:t xml:space="preserve">   - Andy Field: ‘Discovering Statistics Using IBM SPSS Statistics’ (5th ed., 2017)</w:t>
            </w:r>
          </w:p>
          <w:p w14:paraId="37FA171F" w14:textId="444BA2C3" w:rsidR="00411467" w:rsidRPr="00124566" w:rsidRDefault="00411467" w:rsidP="00411467">
            <w:pPr>
              <w:spacing w:before="0" w:beforeAutospacing="0" w:after="0" w:afterAutospacing="0"/>
              <w:rPr/>
            </w:pPr>
            <w:r>
              <w:rPr/>
              <w:t xml:space="preserve">   - Barbara G. Tabachnick and Linda S. Fidell: ‘Using Multivariate Statistics’ (7th ed., 2019)</w:t>
            </w:r>
          </w:p>
          <w:p w14:paraId="1055E4F8" w14:textId="77777777" w:rsidR="00411467" w:rsidRPr="00124566" w:rsidRDefault="00411467" w:rsidP="00411467">
            <w:pPr>
              <w:rPr/>
            </w:pPr>
          </w:p>
          <w:p w14:paraId="4A3DB65D" w14:textId="77777777" w:rsidR="00411467" w:rsidRPr="00124566" w:rsidRDefault="00411467" w:rsidP="00411467">
            <w:pPr>
              <w:spacing w:before="0" w:beforeAutospacing="0" w:after="0" w:afterAutospacing="0"/>
              <w:rPr/>
            </w:pPr>
            <w:r>
              <w:rPr/>
              <w:t>Philosophy of Science:</w:t>
            </w:r>
          </w:p>
          <w:p w14:paraId="3C89F76F" w14:textId="7EBC6002" w:rsidR="00411467" w:rsidRPr="00124566" w:rsidRDefault="00411467" w:rsidP="00411467">
            <w:pPr>
              <w:spacing w:before="0" w:beforeAutospacing="0" w:after="0" w:afterAutospacing="0"/>
              <w:rPr/>
            </w:pPr>
            <w:r>
              <w:rPr/>
              <w:t xml:space="preserve">    - Ian Hacking: ‘Representing and Intervening’ (1983)</w:t>
            </w:r>
          </w:p>
          <w:p w14:paraId="13E63B83" w14:textId="20B37FE0" w:rsidR="00411467" w:rsidRPr="00124566" w:rsidRDefault="00411467" w:rsidP="00411467">
            <w:pPr>
              <w:spacing w:before="0" w:beforeAutospacing="0" w:after="0" w:afterAutospacing="0"/>
              <w:ind w:firstLine="218"/>
              <w:rPr/>
            </w:pPr>
            <w:r>
              <w:rPr/>
              <w:t xml:space="preserve">- Sandra Harding: ‘Whose Science? Whose Knowledge?’ (1991)</w:t>
            </w:r>
          </w:p>
          <w:p w14:paraId="0285D06F" w14:textId="77777777" w:rsidR="00411467" w:rsidRPr="00124566" w:rsidRDefault="00411467" w:rsidP="00411467">
            <w:pPr>
              <w:rPr/>
            </w:pPr>
          </w:p>
          <w:p w14:paraId="6299DC82" w14:textId="55427B64" w:rsidR="00411467" w:rsidRPr="00124566" w:rsidRDefault="00411467" w:rsidP="00411467">
            <w:pPr>
              <w:spacing w:before="0" w:beforeAutospacing="0" w:after="0" w:afterAutospacing="0"/>
              <w:rPr/>
            </w:pPr>
            <w:r>
              <w:rPr/>
              <w:t xml:space="preserve">Patricia Leavy: ‘Research Design: Quantitative, Qualitative, Mixed Methods, Arts-Based, and Community-Based Participatory Research Approaches’ (2017)</w:t>
            </w:r>
          </w:p>
          <w:p w14:paraId="43AD4B2F" w14:textId="587193DB" w:rsidR="00411467" w:rsidRPr="00124566" w:rsidRDefault="00411467" w:rsidP="00411467">
            <w:pPr>
              <w:spacing w:before="0" w:beforeAutospacing="0" w:after="0" w:afterAutospacing="0"/>
              <w:rPr/>
            </w:pPr>
            <w:r>
              <w:rPr/>
              <w:t xml:space="preserve">Uwe Flick: ‘An Introduction to Qualitative Research’ (6th ed., 2018)</w:t>
            </w:r>
          </w:p>
          <w:p w14:paraId="6A2A2064" w14:textId="44465628" w:rsidR="00411467" w:rsidRPr="00124566" w:rsidRDefault="00411467" w:rsidP="00411467">
            <w:pPr>
              <w:spacing w:before="0" w:beforeAutospacing="0" w:after="0" w:afterAutospacing="0"/>
              <w:rPr/>
            </w:pPr>
            <w:r>
              <w:rPr/>
              <w:t xml:space="preserve">David Silverman: ‘Doing Qualitative Research’ (5th ed., 2017)</w:t>
            </w:r>
          </w:p>
          <w:p w14:paraId="6D297FC1" w14:textId="0CC51277" w:rsidR="00411467" w:rsidRPr="00124566" w:rsidRDefault="00411467" w:rsidP="00411467">
            <w:pPr>
              <w:spacing w:before="0" w:beforeAutospacing="0" w:after="0" w:afterAutospacing="0"/>
              <w:rPr/>
            </w:pPr>
            <w:r>
              <w:rPr/>
              <w:t xml:space="preserve">Alan Bryman: ‘Social Research Methods’ (5th ed., 2016)</w:t>
            </w:r>
          </w:p>
          <w:p w14:paraId="6C1710BD" w14:textId="0A5F9420" w:rsidR="00411467" w:rsidRPr="00124566" w:rsidRDefault="00411467" w:rsidP="00411467">
            <w:pPr>
              <w:spacing w:before="0" w:beforeAutospacing="0" w:after="0" w:afterAutospacing="0"/>
              <w:rPr/>
            </w:pPr>
            <w:r>
              <w:rPr/>
              <w:t xml:space="preserve">Sharlene Nagy Hesse-Biber: ‘The Practice of Qualitative Research’ (3rd ed., 2016)</w:t>
            </w:r>
          </w:p>
          <w:p w14:paraId="4BEA05CA" w14:textId="1D33CD61" w:rsidR="00411467" w:rsidRPr="00124566" w:rsidRDefault="00411467" w:rsidP="00411467">
            <w:pPr>
              <w:spacing w:before="0" w:beforeAutospacing="0" w:after="0" w:afterAutospacing="0"/>
              <w:rPr/>
            </w:pPr>
            <w:r>
              <w:rPr/>
              <w:t xml:space="preserve">Michael Quinn Patton: ‘Qualitative Research &amp; Evaluation Methods’ (4th ed., 2014)</w:t>
            </w:r>
          </w:p>
          <w:p w14:paraId="6BECFC35" w14:textId="77777777" w:rsidR="00411467" w:rsidRPr="00124566" w:rsidRDefault="00411467" w:rsidP="00411467">
            <w:pPr>
              <w:rPr/>
            </w:pPr>
          </w:p>
          <w:p w14:paraId="1AA74F88" w14:textId="7D9477AF" w:rsidR="00411467" w:rsidRPr="00124566" w:rsidRDefault="00411467" w:rsidP="00411467">
            <w:pPr>
              <w:spacing w:before="0" w:beforeAutospacing="0" w:after="0" w:afterAutospacing="0"/>
              <w:rPr/>
            </w:pPr>
            <w:r>
              <w:rPr/>
              <w:t>These modern authors have contributed significantly to the development and refinement of research methods across various paradigms, often integrating insights from multiple approaches.</w:t>
            </w:r>
          </w:p>
        </w:tc>
      </w:tr>
    </w:tbl>
    <w:sectPr w:rsidR="00FC693F" w:rsidRPr="0006063C" w:rsidSect="00034616">
      <w:footerReference w:type="default" r:id="rId9"/>
      <w:pgSz w:w="11906" w:h="16838"/>
      <w:pgMar w:top="1134" w:right="1134" w:bottom="1134" w:left="11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sz w:val="20"/>
      </w:rPr>
      <w:t>DBA Research Philosophy</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0" w:before="0" w:line="240" w:lineRule="auto"/>
    </w:pPr>
    <w:rPr>
      <w:rFonts w:ascii="Times New Roman" w:hAnsi="Times New Roman" w:eastAsia="Times New Roman"/>
      <w:color w:val="000000"/>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