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12919" w14:textId="77777777" w:rsidR="007F605C" w:rsidRDefault="009F400E" w:rsidP="008A0C92">
      <w:pPr>
        <w:spacing w:line="360" w:lineRule="auto"/>
        <w:jc w:val="center"/>
        <w:rPr>
          <w:rFonts w:ascii="Arial" w:hAnsi="Arial" w:cs="Arial"/>
        </w:rPr>
      </w:pPr>
      <w:r w:rsidRPr="0002193C">
        <w:rPr>
          <w:rFonts w:ascii="Arial" w:hAnsi="Arial" w:cs="Arial"/>
        </w:rPr>
        <w:t xml:space="preserve">          </w:t>
      </w:r>
    </w:p>
    <w:p w14:paraId="4DFE9971" w14:textId="77777777" w:rsidR="007F605C" w:rsidRDefault="007F605C" w:rsidP="008A0C92">
      <w:pPr>
        <w:spacing w:line="360" w:lineRule="auto"/>
        <w:jc w:val="center"/>
        <w:rPr>
          <w:rFonts w:ascii="Arial" w:hAnsi="Arial" w:cs="Arial"/>
        </w:rPr>
      </w:pPr>
    </w:p>
    <w:p w14:paraId="6A0072FF" w14:textId="0A327D53" w:rsidR="008A0C92" w:rsidRPr="00A90DB4" w:rsidRDefault="008A0C92" w:rsidP="008A0C92">
      <w:pPr>
        <w:spacing w:line="360" w:lineRule="auto"/>
        <w:jc w:val="center"/>
        <w:rPr>
          <w:rFonts w:ascii="Arial" w:hAnsi="Arial" w:cs="Arial"/>
          <w:b/>
          <w:bCs/>
          <w:color w:val="000000" w:themeColor="text1"/>
          <w:sz w:val="28"/>
          <w:szCs w:val="28"/>
        </w:rPr>
      </w:pPr>
      <w:r w:rsidRPr="00A90DB4">
        <w:rPr>
          <w:rFonts w:ascii="Arial" w:hAnsi="Arial" w:cs="Arial"/>
          <w:b/>
          <w:bCs/>
          <w:color w:val="000000" w:themeColor="text1"/>
          <w:sz w:val="28"/>
          <w:szCs w:val="28"/>
        </w:rPr>
        <w:t>Name: Ataf Rashid</w:t>
      </w:r>
    </w:p>
    <w:p w14:paraId="2E487F93" w14:textId="77777777" w:rsidR="008A0C92" w:rsidRPr="00A90DB4" w:rsidRDefault="008A0C92" w:rsidP="008A0C92">
      <w:pPr>
        <w:spacing w:line="360" w:lineRule="auto"/>
        <w:jc w:val="center"/>
        <w:rPr>
          <w:rFonts w:ascii="Arial" w:hAnsi="Arial" w:cs="Arial"/>
          <w:b/>
          <w:bCs/>
          <w:color w:val="000000" w:themeColor="text1"/>
          <w:sz w:val="28"/>
          <w:szCs w:val="28"/>
        </w:rPr>
      </w:pPr>
      <w:r w:rsidRPr="00A90DB4">
        <w:rPr>
          <w:rFonts w:ascii="Arial" w:hAnsi="Arial" w:cs="Arial"/>
          <w:b/>
          <w:bCs/>
          <w:color w:val="000000" w:themeColor="text1"/>
          <w:sz w:val="28"/>
          <w:szCs w:val="28"/>
        </w:rPr>
        <w:t>Student Number: 2434316</w:t>
      </w:r>
    </w:p>
    <w:p w14:paraId="2E52E333" w14:textId="77777777" w:rsidR="008A0C92" w:rsidRPr="00A90DB4" w:rsidRDefault="008A0C92" w:rsidP="008A0C92">
      <w:pPr>
        <w:spacing w:line="360" w:lineRule="auto"/>
        <w:jc w:val="center"/>
        <w:rPr>
          <w:rFonts w:ascii="Arial" w:hAnsi="Arial" w:cs="Arial"/>
          <w:b/>
          <w:bCs/>
          <w:color w:val="000000" w:themeColor="text1"/>
          <w:sz w:val="28"/>
          <w:szCs w:val="28"/>
        </w:rPr>
      </w:pPr>
      <w:r w:rsidRPr="00A90DB4">
        <w:rPr>
          <w:rFonts w:ascii="Arial" w:hAnsi="Arial" w:cs="Arial"/>
          <w:b/>
          <w:bCs/>
          <w:color w:val="000000" w:themeColor="text1"/>
          <w:sz w:val="28"/>
          <w:szCs w:val="28"/>
        </w:rPr>
        <w:t>Module Name: Principles of Health and Social Care Practice</w:t>
      </w:r>
    </w:p>
    <w:p w14:paraId="3CE2E93A" w14:textId="77777777" w:rsidR="008A0C92" w:rsidRPr="00A90DB4" w:rsidRDefault="008A0C92" w:rsidP="008A0C92">
      <w:pPr>
        <w:spacing w:line="360" w:lineRule="auto"/>
        <w:jc w:val="center"/>
        <w:rPr>
          <w:rFonts w:ascii="Arial" w:hAnsi="Arial" w:cs="Arial"/>
          <w:b/>
          <w:bCs/>
          <w:color w:val="000000" w:themeColor="text1"/>
          <w:sz w:val="28"/>
          <w:szCs w:val="28"/>
          <w:lang w:val="fr-FR"/>
        </w:rPr>
      </w:pPr>
      <w:proofErr w:type="spellStart"/>
      <w:r w:rsidRPr="00A90DB4">
        <w:rPr>
          <w:rFonts w:ascii="Arial" w:hAnsi="Arial" w:cs="Arial"/>
          <w:b/>
          <w:bCs/>
          <w:color w:val="000000" w:themeColor="text1"/>
          <w:sz w:val="28"/>
          <w:szCs w:val="28"/>
          <w:lang w:val="fr-FR"/>
        </w:rPr>
        <w:t>Lecturer</w:t>
      </w:r>
      <w:proofErr w:type="spellEnd"/>
      <w:r w:rsidRPr="00A90DB4">
        <w:rPr>
          <w:rFonts w:ascii="Arial" w:hAnsi="Arial" w:cs="Arial"/>
          <w:b/>
          <w:bCs/>
          <w:color w:val="000000" w:themeColor="text1"/>
          <w:sz w:val="28"/>
          <w:szCs w:val="28"/>
          <w:lang w:val="fr-FR"/>
        </w:rPr>
        <w:t>: Rizwan Nadim</w:t>
      </w:r>
    </w:p>
    <w:p w14:paraId="681A3DC5" w14:textId="77777777" w:rsidR="008A0C92" w:rsidRPr="00A90DB4" w:rsidRDefault="008A0C92" w:rsidP="008A0C92">
      <w:pPr>
        <w:spacing w:line="360" w:lineRule="auto"/>
        <w:jc w:val="center"/>
        <w:rPr>
          <w:rFonts w:ascii="Arial" w:hAnsi="Arial" w:cs="Arial"/>
          <w:b/>
          <w:color w:val="000000" w:themeColor="text1"/>
          <w:sz w:val="28"/>
          <w:szCs w:val="28"/>
          <w:lang w:val="fr-FR"/>
        </w:rPr>
      </w:pPr>
      <w:r w:rsidRPr="00A90DB4">
        <w:rPr>
          <w:rFonts w:ascii="Arial" w:hAnsi="Arial" w:cs="Arial"/>
          <w:b/>
          <w:bCs/>
          <w:color w:val="000000" w:themeColor="text1"/>
          <w:sz w:val="28"/>
          <w:szCs w:val="28"/>
          <w:lang w:val="fr-FR"/>
        </w:rPr>
        <w:t>Module Code: BMHP5016</w:t>
      </w:r>
    </w:p>
    <w:p w14:paraId="51C09764" w14:textId="40DF98FE" w:rsidR="008A0C92" w:rsidRPr="00A90DB4" w:rsidRDefault="008A0C92" w:rsidP="008A0C92">
      <w:pPr>
        <w:spacing w:line="360" w:lineRule="auto"/>
        <w:jc w:val="center"/>
        <w:rPr>
          <w:rFonts w:ascii="Arial" w:hAnsi="Arial" w:cs="Arial"/>
          <w:b/>
          <w:bCs/>
          <w:color w:val="000000" w:themeColor="text1"/>
          <w:sz w:val="28"/>
          <w:szCs w:val="28"/>
        </w:rPr>
      </w:pPr>
      <w:r w:rsidRPr="00A90DB4">
        <w:rPr>
          <w:rFonts w:ascii="Arial" w:hAnsi="Arial" w:cs="Arial"/>
          <w:b/>
          <w:bCs/>
          <w:color w:val="000000" w:themeColor="text1"/>
          <w:sz w:val="28"/>
          <w:szCs w:val="28"/>
        </w:rPr>
        <w:t xml:space="preserve">Assessment Title: </w:t>
      </w:r>
      <w:r w:rsidR="008B2812" w:rsidRPr="008B2812">
        <w:rPr>
          <w:rFonts w:ascii="Arial" w:hAnsi="Arial" w:cs="Arial"/>
          <w:b/>
          <w:bCs/>
          <w:color w:val="000000" w:themeColor="text1"/>
          <w:sz w:val="28"/>
          <w:szCs w:val="28"/>
        </w:rPr>
        <w:t>Component 2: Written Assignment (Report)</w:t>
      </w:r>
    </w:p>
    <w:p w14:paraId="6552854B" w14:textId="4C77FDBF" w:rsidR="009F400E" w:rsidRDefault="00652284" w:rsidP="00652284">
      <w:pPr>
        <w:spacing w:line="360" w:lineRule="auto"/>
        <w:jc w:val="center"/>
        <w:rPr>
          <w:rFonts w:ascii="Arial" w:hAnsi="Arial" w:cs="Arial"/>
        </w:rPr>
      </w:pPr>
      <w:r w:rsidRPr="00AC16DD">
        <w:rPr>
          <w:rFonts w:ascii="Arial" w:hAnsi="Arial" w:cs="Arial"/>
          <w:b/>
          <w:bCs/>
          <w:noProof/>
          <w:color w:val="000000" w:themeColor="text1"/>
        </w:rPr>
        <w:drawing>
          <wp:inline distT="0" distB="0" distL="0" distR="0" wp14:anchorId="324E69A5" wp14:editId="0537AFF1">
            <wp:extent cx="4290060" cy="1737360"/>
            <wp:effectExtent l="0" t="0" r="0" b="0"/>
            <wp:docPr id="517344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344851" name="Picture 517344851"/>
                    <pic:cNvPicPr/>
                  </pic:nvPicPr>
                  <pic:blipFill>
                    <a:blip r:embed="rId7">
                      <a:extLst>
                        <a:ext uri="{28A0092B-C50C-407E-A947-70E740481C1C}">
                          <a14:useLocalDpi xmlns:a14="http://schemas.microsoft.com/office/drawing/2010/main" val="0"/>
                        </a:ext>
                      </a:extLst>
                    </a:blip>
                    <a:stretch>
                      <a:fillRect/>
                    </a:stretch>
                  </pic:blipFill>
                  <pic:spPr>
                    <a:xfrm>
                      <a:off x="0" y="0"/>
                      <a:ext cx="4290060" cy="1737360"/>
                    </a:xfrm>
                    <a:prstGeom prst="rect">
                      <a:avLst/>
                    </a:prstGeom>
                  </pic:spPr>
                </pic:pic>
              </a:graphicData>
            </a:graphic>
          </wp:inline>
        </w:drawing>
      </w:r>
    </w:p>
    <w:p w14:paraId="404E6E9D" w14:textId="77777777" w:rsidR="008A0C92" w:rsidRDefault="008A0C92" w:rsidP="002F380B">
      <w:pPr>
        <w:spacing w:line="360" w:lineRule="auto"/>
        <w:jc w:val="both"/>
        <w:rPr>
          <w:rFonts w:ascii="Arial" w:hAnsi="Arial" w:cs="Arial"/>
        </w:rPr>
      </w:pPr>
    </w:p>
    <w:p w14:paraId="5597B3BA" w14:textId="77777777" w:rsidR="008A0C92" w:rsidRDefault="008A0C92" w:rsidP="002F380B">
      <w:pPr>
        <w:spacing w:line="360" w:lineRule="auto"/>
        <w:jc w:val="both"/>
        <w:rPr>
          <w:rFonts w:ascii="Arial" w:hAnsi="Arial" w:cs="Arial"/>
        </w:rPr>
      </w:pPr>
    </w:p>
    <w:p w14:paraId="443032DC" w14:textId="77777777" w:rsidR="008A0C92" w:rsidRDefault="008A0C92" w:rsidP="002F380B">
      <w:pPr>
        <w:spacing w:line="360" w:lineRule="auto"/>
        <w:jc w:val="both"/>
        <w:rPr>
          <w:rFonts w:ascii="Arial" w:hAnsi="Arial" w:cs="Arial"/>
        </w:rPr>
      </w:pPr>
    </w:p>
    <w:p w14:paraId="359BCDBE" w14:textId="77777777" w:rsidR="008A0C92" w:rsidRDefault="008A0C92" w:rsidP="002F380B">
      <w:pPr>
        <w:spacing w:line="360" w:lineRule="auto"/>
        <w:jc w:val="both"/>
        <w:rPr>
          <w:rFonts w:ascii="Arial" w:hAnsi="Arial" w:cs="Arial"/>
        </w:rPr>
      </w:pPr>
    </w:p>
    <w:p w14:paraId="2D4300DD" w14:textId="77777777" w:rsidR="008A0C92" w:rsidRDefault="008A0C92" w:rsidP="002F380B">
      <w:pPr>
        <w:spacing w:line="360" w:lineRule="auto"/>
        <w:jc w:val="both"/>
        <w:rPr>
          <w:rFonts w:ascii="Arial" w:hAnsi="Arial" w:cs="Arial"/>
        </w:rPr>
      </w:pPr>
    </w:p>
    <w:p w14:paraId="4A0B0505" w14:textId="77777777" w:rsidR="008A0C92" w:rsidRDefault="008A0C92" w:rsidP="002F380B">
      <w:pPr>
        <w:spacing w:line="360" w:lineRule="auto"/>
        <w:jc w:val="both"/>
        <w:rPr>
          <w:rFonts w:ascii="Arial" w:hAnsi="Arial" w:cs="Arial"/>
        </w:rPr>
      </w:pPr>
    </w:p>
    <w:p w14:paraId="72025946" w14:textId="77777777" w:rsidR="008A0C92" w:rsidRDefault="008A0C92" w:rsidP="002F380B">
      <w:pPr>
        <w:spacing w:line="360" w:lineRule="auto"/>
        <w:jc w:val="both"/>
        <w:rPr>
          <w:rFonts w:ascii="Arial" w:hAnsi="Arial" w:cs="Arial"/>
        </w:rPr>
      </w:pPr>
    </w:p>
    <w:p w14:paraId="12530A6F" w14:textId="77777777" w:rsidR="008A0C92" w:rsidRDefault="008A0C92" w:rsidP="002F380B">
      <w:pPr>
        <w:spacing w:line="360" w:lineRule="auto"/>
        <w:jc w:val="both"/>
        <w:rPr>
          <w:rFonts w:ascii="Arial" w:hAnsi="Arial" w:cs="Arial"/>
        </w:rPr>
      </w:pPr>
    </w:p>
    <w:p w14:paraId="787ED433" w14:textId="77777777" w:rsidR="008A0C92" w:rsidRDefault="008A0C92" w:rsidP="002F380B">
      <w:pPr>
        <w:spacing w:line="360" w:lineRule="auto"/>
        <w:jc w:val="both"/>
        <w:rPr>
          <w:rFonts w:ascii="Arial" w:hAnsi="Arial" w:cs="Arial"/>
        </w:rPr>
      </w:pPr>
    </w:p>
    <w:p w14:paraId="6B9D452A" w14:textId="77777777" w:rsidR="008A0C92" w:rsidRDefault="008A0C92" w:rsidP="002F380B">
      <w:pPr>
        <w:spacing w:line="360" w:lineRule="auto"/>
        <w:jc w:val="both"/>
        <w:rPr>
          <w:rFonts w:ascii="Arial" w:hAnsi="Arial" w:cs="Arial"/>
        </w:rPr>
      </w:pPr>
    </w:p>
    <w:p w14:paraId="328E14EE" w14:textId="77777777" w:rsidR="008A0C92" w:rsidRDefault="008A0C92" w:rsidP="002F380B">
      <w:pPr>
        <w:spacing w:line="360" w:lineRule="auto"/>
        <w:jc w:val="both"/>
        <w:rPr>
          <w:rFonts w:ascii="Arial" w:hAnsi="Arial" w:cs="Arial"/>
        </w:rPr>
      </w:pPr>
    </w:p>
    <w:sdt>
      <w:sdtPr>
        <w:rPr>
          <w:rFonts w:ascii="Arial" w:eastAsiaTheme="minorHAnsi" w:hAnsi="Arial" w:cs="Arial"/>
          <w:color w:val="auto"/>
          <w:kern w:val="2"/>
          <w:sz w:val="22"/>
          <w:szCs w:val="22"/>
          <w:lang w:eastAsia="en-US"/>
          <w14:ligatures w14:val="standardContextual"/>
        </w:rPr>
        <w:id w:val="865875006"/>
        <w:docPartObj>
          <w:docPartGallery w:val="Table of Contents"/>
          <w:docPartUnique/>
        </w:docPartObj>
      </w:sdtPr>
      <w:sdtEndPr>
        <w:rPr>
          <w:rFonts w:asciiTheme="minorHAnsi" w:hAnsiTheme="minorHAnsi" w:cstheme="minorBidi"/>
          <w:b/>
          <w:bCs/>
        </w:rPr>
      </w:sdtEndPr>
      <w:sdtContent>
        <w:p w14:paraId="620A49D0" w14:textId="2050B352" w:rsidR="009F44E4" w:rsidRPr="007F605C" w:rsidRDefault="009F44E4">
          <w:pPr>
            <w:pStyle w:val="TOCHeading"/>
            <w:rPr>
              <w:rFonts w:ascii="Arial" w:hAnsi="Arial" w:cs="Arial"/>
              <w:b/>
              <w:bCs/>
              <w:color w:val="000000" w:themeColor="text1"/>
              <w:sz w:val="24"/>
              <w:szCs w:val="24"/>
            </w:rPr>
          </w:pPr>
          <w:r w:rsidRPr="007F605C">
            <w:rPr>
              <w:rFonts w:ascii="Arial" w:hAnsi="Arial" w:cs="Arial"/>
              <w:b/>
              <w:bCs/>
              <w:color w:val="000000" w:themeColor="text1"/>
              <w:sz w:val="24"/>
              <w:szCs w:val="24"/>
            </w:rPr>
            <w:t>Contents</w:t>
          </w:r>
        </w:p>
        <w:p w14:paraId="5B957E2A" w14:textId="24F93A6F" w:rsidR="009F44E4" w:rsidRPr="007F605C" w:rsidRDefault="009F44E4">
          <w:pPr>
            <w:pStyle w:val="TOC1"/>
            <w:tabs>
              <w:tab w:val="right" w:leader="dot" w:pos="9016"/>
            </w:tabs>
            <w:rPr>
              <w:rFonts w:ascii="Arial" w:hAnsi="Arial" w:cs="Arial"/>
              <w:noProof/>
            </w:rPr>
          </w:pPr>
          <w:r w:rsidRPr="007F605C">
            <w:rPr>
              <w:rFonts w:ascii="Arial" w:hAnsi="Arial" w:cs="Arial"/>
            </w:rPr>
            <w:fldChar w:fldCharType="begin"/>
          </w:r>
          <w:r w:rsidRPr="007F605C">
            <w:rPr>
              <w:rFonts w:ascii="Arial" w:hAnsi="Arial" w:cs="Arial"/>
            </w:rPr>
            <w:instrText xml:space="preserve"> TOC \o "1-3" \h \z \u </w:instrText>
          </w:r>
          <w:r w:rsidRPr="007F605C">
            <w:rPr>
              <w:rFonts w:ascii="Arial" w:hAnsi="Arial" w:cs="Arial"/>
            </w:rPr>
            <w:fldChar w:fldCharType="separate"/>
          </w:r>
          <w:hyperlink w:anchor="_Toc235918959" w:history="1">
            <w:r w:rsidRPr="007F605C">
              <w:rPr>
                <w:rStyle w:val="Hyperlink"/>
                <w:rFonts w:ascii="Arial" w:hAnsi="Arial" w:cs="Arial"/>
                <w:noProof/>
              </w:rPr>
              <w:t>Introduction</w:t>
            </w:r>
            <w:r w:rsidRPr="007F605C">
              <w:rPr>
                <w:rFonts w:ascii="Arial" w:hAnsi="Arial" w:cs="Arial"/>
                <w:noProof/>
                <w:webHidden/>
              </w:rPr>
              <w:tab/>
            </w:r>
            <w:r w:rsidRPr="007F605C">
              <w:rPr>
                <w:rFonts w:ascii="Arial" w:hAnsi="Arial" w:cs="Arial"/>
                <w:noProof/>
                <w:webHidden/>
              </w:rPr>
              <w:fldChar w:fldCharType="begin"/>
            </w:r>
            <w:r w:rsidRPr="007F605C">
              <w:rPr>
                <w:rFonts w:ascii="Arial" w:hAnsi="Arial" w:cs="Arial"/>
                <w:noProof/>
                <w:webHidden/>
              </w:rPr>
              <w:instrText xml:space="preserve"> PAGEREF _Toc235918959 \h </w:instrText>
            </w:r>
            <w:r w:rsidRPr="007F605C">
              <w:rPr>
                <w:rFonts w:ascii="Arial" w:hAnsi="Arial" w:cs="Arial"/>
                <w:noProof/>
                <w:webHidden/>
              </w:rPr>
            </w:r>
            <w:r w:rsidRPr="007F605C">
              <w:rPr>
                <w:rFonts w:ascii="Arial" w:hAnsi="Arial" w:cs="Arial"/>
                <w:noProof/>
                <w:webHidden/>
              </w:rPr>
              <w:fldChar w:fldCharType="separate"/>
            </w:r>
            <w:r w:rsidR="00E21486">
              <w:rPr>
                <w:rFonts w:ascii="Arial" w:hAnsi="Arial" w:cs="Arial"/>
                <w:noProof/>
                <w:webHidden/>
              </w:rPr>
              <w:t>3</w:t>
            </w:r>
            <w:r w:rsidRPr="007F605C">
              <w:rPr>
                <w:rFonts w:ascii="Arial" w:hAnsi="Arial" w:cs="Arial"/>
                <w:noProof/>
                <w:webHidden/>
              </w:rPr>
              <w:fldChar w:fldCharType="end"/>
            </w:r>
          </w:hyperlink>
        </w:p>
        <w:p w14:paraId="11160639" w14:textId="217E37C6" w:rsidR="009F44E4" w:rsidRPr="007F605C" w:rsidRDefault="009F44E4">
          <w:pPr>
            <w:pStyle w:val="TOC1"/>
            <w:tabs>
              <w:tab w:val="right" w:leader="dot" w:pos="9016"/>
            </w:tabs>
            <w:rPr>
              <w:rFonts w:ascii="Arial" w:hAnsi="Arial" w:cs="Arial"/>
              <w:noProof/>
            </w:rPr>
          </w:pPr>
          <w:hyperlink w:anchor="_Toc235918960" w:history="1">
            <w:r w:rsidRPr="007F605C">
              <w:rPr>
                <w:rStyle w:val="Hyperlink"/>
                <w:rFonts w:ascii="Arial" w:hAnsi="Arial" w:cs="Arial"/>
                <w:noProof/>
              </w:rPr>
              <w:t>Person-Centred Care: Definition, Benefits and Limitations</w:t>
            </w:r>
            <w:r w:rsidRPr="007F605C">
              <w:rPr>
                <w:rFonts w:ascii="Arial" w:hAnsi="Arial" w:cs="Arial"/>
                <w:noProof/>
                <w:webHidden/>
              </w:rPr>
              <w:tab/>
            </w:r>
            <w:r w:rsidRPr="007F605C">
              <w:rPr>
                <w:rFonts w:ascii="Arial" w:hAnsi="Arial" w:cs="Arial"/>
                <w:noProof/>
                <w:webHidden/>
              </w:rPr>
              <w:fldChar w:fldCharType="begin"/>
            </w:r>
            <w:r w:rsidRPr="007F605C">
              <w:rPr>
                <w:rFonts w:ascii="Arial" w:hAnsi="Arial" w:cs="Arial"/>
                <w:noProof/>
                <w:webHidden/>
              </w:rPr>
              <w:instrText xml:space="preserve"> PAGEREF _Toc235918960 \h </w:instrText>
            </w:r>
            <w:r w:rsidRPr="007F605C">
              <w:rPr>
                <w:rFonts w:ascii="Arial" w:hAnsi="Arial" w:cs="Arial"/>
                <w:noProof/>
                <w:webHidden/>
              </w:rPr>
            </w:r>
            <w:r w:rsidRPr="007F605C">
              <w:rPr>
                <w:rFonts w:ascii="Arial" w:hAnsi="Arial" w:cs="Arial"/>
                <w:noProof/>
                <w:webHidden/>
              </w:rPr>
              <w:fldChar w:fldCharType="separate"/>
            </w:r>
            <w:r w:rsidR="00E21486">
              <w:rPr>
                <w:rFonts w:ascii="Arial" w:hAnsi="Arial" w:cs="Arial"/>
                <w:noProof/>
                <w:webHidden/>
              </w:rPr>
              <w:t>3</w:t>
            </w:r>
            <w:r w:rsidRPr="007F605C">
              <w:rPr>
                <w:rFonts w:ascii="Arial" w:hAnsi="Arial" w:cs="Arial"/>
                <w:noProof/>
                <w:webHidden/>
              </w:rPr>
              <w:fldChar w:fldCharType="end"/>
            </w:r>
          </w:hyperlink>
        </w:p>
        <w:p w14:paraId="14F980F1" w14:textId="48B94928" w:rsidR="009F44E4" w:rsidRPr="007F605C" w:rsidRDefault="009F44E4">
          <w:pPr>
            <w:pStyle w:val="TOC1"/>
            <w:tabs>
              <w:tab w:val="right" w:leader="dot" w:pos="9016"/>
            </w:tabs>
            <w:rPr>
              <w:rFonts w:ascii="Arial" w:hAnsi="Arial" w:cs="Arial"/>
              <w:noProof/>
            </w:rPr>
          </w:pPr>
          <w:hyperlink w:anchor="_Toc235918961" w:history="1">
            <w:r w:rsidRPr="007F605C">
              <w:rPr>
                <w:rStyle w:val="Hyperlink"/>
                <w:rFonts w:ascii="Arial" w:hAnsi="Arial" w:cs="Arial"/>
                <w:noProof/>
              </w:rPr>
              <w:t>Theoretical Framework: McCormack and McCance Person-Centred Practice Framework</w:t>
            </w:r>
            <w:r w:rsidRPr="007F605C">
              <w:rPr>
                <w:rFonts w:ascii="Arial" w:hAnsi="Arial" w:cs="Arial"/>
                <w:noProof/>
                <w:webHidden/>
              </w:rPr>
              <w:tab/>
            </w:r>
            <w:r w:rsidRPr="007F605C">
              <w:rPr>
                <w:rFonts w:ascii="Arial" w:hAnsi="Arial" w:cs="Arial"/>
                <w:noProof/>
                <w:webHidden/>
              </w:rPr>
              <w:fldChar w:fldCharType="begin"/>
            </w:r>
            <w:r w:rsidRPr="007F605C">
              <w:rPr>
                <w:rFonts w:ascii="Arial" w:hAnsi="Arial" w:cs="Arial"/>
                <w:noProof/>
                <w:webHidden/>
              </w:rPr>
              <w:instrText xml:space="preserve"> PAGEREF _Toc235918961 \h </w:instrText>
            </w:r>
            <w:r w:rsidRPr="007F605C">
              <w:rPr>
                <w:rFonts w:ascii="Arial" w:hAnsi="Arial" w:cs="Arial"/>
                <w:noProof/>
                <w:webHidden/>
              </w:rPr>
            </w:r>
            <w:r w:rsidRPr="007F605C">
              <w:rPr>
                <w:rFonts w:ascii="Arial" w:hAnsi="Arial" w:cs="Arial"/>
                <w:noProof/>
                <w:webHidden/>
              </w:rPr>
              <w:fldChar w:fldCharType="separate"/>
            </w:r>
            <w:r w:rsidR="00E21486">
              <w:rPr>
                <w:rFonts w:ascii="Arial" w:hAnsi="Arial" w:cs="Arial"/>
                <w:noProof/>
                <w:webHidden/>
              </w:rPr>
              <w:t>5</w:t>
            </w:r>
            <w:r w:rsidRPr="007F605C">
              <w:rPr>
                <w:rFonts w:ascii="Arial" w:hAnsi="Arial" w:cs="Arial"/>
                <w:noProof/>
                <w:webHidden/>
              </w:rPr>
              <w:fldChar w:fldCharType="end"/>
            </w:r>
          </w:hyperlink>
        </w:p>
        <w:p w14:paraId="42D454EC" w14:textId="1AFDD02F" w:rsidR="009F44E4" w:rsidRPr="007F605C" w:rsidRDefault="009F44E4">
          <w:pPr>
            <w:pStyle w:val="TOC1"/>
            <w:tabs>
              <w:tab w:val="right" w:leader="dot" w:pos="9016"/>
            </w:tabs>
            <w:rPr>
              <w:rFonts w:ascii="Arial" w:hAnsi="Arial" w:cs="Arial"/>
              <w:noProof/>
            </w:rPr>
          </w:pPr>
          <w:hyperlink w:anchor="_Toc235918962" w:history="1">
            <w:r w:rsidRPr="007F605C">
              <w:rPr>
                <w:rStyle w:val="Hyperlink"/>
                <w:rFonts w:ascii="Arial" w:hAnsi="Arial" w:cs="Arial"/>
                <w:noProof/>
              </w:rPr>
              <w:t>Ethical Principles in Person-Centred Care and Partnership Working</w:t>
            </w:r>
            <w:r w:rsidRPr="007F605C">
              <w:rPr>
                <w:rFonts w:ascii="Arial" w:hAnsi="Arial" w:cs="Arial"/>
                <w:noProof/>
                <w:webHidden/>
              </w:rPr>
              <w:tab/>
            </w:r>
            <w:r w:rsidRPr="007F605C">
              <w:rPr>
                <w:rFonts w:ascii="Arial" w:hAnsi="Arial" w:cs="Arial"/>
                <w:noProof/>
                <w:webHidden/>
              </w:rPr>
              <w:fldChar w:fldCharType="begin"/>
            </w:r>
            <w:r w:rsidRPr="007F605C">
              <w:rPr>
                <w:rFonts w:ascii="Arial" w:hAnsi="Arial" w:cs="Arial"/>
                <w:noProof/>
                <w:webHidden/>
              </w:rPr>
              <w:instrText xml:space="preserve"> PAGEREF _Toc235918962 \h </w:instrText>
            </w:r>
            <w:r w:rsidRPr="007F605C">
              <w:rPr>
                <w:rFonts w:ascii="Arial" w:hAnsi="Arial" w:cs="Arial"/>
                <w:noProof/>
                <w:webHidden/>
              </w:rPr>
            </w:r>
            <w:r w:rsidRPr="007F605C">
              <w:rPr>
                <w:rFonts w:ascii="Arial" w:hAnsi="Arial" w:cs="Arial"/>
                <w:noProof/>
                <w:webHidden/>
              </w:rPr>
              <w:fldChar w:fldCharType="separate"/>
            </w:r>
            <w:r w:rsidR="00E21486">
              <w:rPr>
                <w:rFonts w:ascii="Arial" w:hAnsi="Arial" w:cs="Arial"/>
                <w:noProof/>
                <w:webHidden/>
              </w:rPr>
              <w:t>6</w:t>
            </w:r>
            <w:r w:rsidRPr="007F605C">
              <w:rPr>
                <w:rFonts w:ascii="Arial" w:hAnsi="Arial" w:cs="Arial"/>
                <w:noProof/>
                <w:webHidden/>
              </w:rPr>
              <w:fldChar w:fldCharType="end"/>
            </w:r>
          </w:hyperlink>
        </w:p>
        <w:p w14:paraId="66CAC47D" w14:textId="281FF1EF" w:rsidR="009F44E4" w:rsidRPr="007F605C" w:rsidRDefault="009F44E4">
          <w:pPr>
            <w:pStyle w:val="TOC1"/>
            <w:tabs>
              <w:tab w:val="right" w:leader="dot" w:pos="9016"/>
            </w:tabs>
            <w:rPr>
              <w:rFonts w:ascii="Arial" w:hAnsi="Arial" w:cs="Arial"/>
              <w:noProof/>
            </w:rPr>
          </w:pPr>
          <w:hyperlink w:anchor="_Toc235918963" w:history="1">
            <w:r w:rsidRPr="007F605C">
              <w:rPr>
                <w:rStyle w:val="Hyperlink"/>
                <w:rFonts w:ascii="Arial" w:hAnsi="Arial" w:cs="Arial"/>
                <w:noProof/>
              </w:rPr>
              <w:t>Evaluation of Partnership Working in Acute Hospitals</w:t>
            </w:r>
            <w:r w:rsidRPr="007F605C">
              <w:rPr>
                <w:rFonts w:ascii="Arial" w:hAnsi="Arial" w:cs="Arial"/>
                <w:noProof/>
                <w:webHidden/>
              </w:rPr>
              <w:tab/>
            </w:r>
            <w:r w:rsidRPr="007F605C">
              <w:rPr>
                <w:rFonts w:ascii="Arial" w:hAnsi="Arial" w:cs="Arial"/>
                <w:noProof/>
                <w:webHidden/>
              </w:rPr>
              <w:fldChar w:fldCharType="begin"/>
            </w:r>
            <w:r w:rsidRPr="007F605C">
              <w:rPr>
                <w:rFonts w:ascii="Arial" w:hAnsi="Arial" w:cs="Arial"/>
                <w:noProof/>
                <w:webHidden/>
              </w:rPr>
              <w:instrText xml:space="preserve"> PAGEREF _Toc235918963 \h </w:instrText>
            </w:r>
            <w:r w:rsidRPr="007F605C">
              <w:rPr>
                <w:rFonts w:ascii="Arial" w:hAnsi="Arial" w:cs="Arial"/>
                <w:noProof/>
                <w:webHidden/>
              </w:rPr>
            </w:r>
            <w:r w:rsidRPr="007F605C">
              <w:rPr>
                <w:rFonts w:ascii="Arial" w:hAnsi="Arial" w:cs="Arial"/>
                <w:noProof/>
                <w:webHidden/>
              </w:rPr>
              <w:fldChar w:fldCharType="separate"/>
            </w:r>
            <w:r w:rsidR="00E21486">
              <w:rPr>
                <w:rFonts w:ascii="Arial" w:hAnsi="Arial" w:cs="Arial"/>
                <w:noProof/>
                <w:webHidden/>
              </w:rPr>
              <w:t>7</w:t>
            </w:r>
            <w:r w:rsidRPr="007F605C">
              <w:rPr>
                <w:rFonts w:ascii="Arial" w:hAnsi="Arial" w:cs="Arial"/>
                <w:noProof/>
                <w:webHidden/>
              </w:rPr>
              <w:fldChar w:fldCharType="end"/>
            </w:r>
          </w:hyperlink>
        </w:p>
        <w:p w14:paraId="0BE0D8B0" w14:textId="163D1288" w:rsidR="009F44E4" w:rsidRPr="007F605C" w:rsidRDefault="009F44E4">
          <w:pPr>
            <w:pStyle w:val="TOC1"/>
            <w:tabs>
              <w:tab w:val="right" w:leader="dot" w:pos="9016"/>
            </w:tabs>
            <w:rPr>
              <w:rFonts w:ascii="Arial" w:hAnsi="Arial" w:cs="Arial"/>
              <w:noProof/>
            </w:rPr>
          </w:pPr>
          <w:hyperlink w:anchor="_Toc235918964" w:history="1">
            <w:r w:rsidRPr="007F605C">
              <w:rPr>
                <w:rStyle w:val="Hyperlink"/>
                <w:rFonts w:ascii="Arial" w:hAnsi="Arial" w:cs="Arial"/>
                <w:noProof/>
              </w:rPr>
              <w:t>Policy and Legislation</w:t>
            </w:r>
            <w:r w:rsidRPr="007F605C">
              <w:rPr>
                <w:rFonts w:ascii="Arial" w:hAnsi="Arial" w:cs="Arial"/>
                <w:noProof/>
                <w:webHidden/>
              </w:rPr>
              <w:tab/>
            </w:r>
            <w:r w:rsidRPr="007F605C">
              <w:rPr>
                <w:rFonts w:ascii="Arial" w:hAnsi="Arial" w:cs="Arial"/>
                <w:noProof/>
                <w:webHidden/>
              </w:rPr>
              <w:fldChar w:fldCharType="begin"/>
            </w:r>
            <w:r w:rsidRPr="007F605C">
              <w:rPr>
                <w:rFonts w:ascii="Arial" w:hAnsi="Arial" w:cs="Arial"/>
                <w:noProof/>
                <w:webHidden/>
              </w:rPr>
              <w:instrText xml:space="preserve"> PAGEREF _Toc235918964 \h </w:instrText>
            </w:r>
            <w:r w:rsidRPr="007F605C">
              <w:rPr>
                <w:rFonts w:ascii="Arial" w:hAnsi="Arial" w:cs="Arial"/>
                <w:noProof/>
                <w:webHidden/>
              </w:rPr>
            </w:r>
            <w:r w:rsidRPr="007F605C">
              <w:rPr>
                <w:rFonts w:ascii="Arial" w:hAnsi="Arial" w:cs="Arial"/>
                <w:noProof/>
                <w:webHidden/>
              </w:rPr>
              <w:fldChar w:fldCharType="separate"/>
            </w:r>
            <w:r w:rsidR="00E21486">
              <w:rPr>
                <w:rFonts w:ascii="Arial" w:hAnsi="Arial" w:cs="Arial"/>
                <w:noProof/>
                <w:webHidden/>
              </w:rPr>
              <w:t>8</w:t>
            </w:r>
            <w:r w:rsidRPr="007F605C">
              <w:rPr>
                <w:rFonts w:ascii="Arial" w:hAnsi="Arial" w:cs="Arial"/>
                <w:noProof/>
                <w:webHidden/>
              </w:rPr>
              <w:fldChar w:fldCharType="end"/>
            </w:r>
          </w:hyperlink>
        </w:p>
        <w:p w14:paraId="4BE59348" w14:textId="5CFA2CA5" w:rsidR="009F44E4" w:rsidRPr="007F605C" w:rsidRDefault="009F44E4">
          <w:pPr>
            <w:pStyle w:val="TOC1"/>
            <w:tabs>
              <w:tab w:val="right" w:leader="dot" w:pos="9016"/>
            </w:tabs>
            <w:rPr>
              <w:rFonts w:ascii="Arial" w:hAnsi="Arial" w:cs="Arial"/>
              <w:noProof/>
            </w:rPr>
          </w:pPr>
          <w:hyperlink w:anchor="_Toc235918965" w:history="1">
            <w:r w:rsidRPr="007F605C">
              <w:rPr>
                <w:rStyle w:val="Hyperlink"/>
                <w:rFonts w:ascii="Arial" w:hAnsi="Arial" w:cs="Arial"/>
                <w:noProof/>
              </w:rPr>
              <w:t>Recommendations and Conclusion</w:t>
            </w:r>
            <w:r w:rsidRPr="007F605C">
              <w:rPr>
                <w:rFonts w:ascii="Arial" w:hAnsi="Arial" w:cs="Arial"/>
                <w:noProof/>
                <w:webHidden/>
              </w:rPr>
              <w:tab/>
            </w:r>
            <w:r w:rsidRPr="007F605C">
              <w:rPr>
                <w:rFonts w:ascii="Arial" w:hAnsi="Arial" w:cs="Arial"/>
                <w:noProof/>
                <w:webHidden/>
              </w:rPr>
              <w:fldChar w:fldCharType="begin"/>
            </w:r>
            <w:r w:rsidRPr="007F605C">
              <w:rPr>
                <w:rFonts w:ascii="Arial" w:hAnsi="Arial" w:cs="Arial"/>
                <w:noProof/>
                <w:webHidden/>
              </w:rPr>
              <w:instrText xml:space="preserve"> PAGEREF _Toc235918965 \h </w:instrText>
            </w:r>
            <w:r w:rsidRPr="007F605C">
              <w:rPr>
                <w:rFonts w:ascii="Arial" w:hAnsi="Arial" w:cs="Arial"/>
                <w:noProof/>
                <w:webHidden/>
              </w:rPr>
            </w:r>
            <w:r w:rsidRPr="007F605C">
              <w:rPr>
                <w:rFonts w:ascii="Arial" w:hAnsi="Arial" w:cs="Arial"/>
                <w:noProof/>
                <w:webHidden/>
              </w:rPr>
              <w:fldChar w:fldCharType="separate"/>
            </w:r>
            <w:r w:rsidR="00E21486">
              <w:rPr>
                <w:rFonts w:ascii="Arial" w:hAnsi="Arial" w:cs="Arial"/>
                <w:noProof/>
                <w:webHidden/>
              </w:rPr>
              <w:t>8</w:t>
            </w:r>
            <w:r w:rsidRPr="007F605C">
              <w:rPr>
                <w:rFonts w:ascii="Arial" w:hAnsi="Arial" w:cs="Arial"/>
                <w:noProof/>
                <w:webHidden/>
              </w:rPr>
              <w:fldChar w:fldCharType="end"/>
            </w:r>
          </w:hyperlink>
        </w:p>
        <w:p w14:paraId="4150059A" w14:textId="174E867F" w:rsidR="009F44E4" w:rsidRPr="007F605C" w:rsidRDefault="009F44E4">
          <w:pPr>
            <w:pStyle w:val="TOC1"/>
            <w:tabs>
              <w:tab w:val="right" w:leader="dot" w:pos="9016"/>
            </w:tabs>
            <w:rPr>
              <w:rFonts w:ascii="Arial" w:hAnsi="Arial" w:cs="Arial"/>
              <w:noProof/>
            </w:rPr>
          </w:pPr>
          <w:hyperlink w:anchor="_Toc235918966" w:history="1">
            <w:r w:rsidRPr="007F605C">
              <w:rPr>
                <w:rStyle w:val="Hyperlink"/>
                <w:rFonts w:ascii="Arial" w:hAnsi="Arial" w:cs="Arial"/>
                <w:noProof/>
              </w:rPr>
              <w:t>References</w:t>
            </w:r>
            <w:r w:rsidRPr="007F605C">
              <w:rPr>
                <w:rFonts w:ascii="Arial" w:hAnsi="Arial" w:cs="Arial"/>
                <w:noProof/>
                <w:webHidden/>
              </w:rPr>
              <w:tab/>
            </w:r>
            <w:r w:rsidRPr="007F605C">
              <w:rPr>
                <w:rFonts w:ascii="Arial" w:hAnsi="Arial" w:cs="Arial"/>
                <w:noProof/>
                <w:webHidden/>
              </w:rPr>
              <w:fldChar w:fldCharType="begin"/>
            </w:r>
            <w:r w:rsidRPr="007F605C">
              <w:rPr>
                <w:rFonts w:ascii="Arial" w:hAnsi="Arial" w:cs="Arial"/>
                <w:noProof/>
                <w:webHidden/>
              </w:rPr>
              <w:instrText xml:space="preserve"> PAGEREF _Toc235918966 \h </w:instrText>
            </w:r>
            <w:r w:rsidRPr="007F605C">
              <w:rPr>
                <w:rFonts w:ascii="Arial" w:hAnsi="Arial" w:cs="Arial"/>
                <w:noProof/>
                <w:webHidden/>
              </w:rPr>
            </w:r>
            <w:r w:rsidRPr="007F605C">
              <w:rPr>
                <w:rFonts w:ascii="Arial" w:hAnsi="Arial" w:cs="Arial"/>
                <w:noProof/>
                <w:webHidden/>
              </w:rPr>
              <w:fldChar w:fldCharType="separate"/>
            </w:r>
            <w:r w:rsidR="00E21486">
              <w:rPr>
                <w:rFonts w:ascii="Arial" w:hAnsi="Arial" w:cs="Arial"/>
                <w:noProof/>
                <w:webHidden/>
              </w:rPr>
              <w:t>10</w:t>
            </w:r>
            <w:r w:rsidRPr="007F605C">
              <w:rPr>
                <w:rFonts w:ascii="Arial" w:hAnsi="Arial" w:cs="Arial"/>
                <w:noProof/>
                <w:webHidden/>
              </w:rPr>
              <w:fldChar w:fldCharType="end"/>
            </w:r>
          </w:hyperlink>
        </w:p>
        <w:p w14:paraId="3FBEA23B" w14:textId="230F62DE" w:rsidR="009F44E4" w:rsidRDefault="009F44E4">
          <w:r w:rsidRPr="007F605C">
            <w:rPr>
              <w:rFonts w:ascii="Arial" w:hAnsi="Arial" w:cs="Arial"/>
              <w:b/>
              <w:bCs/>
            </w:rPr>
            <w:fldChar w:fldCharType="end"/>
          </w:r>
        </w:p>
      </w:sdtContent>
    </w:sdt>
    <w:p w14:paraId="323A5CCB" w14:textId="77777777" w:rsidR="008A0C92" w:rsidRDefault="008A0C92" w:rsidP="002F380B">
      <w:pPr>
        <w:spacing w:line="360" w:lineRule="auto"/>
        <w:jc w:val="both"/>
        <w:rPr>
          <w:rFonts w:ascii="Arial" w:hAnsi="Arial" w:cs="Arial"/>
        </w:rPr>
      </w:pPr>
    </w:p>
    <w:p w14:paraId="0BC9E7DB" w14:textId="77777777" w:rsidR="008A0C92" w:rsidRDefault="008A0C92" w:rsidP="002F380B">
      <w:pPr>
        <w:spacing w:line="360" w:lineRule="auto"/>
        <w:jc w:val="both"/>
        <w:rPr>
          <w:rFonts w:ascii="Arial" w:hAnsi="Arial" w:cs="Arial"/>
        </w:rPr>
      </w:pPr>
    </w:p>
    <w:p w14:paraId="6510CA54" w14:textId="77777777" w:rsidR="008A0C92" w:rsidRDefault="008A0C92" w:rsidP="002F380B">
      <w:pPr>
        <w:spacing w:line="360" w:lineRule="auto"/>
        <w:jc w:val="both"/>
        <w:rPr>
          <w:rFonts w:ascii="Arial" w:hAnsi="Arial" w:cs="Arial"/>
        </w:rPr>
      </w:pPr>
    </w:p>
    <w:p w14:paraId="33B82BA6" w14:textId="77777777" w:rsidR="008A0C92" w:rsidRDefault="008A0C92" w:rsidP="002F380B">
      <w:pPr>
        <w:spacing w:line="360" w:lineRule="auto"/>
        <w:jc w:val="both"/>
        <w:rPr>
          <w:rFonts w:ascii="Arial" w:hAnsi="Arial" w:cs="Arial"/>
        </w:rPr>
      </w:pPr>
    </w:p>
    <w:p w14:paraId="372F2F79" w14:textId="77777777" w:rsidR="008A0C92" w:rsidRPr="0002193C" w:rsidRDefault="008A0C92" w:rsidP="002F380B">
      <w:pPr>
        <w:spacing w:line="360" w:lineRule="auto"/>
        <w:jc w:val="both"/>
        <w:rPr>
          <w:rFonts w:ascii="Arial" w:hAnsi="Arial" w:cs="Arial"/>
        </w:rPr>
      </w:pPr>
    </w:p>
    <w:p w14:paraId="45D2C34B" w14:textId="77777777" w:rsidR="008A0C92" w:rsidRDefault="008A0C92" w:rsidP="002F380B">
      <w:pPr>
        <w:spacing w:line="360" w:lineRule="auto"/>
        <w:jc w:val="center"/>
        <w:rPr>
          <w:rFonts w:ascii="Arial" w:hAnsi="Arial" w:cs="Arial"/>
          <w:b/>
          <w:bCs/>
          <w:sz w:val="24"/>
          <w:szCs w:val="24"/>
        </w:rPr>
      </w:pPr>
    </w:p>
    <w:p w14:paraId="7261547E" w14:textId="77777777" w:rsidR="008A0C92" w:rsidRDefault="008A0C92" w:rsidP="002F380B">
      <w:pPr>
        <w:spacing w:line="360" w:lineRule="auto"/>
        <w:jc w:val="center"/>
        <w:rPr>
          <w:rFonts w:ascii="Arial" w:hAnsi="Arial" w:cs="Arial"/>
          <w:b/>
          <w:bCs/>
          <w:sz w:val="24"/>
          <w:szCs w:val="24"/>
        </w:rPr>
      </w:pPr>
    </w:p>
    <w:p w14:paraId="072E930D" w14:textId="77777777" w:rsidR="008A0C92" w:rsidRDefault="008A0C92" w:rsidP="002F380B">
      <w:pPr>
        <w:spacing w:line="360" w:lineRule="auto"/>
        <w:jc w:val="center"/>
        <w:rPr>
          <w:rFonts w:ascii="Arial" w:hAnsi="Arial" w:cs="Arial"/>
          <w:b/>
          <w:bCs/>
          <w:sz w:val="24"/>
          <w:szCs w:val="24"/>
        </w:rPr>
      </w:pPr>
    </w:p>
    <w:p w14:paraId="4E68579B" w14:textId="77777777" w:rsidR="008A0C92" w:rsidRDefault="008A0C92" w:rsidP="002F380B">
      <w:pPr>
        <w:spacing w:line="360" w:lineRule="auto"/>
        <w:jc w:val="center"/>
        <w:rPr>
          <w:rFonts w:ascii="Arial" w:hAnsi="Arial" w:cs="Arial"/>
          <w:b/>
          <w:bCs/>
          <w:sz w:val="24"/>
          <w:szCs w:val="24"/>
        </w:rPr>
      </w:pPr>
    </w:p>
    <w:p w14:paraId="5321F86A" w14:textId="77777777" w:rsidR="008A0C92" w:rsidRDefault="008A0C92" w:rsidP="002F380B">
      <w:pPr>
        <w:spacing w:line="360" w:lineRule="auto"/>
        <w:jc w:val="center"/>
        <w:rPr>
          <w:rFonts w:ascii="Arial" w:hAnsi="Arial" w:cs="Arial"/>
          <w:b/>
          <w:bCs/>
          <w:sz w:val="24"/>
          <w:szCs w:val="24"/>
        </w:rPr>
      </w:pPr>
    </w:p>
    <w:p w14:paraId="1DA8A44E" w14:textId="77777777" w:rsidR="008A0C92" w:rsidRDefault="008A0C92" w:rsidP="002F380B">
      <w:pPr>
        <w:spacing w:line="360" w:lineRule="auto"/>
        <w:jc w:val="center"/>
        <w:rPr>
          <w:rFonts w:ascii="Arial" w:hAnsi="Arial" w:cs="Arial"/>
          <w:b/>
          <w:bCs/>
          <w:sz w:val="24"/>
          <w:szCs w:val="24"/>
        </w:rPr>
      </w:pPr>
    </w:p>
    <w:p w14:paraId="38451797" w14:textId="77777777" w:rsidR="008A0C92" w:rsidRDefault="008A0C92" w:rsidP="002F380B">
      <w:pPr>
        <w:spacing w:line="360" w:lineRule="auto"/>
        <w:jc w:val="center"/>
        <w:rPr>
          <w:rFonts w:ascii="Arial" w:hAnsi="Arial" w:cs="Arial"/>
          <w:b/>
          <w:bCs/>
          <w:sz w:val="24"/>
          <w:szCs w:val="24"/>
        </w:rPr>
      </w:pPr>
    </w:p>
    <w:p w14:paraId="113923AE" w14:textId="77777777" w:rsidR="008A0C92" w:rsidRDefault="008A0C92" w:rsidP="002F380B">
      <w:pPr>
        <w:spacing w:line="360" w:lineRule="auto"/>
        <w:jc w:val="center"/>
        <w:rPr>
          <w:rFonts w:ascii="Arial" w:hAnsi="Arial" w:cs="Arial"/>
          <w:b/>
          <w:bCs/>
          <w:sz w:val="24"/>
          <w:szCs w:val="24"/>
        </w:rPr>
      </w:pPr>
    </w:p>
    <w:p w14:paraId="0C546F1A" w14:textId="77777777" w:rsidR="008A0C92" w:rsidRDefault="008A0C92" w:rsidP="002F380B">
      <w:pPr>
        <w:spacing w:line="360" w:lineRule="auto"/>
        <w:jc w:val="center"/>
        <w:rPr>
          <w:rFonts w:ascii="Arial" w:hAnsi="Arial" w:cs="Arial"/>
          <w:b/>
          <w:bCs/>
          <w:sz w:val="24"/>
          <w:szCs w:val="24"/>
        </w:rPr>
      </w:pPr>
    </w:p>
    <w:p w14:paraId="3E7B1216" w14:textId="77777777" w:rsidR="008A0C92" w:rsidRDefault="008A0C92" w:rsidP="002F380B">
      <w:pPr>
        <w:spacing w:line="360" w:lineRule="auto"/>
        <w:jc w:val="center"/>
        <w:rPr>
          <w:rFonts w:ascii="Arial" w:hAnsi="Arial" w:cs="Arial"/>
          <w:b/>
          <w:bCs/>
          <w:sz w:val="24"/>
          <w:szCs w:val="24"/>
        </w:rPr>
      </w:pPr>
    </w:p>
    <w:p w14:paraId="2B5CD39E" w14:textId="77777777" w:rsidR="008A0C92" w:rsidRDefault="008A0C92" w:rsidP="002F380B">
      <w:pPr>
        <w:spacing w:line="360" w:lineRule="auto"/>
        <w:jc w:val="center"/>
        <w:rPr>
          <w:rFonts w:ascii="Arial" w:hAnsi="Arial" w:cs="Arial"/>
          <w:b/>
          <w:bCs/>
          <w:sz w:val="24"/>
          <w:szCs w:val="24"/>
        </w:rPr>
      </w:pPr>
    </w:p>
    <w:p w14:paraId="0EF3E0C9" w14:textId="77777777" w:rsidR="00F40254" w:rsidRDefault="00F40254" w:rsidP="00F40254">
      <w:pPr>
        <w:spacing w:line="360" w:lineRule="auto"/>
        <w:rPr>
          <w:rFonts w:ascii="Arial" w:hAnsi="Arial" w:cs="Arial"/>
          <w:b/>
          <w:bCs/>
          <w:sz w:val="24"/>
          <w:szCs w:val="24"/>
        </w:rPr>
      </w:pPr>
    </w:p>
    <w:p w14:paraId="29D08B4E" w14:textId="090138FC" w:rsidR="009F400E" w:rsidRPr="002F380B" w:rsidRDefault="009F400E" w:rsidP="00F40254">
      <w:pPr>
        <w:spacing w:line="360" w:lineRule="auto"/>
        <w:jc w:val="center"/>
        <w:rPr>
          <w:rFonts w:ascii="Arial" w:hAnsi="Arial" w:cs="Arial"/>
          <w:sz w:val="24"/>
          <w:szCs w:val="24"/>
        </w:rPr>
      </w:pPr>
      <w:r w:rsidRPr="002F380B">
        <w:rPr>
          <w:rFonts w:ascii="Arial" w:hAnsi="Arial" w:cs="Arial"/>
          <w:b/>
          <w:bCs/>
          <w:sz w:val="24"/>
          <w:szCs w:val="24"/>
        </w:rPr>
        <w:lastRenderedPageBreak/>
        <w:t>Advancing Person-Centred Care and Partnership Working in Acute Hospitals: Critical Analysis and Future Directions</w:t>
      </w:r>
    </w:p>
    <w:p w14:paraId="2C98707A" w14:textId="77777777" w:rsidR="00254B45" w:rsidRDefault="00254B45" w:rsidP="002F380B">
      <w:pPr>
        <w:spacing w:line="360" w:lineRule="auto"/>
        <w:jc w:val="both"/>
        <w:rPr>
          <w:rFonts w:ascii="Arial" w:hAnsi="Arial" w:cs="Arial"/>
          <w:b/>
          <w:bCs/>
        </w:rPr>
      </w:pPr>
    </w:p>
    <w:p w14:paraId="407CE8E2" w14:textId="62D8A756" w:rsidR="009F400E" w:rsidRPr="009F44E4" w:rsidRDefault="009F400E" w:rsidP="009F44E4">
      <w:pPr>
        <w:pStyle w:val="Heading1"/>
        <w:rPr>
          <w:rFonts w:ascii="Arial" w:hAnsi="Arial" w:cs="Arial"/>
          <w:b/>
          <w:bCs/>
          <w:color w:val="000000" w:themeColor="text1"/>
          <w:sz w:val="24"/>
          <w:szCs w:val="24"/>
        </w:rPr>
      </w:pPr>
      <w:bookmarkStart w:id="0" w:name="_Toc235918959"/>
      <w:r w:rsidRPr="009F44E4">
        <w:rPr>
          <w:rFonts w:ascii="Arial" w:hAnsi="Arial" w:cs="Arial"/>
          <w:b/>
          <w:bCs/>
          <w:color w:val="000000" w:themeColor="text1"/>
          <w:sz w:val="24"/>
          <w:szCs w:val="24"/>
        </w:rPr>
        <w:t>Introduction</w:t>
      </w:r>
      <w:bookmarkEnd w:id="0"/>
    </w:p>
    <w:p w14:paraId="61BD6A65" w14:textId="77777777" w:rsidR="00237FC8" w:rsidRDefault="009F400E" w:rsidP="002F380B">
      <w:pPr>
        <w:spacing w:line="360" w:lineRule="auto"/>
        <w:jc w:val="both"/>
        <w:rPr>
          <w:rFonts w:ascii="Arial" w:hAnsi="Arial" w:cs="Arial"/>
        </w:rPr>
      </w:pPr>
      <w:r w:rsidRPr="0002193C">
        <w:rPr>
          <w:rFonts w:ascii="Arial" w:hAnsi="Arial" w:cs="Arial"/>
        </w:rPr>
        <w:t>Person-centred care (PCC) is a foundational principle in UK health and social care, placing individuals at the centre of decisions about their health, treatment, and wellbeing. This approach recognises each person as unique, with specific values, preferences, and experiences, rather than focusing solely on medical conditions. PCC promotes dignity, respect, independence, and active involvement in care decisions (World Health Organisation, 2016). Partnership working (PW) enhances PCC by fostering collaboration among patients, families, professionals, and organisations.</w:t>
      </w:r>
    </w:p>
    <w:p w14:paraId="5438549A" w14:textId="77777777" w:rsidR="00EE6BC5" w:rsidRDefault="009F400E" w:rsidP="00EE6BC5">
      <w:pPr>
        <w:spacing w:line="360" w:lineRule="auto"/>
        <w:jc w:val="both"/>
        <w:rPr>
          <w:rFonts w:ascii="Arial" w:hAnsi="Arial" w:cs="Arial"/>
        </w:rPr>
      </w:pPr>
      <w:r w:rsidRPr="0002193C">
        <w:rPr>
          <w:rFonts w:ascii="Arial" w:hAnsi="Arial" w:cs="Arial"/>
        </w:rPr>
        <w:t xml:space="preserve"> In acute hospitals, where patients often present with complex and evolving needs, effective teamwork is essential for delivering safe, coordinated, and high-quality care. Integrated approaches are designed to minimise fragmented services and improve continuity across hospital, community, and social care settings (Department of Health and Social Care, 2022). This report critically examines PCC and PW in acute hospital contexts, exploring their principles, benefits, and limitations; evaluating the McCormack and McCance Person-Centred Practice Framework; discussing ethical principles; analysing partnership working; and considering relevant UK legislation and recommendations for future development.</w:t>
      </w:r>
      <w:bookmarkStart w:id="1" w:name="_Toc235918960"/>
    </w:p>
    <w:p w14:paraId="30366B96" w14:textId="77777777" w:rsidR="00EE6BC5" w:rsidRDefault="00EE6BC5" w:rsidP="00EE6BC5">
      <w:pPr>
        <w:spacing w:line="360" w:lineRule="auto"/>
        <w:jc w:val="both"/>
        <w:rPr>
          <w:rFonts w:ascii="Arial" w:hAnsi="Arial" w:cs="Arial"/>
        </w:rPr>
      </w:pPr>
    </w:p>
    <w:p w14:paraId="58CDB354" w14:textId="10127C47" w:rsidR="009F400E" w:rsidRPr="00EE6BC5" w:rsidRDefault="009F400E" w:rsidP="00EE6BC5">
      <w:pPr>
        <w:spacing w:line="360" w:lineRule="auto"/>
        <w:jc w:val="both"/>
        <w:rPr>
          <w:rFonts w:ascii="Arial" w:hAnsi="Arial" w:cs="Arial"/>
        </w:rPr>
      </w:pPr>
      <w:r w:rsidRPr="009F44E4">
        <w:rPr>
          <w:rFonts w:ascii="Arial" w:hAnsi="Arial" w:cs="Arial"/>
          <w:b/>
          <w:bCs/>
          <w:color w:val="000000" w:themeColor="text1"/>
          <w:sz w:val="24"/>
          <w:szCs w:val="24"/>
        </w:rPr>
        <w:t>Person-Centred Care: Definition, Benefits and Limitations</w:t>
      </w:r>
      <w:bookmarkEnd w:id="1"/>
    </w:p>
    <w:p w14:paraId="66658A16" w14:textId="493F64B5" w:rsidR="009F400E" w:rsidRPr="0002193C" w:rsidRDefault="009F400E" w:rsidP="002F380B">
      <w:pPr>
        <w:spacing w:line="360" w:lineRule="auto"/>
        <w:jc w:val="both"/>
        <w:rPr>
          <w:rFonts w:ascii="Arial" w:hAnsi="Arial" w:cs="Arial"/>
        </w:rPr>
      </w:pPr>
      <w:r w:rsidRPr="0002193C">
        <w:rPr>
          <w:rFonts w:ascii="Arial" w:hAnsi="Arial" w:cs="Arial"/>
        </w:rPr>
        <w:t>Person-centred care involves recognising patients as active partners in healthcare decisions. It considers their physical, emotional, psychological, social, and cultural needs, rather than focusing only on diagnosis and treatment. The World Health Organisation (2016) identifies people-centred healthcare as an approach based on considerate communication, shared decision-making, and coordinated care.</w:t>
      </w:r>
      <w:r w:rsidR="00D2469A">
        <w:rPr>
          <w:rFonts w:ascii="Arial" w:hAnsi="Arial" w:cs="Arial"/>
        </w:rPr>
        <w:t xml:space="preserve"> </w:t>
      </w:r>
      <w:r w:rsidR="000E093C">
        <w:rPr>
          <w:rFonts w:ascii="Arial" w:hAnsi="Arial" w:cs="Arial"/>
        </w:rPr>
        <w:t xml:space="preserve">Similarly, Ekman </w:t>
      </w:r>
      <w:r w:rsidR="000E093C" w:rsidRPr="000E093C">
        <w:rPr>
          <w:rFonts w:ascii="Arial" w:hAnsi="Arial" w:cs="Arial"/>
          <w:i/>
          <w:iCs/>
        </w:rPr>
        <w:t>et al.</w:t>
      </w:r>
      <w:r w:rsidR="000E093C">
        <w:rPr>
          <w:rFonts w:ascii="Arial" w:hAnsi="Arial" w:cs="Arial"/>
        </w:rPr>
        <w:t xml:space="preserve"> (2011) argue that person-centred care is founded on understanding the patient's narrative, establishing a partnership between patients and professionals, and documenting shared goals to improve engagement and quality of care.</w:t>
      </w:r>
    </w:p>
    <w:p w14:paraId="606F4F66" w14:textId="77777777" w:rsidR="009F400E" w:rsidRPr="0002193C" w:rsidRDefault="009F400E" w:rsidP="002F380B">
      <w:pPr>
        <w:spacing w:line="360" w:lineRule="auto"/>
        <w:jc w:val="both"/>
        <w:rPr>
          <w:rFonts w:ascii="Arial" w:hAnsi="Arial" w:cs="Arial"/>
        </w:rPr>
      </w:pPr>
      <w:r w:rsidRPr="0002193C">
        <w:rPr>
          <w:rFonts w:ascii="Arial" w:hAnsi="Arial" w:cs="Arial"/>
        </w:rPr>
        <w:t xml:space="preserve">In acute hospitals, PCC is demonstrated by involving patients in treatment decisions, obtaining informed consent, respecting personal beliefs, and tailoring communication to individual needs. Shared decision-making enables patients and professionals to collaborate on </w:t>
      </w:r>
      <w:r w:rsidRPr="0002193C">
        <w:rPr>
          <w:rFonts w:ascii="Arial" w:hAnsi="Arial" w:cs="Arial"/>
        </w:rPr>
        <w:lastRenderedPageBreak/>
        <w:t>treatment options, ensuring that decisions reflect both clinical evidence and personal priorities (NICE, 2021).</w:t>
      </w:r>
    </w:p>
    <w:p w14:paraId="2945DAFE" w14:textId="77777777" w:rsidR="009F400E" w:rsidRPr="0002193C" w:rsidRDefault="009F400E" w:rsidP="002F380B">
      <w:pPr>
        <w:spacing w:line="360" w:lineRule="auto"/>
        <w:jc w:val="both"/>
        <w:rPr>
          <w:rFonts w:ascii="Arial" w:hAnsi="Arial" w:cs="Arial"/>
        </w:rPr>
      </w:pPr>
      <w:r w:rsidRPr="0002193C">
        <w:rPr>
          <w:rFonts w:ascii="Arial" w:hAnsi="Arial" w:cs="Arial"/>
        </w:rPr>
        <w:t>PCC enhances patient experience by fostering trust and effective communication between healthcare professionals and patients. When individuals comprehend their treatment and feel involved in decision-making, they are more likely to engage with care plans. Personalised approaches can further improve outcomes by ensuring that services address what is most important to each individual (NHS England, 2019).</w:t>
      </w:r>
    </w:p>
    <w:p w14:paraId="77EEFB11" w14:textId="77777777" w:rsidR="009F400E" w:rsidRPr="0002193C" w:rsidRDefault="009F400E" w:rsidP="002F380B">
      <w:pPr>
        <w:spacing w:line="360" w:lineRule="auto"/>
        <w:jc w:val="both"/>
        <w:rPr>
          <w:rFonts w:ascii="Arial" w:hAnsi="Arial" w:cs="Arial"/>
        </w:rPr>
      </w:pPr>
      <w:r w:rsidRPr="0002193C">
        <w:rPr>
          <w:rFonts w:ascii="Arial" w:hAnsi="Arial" w:cs="Arial"/>
        </w:rPr>
        <w:t>Person-centred approaches contribute to patient safety by encouraging patients and families to share concerns and participate in care. They also support effective discharge planning by considering wider factors such as home circumstances, social support and ongoing needs (NHS England, 2023).</w:t>
      </w:r>
    </w:p>
    <w:p w14:paraId="2622AF3E" w14:textId="77777777" w:rsidR="009F400E" w:rsidRPr="0002193C" w:rsidRDefault="009F400E" w:rsidP="002F380B">
      <w:pPr>
        <w:spacing w:line="360" w:lineRule="auto"/>
        <w:jc w:val="both"/>
        <w:rPr>
          <w:rFonts w:ascii="Arial" w:hAnsi="Arial" w:cs="Arial"/>
        </w:rPr>
      </w:pPr>
      <w:r w:rsidRPr="0002193C">
        <w:rPr>
          <w:rFonts w:ascii="Arial" w:hAnsi="Arial" w:cs="Arial"/>
        </w:rPr>
        <w:t>PCC promotes equality by requiring services to respond to individual differences. The Equality Act 2010 supports this by requiring reasonable adjustments for people with disabilities and other protected characteristics, including accessible information and culturally appropriate care.</w:t>
      </w:r>
    </w:p>
    <w:p w14:paraId="1BA99EF0" w14:textId="77777777" w:rsidR="009F400E" w:rsidRPr="0002193C" w:rsidRDefault="009F400E" w:rsidP="002F380B">
      <w:pPr>
        <w:spacing w:line="360" w:lineRule="auto"/>
        <w:jc w:val="both"/>
        <w:rPr>
          <w:rFonts w:ascii="Arial" w:hAnsi="Arial" w:cs="Arial"/>
        </w:rPr>
      </w:pPr>
      <w:r w:rsidRPr="0002193C">
        <w:rPr>
          <w:rFonts w:ascii="Arial" w:hAnsi="Arial" w:cs="Arial"/>
        </w:rPr>
        <w:t>However, implementing PCC in acute hospitals presents significant challenges. High patient demand, workforce shortages, and limited resources can constrain the time available for meaningful communication. As a result, care may become task-oriented rather than focused on individual preferences.</w:t>
      </w:r>
    </w:p>
    <w:p w14:paraId="5543269E" w14:textId="77777777" w:rsidR="009F400E" w:rsidRPr="0002193C" w:rsidRDefault="009F400E" w:rsidP="002F380B">
      <w:pPr>
        <w:spacing w:line="360" w:lineRule="auto"/>
        <w:jc w:val="both"/>
        <w:rPr>
          <w:rFonts w:ascii="Arial" w:hAnsi="Arial" w:cs="Arial"/>
        </w:rPr>
      </w:pPr>
      <w:r w:rsidRPr="0002193C">
        <w:rPr>
          <w:rFonts w:ascii="Arial" w:hAnsi="Arial" w:cs="Arial"/>
        </w:rPr>
        <w:t>Organisational culture also influences the implementation of PCC. Traditional healthcare models often position professionals as primary decision-makers, which can limit patient involvement. Shifting these paradigms requires strong leadership, targeted education, and ongoing professional development (McCormack and McCance, 2021). Communication barriers—such as cognitive impairment, language difficulties, or sensory disabilities—may further restrict patient participation and necessitate additional support. In emergency situations, clinicians may need to act rapidly, creating tension between patient involvement and urgent clinical priorities. Therefore, PCC must remain adaptable to individual circumstances.</w:t>
      </w:r>
    </w:p>
    <w:p w14:paraId="73C56E01" w14:textId="77777777" w:rsidR="00494C62" w:rsidRDefault="009F400E" w:rsidP="00494C62">
      <w:pPr>
        <w:spacing w:line="360" w:lineRule="auto"/>
        <w:jc w:val="both"/>
        <w:rPr>
          <w:rFonts w:ascii="Arial" w:hAnsi="Arial" w:cs="Arial"/>
        </w:rPr>
      </w:pPr>
      <w:r w:rsidRPr="0002193C">
        <w:rPr>
          <w:rFonts w:ascii="Arial" w:hAnsi="Arial" w:cs="Arial"/>
        </w:rPr>
        <w:t xml:space="preserve">Effective PCC also requires healthcare professionals to acknowledge the importance of emotional and psychological support alongside physical treatment. Acute hospital admission is often stressful, leading to anxiety, uncertainty, and a loss of independence for patients. By fostering therapeutic relationships and recognising individual experiences, professionals can deliver care that supports both recovery and overall wellbeing. This underscores that PCC is </w:t>
      </w:r>
      <w:r w:rsidRPr="0002193C">
        <w:rPr>
          <w:rFonts w:ascii="Arial" w:hAnsi="Arial" w:cs="Arial"/>
        </w:rPr>
        <w:lastRenderedPageBreak/>
        <w:t>a comprehensive philosophy of care, shaping professional attitudes, behaviours, and organisational priorities.</w:t>
      </w:r>
      <w:bookmarkStart w:id="2" w:name="_Toc235918961"/>
    </w:p>
    <w:p w14:paraId="1B7C2739" w14:textId="77777777" w:rsidR="00494C62" w:rsidRDefault="00494C62" w:rsidP="00494C62">
      <w:pPr>
        <w:spacing w:line="360" w:lineRule="auto"/>
        <w:jc w:val="both"/>
        <w:rPr>
          <w:rFonts w:ascii="Arial" w:hAnsi="Arial" w:cs="Arial"/>
        </w:rPr>
      </w:pPr>
    </w:p>
    <w:p w14:paraId="42375651" w14:textId="781A13F2" w:rsidR="009F400E" w:rsidRPr="00494C62" w:rsidRDefault="009F400E" w:rsidP="00494C62">
      <w:pPr>
        <w:spacing w:line="360" w:lineRule="auto"/>
        <w:jc w:val="both"/>
        <w:rPr>
          <w:rFonts w:ascii="Arial" w:hAnsi="Arial" w:cs="Arial"/>
        </w:rPr>
      </w:pPr>
      <w:r w:rsidRPr="009F44E4">
        <w:rPr>
          <w:rFonts w:ascii="Arial" w:hAnsi="Arial" w:cs="Arial"/>
          <w:b/>
          <w:bCs/>
          <w:color w:val="000000" w:themeColor="text1"/>
          <w:sz w:val="24"/>
          <w:szCs w:val="24"/>
        </w:rPr>
        <w:t>Theoretical Framework: McCormack and McCance Person-Centred Practice Framework</w:t>
      </w:r>
      <w:bookmarkEnd w:id="2"/>
    </w:p>
    <w:p w14:paraId="5FF72A54" w14:textId="77777777" w:rsidR="009F400E" w:rsidRPr="0002193C" w:rsidRDefault="009F400E" w:rsidP="002F380B">
      <w:pPr>
        <w:spacing w:line="360" w:lineRule="auto"/>
        <w:jc w:val="both"/>
        <w:rPr>
          <w:rFonts w:ascii="Arial" w:hAnsi="Arial" w:cs="Arial"/>
        </w:rPr>
      </w:pPr>
      <w:r w:rsidRPr="0002193C">
        <w:rPr>
          <w:rFonts w:ascii="Arial" w:hAnsi="Arial" w:cs="Arial"/>
        </w:rPr>
        <w:t>The McCormack and McCance Person-Centred Practice Framework offers a foundational perspective on PCC. It emphasises that effective care relies on meaningful relationships between healthcare professionals and patients, recognising individuals as partners in care (McCormack and McCance, 2021).</w:t>
      </w:r>
    </w:p>
    <w:p w14:paraId="281FCE9B" w14:textId="77777777" w:rsidR="009F400E" w:rsidRPr="0002193C" w:rsidRDefault="009F400E" w:rsidP="002F380B">
      <w:pPr>
        <w:spacing w:line="360" w:lineRule="auto"/>
        <w:jc w:val="both"/>
        <w:rPr>
          <w:rFonts w:ascii="Arial" w:hAnsi="Arial" w:cs="Arial"/>
        </w:rPr>
      </w:pPr>
      <w:r w:rsidRPr="0002193C">
        <w:rPr>
          <w:rFonts w:ascii="Arial" w:hAnsi="Arial" w:cs="Arial"/>
        </w:rPr>
        <w:t>The framework includes four elements: prerequisites, the care environment, person-centred processes, and outcomes.</w:t>
      </w:r>
    </w:p>
    <w:p w14:paraId="6745CDF9" w14:textId="77777777" w:rsidR="009F400E" w:rsidRPr="0002193C" w:rsidRDefault="009F400E" w:rsidP="002F380B">
      <w:pPr>
        <w:spacing w:line="360" w:lineRule="auto"/>
        <w:jc w:val="both"/>
        <w:rPr>
          <w:rFonts w:ascii="Arial" w:hAnsi="Arial" w:cs="Arial"/>
        </w:rPr>
      </w:pPr>
      <w:r w:rsidRPr="0002193C">
        <w:rPr>
          <w:rFonts w:ascii="Arial" w:hAnsi="Arial" w:cs="Arial"/>
        </w:rPr>
        <w:t>Prerequisites describe the qualities professionals require to provide PCC, including competence, communication skills, commitment and self-awareness. In acute hospitals, professionals must combine clinical knowledge with compassion and the ability to develop trusting relationships.</w:t>
      </w:r>
    </w:p>
    <w:p w14:paraId="7BFBB61A" w14:textId="77777777" w:rsidR="009F400E" w:rsidRPr="0002193C" w:rsidRDefault="009F400E" w:rsidP="002F380B">
      <w:pPr>
        <w:spacing w:line="360" w:lineRule="auto"/>
        <w:jc w:val="both"/>
        <w:rPr>
          <w:rFonts w:ascii="Arial" w:hAnsi="Arial" w:cs="Arial"/>
        </w:rPr>
      </w:pPr>
      <w:r w:rsidRPr="0002193C">
        <w:rPr>
          <w:rFonts w:ascii="Arial" w:hAnsi="Arial" w:cs="Arial"/>
        </w:rPr>
        <w:t>The care environment focuses on organisational factors that support PCC, such as leadership, teamwork and appropriate staffing. However, workforce pressures and increasing demand can make consistent delivery difficult.</w:t>
      </w:r>
    </w:p>
    <w:p w14:paraId="0285EBD3" w14:textId="77777777" w:rsidR="009F400E" w:rsidRPr="0002193C" w:rsidRDefault="009F400E" w:rsidP="002F380B">
      <w:pPr>
        <w:spacing w:line="360" w:lineRule="auto"/>
        <w:jc w:val="both"/>
        <w:rPr>
          <w:rFonts w:ascii="Arial" w:hAnsi="Arial" w:cs="Arial"/>
        </w:rPr>
      </w:pPr>
      <w:r w:rsidRPr="0002193C">
        <w:rPr>
          <w:rFonts w:ascii="Arial" w:hAnsi="Arial" w:cs="Arial"/>
        </w:rPr>
        <w:t>Person-centred processes consist of collaboration with patients, respecting their values and supporting shared decision-making. Examples include discussing treatment options, involving patients in discharge planning and ensuring care reflects individual circumstances. The final element concerns outcomes. Effective PCC can improve patient satisfaction, involvement, wellbeing and quality of care. It can also improve professional satisfaction through stronger teamwork.</w:t>
      </w:r>
    </w:p>
    <w:p w14:paraId="66B4B22D" w14:textId="77777777" w:rsidR="009F400E" w:rsidRPr="0002193C" w:rsidRDefault="009F400E" w:rsidP="002F380B">
      <w:pPr>
        <w:spacing w:line="360" w:lineRule="auto"/>
        <w:jc w:val="both"/>
        <w:rPr>
          <w:rFonts w:ascii="Arial" w:hAnsi="Arial" w:cs="Arial"/>
        </w:rPr>
      </w:pPr>
      <w:r w:rsidRPr="0002193C">
        <w:rPr>
          <w:rFonts w:ascii="Arial" w:hAnsi="Arial" w:cs="Arial"/>
        </w:rPr>
        <w:t>Although the framework provides a comprehensive approach, its implementation depends on organisational support and resource availability. Adaptation is necessary, as not all patients desire the same level of involvement in decision-making. Some may prefer professionals or family members to assume a greater role. Healthcare professionals must, therefore, balance promoting participation with respecting individual preferences.</w:t>
      </w:r>
    </w:p>
    <w:p w14:paraId="25FDEB88" w14:textId="77777777" w:rsidR="00685F89" w:rsidRDefault="009F400E" w:rsidP="00685F89">
      <w:pPr>
        <w:spacing w:line="360" w:lineRule="auto"/>
        <w:jc w:val="both"/>
        <w:rPr>
          <w:rFonts w:ascii="Arial" w:hAnsi="Arial" w:cs="Arial"/>
        </w:rPr>
      </w:pPr>
      <w:r w:rsidRPr="0002193C">
        <w:rPr>
          <w:rFonts w:ascii="Arial" w:hAnsi="Arial" w:cs="Arial"/>
        </w:rPr>
        <w:t xml:space="preserve">The framework also highlights the importance of reflective practice, requiring professionals to continually assess whether their approach genuinely aligns with patient priorities. Without ongoing reflection, PCC risks becoming a procedural requirement, rather than a meaningful </w:t>
      </w:r>
      <w:r w:rsidRPr="0002193C">
        <w:rPr>
          <w:rFonts w:ascii="Arial" w:hAnsi="Arial" w:cs="Arial"/>
        </w:rPr>
        <w:lastRenderedPageBreak/>
        <w:t>practice embedded in daily care. Leadership is essential for creating environments that support staff in delivering compassionate and individualised care.</w:t>
      </w:r>
      <w:bookmarkStart w:id="3" w:name="_Toc235918962"/>
    </w:p>
    <w:p w14:paraId="0029C9B7" w14:textId="77777777" w:rsidR="00685F89" w:rsidRDefault="00685F89" w:rsidP="00685F89">
      <w:pPr>
        <w:spacing w:line="360" w:lineRule="auto"/>
        <w:jc w:val="both"/>
        <w:rPr>
          <w:rFonts w:ascii="Arial" w:hAnsi="Arial" w:cs="Arial"/>
        </w:rPr>
      </w:pPr>
    </w:p>
    <w:p w14:paraId="34F1DE42" w14:textId="19417B74" w:rsidR="009F400E" w:rsidRPr="00685F89" w:rsidRDefault="009F400E" w:rsidP="00685F89">
      <w:pPr>
        <w:spacing w:line="360" w:lineRule="auto"/>
        <w:jc w:val="both"/>
        <w:rPr>
          <w:rFonts w:ascii="Arial" w:hAnsi="Arial" w:cs="Arial"/>
        </w:rPr>
      </w:pPr>
      <w:r w:rsidRPr="009F44E4">
        <w:rPr>
          <w:rFonts w:ascii="Arial" w:hAnsi="Arial" w:cs="Arial"/>
          <w:b/>
          <w:bCs/>
          <w:color w:val="000000" w:themeColor="text1"/>
          <w:sz w:val="24"/>
          <w:szCs w:val="24"/>
        </w:rPr>
        <w:t>Ethical Principles in Person-Centred Care and Partnership Working</w:t>
      </w:r>
      <w:bookmarkEnd w:id="3"/>
    </w:p>
    <w:p w14:paraId="3DE85461" w14:textId="77777777" w:rsidR="009F400E" w:rsidRPr="0002193C" w:rsidRDefault="009F400E" w:rsidP="002F380B">
      <w:pPr>
        <w:spacing w:line="360" w:lineRule="auto"/>
        <w:jc w:val="both"/>
        <w:rPr>
          <w:rFonts w:ascii="Arial" w:hAnsi="Arial" w:cs="Arial"/>
        </w:rPr>
      </w:pPr>
      <w:r w:rsidRPr="0002193C">
        <w:rPr>
          <w:rFonts w:ascii="Arial" w:hAnsi="Arial" w:cs="Arial"/>
        </w:rPr>
        <w:t>Ethical principles guide healthcare decision-making and support professionals in balancing patient rights with responsibilities to provide safe and quality care. Beauchamp and Childress (2019) identify four key principles: autonomy, beneficence, non-maleficence and justice.</w:t>
      </w:r>
    </w:p>
    <w:p w14:paraId="14F9F53E" w14:textId="77777777" w:rsidR="009F400E" w:rsidRPr="0002193C" w:rsidRDefault="009F400E" w:rsidP="002F380B">
      <w:pPr>
        <w:spacing w:line="360" w:lineRule="auto"/>
        <w:jc w:val="both"/>
        <w:rPr>
          <w:rFonts w:ascii="Arial" w:hAnsi="Arial" w:cs="Arial"/>
        </w:rPr>
      </w:pPr>
      <w:r w:rsidRPr="0002193C">
        <w:rPr>
          <w:rFonts w:ascii="Arial" w:hAnsi="Arial" w:cs="Arial"/>
        </w:rPr>
        <w:t>Autonomy refers to respecting an individual’s right to make choices regarding their healthcare. It is central to PCC because patients should be supported to participate in decisions, rather than simply having treatment decisions made for them by professionals. In acute hospitals, autonomy is promoted through informed consent, effective communication, and shared decision-making (NICE, 2021). However, when patients lack capacity due to conditions such as dementia or delirium, healthcare professionals must follow the Mental Capacity Act 2005 and make decisions in the person’s best interests where required.</w:t>
      </w:r>
    </w:p>
    <w:p w14:paraId="5442037E" w14:textId="77777777" w:rsidR="009F400E" w:rsidRPr="0002193C" w:rsidRDefault="009F400E" w:rsidP="002F380B">
      <w:pPr>
        <w:spacing w:line="360" w:lineRule="auto"/>
        <w:jc w:val="both"/>
        <w:rPr>
          <w:rFonts w:ascii="Arial" w:hAnsi="Arial" w:cs="Arial"/>
        </w:rPr>
      </w:pPr>
      <w:r w:rsidRPr="0002193C">
        <w:rPr>
          <w:rFonts w:ascii="Arial" w:hAnsi="Arial" w:cs="Arial"/>
        </w:rPr>
        <w:t>Beneficence involves acting to promote patient wellbeing. Healthcare professionals demonstrate this by delivering evidence-based treatment, reducing suffering, and supporting recovery. Multidisciplinary working supports beneficence by bringing together different professional skills to address patients’ medical, emotional, and social needs (Beauchamp and Childress, 2019).</w:t>
      </w:r>
    </w:p>
    <w:p w14:paraId="038CECEB" w14:textId="77777777" w:rsidR="009F400E" w:rsidRPr="0002193C" w:rsidRDefault="009F400E" w:rsidP="002F380B">
      <w:pPr>
        <w:spacing w:line="360" w:lineRule="auto"/>
        <w:jc w:val="both"/>
        <w:rPr>
          <w:rFonts w:ascii="Arial" w:hAnsi="Arial" w:cs="Arial"/>
        </w:rPr>
      </w:pPr>
      <w:r w:rsidRPr="0002193C">
        <w:rPr>
          <w:rFonts w:ascii="Arial" w:hAnsi="Arial" w:cs="Arial"/>
        </w:rPr>
        <w:t>Non-maleficence requires professionals to avoid unnecessary harm. In acute hospitals, this includes safe medication practices, infection prevention, and sound risk management. The Nursing and Midwifery Council (2018) emphasises that professionals must communicate competently and maintain safe practice. Partnership working reduces risks by improving information sharing and coordination between teams (World Health Organisation, 2021).</w:t>
      </w:r>
    </w:p>
    <w:p w14:paraId="50699550" w14:textId="79C98C1E" w:rsidR="009F400E" w:rsidRPr="0002193C" w:rsidRDefault="009F400E" w:rsidP="002F380B">
      <w:pPr>
        <w:spacing w:line="360" w:lineRule="auto"/>
        <w:jc w:val="both"/>
        <w:rPr>
          <w:rFonts w:ascii="Arial" w:hAnsi="Arial" w:cs="Arial"/>
        </w:rPr>
      </w:pPr>
      <w:r w:rsidRPr="0002193C">
        <w:rPr>
          <w:rFonts w:ascii="Arial" w:hAnsi="Arial" w:cs="Arial"/>
        </w:rPr>
        <w:t>Justice focuses on fairness and equal access to healthcare. The Equality Act 2010 supports this by requiring organisations to prevent discrimination and make reasonable adjustments. This may include providing interpreters, accessible information, or culturally appropriate care. However, achieving justice can be challenging when resources are limited</w:t>
      </w:r>
      <w:r w:rsidR="00041778">
        <w:rPr>
          <w:rFonts w:ascii="Arial" w:hAnsi="Arial" w:cs="Arial"/>
        </w:rPr>
        <w:t>,</w:t>
      </w:r>
      <w:r w:rsidRPr="0002193C">
        <w:rPr>
          <w:rFonts w:ascii="Arial" w:hAnsi="Arial" w:cs="Arial"/>
        </w:rPr>
        <w:t xml:space="preserve"> and decisions must be made about staffing, beds, and specialist services.</w:t>
      </w:r>
    </w:p>
    <w:p w14:paraId="49207F11" w14:textId="77777777" w:rsidR="00165B55" w:rsidRDefault="009F400E" w:rsidP="00165B55">
      <w:pPr>
        <w:spacing w:line="360" w:lineRule="auto"/>
        <w:jc w:val="both"/>
        <w:rPr>
          <w:rFonts w:ascii="Arial" w:hAnsi="Arial" w:cs="Arial"/>
        </w:rPr>
      </w:pPr>
      <w:r w:rsidRPr="0002193C">
        <w:rPr>
          <w:rFonts w:ascii="Arial" w:hAnsi="Arial" w:cs="Arial"/>
        </w:rPr>
        <w:t>Overall, ethical practice entails balancing competing principles. Healthcare professionals must respect patient choices while ensuring care remains safe, beneficial and impartial.</w:t>
      </w:r>
      <w:bookmarkStart w:id="4" w:name="_Toc235918963"/>
    </w:p>
    <w:p w14:paraId="634F41C5" w14:textId="77777777" w:rsidR="00165B55" w:rsidRDefault="00165B55" w:rsidP="00165B55">
      <w:pPr>
        <w:spacing w:line="360" w:lineRule="auto"/>
        <w:jc w:val="both"/>
        <w:rPr>
          <w:rFonts w:ascii="Arial" w:hAnsi="Arial" w:cs="Arial"/>
        </w:rPr>
      </w:pPr>
    </w:p>
    <w:p w14:paraId="6580F7D6" w14:textId="7EB79154" w:rsidR="009F400E" w:rsidRPr="00165B55" w:rsidRDefault="009F400E" w:rsidP="00165B55">
      <w:pPr>
        <w:spacing w:line="360" w:lineRule="auto"/>
        <w:jc w:val="both"/>
        <w:rPr>
          <w:rFonts w:ascii="Arial" w:hAnsi="Arial" w:cs="Arial"/>
        </w:rPr>
      </w:pPr>
      <w:r w:rsidRPr="009F44E4">
        <w:rPr>
          <w:rFonts w:ascii="Arial" w:hAnsi="Arial" w:cs="Arial"/>
          <w:b/>
          <w:bCs/>
          <w:color w:val="000000" w:themeColor="text1"/>
          <w:sz w:val="24"/>
          <w:szCs w:val="24"/>
        </w:rPr>
        <w:lastRenderedPageBreak/>
        <w:t>Evaluation of Partnership Working in Acute Hospitals</w:t>
      </w:r>
      <w:bookmarkEnd w:id="4"/>
    </w:p>
    <w:p w14:paraId="1FB0B678" w14:textId="77777777" w:rsidR="009F400E" w:rsidRPr="0002193C" w:rsidRDefault="009F400E" w:rsidP="002F380B">
      <w:pPr>
        <w:spacing w:line="360" w:lineRule="auto"/>
        <w:jc w:val="both"/>
        <w:rPr>
          <w:rFonts w:ascii="Arial" w:hAnsi="Arial" w:cs="Arial"/>
        </w:rPr>
      </w:pPr>
      <w:r w:rsidRPr="0002193C">
        <w:rPr>
          <w:rFonts w:ascii="Arial" w:hAnsi="Arial" w:cs="Arial"/>
        </w:rPr>
        <w:t>Partnership working entails collaboration among healthcare professionals, patients, carers, and organisations to deliver coordinated care. Its importance is growing as patients frequently require support from multiple services.</w:t>
      </w:r>
    </w:p>
    <w:p w14:paraId="5954D862" w14:textId="77777777" w:rsidR="009F400E" w:rsidRPr="0002193C" w:rsidRDefault="009F400E" w:rsidP="002F380B">
      <w:pPr>
        <w:spacing w:line="360" w:lineRule="auto"/>
        <w:jc w:val="both"/>
        <w:rPr>
          <w:rFonts w:ascii="Arial" w:hAnsi="Arial" w:cs="Arial"/>
        </w:rPr>
      </w:pPr>
      <w:r w:rsidRPr="0002193C">
        <w:rPr>
          <w:rFonts w:ascii="Arial" w:hAnsi="Arial" w:cs="Arial"/>
        </w:rPr>
        <w:t>The Health and Care Act 2022 strengthened partnership working through Integrated Care Systems (ICSs), which encourage NHS organisations, local authorities, and voluntary sector providers to work together to improve outcomes and reduce fragmented care (Department of Health and Social Care, 2022).</w:t>
      </w:r>
    </w:p>
    <w:p w14:paraId="26FE09AF" w14:textId="77777777" w:rsidR="009F400E" w:rsidRPr="0002193C" w:rsidRDefault="009F400E" w:rsidP="002F380B">
      <w:pPr>
        <w:spacing w:line="360" w:lineRule="auto"/>
        <w:jc w:val="both"/>
        <w:rPr>
          <w:rFonts w:ascii="Arial" w:hAnsi="Arial" w:cs="Arial"/>
        </w:rPr>
      </w:pPr>
      <w:r w:rsidRPr="0002193C">
        <w:rPr>
          <w:rFonts w:ascii="Arial" w:hAnsi="Arial" w:cs="Arial"/>
        </w:rPr>
        <w:t>A primary benefit of partnership working is enhanced quality of care. Multidisciplinary teams integrate expertise from various professions to develop holistic care plans. For instance, an older adult admitted after a fall may require medical treatment, physiotherapy, medication review, and social support. Collaborative approaches ensure these needs are addressed collectively.</w:t>
      </w:r>
    </w:p>
    <w:p w14:paraId="7AC64F7E" w14:textId="77777777" w:rsidR="009F400E" w:rsidRPr="0002193C" w:rsidRDefault="009F400E" w:rsidP="002F380B">
      <w:pPr>
        <w:spacing w:line="360" w:lineRule="auto"/>
        <w:jc w:val="both"/>
        <w:rPr>
          <w:rFonts w:ascii="Arial" w:hAnsi="Arial" w:cs="Arial"/>
        </w:rPr>
      </w:pPr>
      <w:r w:rsidRPr="0002193C">
        <w:rPr>
          <w:rFonts w:ascii="Arial" w:hAnsi="Arial" w:cs="Arial"/>
        </w:rPr>
        <w:t>Partnership working also improves patient safety. Effective communication reduces medication errors, repeated assessments and delays in treatment. Reeves et al. (2018) highlight that multidisciplinary collaboration can boost healthcare outcomes by strengthening teamwork and interprofessional communication.</w:t>
      </w:r>
    </w:p>
    <w:p w14:paraId="24E49B92" w14:textId="77777777" w:rsidR="009F400E" w:rsidRPr="0002193C" w:rsidRDefault="009F400E" w:rsidP="002F380B">
      <w:pPr>
        <w:spacing w:line="360" w:lineRule="auto"/>
        <w:jc w:val="both"/>
        <w:rPr>
          <w:rFonts w:ascii="Arial" w:hAnsi="Arial" w:cs="Arial"/>
        </w:rPr>
      </w:pPr>
      <w:r w:rsidRPr="0002193C">
        <w:rPr>
          <w:rFonts w:ascii="Arial" w:hAnsi="Arial" w:cs="Arial"/>
        </w:rPr>
        <w:t>Collaboration between hospitals, community services and social care also supports smoother discharge planning. By identifying support needs early, teams can arrange appropriate rehabilitation and follow-up services, reducing avoidable readmissions.</w:t>
      </w:r>
    </w:p>
    <w:p w14:paraId="7131012F" w14:textId="77777777" w:rsidR="009F400E" w:rsidRPr="0002193C" w:rsidRDefault="009F400E" w:rsidP="002F380B">
      <w:pPr>
        <w:spacing w:line="360" w:lineRule="auto"/>
        <w:jc w:val="both"/>
        <w:rPr>
          <w:rFonts w:ascii="Arial" w:hAnsi="Arial" w:cs="Arial"/>
        </w:rPr>
      </w:pPr>
      <w:r w:rsidRPr="0002193C">
        <w:rPr>
          <w:rFonts w:ascii="Arial" w:hAnsi="Arial" w:cs="Arial"/>
        </w:rPr>
        <w:t>Despite these advantages, significant challenges persist. Organisations may operate with separate systems, conflicting priorities, or barriers to information sharing. Workforce pressures can further restrict opportunities for multidisciplinary meetings and effective planning. Clear leadership, well-defined responsibilities, and robust communication systems are, therefore, essential.</w:t>
      </w:r>
    </w:p>
    <w:p w14:paraId="265CBED3" w14:textId="77777777" w:rsidR="00DB5375" w:rsidRDefault="009F400E" w:rsidP="00DB5375">
      <w:pPr>
        <w:spacing w:line="360" w:lineRule="auto"/>
        <w:jc w:val="both"/>
        <w:rPr>
          <w:rFonts w:ascii="Arial" w:hAnsi="Arial" w:cs="Arial"/>
        </w:rPr>
      </w:pPr>
      <w:r w:rsidRPr="0002193C">
        <w:rPr>
          <w:rFonts w:ascii="Arial" w:hAnsi="Arial" w:cs="Arial"/>
        </w:rPr>
        <w:t>Effective partnership working also requires recognising patients and carers as integral members of the healthcare team. Their insights into personal circumstances, preferences, and daily challenges can significantly influence care planning. Professionals must ensure that involvement is substantive rather than tokenistic by providing accessible information and facilitating genuine participation.</w:t>
      </w:r>
      <w:bookmarkStart w:id="5" w:name="_Toc235918964"/>
    </w:p>
    <w:p w14:paraId="6920C821" w14:textId="77777777" w:rsidR="00DB5375" w:rsidRDefault="00DB5375" w:rsidP="00DB5375">
      <w:pPr>
        <w:spacing w:line="360" w:lineRule="auto"/>
        <w:jc w:val="both"/>
        <w:rPr>
          <w:rFonts w:ascii="Arial" w:hAnsi="Arial" w:cs="Arial"/>
        </w:rPr>
      </w:pPr>
    </w:p>
    <w:p w14:paraId="0F940ADE" w14:textId="77777777" w:rsidR="00DB5375" w:rsidRDefault="00DB5375" w:rsidP="00DB5375">
      <w:pPr>
        <w:spacing w:line="360" w:lineRule="auto"/>
        <w:jc w:val="both"/>
        <w:rPr>
          <w:rFonts w:ascii="Arial" w:hAnsi="Arial" w:cs="Arial"/>
        </w:rPr>
      </w:pPr>
    </w:p>
    <w:p w14:paraId="3597705E" w14:textId="29AA9147" w:rsidR="009F400E" w:rsidRPr="00DB5375" w:rsidRDefault="009F400E" w:rsidP="00DB5375">
      <w:pPr>
        <w:spacing w:line="360" w:lineRule="auto"/>
        <w:jc w:val="both"/>
        <w:rPr>
          <w:rFonts w:ascii="Arial" w:hAnsi="Arial" w:cs="Arial"/>
        </w:rPr>
      </w:pPr>
      <w:r w:rsidRPr="00B95A9F">
        <w:rPr>
          <w:rFonts w:ascii="Arial" w:hAnsi="Arial" w:cs="Arial"/>
          <w:b/>
          <w:bCs/>
          <w:color w:val="000000" w:themeColor="text1"/>
          <w:sz w:val="24"/>
          <w:szCs w:val="24"/>
        </w:rPr>
        <w:lastRenderedPageBreak/>
        <w:t>Policy and Legislation</w:t>
      </w:r>
      <w:bookmarkEnd w:id="5"/>
    </w:p>
    <w:p w14:paraId="0DBE9D38" w14:textId="77777777" w:rsidR="009F400E" w:rsidRPr="0002193C" w:rsidRDefault="009F400E" w:rsidP="002F380B">
      <w:pPr>
        <w:spacing w:line="360" w:lineRule="auto"/>
        <w:jc w:val="both"/>
        <w:rPr>
          <w:rFonts w:ascii="Arial" w:hAnsi="Arial" w:cs="Arial"/>
        </w:rPr>
      </w:pPr>
      <w:r w:rsidRPr="0002193C">
        <w:rPr>
          <w:rFonts w:ascii="Arial" w:hAnsi="Arial" w:cs="Arial"/>
        </w:rPr>
        <w:t>UK legislation and policy provide a framework for delivering safe, unbiased, and person-centred care.</w:t>
      </w:r>
    </w:p>
    <w:p w14:paraId="64A23101" w14:textId="77777777" w:rsidR="009F400E" w:rsidRPr="0002193C" w:rsidRDefault="009F400E" w:rsidP="002F380B">
      <w:pPr>
        <w:spacing w:line="360" w:lineRule="auto"/>
        <w:jc w:val="both"/>
        <w:rPr>
          <w:rFonts w:ascii="Arial" w:hAnsi="Arial" w:cs="Arial"/>
        </w:rPr>
      </w:pPr>
      <w:r w:rsidRPr="0002193C">
        <w:rPr>
          <w:rFonts w:ascii="Arial" w:hAnsi="Arial" w:cs="Arial"/>
        </w:rPr>
        <w:t>The Health and Care Act 2022 introduced ICSs and strengthened collaboration between health and social care organisations. It supports shared responsibility for improving population health and reducing inequalities (Department of Health and Social Care, 2022).</w:t>
      </w:r>
    </w:p>
    <w:p w14:paraId="3D3ECE07" w14:textId="77777777" w:rsidR="009F400E" w:rsidRPr="0002193C" w:rsidRDefault="009F400E" w:rsidP="002F380B">
      <w:pPr>
        <w:spacing w:line="360" w:lineRule="auto"/>
        <w:jc w:val="both"/>
        <w:rPr>
          <w:rFonts w:ascii="Arial" w:hAnsi="Arial" w:cs="Arial"/>
        </w:rPr>
      </w:pPr>
      <w:r w:rsidRPr="0002193C">
        <w:rPr>
          <w:rFonts w:ascii="Arial" w:hAnsi="Arial" w:cs="Arial"/>
        </w:rPr>
        <w:t>The Care Act 2014 promotes individual wellbeing by requiring involvement in decisions about care and support needs. This is especially relevant in acute hospitals because effective discharge planning often requires collaboration with social care services.</w:t>
      </w:r>
    </w:p>
    <w:p w14:paraId="2D72B424" w14:textId="77777777" w:rsidR="009F400E" w:rsidRPr="0002193C" w:rsidRDefault="009F400E" w:rsidP="002F380B">
      <w:pPr>
        <w:spacing w:line="360" w:lineRule="auto"/>
        <w:jc w:val="both"/>
        <w:rPr>
          <w:rFonts w:ascii="Arial" w:hAnsi="Arial" w:cs="Arial"/>
        </w:rPr>
      </w:pPr>
      <w:r w:rsidRPr="0002193C">
        <w:rPr>
          <w:rFonts w:ascii="Arial" w:hAnsi="Arial" w:cs="Arial"/>
        </w:rPr>
        <w:t>The Human Rights Act 1998 supports dignity, privacy and personal choice within healthcare. It reinforces the value of respecting confidentiality and involving individuals in decisions affecting their lives.</w:t>
      </w:r>
    </w:p>
    <w:p w14:paraId="24759B80" w14:textId="77777777" w:rsidR="009F400E" w:rsidRPr="0002193C" w:rsidRDefault="009F400E" w:rsidP="002F380B">
      <w:pPr>
        <w:spacing w:line="360" w:lineRule="auto"/>
        <w:jc w:val="both"/>
        <w:rPr>
          <w:rFonts w:ascii="Arial" w:hAnsi="Arial" w:cs="Arial"/>
        </w:rPr>
      </w:pPr>
      <w:r w:rsidRPr="0002193C">
        <w:rPr>
          <w:rFonts w:ascii="Arial" w:hAnsi="Arial" w:cs="Arial"/>
        </w:rPr>
        <w:t>The Equality Act 2010 supports fairness by preventing discrimination and requiring reasonable adjustments. This supports PCC by ensuring services respond to a range of patients' needs.</w:t>
      </w:r>
    </w:p>
    <w:p w14:paraId="69F6C3E3" w14:textId="77777777" w:rsidR="00A95D7F" w:rsidRDefault="009F400E" w:rsidP="00A95D7F">
      <w:pPr>
        <w:spacing w:line="360" w:lineRule="auto"/>
        <w:jc w:val="both"/>
        <w:rPr>
          <w:rFonts w:ascii="Arial" w:hAnsi="Arial" w:cs="Arial"/>
        </w:rPr>
      </w:pPr>
      <w:r w:rsidRPr="0002193C">
        <w:rPr>
          <w:rFonts w:ascii="Arial" w:hAnsi="Arial" w:cs="Arial"/>
        </w:rPr>
        <w:t>The Nursing and Midwifery Council (2018) Code also influences practice by requiring professionals to prioritise people, communicate effectively, and promote safety. However, translating legislation into everyday practice remains challenging due to workforce shortages, financial pressures, and increasing healthcare demand.</w:t>
      </w:r>
      <w:bookmarkStart w:id="6" w:name="_Toc235918965"/>
    </w:p>
    <w:p w14:paraId="53B41EDA" w14:textId="77777777" w:rsidR="00A95D7F" w:rsidRDefault="00A95D7F" w:rsidP="00A95D7F">
      <w:pPr>
        <w:spacing w:line="360" w:lineRule="auto"/>
        <w:jc w:val="both"/>
        <w:rPr>
          <w:rFonts w:ascii="Arial" w:hAnsi="Arial" w:cs="Arial"/>
        </w:rPr>
      </w:pPr>
    </w:p>
    <w:p w14:paraId="4E930336" w14:textId="3AC5DCCB" w:rsidR="009F400E" w:rsidRPr="00A95D7F" w:rsidRDefault="009F400E" w:rsidP="00A95D7F">
      <w:pPr>
        <w:spacing w:line="360" w:lineRule="auto"/>
        <w:jc w:val="both"/>
        <w:rPr>
          <w:rFonts w:ascii="Arial" w:hAnsi="Arial" w:cs="Arial"/>
        </w:rPr>
      </w:pPr>
      <w:r w:rsidRPr="00B95A9F">
        <w:rPr>
          <w:rFonts w:ascii="Arial" w:hAnsi="Arial" w:cs="Arial"/>
          <w:b/>
          <w:bCs/>
          <w:color w:val="000000" w:themeColor="text1"/>
          <w:sz w:val="24"/>
          <w:szCs w:val="24"/>
        </w:rPr>
        <w:t>Recommendations and Conclusion</w:t>
      </w:r>
      <w:bookmarkEnd w:id="6"/>
    </w:p>
    <w:p w14:paraId="78EEFE1D" w14:textId="77777777" w:rsidR="009F400E" w:rsidRPr="0002193C" w:rsidRDefault="009F400E" w:rsidP="002F380B">
      <w:pPr>
        <w:spacing w:line="360" w:lineRule="auto"/>
        <w:jc w:val="both"/>
        <w:rPr>
          <w:rFonts w:ascii="Arial" w:hAnsi="Arial" w:cs="Arial"/>
        </w:rPr>
      </w:pPr>
      <w:r w:rsidRPr="0002193C">
        <w:rPr>
          <w:rFonts w:ascii="Arial" w:hAnsi="Arial" w:cs="Arial"/>
        </w:rPr>
        <w:t>Future development of PCC and PW should prioritise enhancements in education, communication systems, and organisational culture. Healthcare organisations should provide ongoing training in communication, shared decision-making, cultural competence, and compassionate practice. Professionals require both clinical expertise and interpersonal skills to recognise patients as individuals.</w:t>
      </w:r>
    </w:p>
    <w:p w14:paraId="03979407" w14:textId="77777777" w:rsidR="009F400E" w:rsidRPr="0002193C" w:rsidRDefault="009F400E" w:rsidP="002F380B">
      <w:pPr>
        <w:spacing w:line="360" w:lineRule="auto"/>
        <w:jc w:val="both"/>
        <w:rPr>
          <w:rFonts w:ascii="Arial" w:hAnsi="Arial" w:cs="Arial"/>
        </w:rPr>
      </w:pPr>
      <w:r w:rsidRPr="0002193C">
        <w:rPr>
          <w:rFonts w:ascii="Arial" w:hAnsi="Arial" w:cs="Arial"/>
        </w:rPr>
        <w:t>Digital systems should also be strengthened to improve information sharing between hospitals, community services, and social care providers. Integrated records could reduce communication failures and support safer transitions between services.</w:t>
      </w:r>
    </w:p>
    <w:p w14:paraId="69167CD3" w14:textId="77777777" w:rsidR="009F400E" w:rsidRPr="0002193C" w:rsidRDefault="009F400E" w:rsidP="002F380B">
      <w:pPr>
        <w:spacing w:line="360" w:lineRule="auto"/>
        <w:jc w:val="both"/>
        <w:rPr>
          <w:rFonts w:ascii="Arial" w:hAnsi="Arial" w:cs="Arial"/>
        </w:rPr>
      </w:pPr>
      <w:r w:rsidRPr="0002193C">
        <w:rPr>
          <w:rFonts w:ascii="Arial" w:hAnsi="Arial" w:cs="Arial"/>
        </w:rPr>
        <w:t xml:space="preserve">Patient and family involvement must remain a central priority. Feedback from service users enables organisations to enhance care delivery and maintain responsive services. Healthcare organisations should monitor the effectiveness of PCC and PW through quality improvement measures, such as patient experience surveys, safety indicators, and multidisciplinary team </w:t>
      </w:r>
      <w:r w:rsidRPr="0002193C">
        <w:rPr>
          <w:rFonts w:ascii="Arial" w:hAnsi="Arial" w:cs="Arial"/>
        </w:rPr>
        <w:lastRenderedPageBreak/>
        <w:t>feedback. Regular evaluation can identify areas for improvement and ensure that person-centred principles are embedded in clinical practice, rather than confined to policy documents.</w:t>
      </w:r>
    </w:p>
    <w:p w14:paraId="1EBF91E8" w14:textId="77777777" w:rsidR="009F400E" w:rsidRPr="0002193C" w:rsidRDefault="009F400E" w:rsidP="002F380B">
      <w:pPr>
        <w:spacing w:line="360" w:lineRule="auto"/>
        <w:jc w:val="both"/>
        <w:rPr>
          <w:rFonts w:ascii="Arial" w:hAnsi="Arial" w:cs="Arial"/>
        </w:rPr>
      </w:pPr>
      <w:r w:rsidRPr="0002193C">
        <w:rPr>
          <w:rFonts w:ascii="Arial" w:hAnsi="Arial" w:cs="Arial"/>
        </w:rPr>
        <w:t>In conclusion, PCC and PW are fundamental to delivering high-quality care in acute hospital settings. PCC fosters dignity, autonomy, and personalised treatment, while partnership working enables professionals and organisations to coordinate services effectively. Although challenges such as resource constraints and communication barriers persist, ethical principles, legislation, and evidence-based frameworks offer guidance for practice improvement. Ongoing investment in workforce development, digital infrastructure, and integrated care approaches is necessary to ensure patients receive safe, compassionate, and individualised care.</w:t>
      </w:r>
    </w:p>
    <w:p w14:paraId="2A091A66" w14:textId="77777777" w:rsidR="007760CD" w:rsidRDefault="007760CD" w:rsidP="002F380B">
      <w:pPr>
        <w:spacing w:line="360" w:lineRule="auto"/>
        <w:jc w:val="both"/>
        <w:rPr>
          <w:rFonts w:ascii="Arial" w:hAnsi="Arial" w:cs="Arial"/>
        </w:rPr>
      </w:pPr>
    </w:p>
    <w:p w14:paraId="3E5B22ED" w14:textId="77777777" w:rsidR="007760CD" w:rsidRDefault="007760CD" w:rsidP="002F380B">
      <w:pPr>
        <w:spacing w:line="360" w:lineRule="auto"/>
        <w:jc w:val="both"/>
        <w:rPr>
          <w:rFonts w:ascii="Arial" w:hAnsi="Arial" w:cs="Arial"/>
        </w:rPr>
      </w:pPr>
    </w:p>
    <w:p w14:paraId="46F01013" w14:textId="77777777" w:rsidR="007760CD" w:rsidRDefault="007760CD" w:rsidP="002F380B">
      <w:pPr>
        <w:spacing w:line="360" w:lineRule="auto"/>
        <w:jc w:val="both"/>
        <w:rPr>
          <w:rFonts w:ascii="Arial" w:hAnsi="Arial" w:cs="Arial"/>
        </w:rPr>
      </w:pPr>
    </w:p>
    <w:p w14:paraId="03753C71" w14:textId="77777777" w:rsidR="00A12993" w:rsidRDefault="00A12993" w:rsidP="002F380B">
      <w:pPr>
        <w:spacing w:line="360" w:lineRule="auto"/>
        <w:jc w:val="both"/>
        <w:rPr>
          <w:rFonts w:ascii="Arial" w:hAnsi="Arial" w:cs="Arial"/>
        </w:rPr>
      </w:pPr>
    </w:p>
    <w:p w14:paraId="6049853E" w14:textId="77777777" w:rsidR="00A12993" w:rsidRDefault="00A12993" w:rsidP="002F380B">
      <w:pPr>
        <w:spacing w:line="360" w:lineRule="auto"/>
        <w:jc w:val="both"/>
        <w:rPr>
          <w:rFonts w:ascii="Arial" w:hAnsi="Arial" w:cs="Arial"/>
        </w:rPr>
      </w:pPr>
    </w:p>
    <w:p w14:paraId="5B423619" w14:textId="77777777" w:rsidR="00A12993" w:rsidRDefault="00A12993" w:rsidP="002F380B">
      <w:pPr>
        <w:spacing w:line="360" w:lineRule="auto"/>
        <w:jc w:val="both"/>
        <w:rPr>
          <w:rFonts w:ascii="Arial" w:hAnsi="Arial" w:cs="Arial"/>
        </w:rPr>
      </w:pPr>
    </w:p>
    <w:p w14:paraId="3A7683D6" w14:textId="77777777" w:rsidR="00A12993" w:rsidRDefault="00A12993" w:rsidP="002F380B">
      <w:pPr>
        <w:spacing w:line="360" w:lineRule="auto"/>
        <w:jc w:val="both"/>
        <w:rPr>
          <w:rFonts w:ascii="Arial" w:hAnsi="Arial" w:cs="Arial"/>
        </w:rPr>
      </w:pPr>
    </w:p>
    <w:p w14:paraId="4853DD37" w14:textId="77777777" w:rsidR="00A12993" w:rsidRDefault="00A12993" w:rsidP="002F380B">
      <w:pPr>
        <w:spacing w:line="360" w:lineRule="auto"/>
        <w:jc w:val="both"/>
        <w:rPr>
          <w:rFonts w:ascii="Arial" w:hAnsi="Arial" w:cs="Arial"/>
        </w:rPr>
      </w:pPr>
    </w:p>
    <w:p w14:paraId="295B344F" w14:textId="77777777" w:rsidR="00A12993" w:rsidRDefault="00A12993" w:rsidP="002F380B">
      <w:pPr>
        <w:spacing w:line="360" w:lineRule="auto"/>
        <w:jc w:val="both"/>
        <w:rPr>
          <w:rFonts w:ascii="Arial" w:hAnsi="Arial" w:cs="Arial"/>
        </w:rPr>
      </w:pPr>
    </w:p>
    <w:p w14:paraId="34D21F7B" w14:textId="77777777" w:rsidR="00A12993" w:rsidRDefault="00A12993" w:rsidP="002F380B">
      <w:pPr>
        <w:spacing w:line="360" w:lineRule="auto"/>
        <w:jc w:val="both"/>
        <w:rPr>
          <w:rFonts w:ascii="Arial" w:hAnsi="Arial" w:cs="Arial"/>
        </w:rPr>
      </w:pPr>
    </w:p>
    <w:p w14:paraId="54E8E6E7" w14:textId="77777777" w:rsidR="00A12993" w:rsidRDefault="00A12993" w:rsidP="002F380B">
      <w:pPr>
        <w:spacing w:line="360" w:lineRule="auto"/>
        <w:jc w:val="both"/>
        <w:rPr>
          <w:rFonts w:ascii="Arial" w:hAnsi="Arial" w:cs="Arial"/>
        </w:rPr>
      </w:pPr>
    </w:p>
    <w:p w14:paraId="3F5AA287" w14:textId="77777777" w:rsidR="00A12993" w:rsidRDefault="00A12993" w:rsidP="002F380B">
      <w:pPr>
        <w:spacing w:line="360" w:lineRule="auto"/>
        <w:jc w:val="both"/>
        <w:rPr>
          <w:rFonts w:ascii="Arial" w:hAnsi="Arial" w:cs="Arial"/>
        </w:rPr>
      </w:pPr>
    </w:p>
    <w:p w14:paraId="622B0596" w14:textId="77777777" w:rsidR="00A12993" w:rsidRDefault="00A12993" w:rsidP="002F380B">
      <w:pPr>
        <w:spacing w:line="360" w:lineRule="auto"/>
        <w:jc w:val="both"/>
        <w:rPr>
          <w:rFonts w:ascii="Arial" w:hAnsi="Arial" w:cs="Arial"/>
        </w:rPr>
      </w:pPr>
    </w:p>
    <w:p w14:paraId="49406422" w14:textId="77777777" w:rsidR="00A12993" w:rsidRDefault="00A12993" w:rsidP="002F380B">
      <w:pPr>
        <w:spacing w:line="360" w:lineRule="auto"/>
        <w:jc w:val="both"/>
        <w:rPr>
          <w:rFonts w:ascii="Arial" w:hAnsi="Arial" w:cs="Arial"/>
        </w:rPr>
      </w:pPr>
    </w:p>
    <w:p w14:paraId="4523C93F" w14:textId="77777777" w:rsidR="00A12993" w:rsidRDefault="00A12993" w:rsidP="002F380B">
      <w:pPr>
        <w:spacing w:line="360" w:lineRule="auto"/>
        <w:jc w:val="both"/>
        <w:rPr>
          <w:rFonts w:ascii="Arial" w:hAnsi="Arial" w:cs="Arial"/>
        </w:rPr>
      </w:pPr>
    </w:p>
    <w:p w14:paraId="6DB858DC" w14:textId="77777777" w:rsidR="00A12993" w:rsidRDefault="00A12993" w:rsidP="002F380B">
      <w:pPr>
        <w:spacing w:line="360" w:lineRule="auto"/>
        <w:jc w:val="both"/>
        <w:rPr>
          <w:rFonts w:ascii="Arial" w:hAnsi="Arial" w:cs="Arial"/>
        </w:rPr>
      </w:pPr>
    </w:p>
    <w:p w14:paraId="319DAC27" w14:textId="77777777" w:rsidR="00A12993" w:rsidRDefault="00A12993" w:rsidP="002F380B">
      <w:pPr>
        <w:spacing w:line="360" w:lineRule="auto"/>
        <w:jc w:val="both"/>
        <w:rPr>
          <w:rFonts w:ascii="Arial" w:hAnsi="Arial" w:cs="Arial"/>
        </w:rPr>
      </w:pPr>
    </w:p>
    <w:p w14:paraId="34C84505" w14:textId="77777777" w:rsidR="00A12993" w:rsidRDefault="00A12993" w:rsidP="002F380B">
      <w:pPr>
        <w:spacing w:line="360" w:lineRule="auto"/>
        <w:jc w:val="both"/>
        <w:rPr>
          <w:rFonts w:ascii="Arial" w:hAnsi="Arial" w:cs="Arial"/>
        </w:rPr>
      </w:pPr>
    </w:p>
    <w:p w14:paraId="364D304C" w14:textId="4957C367" w:rsidR="009F400E" w:rsidRPr="00B95A9F" w:rsidRDefault="009F400E" w:rsidP="009F44E4">
      <w:pPr>
        <w:pStyle w:val="Heading1"/>
        <w:rPr>
          <w:rFonts w:ascii="Arial" w:hAnsi="Arial" w:cs="Arial"/>
          <w:b/>
          <w:bCs/>
          <w:color w:val="000000" w:themeColor="text1"/>
          <w:sz w:val="24"/>
          <w:szCs w:val="24"/>
        </w:rPr>
      </w:pPr>
      <w:bookmarkStart w:id="7" w:name="_Toc235918966"/>
      <w:r w:rsidRPr="00B95A9F">
        <w:rPr>
          <w:rFonts w:ascii="Arial" w:hAnsi="Arial" w:cs="Arial"/>
          <w:b/>
          <w:bCs/>
          <w:color w:val="000000" w:themeColor="text1"/>
          <w:sz w:val="24"/>
          <w:szCs w:val="24"/>
        </w:rPr>
        <w:lastRenderedPageBreak/>
        <w:t>References</w:t>
      </w:r>
      <w:bookmarkEnd w:id="7"/>
    </w:p>
    <w:p w14:paraId="4A42A43B" w14:textId="77777777" w:rsidR="009F400E" w:rsidRPr="0002193C" w:rsidRDefault="009F400E" w:rsidP="002F380B">
      <w:pPr>
        <w:spacing w:line="360" w:lineRule="auto"/>
        <w:jc w:val="both"/>
        <w:rPr>
          <w:rFonts w:ascii="Arial" w:hAnsi="Arial" w:cs="Arial"/>
        </w:rPr>
      </w:pPr>
      <w:r w:rsidRPr="0002193C">
        <w:rPr>
          <w:rFonts w:ascii="Arial" w:hAnsi="Arial" w:cs="Arial"/>
        </w:rPr>
        <w:t xml:space="preserve">Beauchamp, T.L. and Childress, J.F. (2019) </w:t>
      </w:r>
      <w:r w:rsidRPr="007760CD">
        <w:rPr>
          <w:rFonts w:ascii="Arial" w:hAnsi="Arial" w:cs="Arial"/>
          <w:i/>
          <w:iCs/>
        </w:rPr>
        <w:t>Principles of Biomedical Ethics</w:t>
      </w:r>
      <w:r w:rsidRPr="0002193C">
        <w:rPr>
          <w:rFonts w:ascii="Arial" w:hAnsi="Arial" w:cs="Arial"/>
        </w:rPr>
        <w:t xml:space="preserve">. 8th </w:t>
      </w:r>
      <w:proofErr w:type="spellStart"/>
      <w:r w:rsidRPr="0002193C">
        <w:rPr>
          <w:rFonts w:ascii="Arial" w:hAnsi="Arial" w:cs="Arial"/>
        </w:rPr>
        <w:t>edn</w:t>
      </w:r>
      <w:proofErr w:type="spellEnd"/>
      <w:r w:rsidRPr="0002193C">
        <w:rPr>
          <w:rFonts w:ascii="Arial" w:hAnsi="Arial" w:cs="Arial"/>
        </w:rPr>
        <w:t>. Oxford: Oxford University Press.</w:t>
      </w:r>
    </w:p>
    <w:p w14:paraId="79A3565A" w14:textId="15BF5D7F" w:rsidR="009F400E" w:rsidRPr="0002193C" w:rsidRDefault="009F400E" w:rsidP="002F380B">
      <w:pPr>
        <w:spacing w:line="360" w:lineRule="auto"/>
        <w:jc w:val="both"/>
        <w:rPr>
          <w:rFonts w:ascii="Arial" w:hAnsi="Arial" w:cs="Arial"/>
        </w:rPr>
      </w:pPr>
      <w:r w:rsidRPr="0002193C">
        <w:rPr>
          <w:rFonts w:ascii="Arial" w:hAnsi="Arial" w:cs="Arial"/>
        </w:rPr>
        <w:t xml:space="preserve">Department of Health and Social Care (2012) </w:t>
      </w:r>
      <w:r w:rsidRPr="009C3113">
        <w:rPr>
          <w:rFonts w:ascii="Arial" w:hAnsi="Arial" w:cs="Arial"/>
          <w:i/>
          <w:iCs/>
        </w:rPr>
        <w:t>Health and Social Care Act 201</w:t>
      </w:r>
      <w:r w:rsidRPr="0002193C">
        <w:rPr>
          <w:rFonts w:ascii="Arial" w:hAnsi="Arial" w:cs="Arial"/>
        </w:rPr>
        <w:t>2</w:t>
      </w:r>
      <w:r w:rsidR="009C3113" w:rsidRPr="009C3113">
        <w:rPr>
          <w:rFonts w:ascii="Arial" w:hAnsi="Arial" w:cs="Arial"/>
          <w:i/>
          <w:iCs/>
        </w:rPr>
        <w:t xml:space="preserve">, </w:t>
      </w:r>
      <w:r w:rsidR="00281571">
        <w:rPr>
          <w:rFonts w:ascii="Arial" w:hAnsi="Arial" w:cs="Arial"/>
        </w:rPr>
        <w:t>c</w:t>
      </w:r>
      <w:r w:rsidR="009C3113" w:rsidRPr="00610449">
        <w:rPr>
          <w:rFonts w:ascii="Arial" w:hAnsi="Arial" w:cs="Arial"/>
        </w:rPr>
        <w:t>.</w:t>
      </w:r>
      <w:r w:rsidR="00281571">
        <w:rPr>
          <w:rFonts w:ascii="Arial" w:hAnsi="Arial" w:cs="Arial"/>
        </w:rPr>
        <w:t xml:space="preserve"> </w:t>
      </w:r>
      <w:r w:rsidR="009C3113" w:rsidRPr="00610449">
        <w:rPr>
          <w:rFonts w:ascii="Arial" w:hAnsi="Arial" w:cs="Arial"/>
        </w:rPr>
        <w:t>7</w:t>
      </w:r>
      <w:r w:rsidRPr="0002193C">
        <w:rPr>
          <w:rFonts w:ascii="Arial" w:hAnsi="Arial" w:cs="Arial"/>
        </w:rPr>
        <w:t xml:space="preserve">. </w:t>
      </w:r>
      <w:r w:rsidR="00281571">
        <w:rPr>
          <w:rFonts w:ascii="Arial" w:hAnsi="Arial" w:cs="Arial"/>
        </w:rPr>
        <w:t xml:space="preserve"> </w:t>
      </w:r>
      <w:r w:rsidR="009C3113">
        <w:rPr>
          <w:rFonts w:ascii="Arial" w:hAnsi="Arial" w:cs="Arial"/>
        </w:rPr>
        <w:t xml:space="preserve">Available at: </w:t>
      </w:r>
      <w:r w:rsidR="00281571">
        <w:rPr>
          <w:rFonts w:ascii="Arial" w:hAnsi="Arial" w:cs="Arial"/>
        </w:rPr>
        <w:t>l</w:t>
      </w:r>
      <w:r w:rsidR="009C3113">
        <w:rPr>
          <w:rFonts w:ascii="Arial" w:hAnsi="Arial" w:cs="Arial"/>
        </w:rPr>
        <w:t>egislation.gov.uk (Accessed: 25 July 2026</w:t>
      </w:r>
      <w:r w:rsidR="00320220">
        <w:rPr>
          <w:rFonts w:ascii="Arial" w:hAnsi="Arial" w:cs="Arial"/>
        </w:rPr>
        <w:t>)</w:t>
      </w:r>
    </w:p>
    <w:p w14:paraId="0A34C29E" w14:textId="2F8DEF0A" w:rsidR="009F400E" w:rsidRPr="0002193C" w:rsidRDefault="009F400E" w:rsidP="002F380B">
      <w:pPr>
        <w:spacing w:line="360" w:lineRule="auto"/>
        <w:jc w:val="both"/>
        <w:rPr>
          <w:rFonts w:ascii="Arial" w:hAnsi="Arial" w:cs="Arial"/>
        </w:rPr>
      </w:pPr>
      <w:r w:rsidRPr="0002193C">
        <w:rPr>
          <w:rFonts w:ascii="Arial" w:hAnsi="Arial" w:cs="Arial"/>
        </w:rPr>
        <w:t xml:space="preserve">Department of Health and Social Care (2014) </w:t>
      </w:r>
      <w:r w:rsidRPr="00610449">
        <w:rPr>
          <w:rFonts w:ascii="Arial" w:hAnsi="Arial" w:cs="Arial"/>
          <w:i/>
          <w:iCs/>
        </w:rPr>
        <w:t>Care Act 2014</w:t>
      </w:r>
      <w:r w:rsidR="00610449" w:rsidRPr="00610449">
        <w:rPr>
          <w:rFonts w:ascii="Arial" w:hAnsi="Arial" w:cs="Arial"/>
          <w:i/>
          <w:iCs/>
        </w:rPr>
        <w:t xml:space="preserve">, </w:t>
      </w:r>
      <w:r w:rsidR="00610449" w:rsidRPr="00610449">
        <w:rPr>
          <w:rFonts w:ascii="Arial" w:hAnsi="Arial" w:cs="Arial"/>
        </w:rPr>
        <w:t>c. 23</w:t>
      </w:r>
      <w:r w:rsidRPr="0002193C">
        <w:rPr>
          <w:rFonts w:ascii="Arial" w:hAnsi="Arial" w:cs="Arial"/>
        </w:rPr>
        <w:t xml:space="preserve">. </w:t>
      </w:r>
      <w:r w:rsidR="00281571" w:rsidRPr="00281571">
        <w:rPr>
          <w:rFonts w:ascii="Arial" w:hAnsi="Arial" w:cs="Arial"/>
        </w:rPr>
        <w:t>Available at: legislation.gov.uk (Accessed: 25 July 2026)</w:t>
      </w:r>
    </w:p>
    <w:p w14:paraId="251AEE0F" w14:textId="5FF2A0AA" w:rsidR="009F400E" w:rsidRPr="0002193C" w:rsidRDefault="009F400E" w:rsidP="002F380B">
      <w:pPr>
        <w:spacing w:line="360" w:lineRule="auto"/>
        <w:jc w:val="both"/>
        <w:rPr>
          <w:rFonts w:ascii="Arial" w:hAnsi="Arial" w:cs="Arial"/>
        </w:rPr>
      </w:pPr>
      <w:r w:rsidRPr="0002193C">
        <w:rPr>
          <w:rFonts w:ascii="Arial" w:hAnsi="Arial" w:cs="Arial"/>
        </w:rPr>
        <w:t>Department of Health and Social Care (2022)</w:t>
      </w:r>
      <w:r w:rsidR="001929A1">
        <w:rPr>
          <w:rFonts w:ascii="Arial" w:hAnsi="Arial" w:cs="Arial"/>
        </w:rPr>
        <w:t xml:space="preserve"> </w:t>
      </w:r>
      <w:r w:rsidR="001929A1" w:rsidRPr="001929A1">
        <w:rPr>
          <w:rFonts w:ascii="Arial" w:hAnsi="Arial" w:cs="Arial"/>
          <w:i/>
          <w:iCs/>
        </w:rPr>
        <w:t>Health and Care Act 2022</w:t>
      </w:r>
      <w:r w:rsidR="001929A1" w:rsidRPr="001929A1">
        <w:rPr>
          <w:rFonts w:ascii="Arial" w:hAnsi="Arial" w:cs="Arial"/>
        </w:rPr>
        <w:t>, c. 31. Available at: legislation.gov.uk (Accessed: 25 July 2026)</w:t>
      </w:r>
    </w:p>
    <w:p w14:paraId="78A2F418" w14:textId="1E7B453E" w:rsidR="001B0A4E" w:rsidRDefault="009F400E" w:rsidP="002F380B">
      <w:pPr>
        <w:spacing w:line="360" w:lineRule="auto"/>
        <w:jc w:val="both"/>
        <w:rPr>
          <w:rFonts w:ascii="Arial" w:hAnsi="Arial" w:cs="Arial"/>
        </w:rPr>
      </w:pPr>
      <w:r w:rsidRPr="0002193C">
        <w:rPr>
          <w:rFonts w:ascii="Arial" w:hAnsi="Arial" w:cs="Arial"/>
        </w:rPr>
        <w:t xml:space="preserve">Equality Act (2010) </w:t>
      </w:r>
      <w:r w:rsidR="001B0A4E" w:rsidRPr="001B0A4E">
        <w:rPr>
          <w:rFonts w:ascii="Arial" w:hAnsi="Arial" w:cs="Arial"/>
          <w:i/>
          <w:iCs/>
        </w:rPr>
        <w:t>Equality Act 2010</w:t>
      </w:r>
      <w:r w:rsidR="001B0A4E" w:rsidRPr="001B0A4E">
        <w:rPr>
          <w:rFonts w:ascii="Arial" w:hAnsi="Arial" w:cs="Arial"/>
        </w:rPr>
        <w:t>, c. 15. Available at: legislation.gov.uk (Accessed: 25 July 2026).</w:t>
      </w:r>
    </w:p>
    <w:p w14:paraId="0D330A12" w14:textId="08BAA615" w:rsidR="00CD722C" w:rsidRPr="0002193C" w:rsidRDefault="00CD722C" w:rsidP="002F380B">
      <w:pPr>
        <w:spacing w:line="360" w:lineRule="auto"/>
        <w:jc w:val="both"/>
        <w:rPr>
          <w:rFonts w:ascii="Arial" w:hAnsi="Arial" w:cs="Arial"/>
        </w:rPr>
      </w:pPr>
      <w:r>
        <w:rPr>
          <w:rFonts w:ascii="Arial" w:hAnsi="Arial" w:cs="Arial"/>
        </w:rPr>
        <w:t xml:space="preserve">Ekman, I. </w:t>
      </w:r>
      <w:r w:rsidRPr="00F273F4">
        <w:rPr>
          <w:rFonts w:ascii="Arial" w:hAnsi="Arial" w:cs="Arial"/>
          <w:i/>
          <w:iCs/>
        </w:rPr>
        <w:t>et al.</w:t>
      </w:r>
      <w:r>
        <w:rPr>
          <w:rFonts w:ascii="Arial" w:hAnsi="Arial" w:cs="Arial"/>
        </w:rPr>
        <w:t xml:space="preserve"> (2011) ‘Person-centred-care-Ready for prime time’, </w:t>
      </w:r>
      <w:r w:rsidRPr="00CD722C">
        <w:rPr>
          <w:rFonts w:ascii="Arial" w:hAnsi="Arial" w:cs="Arial"/>
          <w:i/>
          <w:iCs/>
        </w:rPr>
        <w:t>European Journal of Cardiovascular Nursing</w:t>
      </w:r>
      <w:r>
        <w:rPr>
          <w:rFonts w:ascii="Arial" w:hAnsi="Arial" w:cs="Arial"/>
        </w:rPr>
        <w:t>, 10(4),</w:t>
      </w:r>
      <w:r w:rsidR="003A4D9A">
        <w:rPr>
          <w:rFonts w:ascii="Arial" w:hAnsi="Arial" w:cs="Arial"/>
        </w:rPr>
        <w:t xml:space="preserve"> </w:t>
      </w:r>
      <w:r>
        <w:rPr>
          <w:rFonts w:ascii="Arial" w:hAnsi="Arial" w:cs="Arial"/>
        </w:rPr>
        <w:t xml:space="preserve">pp.248-251. </w:t>
      </w:r>
      <w:hyperlink r:id="rId8" w:history="1">
        <w:r w:rsidRPr="001C5A2C">
          <w:rPr>
            <w:rStyle w:val="Hyperlink"/>
            <w:rFonts w:ascii="Arial" w:hAnsi="Arial" w:cs="Arial"/>
          </w:rPr>
          <w:t>https://doi.org/10.1016/j.ejcnurse.2011.06.008</w:t>
        </w:r>
      </w:hyperlink>
      <w:r>
        <w:rPr>
          <w:rFonts w:ascii="Arial" w:hAnsi="Arial" w:cs="Arial"/>
        </w:rPr>
        <w:t xml:space="preserve"> </w:t>
      </w:r>
    </w:p>
    <w:p w14:paraId="1F7F7634" w14:textId="77E67910" w:rsidR="00B122D6" w:rsidRDefault="009F400E" w:rsidP="002F380B">
      <w:pPr>
        <w:spacing w:line="360" w:lineRule="auto"/>
        <w:jc w:val="both"/>
        <w:rPr>
          <w:rFonts w:ascii="Arial" w:hAnsi="Arial" w:cs="Arial"/>
        </w:rPr>
      </w:pPr>
      <w:r w:rsidRPr="0002193C">
        <w:rPr>
          <w:rFonts w:ascii="Arial" w:hAnsi="Arial" w:cs="Arial"/>
        </w:rPr>
        <w:t xml:space="preserve">Human Rights Act (1998) </w:t>
      </w:r>
      <w:r w:rsidR="00B122D6" w:rsidRPr="00B122D6">
        <w:rPr>
          <w:rFonts w:ascii="Arial" w:hAnsi="Arial" w:cs="Arial"/>
          <w:i/>
          <w:iCs/>
        </w:rPr>
        <w:t>Human Rights Act 1998</w:t>
      </w:r>
      <w:r w:rsidR="00B122D6" w:rsidRPr="00B122D6">
        <w:rPr>
          <w:rFonts w:ascii="Arial" w:hAnsi="Arial" w:cs="Arial"/>
        </w:rPr>
        <w:t>, c. 42. Available at: legislation.gov.uk (Accessed: 25 July 2026</w:t>
      </w:r>
      <w:r w:rsidR="00B122D6">
        <w:rPr>
          <w:rFonts w:ascii="Arial" w:hAnsi="Arial" w:cs="Arial"/>
        </w:rPr>
        <w:t>)</w:t>
      </w:r>
    </w:p>
    <w:p w14:paraId="609D7539" w14:textId="77777777" w:rsidR="00271BB5" w:rsidRDefault="00271BB5" w:rsidP="002F380B">
      <w:pPr>
        <w:spacing w:line="360" w:lineRule="auto"/>
        <w:jc w:val="both"/>
        <w:rPr>
          <w:rFonts w:ascii="Arial" w:hAnsi="Arial" w:cs="Arial"/>
        </w:rPr>
      </w:pPr>
      <w:r w:rsidRPr="00271BB5">
        <w:rPr>
          <w:rFonts w:ascii="Arial" w:hAnsi="Arial" w:cs="Arial"/>
        </w:rPr>
        <w:t xml:space="preserve">McCormack, B. and McCance, T. (2021) </w:t>
      </w:r>
      <w:r w:rsidRPr="00271BB5">
        <w:rPr>
          <w:rFonts w:ascii="Arial" w:hAnsi="Arial" w:cs="Arial"/>
          <w:i/>
          <w:iCs/>
        </w:rPr>
        <w:t>Person-centred practice in nursing and health care: theory and practice</w:t>
      </w:r>
      <w:r w:rsidRPr="00271BB5">
        <w:rPr>
          <w:rFonts w:ascii="Arial" w:hAnsi="Arial" w:cs="Arial"/>
        </w:rPr>
        <w:t xml:space="preserve">. 3rd </w:t>
      </w:r>
      <w:proofErr w:type="spellStart"/>
      <w:r w:rsidRPr="00271BB5">
        <w:rPr>
          <w:rFonts w:ascii="Arial" w:hAnsi="Arial" w:cs="Arial"/>
        </w:rPr>
        <w:t>edn</w:t>
      </w:r>
      <w:proofErr w:type="spellEnd"/>
      <w:r w:rsidRPr="00271BB5">
        <w:rPr>
          <w:rFonts w:ascii="Arial" w:hAnsi="Arial" w:cs="Arial"/>
        </w:rPr>
        <w:t>. Oxford: Wiley-Blackwell</w:t>
      </w:r>
    </w:p>
    <w:p w14:paraId="09511A40" w14:textId="77777777" w:rsidR="00131971" w:rsidRDefault="00271BB5" w:rsidP="002F380B">
      <w:pPr>
        <w:spacing w:line="360" w:lineRule="auto"/>
        <w:jc w:val="both"/>
        <w:rPr>
          <w:rFonts w:ascii="Arial" w:hAnsi="Arial" w:cs="Arial"/>
        </w:rPr>
      </w:pPr>
      <w:r w:rsidRPr="00271BB5">
        <w:rPr>
          <w:rFonts w:ascii="Arial" w:hAnsi="Arial" w:cs="Arial"/>
        </w:rPr>
        <w:t xml:space="preserve">National Institute for Health and Care Excellence (2021) </w:t>
      </w:r>
      <w:r w:rsidRPr="00271BB5">
        <w:rPr>
          <w:rFonts w:ascii="Arial" w:hAnsi="Arial" w:cs="Arial"/>
          <w:i/>
          <w:iCs/>
        </w:rPr>
        <w:t>Shared decision making</w:t>
      </w:r>
      <w:r w:rsidRPr="00271BB5">
        <w:rPr>
          <w:rFonts w:ascii="Arial" w:hAnsi="Arial" w:cs="Arial"/>
        </w:rPr>
        <w:t>. NG197. Available at: https://www.nice.org.uk/guidance/ng197 (Accessed: 25 July 2026)</w:t>
      </w:r>
    </w:p>
    <w:p w14:paraId="7A77FE6D" w14:textId="3CCDD020" w:rsidR="009F400E" w:rsidRPr="0002193C" w:rsidRDefault="00131971" w:rsidP="002F380B">
      <w:pPr>
        <w:spacing w:line="360" w:lineRule="auto"/>
        <w:jc w:val="both"/>
        <w:rPr>
          <w:rFonts w:ascii="Arial" w:hAnsi="Arial" w:cs="Arial"/>
        </w:rPr>
      </w:pPr>
      <w:r w:rsidRPr="00131971">
        <w:rPr>
          <w:rFonts w:ascii="Arial" w:hAnsi="Arial" w:cs="Arial"/>
        </w:rPr>
        <w:t xml:space="preserve">NHS England (2019) </w:t>
      </w:r>
      <w:r w:rsidRPr="00131971">
        <w:rPr>
          <w:rFonts w:ascii="Arial" w:hAnsi="Arial" w:cs="Arial"/>
          <w:i/>
          <w:iCs/>
        </w:rPr>
        <w:t xml:space="preserve">The NHS </w:t>
      </w:r>
      <w:r w:rsidR="00BD7A20">
        <w:rPr>
          <w:rFonts w:ascii="Arial" w:hAnsi="Arial" w:cs="Arial"/>
          <w:i/>
          <w:iCs/>
        </w:rPr>
        <w:t>long-term</w:t>
      </w:r>
      <w:r w:rsidRPr="00131971">
        <w:rPr>
          <w:rFonts w:ascii="Arial" w:hAnsi="Arial" w:cs="Arial"/>
          <w:i/>
          <w:iCs/>
        </w:rPr>
        <w:t xml:space="preserve"> plan</w:t>
      </w:r>
      <w:r w:rsidRPr="00131971">
        <w:rPr>
          <w:rFonts w:ascii="Arial" w:hAnsi="Arial" w:cs="Arial"/>
        </w:rPr>
        <w:t xml:space="preserve">. London. Available at: </w:t>
      </w:r>
      <w:hyperlink r:id="rId9" w:history="1">
        <w:r w:rsidR="00BC3899" w:rsidRPr="004919CB">
          <w:rPr>
            <w:rStyle w:val="Hyperlink"/>
            <w:rFonts w:ascii="Arial" w:hAnsi="Arial" w:cs="Arial"/>
          </w:rPr>
          <w:t>https://webarchive.nationalarchives.gov.uk/ukgwa/20250506042016/https://www.longtermplan.nhs.uk/publication/nhs-long-term-plan/</w:t>
        </w:r>
      </w:hyperlink>
      <w:r w:rsidR="00BC3899">
        <w:rPr>
          <w:rFonts w:ascii="Arial" w:hAnsi="Arial" w:cs="Arial"/>
        </w:rPr>
        <w:t xml:space="preserve"> </w:t>
      </w:r>
      <w:r w:rsidRPr="00131971">
        <w:rPr>
          <w:rFonts w:ascii="Arial" w:hAnsi="Arial" w:cs="Arial"/>
        </w:rPr>
        <w:t>(Accessed: 25 July 2026)</w:t>
      </w:r>
    </w:p>
    <w:p w14:paraId="63625481" w14:textId="4E50C7D5" w:rsidR="000C73DB" w:rsidRDefault="000C73DB" w:rsidP="002F380B">
      <w:pPr>
        <w:spacing w:line="360" w:lineRule="auto"/>
        <w:jc w:val="both"/>
        <w:rPr>
          <w:rFonts w:ascii="Arial" w:hAnsi="Arial" w:cs="Arial"/>
        </w:rPr>
      </w:pPr>
      <w:r w:rsidRPr="000C73DB">
        <w:rPr>
          <w:rFonts w:ascii="Arial" w:hAnsi="Arial" w:cs="Arial"/>
        </w:rPr>
        <w:t xml:space="preserve">NHS England (2023) </w:t>
      </w:r>
      <w:r w:rsidRPr="000C73DB">
        <w:rPr>
          <w:rFonts w:ascii="Arial" w:hAnsi="Arial" w:cs="Arial"/>
          <w:i/>
          <w:iCs/>
        </w:rPr>
        <w:t>Comprehensive model for personalised care</w:t>
      </w:r>
      <w:r w:rsidRPr="000C73DB">
        <w:rPr>
          <w:rFonts w:ascii="Arial" w:hAnsi="Arial" w:cs="Arial"/>
        </w:rPr>
        <w:t>. London. Available at: https://www.england.nhs.uk/personalisedcare/comprehensive-model-of-personalised-care/ (Accessed: 25 July 2026)</w:t>
      </w:r>
    </w:p>
    <w:p w14:paraId="71625043" w14:textId="77777777" w:rsidR="00945FF0" w:rsidRDefault="00945FF0" w:rsidP="002F380B">
      <w:pPr>
        <w:spacing w:line="360" w:lineRule="auto"/>
        <w:jc w:val="both"/>
        <w:rPr>
          <w:rFonts w:ascii="Arial" w:hAnsi="Arial" w:cs="Arial"/>
        </w:rPr>
      </w:pPr>
      <w:r w:rsidRPr="00945FF0">
        <w:rPr>
          <w:rFonts w:ascii="Arial" w:hAnsi="Arial" w:cs="Arial"/>
        </w:rPr>
        <w:t xml:space="preserve">Nursing and Midwifery Council (2018) </w:t>
      </w:r>
      <w:r w:rsidRPr="00945FF0">
        <w:rPr>
          <w:rFonts w:ascii="Arial" w:hAnsi="Arial" w:cs="Arial"/>
          <w:i/>
          <w:iCs/>
        </w:rPr>
        <w:t>The code: professional standards of practice and behaviour for nurses, midwives and nursing associates</w:t>
      </w:r>
      <w:r w:rsidRPr="00945FF0">
        <w:rPr>
          <w:rFonts w:ascii="Arial" w:hAnsi="Arial" w:cs="Arial"/>
        </w:rPr>
        <w:t>. London: Nursing and Midwifery Council</w:t>
      </w:r>
    </w:p>
    <w:p w14:paraId="1602E534" w14:textId="1A8D58C8" w:rsidR="00945FF0" w:rsidRDefault="00945FF0" w:rsidP="002F380B">
      <w:pPr>
        <w:spacing w:line="360" w:lineRule="auto"/>
        <w:jc w:val="both"/>
        <w:rPr>
          <w:rFonts w:ascii="Arial" w:hAnsi="Arial" w:cs="Arial"/>
        </w:rPr>
      </w:pPr>
      <w:r w:rsidRPr="00945FF0">
        <w:rPr>
          <w:rFonts w:ascii="Arial" w:hAnsi="Arial" w:cs="Arial"/>
        </w:rPr>
        <w:t xml:space="preserve">Reeves, S., </w:t>
      </w:r>
      <w:proofErr w:type="spellStart"/>
      <w:r w:rsidRPr="00945FF0">
        <w:rPr>
          <w:rFonts w:ascii="Arial" w:hAnsi="Arial" w:cs="Arial"/>
        </w:rPr>
        <w:t>Pelone</w:t>
      </w:r>
      <w:proofErr w:type="spellEnd"/>
      <w:r w:rsidRPr="00945FF0">
        <w:rPr>
          <w:rFonts w:ascii="Arial" w:hAnsi="Arial" w:cs="Arial"/>
        </w:rPr>
        <w:t xml:space="preserve">, F., Harrison, R., Goldman, J. and </w:t>
      </w:r>
      <w:proofErr w:type="spellStart"/>
      <w:r w:rsidRPr="00945FF0">
        <w:rPr>
          <w:rFonts w:ascii="Arial" w:hAnsi="Arial" w:cs="Arial"/>
        </w:rPr>
        <w:t>Zwarenstein</w:t>
      </w:r>
      <w:proofErr w:type="spellEnd"/>
      <w:r w:rsidRPr="00945FF0">
        <w:rPr>
          <w:rFonts w:ascii="Arial" w:hAnsi="Arial" w:cs="Arial"/>
        </w:rPr>
        <w:t xml:space="preserve">, M. (2018) ‘Interprofessional collaboration to improve professional practice and healthcare outcomes’, </w:t>
      </w:r>
      <w:r w:rsidRPr="00945FF0">
        <w:rPr>
          <w:rFonts w:ascii="Arial" w:hAnsi="Arial" w:cs="Arial"/>
          <w:i/>
          <w:iCs/>
        </w:rPr>
        <w:t>Cochrane Database of Systematic Reviews</w:t>
      </w:r>
      <w:r w:rsidRPr="00945FF0">
        <w:rPr>
          <w:rFonts w:ascii="Arial" w:hAnsi="Arial" w:cs="Arial"/>
        </w:rPr>
        <w:t xml:space="preserve">, (6), pp. 1–28. </w:t>
      </w:r>
      <w:proofErr w:type="spellStart"/>
      <w:r w:rsidRPr="00945FF0">
        <w:rPr>
          <w:rFonts w:ascii="Arial" w:hAnsi="Arial" w:cs="Arial"/>
        </w:rPr>
        <w:t>doi</w:t>
      </w:r>
      <w:proofErr w:type="spellEnd"/>
      <w:r w:rsidRPr="00945FF0">
        <w:rPr>
          <w:rFonts w:ascii="Arial" w:hAnsi="Arial" w:cs="Arial"/>
        </w:rPr>
        <w:t>: 10.1002/14651858.CD000072.pub3</w:t>
      </w:r>
    </w:p>
    <w:p w14:paraId="65661D1B" w14:textId="096A70B0" w:rsidR="006830FA" w:rsidRDefault="00945FF0" w:rsidP="002F380B">
      <w:pPr>
        <w:spacing w:line="360" w:lineRule="auto"/>
        <w:jc w:val="both"/>
        <w:rPr>
          <w:rFonts w:ascii="Arial" w:hAnsi="Arial" w:cs="Arial"/>
        </w:rPr>
      </w:pPr>
      <w:r w:rsidRPr="00945FF0">
        <w:rPr>
          <w:rFonts w:ascii="Arial" w:hAnsi="Arial" w:cs="Arial"/>
        </w:rPr>
        <w:lastRenderedPageBreak/>
        <w:t xml:space="preserve">Skills for Health (2021) </w:t>
      </w:r>
      <w:r w:rsidRPr="00945FF0">
        <w:rPr>
          <w:rFonts w:ascii="Arial" w:hAnsi="Arial" w:cs="Arial"/>
          <w:i/>
          <w:iCs/>
        </w:rPr>
        <w:t>Core skills training framework</w:t>
      </w:r>
      <w:r w:rsidRPr="00945FF0">
        <w:rPr>
          <w:rFonts w:ascii="Arial" w:hAnsi="Arial" w:cs="Arial"/>
        </w:rPr>
        <w:t xml:space="preserve">. Bristol. Available at: </w:t>
      </w:r>
      <w:hyperlink r:id="rId10" w:history="1">
        <w:r w:rsidR="00A25516" w:rsidRPr="004919CB">
          <w:rPr>
            <w:rStyle w:val="Hyperlink"/>
            <w:rFonts w:ascii="Arial" w:hAnsi="Arial" w:cs="Arial"/>
          </w:rPr>
          <w:t>https://www.skillsforhealth.org.uk/integrated-solutions/core-skills-training-framework/</w:t>
        </w:r>
      </w:hyperlink>
      <w:r w:rsidR="00A25516">
        <w:rPr>
          <w:rFonts w:ascii="Arial" w:hAnsi="Arial" w:cs="Arial"/>
        </w:rPr>
        <w:t xml:space="preserve"> </w:t>
      </w:r>
      <w:r w:rsidRPr="00945FF0">
        <w:rPr>
          <w:rFonts w:ascii="Arial" w:hAnsi="Arial" w:cs="Arial"/>
        </w:rPr>
        <w:t xml:space="preserve"> (Accessed: 25 July 2026)</w:t>
      </w:r>
    </w:p>
    <w:p w14:paraId="7260C754" w14:textId="4FF9CE3D" w:rsidR="006830FA" w:rsidRDefault="006830FA" w:rsidP="002F380B">
      <w:pPr>
        <w:spacing w:line="360" w:lineRule="auto"/>
        <w:jc w:val="both"/>
        <w:rPr>
          <w:rFonts w:ascii="Arial" w:hAnsi="Arial" w:cs="Arial"/>
        </w:rPr>
      </w:pPr>
      <w:r w:rsidRPr="006830FA">
        <w:rPr>
          <w:rFonts w:ascii="Arial" w:hAnsi="Arial" w:cs="Arial"/>
        </w:rPr>
        <w:t xml:space="preserve">World Health </w:t>
      </w:r>
      <w:r w:rsidR="0095510D">
        <w:rPr>
          <w:rFonts w:ascii="Arial" w:hAnsi="Arial" w:cs="Arial"/>
        </w:rPr>
        <w:t>Organisation</w:t>
      </w:r>
      <w:r w:rsidRPr="006830FA">
        <w:rPr>
          <w:rFonts w:ascii="Arial" w:hAnsi="Arial" w:cs="Arial"/>
        </w:rPr>
        <w:t xml:space="preserve"> (2016) </w:t>
      </w:r>
      <w:r w:rsidRPr="006830FA">
        <w:rPr>
          <w:rFonts w:ascii="Arial" w:hAnsi="Arial" w:cs="Arial"/>
          <w:i/>
          <w:iCs/>
        </w:rPr>
        <w:t>Framework on integrated, people-centred health services</w:t>
      </w:r>
      <w:r w:rsidRPr="006830FA">
        <w:rPr>
          <w:rFonts w:ascii="Arial" w:hAnsi="Arial" w:cs="Arial"/>
        </w:rPr>
        <w:t xml:space="preserve">. Geneva: World Health </w:t>
      </w:r>
      <w:r>
        <w:rPr>
          <w:rFonts w:ascii="Arial" w:hAnsi="Arial" w:cs="Arial"/>
        </w:rPr>
        <w:t>Organisation</w:t>
      </w:r>
    </w:p>
    <w:p w14:paraId="336BB637" w14:textId="2D4F1E77" w:rsidR="007826A6" w:rsidRPr="0002193C" w:rsidRDefault="0095510D" w:rsidP="002F380B">
      <w:pPr>
        <w:spacing w:line="360" w:lineRule="auto"/>
        <w:jc w:val="both"/>
        <w:rPr>
          <w:rFonts w:ascii="Arial" w:hAnsi="Arial" w:cs="Arial"/>
        </w:rPr>
      </w:pPr>
      <w:r w:rsidRPr="0095510D">
        <w:rPr>
          <w:rFonts w:ascii="Arial" w:hAnsi="Arial" w:cs="Arial"/>
        </w:rPr>
        <w:t xml:space="preserve">World Health </w:t>
      </w:r>
      <w:r>
        <w:rPr>
          <w:rFonts w:ascii="Arial" w:hAnsi="Arial" w:cs="Arial"/>
        </w:rPr>
        <w:t>Organisation</w:t>
      </w:r>
      <w:r w:rsidRPr="0095510D">
        <w:rPr>
          <w:rFonts w:ascii="Arial" w:hAnsi="Arial" w:cs="Arial"/>
        </w:rPr>
        <w:t xml:space="preserve"> (2021) </w:t>
      </w:r>
      <w:r w:rsidRPr="0095510D">
        <w:rPr>
          <w:rFonts w:ascii="Arial" w:hAnsi="Arial" w:cs="Arial"/>
          <w:i/>
          <w:iCs/>
        </w:rPr>
        <w:t>Global patient safety action plan 2021–2030: towards eliminating avoidable harm in health care</w:t>
      </w:r>
      <w:r w:rsidRPr="0095510D">
        <w:rPr>
          <w:rFonts w:ascii="Arial" w:hAnsi="Arial" w:cs="Arial"/>
        </w:rPr>
        <w:t xml:space="preserve">. Geneva: World Health </w:t>
      </w:r>
      <w:r>
        <w:rPr>
          <w:rFonts w:ascii="Arial" w:hAnsi="Arial" w:cs="Arial"/>
        </w:rPr>
        <w:t>Organisation</w:t>
      </w:r>
    </w:p>
    <w:sectPr w:rsidR="007826A6" w:rsidRPr="0002193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A55B3" w14:textId="77777777" w:rsidR="004F0D3A" w:rsidRDefault="004F0D3A" w:rsidP="00445CD4">
      <w:pPr>
        <w:spacing w:after="0" w:line="240" w:lineRule="auto"/>
      </w:pPr>
      <w:r>
        <w:separator/>
      </w:r>
    </w:p>
  </w:endnote>
  <w:endnote w:type="continuationSeparator" w:id="0">
    <w:p w14:paraId="215FC7C5" w14:textId="77777777" w:rsidR="004F0D3A" w:rsidRDefault="004F0D3A" w:rsidP="00445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B4541" w14:textId="77777777" w:rsidR="004F0D3A" w:rsidRDefault="004F0D3A" w:rsidP="00445CD4">
      <w:pPr>
        <w:spacing w:after="0" w:line="240" w:lineRule="auto"/>
      </w:pPr>
      <w:r>
        <w:separator/>
      </w:r>
    </w:p>
  </w:footnote>
  <w:footnote w:type="continuationSeparator" w:id="0">
    <w:p w14:paraId="6B41D93D" w14:textId="77777777" w:rsidR="004F0D3A" w:rsidRDefault="004F0D3A" w:rsidP="00445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1770271"/>
      <w:docPartObj>
        <w:docPartGallery w:val="Page Numbers (Top of Page)"/>
        <w:docPartUnique/>
      </w:docPartObj>
    </w:sdtPr>
    <w:sdtContent>
      <w:p w14:paraId="74340C40" w14:textId="6A7C3AA0" w:rsidR="00445CD4" w:rsidRDefault="00445CD4">
        <w:pPr>
          <w:pStyle w:val="Header"/>
        </w:pPr>
        <w:r>
          <w:fldChar w:fldCharType="begin"/>
        </w:r>
        <w:r>
          <w:instrText>PAGE   \* MERGEFORMAT</w:instrText>
        </w:r>
        <w:r>
          <w:fldChar w:fldCharType="separate"/>
        </w:r>
        <w:r>
          <w:t>2</w:t>
        </w:r>
        <w:r>
          <w:fldChar w:fldCharType="end"/>
        </w:r>
      </w:p>
    </w:sdtContent>
  </w:sdt>
  <w:p w14:paraId="086AFB9D" w14:textId="77777777" w:rsidR="00445CD4" w:rsidRDefault="00445C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00E"/>
    <w:rsid w:val="0002193C"/>
    <w:rsid w:val="00041778"/>
    <w:rsid w:val="000C73DB"/>
    <w:rsid w:val="000E093C"/>
    <w:rsid w:val="000E1789"/>
    <w:rsid w:val="00107DAF"/>
    <w:rsid w:val="00131971"/>
    <w:rsid w:val="00165B55"/>
    <w:rsid w:val="001913FB"/>
    <w:rsid w:val="001929A1"/>
    <w:rsid w:val="001A4B80"/>
    <w:rsid w:val="001B0A4E"/>
    <w:rsid w:val="001B3BD8"/>
    <w:rsid w:val="00233F38"/>
    <w:rsid w:val="00237FC8"/>
    <w:rsid w:val="00254B45"/>
    <w:rsid w:val="00271BB5"/>
    <w:rsid w:val="00281571"/>
    <w:rsid w:val="002F380B"/>
    <w:rsid w:val="00303A83"/>
    <w:rsid w:val="00320220"/>
    <w:rsid w:val="003A4D9A"/>
    <w:rsid w:val="00445CD4"/>
    <w:rsid w:val="00471027"/>
    <w:rsid w:val="00494C62"/>
    <w:rsid w:val="004B550C"/>
    <w:rsid w:val="004F0D3A"/>
    <w:rsid w:val="0050608C"/>
    <w:rsid w:val="00507466"/>
    <w:rsid w:val="005776FD"/>
    <w:rsid w:val="00610449"/>
    <w:rsid w:val="0061541B"/>
    <w:rsid w:val="00652284"/>
    <w:rsid w:val="00655ECC"/>
    <w:rsid w:val="00674018"/>
    <w:rsid w:val="006830FA"/>
    <w:rsid w:val="00685F89"/>
    <w:rsid w:val="006D76BB"/>
    <w:rsid w:val="007760CD"/>
    <w:rsid w:val="007804A4"/>
    <w:rsid w:val="007826A6"/>
    <w:rsid w:val="007B0CF3"/>
    <w:rsid w:val="007F605C"/>
    <w:rsid w:val="008332CC"/>
    <w:rsid w:val="008A0C92"/>
    <w:rsid w:val="008B2812"/>
    <w:rsid w:val="0092472B"/>
    <w:rsid w:val="00945FF0"/>
    <w:rsid w:val="00954883"/>
    <w:rsid w:val="0095510D"/>
    <w:rsid w:val="009C3113"/>
    <w:rsid w:val="009E3566"/>
    <w:rsid w:val="009F400E"/>
    <w:rsid w:val="009F44E4"/>
    <w:rsid w:val="00A12993"/>
    <w:rsid w:val="00A25516"/>
    <w:rsid w:val="00A95D7F"/>
    <w:rsid w:val="00AF6D76"/>
    <w:rsid w:val="00B122D6"/>
    <w:rsid w:val="00B95A9F"/>
    <w:rsid w:val="00BB6A3D"/>
    <w:rsid w:val="00BC3899"/>
    <w:rsid w:val="00BD7A20"/>
    <w:rsid w:val="00CD03DF"/>
    <w:rsid w:val="00CD722C"/>
    <w:rsid w:val="00D2469A"/>
    <w:rsid w:val="00D437F3"/>
    <w:rsid w:val="00D47CA2"/>
    <w:rsid w:val="00D86085"/>
    <w:rsid w:val="00DB33D2"/>
    <w:rsid w:val="00DB5375"/>
    <w:rsid w:val="00E21486"/>
    <w:rsid w:val="00E81188"/>
    <w:rsid w:val="00EE440E"/>
    <w:rsid w:val="00EE6BC5"/>
    <w:rsid w:val="00F067A9"/>
    <w:rsid w:val="00F273F4"/>
    <w:rsid w:val="00F40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54A23"/>
  <w15:chartTrackingRefBased/>
  <w15:docId w15:val="{274704FB-BDAF-4DF5-B21F-260E1FF10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00E"/>
    <w:rPr>
      <w:rFonts w:eastAsiaTheme="majorEastAsia" w:cstheme="majorBidi"/>
      <w:color w:val="272727" w:themeColor="text1" w:themeTint="D8"/>
    </w:rPr>
  </w:style>
  <w:style w:type="paragraph" w:styleId="Title">
    <w:name w:val="Title"/>
    <w:basedOn w:val="Normal"/>
    <w:next w:val="Normal"/>
    <w:link w:val="TitleChar"/>
    <w:uiPriority w:val="10"/>
    <w:qFormat/>
    <w:rsid w:val="009F4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00E"/>
    <w:pPr>
      <w:spacing w:before="160"/>
      <w:jc w:val="center"/>
    </w:pPr>
    <w:rPr>
      <w:i/>
      <w:iCs/>
      <w:color w:val="404040" w:themeColor="text1" w:themeTint="BF"/>
    </w:rPr>
  </w:style>
  <w:style w:type="character" w:customStyle="1" w:styleId="QuoteChar">
    <w:name w:val="Quote Char"/>
    <w:basedOn w:val="DefaultParagraphFont"/>
    <w:link w:val="Quote"/>
    <w:uiPriority w:val="29"/>
    <w:rsid w:val="009F400E"/>
    <w:rPr>
      <w:i/>
      <w:iCs/>
      <w:color w:val="404040" w:themeColor="text1" w:themeTint="BF"/>
    </w:rPr>
  </w:style>
  <w:style w:type="paragraph" w:styleId="ListParagraph">
    <w:name w:val="List Paragraph"/>
    <w:basedOn w:val="Normal"/>
    <w:uiPriority w:val="34"/>
    <w:qFormat/>
    <w:rsid w:val="009F400E"/>
    <w:pPr>
      <w:ind w:left="720"/>
      <w:contextualSpacing/>
    </w:pPr>
  </w:style>
  <w:style w:type="character" w:styleId="IntenseEmphasis">
    <w:name w:val="Intense Emphasis"/>
    <w:basedOn w:val="DefaultParagraphFont"/>
    <w:uiPriority w:val="21"/>
    <w:qFormat/>
    <w:rsid w:val="009F400E"/>
    <w:rPr>
      <w:i/>
      <w:iCs/>
      <w:color w:val="0F4761" w:themeColor="accent1" w:themeShade="BF"/>
    </w:rPr>
  </w:style>
  <w:style w:type="paragraph" w:styleId="IntenseQuote">
    <w:name w:val="Intense Quote"/>
    <w:basedOn w:val="Normal"/>
    <w:next w:val="Normal"/>
    <w:link w:val="IntenseQuoteChar"/>
    <w:uiPriority w:val="30"/>
    <w:qFormat/>
    <w:rsid w:val="009F4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00E"/>
    <w:rPr>
      <w:i/>
      <w:iCs/>
      <w:color w:val="0F4761" w:themeColor="accent1" w:themeShade="BF"/>
    </w:rPr>
  </w:style>
  <w:style w:type="character" w:styleId="IntenseReference">
    <w:name w:val="Intense Reference"/>
    <w:basedOn w:val="DefaultParagraphFont"/>
    <w:uiPriority w:val="32"/>
    <w:qFormat/>
    <w:rsid w:val="009F400E"/>
    <w:rPr>
      <w:b/>
      <w:bCs/>
      <w:smallCaps/>
      <w:color w:val="0F4761" w:themeColor="accent1" w:themeShade="BF"/>
      <w:spacing w:val="5"/>
    </w:rPr>
  </w:style>
  <w:style w:type="paragraph" w:styleId="NoSpacing">
    <w:name w:val="No Spacing"/>
    <w:uiPriority w:val="1"/>
    <w:qFormat/>
    <w:rsid w:val="00445CD4"/>
    <w:pPr>
      <w:spacing w:after="0" w:line="240" w:lineRule="auto"/>
    </w:pPr>
  </w:style>
  <w:style w:type="paragraph" w:styleId="Header">
    <w:name w:val="header"/>
    <w:basedOn w:val="Normal"/>
    <w:link w:val="HeaderChar"/>
    <w:uiPriority w:val="99"/>
    <w:unhideWhenUsed/>
    <w:rsid w:val="00445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CD4"/>
  </w:style>
  <w:style w:type="paragraph" w:styleId="Footer">
    <w:name w:val="footer"/>
    <w:basedOn w:val="Normal"/>
    <w:link w:val="FooterChar"/>
    <w:uiPriority w:val="99"/>
    <w:unhideWhenUsed/>
    <w:rsid w:val="00445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CD4"/>
  </w:style>
  <w:style w:type="character" w:styleId="Hyperlink">
    <w:name w:val="Hyperlink"/>
    <w:basedOn w:val="DefaultParagraphFont"/>
    <w:uiPriority w:val="99"/>
    <w:unhideWhenUsed/>
    <w:rsid w:val="000C73DB"/>
    <w:rPr>
      <w:color w:val="467886" w:themeColor="hyperlink"/>
      <w:u w:val="single"/>
    </w:rPr>
  </w:style>
  <w:style w:type="character" w:styleId="UnresolvedMention">
    <w:name w:val="Unresolved Mention"/>
    <w:basedOn w:val="DefaultParagraphFont"/>
    <w:uiPriority w:val="99"/>
    <w:semiHidden/>
    <w:unhideWhenUsed/>
    <w:rsid w:val="000C73DB"/>
    <w:rPr>
      <w:color w:val="605E5C"/>
      <w:shd w:val="clear" w:color="auto" w:fill="E1DFDD"/>
    </w:rPr>
  </w:style>
  <w:style w:type="character" w:styleId="FollowedHyperlink">
    <w:name w:val="FollowedHyperlink"/>
    <w:basedOn w:val="DefaultParagraphFont"/>
    <w:uiPriority w:val="99"/>
    <w:semiHidden/>
    <w:unhideWhenUsed/>
    <w:rsid w:val="001913FB"/>
    <w:rPr>
      <w:color w:val="96607D" w:themeColor="followedHyperlink"/>
      <w:u w:val="single"/>
    </w:rPr>
  </w:style>
  <w:style w:type="paragraph" w:styleId="TOCHeading">
    <w:name w:val="TOC Heading"/>
    <w:basedOn w:val="Heading1"/>
    <w:next w:val="Normal"/>
    <w:uiPriority w:val="39"/>
    <w:unhideWhenUsed/>
    <w:qFormat/>
    <w:rsid w:val="009F44E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9F44E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jcnurse.2011.06.00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killsforhealth.org.uk/integrated-solutions/core-skills-training-framework/" TargetMode="External"/><Relationship Id="rId4" Type="http://schemas.openxmlformats.org/officeDocument/2006/relationships/webSettings" Target="webSettings.xml"/><Relationship Id="rId9" Type="http://schemas.openxmlformats.org/officeDocument/2006/relationships/hyperlink" Target="https://webarchive.nationalarchives.gov.uk/ukgwa/20250506042016/https://www.longtermplan.nhs.uk/publication/nhs-long-term-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D6756-4C2C-4F68-B4F3-EBE2775A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2878</Words>
  <Characters>16411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ataf r</dc:creator>
  <cp:keywords/>
  <dc:description/>
  <cp:lastModifiedBy>ataf r</cp:lastModifiedBy>
  <cp:revision>5</cp:revision>
  <dcterms:created xsi:type="dcterms:W3CDTF">2026-07-25T23:54:00Z</dcterms:created>
  <dcterms:modified xsi:type="dcterms:W3CDTF">2026-07-25T23:57:00Z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949defc1-88e2-4dac-a913-ecd4f9ea9ae7</vt:lpwstr>
  </property>
</Properties>
</file>