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B2B997" w14:textId="77777777" w:rsidR="008F0044" w:rsidRDefault="00000000">
      <w:pPr>
        <w:pStyle w:val="Heading1"/>
        <w:spacing w:after="200"/>
      </w:pPr>
      <w:bookmarkStart w:id="0" w:name="_1u8b1mscy49d" w:colFirst="0" w:colLast="0"/>
      <w:bookmarkEnd w:id="0"/>
      <w:r>
        <w:t>Introduction</w:t>
      </w:r>
    </w:p>
    <w:p w14:paraId="2A86D2C3"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Elements of the legal profession, such as equality and diversity, have a significant influence on the profession’s ethical, functional, and social components. The legal and regulatory framework for preserving these values is the Equality Act 2010 and the SRA Code of Conduct 2019. They are however more significant than just compliance; they impact on the effectiveness, ethical standards and perception of the public towards the profession. Equality and diversity increase the ethical standards of the profession as they advocate for justice and fairness and fight for an inclusive and non-prejudiced culture. On the operational level, diverse teams offer different angles and perspectives towards solving a problem, thus increasing innovation and efficiency in the delivery of service. From a social perspective, a diverse profession defending the entirety of the society helps build the public’s trust in the legal system due to a commitment to eradicating systemic unfairness.</w:t>
      </w:r>
    </w:p>
    <w:p w14:paraId="115054E4" w14:textId="77777777" w:rsidR="008F0044" w:rsidRDefault="00000000">
      <w:pPr>
        <w:pStyle w:val="Heading1"/>
        <w:spacing w:after="200"/>
      </w:pPr>
      <w:bookmarkStart w:id="1" w:name="_gkfu0r5amy8m" w:colFirst="0" w:colLast="0"/>
      <w:bookmarkEnd w:id="1"/>
      <w:r>
        <w:t>Ethical Imperatives of Equality and Diversity</w:t>
      </w:r>
    </w:p>
    <w:p w14:paraId="51D55E55"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the legal profession occupies an exceptional responsible position </w:t>
      </w:r>
      <w:proofErr w:type="gramStart"/>
      <w:r>
        <w:rPr>
          <w:rFonts w:ascii="Times New Roman" w:eastAsia="Times New Roman" w:hAnsi="Times New Roman" w:cs="Times New Roman"/>
          <w:sz w:val="24"/>
          <w:szCs w:val="24"/>
        </w:rPr>
        <w:t>in today’s society</w:t>
      </w:r>
      <w:proofErr w:type="gramEnd"/>
      <w:r>
        <w:rPr>
          <w:rFonts w:ascii="Times New Roman" w:eastAsia="Times New Roman" w:hAnsi="Times New Roman" w:cs="Times New Roman"/>
          <w:sz w:val="24"/>
          <w:szCs w:val="24"/>
        </w:rPr>
        <w:t>, it is imperative that it has a solid ethical foundation. To this basis belong equality and diversity as well. According to the Equality Act 2010, everyone should have an equal opportunity on opportunities and services that they require and Discrimination against age, gender, disability and race is unlawful.</w:t>
      </w:r>
    </w:p>
    <w:p w14:paraId="0190C2DE"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ideas are aligned with the SRA Code of Conduct 2019 which requires solicitors to uphold the rule of law and act with integrity, which of course entails the promotion of equality and diversity (SRA, 2019). This Code specifically mandates that all legal professionals practice workplace diversity, thus proving that the profession is committed to ethical conduct. A diverse and inclusive practice of law minimizes prejudices and fosters justice through avoiding pitfalls associated with ethical compromise, therefore enhancing ethical decision making.</w:t>
      </w:r>
    </w:p>
    <w:p w14:paraId="299065EA"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moral point of view, the need of diversity in the legal system is supported by the scholarship. According to Nicolson and Webb (2005), a diverse bar is more representative of the population than a homogenous one, lending credence to the institutions in question. Everyday relations and the broader legal culture </w:t>
      </w:r>
      <w:proofErr w:type="gramStart"/>
      <w:r>
        <w:rPr>
          <w:rFonts w:ascii="Times New Roman" w:eastAsia="Times New Roman" w:hAnsi="Times New Roman" w:cs="Times New Roman"/>
          <w:sz w:val="24"/>
          <w:szCs w:val="24"/>
        </w:rPr>
        <w:t>implicates</w:t>
      </w:r>
      <w:proofErr w:type="gramEnd"/>
      <w:r>
        <w:rPr>
          <w:rFonts w:ascii="Times New Roman" w:eastAsia="Times New Roman" w:hAnsi="Times New Roman" w:cs="Times New Roman"/>
          <w:sz w:val="24"/>
          <w:szCs w:val="24"/>
        </w:rPr>
        <w:t xml:space="preserve"> both practical and theoretical ethical concerns.</w:t>
      </w:r>
    </w:p>
    <w:p w14:paraId="23A27C61" w14:textId="77777777" w:rsidR="008F0044" w:rsidRDefault="008F0044">
      <w:pPr>
        <w:spacing w:after="200"/>
        <w:jc w:val="both"/>
        <w:rPr>
          <w:rFonts w:ascii="Times New Roman" w:eastAsia="Times New Roman" w:hAnsi="Times New Roman" w:cs="Times New Roman"/>
          <w:sz w:val="24"/>
          <w:szCs w:val="24"/>
        </w:rPr>
      </w:pPr>
    </w:p>
    <w:p w14:paraId="2B8A6753" w14:textId="77777777" w:rsidR="008F0044" w:rsidRDefault="00000000">
      <w:pPr>
        <w:pStyle w:val="Heading1"/>
        <w:spacing w:after="200"/>
      </w:pPr>
      <w:bookmarkStart w:id="2" w:name="_rr5y9mss58it" w:colFirst="0" w:colLast="0"/>
      <w:bookmarkEnd w:id="2"/>
      <w:r>
        <w:lastRenderedPageBreak/>
        <w:t>Operational Efficiency and Effectiveness</w:t>
      </w:r>
    </w:p>
    <w:p w14:paraId="77AAA152"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ethical considerations, diversity and equality considerably affect how effective and efficient legal processes are in practice. Herring (2009) opined that diverse teams’ broader viewpoints, life experiences and </w:t>
      </w:r>
      <w:proofErr w:type="gramStart"/>
      <w:r>
        <w:rPr>
          <w:rFonts w:ascii="Times New Roman" w:eastAsia="Times New Roman" w:hAnsi="Times New Roman" w:cs="Times New Roman"/>
          <w:sz w:val="24"/>
          <w:szCs w:val="24"/>
        </w:rPr>
        <w:t>problem solving</w:t>
      </w:r>
      <w:proofErr w:type="gramEnd"/>
      <w:r>
        <w:rPr>
          <w:rFonts w:ascii="Times New Roman" w:eastAsia="Times New Roman" w:hAnsi="Times New Roman" w:cs="Times New Roman"/>
          <w:sz w:val="24"/>
          <w:szCs w:val="24"/>
        </w:rPr>
        <w:t xml:space="preserve"> approaches might enhance legal services’ creativity and innovation. This sort of pluralism is particularly important in a legal environment where the law is growing in complexity, globalized and where different legal problems require sensitive and diverse approaches.</w:t>
      </w:r>
    </w:p>
    <w:p w14:paraId="67FBB7E4"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conducted by the Legal Society in 2020 reveals that the firms with higher diversity have increased financial performance and satisfied customers. These two aspects demonstrate that diversity leads to increased profitability, which are the direct benefits of inclusive policies. Companies which respect diversity are not only more innovative but are also more adaptable and better equipped to navigate the complex sphere of worldwide legislation and </w:t>
      </w:r>
      <w:proofErr w:type="gramStart"/>
      <w:r>
        <w:rPr>
          <w:rFonts w:ascii="Times New Roman" w:eastAsia="Times New Roman" w:hAnsi="Times New Roman" w:cs="Times New Roman"/>
          <w:sz w:val="24"/>
          <w:szCs w:val="24"/>
        </w:rPr>
        <w:t>cross cultural</w:t>
      </w:r>
      <w:proofErr w:type="gramEnd"/>
      <w:r>
        <w:rPr>
          <w:rFonts w:ascii="Times New Roman" w:eastAsia="Times New Roman" w:hAnsi="Times New Roman" w:cs="Times New Roman"/>
          <w:sz w:val="24"/>
          <w:szCs w:val="24"/>
        </w:rPr>
        <w:t xml:space="preserve"> issues. Legal teams that are diverse as well as the opportunity to grasp the needs of a diverse client base also improve the prospects of client relations and services.</w:t>
      </w:r>
    </w:p>
    <w:p w14:paraId="3ECA9A0B"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noting that organizations with effective diversity programs tend to have less employee attrition and higher level of staff satisfaction is the SRA diversity report for the year 2021. These elements enhance the overall effectiveness of legal services, as well as contribute to the development of a more stable and productive working environment. Performance and customer satisfaction improve when there is increased employee commitment resulting from enhanced worker motivation. Fewer turnovers are desirable for organisations as they lead to lower costs and disruptions associated with recruiting and training new employees. Equality and diversity are therefore not only ethical imperatives but also necessary for the sustainable development of legal professions.</w:t>
      </w:r>
    </w:p>
    <w:p w14:paraId="7D846744" w14:textId="77777777" w:rsidR="008F0044" w:rsidRDefault="00000000">
      <w:pPr>
        <w:pStyle w:val="Heading1"/>
        <w:spacing w:after="200"/>
      </w:pPr>
      <w:bookmarkStart w:id="3" w:name="_wanj68nya6qe" w:colFirst="0" w:colLast="0"/>
      <w:bookmarkEnd w:id="3"/>
      <w:r>
        <w:t>Societal Impact and Public Trust</w:t>
      </w:r>
    </w:p>
    <w:p w14:paraId="5B7AA2A6"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significant amount of society norms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regulated and justice is served mainly by the legal profession. The promotion of diversity and equality in the profession enables a fairer and inclusive society and helps respond to structural oppressions. Promoting such principles is done by legal profession and in this case the Equality Act 2010 and the SRA Code of Conduct 2019. These are the frameworks that may set the norms for other professional disciplines assuring </w:t>
      </w:r>
      <w:proofErr w:type="spellStart"/>
      <w:r>
        <w:rPr>
          <w:rFonts w:ascii="Times New Roman" w:eastAsia="Times New Roman" w:hAnsi="Times New Roman" w:cs="Times New Roman"/>
          <w:sz w:val="24"/>
          <w:szCs w:val="24"/>
        </w:rPr>
        <w:t>nondiscrimination</w:t>
      </w:r>
      <w:proofErr w:type="spellEnd"/>
      <w:r>
        <w:rPr>
          <w:rFonts w:ascii="Times New Roman" w:eastAsia="Times New Roman" w:hAnsi="Times New Roman" w:cs="Times New Roman"/>
          <w:sz w:val="24"/>
          <w:szCs w:val="24"/>
        </w:rPr>
        <w:t xml:space="preserve"> and encouraging inclusiveness.</w:t>
      </w:r>
    </w:p>
    <w:p w14:paraId="0ABE9964"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 special significance, however, is the notion of the public’s trust in the courts. As it depicts the cross-section of the society it operates in, a profession is unlikely to be viewed as biased. The SRA Code of Conduct incorporates the requirement of diversity into its framework, as the principle states that there is a need to maintain the public’s confidence in the administration of justice (SRA, 2019). The public perceives the legal profession more positively and with more legitimacy when </w:t>
      </w:r>
      <w:r>
        <w:rPr>
          <w:rFonts w:ascii="Times New Roman" w:eastAsia="Times New Roman" w:hAnsi="Times New Roman" w:cs="Times New Roman"/>
          <w:sz w:val="24"/>
          <w:szCs w:val="24"/>
        </w:rPr>
        <w:lastRenderedPageBreak/>
        <w:t>they have a commitment towards equality and diversity. The legal system relies heavily on this trust as it makes the people assured that laws will be enforced fairly and without prejudice.</w:t>
      </w:r>
    </w:p>
    <w:p w14:paraId="4D0F580F"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Righting past wrongs and remedying past wrongs likewise require a diverse legal profession. For instance, having more minority individuals in the legal profession ensures that legal procedures and or legal decisions involve representation of such minorities. Thus, in the areas where minorities experienced discrimination in the past, it is vital to have a diverse representation, including criminal justice (Bell, 2020). By ensuring that all voices are heard, it can be possible that the legal profession may help in eradicating the structures that perpetuate the bias and work towards just outcomes. It also creates the foundation of a legal environment that is more attuned to the issues and concerns of the diverse societies, thus achieving a more comprehensive and empathetic perspective on justice.</w:t>
      </w:r>
    </w:p>
    <w:p w14:paraId="60B22345" w14:textId="77777777" w:rsidR="008F0044" w:rsidRDefault="00000000">
      <w:pPr>
        <w:pStyle w:val="Heading1"/>
        <w:spacing w:after="200"/>
      </w:pPr>
      <w:bookmarkStart w:id="4" w:name="_wdvqbm6f585s" w:colFirst="0" w:colLast="0"/>
      <w:bookmarkEnd w:id="4"/>
      <w:r>
        <w:t>Challenges and Barriers to Equality and Diversity</w:t>
      </w:r>
    </w:p>
    <w:p w14:paraId="2CFFF685"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still clear that equality and diversity are important, but the legal profession still has many problems and challenges. Culture biases, systemic barriers, and minorities’ exclusion also hinder development as much as before. Nevertheless, a survey conducted by the Law Society in 2021 indicates that ethnic minorities, and people from the lower classes are still under-represented in the profession, particularly at the level of partnership (Law Society, 2021). This difference underlines why such groups need targeted action aimed at addressing the structural challenges they face.</w:t>
      </w:r>
    </w:p>
    <w:p w14:paraId="72A107BB"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successful approaches is the application of unconscious bias training by legal companies and organisations. In this type of training, one aims at making people aware of the underlying biases and how they shape decision making. From the prejudices, individuals may refrain from discriminating others when hiring, promotion, or when dealing with clients. This training has been found to help in changing work practices to be </w:t>
      </w:r>
      <w:proofErr w:type="gramStart"/>
      <w:r>
        <w:rPr>
          <w:rFonts w:ascii="Times New Roman" w:eastAsia="Times New Roman" w:hAnsi="Times New Roman" w:cs="Times New Roman"/>
          <w:sz w:val="24"/>
          <w:szCs w:val="24"/>
        </w:rPr>
        <w:t>more fair and inclusive</w:t>
      </w:r>
      <w:proofErr w:type="gramEnd"/>
      <w:r>
        <w:rPr>
          <w:rFonts w:ascii="Times New Roman" w:eastAsia="Times New Roman" w:hAnsi="Times New Roman" w:cs="Times New Roman"/>
          <w:sz w:val="24"/>
          <w:szCs w:val="24"/>
        </w:rPr>
        <w:t xml:space="preserve"> (Kalev, Dobbin, and Kelly, 2006). The training on unconscious prejudice could also create a culture of continuous learning and thus ensure that the legal practitioners remain committed and engaged in promoting inclusion and diversity. Thus, legislative and educational changes can help the legal profession to contribute to the pursuit of increased diversity and equality on its own.</w:t>
      </w:r>
    </w:p>
    <w:p w14:paraId="26B292B6" w14:textId="77777777" w:rsidR="008F0044" w:rsidRDefault="00000000">
      <w:pPr>
        <w:pStyle w:val="Heading1"/>
        <w:spacing w:after="200"/>
      </w:pPr>
      <w:bookmarkStart w:id="5" w:name="_hez43l5ebspm" w:colFirst="0" w:colLast="0"/>
      <w:bookmarkEnd w:id="5"/>
      <w:r>
        <w:t>Case Studies and Best Practices</w:t>
      </w:r>
    </w:p>
    <w:p w14:paraId="2BB31AAC"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Studying case studies and practices of successful change might shed a great deal of light on how the legal profession could have effectively pushed for diversity and equality. The Law Society’s “Diversity Access Scheme,” for example, supports aspiring lawyers who come from disadvantaged circumstances by availing scholarship and sponsorships. It is important to point out that the positive results of this programme in raising the percentage of underrepresented individuals in the </w:t>
      </w:r>
      <w:r>
        <w:rPr>
          <w:rFonts w:ascii="Times New Roman" w:eastAsia="Times New Roman" w:hAnsi="Times New Roman" w:cs="Times New Roman"/>
          <w:sz w:val="24"/>
          <w:szCs w:val="24"/>
        </w:rPr>
        <w:lastRenderedPageBreak/>
        <w:t>field underscores the need for targeted support. Diversity Access Scheme provides professional assistance and monetary aid that equalizes chances to transform gifted individuals into legal professionals irrespective of their troubles with money.</w:t>
      </w:r>
    </w:p>
    <w:p w14:paraId="11130810"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Bar Council has an “Open to All” initiative that aims to promote diversity at the Bar through pupil and work experience, mentoring and outreach (Bar Council, 2019. By this way, the occupational door to the subjects of the legal profession may be opened to all people and become aware of it. By actively engaging in communities and schools with the ‘Open to All’ campaign, there’s a broader range of applicants to choose from, and the legal profession is made less exclusive. This preventive approach ensures that the Bar is diversified and is a true reflection of society among other benefits of a wider talent pool.</w:t>
      </w:r>
    </w:p>
    <w:p w14:paraId="2228FD8B"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these case studies demonstrate is the fact that the real progress in advancing equality and diversity may occur only with consistent and active approach. The legal industry may continue to develop and implement better strategies to enhance the welcoming atmosphere for everyone through the analysis of successful projects. The positive outcomes of these programmes demonstrate that there is no way to efface all barriers and build a legal profession that is much more diverse and inclusive of the population it is meant to serve, if there isn’t a concerted and consistent effort to do so. Through such programmes, the legal profession may proffer a powerful example to other professions to emulate.</w:t>
      </w:r>
    </w:p>
    <w:p w14:paraId="19938C06" w14:textId="77777777" w:rsidR="008F0044" w:rsidRDefault="00000000">
      <w:pPr>
        <w:pStyle w:val="Heading1"/>
        <w:spacing w:after="200"/>
      </w:pPr>
      <w:bookmarkStart w:id="6" w:name="_v7wg90n5dxyp" w:colFirst="0" w:colLast="0"/>
      <w:bookmarkEnd w:id="6"/>
      <w:r>
        <w:t>Conclusion</w:t>
      </w:r>
    </w:p>
    <w:p w14:paraId="4C6F8371"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Equality and diversity form the basis of the ethical, practical and social considerations in relation to the legal field. Even while these principles are pertinent to the Equality Act 2010 and the SRA Code of Conduct 2019, they are largely much more than bureaucratic guidelines. In addition to being mandatory for addressing structural injustices, diversification of the legal profession is relevant in enhancing ethical standards, efficient legal service provision, and the confidence of the public.</w:t>
      </w:r>
    </w:p>
    <w:p w14:paraId="6D1267E8" w14:textId="77777777" w:rsidR="008F0044"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Nonetheless, there exist still numerous challenges that need to be addressed, thus all the members of the legal profession must still invest the adequate efforts and commitment. It is believed that change is inevitable and observing best practices, case studies, and successful implementation strategies by the legal profession may make it closer to real equality and diversity and benefit the society it serves and the </w:t>
      </w:r>
      <w:proofErr w:type="gramStart"/>
      <w:r>
        <w:rPr>
          <w:rFonts w:ascii="Times New Roman" w:eastAsia="Times New Roman" w:hAnsi="Times New Roman" w:cs="Times New Roman"/>
          <w:sz w:val="24"/>
          <w:szCs w:val="24"/>
          <w:highlight w:val="white"/>
        </w:rPr>
        <w:t>profession as a whole</w:t>
      </w:r>
      <w:proofErr w:type="gramEnd"/>
      <w:r>
        <w:rPr>
          <w:rFonts w:ascii="Times New Roman" w:eastAsia="Times New Roman" w:hAnsi="Times New Roman" w:cs="Times New Roman"/>
          <w:sz w:val="24"/>
          <w:szCs w:val="24"/>
          <w:highlight w:val="white"/>
        </w:rPr>
        <w:t>.</w:t>
      </w:r>
    </w:p>
    <w:p w14:paraId="762911A9" w14:textId="77777777" w:rsidR="008F0044" w:rsidRDefault="008F0044">
      <w:pPr>
        <w:spacing w:after="200"/>
        <w:jc w:val="both"/>
        <w:rPr>
          <w:rFonts w:ascii="Times New Roman" w:eastAsia="Times New Roman" w:hAnsi="Times New Roman" w:cs="Times New Roman"/>
          <w:sz w:val="24"/>
          <w:szCs w:val="24"/>
        </w:rPr>
      </w:pPr>
    </w:p>
    <w:p w14:paraId="20976D45" w14:textId="77777777" w:rsidR="008F0044" w:rsidRDefault="008F0044">
      <w:pPr>
        <w:spacing w:after="200"/>
      </w:pPr>
    </w:p>
    <w:p w14:paraId="6C47A0B1" w14:textId="77777777" w:rsidR="008F0044" w:rsidRDefault="008F0044">
      <w:pPr>
        <w:spacing w:after="200"/>
      </w:pPr>
    </w:p>
    <w:p w14:paraId="12ECA216" w14:textId="77777777" w:rsidR="008F0044" w:rsidRDefault="00000000">
      <w:pPr>
        <w:spacing w:after="200"/>
      </w:pPr>
      <w:r>
        <w:br w:type="page"/>
      </w:r>
    </w:p>
    <w:p w14:paraId="1B12DC2B" w14:textId="77777777" w:rsidR="008F0044" w:rsidRDefault="00000000">
      <w:pPr>
        <w:pStyle w:val="Heading1"/>
        <w:spacing w:after="200"/>
      </w:pPr>
      <w:bookmarkStart w:id="7" w:name="_ttnc4tv7ee5j" w:colFirst="0" w:colLast="0"/>
      <w:bookmarkEnd w:id="7"/>
      <w:r>
        <w:lastRenderedPageBreak/>
        <w:t>References</w:t>
      </w:r>
    </w:p>
    <w:p w14:paraId="3D951D9C" w14:textId="77777777" w:rsidR="008F0044"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 Council. (2019). Open to All Initiative. </w:t>
      </w:r>
      <w:hyperlink r:id="rId5">
        <w:r>
          <w:rPr>
            <w:rFonts w:ascii="Times New Roman" w:eastAsia="Times New Roman" w:hAnsi="Times New Roman" w:cs="Times New Roman"/>
            <w:color w:val="1155CC"/>
            <w:sz w:val="24"/>
            <w:szCs w:val="24"/>
            <w:u w:val="single"/>
          </w:rPr>
          <w:t>The Bar Council Leadership Programme</w:t>
        </w:r>
      </w:hyperlink>
    </w:p>
    <w:p w14:paraId="1C9DC829" w14:textId="77777777" w:rsidR="008F0044"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Bell, M. (2020). Racism in the Criminal Justice System: How Diversity in the Legal Profession Can Help. Journal of Law and Society, 47(2), 235-253.</w:t>
      </w:r>
    </w:p>
    <w:p w14:paraId="6C14823E" w14:textId="77777777" w:rsidR="008F0044"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Equality Act 2010. Retrieved from Legislation.gov.uk  </w:t>
      </w:r>
    </w:p>
    <w:p w14:paraId="69D56AF3" w14:textId="77777777" w:rsidR="008F0044"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Herring, J. (2009). Diverse Teams and Innovation in Law. Oxford Journal of Legal Studies, 29(3), 389-413.</w:t>
      </w:r>
    </w:p>
    <w:p w14:paraId="3B74D1CE" w14:textId="77777777" w:rsidR="008F0044"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Kalev, A., Dobbin, F., &amp; Kelly, E. (2006). Best practices or best guesses? Assessing the efficacy of corporate affirmative action and diversity policies. American Sociological Review, 71(4), 589-617.</w:t>
      </w:r>
    </w:p>
    <w:p w14:paraId="0BA1AA66" w14:textId="77777777" w:rsidR="008F0044"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 Society. (2020). Diversity Access Scheme. </w:t>
      </w:r>
      <w:hyperlink r:id="rId6">
        <w:r>
          <w:rPr>
            <w:rFonts w:ascii="Times New Roman" w:eastAsia="Times New Roman" w:hAnsi="Times New Roman" w:cs="Times New Roman"/>
            <w:color w:val="1155CC"/>
            <w:sz w:val="24"/>
            <w:szCs w:val="24"/>
            <w:u w:val="single"/>
          </w:rPr>
          <w:t>Diversity Access Scheme | The Law Society</w:t>
        </w:r>
      </w:hyperlink>
    </w:p>
    <w:p w14:paraId="5412C75F" w14:textId="77777777" w:rsidR="008F0044"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 Society. (2021). Annual Diversity Survey. </w:t>
      </w:r>
      <w:hyperlink r:id="rId7">
        <w:r>
          <w:rPr>
            <w:rFonts w:ascii="Times New Roman" w:eastAsia="Times New Roman" w:hAnsi="Times New Roman" w:cs="Times New Roman"/>
            <w:color w:val="1155CC"/>
            <w:sz w:val="24"/>
            <w:szCs w:val="24"/>
            <w:u w:val="single"/>
          </w:rPr>
          <w:t>Diversity and inclusion | The Law Society</w:t>
        </w:r>
      </w:hyperlink>
    </w:p>
    <w:p w14:paraId="6F7769D1" w14:textId="77777777" w:rsidR="008F0044"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Nicolson, D., &amp; Webb, J. (2005). Professional Legal Ethics: Critical Interrogations. Oxford University Press.</w:t>
      </w:r>
    </w:p>
    <w:p w14:paraId="53235CC1" w14:textId="77777777" w:rsidR="008F0044"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Solicitors Regulation Authority (SRA). (2019). SRA Code of Conduct 2019. </w:t>
      </w:r>
      <w:hyperlink r:id="rId8">
        <w:r>
          <w:rPr>
            <w:rFonts w:ascii="Times New Roman" w:eastAsia="Times New Roman" w:hAnsi="Times New Roman" w:cs="Times New Roman"/>
            <w:color w:val="1155CC"/>
            <w:sz w:val="24"/>
            <w:szCs w:val="24"/>
            <w:u w:val="single"/>
          </w:rPr>
          <w:t>SRA | Code of Conduct for Solicitors, RELs and RFLs | Solicitors Regulation Authority</w:t>
        </w:r>
      </w:hyperlink>
    </w:p>
    <w:p w14:paraId="0EAA2C43" w14:textId="77777777" w:rsidR="008F0044"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Solicitors Regulation Authority (SRA). (2021). Annual Diversity Report. </w:t>
      </w:r>
      <w:hyperlink r:id="rId9">
        <w:r>
          <w:rPr>
            <w:rFonts w:ascii="Times New Roman" w:eastAsia="Times New Roman" w:hAnsi="Times New Roman" w:cs="Times New Roman"/>
            <w:color w:val="1155CC"/>
            <w:sz w:val="24"/>
            <w:szCs w:val="24"/>
            <w:u w:val="single"/>
          </w:rPr>
          <w:t>SRA | Equality and diversity | Solicitors Regulation Authority</w:t>
        </w:r>
      </w:hyperlink>
    </w:p>
    <w:p w14:paraId="3170B924" w14:textId="77777777" w:rsidR="008F0044" w:rsidRDefault="008F0044">
      <w:pPr>
        <w:spacing w:after="200"/>
        <w:jc w:val="both"/>
        <w:rPr>
          <w:rFonts w:ascii="Times New Roman" w:eastAsia="Times New Roman" w:hAnsi="Times New Roman" w:cs="Times New Roman"/>
          <w:sz w:val="24"/>
          <w:szCs w:val="24"/>
        </w:rPr>
      </w:pPr>
    </w:p>
    <w:sectPr w:rsidR="008F004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A7E59"/>
    <w:multiLevelType w:val="multilevel"/>
    <w:tmpl w:val="C26C62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07831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044"/>
    <w:rsid w:val="00315AD5"/>
    <w:rsid w:val="003506F6"/>
    <w:rsid w:val="008F0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31D56"/>
  <w15:docId w15:val="{5394C80F-FFD5-4A2F-A9ED-994BB8C90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both"/>
      <w:outlineLvl w:val="0"/>
    </w:pPr>
    <w:rPr>
      <w:rFonts w:ascii="Times New Roman" w:eastAsia="Times New Roman" w:hAnsi="Times New Roman" w:cs="Times New Roman"/>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sra.org.uk/solicitors/standards-regulations/code-conduct-solicitors/" TargetMode="External"/><Relationship Id="rId3" Type="http://schemas.openxmlformats.org/officeDocument/2006/relationships/settings" Target="settings.xml"/><Relationship Id="rId7" Type="http://schemas.openxmlformats.org/officeDocument/2006/relationships/hyperlink" Target="https://www.lawsociety.org.uk/campaigns/diversity-and-inclu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wsociety.org.uk/campaigns/diversity-access-scheme" TargetMode="External"/><Relationship Id="rId11" Type="http://schemas.openxmlformats.org/officeDocument/2006/relationships/theme" Target="theme/theme1.xml"/><Relationship Id="rId5" Type="http://schemas.openxmlformats.org/officeDocument/2006/relationships/hyperlink" Target="https://www.barcouncil.org.uk/support-for-barristers/equality-diversity-and-inclusion/the-bar-council-leadership-programme.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ra.org.uk/sra/research-publications/topic/equality-and-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1881</Words>
  <Characters>10728</Characters>
  <Application>Microsoft Office Word</Application>
  <DocSecurity>0</DocSecurity>
  <Lines>89</Lines>
  <Paragraphs>25</Paragraphs>
  <ScaleCrop>false</ScaleCrop>
  <Company/>
  <LinksUpToDate>false</LinksUpToDate>
  <CharactersWithSpaces>12584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Natalie Skalkosova</cp:lastModifiedBy>
  <cp:revision>2</cp:revision>
  <dcterms:created xsi:type="dcterms:W3CDTF">2024-06-21T13:50:00Z</dcterms:created>
  <dcterms:modified xsi:type="dcterms:W3CDTF">2024-06-21T13:50:00Z</dcterms:modified>
</cp:coreProperties>
</file>