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0000001" w14:textId="54CAEFF9" w:rsidR="00E32475" w:rsidRPr="00944ED2" w:rsidRDefault="00944ED2">
      <w:pPr>
        <w:jc w:val="center"/>
        <w:rPr>
          <w:b/>
          <w:sz w:val="40"/>
          <w:szCs w:val="40"/>
          <w:lang w:val="en-GB"/>
        </w:rPr>
      </w:pPr>
      <w:r>
        <w:rPr>
          <w:b/>
          <w:sz w:val="40"/>
          <w:szCs w:val="40"/>
          <w:lang w:val="en-GB"/>
        </w:rPr>
        <w:t xml:space="preserve">LCBB6002 </w:t>
      </w:r>
      <w:r w:rsidR="00011C6B" w:rsidRPr="00944ED2">
        <w:rPr>
          <w:b/>
          <w:sz w:val="40"/>
          <w:szCs w:val="40"/>
          <w:lang w:val="en-GB"/>
        </w:rPr>
        <w:t>International Financial Management</w:t>
      </w:r>
    </w:p>
    <w:p w14:paraId="58387967" w14:textId="77777777" w:rsidR="00944ED2" w:rsidRDefault="00944ED2">
      <w:pPr>
        <w:jc w:val="center"/>
        <w:rPr>
          <w:b/>
          <w:sz w:val="40"/>
          <w:szCs w:val="40"/>
          <w:lang w:val="en-GB"/>
        </w:rPr>
      </w:pPr>
      <w:r w:rsidRPr="00944ED2">
        <w:rPr>
          <w:b/>
          <w:sz w:val="40"/>
          <w:szCs w:val="40"/>
          <w:lang w:val="en-GB"/>
        </w:rPr>
        <w:t>Compo</w:t>
      </w:r>
      <w:r>
        <w:rPr>
          <w:b/>
          <w:sz w:val="40"/>
          <w:szCs w:val="40"/>
          <w:lang w:val="en-GB"/>
        </w:rPr>
        <w:t xml:space="preserve">nent 1 </w:t>
      </w:r>
    </w:p>
    <w:p w14:paraId="00000002" w14:textId="7845584F" w:rsidR="00E32475" w:rsidRPr="00944ED2" w:rsidRDefault="00944ED2">
      <w:pPr>
        <w:jc w:val="center"/>
        <w:rPr>
          <w:b/>
          <w:sz w:val="40"/>
          <w:szCs w:val="40"/>
          <w:lang w:val="en-GB"/>
        </w:rPr>
      </w:pPr>
      <w:proofErr w:type="gramStart"/>
      <w:r>
        <w:rPr>
          <w:b/>
          <w:sz w:val="40"/>
          <w:szCs w:val="40"/>
          <w:lang w:val="en-GB"/>
        </w:rPr>
        <w:t>Coursework :</w:t>
      </w:r>
      <w:proofErr w:type="gramEnd"/>
      <w:r>
        <w:rPr>
          <w:b/>
          <w:sz w:val="40"/>
          <w:szCs w:val="40"/>
          <w:lang w:val="en-GB"/>
        </w:rPr>
        <w:t xml:space="preserve"> Written Report</w:t>
      </w:r>
    </w:p>
    <w:p w14:paraId="00000003" w14:textId="06B0E111" w:rsidR="00E32475" w:rsidRPr="00944ED2" w:rsidRDefault="00944ED2">
      <w:pPr>
        <w:jc w:val="center"/>
        <w:rPr>
          <w:b/>
          <w:sz w:val="40"/>
          <w:szCs w:val="40"/>
          <w:lang w:val="en-GB"/>
        </w:rPr>
      </w:pPr>
      <w:r>
        <w:rPr>
          <w:b/>
          <w:sz w:val="40"/>
          <w:szCs w:val="40"/>
          <w:lang w:val="en-GB"/>
        </w:rPr>
        <w:t>Made</w:t>
      </w:r>
      <w:r w:rsidR="003200D0">
        <w:rPr>
          <w:b/>
          <w:sz w:val="40"/>
          <w:szCs w:val="40"/>
          <w:lang w:val="en-GB"/>
        </w:rPr>
        <w:t xml:space="preserve"> by : </w:t>
      </w:r>
      <w:proofErr w:type="spellStart"/>
      <w:r w:rsidR="003200D0">
        <w:rPr>
          <w:b/>
          <w:sz w:val="40"/>
          <w:szCs w:val="40"/>
          <w:lang w:val="en-GB"/>
        </w:rPr>
        <w:t>Yustian</w:t>
      </w:r>
      <w:proofErr w:type="spellEnd"/>
      <w:r w:rsidR="003200D0">
        <w:rPr>
          <w:b/>
          <w:sz w:val="40"/>
          <w:szCs w:val="40"/>
          <w:lang w:val="en-GB"/>
        </w:rPr>
        <w:t xml:space="preserve"> </w:t>
      </w:r>
      <w:proofErr w:type="spellStart"/>
      <w:r w:rsidR="003200D0">
        <w:rPr>
          <w:b/>
          <w:sz w:val="40"/>
          <w:szCs w:val="40"/>
          <w:lang w:val="en-GB"/>
        </w:rPr>
        <w:t>Mladenov</w:t>
      </w:r>
      <w:proofErr w:type="spellEnd"/>
      <w:r w:rsidR="003200D0">
        <w:rPr>
          <w:b/>
          <w:sz w:val="40"/>
          <w:szCs w:val="40"/>
          <w:lang w:val="en-GB"/>
        </w:rPr>
        <w:t xml:space="preserve"> (2111875</w:t>
      </w:r>
      <w:r w:rsidR="00023CE3">
        <w:rPr>
          <w:b/>
          <w:sz w:val="40"/>
          <w:szCs w:val="40"/>
          <w:lang w:val="en-GB"/>
        </w:rPr>
        <w:t>)</w:t>
      </w:r>
      <w:bookmarkStart w:id="0" w:name="_GoBack"/>
      <w:bookmarkEnd w:id="0"/>
    </w:p>
    <w:p w14:paraId="00000004" w14:textId="77777777" w:rsidR="00E32475" w:rsidRPr="007B65AF" w:rsidRDefault="00E32475">
      <w:pPr>
        <w:jc w:val="center"/>
        <w:rPr>
          <w:b/>
          <w:sz w:val="30"/>
          <w:szCs w:val="30"/>
          <w:lang w:val="en-GB"/>
        </w:rPr>
      </w:pPr>
    </w:p>
    <w:p w14:paraId="00000005" w14:textId="77777777" w:rsidR="00E32475" w:rsidRPr="007B65AF" w:rsidRDefault="00E32475">
      <w:pPr>
        <w:jc w:val="center"/>
        <w:rPr>
          <w:b/>
          <w:sz w:val="30"/>
          <w:szCs w:val="30"/>
          <w:lang w:val="en-GB"/>
        </w:rPr>
      </w:pPr>
    </w:p>
    <w:p w14:paraId="00000006" w14:textId="77777777" w:rsidR="00E32475" w:rsidRPr="007B65AF" w:rsidRDefault="00E32475">
      <w:pPr>
        <w:jc w:val="center"/>
        <w:rPr>
          <w:b/>
          <w:sz w:val="30"/>
          <w:szCs w:val="30"/>
          <w:lang w:val="en-GB"/>
        </w:rPr>
      </w:pPr>
    </w:p>
    <w:p w14:paraId="00000007" w14:textId="77777777" w:rsidR="00E32475" w:rsidRPr="007B65AF" w:rsidRDefault="00E32475">
      <w:pPr>
        <w:jc w:val="center"/>
        <w:rPr>
          <w:b/>
          <w:sz w:val="30"/>
          <w:szCs w:val="30"/>
          <w:lang w:val="en-GB"/>
        </w:rPr>
      </w:pPr>
    </w:p>
    <w:p w14:paraId="00000008" w14:textId="77777777" w:rsidR="00E32475" w:rsidRPr="007B65AF" w:rsidRDefault="00E32475">
      <w:pPr>
        <w:jc w:val="center"/>
        <w:rPr>
          <w:b/>
          <w:sz w:val="30"/>
          <w:szCs w:val="30"/>
          <w:lang w:val="en-GB"/>
        </w:rPr>
      </w:pPr>
    </w:p>
    <w:p w14:paraId="00000009" w14:textId="77777777" w:rsidR="00E32475" w:rsidRPr="007B65AF" w:rsidRDefault="00E32475">
      <w:pPr>
        <w:jc w:val="center"/>
        <w:rPr>
          <w:b/>
          <w:sz w:val="30"/>
          <w:szCs w:val="30"/>
          <w:lang w:val="en-GB"/>
        </w:rPr>
      </w:pPr>
    </w:p>
    <w:p w14:paraId="0000000C" w14:textId="77777777" w:rsidR="00E32475" w:rsidRPr="007B65AF" w:rsidRDefault="00E32475">
      <w:pPr>
        <w:jc w:val="center"/>
        <w:rPr>
          <w:b/>
          <w:sz w:val="30"/>
          <w:szCs w:val="30"/>
          <w:lang w:val="en-GB"/>
        </w:rPr>
      </w:pPr>
    </w:p>
    <w:p w14:paraId="00000013" w14:textId="77777777" w:rsidR="00E32475" w:rsidRPr="007B65AF" w:rsidRDefault="00011C6B">
      <w:pPr>
        <w:jc w:val="center"/>
        <w:rPr>
          <w:b/>
          <w:sz w:val="30"/>
          <w:szCs w:val="30"/>
          <w:lang w:val="en-GB"/>
        </w:rPr>
      </w:pPr>
      <w:r w:rsidRPr="007B65AF">
        <w:rPr>
          <w:lang w:val="en-GB"/>
        </w:rPr>
        <w:br w:type="page"/>
      </w:r>
    </w:p>
    <w:sdt>
      <w:sdtPr>
        <w:rPr>
          <w:rFonts w:ascii="Arial" w:eastAsia="Arial" w:hAnsi="Arial" w:cs="Arial"/>
          <w:color w:val="auto"/>
          <w:sz w:val="24"/>
          <w:szCs w:val="22"/>
          <w:lang w:val="en-GB"/>
        </w:rPr>
        <w:id w:val="-2105251937"/>
        <w:docPartObj>
          <w:docPartGallery w:val="Table of Contents"/>
          <w:docPartUnique/>
        </w:docPartObj>
      </w:sdtPr>
      <w:sdtEndPr>
        <w:rPr>
          <w:b/>
          <w:bCs/>
          <w:noProof/>
        </w:rPr>
      </w:sdtEndPr>
      <w:sdtContent>
        <w:p w14:paraId="69140546" w14:textId="7E734954" w:rsidR="00C47DD8" w:rsidRPr="007B65AF" w:rsidRDefault="00C47DD8">
          <w:pPr>
            <w:pStyle w:val="TOCHeading"/>
            <w:rPr>
              <w:lang w:val="en-GB"/>
            </w:rPr>
          </w:pPr>
          <w:r w:rsidRPr="007B65AF">
            <w:rPr>
              <w:lang w:val="en-GB"/>
            </w:rPr>
            <w:t>Table of Contents</w:t>
          </w:r>
        </w:p>
        <w:p w14:paraId="61AB9D3C" w14:textId="62F6AD43" w:rsidR="00C47DD8" w:rsidRPr="007B65AF" w:rsidRDefault="00C47DD8">
          <w:pPr>
            <w:pStyle w:val="TOC1"/>
            <w:tabs>
              <w:tab w:val="right" w:leader="dot" w:pos="9016"/>
            </w:tabs>
            <w:rPr>
              <w:noProof/>
              <w:lang w:val="en-GB"/>
            </w:rPr>
          </w:pPr>
          <w:r w:rsidRPr="007B65AF">
            <w:rPr>
              <w:lang w:val="en-GB"/>
            </w:rPr>
            <w:fldChar w:fldCharType="begin"/>
          </w:r>
          <w:r w:rsidRPr="007B65AF">
            <w:rPr>
              <w:lang w:val="en-GB"/>
            </w:rPr>
            <w:instrText xml:space="preserve"> TOC \o "1-3" \h \z \u </w:instrText>
          </w:r>
          <w:r w:rsidRPr="007B65AF">
            <w:rPr>
              <w:lang w:val="en-GB"/>
            </w:rPr>
            <w:fldChar w:fldCharType="separate"/>
          </w:r>
          <w:hyperlink w:anchor="_Toc150637265" w:history="1">
            <w:r w:rsidRPr="007B65AF">
              <w:rPr>
                <w:rStyle w:val="Hyperlink"/>
                <w:noProof/>
                <w:lang w:val="en-GB"/>
              </w:rPr>
              <w:t>Introduction</w:t>
            </w:r>
            <w:r w:rsidRPr="007B65AF">
              <w:rPr>
                <w:noProof/>
                <w:webHidden/>
                <w:lang w:val="en-GB"/>
              </w:rPr>
              <w:tab/>
            </w:r>
            <w:r w:rsidRPr="007B65AF">
              <w:rPr>
                <w:noProof/>
                <w:webHidden/>
                <w:lang w:val="en-GB"/>
              </w:rPr>
              <w:fldChar w:fldCharType="begin"/>
            </w:r>
            <w:r w:rsidRPr="007B65AF">
              <w:rPr>
                <w:noProof/>
                <w:webHidden/>
                <w:lang w:val="en-GB"/>
              </w:rPr>
              <w:instrText xml:space="preserve"> PAGEREF _Toc150637265 \h </w:instrText>
            </w:r>
            <w:r w:rsidRPr="007B65AF">
              <w:rPr>
                <w:noProof/>
                <w:webHidden/>
                <w:lang w:val="en-GB"/>
              </w:rPr>
            </w:r>
            <w:r w:rsidRPr="007B65AF">
              <w:rPr>
                <w:noProof/>
                <w:webHidden/>
                <w:lang w:val="en-GB"/>
              </w:rPr>
              <w:fldChar w:fldCharType="separate"/>
            </w:r>
            <w:r w:rsidRPr="007B65AF">
              <w:rPr>
                <w:noProof/>
                <w:webHidden/>
                <w:lang w:val="en-GB"/>
              </w:rPr>
              <w:t>3</w:t>
            </w:r>
            <w:r w:rsidRPr="007B65AF">
              <w:rPr>
                <w:noProof/>
                <w:webHidden/>
                <w:lang w:val="en-GB"/>
              </w:rPr>
              <w:fldChar w:fldCharType="end"/>
            </w:r>
          </w:hyperlink>
        </w:p>
        <w:p w14:paraId="0FBBF59E" w14:textId="30D2BA79" w:rsidR="00C47DD8" w:rsidRPr="007B65AF" w:rsidRDefault="004C147C">
          <w:pPr>
            <w:pStyle w:val="TOC1"/>
            <w:tabs>
              <w:tab w:val="right" w:leader="dot" w:pos="9016"/>
            </w:tabs>
            <w:rPr>
              <w:noProof/>
              <w:lang w:val="en-GB"/>
            </w:rPr>
          </w:pPr>
          <w:hyperlink w:anchor="_Toc150637266" w:history="1">
            <w:r w:rsidR="00C47DD8" w:rsidRPr="007B65AF">
              <w:rPr>
                <w:rStyle w:val="Hyperlink"/>
                <w:noProof/>
                <w:lang w:val="en-GB"/>
              </w:rPr>
              <w:t>Understanding Foreign Exchange Risks</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_Toc150637266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3</w:t>
            </w:r>
            <w:r w:rsidR="00C47DD8" w:rsidRPr="007B65AF">
              <w:rPr>
                <w:noProof/>
                <w:webHidden/>
                <w:lang w:val="en-GB"/>
              </w:rPr>
              <w:fldChar w:fldCharType="end"/>
            </w:r>
          </w:hyperlink>
        </w:p>
        <w:p w14:paraId="38CA7AAD" w14:textId="59E47154" w:rsidR="00C47DD8" w:rsidRPr="007B65AF" w:rsidRDefault="004C147C">
          <w:pPr>
            <w:pStyle w:val="TOC1"/>
            <w:tabs>
              <w:tab w:val="right" w:leader="dot" w:pos="9016"/>
            </w:tabs>
            <w:rPr>
              <w:noProof/>
              <w:lang w:val="en-GB"/>
            </w:rPr>
          </w:pPr>
          <w:hyperlink w:anchor="_Toc150637267" w:history="1">
            <w:r w:rsidR="00C47DD8" w:rsidRPr="007B65AF">
              <w:rPr>
                <w:rStyle w:val="Hyperlink"/>
                <w:noProof/>
                <w:lang w:val="en-GB"/>
              </w:rPr>
              <w:t>Strategies for Managing FX Risks</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_Toc150637267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4</w:t>
            </w:r>
            <w:r w:rsidR="00C47DD8" w:rsidRPr="007B65AF">
              <w:rPr>
                <w:noProof/>
                <w:webHidden/>
                <w:lang w:val="en-GB"/>
              </w:rPr>
              <w:fldChar w:fldCharType="end"/>
            </w:r>
          </w:hyperlink>
        </w:p>
        <w:p w14:paraId="4AD1153D" w14:textId="5819EBC4" w:rsidR="00C47DD8" w:rsidRPr="007B65AF" w:rsidRDefault="004C147C">
          <w:pPr>
            <w:pStyle w:val="TOC2"/>
            <w:tabs>
              <w:tab w:val="right" w:leader="dot" w:pos="9016"/>
            </w:tabs>
            <w:rPr>
              <w:noProof/>
              <w:lang w:val="en-GB"/>
            </w:rPr>
          </w:pPr>
          <w:hyperlink w:anchor="_Toc150637268" w:history="1">
            <w:r w:rsidR="00C47DD8" w:rsidRPr="007B65AF">
              <w:rPr>
                <w:rStyle w:val="Hyperlink"/>
                <w:noProof/>
                <w:lang w:val="en-GB"/>
              </w:rPr>
              <w:t>Hedging Techniques</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_Toc150637268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4</w:t>
            </w:r>
            <w:r w:rsidR="00C47DD8" w:rsidRPr="007B65AF">
              <w:rPr>
                <w:noProof/>
                <w:webHidden/>
                <w:lang w:val="en-GB"/>
              </w:rPr>
              <w:fldChar w:fldCharType="end"/>
            </w:r>
          </w:hyperlink>
        </w:p>
        <w:p w14:paraId="5228AF8F" w14:textId="5E7DF8BC" w:rsidR="00C47DD8" w:rsidRPr="007B65AF" w:rsidRDefault="004C147C">
          <w:pPr>
            <w:pStyle w:val="TOC2"/>
            <w:tabs>
              <w:tab w:val="right" w:leader="dot" w:pos="9016"/>
            </w:tabs>
            <w:rPr>
              <w:noProof/>
              <w:lang w:val="en-GB"/>
            </w:rPr>
          </w:pPr>
          <w:hyperlink w:anchor="_Toc150637269" w:history="1">
            <w:r w:rsidR="00C47DD8" w:rsidRPr="007B65AF">
              <w:rPr>
                <w:rStyle w:val="Hyperlink"/>
                <w:noProof/>
                <w:lang w:val="en-GB"/>
              </w:rPr>
              <w:t>Diversification</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_Toc150637269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4</w:t>
            </w:r>
            <w:r w:rsidR="00C47DD8" w:rsidRPr="007B65AF">
              <w:rPr>
                <w:noProof/>
                <w:webHidden/>
                <w:lang w:val="en-GB"/>
              </w:rPr>
              <w:fldChar w:fldCharType="end"/>
            </w:r>
          </w:hyperlink>
        </w:p>
        <w:p w14:paraId="7DE3D816" w14:textId="0EA274DA" w:rsidR="00C47DD8" w:rsidRPr="007B65AF" w:rsidRDefault="004C147C">
          <w:pPr>
            <w:pStyle w:val="TOC2"/>
            <w:tabs>
              <w:tab w:val="right" w:leader="dot" w:pos="9016"/>
            </w:tabs>
            <w:rPr>
              <w:noProof/>
              <w:lang w:val="en-GB"/>
            </w:rPr>
          </w:pPr>
          <w:hyperlink w:anchor="_Toc150637270" w:history="1">
            <w:r w:rsidR="00C47DD8" w:rsidRPr="007B65AF">
              <w:rPr>
                <w:rStyle w:val="Hyperlink"/>
                <w:noProof/>
                <w:lang w:val="en-GB"/>
              </w:rPr>
              <w:t>Currency Clauses</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_Toc150637270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4</w:t>
            </w:r>
            <w:r w:rsidR="00C47DD8" w:rsidRPr="007B65AF">
              <w:rPr>
                <w:noProof/>
                <w:webHidden/>
                <w:lang w:val="en-GB"/>
              </w:rPr>
              <w:fldChar w:fldCharType="end"/>
            </w:r>
          </w:hyperlink>
        </w:p>
        <w:p w14:paraId="28E5CDB6" w14:textId="04E27A4F" w:rsidR="00C47DD8" w:rsidRPr="007B65AF" w:rsidRDefault="004C147C">
          <w:pPr>
            <w:pStyle w:val="TOC2"/>
            <w:tabs>
              <w:tab w:val="right" w:leader="dot" w:pos="9016"/>
            </w:tabs>
            <w:rPr>
              <w:noProof/>
              <w:lang w:val="en-GB"/>
            </w:rPr>
          </w:pPr>
          <w:hyperlink w:anchor="_Toc150637271" w:history="1">
            <w:r w:rsidR="00C47DD8" w:rsidRPr="007B65AF">
              <w:rPr>
                <w:rStyle w:val="Hyperlink"/>
                <w:noProof/>
                <w:lang w:val="en-GB"/>
              </w:rPr>
              <w:t>Balance Sheet Hedging</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_Toc150637271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5</w:t>
            </w:r>
            <w:r w:rsidR="00C47DD8" w:rsidRPr="007B65AF">
              <w:rPr>
                <w:noProof/>
                <w:webHidden/>
                <w:lang w:val="en-GB"/>
              </w:rPr>
              <w:fldChar w:fldCharType="end"/>
            </w:r>
          </w:hyperlink>
        </w:p>
        <w:p w14:paraId="13119390" w14:textId="2330B21B" w:rsidR="00C47DD8" w:rsidRPr="007B65AF" w:rsidRDefault="004C147C">
          <w:pPr>
            <w:pStyle w:val="TOC2"/>
            <w:tabs>
              <w:tab w:val="right" w:leader="dot" w:pos="9016"/>
            </w:tabs>
            <w:rPr>
              <w:noProof/>
              <w:lang w:val="en-GB"/>
            </w:rPr>
          </w:pPr>
          <w:hyperlink w:anchor="_Toc150637272" w:history="1">
            <w:r w:rsidR="00C47DD8" w:rsidRPr="007B65AF">
              <w:rPr>
                <w:rStyle w:val="Hyperlink"/>
                <w:noProof/>
                <w:lang w:val="en-GB"/>
              </w:rPr>
              <w:t>Operational Strategies</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_Toc150637272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5</w:t>
            </w:r>
            <w:r w:rsidR="00C47DD8" w:rsidRPr="007B65AF">
              <w:rPr>
                <w:noProof/>
                <w:webHidden/>
                <w:lang w:val="en-GB"/>
              </w:rPr>
              <w:fldChar w:fldCharType="end"/>
            </w:r>
          </w:hyperlink>
        </w:p>
        <w:p w14:paraId="2456C9FD" w14:textId="33214722" w:rsidR="00C47DD8" w:rsidRPr="007B65AF" w:rsidRDefault="004C147C">
          <w:pPr>
            <w:pStyle w:val="TOC2"/>
            <w:tabs>
              <w:tab w:val="right" w:leader="dot" w:pos="9016"/>
            </w:tabs>
            <w:rPr>
              <w:noProof/>
              <w:lang w:val="en-GB"/>
            </w:rPr>
          </w:pPr>
          <w:hyperlink w:anchor="_Toc150637273" w:history="1">
            <w:r w:rsidR="00C47DD8" w:rsidRPr="007B65AF">
              <w:rPr>
                <w:rStyle w:val="Hyperlink"/>
                <w:noProof/>
                <w:lang w:val="en-GB"/>
              </w:rPr>
              <w:t>Critical Analysis and Empirical Evidence</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_Toc150637273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5</w:t>
            </w:r>
            <w:r w:rsidR="00C47DD8" w:rsidRPr="007B65AF">
              <w:rPr>
                <w:noProof/>
                <w:webHidden/>
                <w:lang w:val="en-GB"/>
              </w:rPr>
              <w:fldChar w:fldCharType="end"/>
            </w:r>
          </w:hyperlink>
        </w:p>
        <w:p w14:paraId="308FBE1C" w14:textId="51E216E5" w:rsidR="00C47DD8" w:rsidRPr="007B65AF" w:rsidRDefault="004C147C">
          <w:pPr>
            <w:pStyle w:val="TOC2"/>
            <w:tabs>
              <w:tab w:val="right" w:leader="dot" w:pos="9016"/>
            </w:tabs>
            <w:rPr>
              <w:noProof/>
              <w:lang w:val="en-GB"/>
            </w:rPr>
          </w:pPr>
          <w:hyperlink w:anchor="_Toc150637274" w:history="1">
            <w:r w:rsidR="00C47DD8" w:rsidRPr="007B65AF">
              <w:rPr>
                <w:rStyle w:val="Hyperlink"/>
                <w:noProof/>
                <w:lang w:val="en-GB"/>
              </w:rPr>
              <w:t>Hedging Techniques</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_Toc150637274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5</w:t>
            </w:r>
            <w:r w:rsidR="00C47DD8" w:rsidRPr="007B65AF">
              <w:rPr>
                <w:noProof/>
                <w:webHidden/>
                <w:lang w:val="en-GB"/>
              </w:rPr>
              <w:fldChar w:fldCharType="end"/>
            </w:r>
          </w:hyperlink>
        </w:p>
        <w:p w14:paraId="157D11CA" w14:textId="1C47C6EC" w:rsidR="00C47DD8" w:rsidRPr="007B65AF" w:rsidRDefault="004C147C">
          <w:pPr>
            <w:pStyle w:val="TOC2"/>
            <w:tabs>
              <w:tab w:val="right" w:leader="dot" w:pos="9016"/>
            </w:tabs>
            <w:rPr>
              <w:noProof/>
              <w:lang w:val="en-GB"/>
            </w:rPr>
          </w:pPr>
          <w:hyperlink w:anchor="_Toc150637275" w:history="1">
            <w:r w:rsidR="00C47DD8" w:rsidRPr="007B65AF">
              <w:rPr>
                <w:rStyle w:val="Hyperlink"/>
                <w:noProof/>
                <w:lang w:val="en-GB"/>
              </w:rPr>
              <w:t>Diversification</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_Toc150637275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6</w:t>
            </w:r>
            <w:r w:rsidR="00C47DD8" w:rsidRPr="007B65AF">
              <w:rPr>
                <w:noProof/>
                <w:webHidden/>
                <w:lang w:val="en-GB"/>
              </w:rPr>
              <w:fldChar w:fldCharType="end"/>
            </w:r>
          </w:hyperlink>
        </w:p>
        <w:p w14:paraId="7A202F25" w14:textId="1738FD12" w:rsidR="00C47DD8" w:rsidRPr="007B65AF" w:rsidRDefault="004C147C">
          <w:pPr>
            <w:pStyle w:val="TOC2"/>
            <w:tabs>
              <w:tab w:val="right" w:leader="dot" w:pos="9016"/>
            </w:tabs>
            <w:rPr>
              <w:noProof/>
              <w:lang w:val="en-GB"/>
            </w:rPr>
          </w:pPr>
          <w:hyperlink w:anchor="_Toc150637276" w:history="1">
            <w:r w:rsidR="00C47DD8" w:rsidRPr="007B65AF">
              <w:rPr>
                <w:rStyle w:val="Hyperlink"/>
                <w:noProof/>
                <w:lang w:val="en-GB"/>
              </w:rPr>
              <w:t>Currency Clauses</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_Toc150637276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6</w:t>
            </w:r>
            <w:r w:rsidR="00C47DD8" w:rsidRPr="007B65AF">
              <w:rPr>
                <w:noProof/>
                <w:webHidden/>
                <w:lang w:val="en-GB"/>
              </w:rPr>
              <w:fldChar w:fldCharType="end"/>
            </w:r>
          </w:hyperlink>
        </w:p>
        <w:p w14:paraId="3FBDAA8F" w14:textId="40B609DF" w:rsidR="00C47DD8" w:rsidRPr="007B65AF" w:rsidRDefault="004C147C">
          <w:pPr>
            <w:pStyle w:val="TOC2"/>
            <w:tabs>
              <w:tab w:val="right" w:leader="dot" w:pos="9016"/>
            </w:tabs>
            <w:rPr>
              <w:noProof/>
              <w:lang w:val="en-GB"/>
            </w:rPr>
          </w:pPr>
          <w:hyperlink w:anchor="_Toc150637277" w:history="1">
            <w:r w:rsidR="00C47DD8" w:rsidRPr="007B65AF">
              <w:rPr>
                <w:rStyle w:val="Hyperlink"/>
                <w:noProof/>
                <w:lang w:val="en-GB"/>
              </w:rPr>
              <w:t>Balance Sheet Hedging</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_Toc150637277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6</w:t>
            </w:r>
            <w:r w:rsidR="00C47DD8" w:rsidRPr="007B65AF">
              <w:rPr>
                <w:noProof/>
                <w:webHidden/>
                <w:lang w:val="en-GB"/>
              </w:rPr>
              <w:fldChar w:fldCharType="end"/>
            </w:r>
          </w:hyperlink>
        </w:p>
        <w:p w14:paraId="6A44FD33" w14:textId="63D54B4B" w:rsidR="00C47DD8" w:rsidRPr="007B65AF" w:rsidRDefault="004C147C">
          <w:pPr>
            <w:pStyle w:val="TOC2"/>
            <w:tabs>
              <w:tab w:val="right" w:leader="dot" w:pos="9016"/>
            </w:tabs>
            <w:rPr>
              <w:noProof/>
              <w:lang w:val="en-GB"/>
            </w:rPr>
          </w:pPr>
          <w:hyperlink w:anchor="_Toc150637278" w:history="1">
            <w:r w:rsidR="00C47DD8" w:rsidRPr="007B65AF">
              <w:rPr>
                <w:rStyle w:val="Hyperlink"/>
                <w:noProof/>
                <w:lang w:val="en-GB"/>
              </w:rPr>
              <w:t>Operational Strategies</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_Toc150637278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6</w:t>
            </w:r>
            <w:r w:rsidR="00C47DD8" w:rsidRPr="007B65AF">
              <w:rPr>
                <w:noProof/>
                <w:webHidden/>
                <w:lang w:val="en-GB"/>
              </w:rPr>
              <w:fldChar w:fldCharType="end"/>
            </w:r>
          </w:hyperlink>
        </w:p>
        <w:p w14:paraId="73B271C7" w14:textId="478A4E5A" w:rsidR="00C47DD8" w:rsidRPr="007B65AF" w:rsidRDefault="004C147C">
          <w:pPr>
            <w:pStyle w:val="TOC2"/>
            <w:tabs>
              <w:tab w:val="right" w:leader="dot" w:pos="9016"/>
            </w:tabs>
            <w:rPr>
              <w:noProof/>
              <w:lang w:val="en-GB"/>
            </w:rPr>
          </w:pPr>
          <w:hyperlink w:anchor="_Toc150637279" w:history="1">
            <w:r w:rsidR="00C47DD8" w:rsidRPr="007B65AF">
              <w:rPr>
                <w:rStyle w:val="Hyperlink"/>
                <w:noProof/>
                <w:lang w:val="en-GB"/>
              </w:rPr>
              <w:t>Empirical Evidence</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_Toc150637279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7</w:t>
            </w:r>
            <w:r w:rsidR="00C47DD8" w:rsidRPr="007B65AF">
              <w:rPr>
                <w:noProof/>
                <w:webHidden/>
                <w:lang w:val="en-GB"/>
              </w:rPr>
              <w:fldChar w:fldCharType="end"/>
            </w:r>
          </w:hyperlink>
        </w:p>
        <w:p w14:paraId="1FC3E0D9" w14:textId="6B81A969" w:rsidR="00C47DD8" w:rsidRPr="007B65AF" w:rsidRDefault="004C147C">
          <w:pPr>
            <w:pStyle w:val="TOC1"/>
            <w:tabs>
              <w:tab w:val="right" w:leader="dot" w:pos="9016"/>
            </w:tabs>
            <w:rPr>
              <w:noProof/>
              <w:lang w:val="en-GB"/>
            </w:rPr>
          </w:pPr>
          <w:hyperlink w:anchor="_Toc150637280" w:history="1">
            <w:r w:rsidR="00C47DD8" w:rsidRPr="007B65AF">
              <w:rPr>
                <w:rStyle w:val="Hyperlink"/>
                <w:noProof/>
                <w:lang w:val="en-GB"/>
              </w:rPr>
              <w:t>Conclusion</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_Toc150637280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7</w:t>
            </w:r>
            <w:r w:rsidR="00C47DD8" w:rsidRPr="007B65AF">
              <w:rPr>
                <w:noProof/>
                <w:webHidden/>
                <w:lang w:val="en-GB"/>
              </w:rPr>
              <w:fldChar w:fldCharType="end"/>
            </w:r>
          </w:hyperlink>
        </w:p>
        <w:p w14:paraId="38959A8E" w14:textId="6440CB49" w:rsidR="00C47DD8" w:rsidRPr="007B65AF" w:rsidRDefault="004C147C">
          <w:pPr>
            <w:pStyle w:val="TOC1"/>
            <w:tabs>
              <w:tab w:val="right" w:leader="dot" w:pos="9016"/>
            </w:tabs>
            <w:rPr>
              <w:noProof/>
              <w:lang w:val="en-GB"/>
            </w:rPr>
          </w:pPr>
          <w:hyperlink w:anchor="_Toc150637281" w:history="1">
            <w:r w:rsidR="00C47DD8" w:rsidRPr="007B65AF">
              <w:rPr>
                <w:rStyle w:val="Hyperlink"/>
                <w:noProof/>
                <w:lang w:val="en-GB"/>
              </w:rPr>
              <w:t>References</w:t>
            </w:r>
            <w:r w:rsidR="00C47DD8" w:rsidRPr="007B65AF">
              <w:rPr>
                <w:noProof/>
                <w:webHidden/>
                <w:lang w:val="en-GB"/>
              </w:rPr>
              <w:tab/>
            </w:r>
            <w:r w:rsidR="00C47DD8" w:rsidRPr="007B65AF">
              <w:rPr>
                <w:noProof/>
                <w:webHidden/>
                <w:lang w:val="en-GB"/>
              </w:rPr>
              <w:fldChar w:fldCharType="begin"/>
            </w:r>
            <w:r w:rsidR="00C47DD8" w:rsidRPr="007B65AF">
              <w:rPr>
                <w:noProof/>
                <w:webHidden/>
                <w:lang w:val="en-GB"/>
              </w:rPr>
              <w:instrText xml:space="preserve"> PAGEREF _Toc150637281 \h </w:instrText>
            </w:r>
            <w:r w:rsidR="00C47DD8" w:rsidRPr="007B65AF">
              <w:rPr>
                <w:noProof/>
                <w:webHidden/>
                <w:lang w:val="en-GB"/>
              </w:rPr>
            </w:r>
            <w:r w:rsidR="00C47DD8" w:rsidRPr="007B65AF">
              <w:rPr>
                <w:noProof/>
                <w:webHidden/>
                <w:lang w:val="en-GB"/>
              </w:rPr>
              <w:fldChar w:fldCharType="separate"/>
            </w:r>
            <w:r w:rsidR="00C47DD8" w:rsidRPr="007B65AF">
              <w:rPr>
                <w:noProof/>
                <w:webHidden/>
                <w:lang w:val="en-GB"/>
              </w:rPr>
              <w:t>8</w:t>
            </w:r>
            <w:r w:rsidR="00C47DD8" w:rsidRPr="007B65AF">
              <w:rPr>
                <w:noProof/>
                <w:webHidden/>
                <w:lang w:val="en-GB"/>
              </w:rPr>
              <w:fldChar w:fldCharType="end"/>
            </w:r>
          </w:hyperlink>
        </w:p>
        <w:p w14:paraId="401B384E" w14:textId="24C3968C" w:rsidR="00C47DD8" w:rsidRPr="007B65AF" w:rsidRDefault="00C47DD8">
          <w:pPr>
            <w:rPr>
              <w:lang w:val="en-GB"/>
            </w:rPr>
          </w:pPr>
          <w:r w:rsidRPr="007B65AF">
            <w:rPr>
              <w:b/>
              <w:bCs/>
              <w:noProof/>
              <w:lang w:val="en-GB"/>
            </w:rPr>
            <w:fldChar w:fldCharType="end"/>
          </w:r>
        </w:p>
      </w:sdtContent>
    </w:sdt>
    <w:p w14:paraId="00000026" w14:textId="77777777" w:rsidR="00E32475" w:rsidRPr="007B65AF" w:rsidRDefault="00011C6B">
      <w:pPr>
        <w:rPr>
          <w:lang w:val="en-GB"/>
        </w:rPr>
      </w:pPr>
      <w:r w:rsidRPr="007B65AF">
        <w:rPr>
          <w:lang w:val="en-GB"/>
        </w:rPr>
        <w:br w:type="page"/>
      </w:r>
    </w:p>
    <w:p w14:paraId="00000027" w14:textId="77777777" w:rsidR="00E32475" w:rsidRPr="007B65AF" w:rsidRDefault="00011C6B">
      <w:pPr>
        <w:pStyle w:val="Heading1"/>
        <w:rPr>
          <w:b w:val="0"/>
          <w:szCs w:val="28"/>
          <w:lang w:val="en-GB"/>
        </w:rPr>
      </w:pPr>
      <w:bookmarkStart w:id="1" w:name="_Toc150637265"/>
      <w:r w:rsidRPr="007B65AF">
        <w:rPr>
          <w:szCs w:val="28"/>
          <w:lang w:val="en-GB"/>
        </w:rPr>
        <w:lastRenderedPageBreak/>
        <w:t>Introduction</w:t>
      </w:r>
      <w:bookmarkEnd w:id="1"/>
    </w:p>
    <w:p w14:paraId="00000028" w14:textId="77777777" w:rsidR="00E32475" w:rsidRPr="007B65AF" w:rsidRDefault="00011C6B">
      <w:pPr>
        <w:rPr>
          <w:szCs w:val="24"/>
          <w:lang w:val="en-GB"/>
        </w:rPr>
      </w:pPr>
      <w:r w:rsidRPr="007B65AF">
        <w:rPr>
          <w:szCs w:val="24"/>
          <w:lang w:val="en-GB"/>
        </w:rPr>
        <w:t>Foreign exchange rates have a dramatic effect on how the organisations make money in general. As the multinational companies work on a global basis, the volatility of the foreign exchange rates has a huge impact on the overall profitability of the organisations. The organisations have to collect money from different parts of the world where the exchange rates of the organisations impact the overall profitability of the organisation in general. Therefore, it is highly important for the organisations to keep a proper focus on foreign exchange rates to ensure the central profitability of the organisation. It is also very important for the organisations to ensure that different factors that influence the foreign rates are taken into account while making important financial decisions.</w:t>
      </w:r>
    </w:p>
    <w:p w14:paraId="2E412B52" w14:textId="77777777" w:rsidR="004241C2" w:rsidRPr="007B65AF" w:rsidRDefault="004241C2">
      <w:pPr>
        <w:spacing w:after="0" w:line="276" w:lineRule="auto"/>
        <w:jc w:val="left"/>
        <w:rPr>
          <w:b/>
          <w:sz w:val="28"/>
          <w:szCs w:val="28"/>
          <w:lang w:val="en-GB"/>
        </w:rPr>
      </w:pPr>
      <w:bookmarkStart w:id="2" w:name="_Toc150637266"/>
      <w:r w:rsidRPr="007B65AF">
        <w:rPr>
          <w:szCs w:val="28"/>
          <w:lang w:val="en-GB"/>
        </w:rPr>
        <w:br w:type="page"/>
      </w:r>
    </w:p>
    <w:p w14:paraId="00000029" w14:textId="7034A23F" w:rsidR="00E32475" w:rsidRPr="007B65AF" w:rsidRDefault="00011C6B">
      <w:pPr>
        <w:pStyle w:val="Heading1"/>
        <w:rPr>
          <w:b w:val="0"/>
          <w:szCs w:val="28"/>
          <w:lang w:val="en-GB"/>
        </w:rPr>
      </w:pPr>
      <w:r w:rsidRPr="007B65AF">
        <w:rPr>
          <w:szCs w:val="28"/>
          <w:lang w:val="en-GB"/>
        </w:rPr>
        <w:lastRenderedPageBreak/>
        <w:t>Understanding Foreign Exchange Risks</w:t>
      </w:r>
      <w:bookmarkEnd w:id="2"/>
    </w:p>
    <w:p w14:paraId="0000002A" w14:textId="07DBF4DD" w:rsidR="00E32475" w:rsidRPr="007B65AF" w:rsidRDefault="00011C6B">
      <w:pPr>
        <w:rPr>
          <w:szCs w:val="24"/>
          <w:lang w:val="en-GB"/>
        </w:rPr>
      </w:pPr>
      <w:r w:rsidRPr="007B65AF">
        <w:rPr>
          <w:szCs w:val="24"/>
          <w:lang w:val="en-GB"/>
        </w:rPr>
        <w:t>The risk associated with the fluctuation in the value of one currency relative to another is known as foreign exchange risk or currency risk. Due to the many ways in which this impacts business, it presents a serious problem for MNCs. Changes in exchange rates can affect the prices of imported goods and supplies. The risk of fluctuating exchange rates is a major concern for multinational corporations because of the impact on profits from overseas operations.</w:t>
      </w:r>
    </w:p>
    <w:p w14:paraId="0000002B" w14:textId="3AF959F5" w:rsidR="00E32475" w:rsidRPr="007B65AF" w:rsidRDefault="00011C6B">
      <w:pPr>
        <w:rPr>
          <w:szCs w:val="24"/>
          <w:lang w:val="en-GB"/>
        </w:rPr>
      </w:pPr>
      <w:r w:rsidRPr="007B65AF">
        <w:rPr>
          <w:szCs w:val="24"/>
          <w:lang w:val="en-GB"/>
        </w:rPr>
        <w:t>An MNC's product competitiveness on a worldwide scale may be impacted by FX risk</w:t>
      </w:r>
      <w:r w:rsidR="00ED36ED" w:rsidRPr="007B65AF">
        <w:rPr>
          <w:szCs w:val="24"/>
          <w:lang w:val="en-GB"/>
        </w:rPr>
        <w:t xml:space="preserve">. </w:t>
      </w:r>
      <w:r w:rsidRPr="007B65AF">
        <w:rPr>
          <w:szCs w:val="24"/>
          <w:lang w:val="en-GB"/>
        </w:rPr>
        <w:t>For instance, if the domestic currency falls, the company's exports may become more competitive in overseas markets, whereas if the domestic currency strengthens, the opposite may occur.</w:t>
      </w:r>
    </w:p>
    <w:p w14:paraId="0000002C" w14:textId="21D91FB7" w:rsidR="00E32475" w:rsidRPr="007B65AF" w:rsidRDefault="00011C6B">
      <w:pPr>
        <w:rPr>
          <w:szCs w:val="24"/>
          <w:lang w:val="en-GB"/>
        </w:rPr>
      </w:pPr>
      <w:r w:rsidRPr="007B65AF">
        <w:rPr>
          <w:szCs w:val="24"/>
          <w:lang w:val="en-GB"/>
        </w:rPr>
        <w:t>In addition, an MNC's product competitiveness on a global scale may be impacted by FX risk</w:t>
      </w:r>
      <w:r w:rsidR="00ED36ED" w:rsidRPr="007B65AF">
        <w:rPr>
          <w:szCs w:val="24"/>
          <w:lang w:val="en-GB"/>
        </w:rPr>
        <w:t xml:space="preserve">. </w:t>
      </w:r>
      <w:r w:rsidRPr="007B65AF">
        <w:rPr>
          <w:szCs w:val="24"/>
          <w:lang w:val="en-GB"/>
        </w:rPr>
        <w:t>If the domestic currency weakens, the company's exports may become more competitive in foreign markets, while if the domestic currency strengthens, the opposite may occur. This fluctuating nature of currency values can lead to unpredictable changes in revenue and profit margins. Transaction risk arises from the potential for exchange rate fluctuations to affect the value of a company's near-term financial transactions. Translation risk pertains to the impact of currency fluctuations on the reported financial statements of a company, particularly when consolidating the financials of foreign subsidiaries. Economic risk, on the other hand, refers to the long-term effect of exchange rate changes on a company's market value, considering its future cash flows and competitive positioning.</w:t>
      </w:r>
    </w:p>
    <w:p w14:paraId="0000002D" w14:textId="47B1A796" w:rsidR="00E32475" w:rsidRPr="007B65AF" w:rsidRDefault="00011C6B">
      <w:pPr>
        <w:rPr>
          <w:szCs w:val="24"/>
          <w:lang w:val="en-GB"/>
        </w:rPr>
      </w:pPr>
      <w:r w:rsidRPr="007B65AF">
        <w:rPr>
          <w:szCs w:val="24"/>
          <w:lang w:val="en-GB"/>
        </w:rPr>
        <w:t>Each type of FX risk impacts different operational areas of an MNC and necessitates tailored management strategies</w:t>
      </w:r>
      <w:r w:rsidR="00ED36ED" w:rsidRPr="007B65AF">
        <w:rPr>
          <w:szCs w:val="24"/>
          <w:lang w:val="en-GB"/>
        </w:rPr>
        <w:t xml:space="preserve">. </w:t>
      </w:r>
      <w:r w:rsidRPr="007B65AF">
        <w:rPr>
          <w:szCs w:val="24"/>
          <w:lang w:val="en-GB"/>
        </w:rPr>
        <w:t xml:space="preserve">Understanding and managing these risks is vital for MNCs to maintain financial stability and competitive advantage in the global market. </w:t>
      </w:r>
    </w:p>
    <w:p w14:paraId="0E2DFD3E" w14:textId="77777777" w:rsidR="007B65AF" w:rsidRDefault="007B65AF">
      <w:pPr>
        <w:spacing w:after="0" w:line="276" w:lineRule="auto"/>
        <w:jc w:val="left"/>
        <w:rPr>
          <w:b/>
          <w:sz w:val="28"/>
          <w:szCs w:val="28"/>
          <w:lang w:val="en-GB"/>
        </w:rPr>
      </w:pPr>
      <w:bookmarkStart w:id="3" w:name="_Toc150637267"/>
      <w:r>
        <w:rPr>
          <w:szCs w:val="28"/>
          <w:lang w:val="en-GB"/>
        </w:rPr>
        <w:br w:type="page"/>
      </w:r>
    </w:p>
    <w:p w14:paraId="0000002E" w14:textId="367A557A" w:rsidR="00E32475" w:rsidRPr="007B65AF" w:rsidRDefault="00011C6B">
      <w:pPr>
        <w:pStyle w:val="Heading1"/>
        <w:rPr>
          <w:b w:val="0"/>
          <w:szCs w:val="28"/>
          <w:lang w:val="en-GB"/>
        </w:rPr>
      </w:pPr>
      <w:r w:rsidRPr="007B65AF">
        <w:rPr>
          <w:szCs w:val="28"/>
          <w:lang w:val="en-GB"/>
        </w:rPr>
        <w:lastRenderedPageBreak/>
        <w:t>Strategies for Managing FX Risks</w:t>
      </w:r>
      <w:bookmarkEnd w:id="3"/>
    </w:p>
    <w:p w14:paraId="0000002F" w14:textId="77777777" w:rsidR="00E32475" w:rsidRPr="007B65AF" w:rsidRDefault="00011C6B">
      <w:pPr>
        <w:pStyle w:val="Heading2"/>
        <w:rPr>
          <w:b w:val="0"/>
          <w:szCs w:val="26"/>
          <w:lang w:val="en-GB"/>
        </w:rPr>
      </w:pPr>
      <w:bookmarkStart w:id="4" w:name="_Toc150637268"/>
      <w:r w:rsidRPr="007B65AF">
        <w:rPr>
          <w:szCs w:val="26"/>
          <w:lang w:val="en-GB"/>
        </w:rPr>
        <w:t>Hedging Techniques</w:t>
      </w:r>
      <w:bookmarkEnd w:id="4"/>
    </w:p>
    <w:p w14:paraId="00000030" w14:textId="77777777" w:rsidR="00E32475" w:rsidRPr="007B65AF" w:rsidRDefault="00011C6B">
      <w:pPr>
        <w:rPr>
          <w:szCs w:val="24"/>
          <w:lang w:val="en-GB"/>
        </w:rPr>
      </w:pPr>
      <w:r w:rsidRPr="007B65AF">
        <w:rPr>
          <w:szCs w:val="24"/>
          <w:lang w:val="en-GB"/>
        </w:rPr>
        <w:t>Hedging, the use of financial instruments to protect against adverse currency movements, is a common method for managing foreign exchange risk. The most common hedging techniques include forward contracts, futures, options, and swaps. Companies can protect themselves from unfavourable currency movements by using these tools to lock in exchange rates for a future date. A U.S. firm that expects to receive Euro payments could use a forward contract to lock in a favourable exchange rate for converting those Euros to U.S. dollars at a later date. A nuanced understanding of market movements and risk assessment is necessary, but the strategy's promise of financial planning certainty is worth the effort.</w:t>
      </w:r>
    </w:p>
    <w:p w14:paraId="00000031" w14:textId="77777777" w:rsidR="00E32475" w:rsidRPr="007B65AF" w:rsidRDefault="00011C6B">
      <w:pPr>
        <w:pStyle w:val="Heading2"/>
        <w:rPr>
          <w:b w:val="0"/>
          <w:szCs w:val="26"/>
          <w:lang w:val="en-GB"/>
        </w:rPr>
      </w:pPr>
      <w:bookmarkStart w:id="5" w:name="_Toc150637269"/>
      <w:r w:rsidRPr="007B65AF">
        <w:rPr>
          <w:szCs w:val="26"/>
          <w:lang w:val="en-GB"/>
        </w:rPr>
        <w:t>Diversification</w:t>
      </w:r>
      <w:bookmarkEnd w:id="5"/>
    </w:p>
    <w:p w14:paraId="00000032" w14:textId="50F57358" w:rsidR="00E32475" w:rsidRPr="007B65AF" w:rsidRDefault="00011C6B">
      <w:pPr>
        <w:rPr>
          <w:szCs w:val="24"/>
          <w:lang w:val="en-GB"/>
        </w:rPr>
      </w:pPr>
      <w:r w:rsidRPr="007B65AF">
        <w:rPr>
          <w:szCs w:val="24"/>
          <w:lang w:val="en-GB"/>
        </w:rPr>
        <w:t>Spreading investments and operations across multiple countries and currencies is another successful tactic</w:t>
      </w:r>
      <w:r w:rsidR="00ED36ED" w:rsidRPr="007B65AF">
        <w:rPr>
          <w:szCs w:val="24"/>
          <w:lang w:val="en-GB"/>
        </w:rPr>
        <w:t xml:space="preserve">. </w:t>
      </w:r>
      <w:r w:rsidRPr="007B65AF">
        <w:rPr>
          <w:szCs w:val="24"/>
          <w:lang w:val="en-GB"/>
        </w:rPr>
        <w:t>By spreading out exposure to different currencies, this method may mitigate the effects of volatility</w:t>
      </w:r>
      <w:r w:rsidR="00ED36ED" w:rsidRPr="007B65AF">
        <w:rPr>
          <w:szCs w:val="24"/>
          <w:lang w:val="en-GB"/>
        </w:rPr>
        <w:t xml:space="preserve">. </w:t>
      </w:r>
      <w:r w:rsidRPr="007B65AF">
        <w:rPr>
          <w:szCs w:val="24"/>
          <w:lang w:val="en-GB"/>
        </w:rPr>
        <w:t>For instance, if a company has operations in more than one currency zone, it may be able to offset the effects of a weakening currency with a strengthening currency. It's not enough to spread your business's operations and revenue streams across multiple countries or currency zones to reduce your risk. Because of this, not only is foreign exchange risk reduced, but the market's overall stability is strengthened.</w:t>
      </w:r>
    </w:p>
    <w:p w14:paraId="00000033" w14:textId="77777777" w:rsidR="00E32475" w:rsidRPr="007B65AF" w:rsidRDefault="00011C6B">
      <w:pPr>
        <w:pStyle w:val="Heading2"/>
        <w:rPr>
          <w:b w:val="0"/>
          <w:szCs w:val="26"/>
          <w:lang w:val="en-GB"/>
        </w:rPr>
      </w:pPr>
      <w:bookmarkStart w:id="6" w:name="_Toc150637270"/>
      <w:r w:rsidRPr="007B65AF">
        <w:rPr>
          <w:szCs w:val="26"/>
          <w:lang w:val="en-GB"/>
        </w:rPr>
        <w:t>Currency Clauses</w:t>
      </w:r>
      <w:bookmarkEnd w:id="6"/>
    </w:p>
    <w:p w14:paraId="00000034" w14:textId="77777777" w:rsidR="00E32475" w:rsidRPr="007B65AF" w:rsidRDefault="00011C6B">
      <w:pPr>
        <w:rPr>
          <w:szCs w:val="24"/>
          <w:lang w:val="en-GB"/>
        </w:rPr>
      </w:pPr>
      <w:r w:rsidRPr="007B65AF">
        <w:rPr>
          <w:szCs w:val="24"/>
          <w:lang w:val="en-GB"/>
        </w:rPr>
        <w:t>Incorporating currency clauses in international contracts is a more direct approach to managing FX risk. This type of clause typically transfers foreign exchange risk to the counterparty or allocates it among the parties involved. Since these clauses have the potential to alter the competitiveness of offers and shift financial risks to partners, they should be negotiated with caution to avoid damaging effects on business relationships.</w:t>
      </w:r>
    </w:p>
    <w:p w14:paraId="00000035" w14:textId="77777777" w:rsidR="00E32475" w:rsidRPr="007B65AF" w:rsidRDefault="00011C6B">
      <w:pPr>
        <w:pStyle w:val="Heading2"/>
        <w:rPr>
          <w:b w:val="0"/>
          <w:szCs w:val="26"/>
          <w:lang w:val="en-GB"/>
        </w:rPr>
      </w:pPr>
      <w:bookmarkStart w:id="7" w:name="_Toc150637271"/>
      <w:r w:rsidRPr="007B65AF">
        <w:rPr>
          <w:szCs w:val="26"/>
          <w:lang w:val="en-GB"/>
        </w:rPr>
        <w:t>Balance Sheet Hedging</w:t>
      </w:r>
      <w:bookmarkEnd w:id="7"/>
    </w:p>
    <w:p w14:paraId="00000036" w14:textId="310C0A3F" w:rsidR="00E32475" w:rsidRPr="007B65AF" w:rsidRDefault="00011C6B">
      <w:pPr>
        <w:rPr>
          <w:szCs w:val="24"/>
          <w:lang w:val="en-GB"/>
        </w:rPr>
      </w:pPr>
      <w:r w:rsidRPr="007B65AF">
        <w:rPr>
          <w:szCs w:val="24"/>
          <w:lang w:val="en-GB"/>
        </w:rPr>
        <w:t>Hedging the balance sheet means taking control of the currency mix between assets and liabilities. Corporate net exposure to currency fluctuations can be reduced by matching asset and liability currencies</w:t>
      </w:r>
      <w:r w:rsidR="00ED36ED" w:rsidRPr="007B65AF">
        <w:rPr>
          <w:szCs w:val="24"/>
          <w:lang w:val="en-GB"/>
        </w:rPr>
        <w:t xml:space="preserve">. </w:t>
      </w:r>
      <w:r w:rsidRPr="007B65AF">
        <w:rPr>
          <w:szCs w:val="24"/>
          <w:lang w:val="en-GB"/>
        </w:rPr>
        <w:t xml:space="preserve">This tactic calls for an in-depth familiarity with the firm's financial standing and an aggressive strategy towards matching currency </w:t>
      </w:r>
      <w:r w:rsidRPr="007B65AF">
        <w:rPr>
          <w:szCs w:val="24"/>
          <w:lang w:val="en-GB"/>
        </w:rPr>
        <w:lastRenderedPageBreak/>
        <w:t>profiles. Currency hedging is especially useful for multinational corporations because it reduces the effect of foreign exchange rate fluctuations on consolidated financial statements.</w:t>
      </w:r>
    </w:p>
    <w:p w14:paraId="00000037" w14:textId="77777777" w:rsidR="00E32475" w:rsidRPr="007B65AF" w:rsidRDefault="00011C6B">
      <w:pPr>
        <w:pStyle w:val="Heading2"/>
        <w:rPr>
          <w:b w:val="0"/>
          <w:szCs w:val="26"/>
          <w:lang w:val="en-GB"/>
        </w:rPr>
      </w:pPr>
      <w:bookmarkStart w:id="8" w:name="_Toc150637272"/>
      <w:r w:rsidRPr="007B65AF">
        <w:rPr>
          <w:szCs w:val="26"/>
          <w:lang w:val="en-GB"/>
        </w:rPr>
        <w:t>Operational Strategies</w:t>
      </w:r>
      <w:bookmarkEnd w:id="8"/>
    </w:p>
    <w:p w14:paraId="00000038" w14:textId="2D952255" w:rsidR="00E32475" w:rsidRPr="007B65AF" w:rsidRDefault="00011C6B">
      <w:pPr>
        <w:rPr>
          <w:szCs w:val="24"/>
          <w:lang w:val="en-GB"/>
        </w:rPr>
      </w:pPr>
      <w:r w:rsidRPr="007B65AF">
        <w:rPr>
          <w:szCs w:val="24"/>
          <w:lang w:val="en-GB"/>
        </w:rPr>
        <w:t>To reduce foreign exchange (FX) risk, businesses can employ operational strategies. Choices like where to put factories or how to get supplies are examples of this</w:t>
      </w:r>
      <w:r w:rsidR="00ED36ED" w:rsidRPr="007B65AF">
        <w:rPr>
          <w:szCs w:val="24"/>
          <w:lang w:val="en-GB"/>
        </w:rPr>
        <w:t xml:space="preserve">. </w:t>
      </w:r>
      <w:r w:rsidRPr="007B65AF">
        <w:rPr>
          <w:szCs w:val="24"/>
          <w:lang w:val="en-GB"/>
        </w:rPr>
        <w:t>By setting up production facilities in the United States, a European firm, for instance, can create a natural hedge by matching dollar revenues and costs. While this strategy can be highly effective in mitigating currency risk, it can also require significant initial investment and long-term planning. The supply chain's efficiency and adaptability to regional market needs may also improve.</w:t>
      </w:r>
    </w:p>
    <w:p w14:paraId="00000039" w14:textId="77777777" w:rsidR="00E32475" w:rsidRPr="007B65AF" w:rsidRDefault="00011C6B">
      <w:pPr>
        <w:pStyle w:val="Heading2"/>
        <w:rPr>
          <w:b w:val="0"/>
          <w:szCs w:val="26"/>
          <w:lang w:val="en-GB"/>
        </w:rPr>
      </w:pPr>
      <w:bookmarkStart w:id="9" w:name="_Toc150637273"/>
      <w:r w:rsidRPr="007B65AF">
        <w:rPr>
          <w:szCs w:val="26"/>
          <w:lang w:val="en-GB"/>
        </w:rPr>
        <w:t>Critical Analysis and Empirical Evidence</w:t>
      </w:r>
      <w:bookmarkEnd w:id="9"/>
    </w:p>
    <w:p w14:paraId="0000003A" w14:textId="77777777" w:rsidR="00E32475" w:rsidRPr="007B65AF" w:rsidRDefault="00011C6B">
      <w:pPr>
        <w:rPr>
          <w:szCs w:val="24"/>
          <w:lang w:val="en-GB"/>
        </w:rPr>
      </w:pPr>
      <w:r w:rsidRPr="007B65AF">
        <w:rPr>
          <w:szCs w:val="24"/>
          <w:lang w:val="en-GB"/>
        </w:rPr>
        <w:t>In the complex field of FX risk management, MNCs employ a wide range of strategies, each with its own set of benefits and drawbacks. A critical examination of these strategies, juxtaposed with empirical evidence, offers insights into their effectiveness and applicability.</w:t>
      </w:r>
    </w:p>
    <w:p w14:paraId="0000003B" w14:textId="77777777" w:rsidR="00E32475" w:rsidRPr="007B65AF" w:rsidRDefault="00011C6B">
      <w:pPr>
        <w:pStyle w:val="Heading2"/>
        <w:rPr>
          <w:b w:val="0"/>
          <w:szCs w:val="26"/>
          <w:lang w:val="en-GB"/>
        </w:rPr>
      </w:pPr>
      <w:bookmarkStart w:id="10" w:name="_Toc150637274"/>
      <w:r w:rsidRPr="007B65AF">
        <w:rPr>
          <w:szCs w:val="26"/>
          <w:lang w:val="en-GB"/>
        </w:rPr>
        <w:t>Hedging Techniques</w:t>
      </w:r>
      <w:bookmarkEnd w:id="10"/>
    </w:p>
    <w:p w14:paraId="0000003C" w14:textId="6DC4A886" w:rsidR="00E32475" w:rsidRPr="007B65AF" w:rsidRDefault="00011C6B">
      <w:pPr>
        <w:rPr>
          <w:szCs w:val="24"/>
          <w:lang w:val="en-GB"/>
        </w:rPr>
      </w:pPr>
      <w:r w:rsidRPr="007B65AF">
        <w:rPr>
          <w:szCs w:val="24"/>
          <w:lang w:val="en-GB"/>
        </w:rPr>
        <w:t>Hedging, a popular strategy, protects against short-term currency. Forward contracts, futures, options, and swaps are all examples of financial instruments that can be used to set future exchange rates using this method</w:t>
      </w:r>
      <w:r w:rsidR="00E6072F" w:rsidRPr="007B65AF">
        <w:rPr>
          <w:szCs w:val="24"/>
          <w:lang w:val="en-GB"/>
        </w:rPr>
        <w:t xml:space="preserve"> (BBC, 2022)</w:t>
      </w:r>
      <w:r w:rsidRPr="007B65AF">
        <w:rPr>
          <w:szCs w:val="24"/>
          <w:lang w:val="en-GB"/>
        </w:rPr>
        <w:t>. Hedging provides stability for long-term financial planning and can mitigate the short-term effects of currency fluctuations, but it does not come without costs</w:t>
      </w:r>
      <w:r w:rsidR="00ED36ED" w:rsidRPr="007B65AF">
        <w:rPr>
          <w:szCs w:val="24"/>
          <w:lang w:val="en-GB"/>
        </w:rPr>
        <w:t xml:space="preserve">. </w:t>
      </w:r>
      <w:r w:rsidRPr="007B65AF">
        <w:rPr>
          <w:szCs w:val="24"/>
          <w:lang w:val="en-GB"/>
        </w:rPr>
        <w:t>These costs can be significant, especially in volatile markets, and hedging does not completely eliminate FX risk but rather transfers or defers it</w:t>
      </w:r>
      <w:r w:rsidR="00E6072F" w:rsidRPr="007B65AF">
        <w:rPr>
          <w:szCs w:val="24"/>
          <w:lang w:val="en-GB"/>
        </w:rPr>
        <w:t xml:space="preserve"> (CFI, 2022)</w:t>
      </w:r>
      <w:r w:rsidRPr="007B65AF">
        <w:rPr>
          <w:szCs w:val="24"/>
          <w:lang w:val="en-GB"/>
        </w:rPr>
        <w:t>. Moreover, the success of hedging strategies hinges on accurate market predictions, which can be challenging.</w:t>
      </w:r>
    </w:p>
    <w:p w14:paraId="0000003D" w14:textId="77777777" w:rsidR="00E32475" w:rsidRPr="007B65AF" w:rsidRDefault="00011C6B">
      <w:pPr>
        <w:pStyle w:val="Heading2"/>
        <w:rPr>
          <w:b w:val="0"/>
          <w:szCs w:val="26"/>
          <w:lang w:val="en-GB"/>
        </w:rPr>
      </w:pPr>
      <w:bookmarkStart w:id="11" w:name="_Toc150637275"/>
      <w:r w:rsidRPr="007B65AF">
        <w:rPr>
          <w:szCs w:val="26"/>
          <w:lang w:val="en-GB"/>
        </w:rPr>
        <w:t>Diversification</w:t>
      </w:r>
      <w:bookmarkEnd w:id="11"/>
    </w:p>
    <w:p w14:paraId="0000003E" w14:textId="03953A36" w:rsidR="00E32475" w:rsidRPr="007B65AF" w:rsidRDefault="00011C6B">
      <w:pPr>
        <w:rPr>
          <w:szCs w:val="24"/>
          <w:lang w:val="en-GB"/>
        </w:rPr>
      </w:pPr>
      <w:r w:rsidRPr="007B65AF">
        <w:rPr>
          <w:szCs w:val="24"/>
          <w:lang w:val="en-GB"/>
        </w:rPr>
        <w:t>Diversification, another key strategy, entails spreading investments and operational activities across various geographical locations and currencies</w:t>
      </w:r>
      <w:r w:rsidR="009B0DB3" w:rsidRPr="007B65AF">
        <w:rPr>
          <w:szCs w:val="24"/>
          <w:lang w:val="en-GB"/>
        </w:rPr>
        <w:t xml:space="preserve"> (</w:t>
      </w:r>
      <w:proofErr w:type="spellStart"/>
      <w:r w:rsidR="009B0DB3" w:rsidRPr="007B65AF">
        <w:rPr>
          <w:szCs w:val="24"/>
          <w:lang w:val="en-GB"/>
        </w:rPr>
        <w:t>Lioudis</w:t>
      </w:r>
      <w:proofErr w:type="spellEnd"/>
      <w:r w:rsidR="009B0DB3" w:rsidRPr="007B65AF">
        <w:rPr>
          <w:szCs w:val="24"/>
          <w:lang w:val="en-GB"/>
        </w:rPr>
        <w:t>, 2020)</w:t>
      </w:r>
      <w:r w:rsidRPr="007B65AF">
        <w:rPr>
          <w:szCs w:val="24"/>
          <w:lang w:val="en-GB"/>
        </w:rPr>
        <w:t>. This approach reduces dependence on any single currency, potentially offsetting losses in one region with gains in anothe</w:t>
      </w:r>
      <w:r w:rsidR="00E6072F" w:rsidRPr="007B65AF">
        <w:rPr>
          <w:szCs w:val="24"/>
          <w:lang w:val="en-GB"/>
        </w:rPr>
        <w:t>r (</w:t>
      </w:r>
      <w:proofErr w:type="spellStart"/>
      <w:r w:rsidR="00E6072F" w:rsidRPr="007B65AF">
        <w:rPr>
          <w:szCs w:val="24"/>
          <w:lang w:val="en-GB"/>
        </w:rPr>
        <w:t>Brouthers</w:t>
      </w:r>
      <w:proofErr w:type="spellEnd"/>
      <w:r w:rsidR="00E6072F" w:rsidRPr="007B65AF">
        <w:rPr>
          <w:szCs w:val="24"/>
          <w:lang w:val="en-GB"/>
        </w:rPr>
        <w:t>, 2021)</w:t>
      </w:r>
      <w:r w:rsidR="00ED36ED" w:rsidRPr="007B65AF">
        <w:rPr>
          <w:szCs w:val="24"/>
          <w:lang w:val="en-GB"/>
        </w:rPr>
        <w:t xml:space="preserve">. </w:t>
      </w:r>
      <w:r w:rsidRPr="007B65AF">
        <w:rPr>
          <w:szCs w:val="24"/>
          <w:lang w:val="en-GB"/>
        </w:rPr>
        <w:t xml:space="preserve">Empirical evidence suggests that diversification can stabilize revenues across varying market conditions, as </w:t>
      </w:r>
      <w:r w:rsidRPr="007B65AF">
        <w:rPr>
          <w:szCs w:val="24"/>
          <w:lang w:val="en-GB"/>
        </w:rPr>
        <w:lastRenderedPageBreak/>
        <w:t xml:space="preserve">observed in multinational companies like Nestlé and </w:t>
      </w:r>
      <w:r w:rsidR="00780867" w:rsidRPr="007B65AF">
        <w:rPr>
          <w:szCs w:val="24"/>
          <w:lang w:val="en-GB"/>
        </w:rPr>
        <w:t>Unilever (</w:t>
      </w:r>
      <w:r w:rsidR="00E6072F" w:rsidRPr="007B65AF">
        <w:rPr>
          <w:szCs w:val="24"/>
          <w:lang w:val="en-GB"/>
        </w:rPr>
        <w:t>Publishing, 2021)</w:t>
      </w:r>
      <w:r w:rsidRPr="007B65AF">
        <w:rPr>
          <w:szCs w:val="24"/>
          <w:lang w:val="en-GB"/>
        </w:rPr>
        <w:t>. However, diversification may lead to a dilution of focus and efficiency, as managing operations across diverse markets requires more resources and may introduce complexity into the organizational structure.</w:t>
      </w:r>
    </w:p>
    <w:p w14:paraId="0000003F" w14:textId="77777777" w:rsidR="00E32475" w:rsidRPr="007B65AF" w:rsidRDefault="00011C6B">
      <w:pPr>
        <w:pStyle w:val="Heading2"/>
        <w:rPr>
          <w:b w:val="0"/>
          <w:szCs w:val="26"/>
          <w:lang w:val="en-GB"/>
        </w:rPr>
      </w:pPr>
      <w:bookmarkStart w:id="12" w:name="_Toc150637276"/>
      <w:r w:rsidRPr="007B65AF">
        <w:rPr>
          <w:szCs w:val="26"/>
          <w:lang w:val="en-GB"/>
        </w:rPr>
        <w:t>Currency Clauses</w:t>
      </w:r>
      <w:bookmarkEnd w:id="12"/>
    </w:p>
    <w:p w14:paraId="00000040" w14:textId="421E4767" w:rsidR="00E32475" w:rsidRPr="007B65AF" w:rsidRDefault="00011C6B">
      <w:pPr>
        <w:rPr>
          <w:szCs w:val="24"/>
          <w:lang w:val="en-GB"/>
        </w:rPr>
      </w:pPr>
      <w:r w:rsidRPr="007B65AF">
        <w:rPr>
          <w:szCs w:val="24"/>
          <w:lang w:val="en-GB"/>
        </w:rPr>
        <w:t>Incorporating currency clauses in international contracts is a direct approach to managing FX risk</w:t>
      </w:r>
      <w:r w:rsidR="00E6072F" w:rsidRPr="007B65AF">
        <w:rPr>
          <w:szCs w:val="24"/>
          <w:lang w:val="en-GB"/>
        </w:rPr>
        <w:t xml:space="preserve"> (Marshall, 2000)</w:t>
      </w:r>
      <w:r w:rsidR="00ED36ED" w:rsidRPr="007B65AF">
        <w:rPr>
          <w:szCs w:val="24"/>
          <w:lang w:val="en-GB"/>
        </w:rPr>
        <w:t xml:space="preserve">. </w:t>
      </w:r>
      <w:r w:rsidRPr="007B65AF">
        <w:rPr>
          <w:szCs w:val="24"/>
          <w:lang w:val="en-GB"/>
        </w:rPr>
        <w:t>These clauses specify the currency of transactions, shifting the risk to one or more of the involved parties. While this can be effective in mitigating an organization's exposure to FX risk, it can strain business relationships, particularly if it places a disproportionate burden on counterparties</w:t>
      </w:r>
      <w:r w:rsidR="00E6072F" w:rsidRPr="007B65AF">
        <w:rPr>
          <w:szCs w:val="24"/>
          <w:lang w:val="en-GB"/>
        </w:rPr>
        <w:t xml:space="preserve"> (</w:t>
      </w:r>
      <w:proofErr w:type="spellStart"/>
      <w:r w:rsidR="00E6072F" w:rsidRPr="007B65AF">
        <w:rPr>
          <w:szCs w:val="24"/>
          <w:lang w:val="en-GB"/>
        </w:rPr>
        <w:t>Arize</w:t>
      </w:r>
      <w:proofErr w:type="spellEnd"/>
      <w:r w:rsidR="00E6072F" w:rsidRPr="007B65AF">
        <w:rPr>
          <w:szCs w:val="24"/>
          <w:lang w:val="en-GB"/>
        </w:rPr>
        <w:t xml:space="preserve"> et al., 2018)</w:t>
      </w:r>
      <w:r w:rsidRPr="007B65AF">
        <w:rPr>
          <w:szCs w:val="24"/>
          <w:lang w:val="en-GB"/>
        </w:rPr>
        <w:t>. The negotiation and enforcement of such clauses require delicate balancing to maintain commercial viability and partnerships.</w:t>
      </w:r>
    </w:p>
    <w:p w14:paraId="00000041" w14:textId="77777777" w:rsidR="00E32475" w:rsidRPr="007B65AF" w:rsidRDefault="00011C6B">
      <w:pPr>
        <w:pStyle w:val="Heading2"/>
        <w:rPr>
          <w:b w:val="0"/>
          <w:szCs w:val="26"/>
          <w:lang w:val="en-GB"/>
        </w:rPr>
      </w:pPr>
      <w:bookmarkStart w:id="13" w:name="_Toc150637277"/>
      <w:r w:rsidRPr="007B65AF">
        <w:rPr>
          <w:szCs w:val="26"/>
          <w:lang w:val="en-GB"/>
        </w:rPr>
        <w:t>Balance Sheet Hedging</w:t>
      </w:r>
      <w:bookmarkEnd w:id="13"/>
    </w:p>
    <w:p w14:paraId="00000042" w14:textId="11D3A4C2" w:rsidR="00E32475" w:rsidRPr="007B65AF" w:rsidRDefault="00011C6B">
      <w:pPr>
        <w:rPr>
          <w:szCs w:val="24"/>
          <w:lang w:val="en-GB"/>
        </w:rPr>
      </w:pPr>
      <w:r w:rsidRPr="007B65AF">
        <w:rPr>
          <w:szCs w:val="24"/>
          <w:lang w:val="en-GB"/>
        </w:rPr>
        <w:t>Balance sheet hedging focuses on aligning the currency denomination of assets and liabilities. This strategy is effective in reducing net exposure to currency fluctuations but demands accurate forecasting and diligent management of the company's financial position</w:t>
      </w:r>
      <w:r w:rsidR="00E6072F" w:rsidRPr="007B65AF">
        <w:rPr>
          <w:szCs w:val="24"/>
          <w:lang w:val="en-GB"/>
        </w:rPr>
        <w:t xml:space="preserve"> (Bank of England, 2022)</w:t>
      </w:r>
      <w:r w:rsidRPr="007B65AF">
        <w:rPr>
          <w:szCs w:val="24"/>
          <w:lang w:val="en-GB"/>
        </w:rPr>
        <w:t>. It is especially relevant for firms with significant foreign operations, as it can mitigate the impact of currency movements on consolidated financial statements.</w:t>
      </w:r>
    </w:p>
    <w:p w14:paraId="00000043" w14:textId="77777777" w:rsidR="00E32475" w:rsidRPr="007B65AF" w:rsidRDefault="00011C6B">
      <w:pPr>
        <w:pStyle w:val="Heading2"/>
        <w:rPr>
          <w:b w:val="0"/>
          <w:szCs w:val="26"/>
          <w:lang w:val="en-GB"/>
        </w:rPr>
      </w:pPr>
      <w:bookmarkStart w:id="14" w:name="_Toc150637278"/>
      <w:r w:rsidRPr="007B65AF">
        <w:rPr>
          <w:szCs w:val="26"/>
          <w:lang w:val="en-GB"/>
        </w:rPr>
        <w:t>Operational Strategies</w:t>
      </w:r>
      <w:bookmarkEnd w:id="14"/>
    </w:p>
    <w:p w14:paraId="00000044" w14:textId="553FF694" w:rsidR="00E32475" w:rsidRPr="007B65AF" w:rsidRDefault="00011C6B">
      <w:pPr>
        <w:rPr>
          <w:szCs w:val="24"/>
          <w:lang w:val="en-GB"/>
        </w:rPr>
      </w:pPr>
      <w:r w:rsidRPr="007B65AF">
        <w:rPr>
          <w:szCs w:val="24"/>
          <w:lang w:val="en-GB"/>
        </w:rPr>
        <w:t>Operational strategies in foreign exchange risk management encompass pivotal long-term decisions, particularly regarding the placement of production units and sourcing approaches</w:t>
      </w:r>
      <w:r w:rsidR="00E6072F" w:rsidRPr="007B65AF">
        <w:rPr>
          <w:szCs w:val="24"/>
          <w:lang w:val="en-GB"/>
        </w:rPr>
        <w:t xml:space="preserve"> (Chen, 2022)</w:t>
      </w:r>
      <w:r w:rsidRPr="007B65AF">
        <w:rPr>
          <w:szCs w:val="24"/>
          <w:lang w:val="en-GB"/>
        </w:rPr>
        <w:t>. These strategies are aimed at naturally hedging against FX risk by aligning operational activities with currency exposures</w:t>
      </w:r>
      <w:r w:rsidR="00ED36ED" w:rsidRPr="007B65AF">
        <w:rPr>
          <w:szCs w:val="24"/>
          <w:lang w:val="en-GB"/>
        </w:rPr>
        <w:t xml:space="preserve">. </w:t>
      </w:r>
      <w:r w:rsidRPr="007B65AF">
        <w:rPr>
          <w:szCs w:val="24"/>
          <w:lang w:val="en-GB"/>
        </w:rPr>
        <w:t>For instance, situating a manufacturing facility in a market where sales revenues are generated can effectively balance currency inflows and outflows. Similarly, sourcing materials from a region that matches the currency of sales can mitigate FX risk</w:t>
      </w:r>
      <w:r w:rsidR="00E6072F" w:rsidRPr="007B65AF">
        <w:rPr>
          <w:szCs w:val="24"/>
          <w:lang w:val="en-GB"/>
        </w:rPr>
        <w:t xml:space="preserve"> (Madura, 2018)</w:t>
      </w:r>
      <w:r w:rsidRPr="007B65AF">
        <w:rPr>
          <w:szCs w:val="24"/>
          <w:lang w:val="en-GB"/>
        </w:rPr>
        <w:t>. While these methods can be highly effective in reducing currency risk, they typically involve considerable investment and may require significant alterations to a company's existing business model and operational methodologies</w:t>
      </w:r>
      <w:r w:rsidR="009B0DB3" w:rsidRPr="007B65AF">
        <w:rPr>
          <w:szCs w:val="24"/>
          <w:lang w:val="en-GB"/>
        </w:rPr>
        <w:t xml:space="preserve"> (Chartered Institute </w:t>
      </w:r>
      <w:proofErr w:type="gramStart"/>
      <w:r w:rsidR="009B0DB3" w:rsidRPr="007B65AF">
        <w:rPr>
          <w:szCs w:val="24"/>
          <w:lang w:val="en-GB"/>
        </w:rPr>
        <w:t>Of</w:t>
      </w:r>
      <w:proofErr w:type="gramEnd"/>
      <w:r w:rsidR="009B0DB3" w:rsidRPr="007B65AF">
        <w:rPr>
          <w:szCs w:val="24"/>
          <w:lang w:val="en-GB"/>
        </w:rPr>
        <w:t xml:space="preserve"> Management Accountants, 2018)</w:t>
      </w:r>
      <w:r w:rsidRPr="007B65AF">
        <w:rPr>
          <w:szCs w:val="24"/>
          <w:lang w:val="en-GB"/>
        </w:rPr>
        <w:t xml:space="preserve">. Such strategies demand a </w:t>
      </w:r>
      <w:r w:rsidRPr="007B65AF">
        <w:rPr>
          <w:szCs w:val="24"/>
          <w:lang w:val="en-GB"/>
        </w:rPr>
        <w:lastRenderedPageBreak/>
        <w:t>thorough analysis of potential benefits against the costs and implications of implementing major operational changes.</w:t>
      </w:r>
    </w:p>
    <w:p w14:paraId="00000045" w14:textId="77777777" w:rsidR="00E32475" w:rsidRPr="007B65AF" w:rsidRDefault="00011C6B">
      <w:pPr>
        <w:pStyle w:val="Heading2"/>
        <w:rPr>
          <w:b w:val="0"/>
          <w:szCs w:val="26"/>
          <w:lang w:val="en-GB"/>
        </w:rPr>
      </w:pPr>
      <w:bookmarkStart w:id="15" w:name="_Toc150637279"/>
      <w:r w:rsidRPr="007B65AF">
        <w:rPr>
          <w:szCs w:val="26"/>
          <w:lang w:val="en-GB"/>
        </w:rPr>
        <w:t>Empirical Evidence</w:t>
      </w:r>
      <w:bookmarkEnd w:id="15"/>
    </w:p>
    <w:p w14:paraId="00000046" w14:textId="4C710CCC" w:rsidR="00E32475" w:rsidRPr="007B65AF" w:rsidRDefault="00011C6B">
      <w:pPr>
        <w:rPr>
          <w:szCs w:val="24"/>
          <w:lang w:val="en-GB"/>
        </w:rPr>
      </w:pPr>
      <w:r w:rsidRPr="007B65AF">
        <w:rPr>
          <w:szCs w:val="24"/>
          <w:lang w:val="en-GB"/>
        </w:rPr>
        <w:t xml:space="preserve">Empirical studies underscore the varying degrees of effectiveness of these strategies. Research by Smith and </w:t>
      </w:r>
      <w:proofErr w:type="spellStart"/>
      <w:r w:rsidRPr="007B65AF">
        <w:rPr>
          <w:szCs w:val="24"/>
          <w:lang w:val="en-GB"/>
        </w:rPr>
        <w:t>Stulz</w:t>
      </w:r>
      <w:proofErr w:type="spellEnd"/>
      <w:r w:rsidRPr="007B65AF">
        <w:rPr>
          <w:szCs w:val="24"/>
          <w:lang w:val="en-GB"/>
        </w:rPr>
        <w:t xml:space="preserve"> (1985) indicates that hedging can enhance firm value by reducing cash flow volatility. Large MNCs' operations are a living testament to the power of diversification in ensuring consistent profits regardless of fluctuations in the market</w:t>
      </w:r>
      <w:r w:rsidR="00E6072F" w:rsidRPr="007B65AF">
        <w:rPr>
          <w:szCs w:val="24"/>
          <w:lang w:val="en-GB"/>
        </w:rPr>
        <w:t xml:space="preserve"> (</w:t>
      </w:r>
      <w:proofErr w:type="spellStart"/>
      <w:r w:rsidR="00E6072F" w:rsidRPr="007B65AF">
        <w:rPr>
          <w:szCs w:val="24"/>
          <w:lang w:val="en-GB"/>
        </w:rPr>
        <w:t>Shamah</w:t>
      </w:r>
      <w:proofErr w:type="spellEnd"/>
      <w:r w:rsidR="00E6072F" w:rsidRPr="007B65AF">
        <w:rPr>
          <w:szCs w:val="24"/>
          <w:lang w:val="en-GB"/>
        </w:rPr>
        <w:t>, 2018)</w:t>
      </w:r>
      <w:r w:rsidRPr="007B65AF">
        <w:rPr>
          <w:szCs w:val="24"/>
          <w:lang w:val="en-GB"/>
        </w:rPr>
        <w:t xml:space="preserve">. The size of the company, the nature of the industry it operates in, and how globally it competes are all factors that affect how effective each strategy is. While no one strategy will work for every MNC, the right mix of those that are both specific to the company and flexible enough to adapt to shifting market conditions is essential for effective risk </w:t>
      </w:r>
      <w:r w:rsidR="00FD3E7F" w:rsidRPr="007B65AF">
        <w:rPr>
          <w:szCs w:val="24"/>
          <w:lang w:val="en-GB"/>
        </w:rPr>
        <w:t>management.</w:t>
      </w:r>
    </w:p>
    <w:p w14:paraId="00000047" w14:textId="77777777" w:rsidR="00E32475" w:rsidRPr="007B65AF" w:rsidRDefault="00011C6B">
      <w:pPr>
        <w:pStyle w:val="Heading1"/>
        <w:rPr>
          <w:sz w:val="24"/>
          <w:szCs w:val="24"/>
          <w:lang w:val="en-GB"/>
        </w:rPr>
      </w:pPr>
      <w:bookmarkStart w:id="16" w:name="_Toc150637280"/>
      <w:r w:rsidRPr="007B65AF">
        <w:rPr>
          <w:szCs w:val="28"/>
          <w:lang w:val="en-GB"/>
        </w:rPr>
        <w:t>Conclusion</w:t>
      </w:r>
      <w:bookmarkEnd w:id="16"/>
    </w:p>
    <w:p w14:paraId="00000048" w14:textId="4CB93DDE" w:rsidR="00E32475" w:rsidRPr="007B65AF" w:rsidRDefault="00011C6B">
      <w:pPr>
        <w:rPr>
          <w:szCs w:val="24"/>
          <w:lang w:val="en-GB"/>
        </w:rPr>
      </w:pPr>
      <w:r w:rsidRPr="007B65AF">
        <w:rPr>
          <w:szCs w:val="24"/>
          <w:lang w:val="en-GB"/>
        </w:rPr>
        <w:t>Although there is no failsafe method for mitigating currency risk, many options are available to multinational corporations. The company's risk tolerance, the scope of its operations, and the nature of the exposure should all be taken into account before settling on a solution</w:t>
      </w:r>
      <w:r w:rsidR="00E6072F" w:rsidRPr="007B65AF">
        <w:rPr>
          <w:szCs w:val="24"/>
          <w:lang w:val="en-GB"/>
        </w:rPr>
        <w:t xml:space="preserve">. </w:t>
      </w:r>
      <w:r w:rsidRPr="007B65AF">
        <w:rPr>
          <w:szCs w:val="24"/>
          <w:lang w:val="en-GB"/>
        </w:rPr>
        <w:t>Having a solid understanding of international financial management theories underpinning a proactive and dynamic approach to FX risk management is essential for MNCs if they want to succeed in the global market. Research and development in this area are necessary to keep up with the ever-changing dynamics of global finance.</w:t>
      </w:r>
    </w:p>
    <w:p w14:paraId="00000049" w14:textId="77777777" w:rsidR="00E32475" w:rsidRPr="007B65AF" w:rsidRDefault="00011C6B">
      <w:pPr>
        <w:pStyle w:val="Heading1"/>
        <w:rPr>
          <w:b w:val="0"/>
          <w:szCs w:val="28"/>
          <w:lang w:val="en-GB"/>
        </w:rPr>
      </w:pPr>
      <w:bookmarkStart w:id="17" w:name="_r9gbsbczr39u" w:colFirst="0" w:colLast="0"/>
      <w:bookmarkEnd w:id="17"/>
      <w:r w:rsidRPr="007B65AF">
        <w:rPr>
          <w:lang w:val="en-GB"/>
        </w:rPr>
        <w:br w:type="page"/>
      </w:r>
    </w:p>
    <w:p w14:paraId="0000004A" w14:textId="77777777" w:rsidR="00E32475" w:rsidRPr="007B65AF" w:rsidRDefault="00011C6B">
      <w:pPr>
        <w:pStyle w:val="Heading1"/>
        <w:rPr>
          <w:b w:val="0"/>
          <w:szCs w:val="28"/>
          <w:lang w:val="en-GB"/>
        </w:rPr>
      </w:pPr>
      <w:bookmarkStart w:id="18" w:name="_Toc150637281"/>
      <w:r w:rsidRPr="007B65AF">
        <w:rPr>
          <w:szCs w:val="28"/>
          <w:lang w:val="en-GB"/>
        </w:rPr>
        <w:lastRenderedPageBreak/>
        <w:t>References</w:t>
      </w:r>
      <w:bookmarkEnd w:id="18"/>
    </w:p>
    <w:p w14:paraId="0C68B1DA" w14:textId="3A8AF011" w:rsidR="00897956" w:rsidRPr="007B65AF" w:rsidRDefault="00897956" w:rsidP="00C47DD8">
      <w:pPr>
        <w:ind w:left="720" w:hanging="720"/>
        <w:rPr>
          <w:lang w:val="en-GB"/>
        </w:rPr>
      </w:pPr>
      <w:proofErr w:type="spellStart"/>
      <w:r w:rsidRPr="007B65AF">
        <w:rPr>
          <w:lang w:val="en-GB"/>
        </w:rPr>
        <w:t>Arize</w:t>
      </w:r>
      <w:proofErr w:type="spellEnd"/>
      <w:r w:rsidRPr="007B65AF">
        <w:rPr>
          <w:lang w:val="en-GB"/>
        </w:rPr>
        <w:t xml:space="preserve">, A.C., </w:t>
      </w:r>
      <w:proofErr w:type="spellStart"/>
      <w:r w:rsidRPr="007B65AF">
        <w:rPr>
          <w:lang w:val="en-GB"/>
        </w:rPr>
        <w:t>Andreopoulos</w:t>
      </w:r>
      <w:proofErr w:type="spellEnd"/>
      <w:r w:rsidRPr="007B65AF">
        <w:rPr>
          <w:lang w:val="en-GB"/>
        </w:rPr>
        <w:t xml:space="preserve">, G.C., </w:t>
      </w:r>
      <w:proofErr w:type="spellStart"/>
      <w:r w:rsidRPr="007B65AF">
        <w:rPr>
          <w:lang w:val="en-GB"/>
        </w:rPr>
        <w:t>Kallianiotis</w:t>
      </w:r>
      <w:proofErr w:type="spellEnd"/>
      <w:r w:rsidRPr="007B65AF">
        <w:rPr>
          <w:lang w:val="en-GB"/>
        </w:rPr>
        <w:t xml:space="preserve">, I.N. and </w:t>
      </w:r>
      <w:proofErr w:type="spellStart"/>
      <w:r w:rsidRPr="007B65AF">
        <w:rPr>
          <w:lang w:val="en-GB"/>
        </w:rPr>
        <w:t>Malindretos</w:t>
      </w:r>
      <w:proofErr w:type="spellEnd"/>
      <w:r w:rsidRPr="007B65AF">
        <w:rPr>
          <w:lang w:val="en-GB"/>
        </w:rPr>
        <w:t xml:space="preserve">, J. (2018). MNC Transactions Foreign Exchange Exposure: An Application. International Journal of Economics &amp; Business Administration (IJEBA), [online] </w:t>
      </w:r>
      <w:proofErr w:type="gramStart"/>
      <w:r w:rsidRPr="007B65AF">
        <w:rPr>
          <w:lang w:val="en-GB"/>
        </w:rPr>
        <w:t>VI(</w:t>
      </w:r>
      <w:proofErr w:type="gramEnd"/>
      <w:r w:rsidRPr="007B65AF">
        <w:rPr>
          <w:lang w:val="en-GB"/>
        </w:rPr>
        <w:t>1), pp.54–60. Available at: https://ideas.repec.org/a/ers/ijebaa/vviy2018i1p54-60.html [Accessed 11 Nov. 2023].</w:t>
      </w:r>
    </w:p>
    <w:p w14:paraId="50921ED8" w14:textId="2AF956FD" w:rsidR="00897956" w:rsidRPr="007B65AF" w:rsidRDefault="00897956" w:rsidP="00C47DD8">
      <w:pPr>
        <w:ind w:left="720" w:hanging="720"/>
        <w:rPr>
          <w:lang w:val="en-GB"/>
        </w:rPr>
      </w:pPr>
      <w:r w:rsidRPr="007B65AF">
        <w:rPr>
          <w:lang w:val="en-GB"/>
        </w:rPr>
        <w:t>BBC (2022). Pound Sterling (GBP) Latest Exchange Rate &amp; News. [online] BBC News. Available at: https://www.bbc.com/news/topics/cx250jmk4e7t.</w:t>
      </w:r>
    </w:p>
    <w:p w14:paraId="3484DC15" w14:textId="7DA12AF1" w:rsidR="00897956" w:rsidRPr="007B65AF" w:rsidRDefault="00897956" w:rsidP="00C47DD8">
      <w:pPr>
        <w:ind w:left="720" w:hanging="720"/>
        <w:rPr>
          <w:lang w:val="en-GB"/>
        </w:rPr>
      </w:pPr>
      <w:proofErr w:type="spellStart"/>
      <w:r w:rsidRPr="007B65AF">
        <w:rPr>
          <w:lang w:val="en-GB"/>
        </w:rPr>
        <w:t>Brouthers</w:t>
      </w:r>
      <w:proofErr w:type="spellEnd"/>
      <w:r w:rsidRPr="007B65AF">
        <w:rPr>
          <w:lang w:val="en-GB"/>
        </w:rPr>
        <w:t>, L.E. (2021). Explaining MNC Profitability: Country-Specific, Industry-Specific and Country-Industry Interactive Influences. MIR: Management International Review, [online] 38(4), pp.345–361. Available at: https://www.jstor.org/stable/40228467 [Accessed 11 Nov. 2023].</w:t>
      </w:r>
    </w:p>
    <w:p w14:paraId="42ED55A6" w14:textId="5261665F" w:rsidR="00897956" w:rsidRPr="007B65AF" w:rsidRDefault="00897956" w:rsidP="00C47DD8">
      <w:pPr>
        <w:ind w:left="720" w:hanging="720"/>
        <w:rPr>
          <w:lang w:val="en-GB"/>
        </w:rPr>
      </w:pPr>
      <w:r w:rsidRPr="007B65AF">
        <w:rPr>
          <w:lang w:val="en-GB"/>
        </w:rPr>
        <w:t>CFI (2022). Foreign Exchange. [online] Corporate Finance Institute. Available at: https://corporatefinanceinstitute.com/resources/foreign-exchange/foreign-exchange/.</w:t>
      </w:r>
    </w:p>
    <w:p w14:paraId="4292540F" w14:textId="3581CB60" w:rsidR="00897956" w:rsidRPr="007B65AF" w:rsidRDefault="00897956" w:rsidP="00C47DD8">
      <w:pPr>
        <w:ind w:left="720" w:hanging="720"/>
        <w:rPr>
          <w:lang w:val="en-GB"/>
        </w:rPr>
      </w:pPr>
      <w:r w:rsidRPr="007B65AF">
        <w:rPr>
          <w:lang w:val="en-GB"/>
        </w:rPr>
        <w:t xml:space="preserve">Chartered Institute </w:t>
      </w:r>
      <w:r w:rsidR="00C47DD8" w:rsidRPr="007B65AF">
        <w:rPr>
          <w:lang w:val="en-GB"/>
        </w:rPr>
        <w:t>of</w:t>
      </w:r>
      <w:r w:rsidRPr="007B65AF">
        <w:rPr>
          <w:lang w:val="en-GB"/>
        </w:rPr>
        <w:t xml:space="preserve"> Management Accountants (2018). Financial management. London: </w:t>
      </w:r>
      <w:proofErr w:type="spellStart"/>
      <w:r w:rsidRPr="007B65AF">
        <w:rPr>
          <w:lang w:val="en-GB"/>
        </w:rPr>
        <w:t>Bpp</w:t>
      </w:r>
      <w:proofErr w:type="spellEnd"/>
      <w:r w:rsidRPr="007B65AF">
        <w:rPr>
          <w:lang w:val="en-GB"/>
        </w:rPr>
        <w:t xml:space="preserve"> Learning Media.</w:t>
      </w:r>
    </w:p>
    <w:p w14:paraId="263D710A" w14:textId="2D792843" w:rsidR="00897956" w:rsidRPr="007B65AF" w:rsidRDefault="00897956" w:rsidP="00C47DD8">
      <w:pPr>
        <w:ind w:left="720" w:hanging="720"/>
        <w:rPr>
          <w:lang w:val="en-GB"/>
        </w:rPr>
      </w:pPr>
      <w:r w:rsidRPr="007B65AF">
        <w:rPr>
          <w:lang w:val="en-GB"/>
        </w:rPr>
        <w:t>Chen, J. (2022). Multinational Corporation (MNC). [online] Investopedia. Available at: https://www.investopedia.com/terms/m/multinationalcorporation.asp.</w:t>
      </w:r>
    </w:p>
    <w:p w14:paraId="3FAC75DC" w14:textId="534587D7" w:rsidR="00897956" w:rsidRPr="007B65AF" w:rsidRDefault="00897956" w:rsidP="00C47DD8">
      <w:pPr>
        <w:ind w:left="720" w:hanging="720"/>
        <w:rPr>
          <w:lang w:val="en-GB"/>
        </w:rPr>
      </w:pPr>
      <w:r w:rsidRPr="007B65AF">
        <w:rPr>
          <w:lang w:val="en-GB"/>
        </w:rPr>
        <w:t>England, B. of (2022). The foreign exchange and over-the-counter interest rate derivatives market in the United Kingdom. [online] www.bankofengland.co.uk. Available at: https://www.bankofengland.co.uk/quarterly-bulletin/2019/2019-q4/the-foreign-exchange-and-over-the-counter-interest-rate-derivatives-market-in-the-uk.</w:t>
      </w:r>
    </w:p>
    <w:p w14:paraId="63C8F292" w14:textId="610D38B6" w:rsidR="00897956" w:rsidRPr="007B65AF" w:rsidRDefault="00897956" w:rsidP="00C47DD8">
      <w:pPr>
        <w:ind w:left="720" w:hanging="720"/>
        <w:rPr>
          <w:lang w:val="en-GB"/>
        </w:rPr>
      </w:pPr>
      <w:proofErr w:type="spellStart"/>
      <w:r w:rsidRPr="007B65AF">
        <w:rPr>
          <w:lang w:val="en-GB"/>
        </w:rPr>
        <w:t>Lioudis</w:t>
      </w:r>
      <w:proofErr w:type="spellEnd"/>
      <w:r w:rsidRPr="007B65AF">
        <w:rPr>
          <w:lang w:val="en-GB"/>
        </w:rPr>
        <w:t>, N. (2020). What Is Foreign Exchange? [online] Investopedia. Available at: https://www.investopedia.com/ask/answers/08/what-is-foreign-exchange.asp.</w:t>
      </w:r>
    </w:p>
    <w:p w14:paraId="6202E473" w14:textId="16D76A14" w:rsidR="00897956" w:rsidRPr="007B65AF" w:rsidRDefault="00897956" w:rsidP="00C47DD8">
      <w:pPr>
        <w:ind w:left="720" w:hanging="720"/>
        <w:rPr>
          <w:lang w:val="en-GB"/>
        </w:rPr>
      </w:pPr>
      <w:r w:rsidRPr="007B65AF">
        <w:rPr>
          <w:lang w:val="en-GB"/>
        </w:rPr>
        <w:t>Madura, J. (2018). International financial management. South Melbourne, Australia: Cengage Learning Australia.</w:t>
      </w:r>
    </w:p>
    <w:p w14:paraId="2041B321" w14:textId="50A64CA6" w:rsidR="00897956" w:rsidRPr="007B65AF" w:rsidRDefault="00897956" w:rsidP="00C47DD8">
      <w:pPr>
        <w:ind w:left="720" w:hanging="720"/>
        <w:rPr>
          <w:lang w:val="en-GB"/>
        </w:rPr>
      </w:pPr>
      <w:r w:rsidRPr="007B65AF">
        <w:rPr>
          <w:lang w:val="en-GB"/>
        </w:rPr>
        <w:t xml:space="preserve">Marshall, A.P. (2000). </w:t>
      </w:r>
      <w:proofErr w:type="gramStart"/>
      <w:r w:rsidRPr="007B65AF">
        <w:rPr>
          <w:lang w:val="en-GB"/>
        </w:rPr>
        <w:t>Foreign exchange risk management in UK, USA and Asia Pacific multinational companies.</w:t>
      </w:r>
      <w:proofErr w:type="gramEnd"/>
      <w:r w:rsidRPr="007B65AF">
        <w:rPr>
          <w:lang w:val="en-GB"/>
        </w:rPr>
        <w:t xml:space="preserve"> Journal of Multinational Financial </w:t>
      </w:r>
      <w:r w:rsidRPr="007B65AF">
        <w:rPr>
          <w:lang w:val="en-GB"/>
        </w:rPr>
        <w:lastRenderedPageBreak/>
        <w:t xml:space="preserve">Management, 10(2), pp.185–211. </w:t>
      </w:r>
      <w:proofErr w:type="spellStart"/>
      <w:r w:rsidRPr="007B65AF">
        <w:rPr>
          <w:lang w:val="en-GB"/>
        </w:rPr>
        <w:t>doi:https</w:t>
      </w:r>
      <w:proofErr w:type="spellEnd"/>
      <w:r w:rsidRPr="007B65AF">
        <w:rPr>
          <w:lang w:val="en-GB"/>
        </w:rPr>
        <w:t>://doi.org/10.1016/s1042-</w:t>
      </w:r>
      <w:proofErr w:type="gramStart"/>
      <w:r w:rsidRPr="007B65AF">
        <w:rPr>
          <w:lang w:val="en-GB"/>
        </w:rPr>
        <w:t>444x(</w:t>
      </w:r>
      <w:proofErr w:type="gramEnd"/>
      <w:r w:rsidRPr="007B65AF">
        <w:rPr>
          <w:lang w:val="en-GB"/>
        </w:rPr>
        <w:t>99)00026-2.</w:t>
      </w:r>
    </w:p>
    <w:p w14:paraId="7606463F" w14:textId="4B56812C" w:rsidR="00897956" w:rsidRPr="007B65AF" w:rsidRDefault="00897956" w:rsidP="00C47DD8">
      <w:pPr>
        <w:ind w:left="720" w:hanging="720"/>
        <w:rPr>
          <w:lang w:val="en-GB"/>
        </w:rPr>
      </w:pPr>
      <w:r w:rsidRPr="007B65AF">
        <w:rPr>
          <w:lang w:val="en-GB"/>
        </w:rPr>
        <w:t>Publishing, H. (2021). Do Exchange Rates Affect the Profitability of Multinational Companies? Evidence from China and the USA-Journal of Humanities, Arts and Social Science-Hill Publishing Group. [online] wap.hillpublisher.com. Available at: https://wap.hillpublisher.com/ArticleDetails.aspx?cid=504 [Accessed 11 Nov. 2023].</w:t>
      </w:r>
    </w:p>
    <w:p w14:paraId="00000057" w14:textId="69C1D007" w:rsidR="00E32475" w:rsidRPr="007B65AF" w:rsidRDefault="00897956" w:rsidP="00C47DD8">
      <w:pPr>
        <w:ind w:left="720" w:hanging="720"/>
        <w:rPr>
          <w:lang w:val="en-GB"/>
        </w:rPr>
      </w:pPr>
      <w:proofErr w:type="spellStart"/>
      <w:r w:rsidRPr="007B65AF">
        <w:rPr>
          <w:lang w:val="en-GB"/>
        </w:rPr>
        <w:t>Shamah</w:t>
      </w:r>
      <w:proofErr w:type="spellEnd"/>
      <w:r w:rsidRPr="007B65AF">
        <w:rPr>
          <w:lang w:val="en-GB"/>
        </w:rPr>
        <w:t xml:space="preserve">, S. (2018). A foreign exchange primer. Chichester, W Est Sussex, </w:t>
      </w:r>
      <w:proofErr w:type="gramStart"/>
      <w:r w:rsidRPr="007B65AF">
        <w:rPr>
          <w:lang w:val="en-GB"/>
        </w:rPr>
        <w:t>England ;</w:t>
      </w:r>
      <w:proofErr w:type="gramEnd"/>
      <w:r w:rsidRPr="007B65AF">
        <w:rPr>
          <w:lang w:val="en-GB"/>
        </w:rPr>
        <w:t xml:space="preserve"> Hoboken, Nj: John Wiley &amp; Sons.</w:t>
      </w:r>
    </w:p>
    <w:p w14:paraId="00000058" w14:textId="77777777" w:rsidR="00E32475" w:rsidRPr="007B65AF" w:rsidRDefault="00E32475" w:rsidP="00C47DD8">
      <w:pPr>
        <w:ind w:left="720" w:hanging="720"/>
        <w:rPr>
          <w:lang w:val="en-GB"/>
        </w:rPr>
      </w:pPr>
    </w:p>
    <w:sectPr w:rsidR="00E32475" w:rsidRPr="007B65AF" w:rsidSect="008356C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6427A6" w14:textId="77777777" w:rsidR="004C147C" w:rsidRDefault="004C147C" w:rsidP="008356C5">
      <w:pPr>
        <w:spacing w:after="0" w:line="240" w:lineRule="auto"/>
      </w:pPr>
      <w:r>
        <w:separator/>
      </w:r>
    </w:p>
  </w:endnote>
  <w:endnote w:type="continuationSeparator" w:id="0">
    <w:p w14:paraId="4C01C2EF" w14:textId="77777777" w:rsidR="004C147C" w:rsidRDefault="004C147C" w:rsidP="00835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6F13D9" w14:textId="77777777" w:rsidR="00780867" w:rsidRDefault="007808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238346"/>
      <w:docPartObj>
        <w:docPartGallery w:val="Page Numbers (Bottom of Page)"/>
        <w:docPartUnique/>
      </w:docPartObj>
    </w:sdtPr>
    <w:sdtEndPr>
      <w:rPr>
        <w:noProof/>
      </w:rPr>
    </w:sdtEndPr>
    <w:sdtContent>
      <w:p w14:paraId="54BA09F9" w14:textId="0676EEF0" w:rsidR="008356C5" w:rsidRDefault="008356C5">
        <w:pPr>
          <w:pStyle w:val="Footer"/>
          <w:jc w:val="right"/>
        </w:pPr>
        <w:r>
          <w:fldChar w:fldCharType="begin"/>
        </w:r>
        <w:r>
          <w:instrText xml:space="preserve"> PAGE   \* MERGEFORMAT </w:instrText>
        </w:r>
        <w:r>
          <w:fldChar w:fldCharType="separate"/>
        </w:r>
        <w:r w:rsidR="00424BBA">
          <w:rPr>
            <w:noProof/>
          </w:rPr>
          <w:t>10</w:t>
        </w:r>
        <w:r>
          <w:rPr>
            <w:noProof/>
          </w:rPr>
          <w:fldChar w:fldCharType="end"/>
        </w:r>
      </w:p>
    </w:sdtContent>
  </w:sdt>
  <w:p w14:paraId="669F9022" w14:textId="77777777" w:rsidR="008356C5" w:rsidRDefault="008356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1E08E1" w14:textId="77777777" w:rsidR="00780867" w:rsidRDefault="007808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B64F8D" w14:textId="77777777" w:rsidR="004C147C" w:rsidRDefault="004C147C" w:rsidP="008356C5">
      <w:pPr>
        <w:spacing w:after="0" w:line="240" w:lineRule="auto"/>
      </w:pPr>
      <w:r>
        <w:separator/>
      </w:r>
    </w:p>
  </w:footnote>
  <w:footnote w:type="continuationSeparator" w:id="0">
    <w:p w14:paraId="6E017CF2" w14:textId="77777777" w:rsidR="004C147C" w:rsidRDefault="004C147C" w:rsidP="008356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3499E4" w14:textId="77777777" w:rsidR="00780867" w:rsidRDefault="007808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499E1" w14:textId="77777777" w:rsidR="00780867" w:rsidRDefault="007808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EDCC75" w14:textId="77777777" w:rsidR="00780867" w:rsidRDefault="007808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doNotDisplayPageBoundaries/>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475"/>
    <w:rsid w:val="00011C6B"/>
    <w:rsid w:val="00023CE3"/>
    <w:rsid w:val="001C090A"/>
    <w:rsid w:val="001C685E"/>
    <w:rsid w:val="001D3231"/>
    <w:rsid w:val="003200D0"/>
    <w:rsid w:val="003376CF"/>
    <w:rsid w:val="003449E1"/>
    <w:rsid w:val="004241C2"/>
    <w:rsid w:val="00424BBA"/>
    <w:rsid w:val="004C147C"/>
    <w:rsid w:val="00597CBE"/>
    <w:rsid w:val="006D1476"/>
    <w:rsid w:val="00780867"/>
    <w:rsid w:val="007B65AF"/>
    <w:rsid w:val="00806C27"/>
    <w:rsid w:val="008356C5"/>
    <w:rsid w:val="00897956"/>
    <w:rsid w:val="00944ED2"/>
    <w:rsid w:val="009A206A"/>
    <w:rsid w:val="009B0DB3"/>
    <w:rsid w:val="00B143A2"/>
    <w:rsid w:val="00C47DD8"/>
    <w:rsid w:val="00E32475"/>
    <w:rsid w:val="00E6072F"/>
    <w:rsid w:val="00EA546F"/>
    <w:rsid w:val="00ED36ED"/>
    <w:rsid w:val="00EE37A6"/>
    <w:rsid w:val="00FD3E7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3AB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DD8"/>
    <w:pPr>
      <w:spacing w:after="160" w:line="360" w:lineRule="auto"/>
      <w:jc w:val="both"/>
    </w:pPr>
    <w:rPr>
      <w:sz w:val="24"/>
    </w:rPr>
  </w:style>
  <w:style w:type="paragraph" w:styleId="Heading1">
    <w:name w:val="heading 1"/>
    <w:basedOn w:val="Normal"/>
    <w:next w:val="Normal"/>
    <w:uiPriority w:val="9"/>
    <w:qFormat/>
    <w:rsid w:val="008356C5"/>
    <w:pPr>
      <w:keepNext/>
      <w:keepLines/>
      <w:spacing w:after="0"/>
      <w:outlineLvl w:val="0"/>
    </w:pPr>
    <w:rPr>
      <w:b/>
      <w:sz w:val="28"/>
      <w:szCs w:val="40"/>
    </w:rPr>
  </w:style>
  <w:style w:type="paragraph" w:styleId="Heading2">
    <w:name w:val="heading 2"/>
    <w:basedOn w:val="Normal"/>
    <w:next w:val="Normal"/>
    <w:uiPriority w:val="9"/>
    <w:unhideWhenUsed/>
    <w:qFormat/>
    <w:rsid w:val="008356C5"/>
    <w:pPr>
      <w:keepNext/>
      <w:keepLines/>
      <w:spacing w:after="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356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6C5"/>
    <w:rPr>
      <w:sz w:val="24"/>
    </w:rPr>
  </w:style>
  <w:style w:type="paragraph" w:styleId="Footer">
    <w:name w:val="footer"/>
    <w:basedOn w:val="Normal"/>
    <w:link w:val="FooterChar"/>
    <w:uiPriority w:val="99"/>
    <w:unhideWhenUsed/>
    <w:rsid w:val="008356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6C5"/>
    <w:rPr>
      <w:sz w:val="24"/>
    </w:rPr>
  </w:style>
  <w:style w:type="paragraph" w:styleId="TOCHeading">
    <w:name w:val="TOC Heading"/>
    <w:basedOn w:val="Heading1"/>
    <w:next w:val="Normal"/>
    <w:uiPriority w:val="39"/>
    <w:unhideWhenUsed/>
    <w:qFormat/>
    <w:rsid w:val="00C47DD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47DD8"/>
    <w:pPr>
      <w:spacing w:after="100"/>
    </w:pPr>
  </w:style>
  <w:style w:type="paragraph" w:styleId="TOC2">
    <w:name w:val="toc 2"/>
    <w:basedOn w:val="Normal"/>
    <w:next w:val="Normal"/>
    <w:autoRedefine/>
    <w:uiPriority w:val="39"/>
    <w:unhideWhenUsed/>
    <w:rsid w:val="00C47DD8"/>
    <w:pPr>
      <w:spacing w:after="100"/>
      <w:ind w:left="240"/>
    </w:pPr>
  </w:style>
  <w:style w:type="character" w:styleId="Hyperlink">
    <w:name w:val="Hyperlink"/>
    <w:basedOn w:val="DefaultParagraphFont"/>
    <w:uiPriority w:val="99"/>
    <w:unhideWhenUsed/>
    <w:rsid w:val="00C47DD8"/>
    <w:rPr>
      <w:color w:val="0000FF" w:themeColor="hyperlink"/>
      <w:u w:val="single"/>
    </w:rPr>
  </w:style>
  <w:style w:type="paragraph" w:styleId="BalloonText">
    <w:name w:val="Balloon Text"/>
    <w:basedOn w:val="Normal"/>
    <w:link w:val="BalloonTextChar"/>
    <w:uiPriority w:val="99"/>
    <w:semiHidden/>
    <w:unhideWhenUsed/>
    <w:rsid w:val="00944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E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DD8"/>
    <w:pPr>
      <w:spacing w:after="160" w:line="360" w:lineRule="auto"/>
      <w:jc w:val="both"/>
    </w:pPr>
    <w:rPr>
      <w:sz w:val="24"/>
    </w:rPr>
  </w:style>
  <w:style w:type="paragraph" w:styleId="Heading1">
    <w:name w:val="heading 1"/>
    <w:basedOn w:val="Normal"/>
    <w:next w:val="Normal"/>
    <w:uiPriority w:val="9"/>
    <w:qFormat/>
    <w:rsid w:val="008356C5"/>
    <w:pPr>
      <w:keepNext/>
      <w:keepLines/>
      <w:spacing w:after="0"/>
      <w:outlineLvl w:val="0"/>
    </w:pPr>
    <w:rPr>
      <w:b/>
      <w:sz w:val="28"/>
      <w:szCs w:val="40"/>
    </w:rPr>
  </w:style>
  <w:style w:type="paragraph" w:styleId="Heading2">
    <w:name w:val="heading 2"/>
    <w:basedOn w:val="Normal"/>
    <w:next w:val="Normal"/>
    <w:uiPriority w:val="9"/>
    <w:unhideWhenUsed/>
    <w:qFormat/>
    <w:rsid w:val="008356C5"/>
    <w:pPr>
      <w:keepNext/>
      <w:keepLines/>
      <w:spacing w:after="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356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6C5"/>
    <w:rPr>
      <w:sz w:val="24"/>
    </w:rPr>
  </w:style>
  <w:style w:type="paragraph" w:styleId="Footer">
    <w:name w:val="footer"/>
    <w:basedOn w:val="Normal"/>
    <w:link w:val="FooterChar"/>
    <w:uiPriority w:val="99"/>
    <w:unhideWhenUsed/>
    <w:rsid w:val="008356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6C5"/>
    <w:rPr>
      <w:sz w:val="24"/>
    </w:rPr>
  </w:style>
  <w:style w:type="paragraph" w:styleId="TOCHeading">
    <w:name w:val="TOC Heading"/>
    <w:basedOn w:val="Heading1"/>
    <w:next w:val="Normal"/>
    <w:uiPriority w:val="39"/>
    <w:unhideWhenUsed/>
    <w:qFormat/>
    <w:rsid w:val="00C47DD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47DD8"/>
    <w:pPr>
      <w:spacing w:after="100"/>
    </w:pPr>
  </w:style>
  <w:style w:type="paragraph" w:styleId="TOC2">
    <w:name w:val="toc 2"/>
    <w:basedOn w:val="Normal"/>
    <w:next w:val="Normal"/>
    <w:autoRedefine/>
    <w:uiPriority w:val="39"/>
    <w:unhideWhenUsed/>
    <w:rsid w:val="00C47DD8"/>
    <w:pPr>
      <w:spacing w:after="100"/>
      <w:ind w:left="240"/>
    </w:pPr>
  </w:style>
  <w:style w:type="character" w:styleId="Hyperlink">
    <w:name w:val="Hyperlink"/>
    <w:basedOn w:val="DefaultParagraphFont"/>
    <w:uiPriority w:val="99"/>
    <w:unhideWhenUsed/>
    <w:rsid w:val="00C47DD8"/>
    <w:rPr>
      <w:color w:val="0000FF" w:themeColor="hyperlink"/>
      <w:u w:val="single"/>
    </w:rPr>
  </w:style>
  <w:style w:type="paragraph" w:styleId="BalloonText">
    <w:name w:val="Balloon Text"/>
    <w:basedOn w:val="Normal"/>
    <w:link w:val="BalloonTextChar"/>
    <w:uiPriority w:val="99"/>
    <w:semiHidden/>
    <w:unhideWhenUsed/>
    <w:rsid w:val="00944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E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2233</Words>
  <Characters>12734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14938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2023-11-11T17:11:00Z</dcterms:created>
  <dcterms:modified xsi:type="dcterms:W3CDTF">2024-01-02T09:51:00Z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6ad9c72010f68d1ce17c9b49068b457cc6e12ecc632f066284dad0f70b54af32</vt:lpwstr>
  </property>
</Properties>
</file>