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2A4" w:rsidRDefault="009E72A4" w:rsidP="00A54F50">
      <w:pPr>
        <w:pStyle w:val="Heading1"/>
        <w:rPr>
          <w:rFonts w:asciiTheme="minorHAnsi" w:hAnsiTheme="minorHAnsi"/>
          <w:sz w:val="40"/>
          <w:szCs w:val="40"/>
        </w:rPr>
      </w:pPr>
    </w:p>
    <w:p w:rsidR="009E72A4" w:rsidRDefault="009E72A4" w:rsidP="00A54F50">
      <w:pPr>
        <w:pStyle w:val="Heading1"/>
        <w:rPr>
          <w:rFonts w:asciiTheme="minorHAnsi" w:hAnsiTheme="minorHAnsi"/>
          <w:sz w:val="40"/>
          <w:szCs w:val="40"/>
        </w:rPr>
      </w:pPr>
    </w:p>
    <w:p w:rsidR="009E72A4" w:rsidRDefault="009E72A4" w:rsidP="00A54F50">
      <w:pPr>
        <w:pStyle w:val="Heading1"/>
        <w:rPr>
          <w:rFonts w:asciiTheme="minorHAnsi" w:hAnsiTheme="minorHAnsi"/>
          <w:sz w:val="40"/>
          <w:szCs w:val="40"/>
        </w:rPr>
      </w:pPr>
    </w:p>
    <w:p w:rsidR="009E72A4" w:rsidRDefault="009E72A4" w:rsidP="00A54F50">
      <w:pPr>
        <w:pStyle w:val="Heading1"/>
        <w:rPr>
          <w:rFonts w:asciiTheme="minorHAnsi" w:hAnsiTheme="minorHAnsi"/>
          <w:sz w:val="40"/>
          <w:szCs w:val="40"/>
        </w:rPr>
      </w:pPr>
    </w:p>
    <w:p w:rsidR="00A54F50" w:rsidRPr="009E72A4" w:rsidRDefault="00BC4B4B" w:rsidP="00A54F50">
      <w:pPr>
        <w:pStyle w:val="Heading1"/>
        <w:rPr>
          <w:rFonts w:asciiTheme="minorHAnsi" w:hAnsiTheme="minorHAnsi"/>
          <w:color w:val="138576" w:themeColor="accent6" w:themeShade="BF"/>
          <w:sz w:val="40"/>
          <w:szCs w:val="40"/>
        </w:rPr>
      </w:pPr>
      <w:r w:rsidRPr="009E72A4">
        <w:rPr>
          <w:rFonts w:asciiTheme="minorHAnsi" w:hAnsiTheme="minorHAnsi"/>
          <w:color w:val="138576" w:themeColor="accent6" w:themeShade="BF"/>
          <w:sz w:val="40"/>
          <w:szCs w:val="40"/>
        </w:rPr>
        <w:t>Exploring Gender Differences in Anxiety</w:t>
      </w:r>
    </w:p>
    <w:p w:rsidR="00BC4B4B" w:rsidRPr="00BC4B4B" w:rsidRDefault="009E72A4" w:rsidP="00784CE5">
      <w:pPr>
        <w:jc w:val="center"/>
        <w:rPr>
          <w:sz w:val="24"/>
          <w:szCs w:val="24"/>
        </w:rPr>
      </w:pPr>
      <w:r w:rsidRPr="009E72A4">
        <w:rPr>
          <w:color w:val="138576" w:themeColor="accent6" w:themeShade="BF"/>
          <w:sz w:val="24"/>
          <w:szCs w:val="24"/>
        </w:rPr>
        <w:t>Christina Lekka</w:t>
      </w:r>
      <w:r w:rsidR="00A54F50">
        <w:rPr>
          <w:sz w:val="24"/>
          <w:szCs w:val="24"/>
        </w:rPr>
        <w:br w:type="page"/>
      </w:r>
    </w:p>
    <w:p w:rsidR="0079219D" w:rsidRDefault="0067185D" w:rsidP="00A457F1">
      <w:pPr>
        <w:spacing w:line="480" w:lineRule="auto"/>
        <w:jc w:val="center"/>
        <w:rPr>
          <w:sz w:val="24"/>
          <w:szCs w:val="24"/>
        </w:rPr>
      </w:pPr>
      <w:r w:rsidRPr="00815167">
        <w:rPr>
          <w:b/>
          <w:sz w:val="24"/>
          <w:szCs w:val="24"/>
        </w:rPr>
        <w:lastRenderedPageBreak/>
        <w:t>Abstract</w:t>
      </w:r>
      <w:r>
        <w:rPr>
          <w:sz w:val="24"/>
          <w:szCs w:val="24"/>
        </w:rPr>
        <w:t xml:space="preserve"> </w:t>
      </w:r>
    </w:p>
    <w:p w:rsidR="0067185D" w:rsidRPr="00586311" w:rsidRDefault="00586311" w:rsidP="00A457F1">
      <w:pPr>
        <w:spacing w:line="480" w:lineRule="auto"/>
        <w:rPr>
          <w:sz w:val="24"/>
          <w:szCs w:val="24"/>
        </w:rPr>
      </w:pPr>
      <w:r>
        <w:rPr>
          <w:sz w:val="24"/>
          <w:szCs w:val="24"/>
        </w:rPr>
        <w:t xml:space="preserve">Women are more likely to be more </w:t>
      </w:r>
      <w:proofErr w:type="gramStart"/>
      <w:r>
        <w:rPr>
          <w:sz w:val="24"/>
          <w:szCs w:val="24"/>
        </w:rPr>
        <w:t>phobic</w:t>
      </w:r>
      <w:proofErr w:type="gramEnd"/>
      <w:r>
        <w:rPr>
          <w:sz w:val="24"/>
          <w:szCs w:val="24"/>
        </w:rPr>
        <w:t xml:space="preserve"> than men which may lead to anxiety disorder (Frank, 2008).</w:t>
      </w:r>
      <w:r w:rsidR="00A76612" w:rsidRPr="00A76612">
        <w:rPr>
          <w:sz w:val="24"/>
          <w:szCs w:val="24"/>
        </w:rPr>
        <w:t xml:space="preserve"> </w:t>
      </w:r>
      <w:r w:rsidR="00E8537D">
        <w:rPr>
          <w:sz w:val="24"/>
          <w:szCs w:val="24"/>
        </w:rPr>
        <w:t xml:space="preserve">As Frank (2008) stated, </w:t>
      </w:r>
      <w:r w:rsidR="00A76612" w:rsidRPr="00A76612">
        <w:rPr>
          <w:sz w:val="24"/>
          <w:szCs w:val="24"/>
        </w:rPr>
        <w:t>“Data from the most recent large-scale epidemiological study, the National Comorbidity Survey (Kessler et al 1994, as cited in Frank, 2008), show anxiety disorders to be almost twice as prevalent among women in the community among men” (p.151).</w:t>
      </w:r>
      <w:r>
        <w:rPr>
          <w:sz w:val="24"/>
          <w:szCs w:val="24"/>
        </w:rPr>
        <w:t xml:space="preserve"> Culture can be a serious factor of increased anxiety levels in females (Ahmed &amp; Alansari, 2004). This </w:t>
      </w:r>
      <w:r w:rsidR="000E1F69">
        <w:rPr>
          <w:sz w:val="24"/>
          <w:szCs w:val="24"/>
        </w:rPr>
        <w:t>research</w:t>
      </w:r>
      <w:r>
        <w:rPr>
          <w:sz w:val="24"/>
          <w:szCs w:val="24"/>
        </w:rPr>
        <w:t xml:space="preserve"> aimed </w:t>
      </w:r>
      <w:r w:rsidR="000E1F69">
        <w:rPr>
          <w:sz w:val="24"/>
          <w:szCs w:val="24"/>
        </w:rPr>
        <w:t>to</w:t>
      </w:r>
      <w:r>
        <w:rPr>
          <w:sz w:val="24"/>
          <w:szCs w:val="24"/>
        </w:rPr>
        <w:t xml:space="preserve"> investigate the gender differences in anxiety so a study conducted with the use of the Beck Anxiety Inventory (Beck </w:t>
      </w:r>
      <w:r>
        <w:rPr>
          <w:i/>
          <w:sz w:val="24"/>
          <w:szCs w:val="24"/>
        </w:rPr>
        <w:t>et al,</w:t>
      </w:r>
      <w:r>
        <w:rPr>
          <w:sz w:val="24"/>
          <w:szCs w:val="24"/>
        </w:rPr>
        <w:t xml:space="preserve"> 1988)</w:t>
      </w:r>
      <w:r w:rsidR="000E1F69">
        <w:rPr>
          <w:sz w:val="24"/>
          <w:szCs w:val="24"/>
        </w:rPr>
        <w:t>. The study outcomes indicate the difference in both genders with female’s average anxiety to be 525 while male’s at 28.25. Both sides of this study and future directions have been discussed regarding possible factors that elevate the anxiety levels</w:t>
      </w:r>
      <w:r w:rsidR="00E8537D">
        <w:rPr>
          <w:sz w:val="24"/>
          <w:szCs w:val="24"/>
        </w:rPr>
        <w:t xml:space="preserve"> in females</w:t>
      </w:r>
      <w:r w:rsidR="000E1F69">
        <w:rPr>
          <w:sz w:val="24"/>
          <w:szCs w:val="24"/>
        </w:rPr>
        <w:t xml:space="preserve">. </w:t>
      </w:r>
    </w:p>
    <w:p w:rsidR="0067185D" w:rsidRDefault="0067185D" w:rsidP="00A457F1">
      <w:pPr>
        <w:spacing w:line="480" w:lineRule="auto"/>
        <w:jc w:val="center"/>
        <w:rPr>
          <w:sz w:val="24"/>
          <w:szCs w:val="24"/>
        </w:rPr>
      </w:pPr>
      <w:r w:rsidRPr="00815167">
        <w:rPr>
          <w:b/>
          <w:sz w:val="24"/>
          <w:szCs w:val="24"/>
        </w:rPr>
        <w:t>Introduction</w:t>
      </w:r>
      <w:r w:rsidR="008147DA">
        <w:rPr>
          <w:sz w:val="24"/>
          <w:szCs w:val="24"/>
        </w:rPr>
        <w:t xml:space="preserve"> </w:t>
      </w:r>
    </w:p>
    <w:p w:rsidR="001502F8" w:rsidRDefault="001502F8" w:rsidP="00A457F1">
      <w:pPr>
        <w:spacing w:line="480" w:lineRule="auto"/>
        <w:rPr>
          <w:sz w:val="24"/>
          <w:szCs w:val="24"/>
        </w:rPr>
      </w:pPr>
      <w:r>
        <w:rPr>
          <w:sz w:val="24"/>
          <w:szCs w:val="24"/>
        </w:rPr>
        <w:t xml:space="preserve">Anxiety seems to be the most recognized disorder and experienced </w:t>
      </w:r>
      <w:r w:rsidR="00704537">
        <w:rPr>
          <w:sz w:val="24"/>
          <w:szCs w:val="24"/>
        </w:rPr>
        <w:t>by the vast population</w:t>
      </w:r>
      <w:r w:rsidR="005319BB">
        <w:rPr>
          <w:sz w:val="24"/>
          <w:szCs w:val="24"/>
        </w:rPr>
        <w:t>. It</w:t>
      </w:r>
      <w:r>
        <w:rPr>
          <w:sz w:val="24"/>
          <w:szCs w:val="24"/>
        </w:rPr>
        <w:t xml:space="preserve"> can</w:t>
      </w:r>
      <w:r w:rsidR="00704537">
        <w:rPr>
          <w:sz w:val="24"/>
          <w:szCs w:val="24"/>
        </w:rPr>
        <w:t xml:space="preserve"> be</w:t>
      </w:r>
      <w:r>
        <w:rPr>
          <w:sz w:val="24"/>
          <w:szCs w:val="24"/>
        </w:rPr>
        <w:t xml:space="preserve"> translated in many ways such as, reaction; syndrome; disorder (Ahmed &amp;Alansari, 2004)</w:t>
      </w:r>
      <w:r w:rsidR="005319BB">
        <w:rPr>
          <w:sz w:val="24"/>
          <w:szCs w:val="24"/>
        </w:rPr>
        <w:t xml:space="preserve"> depending on the experiences and</w:t>
      </w:r>
      <w:r w:rsidR="00E8537D">
        <w:rPr>
          <w:sz w:val="24"/>
          <w:szCs w:val="24"/>
        </w:rPr>
        <w:t xml:space="preserve"> personal</w:t>
      </w:r>
      <w:r w:rsidR="005319BB">
        <w:rPr>
          <w:sz w:val="24"/>
          <w:szCs w:val="24"/>
        </w:rPr>
        <w:t xml:space="preserve"> environment of the individual.</w:t>
      </w:r>
    </w:p>
    <w:p w:rsidR="00D81BB4" w:rsidRDefault="00B722EA" w:rsidP="00A457F1">
      <w:pPr>
        <w:spacing w:line="480" w:lineRule="auto"/>
        <w:rPr>
          <w:sz w:val="24"/>
          <w:szCs w:val="24"/>
        </w:rPr>
      </w:pPr>
      <w:r>
        <w:rPr>
          <w:sz w:val="24"/>
          <w:szCs w:val="24"/>
        </w:rPr>
        <w:t xml:space="preserve">McLean &amp; Anderson (2009) mention that, women are in a greater vulnerability to suffer </w:t>
      </w:r>
      <w:r w:rsidR="005B24E2">
        <w:rPr>
          <w:sz w:val="24"/>
          <w:szCs w:val="24"/>
        </w:rPr>
        <w:t>anxiety disorder. To continue with, at the early childhood; about six years old; girls have double chances to have already experienced an anxiety disorder (McLean &amp; Anderson, 2009).</w:t>
      </w:r>
      <w:r w:rsidR="00972D97">
        <w:rPr>
          <w:sz w:val="24"/>
          <w:szCs w:val="24"/>
        </w:rPr>
        <w:t xml:space="preserve"> Gater </w:t>
      </w:r>
      <w:r w:rsidR="00972D97">
        <w:rPr>
          <w:i/>
          <w:sz w:val="24"/>
          <w:szCs w:val="24"/>
        </w:rPr>
        <w:t xml:space="preserve">et al </w:t>
      </w:r>
      <w:r w:rsidR="00972D97">
        <w:rPr>
          <w:sz w:val="24"/>
          <w:szCs w:val="24"/>
        </w:rPr>
        <w:t xml:space="preserve">(1998, as cited in McLean &amp; Anderson, 2009) </w:t>
      </w:r>
      <w:r w:rsidR="00195C69">
        <w:rPr>
          <w:sz w:val="24"/>
          <w:szCs w:val="24"/>
        </w:rPr>
        <w:t>mention the results of a</w:t>
      </w:r>
      <w:r w:rsidR="00972D97">
        <w:rPr>
          <w:sz w:val="24"/>
          <w:szCs w:val="24"/>
        </w:rPr>
        <w:t xml:space="preserve"> study that World Health Organiza</w:t>
      </w:r>
      <w:r w:rsidR="00195C69">
        <w:rPr>
          <w:sz w:val="24"/>
          <w:szCs w:val="24"/>
        </w:rPr>
        <w:t>tion cond</w:t>
      </w:r>
      <w:r w:rsidR="00972D97">
        <w:rPr>
          <w:sz w:val="24"/>
          <w:szCs w:val="24"/>
        </w:rPr>
        <w:t>ucted in 15 countries</w:t>
      </w:r>
      <w:r w:rsidR="00195C69">
        <w:rPr>
          <w:sz w:val="24"/>
          <w:szCs w:val="24"/>
        </w:rPr>
        <w:t xml:space="preserve"> between the two genders and seems like female were more likely, than men, to seek for a treatment of panic disorder </w:t>
      </w:r>
      <w:r w:rsidR="00195C69">
        <w:rPr>
          <w:sz w:val="24"/>
          <w:szCs w:val="24"/>
        </w:rPr>
        <w:lastRenderedPageBreak/>
        <w:t>combined with agoraphobia. Therefore, Katzelnick &amp; Greist (2001, as cited in McLean &amp; Anderson, 2009) highlight that according to community and clinical samples, both genders with anxiety disorders will seek for appropriate treatment with female to have more chances to suffer from social anxiety disorder.</w:t>
      </w:r>
      <w:r w:rsidR="004F4D93">
        <w:rPr>
          <w:sz w:val="24"/>
          <w:szCs w:val="24"/>
        </w:rPr>
        <w:t xml:space="preserve"> </w:t>
      </w:r>
    </w:p>
    <w:p w:rsidR="0032002B" w:rsidRDefault="00CD393D" w:rsidP="00A457F1">
      <w:pPr>
        <w:spacing w:line="480" w:lineRule="auto"/>
        <w:rPr>
          <w:sz w:val="24"/>
          <w:szCs w:val="24"/>
        </w:rPr>
      </w:pPr>
      <w:r>
        <w:rPr>
          <w:sz w:val="24"/>
          <w:szCs w:val="24"/>
        </w:rPr>
        <w:t xml:space="preserve">Furthermore, </w:t>
      </w:r>
      <w:r w:rsidR="00D74F95">
        <w:rPr>
          <w:sz w:val="24"/>
          <w:szCs w:val="24"/>
        </w:rPr>
        <w:t>Ahmed</w:t>
      </w:r>
      <w:r>
        <w:rPr>
          <w:sz w:val="24"/>
          <w:szCs w:val="24"/>
        </w:rPr>
        <w:t xml:space="preserve"> &amp; Alansari (2004) conducted a study about the gender differences in anxiety among undergraduates from ten Arab countries</w:t>
      </w:r>
      <w:r w:rsidR="00DF24D2">
        <w:rPr>
          <w:sz w:val="24"/>
          <w:szCs w:val="24"/>
        </w:rPr>
        <w:t>; Saudi Arabia, Emirates, Kuwait, Egypt, Syria, Lebanon, Jordan, Iraq</w:t>
      </w:r>
      <w:r w:rsidR="00AF0A71">
        <w:rPr>
          <w:sz w:val="24"/>
          <w:szCs w:val="24"/>
        </w:rPr>
        <w:t>, Oman and Palestine (Nablus and Gaza).</w:t>
      </w:r>
      <w:r w:rsidR="00F16276">
        <w:rPr>
          <w:sz w:val="24"/>
          <w:szCs w:val="24"/>
        </w:rPr>
        <w:t xml:space="preserve"> T</w:t>
      </w:r>
      <w:r>
        <w:rPr>
          <w:sz w:val="24"/>
          <w:szCs w:val="24"/>
        </w:rPr>
        <w:t>his study included 3,064 participants aged 18 to 25 and they were given the Kuwait University Anxiety Scale (</w:t>
      </w:r>
      <w:r w:rsidR="00BA2185">
        <w:rPr>
          <w:sz w:val="24"/>
          <w:szCs w:val="24"/>
        </w:rPr>
        <w:t>Abdel-Khalek, 2000</w:t>
      </w:r>
      <w:r>
        <w:rPr>
          <w:sz w:val="24"/>
          <w:szCs w:val="24"/>
        </w:rPr>
        <w:t xml:space="preserve">) which included 20 items. </w:t>
      </w:r>
      <w:r w:rsidR="00F16276">
        <w:rPr>
          <w:sz w:val="24"/>
          <w:szCs w:val="24"/>
        </w:rPr>
        <w:t>Ahmed &amp; Alansari (2004)</w:t>
      </w:r>
      <w:r w:rsidR="00DF24D2">
        <w:rPr>
          <w:sz w:val="24"/>
          <w:szCs w:val="24"/>
        </w:rPr>
        <w:t xml:space="preserve"> after studying the results</w:t>
      </w:r>
      <w:r w:rsidR="00F16276">
        <w:rPr>
          <w:sz w:val="24"/>
          <w:szCs w:val="24"/>
        </w:rPr>
        <w:t xml:space="preserve"> found that </w:t>
      </w:r>
      <w:r w:rsidR="00DF24D2">
        <w:rPr>
          <w:sz w:val="24"/>
          <w:szCs w:val="24"/>
        </w:rPr>
        <w:t>men</w:t>
      </w:r>
      <w:r w:rsidR="00F16276">
        <w:rPr>
          <w:sz w:val="24"/>
          <w:szCs w:val="24"/>
        </w:rPr>
        <w:t xml:space="preserve"> had lower mean anxiety scores </w:t>
      </w:r>
      <w:r w:rsidR="006033E8">
        <w:rPr>
          <w:sz w:val="24"/>
          <w:szCs w:val="24"/>
        </w:rPr>
        <w:t>than women i</w:t>
      </w:r>
      <w:r w:rsidR="001502F8">
        <w:rPr>
          <w:sz w:val="24"/>
          <w:szCs w:val="24"/>
        </w:rPr>
        <w:t>n all ten countries. The results of the study show that anxiety disorders can be triggered from the direct environment for example, the hierarchy in the family (Ahmed &amp; Alansari, 2004).</w:t>
      </w:r>
    </w:p>
    <w:p w:rsidR="00CD393D" w:rsidRDefault="001502F8" w:rsidP="00A457F1">
      <w:pPr>
        <w:spacing w:line="480" w:lineRule="auto"/>
        <w:rPr>
          <w:sz w:val="24"/>
          <w:szCs w:val="24"/>
        </w:rPr>
      </w:pPr>
      <w:r>
        <w:rPr>
          <w:sz w:val="24"/>
          <w:szCs w:val="24"/>
        </w:rPr>
        <w:t xml:space="preserve"> </w:t>
      </w:r>
      <w:r w:rsidR="00DF24D2">
        <w:rPr>
          <w:sz w:val="24"/>
          <w:szCs w:val="24"/>
        </w:rPr>
        <w:t>To continue with, Ahmed &amp; Alansari (2004) state that “Female preponderance of anxiety has been a consistent finding, whether in children, adolescents, undergraduates, adults, the aged, anxiety disorder patients, or in a community surveys” (p. 652).</w:t>
      </w:r>
      <w:r w:rsidR="00BA58A2">
        <w:rPr>
          <w:sz w:val="24"/>
          <w:szCs w:val="24"/>
        </w:rPr>
        <w:t xml:space="preserve"> Also, McLean &amp; Anderson (2009) support that; anxiety level results tend to </w:t>
      </w:r>
      <w:proofErr w:type="gramStart"/>
      <w:r w:rsidR="00BA58A2">
        <w:rPr>
          <w:sz w:val="24"/>
          <w:szCs w:val="24"/>
        </w:rPr>
        <w:t>depend</w:t>
      </w:r>
      <w:proofErr w:type="gramEnd"/>
      <w:r w:rsidR="00BA58A2">
        <w:rPr>
          <w:sz w:val="24"/>
          <w:szCs w:val="24"/>
        </w:rPr>
        <w:t xml:space="preserve"> “on how physiological creativity is operationalized” (p. 499) due to the heart rate during the task and also, women’</w:t>
      </w:r>
      <w:r w:rsidR="00E9372B">
        <w:rPr>
          <w:sz w:val="24"/>
          <w:szCs w:val="24"/>
        </w:rPr>
        <w:t>s hormonal status.</w:t>
      </w:r>
      <w:r w:rsidR="004C7015">
        <w:rPr>
          <w:sz w:val="24"/>
          <w:szCs w:val="24"/>
        </w:rPr>
        <w:t xml:space="preserve"> </w:t>
      </w:r>
      <w:r w:rsidR="004C7015" w:rsidRPr="004C7015">
        <w:rPr>
          <w:sz w:val="24"/>
          <w:szCs w:val="24"/>
        </w:rPr>
        <w:t xml:space="preserve">Kajantie &amp; Philips (2006) support, that there is </w:t>
      </w:r>
      <w:r w:rsidR="009E029D" w:rsidRPr="004C7015">
        <w:rPr>
          <w:sz w:val="24"/>
          <w:szCs w:val="24"/>
        </w:rPr>
        <w:t xml:space="preserve">a </w:t>
      </w:r>
      <w:r w:rsidR="009E029D">
        <w:rPr>
          <w:sz w:val="24"/>
          <w:szCs w:val="24"/>
        </w:rPr>
        <w:t xml:space="preserve">hormonal </w:t>
      </w:r>
      <w:r w:rsidR="004C7015" w:rsidRPr="004C7015">
        <w:rPr>
          <w:sz w:val="24"/>
          <w:szCs w:val="24"/>
        </w:rPr>
        <w:t>fluctuation during pregnancy, after menopause</w:t>
      </w:r>
      <w:r w:rsidR="009E029D">
        <w:rPr>
          <w:sz w:val="24"/>
          <w:szCs w:val="24"/>
        </w:rPr>
        <w:t xml:space="preserve"> which contributes to high stress levels</w:t>
      </w:r>
      <w:r w:rsidR="004C7015">
        <w:rPr>
          <w:sz w:val="24"/>
          <w:szCs w:val="24"/>
        </w:rPr>
        <w:t>.</w:t>
      </w:r>
      <w:r w:rsidR="00172327">
        <w:rPr>
          <w:sz w:val="24"/>
          <w:szCs w:val="24"/>
        </w:rPr>
        <w:t xml:space="preserve"> </w:t>
      </w:r>
      <w:r w:rsidR="009E029D">
        <w:rPr>
          <w:sz w:val="24"/>
          <w:szCs w:val="24"/>
        </w:rPr>
        <w:t>Lastly</w:t>
      </w:r>
      <w:r w:rsidR="004C7015">
        <w:rPr>
          <w:sz w:val="24"/>
          <w:szCs w:val="24"/>
        </w:rPr>
        <w:t xml:space="preserve">, after </w:t>
      </w:r>
      <w:r w:rsidR="00172327">
        <w:rPr>
          <w:sz w:val="24"/>
          <w:szCs w:val="24"/>
        </w:rPr>
        <w:t>reviewing relevant evidence they support that</w:t>
      </w:r>
      <w:r w:rsidR="00E9372B">
        <w:rPr>
          <w:sz w:val="24"/>
          <w:szCs w:val="24"/>
        </w:rPr>
        <w:t xml:space="preserve"> </w:t>
      </w:r>
      <w:r w:rsidR="00172327">
        <w:rPr>
          <w:sz w:val="24"/>
          <w:szCs w:val="24"/>
        </w:rPr>
        <w:t>there are differences among adults in both ge</w:t>
      </w:r>
      <w:r w:rsidR="004C7015">
        <w:rPr>
          <w:sz w:val="24"/>
          <w:szCs w:val="24"/>
        </w:rPr>
        <w:t>nders with women to show lower autonomic reactivity compared to the opposite sex</w:t>
      </w:r>
      <w:r w:rsidR="00172327">
        <w:rPr>
          <w:sz w:val="24"/>
          <w:szCs w:val="24"/>
        </w:rPr>
        <w:t>.</w:t>
      </w:r>
      <w:r w:rsidR="004C7015">
        <w:rPr>
          <w:sz w:val="24"/>
          <w:szCs w:val="24"/>
        </w:rPr>
        <w:t xml:space="preserve"> </w:t>
      </w:r>
    </w:p>
    <w:p w:rsidR="00784CE5" w:rsidRPr="000355B5" w:rsidRDefault="00CB7712" w:rsidP="00A457F1">
      <w:pPr>
        <w:spacing w:line="480" w:lineRule="auto"/>
        <w:rPr>
          <w:sz w:val="24"/>
          <w:szCs w:val="24"/>
        </w:rPr>
      </w:pPr>
      <w:r>
        <w:rPr>
          <w:sz w:val="24"/>
          <w:szCs w:val="24"/>
        </w:rPr>
        <w:lastRenderedPageBreak/>
        <w:t>The aim of this study is to explore the differences in anxiety disorders of both genders. Based on the literature that has been presented and analyzed, it</w:t>
      </w:r>
      <w:r w:rsidR="005625C5">
        <w:rPr>
          <w:sz w:val="24"/>
          <w:szCs w:val="24"/>
        </w:rPr>
        <w:t xml:space="preserve"> is</w:t>
      </w:r>
      <w:r>
        <w:rPr>
          <w:sz w:val="24"/>
          <w:szCs w:val="24"/>
        </w:rPr>
        <w:t xml:space="preserve"> hypothesized that females will be leading the anxiety levels.</w:t>
      </w:r>
    </w:p>
    <w:p w:rsidR="0067185D" w:rsidRPr="00815167" w:rsidRDefault="0067185D" w:rsidP="00A457F1">
      <w:pPr>
        <w:spacing w:line="480" w:lineRule="auto"/>
        <w:jc w:val="center"/>
        <w:rPr>
          <w:b/>
          <w:sz w:val="24"/>
          <w:szCs w:val="24"/>
        </w:rPr>
      </w:pPr>
      <w:r w:rsidRPr="00815167">
        <w:rPr>
          <w:b/>
          <w:sz w:val="24"/>
          <w:szCs w:val="24"/>
        </w:rPr>
        <w:t>Method</w:t>
      </w:r>
    </w:p>
    <w:p w:rsidR="0067185D" w:rsidRPr="00815167" w:rsidRDefault="008147DA" w:rsidP="00A457F1">
      <w:pPr>
        <w:spacing w:line="480" w:lineRule="auto"/>
        <w:rPr>
          <w:b/>
          <w:sz w:val="20"/>
          <w:szCs w:val="20"/>
        </w:rPr>
      </w:pPr>
      <w:r>
        <w:rPr>
          <w:sz w:val="20"/>
          <w:szCs w:val="20"/>
        </w:rPr>
        <w:t xml:space="preserve">          </w:t>
      </w:r>
      <w:r w:rsidR="0067185D" w:rsidRPr="00815167">
        <w:rPr>
          <w:b/>
          <w:sz w:val="20"/>
          <w:szCs w:val="20"/>
        </w:rPr>
        <w:t>Participants</w:t>
      </w:r>
    </w:p>
    <w:p w:rsidR="00750289" w:rsidRPr="00F96444" w:rsidRDefault="00750289" w:rsidP="00A457F1">
      <w:pPr>
        <w:spacing w:line="480" w:lineRule="auto"/>
        <w:rPr>
          <w:sz w:val="24"/>
          <w:szCs w:val="24"/>
        </w:rPr>
      </w:pPr>
      <w:r>
        <w:rPr>
          <w:sz w:val="24"/>
          <w:szCs w:val="24"/>
        </w:rPr>
        <w:t>A total of 40 undergraduate students were recruited to take part in this research report for course credit in return</w:t>
      </w:r>
      <w:r w:rsidR="00F96444">
        <w:rPr>
          <w:sz w:val="24"/>
          <w:szCs w:val="24"/>
        </w:rPr>
        <w:t xml:space="preserve"> (twenty males, twenty females). Participants age varied between 18 and 39 (</w:t>
      </w:r>
      <w:r w:rsidR="00F96444">
        <w:rPr>
          <w:i/>
          <w:sz w:val="24"/>
          <w:szCs w:val="24"/>
        </w:rPr>
        <w:t xml:space="preserve">M=25.20, SD=5.55). </w:t>
      </w:r>
    </w:p>
    <w:p w:rsidR="0067185D" w:rsidRPr="00815167" w:rsidRDefault="008147DA" w:rsidP="00A457F1">
      <w:pPr>
        <w:spacing w:line="480" w:lineRule="auto"/>
        <w:rPr>
          <w:b/>
          <w:sz w:val="20"/>
          <w:szCs w:val="20"/>
        </w:rPr>
      </w:pPr>
      <w:r w:rsidRPr="00815167">
        <w:rPr>
          <w:b/>
          <w:sz w:val="20"/>
          <w:szCs w:val="20"/>
        </w:rPr>
        <w:t xml:space="preserve">          </w:t>
      </w:r>
      <w:r w:rsidR="0067185D" w:rsidRPr="00815167">
        <w:rPr>
          <w:b/>
          <w:sz w:val="20"/>
          <w:szCs w:val="20"/>
        </w:rPr>
        <w:t>Design</w:t>
      </w:r>
    </w:p>
    <w:p w:rsidR="00F96444" w:rsidRPr="00815167" w:rsidRDefault="00815167" w:rsidP="00A457F1">
      <w:pPr>
        <w:spacing w:line="480" w:lineRule="auto"/>
        <w:rPr>
          <w:sz w:val="24"/>
          <w:szCs w:val="24"/>
        </w:rPr>
      </w:pPr>
      <w:r>
        <w:rPr>
          <w:sz w:val="24"/>
          <w:szCs w:val="24"/>
        </w:rPr>
        <w:t>A between-subject design will be used for this report in order to explore the differences in anxiety between males and females</w:t>
      </w:r>
      <w:r w:rsidR="00561284">
        <w:rPr>
          <w:sz w:val="24"/>
          <w:szCs w:val="24"/>
        </w:rPr>
        <w:t xml:space="preserve"> and be able to provide straightforward results in order to build a clear image.</w:t>
      </w:r>
    </w:p>
    <w:p w:rsidR="0067185D" w:rsidRDefault="008147DA" w:rsidP="00A457F1">
      <w:pPr>
        <w:spacing w:line="480" w:lineRule="auto"/>
        <w:rPr>
          <w:b/>
          <w:sz w:val="20"/>
          <w:szCs w:val="20"/>
        </w:rPr>
      </w:pPr>
      <w:r w:rsidRPr="00815167">
        <w:rPr>
          <w:b/>
          <w:sz w:val="20"/>
          <w:szCs w:val="20"/>
        </w:rPr>
        <w:t xml:space="preserve">          </w:t>
      </w:r>
      <w:r w:rsidR="0067185D" w:rsidRPr="00815167">
        <w:rPr>
          <w:b/>
          <w:sz w:val="20"/>
          <w:szCs w:val="20"/>
        </w:rPr>
        <w:t>Materials</w:t>
      </w:r>
    </w:p>
    <w:p w:rsidR="00815167" w:rsidRPr="00815167" w:rsidRDefault="00815167" w:rsidP="00A457F1">
      <w:pPr>
        <w:spacing w:line="480" w:lineRule="auto"/>
        <w:rPr>
          <w:sz w:val="24"/>
          <w:szCs w:val="24"/>
        </w:rPr>
      </w:pPr>
      <w:r>
        <w:rPr>
          <w:sz w:val="24"/>
          <w:szCs w:val="24"/>
        </w:rPr>
        <w:t>Th</w:t>
      </w:r>
      <w:r w:rsidR="003607EE">
        <w:rPr>
          <w:sz w:val="24"/>
          <w:szCs w:val="24"/>
        </w:rPr>
        <w:t>e Beck Anxiety Inventory (Bec</w:t>
      </w:r>
      <w:r w:rsidR="007C6E22">
        <w:rPr>
          <w:sz w:val="24"/>
          <w:szCs w:val="24"/>
        </w:rPr>
        <w:t>k, Epstein, Brown &amp; Steer, 1988</w:t>
      </w:r>
      <w:r>
        <w:rPr>
          <w:sz w:val="24"/>
          <w:szCs w:val="24"/>
        </w:rPr>
        <w:t xml:space="preserve">) will be used to </w:t>
      </w:r>
      <w:r w:rsidR="006B7AC2">
        <w:rPr>
          <w:sz w:val="24"/>
          <w:szCs w:val="24"/>
        </w:rPr>
        <w:t>explore</w:t>
      </w:r>
      <w:r w:rsidR="003607EE">
        <w:rPr>
          <w:sz w:val="24"/>
          <w:szCs w:val="24"/>
        </w:rPr>
        <w:t xml:space="preserve"> the</w:t>
      </w:r>
      <w:r>
        <w:rPr>
          <w:sz w:val="24"/>
          <w:szCs w:val="24"/>
        </w:rPr>
        <w:t xml:space="preserve"> anxiety</w:t>
      </w:r>
      <w:r w:rsidR="003607EE">
        <w:rPr>
          <w:sz w:val="24"/>
          <w:szCs w:val="24"/>
        </w:rPr>
        <w:t xml:space="preserve"> levels</w:t>
      </w:r>
      <w:r>
        <w:rPr>
          <w:sz w:val="24"/>
          <w:szCs w:val="24"/>
        </w:rPr>
        <w:t xml:space="preserve"> between the two genders. This </w:t>
      </w:r>
      <w:r w:rsidR="006B7AC2">
        <w:rPr>
          <w:sz w:val="24"/>
          <w:szCs w:val="24"/>
        </w:rPr>
        <w:t>scale</w:t>
      </w:r>
      <w:r>
        <w:rPr>
          <w:sz w:val="24"/>
          <w:szCs w:val="24"/>
        </w:rPr>
        <w:t xml:space="preserve"> consists of a list of common symptoms of anxiety and includes 21 items</w:t>
      </w:r>
      <w:r w:rsidR="00BC4B4B">
        <w:rPr>
          <w:sz w:val="24"/>
          <w:szCs w:val="24"/>
        </w:rPr>
        <w:t xml:space="preserve">. The instructions towards the participants </w:t>
      </w:r>
      <w:r w:rsidR="003607EE">
        <w:rPr>
          <w:sz w:val="24"/>
          <w:szCs w:val="24"/>
        </w:rPr>
        <w:t>will be</w:t>
      </w:r>
      <w:r w:rsidR="00BC4B4B">
        <w:rPr>
          <w:sz w:val="24"/>
          <w:szCs w:val="24"/>
        </w:rPr>
        <w:t xml:space="preserve"> to</w:t>
      </w:r>
      <w:r w:rsidR="003607EE">
        <w:rPr>
          <w:sz w:val="24"/>
          <w:szCs w:val="24"/>
        </w:rPr>
        <w:t xml:space="preserve"> answer in regards how they are feeling the exact moment. The scale includes statements such as ‘hands trembling’, ‘fear of losing control’ and ‘fear of worst happening’. </w:t>
      </w:r>
      <w:r w:rsidR="00CE2D3C">
        <w:rPr>
          <w:sz w:val="24"/>
          <w:szCs w:val="24"/>
        </w:rPr>
        <w:t xml:space="preserve">By the symptoms there are numbers from zero to </w:t>
      </w:r>
      <w:r w:rsidR="0086400F">
        <w:rPr>
          <w:sz w:val="24"/>
          <w:szCs w:val="24"/>
        </w:rPr>
        <w:t>three</w:t>
      </w:r>
      <w:r w:rsidR="00CE2D3C">
        <w:rPr>
          <w:sz w:val="24"/>
          <w:szCs w:val="24"/>
        </w:rPr>
        <w:t xml:space="preserve"> and participants will be asked to circle the number that describes them the current moment. The numbers</w:t>
      </w:r>
      <w:r w:rsidR="0086400F">
        <w:rPr>
          <w:sz w:val="24"/>
          <w:szCs w:val="24"/>
        </w:rPr>
        <w:t xml:space="preserve"> represent the severity of the anxiety and can be: zero for ‘Not at all’, one for ‘Mildly, but it didn’t bother me much’, two for </w:t>
      </w:r>
      <w:r w:rsidR="00630086">
        <w:rPr>
          <w:sz w:val="24"/>
          <w:szCs w:val="24"/>
        </w:rPr>
        <w:t>‘</w:t>
      </w:r>
      <w:r w:rsidR="0086400F">
        <w:rPr>
          <w:sz w:val="24"/>
          <w:szCs w:val="24"/>
        </w:rPr>
        <w:t xml:space="preserve">Moderately-it wasn’t pleasant at times’ and three for ‘Severely-it bothered me a lot’. The </w:t>
      </w:r>
      <w:r w:rsidR="0086400F">
        <w:rPr>
          <w:sz w:val="24"/>
          <w:szCs w:val="24"/>
        </w:rPr>
        <w:lastRenderedPageBreak/>
        <w:t>final scores that will be applied by calculating the sum of the 21 items will reveal the severity. If the final score is 0-21, it m</w:t>
      </w:r>
      <w:r w:rsidR="0071676E">
        <w:rPr>
          <w:sz w:val="24"/>
          <w:szCs w:val="24"/>
        </w:rPr>
        <w:t>eans the anxiety level is low. I</w:t>
      </w:r>
      <w:r w:rsidR="0086400F">
        <w:rPr>
          <w:sz w:val="24"/>
          <w:szCs w:val="24"/>
        </w:rPr>
        <w:t>f</w:t>
      </w:r>
      <w:r w:rsidR="0071676E">
        <w:rPr>
          <w:sz w:val="24"/>
          <w:szCs w:val="24"/>
        </w:rPr>
        <w:t xml:space="preserve"> the score</w:t>
      </w:r>
      <w:r w:rsidR="0086400F">
        <w:rPr>
          <w:sz w:val="24"/>
          <w:szCs w:val="24"/>
        </w:rPr>
        <w:t xml:space="preserve"> is between</w:t>
      </w:r>
      <w:r w:rsidR="0071676E">
        <w:rPr>
          <w:sz w:val="24"/>
          <w:szCs w:val="24"/>
        </w:rPr>
        <w:t>,</w:t>
      </w:r>
      <w:r w:rsidR="0086400F">
        <w:rPr>
          <w:sz w:val="24"/>
          <w:szCs w:val="24"/>
        </w:rPr>
        <w:t xml:space="preserve"> 22-35</w:t>
      </w:r>
      <w:r w:rsidR="0071676E">
        <w:rPr>
          <w:sz w:val="24"/>
          <w:szCs w:val="24"/>
        </w:rPr>
        <w:t xml:space="preserve"> there is moderate anxiety and if the final score if over 36 then, there are potentially concerning levels of anxiety.</w:t>
      </w:r>
    </w:p>
    <w:p w:rsidR="0067185D" w:rsidRDefault="008147DA" w:rsidP="00A457F1">
      <w:pPr>
        <w:spacing w:line="480" w:lineRule="auto"/>
        <w:rPr>
          <w:b/>
          <w:sz w:val="20"/>
          <w:szCs w:val="20"/>
        </w:rPr>
      </w:pPr>
      <w:r w:rsidRPr="00815167">
        <w:rPr>
          <w:b/>
          <w:sz w:val="20"/>
          <w:szCs w:val="20"/>
        </w:rPr>
        <w:t xml:space="preserve">          </w:t>
      </w:r>
      <w:r w:rsidR="0067185D" w:rsidRPr="00815167">
        <w:rPr>
          <w:b/>
          <w:sz w:val="20"/>
          <w:szCs w:val="20"/>
        </w:rPr>
        <w:t>Procedure</w:t>
      </w:r>
    </w:p>
    <w:p w:rsidR="000141EA" w:rsidRPr="000141EA" w:rsidRDefault="000141EA" w:rsidP="00A457F1">
      <w:pPr>
        <w:spacing w:line="480" w:lineRule="auto"/>
        <w:rPr>
          <w:sz w:val="24"/>
          <w:szCs w:val="24"/>
        </w:rPr>
      </w:pPr>
      <w:r>
        <w:rPr>
          <w:sz w:val="24"/>
          <w:szCs w:val="24"/>
        </w:rPr>
        <w:t>Undergraduate participants will be recruited via opportunity sampling. Information will be posted out via a module’s Virtual Learning. Informatio</w:t>
      </w:r>
      <w:r w:rsidR="007C6E22">
        <w:rPr>
          <w:sz w:val="24"/>
          <w:szCs w:val="24"/>
        </w:rPr>
        <w:t xml:space="preserve">n will include the main aims of the study and how to participate. The study will take place at the laboratories and study consent forms will be given to participants in order to sign if they are still happy to take </w:t>
      </w:r>
      <w:r w:rsidR="00A30B0E">
        <w:rPr>
          <w:sz w:val="24"/>
          <w:szCs w:val="24"/>
        </w:rPr>
        <w:t>proceed</w:t>
      </w:r>
      <w:r w:rsidR="007C6E22">
        <w:rPr>
          <w:sz w:val="24"/>
          <w:szCs w:val="24"/>
        </w:rPr>
        <w:t>. Moreover, they will be asked to complete the demographic information sheet along with the BAI (1988)</w:t>
      </w:r>
      <w:r w:rsidR="00A30B0E">
        <w:rPr>
          <w:sz w:val="24"/>
          <w:szCs w:val="24"/>
        </w:rPr>
        <w:t xml:space="preserve"> scale</w:t>
      </w:r>
      <w:r w:rsidR="007C6E22">
        <w:rPr>
          <w:sz w:val="24"/>
          <w:szCs w:val="24"/>
        </w:rPr>
        <w:t xml:space="preserve">. Once the procedure finishes, participants will be provided with </w:t>
      </w:r>
      <w:proofErr w:type="gramStart"/>
      <w:r w:rsidR="007C6E22">
        <w:rPr>
          <w:sz w:val="24"/>
          <w:szCs w:val="24"/>
        </w:rPr>
        <w:t>a debrief</w:t>
      </w:r>
      <w:proofErr w:type="gramEnd"/>
      <w:r w:rsidR="007C6E22">
        <w:rPr>
          <w:sz w:val="24"/>
          <w:szCs w:val="24"/>
        </w:rPr>
        <w:t xml:space="preserve"> from outlining the aims of the study as well as the p</w:t>
      </w:r>
      <w:r w:rsidR="00740A0B">
        <w:rPr>
          <w:sz w:val="24"/>
          <w:szCs w:val="24"/>
        </w:rPr>
        <w:t>articipants right to withdraw</w:t>
      </w:r>
      <w:r w:rsidR="007C6E22">
        <w:rPr>
          <w:sz w:val="24"/>
          <w:szCs w:val="24"/>
        </w:rPr>
        <w:t xml:space="preserve"> any time they wish.</w:t>
      </w:r>
      <w:r w:rsidR="005737C7">
        <w:rPr>
          <w:sz w:val="24"/>
          <w:szCs w:val="24"/>
        </w:rPr>
        <w:t xml:space="preserve"> When the paperwork procedure is completed, all participants will be thanked for taking part and dedicated their time</w:t>
      </w:r>
      <w:r w:rsidR="00C909DF">
        <w:rPr>
          <w:sz w:val="24"/>
          <w:szCs w:val="24"/>
        </w:rPr>
        <w:t xml:space="preserve"> for completing the self-report measure of anxiety.</w:t>
      </w:r>
    </w:p>
    <w:p w:rsidR="0067185D" w:rsidRPr="00815167" w:rsidRDefault="0067185D" w:rsidP="00A457F1">
      <w:pPr>
        <w:spacing w:line="480" w:lineRule="auto"/>
        <w:rPr>
          <w:b/>
          <w:sz w:val="20"/>
          <w:szCs w:val="20"/>
        </w:rPr>
      </w:pPr>
    </w:p>
    <w:p w:rsidR="0067185D" w:rsidRDefault="0067185D" w:rsidP="00A457F1">
      <w:pPr>
        <w:tabs>
          <w:tab w:val="left" w:pos="3686"/>
        </w:tabs>
        <w:spacing w:line="480" w:lineRule="auto"/>
        <w:jc w:val="center"/>
        <w:rPr>
          <w:b/>
          <w:sz w:val="24"/>
          <w:szCs w:val="24"/>
        </w:rPr>
      </w:pPr>
      <w:r w:rsidRPr="00815167">
        <w:rPr>
          <w:b/>
          <w:sz w:val="24"/>
          <w:szCs w:val="24"/>
        </w:rPr>
        <w:t>Results</w:t>
      </w:r>
    </w:p>
    <w:p w:rsidR="00786752" w:rsidRDefault="00C909DF" w:rsidP="00A457F1">
      <w:pPr>
        <w:spacing w:line="480" w:lineRule="auto"/>
        <w:rPr>
          <w:sz w:val="24"/>
          <w:szCs w:val="24"/>
        </w:rPr>
      </w:pPr>
      <w:r>
        <w:rPr>
          <w:sz w:val="24"/>
          <w:szCs w:val="24"/>
        </w:rPr>
        <w:t>The means and SD’</w:t>
      </w:r>
      <w:r w:rsidR="00F30E62">
        <w:rPr>
          <w:sz w:val="24"/>
          <w:szCs w:val="24"/>
        </w:rPr>
        <w:t>s</w:t>
      </w:r>
      <w:r>
        <w:rPr>
          <w:sz w:val="24"/>
          <w:szCs w:val="24"/>
        </w:rPr>
        <w:t xml:space="preserve"> that are being included in this report will be presented </w:t>
      </w:r>
      <w:r w:rsidR="00E46E80">
        <w:rPr>
          <w:sz w:val="24"/>
          <w:szCs w:val="24"/>
        </w:rPr>
        <w:t xml:space="preserve">in the table </w:t>
      </w:r>
      <w:r w:rsidR="00F30E62">
        <w:rPr>
          <w:sz w:val="24"/>
          <w:szCs w:val="24"/>
        </w:rPr>
        <w:t xml:space="preserve">1 </w:t>
      </w:r>
      <w:r>
        <w:rPr>
          <w:sz w:val="24"/>
          <w:szCs w:val="24"/>
        </w:rPr>
        <w:t>below.</w:t>
      </w:r>
      <w:r w:rsidR="00F30E62">
        <w:rPr>
          <w:sz w:val="24"/>
          <w:szCs w:val="24"/>
        </w:rPr>
        <w:t xml:space="preserve"> As can be seen, the average score for the different levels of anxiety in both genders shows that, males</w:t>
      </w:r>
      <w:r w:rsidR="00A05317">
        <w:rPr>
          <w:sz w:val="24"/>
          <w:szCs w:val="24"/>
        </w:rPr>
        <w:t>’ score for</w:t>
      </w:r>
      <w:r w:rsidR="00F30E62">
        <w:rPr>
          <w:sz w:val="24"/>
          <w:szCs w:val="24"/>
        </w:rPr>
        <w:t xml:space="preserve"> suffering from low anxiety</w:t>
      </w:r>
      <w:r w:rsidR="00A05317">
        <w:rPr>
          <w:sz w:val="24"/>
          <w:szCs w:val="24"/>
        </w:rPr>
        <w:t xml:space="preserve"> is 13 while in female is 7 but tends to be almost double in females when it comes to Moderate Anxiety and Potentially Concerning Anxiety.</w:t>
      </w:r>
    </w:p>
    <w:p w:rsidR="000E51BD" w:rsidRDefault="000E51BD" w:rsidP="00A457F1">
      <w:pPr>
        <w:spacing w:line="480" w:lineRule="auto"/>
        <w:rPr>
          <w:i/>
          <w:sz w:val="24"/>
          <w:szCs w:val="24"/>
        </w:rPr>
      </w:pPr>
    </w:p>
    <w:p w:rsidR="00F30E62" w:rsidRPr="00F30E62" w:rsidRDefault="00F30E62" w:rsidP="00A457F1">
      <w:pPr>
        <w:spacing w:line="480" w:lineRule="auto"/>
        <w:rPr>
          <w:i/>
          <w:sz w:val="24"/>
          <w:szCs w:val="24"/>
        </w:rPr>
      </w:pPr>
      <w:proofErr w:type="gramStart"/>
      <w:r>
        <w:rPr>
          <w:i/>
          <w:sz w:val="24"/>
          <w:szCs w:val="24"/>
        </w:rPr>
        <w:t>Table 1.</w:t>
      </w:r>
      <w:proofErr w:type="gramEnd"/>
    </w:p>
    <w:tbl>
      <w:tblPr>
        <w:tblStyle w:val="MediumList2-Accent4"/>
        <w:tblW w:w="9498" w:type="dxa"/>
        <w:jc w:val="center"/>
        <w:tblLook w:val="04A0"/>
      </w:tblPr>
      <w:tblGrid>
        <w:gridCol w:w="3256"/>
        <w:gridCol w:w="3081"/>
        <w:gridCol w:w="3161"/>
      </w:tblGrid>
      <w:tr w:rsidR="00E46E80" w:rsidTr="00142CA5">
        <w:trPr>
          <w:cnfStyle w:val="100000000000"/>
          <w:jc w:val="center"/>
        </w:trPr>
        <w:tc>
          <w:tcPr>
            <w:cnfStyle w:val="001000000100"/>
            <w:tcW w:w="3256" w:type="dxa"/>
          </w:tcPr>
          <w:p w:rsidR="00786752" w:rsidRDefault="00786752" w:rsidP="00A457F1">
            <w:pPr>
              <w:spacing w:line="480" w:lineRule="auto"/>
            </w:pPr>
            <w:r>
              <w:t>Anxiety</w:t>
            </w:r>
          </w:p>
        </w:tc>
        <w:tc>
          <w:tcPr>
            <w:tcW w:w="3081" w:type="dxa"/>
          </w:tcPr>
          <w:p w:rsidR="00786752" w:rsidRDefault="00786752" w:rsidP="00A457F1">
            <w:pPr>
              <w:spacing w:line="480" w:lineRule="auto"/>
              <w:cnfStyle w:val="100000000000"/>
            </w:pPr>
            <w:r>
              <w:t>Male</w:t>
            </w:r>
          </w:p>
        </w:tc>
        <w:tc>
          <w:tcPr>
            <w:tcW w:w="3161" w:type="dxa"/>
          </w:tcPr>
          <w:p w:rsidR="00786752" w:rsidRDefault="00786752" w:rsidP="00A457F1">
            <w:pPr>
              <w:spacing w:line="480" w:lineRule="auto"/>
              <w:cnfStyle w:val="100000000000"/>
            </w:pPr>
            <w:r>
              <w:t>Female</w:t>
            </w:r>
          </w:p>
        </w:tc>
      </w:tr>
      <w:tr w:rsidR="00E46E80" w:rsidTr="00142CA5">
        <w:trPr>
          <w:cnfStyle w:val="000000100000"/>
          <w:jc w:val="center"/>
        </w:trPr>
        <w:tc>
          <w:tcPr>
            <w:cnfStyle w:val="001000000000"/>
            <w:tcW w:w="3256" w:type="dxa"/>
          </w:tcPr>
          <w:p w:rsidR="00786752" w:rsidRDefault="00786752" w:rsidP="000E51BD">
            <w:pPr>
              <w:spacing w:line="480" w:lineRule="auto"/>
              <w:rPr>
                <w:sz w:val="24"/>
                <w:szCs w:val="24"/>
              </w:rPr>
            </w:pPr>
            <w:r>
              <w:rPr>
                <w:sz w:val="24"/>
                <w:szCs w:val="24"/>
              </w:rPr>
              <w:t>Low Anxiety</w:t>
            </w:r>
          </w:p>
        </w:tc>
        <w:tc>
          <w:tcPr>
            <w:tcW w:w="3081" w:type="dxa"/>
          </w:tcPr>
          <w:p w:rsidR="00786752" w:rsidRDefault="00786752" w:rsidP="00A457F1">
            <w:pPr>
              <w:spacing w:line="480" w:lineRule="auto"/>
              <w:cnfStyle w:val="000000100000"/>
              <w:rPr>
                <w:sz w:val="24"/>
                <w:szCs w:val="24"/>
              </w:rPr>
            </w:pPr>
            <w:r>
              <w:rPr>
                <w:sz w:val="24"/>
                <w:szCs w:val="24"/>
              </w:rPr>
              <w:t>13</w:t>
            </w:r>
          </w:p>
        </w:tc>
        <w:tc>
          <w:tcPr>
            <w:tcW w:w="3161" w:type="dxa"/>
          </w:tcPr>
          <w:p w:rsidR="00786752" w:rsidRDefault="00786752" w:rsidP="00A457F1">
            <w:pPr>
              <w:spacing w:line="480" w:lineRule="auto"/>
              <w:cnfStyle w:val="000000100000"/>
              <w:rPr>
                <w:sz w:val="24"/>
                <w:szCs w:val="24"/>
              </w:rPr>
            </w:pPr>
            <w:r>
              <w:rPr>
                <w:sz w:val="24"/>
                <w:szCs w:val="24"/>
              </w:rPr>
              <w:t>7</w:t>
            </w:r>
          </w:p>
        </w:tc>
      </w:tr>
      <w:tr w:rsidR="00786752" w:rsidTr="00142CA5">
        <w:trPr>
          <w:jc w:val="center"/>
        </w:trPr>
        <w:tc>
          <w:tcPr>
            <w:cnfStyle w:val="001000000000"/>
            <w:tcW w:w="3256" w:type="dxa"/>
          </w:tcPr>
          <w:p w:rsidR="00786752" w:rsidRDefault="00786752" w:rsidP="00A457F1">
            <w:pPr>
              <w:spacing w:line="480" w:lineRule="auto"/>
              <w:rPr>
                <w:sz w:val="24"/>
                <w:szCs w:val="24"/>
              </w:rPr>
            </w:pPr>
            <w:r>
              <w:rPr>
                <w:sz w:val="24"/>
                <w:szCs w:val="24"/>
              </w:rPr>
              <w:t>Moderate Anxiety</w:t>
            </w:r>
          </w:p>
        </w:tc>
        <w:tc>
          <w:tcPr>
            <w:tcW w:w="3081" w:type="dxa"/>
          </w:tcPr>
          <w:p w:rsidR="00786752" w:rsidRDefault="00786752" w:rsidP="00A457F1">
            <w:pPr>
              <w:spacing w:line="480" w:lineRule="auto"/>
              <w:cnfStyle w:val="000000000000"/>
              <w:rPr>
                <w:sz w:val="24"/>
                <w:szCs w:val="24"/>
              </w:rPr>
            </w:pPr>
            <w:r>
              <w:rPr>
                <w:sz w:val="24"/>
                <w:szCs w:val="24"/>
              </w:rPr>
              <w:t>4</w:t>
            </w:r>
          </w:p>
        </w:tc>
        <w:tc>
          <w:tcPr>
            <w:tcW w:w="3161" w:type="dxa"/>
          </w:tcPr>
          <w:p w:rsidR="00786752" w:rsidRDefault="00786752" w:rsidP="00A457F1">
            <w:pPr>
              <w:spacing w:line="480" w:lineRule="auto"/>
              <w:cnfStyle w:val="000000000000"/>
              <w:rPr>
                <w:sz w:val="24"/>
                <w:szCs w:val="24"/>
              </w:rPr>
            </w:pPr>
            <w:r>
              <w:rPr>
                <w:sz w:val="24"/>
                <w:szCs w:val="24"/>
              </w:rPr>
              <w:t>8</w:t>
            </w:r>
          </w:p>
        </w:tc>
      </w:tr>
      <w:tr w:rsidR="00E46E80" w:rsidTr="00142CA5">
        <w:trPr>
          <w:cnfStyle w:val="000000100000"/>
          <w:jc w:val="center"/>
        </w:trPr>
        <w:tc>
          <w:tcPr>
            <w:cnfStyle w:val="001000000000"/>
            <w:tcW w:w="3256" w:type="dxa"/>
          </w:tcPr>
          <w:p w:rsidR="00786752" w:rsidRDefault="00786752" w:rsidP="00A457F1">
            <w:pPr>
              <w:spacing w:line="480" w:lineRule="auto"/>
              <w:rPr>
                <w:sz w:val="24"/>
                <w:szCs w:val="24"/>
              </w:rPr>
            </w:pPr>
            <w:r>
              <w:rPr>
                <w:sz w:val="24"/>
                <w:szCs w:val="24"/>
              </w:rPr>
              <w:t>Potentially concerning Anxiety</w:t>
            </w:r>
          </w:p>
        </w:tc>
        <w:tc>
          <w:tcPr>
            <w:tcW w:w="3081" w:type="dxa"/>
          </w:tcPr>
          <w:p w:rsidR="00786752" w:rsidRDefault="00786752" w:rsidP="00A457F1">
            <w:pPr>
              <w:spacing w:line="480" w:lineRule="auto"/>
              <w:cnfStyle w:val="000000100000"/>
              <w:rPr>
                <w:sz w:val="24"/>
                <w:szCs w:val="24"/>
              </w:rPr>
            </w:pPr>
            <w:r>
              <w:rPr>
                <w:sz w:val="24"/>
                <w:szCs w:val="24"/>
              </w:rPr>
              <w:t>3</w:t>
            </w:r>
          </w:p>
        </w:tc>
        <w:tc>
          <w:tcPr>
            <w:tcW w:w="3161" w:type="dxa"/>
          </w:tcPr>
          <w:p w:rsidR="00786752" w:rsidRDefault="00786752" w:rsidP="00A457F1">
            <w:pPr>
              <w:spacing w:line="480" w:lineRule="auto"/>
              <w:cnfStyle w:val="000000100000"/>
              <w:rPr>
                <w:sz w:val="24"/>
                <w:szCs w:val="24"/>
              </w:rPr>
            </w:pPr>
            <w:r>
              <w:rPr>
                <w:sz w:val="24"/>
                <w:szCs w:val="24"/>
              </w:rPr>
              <w:t>5</w:t>
            </w:r>
          </w:p>
        </w:tc>
      </w:tr>
    </w:tbl>
    <w:p w:rsidR="005737C7" w:rsidRPr="00C909DF" w:rsidRDefault="005737C7" w:rsidP="00A457F1">
      <w:pPr>
        <w:spacing w:line="480" w:lineRule="auto"/>
        <w:rPr>
          <w:sz w:val="24"/>
          <w:szCs w:val="24"/>
        </w:rPr>
      </w:pPr>
    </w:p>
    <w:p w:rsidR="00A645FD" w:rsidRPr="009E029D" w:rsidRDefault="008C37AA" w:rsidP="00A457F1">
      <w:pPr>
        <w:spacing w:line="480" w:lineRule="auto"/>
        <w:rPr>
          <w:sz w:val="24"/>
          <w:szCs w:val="24"/>
        </w:rPr>
      </w:pPr>
      <w:r>
        <w:rPr>
          <w:sz w:val="24"/>
          <w:szCs w:val="24"/>
        </w:rPr>
        <w:t xml:space="preserve">The following chart will clearly present the sum of Anxiety Score by Gender. </w:t>
      </w:r>
      <w:r w:rsidR="00A645FD">
        <w:rPr>
          <w:sz w:val="24"/>
          <w:szCs w:val="24"/>
        </w:rPr>
        <w:t>Figure 1 highlights the results of the comparison of the anxiety levels</w:t>
      </w:r>
      <w:r w:rsidR="00366F09">
        <w:rPr>
          <w:sz w:val="24"/>
          <w:szCs w:val="24"/>
        </w:rPr>
        <w:t xml:space="preserve"> between the two genders</w:t>
      </w:r>
      <w:r w:rsidR="00A645FD">
        <w:rPr>
          <w:sz w:val="24"/>
          <w:szCs w:val="24"/>
        </w:rPr>
        <w:t>. T</w:t>
      </w:r>
      <w:r>
        <w:rPr>
          <w:sz w:val="24"/>
          <w:szCs w:val="24"/>
        </w:rPr>
        <w:t>he findings show th</w:t>
      </w:r>
      <w:r w:rsidR="006563E8">
        <w:rPr>
          <w:sz w:val="24"/>
          <w:szCs w:val="24"/>
        </w:rPr>
        <w:t>at females’ anxiety average is 565 while males’ average is down to 28.25.</w:t>
      </w:r>
      <w:r w:rsidR="009E029D">
        <w:rPr>
          <w:sz w:val="24"/>
          <w:szCs w:val="24"/>
        </w:rPr>
        <w:t xml:space="preserve"> The original hypothesis for this proposed report will be accepted.</w:t>
      </w:r>
    </w:p>
    <w:p w:rsidR="00A645FD" w:rsidRPr="00A645FD" w:rsidRDefault="00A645FD">
      <w:pPr>
        <w:rPr>
          <w:sz w:val="24"/>
          <w:szCs w:val="24"/>
          <w:u w:val="single"/>
        </w:rPr>
      </w:pPr>
    </w:p>
    <w:p w:rsidR="00A05317" w:rsidRPr="00815167" w:rsidRDefault="007561D2" w:rsidP="007561D2">
      <w:pPr>
        <w:jc w:val="center"/>
        <w:rPr>
          <w:b/>
          <w:sz w:val="24"/>
          <w:szCs w:val="24"/>
        </w:rPr>
      </w:pPr>
      <w:r w:rsidRPr="007561D2">
        <w:rPr>
          <w:b/>
          <w:noProof/>
          <w:sz w:val="24"/>
          <w:szCs w:val="24"/>
          <w:lang w:val="en-GB" w:eastAsia="en-GB" w:bidi="ar-SA"/>
        </w:rPr>
        <w:drawing>
          <wp:inline distT="0" distB="0" distL="0" distR="0">
            <wp:extent cx="4305300" cy="2886075"/>
            <wp:effectExtent l="95250" t="76200" r="114300" b="476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645FD" w:rsidRDefault="00A645FD">
      <w:pPr>
        <w:rPr>
          <w:i/>
          <w:sz w:val="24"/>
          <w:szCs w:val="24"/>
        </w:rPr>
      </w:pPr>
      <w:proofErr w:type="gramStart"/>
      <w:r>
        <w:rPr>
          <w:i/>
          <w:sz w:val="24"/>
          <w:szCs w:val="24"/>
        </w:rPr>
        <w:t>Figure 1.</w:t>
      </w:r>
      <w:proofErr w:type="gramEnd"/>
    </w:p>
    <w:p w:rsidR="00142CA5" w:rsidRDefault="00A645FD" w:rsidP="008D3E6C">
      <w:pPr>
        <w:jc w:val="center"/>
        <w:rPr>
          <w:sz w:val="24"/>
          <w:szCs w:val="24"/>
        </w:rPr>
      </w:pPr>
      <w:r>
        <w:rPr>
          <w:sz w:val="24"/>
          <w:szCs w:val="24"/>
        </w:rPr>
        <w:t>Column chart presenting the results of anxiety levels in both genders.</w:t>
      </w:r>
    </w:p>
    <w:p w:rsidR="00A457F1" w:rsidRDefault="00A457F1" w:rsidP="008D3E6C">
      <w:pPr>
        <w:jc w:val="center"/>
        <w:rPr>
          <w:sz w:val="24"/>
          <w:szCs w:val="24"/>
        </w:rPr>
      </w:pPr>
    </w:p>
    <w:p w:rsidR="00A457F1" w:rsidRDefault="00A457F1" w:rsidP="008D3E6C">
      <w:pPr>
        <w:jc w:val="center"/>
        <w:rPr>
          <w:sz w:val="24"/>
          <w:szCs w:val="24"/>
        </w:rPr>
      </w:pPr>
    </w:p>
    <w:p w:rsidR="00A457F1" w:rsidRDefault="00A457F1" w:rsidP="008D3E6C">
      <w:pPr>
        <w:jc w:val="center"/>
        <w:rPr>
          <w:b/>
          <w:sz w:val="24"/>
          <w:szCs w:val="24"/>
        </w:rPr>
      </w:pPr>
    </w:p>
    <w:p w:rsidR="0067185D" w:rsidRPr="00815167" w:rsidRDefault="0067185D" w:rsidP="00A457F1">
      <w:pPr>
        <w:spacing w:line="480" w:lineRule="auto"/>
        <w:jc w:val="center"/>
        <w:rPr>
          <w:b/>
          <w:sz w:val="24"/>
          <w:szCs w:val="24"/>
        </w:rPr>
      </w:pPr>
      <w:r w:rsidRPr="00815167">
        <w:rPr>
          <w:b/>
          <w:sz w:val="24"/>
          <w:szCs w:val="24"/>
        </w:rPr>
        <w:t>Discussion</w:t>
      </w:r>
    </w:p>
    <w:p w:rsidR="00426021" w:rsidRDefault="00E8537D" w:rsidP="00A457F1">
      <w:pPr>
        <w:spacing w:line="480" w:lineRule="auto"/>
        <w:rPr>
          <w:sz w:val="24"/>
          <w:szCs w:val="24"/>
        </w:rPr>
      </w:pPr>
      <w:r>
        <w:rPr>
          <w:sz w:val="24"/>
          <w:szCs w:val="24"/>
        </w:rPr>
        <w:t>According to the study outcome it is appropriate to mention that</w:t>
      </w:r>
      <w:r w:rsidR="009E029D">
        <w:rPr>
          <w:sz w:val="24"/>
          <w:szCs w:val="24"/>
        </w:rPr>
        <w:t>, the hypothesis will be accepted as the findings of this study highlight the gender difference in anxiety with women to reach the highest levels.</w:t>
      </w:r>
      <w:r w:rsidR="00E40443">
        <w:rPr>
          <w:sz w:val="24"/>
          <w:szCs w:val="24"/>
        </w:rPr>
        <w:t xml:space="preserve"> </w:t>
      </w:r>
      <w:r w:rsidR="00426021">
        <w:rPr>
          <w:sz w:val="24"/>
          <w:szCs w:val="24"/>
        </w:rPr>
        <w:t>A review of literature by McLean &amp; Anderson (2006) states that women are more vulnerable in anxiety disorders with more chances to have experienced a form of anxiety at the age of 6.</w:t>
      </w:r>
      <w:r w:rsidR="00BA00E1">
        <w:rPr>
          <w:sz w:val="24"/>
          <w:szCs w:val="24"/>
        </w:rPr>
        <w:t xml:space="preserve"> </w:t>
      </w:r>
      <w:r w:rsidR="00520642">
        <w:rPr>
          <w:sz w:val="24"/>
          <w:szCs w:val="24"/>
        </w:rPr>
        <w:t>Undergraduate f</w:t>
      </w:r>
      <w:r w:rsidR="008D3E6C">
        <w:rPr>
          <w:sz w:val="24"/>
          <w:szCs w:val="24"/>
        </w:rPr>
        <w:t>emales seem</w:t>
      </w:r>
      <w:r w:rsidR="00BA00E1">
        <w:rPr>
          <w:sz w:val="24"/>
          <w:szCs w:val="24"/>
        </w:rPr>
        <w:t xml:space="preserve"> to reach high anxiety levels</w:t>
      </w:r>
      <w:r w:rsidR="008D3E6C">
        <w:rPr>
          <w:sz w:val="24"/>
          <w:szCs w:val="24"/>
        </w:rPr>
        <w:t xml:space="preserve"> in the study that was </w:t>
      </w:r>
      <w:r w:rsidR="00BA00E1">
        <w:rPr>
          <w:sz w:val="24"/>
          <w:szCs w:val="24"/>
        </w:rPr>
        <w:t>conducted by Ahmed &amp; Alansari (2004)</w:t>
      </w:r>
      <w:r w:rsidR="008D3E6C">
        <w:rPr>
          <w:sz w:val="24"/>
          <w:szCs w:val="24"/>
        </w:rPr>
        <w:t xml:space="preserve"> in the Arab countries</w:t>
      </w:r>
      <w:r w:rsidR="00874FFA">
        <w:rPr>
          <w:sz w:val="24"/>
          <w:szCs w:val="24"/>
        </w:rPr>
        <w:t xml:space="preserve"> and with culture</w:t>
      </w:r>
      <w:r>
        <w:rPr>
          <w:sz w:val="24"/>
          <w:szCs w:val="24"/>
        </w:rPr>
        <w:t xml:space="preserve"> and Arab traditions</w:t>
      </w:r>
      <w:r w:rsidR="00874FFA">
        <w:rPr>
          <w:sz w:val="24"/>
          <w:szCs w:val="24"/>
        </w:rPr>
        <w:t xml:space="preserve"> to be major influencer</w:t>
      </w:r>
      <w:r>
        <w:rPr>
          <w:sz w:val="24"/>
          <w:szCs w:val="24"/>
        </w:rPr>
        <w:t>s</w:t>
      </w:r>
      <w:r w:rsidR="008D3E6C">
        <w:rPr>
          <w:sz w:val="24"/>
          <w:szCs w:val="24"/>
        </w:rPr>
        <w:t>.</w:t>
      </w:r>
      <w:r w:rsidR="00F200F2">
        <w:rPr>
          <w:sz w:val="24"/>
          <w:szCs w:val="24"/>
        </w:rPr>
        <w:t xml:space="preserve"> In their study, it is also clear how females are being discriminated against and expected to follow a certain pattern in their life which pattern, will trigger anxiety disorders</w:t>
      </w:r>
      <w:r w:rsidR="00F200F2" w:rsidRPr="00F200F2">
        <w:rPr>
          <w:sz w:val="24"/>
          <w:szCs w:val="24"/>
        </w:rPr>
        <w:t xml:space="preserve"> </w:t>
      </w:r>
      <w:r w:rsidR="00D06CD0">
        <w:rPr>
          <w:sz w:val="24"/>
          <w:szCs w:val="24"/>
        </w:rPr>
        <w:t>(</w:t>
      </w:r>
      <w:r w:rsidR="00F200F2">
        <w:rPr>
          <w:sz w:val="24"/>
          <w:szCs w:val="24"/>
        </w:rPr>
        <w:t>Ahmed &amp; Alansari, 2004</w:t>
      </w:r>
      <w:r w:rsidR="00D06CD0">
        <w:rPr>
          <w:sz w:val="24"/>
          <w:szCs w:val="24"/>
        </w:rPr>
        <w:t>) in short or long term</w:t>
      </w:r>
      <w:r w:rsidR="00F200F2">
        <w:rPr>
          <w:sz w:val="24"/>
          <w:szCs w:val="24"/>
        </w:rPr>
        <w:t>.</w:t>
      </w:r>
      <w:r w:rsidR="00520642">
        <w:rPr>
          <w:sz w:val="24"/>
          <w:szCs w:val="24"/>
        </w:rPr>
        <w:t xml:space="preserve"> Furthermore, </w:t>
      </w:r>
      <w:r w:rsidR="00520642" w:rsidRPr="004C7015">
        <w:rPr>
          <w:sz w:val="24"/>
          <w:szCs w:val="24"/>
        </w:rPr>
        <w:t>Kajantie &amp; Philips (2006</w:t>
      </w:r>
      <w:r w:rsidR="00520642">
        <w:rPr>
          <w:sz w:val="24"/>
          <w:szCs w:val="24"/>
        </w:rPr>
        <w:t>) through their study state that, anxiety disorder can be affected by hormonal situation of a woman for example, during pregnancy and after menopause are less reactive and lastly, can be affected by the menstrual cycle as the corti</w:t>
      </w:r>
      <w:r>
        <w:rPr>
          <w:sz w:val="24"/>
          <w:szCs w:val="24"/>
        </w:rPr>
        <w:t xml:space="preserve">sol can reach the same level of cortisol as </w:t>
      </w:r>
      <w:r w:rsidR="00C32FFD">
        <w:rPr>
          <w:sz w:val="24"/>
          <w:szCs w:val="24"/>
        </w:rPr>
        <w:t>men’s</w:t>
      </w:r>
      <w:r w:rsidR="00520642">
        <w:rPr>
          <w:sz w:val="24"/>
          <w:szCs w:val="24"/>
        </w:rPr>
        <w:t>.</w:t>
      </w:r>
    </w:p>
    <w:p w:rsidR="009B01D9" w:rsidRDefault="008724FE" w:rsidP="00A457F1">
      <w:pPr>
        <w:spacing w:line="480" w:lineRule="auto"/>
        <w:rPr>
          <w:sz w:val="24"/>
          <w:szCs w:val="24"/>
        </w:rPr>
      </w:pPr>
      <w:r>
        <w:rPr>
          <w:sz w:val="24"/>
          <w:szCs w:val="24"/>
        </w:rPr>
        <w:t>However</w:t>
      </w:r>
      <w:r w:rsidR="00861B8A">
        <w:rPr>
          <w:sz w:val="24"/>
          <w:szCs w:val="24"/>
        </w:rPr>
        <w:t>, the average age</w:t>
      </w:r>
      <w:r w:rsidR="00E81A08">
        <w:rPr>
          <w:sz w:val="24"/>
          <w:szCs w:val="24"/>
        </w:rPr>
        <w:t xml:space="preserve"> of</w:t>
      </w:r>
      <w:r w:rsidR="00861B8A">
        <w:rPr>
          <w:sz w:val="24"/>
          <w:szCs w:val="24"/>
        </w:rPr>
        <w:t xml:space="preserve"> this study</w:t>
      </w:r>
      <w:r w:rsidR="008D3E6C">
        <w:rPr>
          <w:sz w:val="24"/>
          <w:szCs w:val="24"/>
        </w:rPr>
        <w:t xml:space="preserve"> </w:t>
      </w:r>
      <w:r w:rsidR="00A457F1">
        <w:rPr>
          <w:sz w:val="24"/>
          <w:szCs w:val="24"/>
        </w:rPr>
        <w:t>is</w:t>
      </w:r>
      <w:r w:rsidR="00861B8A">
        <w:rPr>
          <w:sz w:val="24"/>
          <w:szCs w:val="24"/>
        </w:rPr>
        <w:t xml:space="preserve"> 25.1 for males</w:t>
      </w:r>
      <w:r w:rsidR="0032002B">
        <w:rPr>
          <w:sz w:val="24"/>
          <w:szCs w:val="24"/>
        </w:rPr>
        <w:t xml:space="preserve"> with </w:t>
      </w:r>
      <w:r w:rsidR="00F200F2">
        <w:rPr>
          <w:sz w:val="24"/>
          <w:szCs w:val="24"/>
        </w:rPr>
        <w:t>the</w:t>
      </w:r>
      <w:r w:rsidR="0032002B">
        <w:rPr>
          <w:sz w:val="24"/>
          <w:szCs w:val="24"/>
        </w:rPr>
        <w:t xml:space="preserve"> age</w:t>
      </w:r>
      <w:r w:rsidR="00F200F2">
        <w:rPr>
          <w:sz w:val="24"/>
          <w:szCs w:val="24"/>
        </w:rPr>
        <w:t xml:space="preserve"> to start from </w:t>
      </w:r>
      <w:r w:rsidR="0032002B">
        <w:rPr>
          <w:sz w:val="24"/>
          <w:szCs w:val="24"/>
        </w:rPr>
        <w:t>18 to 39</w:t>
      </w:r>
      <w:r w:rsidR="00861B8A">
        <w:rPr>
          <w:sz w:val="24"/>
          <w:szCs w:val="24"/>
        </w:rPr>
        <w:t xml:space="preserve"> and 25.3 for females</w:t>
      </w:r>
      <w:r w:rsidR="00F200F2">
        <w:rPr>
          <w:sz w:val="24"/>
          <w:szCs w:val="24"/>
        </w:rPr>
        <w:t xml:space="preserve"> with the age starting from 18 to 32</w:t>
      </w:r>
      <w:r w:rsidR="00861B8A">
        <w:rPr>
          <w:sz w:val="24"/>
          <w:szCs w:val="24"/>
        </w:rPr>
        <w:t xml:space="preserve"> so even though the results are clear, </w:t>
      </w:r>
      <w:r w:rsidR="003B2680">
        <w:rPr>
          <w:sz w:val="24"/>
          <w:szCs w:val="24"/>
        </w:rPr>
        <w:t>the study relies only on those age groups</w:t>
      </w:r>
      <w:r w:rsidR="00E81A08">
        <w:rPr>
          <w:sz w:val="24"/>
          <w:szCs w:val="24"/>
        </w:rPr>
        <w:t xml:space="preserve"> </w:t>
      </w:r>
      <w:r w:rsidR="008D3E6C">
        <w:rPr>
          <w:sz w:val="24"/>
          <w:szCs w:val="24"/>
        </w:rPr>
        <w:t>without considering</w:t>
      </w:r>
      <w:r w:rsidR="00F200F2">
        <w:rPr>
          <w:sz w:val="24"/>
          <w:szCs w:val="24"/>
        </w:rPr>
        <w:t xml:space="preserve"> family environment and how they can affect the individuals; cultural or</w:t>
      </w:r>
      <w:r w:rsidR="008D3E6C">
        <w:rPr>
          <w:sz w:val="24"/>
          <w:szCs w:val="24"/>
        </w:rPr>
        <w:t xml:space="preserve"> hormonal factors</w:t>
      </w:r>
      <w:r w:rsidR="00F200F2">
        <w:rPr>
          <w:sz w:val="24"/>
          <w:szCs w:val="24"/>
        </w:rPr>
        <w:t xml:space="preserve">. </w:t>
      </w:r>
    </w:p>
    <w:p w:rsidR="00554C67" w:rsidRPr="009E029D" w:rsidRDefault="009B01D9" w:rsidP="00A457F1">
      <w:pPr>
        <w:spacing w:line="480" w:lineRule="auto"/>
        <w:rPr>
          <w:sz w:val="24"/>
          <w:szCs w:val="24"/>
        </w:rPr>
      </w:pPr>
      <w:r>
        <w:rPr>
          <w:sz w:val="24"/>
          <w:szCs w:val="24"/>
        </w:rPr>
        <w:t>In conclusion, in one hand the study outcomes support the previous literature but on the other hand, the factors that affect the stress levels need to be taken into</w:t>
      </w:r>
      <w:r w:rsidR="00C32FFD">
        <w:rPr>
          <w:sz w:val="24"/>
          <w:szCs w:val="24"/>
        </w:rPr>
        <w:t xml:space="preserve"> in depth</w:t>
      </w:r>
      <w:r>
        <w:rPr>
          <w:sz w:val="24"/>
          <w:szCs w:val="24"/>
        </w:rPr>
        <w:t xml:space="preserve"> </w:t>
      </w:r>
      <w:r>
        <w:rPr>
          <w:sz w:val="24"/>
          <w:szCs w:val="24"/>
        </w:rPr>
        <w:lastRenderedPageBreak/>
        <w:t xml:space="preserve">consideration and more studies need </w:t>
      </w:r>
      <w:r w:rsidR="00E40443">
        <w:rPr>
          <w:sz w:val="24"/>
          <w:szCs w:val="24"/>
        </w:rPr>
        <w:t>t</w:t>
      </w:r>
      <w:r>
        <w:rPr>
          <w:sz w:val="24"/>
          <w:szCs w:val="24"/>
        </w:rPr>
        <w:t xml:space="preserve">o be </w:t>
      </w:r>
      <w:r w:rsidR="00426021">
        <w:rPr>
          <w:sz w:val="24"/>
          <w:szCs w:val="24"/>
        </w:rPr>
        <w:t>carried</w:t>
      </w:r>
      <w:r>
        <w:rPr>
          <w:sz w:val="24"/>
          <w:szCs w:val="24"/>
        </w:rPr>
        <w:t xml:space="preserve"> out in order to explore all the points that mark this anxiety </w:t>
      </w:r>
      <w:r w:rsidR="00520642">
        <w:rPr>
          <w:sz w:val="24"/>
          <w:szCs w:val="24"/>
        </w:rPr>
        <w:t>fluctuation</w:t>
      </w:r>
      <w:r>
        <w:rPr>
          <w:sz w:val="24"/>
          <w:szCs w:val="24"/>
        </w:rPr>
        <w:t>.</w:t>
      </w:r>
      <w:r w:rsidR="000B33D3">
        <w:rPr>
          <w:sz w:val="24"/>
          <w:szCs w:val="24"/>
        </w:rPr>
        <w:t xml:space="preserve"> </w:t>
      </w:r>
      <w:r w:rsidR="008724FE">
        <w:rPr>
          <w:sz w:val="24"/>
          <w:szCs w:val="24"/>
        </w:rPr>
        <w:t xml:space="preserve">Also, future studies need to include more age groups in order to present a complete image of the anxiety levels as different circumstances </w:t>
      </w:r>
      <w:r w:rsidR="00E81A08">
        <w:rPr>
          <w:sz w:val="24"/>
          <w:szCs w:val="24"/>
        </w:rPr>
        <w:t>occur in ev</w:t>
      </w:r>
      <w:r w:rsidR="00C32FFD">
        <w:rPr>
          <w:sz w:val="24"/>
          <w:szCs w:val="24"/>
        </w:rPr>
        <w:t xml:space="preserve">ery age group and perhaps to adjust the </w:t>
      </w:r>
      <w:r w:rsidR="00E81A08">
        <w:rPr>
          <w:sz w:val="24"/>
          <w:szCs w:val="24"/>
        </w:rPr>
        <w:t>questionnaires for every age group.</w:t>
      </w:r>
    </w:p>
    <w:p w:rsidR="00A457F1" w:rsidRDefault="00A457F1" w:rsidP="009B40C4">
      <w:pP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7739B6" w:rsidRDefault="007739B6" w:rsidP="00142CA5">
      <w:pPr>
        <w:jc w:val="center"/>
        <w:rPr>
          <w:b/>
          <w:sz w:val="24"/>
          <w:szCs w:val="24"/>
        </w:rPr>
      </w:pPr>
    </w:p>
    <w:p w:rsidR="0067185D" w:rsidRDefault="0067185D" w:rsidP="00142CA5">
      <w:pPr>
        <w:jc w:val="center"/>
        <w:rPr>
          <w:b/>
          <w:sz w:val="24"/>
          <w:szCs w:val="24"/>
        </w:rPr>
      </w:pPr>
      <w:r w:rsidRPr="00815167">
        <w:rPr>
          <w:b/>
          <w:sz w:val="24"/>
          <w:szCs w:val="24"/>
        </w:rPr>
        <w:t>Reference List</w:t>
      </w:r>
    </w:p>
    <w:p w:rsidR="00AC3271" w:rsidRPr="00AC3271" w:rsidRDefault="00AC3271" w:rsidP="00AC3271">
      <w:pPr>
        <w:rPr>
          <w:sz w:val="24"/>
          <w:szCs w:val="24"/>
        </w:rPr>
      </w:pPr>
    </w:p>
    <w:p w:rsidR="00BA2185" w:rsidRPr="00BA2185" w:rsidRDefault="00BA2185" w:rsidP="003607EE">
      <w:pPr>
        <w:ind w:left="1004" w:hanging="720"/>
        <w:rPr>
          <w:rFonts w:cs="Arial"/>
          <w:color w:val="333333"/>
          <w:sz w:val="24"/>
          <w:szCs w:val="24"/>
          <w:shd w:val="clear" w:color="auto" w:fill="FFFFFF"/>
        </w:rPr>
      </w:pPr>
      <w:r w:rsidRPr="00BA2185">
        <w:rPr>
          <w:rFonts w:cs="Arial"/>
          <w:color w:val="333333"/>
          <w:sz w:val="24"/>
          <w:szCs w:val="24"/>
          <w:shd w:val="clear" w:color="auto" w:fill="FFFFFF"/>
        </w:rPr>
        <w:t xml:space="preserve">Abdel-Khalek, A. M. (2000). The Kuwait university anxiety scale: Psychometric properties. </w:t>
      </w:r>
      <w:r w:rsidRPr="00BA2185">
        <w:rPr>
          <w:rFonts w:cs="Arial"/>
          <w:i/>
          <w:color w:val="333333"/>
          <w:sz w:val="24"/>
          <w:szCs w:val="24"/>
          <w:shd w:val="clear" w:color="auto" w:fill="FFFFFF"/>
        </w:rPr>
        <w:t xml:space="preserve">Psychological Reports, </w:t>
      </w:r>
      <w:r w:rsidRPr="00BA2185">
        <w:rPr>
          <w:rFonts w:cs="Arial"/>
          <w:color w:val="333333"/>
          <w:sz w:val="24"/>
          <w:szCs w:val="24"/>
          <w:shd w:val="clear" w:color="auto" w:fill="FFFFFF"/>
        </w:rPr>
        <w:t>87(2), 478-492.</w:t>
      </w:r>
    </w:p>
    <w:p w:rsidR="00AC3271" w:rsidRPr="00BA2185" w:rsidRDefault="00AC3271" w:rsidP="003607EE">
      <w:pPr>
        <w:ind w:left="1004" w:hanging="720"/>
        <w:rPr>
          <w:rFonts w:cs="Arial"/>
          <w:color w:val="333333"/>
          <w:sz w:val="24"/>
          <w:szCs w:val="24"/>
          <w:shd w:val="clear" w:color="auto" w:fill="FFFFFF"/>
        </w:rPr>
      </w:pPr>
      <w:r w:rsidRPr="00BA2185">
        <w:rPr>
          <w:rFonts w:cs="Arial"/>
          <w:color w:val="333333"/>
          <w:sz w:val="24"/>
          <w:szCs w:val="24"/>
          <w:shd w:val="clear" w:color="auto" w:fill="FFFFFF"/>
        </w:rPr>
        <w:t xml:space="preserve">Ahmed, M., </w:t>
      </w:r>
      <w:proofErr w:type="gramStart"/>
      <w:r w:rsidRPr="00BA2185">
        <w:rPr>
          <w:rFonts w:cs="Arial"/>
          <w:color w:val="333333"/>
          <w:sz w:val="24"/>
          <w:szCs w:val="24"/>
          <w:shd w:val="clear" w:color="auto" w:fill="FFFFFF"/>
        </w:rPr>
        <w:t>&amp;</w:t>
      </w:r>
      <w:r w:rsidR="00BA2185" w:rsidRPr="00BA2185">
        <w:rPr>
          <w:rFonts w:cs="Arial"/>
          <w:color w:val="333333"/>
          <w:sz w:val="24"/>
          <w:szCs w:val="24"/>
          <w:shd w:val="clear" w:color="auto" w:fill="FFFFFF"/>
        </w:rPr>
        <w:t xml:space="preserve"> </w:t>
      </w:r>
      <w:r w:rsidRPr="00BA2185">
        <w:rPr>
          <w:rFonts w:cs="Arial"/>
          <w:color w:val="333333"/>
          <w:sz w:val="24"/>
          <w:szCs w:val="24"/>
          <w:shd w:val="clear" w:color="auto" w:fill="FFFFFF"/>
        </w:rPr>
        <w:t xml:space="preserve"> Alansari</w:t>
      </w:r>
      <w:proofErr w:type="gramEnd"/>
      <w:r w:rsidRPr="00BA2185">
        <w:rPr>
          <w:rFonts w:cs="Arial"/>
          <w:color w:val="333333"/>
          <w:sz w:val="24"/>
          <w:szCs w:val="24"/>
          <w:shd w:val="clear" w:color="auto" w:fill="FFFFFF"/>
        </w:rPr>
        <w:t xml:space="preserve">, B. M. (2004). </w:t>
      </w:r>
      <w:proofErr w:type="gramStart"/>
      <w:r w:rsidRPr="00BA2185">
        <w:rPr>
          <w:rFonts w:cs="Arial"/>
          <w:color w:val="333333"/>
          <w:sz w:val="24"/>
          <w:szCs w:val="24"/>
          <w:shd w:val="clear" w:color="auto" w:fill="FFFFFF"/>
        </w:rPr>
        <w:t>Gender differences in anxiety among undergraduates from ten Arab countries.</w:t>
      </w:r>
      <w:proofErr w:type="gramEnd"/>
      <w:r w:rsidRPr="00BA2185">
        <w:rPr>
          <w:rFonts w:cs="Arial"/>
          <w:color w:val="333333"/>
          <w:sz w:val="24"/>
          <w:szCs w:val="24"/>
          <w:shd w:val="clear" w:color="auto" w:fill="FFFFFF"/>
        </w:rPr>
        <w:t xml:space="preserve"> </w:t>
      </w:r>
      <w:r w:rsidRPr="00BA2185">
        <w:rPr>
          <w:rFonts w:cs="Arial"/>
          <w:i/>
          <w:color w:val="333333"/>
          <w:sz w:val="24"/>
          <w:szCs w:val="24"/>
          <w:shd w:val="clear" w:color="auto" w:fill="FFFFFF"/>
        </w:rPr>
        <w:t xml:space="preserve">Social Behavior and Personality: an International Journal, </w:t>
      </w:r>
      <w:r w:rsidRPr="00BA2185">
        <w:rPr>
          <w:rFonts w:cs="Arial"/>
          <w:color w:val="333333"/>
          <w:sz w:val="24"/>
          <w:szCs w:val="24"/>
          <w:shd w:val="clear" w:color="auto" w:fill="FFFFFF"/>
        </w:rPr>
        <w:t>32(7), 649-655.</w:t>
      </w:r>
    </w:p>
    <w:p w:rsidR="003607EE" w:rsidRPr="00BA2185" w:rsidRDefault="003607EE" w:rsidP="003607EE">
      <w:pPr>
        <w:ind w:left="1004" w:hanging="720"/>
        <w:rPr>
          <w:sz w:val="24"/>
          <w:szCs w:val="24"/>
        </w:rPr>
      </w:pPr>
      <w:proofErr w:type="gramStart"/>
      <w:r w:rsidRPr="00BA2185">
        <w:rPr>
          <w:rFonts w:cs="Arial"/>
          <w:color w:val="333333"/>
          <w:sz w:val="24"/>
          <w:szCs w:val="24"/>
          <w:shd w:val="clear" w:color="auto" w:fill="FFFFFF"/>
        </w:rPr>
        <w:t>Beck, A. T., Epstein, N., Brown, G., &amp; Steer, R. A. (1988).</w:t>
      </w:r>
      <w:proofErr w:type="gramEnd"/>
      <w:r w:rsidRPr="00BA2185">
        <w:rPr>
          <w:rFonts w:cs="Arial"/>
          <w:color w:val="333333"/>
          <w:sz w:val="24"/>
          <w:szCs w:val="24"/>
          <w:shd w:val="clear" w:color="auto" w:fill="FFFFFF"/>
        </w:rPr>
        <w:t xml:space="preserve"> An inventory for measuring clinical anxiety: Psychometric properties.</w:t>
      </w:r>
      <w:r w:rsidRPr="00BA2185">
        <w:rPr>
          <w:rFonts w:cs="Arial"/>
          <w:color w:val="333333"/>
          <w:sz w:val="24"/>
          <w:szCs w:val="24"/>
        </w:rPr>
        <w:t> </w:t>
      </w:r>
      <w:r w:rsidRPr="00BA2185">
        <w:rPr>
          <w:rFonts w:cs="Arial"/>
          <w:i/>
          <w:iCs/>
          <w:color w:val="333333"/>
          <w:sz w:val="24"/>
          <w:szCs w:val="24"/>
        </w:rPr>
        <w:t>Journal of Consulting and Clinical Psychology, 56</w:t>
      </w:r>
      <w:r w:rsidRPr="00BA2185">
        <w:rPr>
          <w:rFonts w:cs="Arial"/>
          <w:color w:val="333333"/>
          <w:sz w:val="24"/>
          <w:szCs w:val="24"/>
          <w:shd w:val="clear" w:color="auto" w:fill="FFFFFF"/>
        </w:rPr>
        <w:t>(6), 893–897.</w:t>
      </w:r>
      <w:hyperlink r:id="rId6" w:tgtFrame="_blank" w:history="1">
        <w:r w:rsidRPr="00BA2185">
          <w:rPr>
            <w:rFonts w:cs="Arial"/>
            <w:color w:val="337AB7"/>
            <w:sz w:val="24"/>
            <w:szCs w:val="24"/>
          </w:rPr>
          <w:t>https://doi.org/10.1037/0022-006X.56.6.893</w:t>
        </w:r>
      </w:hyperlink>
    </w:p>
    <w:p w:rsidR="009B417C" w:rsidRPr="009B417C" w:rsidRDefault="009B417C" w:rsidP="003607EE">
      <w:pPr>
        <w:ind w:left="1004" w:hanging="720"/>
        <w:rPr>
          <w:sz w:val="24"/>
          <w:szCs w:val="24"/>
        </w:rPr>
      </w:pPr>
      <w:r>
        <w:rPr>
          <w:sz w:val="24"/>
          <w:szCs w:val="24"/>
        </w:rPr>
        <w:t xml:space="preserve">Frank, E. (Ed.). (2008). </w:t>
      </w:r>
      <w:r>
        <w:rPr>
          <w:i/>
          <w:sz w:val="24"/>
          <w:szCs w:val="24"/>
        </w:rPr>
        <w:t xml:space="preserve">Gender and its effects on psychopathology. </w:t>
      </w:r>
      <w:r>
        <w:rPr>
          <w:sz w:val="24"/>
          <w:szCs w:val="24"/>
        </w:rPr>
        <w:t>American Psychiatric Pub.</w:t>
      </w:r>
    </w:p>
    <w:p w:rsidR="00172327" w:rsidRDefault="00172327" w:rsidP="003607EE">
      <w:pPr>
        <w:ind w:left="1004" w:hanging="720"/>
        <w:rPr>
          <w:sz w:val="24"/>
          <w:szCs w:val="24"/>
        </w:rPr>
      </w:pPr>
      <w:proofErr w:type="gramStart"/>
      <w:r w:rsidRPr="00172327">
        <w:rPr>
          <w:sz w:val="24"/>
          <w:szCs w:val="24"/>
        </w:rPr>
        <w:t>Kajantie, E., &amp; Phillips, D. I. (2006).</w:t>
      </w:r>
      <w:proofErr w:type="gramEnd"/>
      <w:r w:rsidRPr="00172327">
        <w:rPr>
          <w:sz w:val="24"/>
          <w:szCs w:val="24"/>
        </w:rPr>
        <w:t xml:space="preserve"> </w:t>
      </w:r>
      <w:proofErr w:type="gramStart"/>
      <w:r w:rsidRPr="00172327">
        <w:rPr>
          <w:sz w:val="24"/>
          <w:szCs w:val="24"/>
        </w:rPr>
        <w:t>The effects of sex and hormonal status on the physiological response to acute psychosocial stress.</w:t>
      </w:r>
      <w:proofErr w:type="gramEnd"/>
      <w:r w:rsidRPr="00172327">
        <w:rPr>
          <w:sz w:val="24"/>
          <w:szCs w:val="24"/>
        </w:rPr>
        <w:t xml:space="preserve"> </w:t>
      </w:r>
      <w:r w:rsidRPr="00172327">
        <w:rPr>
          <w:i/>
          <w:sz w:val="24"/>
          <w:szCs w:val="24"/>
        </w:rPr>
        <w:t>Psychoneuroendocrinology</w:t>
      </w:r>
      <w:r w:rsidRPr="00172327">
        <w:rPr>
          <w:sz w:val="24"/>
          <w:szCs w:val="24"/>
        </w:rPr>
        <w:t>, 31, 151−178</w:t>
      </w:r>
    </w:p>
    <w:p w:rsidR="00142CA5" w:rsidRPr="00BA2185" w:rsidRDefault="005B24E2" w:rsidP="003607EE">
      <w:pPr>
        <w:ind w:left="1004" w:hanging="720"/>
        <w:rPr>
          <w:sz w:val="24"/>
          <w:szCs w:val="24"/>
        </w:rPr>
      </w:pPr>
      <w:proofErr w:type="gramStart"/>
      <w:r w:rsidRPr="00740A0B">
        <w:rPr>
          <w:sz w:val="24"/>
          <w:szCs w:val="24"/>
        </w:rPr>
        <w:t>McLean, C. P., &amp; Anderson, E. R. (2009).</w:t>
      </w:r>
      <w:proofErr w:type="gramEnd"/>
      <w:r w:rsidRPr="00740A0B">
        <w:rPr>
          <w:sz w:val="24"/>
          <w:szCs w:val="24"/>
        </w:rPr>
        <w:t xml:space="preserve"> </w:t>
      </w:r>
      <w:proofErr w:type="gramStart"/>
      <w:r w:rsidRPr="00740A0B">
        <w:rPr>
          <w:sz w:val="24"/>
          <w:szCs w:val="24"/>
        </w:rPr>
        <w:t>Brave men and timid women?</w:t>
      </w:r>
      <w:proofErr w:type="gramEnd"/>
      <w:r w:rsidRPr="00740A0B">
        <w:rPr>
          <w:sz w:val="24"/>
          <w:szCs w:val="24"/>
        </w:rPr>
        <w:t xml:space="preserve"> </w:t>
      </w:r>
      <w:proofErr w:type="gramStart"/>
      <w:r w:rsidRPr="00740A0B">
        <w:rPr>
          <w:sz w:val="24"/>
          <w:szCs w:val="24"/>
        </w:rPr>
        <w:t>A review of the gender differences in fear and anxiety.</w:t>
      </w:r>
      <w:proofErr w:type="gramEnd"/>
      <w:r w:rsidRPr="00740A0B">
        <w:rPr>
          <w:sz w:val="24"/>
          <w:szCs w:val="24"/>
        </w:rPr>
        <w:t xml:space="preserve"> </w:t>
      </w:r>
      <w:r w:rsidRPr="00740A0B">
        <w:rPr>
          <w:i/>
          <w:sz w:val="24"/>
          <w:szCs w:val="24"/>
        </w:rPr>
        <w:t>Clinical psychology review</w:t>
      </w:r>
      <w:r w:rsidRPr="00740A0B">
        <w:rPr>
          <w:sz w:val="24"/>
          <w:szCs w:val="24"/>
        </w:rPr>
        <w:t>, 29(6), 496-505</w:t>
      </w:r>
      <w:r w:rsidRPr="00BA2185">
        <w:rPr>
          <w:sz w:val="24"/>
          <w:szCs w:val="24"/>
        </w:rPr>
        <w:t xml:space="preserve">. </w:t>
      </w:r>
    </w:p>
    <w:p w:rsidR="009E029D" w:rsidRDefault="009E029D" w:rsidP="00142CA5">
      <w:pPr>
        <w:ind w:left="1004" w:hanging="720"/>
        <w:jc w:val="center"/>
        <w:rPr>
          <w:b/>
          <w:sz w:val="24"/>
          <w:szCs w:val="24"/>
        </w:rPr>
      </w:pPr>
    </w:p>
    <w:p w:rsidR="009E029D" w:rsidRDefault="009E029D" w:rsidP="00142CA5">
      <w:pPr>
        <w:ind w:left="1004" w:hanging="720"/>
        <w:jc w:val="center"/>
        <w:rPr>
          <w:b/>
          <w:sz w:val="24"/>
          <w:szCs w:val="24"/>
        </w:rPr>
      </w:pPr>
    </w:p>
    <w:p w:rsidR="009E029D" w:rsidRDefault="009E029D" w:rsidP="00142CA5">
      <w:pPr>
        <w:ind w:left="1004" w:hanging="720"/>
        <w:jc w:val="center"/>
        <w:rPr>
          <w:b/>
          <w:sz w:val="24"/>
          <w:szCs w:val="24"/>
        </w:rPr>
      </w:pPr>
    </w:p>
    <w:p w:rsidR="009E029D" w:rsidRDefault="009E029D" w:rsidP="00142CA5">
      <w:pPr>
        <w:ind w:left="1004" w:hanging="720"/>
        <w:jc w:val="center"/>
        <w:rPr>
          <w:b/>
          <w:sz w:val="24"/>
          <w:szCs w:val="24"/>
        </w:rPr>
      </w:pPr>
    </w:p>
    <w:p w:rsidR="009E029D" w:rsidRDefault="009E029D" w:rsidP="00142CA5">
      <w:pPr>
        <w:ind w:left="1004" w:hanging="720"/>
        <w:jc w:val="center"/>
        <w:rPr>
          <w:b/>
          <w:sz w:val="24"/>
          <w:szCs w:val="24"/>
        </w:rPr>
      </w:pPr>
    </w:p>
    <w:p w:rsidR="009E029D" w:rsidRDefault="009E029D" w:rsidP="009E029D">
      <w:pPr>
        <w:rPr>
          <w:b/>
          <w:sz w:val="24"/>
          <w:szCs w:val="24"/>
        </w:rPr>
      </w:pPr>
    </w:p>
    <w:p w:rsidR="000355B5" w:rsidRDefault="000355B5" w:rsidP="009E029D">
      <w:pPr>
        <w:jc w:val="center"/>
        <w:rPr>
          <w:b/>
          <w:sz w:val="24"/>
          <w:szCs w:val="24"/>
        </w:rPr>
      </w:pPr>
    </w:p>
    <w:p w:rsidR="000355B5" w:rsidRDefault="000355B5" w:rsidP="009E029D">
      <w:pPr>
        <w:jc w:val="center"/>
        <w:rPr>
          <w:b/>
          <w:sz w:val="24"/>
          <w:szCs w:val="24"/>
        </w:rPr>
      </w:pPr>
    </w:p>
    <w:p w:rsidR="000355B5" w:rsidRDefault="000355B5" w:rsidP="009E029D">
      <w:pPr>
        <w:jc w:val="center"/>
        <w:rPr>
          <w:b/>
          <w:sz w:val="24"/>
          <w:szCs w:val="24"/>
        </w:rPr>
      </w:pPr>
    </w:p>
    <w:p w:rsidR="000355B5" w:rsidRDefault="000355B5" w:rsidP="009E029D">
      <w:pPr>
        <w:jc w:val="center"/>
        <w:rPr>
          <w:b/>
          <w:sz w:val="24"/>
          <w:szCs w:val="24"/>
        </w:rPr>
      </w:pPr>
    </w:p>
    <w:p w:rsidR="000355B5" w:rsidRDefault="000355B5" w:rsidP="009E029D">
      <w:pPr>
        <w:jc w:val="center"/>
        <w:rPr>
          <w:b/>
          <w:sz w:val="24"/>
          <w:szCs w:val="24"/>
        </w:rPr>
      </w:pPr>
    </w:p>
    <w:p w:rsidR="000355B5" w:rsidRDefault="000355B5" w:rsidP="009E029D">
      <w:pPr>
        <w:jc w:val="center"/>
        <w:rPr>
          <w:b/>
          <w:sz w:val="24"/>
          <w:szCs w:val="24"/>
        </w:rPr>
      </w:pPr>
    </w:p>
    <w:p w:rsidR="000355B5" w:rsidRDefault="000355B5" w:rsidP="009E029D">
      <w:pPr>
        <w:jc w:val="center"/>
        <w:rPr>
          <w:b/>
          <w:sz w:val="24"/>
          <w:szCs w:val="24"/>
        </w:rPr>
      </w:pPr>
    </w:p>
    <w:p w:rsidR="000355B5" w:rsidRDefault="000355B5" w:rsidP="009E029D">
      <w:pPr>
        <w:jc w:val="center"/>
        <w:rPr>
          <w:b/>
          <w:sz w:val="24"/>
          <w:szCs w:val="24"/>
        </w:rPr>
      </w:pPr>
    </w:p>
    <w:p w:rsidR="00142CA5" w:rsidRDefault="00142CA5" w:rsidP="009E029D">
      <w:pPr>
        <w:jc w:val="center"/>
        <w:rPr>
          <w:b/>
          <w:sz w:val="24"/>
          <w:szCs w:val="24"/>
        </w:rPr>
      </w:pPr>
      <w:r w:rsidRPr="00142CA5">
        <w:rPr>
          <w:b/>
          <w:sz w:val="24"/>
          <w:szCs w:val="24"/>
        </w:rPr>
        <w:t>Appendices</w:t>
      </w:r>
    </w:p>
    <w:p w:rsidR="003B02F4" w:rsidRDefault="003B02F4" w:rsidP="00142CA5">
      <w:pPr>
        <w:ind w:left="1004" w:hanging="720"/>
        <w:jc w:val="center"/>
        <w:rPr>
          <w:b/>
          <w:sz w:val="24"/>
          <w:szCs w:val="24"/>
        </w:rPr>
      </w:pPr>
    </w:p>
    <w:tbl>
      <w:tblPr>
        <w:tblW w:w="12661" w:type="dxa"/>
        <w:tblLook w:val="04A0"/>
      </w:tblPr>
      <w:tblGrid>
        <w:gridCol w:w="960"/>
        <w:gridCol w:w="960"/>
        <w:gridCol w:w="1790"/>
        <w:gridCol w:w="222"/>
        <w:gridCol w:w="960"/>
        <w:gridCol w:w="960"/>
        <w:gridCol w:w="1787"/>
        <w:gridCol w:w="222"/>
        <w:gridCol w:w="236"/>
        <w:gridCol w:w="1684"/>
        <w:gridCol w:w="960"/>
        <w:gridCol w:w="960"/>
        <w:gridCol w:w="960"/>
      </w:tblGrid>
      <w:tr w:rsidR="00764337" w:rsidRPr="00764337" w:rsidTr="003B02F4">
        <w:trPr>
          <w:trHeight w:val="45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b/>
                <w:bCs/>
                <w:color w:val="000000"/>
                <w:sz w:val="24"/>
                <w:szCs w:val="24"/>
                <w:lang w:val="en-GB" w:eastAsia="en-GB" w:bidi="ar-SA"/>
              </w:rPr>
            </w:pPr>
            <w:r w:rsidRPr="00764337">
              <w:rPr>
                <w:rFonts w:ascii="Calibri" w:eastAsia="Times New Roman" w:hAnsi="Calibri" w:cs="Times New Roman"/>
                <w:b/>
                <w:bCs/>
                <w:color w:val="000000"/>
                <w:sz w:val="24"/>
                <w:szCs w:val="24"/>
                <w:lang w:val="en-GB" w:eastAsia="en-GB" w:bidi="ar-SA"/>
              </w:rPr>
              <w:t>Gender</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b/>
                <w:bCs/>
                <w:color w:val="000000"/>
                <w:sz w:val="24"/>
                <w:szCs w:val="24"/>
                <w:lang w:val="en-GB" w:eastAsia="en-GB" w:bidi="ar-SA"/>
              </w:rPr>
            </w:pPr>
            <w:r w:rsidRPr="00764337">
              <w:rPr>
                <w:rFonts w:ascii="Calibri" w:eastAsia="Times New Roman" w:hAnsi="Calibri" w:cs="Times New Roman"/>
                <w:b/>
                <w:bCs/>
                <w:color w:val="000000"/>
                <w:sz w:val="24"/>
                <w:szCs w:val="24"/>
                <w:lang w:val="en-GB" w:eastAsia="en-GB" w:bidi="ar-SA"/>
              </w:rPr>
              <w:t>Age</w:t>
            </w:r>
          </w:p>
        </w:tc>
        <w:tc>
          <w:tcPr>
            <w:tcW w:w="2012" w:type="dxa"/>
            <w:gridSpan w:val="2"/>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b/>
                <w:bCs/>
                <w:color w:val="000000"/>
                <w:sz w:val="24"/>
                <w:szCs w:val="24"/>
                <w:lang w:val="en-GB" w:eastAsia="en-GB" w:bidi="ar-SA"/>
              </w:rPr>
            </w:pPr>
            <w:r w:rsidRPr="00764337">
              <w:rPr>
                <w:rFonts w:ascii="Calibri" w:eastAsia="Times New Roman" w:hAnsi="Calibri" w:cs="Times New Roman"/>
                <w:b/>
                <w:bCs/>
                <w:color w:val="000000"/>
                <w:sz w:val="24"/>
                <w:szCs w:val="24"/>
                <w:lang w:val="en-GB" w:eastAsia="en-GB" w:bidi="ar-SA"/>
              </w:rPr>
              <w:t>Anxiety Score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b/>
                <w:bCs/>
                <w:color w:val="000000"/>
                <w:sz w:val="24"/>
                <w:szCs w:val="24"/>
                <w:lang w:val="en-GB" w:eastAsia="en-GB" w:bidi="ar-SA"/>
              </w:rPr>
            </w:pPr>
            <w:r w:rsidRPr="00764337">
              <w:rPr>
                <w:rFonts w:ascii="Calibri" w:eastAsia="Times New Roman" w:hAnsi="Calibri" w:cs="Times New Roman"/>
                <w:b/>
                <w:bCs/>
                <w:color w:val="000000"/>
                <w:sz w:val="24"/>
                <w:szCs w:val="24"/>
                <w:lang w:val="en-GB" w:eastAsia="en-GB" w:bidi="ar-SA"/>
              </w:rPr>
              <w:t>Gender</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b/>
                <w:bCs/>
                <w:color w:val="000000"/>
                <w:sz w:val="24"/>
                <w:szCs w:val="24"/>
                <w:lang w:val="en-GB" w:eastAsia="en-GB" w:bidi="ar-SA"/>
              </w:rPr>
            </w:pPr>
            <w:r w:rsidRPr="00764337">
              <w:rPr>
                <w:rFonts w:ascii="Calibri" w:eastAsia="Times New Roman" w:hAnsi="Calibri" w:cs="Times New Roman"/>
                <w:b/>
                <w:bCs/>
                <w:color w:val="000000"/>
                <w:sz w:val="24"/>
                <w:szCs w:val="24"/>
                <w:lang w:val="en-GB" w:eastAsia="en-GB" w:bidi="ar-SA"/>
              </w:rPr>
              <w:t>Age</w:t>
            </w:r>
          </w:p>
        </w:tc>
        <w:tc>
          <w:tcPr>
            <w:tcW w:w="2009" w:type="dxa"/>
            <w:gridSpan w:val="2"/>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b/>
                <w:bCs/>
                <w:color w:val="000000"/>
                <w:sz w:val="24"/>
                <w:szCs w:val="24"/>
                <w:lang w:val="en-GB" w:eastAsia="en-GB" w:bidi="ar-SA"/>
              </w:rPr>
            </w:pPr>
            <w:r w:rsidRPr="00764337">
              <w:rPr>
                <w:rFonts w:ascii="Calibri" w:eastAsia="Times New Roman" w:hAnsi="Calibri" w:cs="Times New Roman"/>
                <w:b/>
                <w:bCs/>
                <w:color w:val="000000"/>
                <w:sz w:val="24"/>
                <w:szCs w:val="24"/>
                <w:lang w:val="en-GB" w:eastAsia="en-GB" w:bidi="ar-SA"/>
              </w:rPr>
              <w:t>Anxiety Score</w:t>
            </w: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19</w:t>
            </w:r>
          </w:p>
        </w:tc>
        <w:tc>
          <w:tcPr>
            <w:tcW w:w="1790"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40</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28</w:t>
            </w:r>
          </w:p>
        </w:tc>
        <w:tc>
          <w:tcPr>
            <w:tcW w:w="1787"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48</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644" w:type="dxa"/>
            <w:gridSpan w:val="2"/>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rPr>
                <w:rFonts w:ascii="Calibri" w:eastAsia="Times New Roman" w:hAnsi="Calibri" w:cs="Times New Roman"/>
                <w:color w:val="006100"/>
                <w:sz w:val="20"/>
                <w:szCs w:val="20"/>
                <w:lang w:val="en-GB" w:eastAsia="en-GB" w:bidi="ar-SA"/>
              </w:rPr>
            </w:pPr>
            <w:r w:rsidRPr="00764337">
              <w:rPr>
                <w:rFonts w:ascii="Calibri" w:eastAsia="Times New Roman" w:hAnsi="Calibri" w:cs="Times New Roman"/>
                <w:color w:val="006100"/>
                <w:sz w:val="20"/>
                <w:szCs w:val="20"/>
                <w:lang w:val="en-GB" w:eastAsia="en-GB" w:bidi="ar-SA"/>
              </w:rPr>
              <w:t>Low anxiety</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18</w:t>
            </w:r>
          </w:p>
        </w:tc>
        <w:tc>
          <w:tcPr>
            <w:tcW w:w="1790"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33</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32</w:t>
            </w:r>
          </w:p>
        </w:tc>
        <w:tc>
          <w:tcPr>
            <w:tcW w:w="1787"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10</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644" w:type="dxa"/>
            <w:gridSpan w:val="2"/>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rPr>
                <w:rFonts w:ascii="Calibri" w:eastAsia="Times New Roman" w:hAnsi="Calibri" w:cs="Times New Roman"/>
                <w:color w:val="9C6500"/>
                <w:sz w:val="20"/>
                <w:szCs w:val="20"/>
                <w:lang w:val="en-GB" w:eastAsia="en-GB" w:bidi="ar-SA"/>
              </w:rPr>
            </w:pPr>
            <w:r w:rsidRPr="00764337">
              <w:rPr>
                <w:rFonts w:ascii="Calibri" w:eastAsia="Times New Roman" w:hAnsi="Calibri" w:cs="Times New Roman"/>
                <w:color w:val="9C6500"/>
                <w:sz w:val="20"/>
                <w:szCs w:val="20"/>
                <w:lang w:val="en-GB" w:eastAsia="en-GB" w:bidi="ar-SA"/>
              </w:rPr>
              <w:t>Moderate anxiety</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22</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21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18</w:t>
            </w:r>
          </w:p>
        </w:tc>
        <w:tc>
          <w:tcPr>
            <w:tcW w:w="1787"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19</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3604" w:type="dxa"/>
            <w:gridSpan w:val="3"/>
            <w:tcBorders>
              <w:top w:val="nil"/>
              <w:left w:val="nil"/>
              <w:bottom w:val="nil"/>
              <w:right w:val="nil"/>
            </w:tcBorders>
            <w:shd w:val="clear" w:color="000000" w:fill="FFC7CE"/>
            <w:noWrap/>
            <w:vAlign w:val="bottom"/>
            <w:hideMark/>
          </w:tcPr>
          <w:p w:rsidR="003B02F4" w:rsidRPr="003B02F4" w:rsidRDefault="00764337" w:rsidP="00764337">
            <w:pPr>
              <w:spacing w:after="0" w:line="240" w:lineRule="auto"/>
              <w:rPr>
                <w:rFonts w:ascii="Calibri" w:eastAsia="Times New Roman" w:hAnsi="Calibri" w:cs="Times New Roman"/>
                <w:color w:val="9C0006"/>
                <w:sz w:val="20"/>
                <w:szCs w:val="20"/>
                <w:lang w:val="en-GB" w:eastAsia="en-GB" w:bidi="ar-SA"/>
              </w:rPr>
            </w:pPr>
            <w:r w:rsidRPr="00764337">
              <w:rPr>
                <w:rFonts w:ascii="Calibri" w:eastAsia="Times New Roman" w:hAnsi="Calibri" w:cs="Times New Roman"/>
                <w:color w:val="9C0006"/>
                <w:sz w:val="20"/>
                <w:szCs w:val="20"/>
                <w:lang w:val="en-GB" w:eastAsia="en-GB" w:bidi="ar-SA"/>
              </w:rPr>
              <w:t xml:space="preserve">Potentially concerning </w:t>
            </w:r>
          </w:p>
          <w:p w:rsidR="00764337" w:rsidRPr="00764337" w:rsidRDefault="00764337" w:rsidP="00764337">
            <w:pPr>
              <w:spacing w:after="0" w:line="240" w:lineRule="auto"/>
              <w:rPr>
                <w:rFonts w:ascii="Calibri" w:eastAsia="Times New Roman" w:hAnsi="Calibri" w:cs="Times New Roman"/>
                <w:color w:val="9C0006"/>
                <w:sz w:val="20"/>
                <w:szCs w:val="20"/>
                <w:lang w:val="en-GB" w:eastAsia="en-GB" w:bidi="ar-SA"/>
              </w:rPr>
            </w:pPr>
            <w:r w:rsidRPr="00764337">
              <w:rPr>
                <w:rFonts w:ascii="Calibri" w:eastAsia="Times New Roman" w:hAnsi="Calibri" w:cs="Times New Roman"/>
                <w:color w:val="9C0006"/>
                <w:sz w:val="20"/>
                <w:szCs w:val="20"/>
                <w:lang w:val="en-GB" w:eastAsia="en-GB" w:bidi="ar-SA"/>
              </w:rPr>
              <w:t>anxiety</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18</w:t>
            </w:r>
          </w:p>
        </w:tc>
        <w:tc>
          <w:tcPr>
            <w:tcW w:w="1790"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26</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19</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31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18</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20</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24</w:t>
            </w:r>
          </w:p>
        </w:tc>
        <w:tc>
          <w:tcPr>
            <w:tcW w:w="1787"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44</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19</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27</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31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30</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15</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25</w:t>
            </w:r>
          </w:p>
        </w:tc>
        <w:tc>
          <w:tcPr>
            <w:tcW w:w="1787"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16</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39</w:t>
            </w:r>
          </w:p>
        </w:tc>
        <w:tc>
          <w:tcPr>
            <w:tcW w:w="1790"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29</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24</w:t>
            </w:r>
          </w:p>
        </w:tc>
        <w:tc>
          <w:tcPr>
            <w:tcW w:w="1787"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18</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29</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18</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21</w:t>
            </w:r>
          </w:p>
        </w:tc>
        <w:tc>
          <w:tcPr>
            <w:tcW w:w="1787"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51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24</w:t>
            </w:r>
          </w:p>
        </w:tc>
        <w:tc>
          <w:tcPr>
            <w:tcW w:w="1790"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33</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28</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33</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28</w:t>
            </w:r>
          </w:p>
        </w:tc>
        <w:tc>
          <w:tcPr>
            <w:tcW w:w="1790"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37</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30</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22</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20</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12</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31</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23</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25</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19</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25</w:t>
            </w:r>
          </w:p>
        </w:tc>
        <w:tc>
          <w:tcPr>
            <w:tcW w:w="1787"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21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21</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10</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28</w:t>
            </w:r>
          </w:p>
        </w:tc>
        <w:tc>
          <w:tcPr>
            <w:tcW w:w="1787"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17</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35</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21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26</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22</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25</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27</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28</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18</w:t>
            </w:r>
          </w:p>
        </w:tc>
        <w:tc>
          <w:tcPr>
            <w:tcW w:w="1790"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40</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19</w:t>
            </w:r>
          </w:p>
        </w:tc>
        <w:tc>
          <w:tcPr>
            <w:tcW w:w="1787"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20</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35</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21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20</w:t>
            </w:r>
          </w:p>
        </w:tc>
        <w:tc>
          <w:tcPr>
            <w:tcW w:w="1787"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38</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0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29</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18</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29</w:t>
            </w:r>
          </w:p>
        </w:tc>
        <w:tc>
          <w:tcPr>
            <w:tcW w:w="1787" w:type="dxa"/>
            <w:tcBorders>
              <w:top w:val="nil"/>
              <w:left w:val="nil"/>
              <w:bottom w:val="nil"/>
              <w:right w:val="nil"/>
            </w:tcBorders>
            <w:shd w:val="clear" w:color="000000" w:fill="FFC7CE"/>
            <w:noWrap/>
            <w:vAlign w:val="bottom"/>
            <w:hideMark/>
          </w:tcPr>
          <w:p w:rsidR="00764337" w:rsidRPr="00764337" w:rsidRDefault="00764337" w:rsidP="00764337">
            <w:pPr>
              <w:spacing w:after="0" w:line="240" w:lineRule="auto"/>
              <w:jc w:val="right"/>
              <w:rPr>
                <w:rFonts w:ascii="Calibri" w:eastAsia="Times New Roman" w:hAnsi="Calibri" w:cs="Times New Roman"/>
                <w:color w:val="9C0006"/>
                <w:sz w:val="24"/>
                <w:szCs w:val="24"/>
                <w:lang w:val="en-GB" w:eastAsia="en-GB" w:bidi="ar-SA"/>
              </w:rPr>
            </w:pPr>
            <w:r w:rsidRPr="00764337">
              <w:rPr>
                <w:rFonts w:ascii="Calibri" w:eastAsia="Times New Roman" w:hAnsi="Calibri" w:cs="Times New Roman"/>
                <w:color w:val="9C0006"/>
                <w:sz w:val="24"/>
                <w:szCs w:val="24"/>
                <w:lang w:val="en-GB" w:eastAsia="en-GB" w:bidi="ar-SA"/>
              </w:rPr>
              <w:t>42</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15"/>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34</w:t>
            </w:r>
          </w:p>
        </w:tc>
        <w:tc>
          <w:tcPr>
            <w:tcW w:w="1790" w:type="dxa"/>
            <w:tcBorders>
              <w:top w:val="nil"/>
              <w:left w:val="nil"/>
              <w:bottom w:val="nil"/>
              <w:right w:val="nil"/>
            </w:tcBorders>
            <w:shd w:val="clear" w:color="000000" w:fill="C6EFCE"/>
            <w:noWrap/>
            <w:vAlign w:val="bottom"/>
            <w:hideMark/>
          </w:tcPr>
          <w:p w:rsidR="00764337" w:rsidRPr="00764337" w:rsidRDefault="00764337" w:rsidP="00764337">
            <w:pPr>
              <w:spacing w:after="0" w:line="240" w:lineRule="auto"/>
              <w:jc w:val="right"/>
              <w:rPr>
                <w:rFonts w:ascii="Calibri" w:eastAsia="Times New Roman" w:hAnsi="Calibri" w:cs="Times New Roman"/>
                <w:color w:val="006100"/>
                <w:sz w:val="24"/>
                <w:szCs w:val="24"/>
                <w:lang w:val="en-GB" w:eastAsia="en-GB" w:bidi="ar-SA"/>
              </w:rPr>
            </w:pPr>
            <w:r w:rsidRPr="00764337">
              <w:rPr>
                <w:rFonts w:ascii="Calibri" w:eastAsia="Times New Roman" w:hAnsi="Calibri" w:cs="Times New Roman"/>
                <w:color w:val="006100"/>
                <w:sz w:val="24"/>
                <w:szCs w:val="24"/>
                <w:lang w:val="en-GB" w:eastAsia="en-GB" w:bidi="ar-SA"/>
              </w:rPr>
              <w:t>10</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Female</w:t>
            </w: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jc w:val="right"/>
              <w:rPr>
                <w:rFonts w:ascii="Calibri" w:eastAsia="Times New Roman" w:hAnsi="Calibri" w:cs="Times New Roman"/>
                <w:color w:val="000000"/>
                <w:sz w:val="24"/>
                <w:szCs w:val="24"/>
                <w:lang w:val="en-GB" w:eastAsia="en-GB" w:bidi="ar-SA"/>
              </w:rPr>
            </w:pPr>
            <w:r w:rsidRPr="00764337">
              <w:rPr>
                <w:rFonts w:ascii="Calibri" w:eastAsia="Times New Roman" w:hAnsi="Calibri" w:cs="Times New Roman"/>
                <w:color w:val="000000"/>
                <w:sz w:val="24"/>
                <w:szCs w:val="24"/>
                <w:lang w:val="en-GB" w:eastAsia="en-GB" w:bidi="ar-SA"/>
              </w:rPr>
              <w:t>21</w:t>
            </w:r>
          </w:p>
        </w:tc>
        <w:tc>
          <w:tcPr>
            <w:tcW w:w="1787" w:type="dxa"/>
            <w:tcBorders>
              <w:top w:val="nil"/>
              <w:left w:val="nil"/>
              <w:bottom w:val="nil"/>
              <w:right w:val="nil"/>
            </w:tcBorders>
            <w:shd w:val="clear" w:color="000000" w:fill="FFEB9C"/>
            <w:noWrap/>
            <w:vAlign w:val="bottom"/>
            <w:hideMark/>
          </w:tcPr>
          <w:p w:rsidR="00764337" w:rsidRPr="00764337" w:rsidRDefault="00764337" w:rsidP="00764337">
            <w:pPr>
              <w:spacing w:after="0" w:line="240" w:lineRule="auto"/>
              <w:jc w:val="right"/>
              <w:rPr>
                <w:rFonts w:ascii="Calibri" w:eastAsia="Times New Roman" w:hAnsi="Calibri" w:cs="Times New Roman"/>
                <w:color w:val="9C6500"/>
                <w:sz w:val="24"/>
                <w:szCs w:val="24"/>
                <w:lang w:val="en-GB" w:eastAsia="en-GB" w:bidi="ar-SA"/>
              </w:rPr>
            </w:pPr>
            <w:r w:rsidRPr="00764337">
              <w:rPr>
                <w:rFonts w:ascii="Calibri" w:eastAsia="Times New Roman" w:hAnsi="Calibri" w:cs="Times New Roman"/>
                <w:color w:val="9C6500"/>
                <w:sz w:val="24"/>
                <w:szCs w:val="24"/>
                <w:lang w:val="en-GB" w:eastAsia="en-GB" w:bidi="ar-SA"/>
              </w:rPr>
              <w:t>31</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r w:rsidR="00764337" w:rsidRPr="00764337" w:rsidTr="003B02F4">
        <w:trPr>
          <w:trHeight w:val="330"/>
        </w:trPr>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rsidR="00764337" w:rsidRPr="00764337" w:rsidRDefault="00764337" w:rsidP="00764337">
            <w:pPr>
              <w:spacing w:after="0" w:line="240" w:lineRule="auto"/>
              <w:jc w:val="right"/>
              <w:rPr>
                <w:rFonts w:ascii="Calibri" w:eastAsia="Times New Roman" w:hAnsi="Calibri" w:cs="Times New Roman"/>
                <w:b/>
                <w:bCs/>
                <w:color w:val="FFFFFF"/>
                <w:sz w:val="24"/>
                <w:szCs w:val="24"/>
                <w:lang w:val="en-GB" w:eastAsia="en-GB" w:bidi="ar-SA"/>
              </w:rPr>
            </w:pPr>
            <w:r w:rsidRPr="00764337">
              <w:rPr>
                <w:rFonts w:ascii="Calibri" w:eastAsia="Times New Roman" w:hAnsi="Calibri" w:cs="Times New Roman"/>
                <w:b/>
                <w:bCs/>
                <w:color w:val="FFFFFF"/>
                <w:sz w:val="24"/>
                <w:szCs w:val="24"/>
                <w:lang w:val="en-GB" w:eastAsia="en-GB" w:bidi="ar-SA"/>
              </w:rPr>
              <w:t>25.3</w:t>
            </w:r>
          </w:p>
        </w:tc>
        <w:tc>
          <w:tcPr>
            <w:tcW w:w="1790" w:type="dxa"/>
            <w:tcBorders>
              <w:top w:val="double" w:sz="6" w:space="0" w:color="3F3F3F"/>
              <w:left w:val="nil"/>
              <w:bottom w:val="double" w:sz="6" w:space="0" w:color="3F3F3F"/>
              <w:right w:val="double" w:sz="6" w:space="0" w:color="3F3F3F"/>
            </w:tcBorders>
            <w:shd w:val="clear" w:color="000000" w:fill="A5A5A5"/>
            <w:noWrap/>
            <w:vAlign w:val="bottom"/>
            <w:hideMark/>
          </w:tcPr>
          <w:p w:rsidR="00764337" w:rsidRPr="00764337" w:rsidRDefault="00764337" w:rsidP="00764337">
            <w:pPr>
              <w:spacing w:after="0" w:line="240" w:lineRule="auto"/>
              <w:jc w:val="right"/>
              <w:rPr>
                <w:rFonts w:ascii="Calibri" w:eastAsia="Times New Roman" w:hAnsi="Calibri" w:cs="Times New Roman"/>
                <w:b/>
                <w:bCs/>
                <w:color w:val="FFFFFF"/>
                <w:sz w:val="24"/>
                <w:szCs w:val="24"/>
                <w:lang w:val="en-GB" w:eastAsia="en-GB" w:bidi="ar-SA"/>
              </w:rPr>
            </w:pPr>
            <w:r w:rsidRPr="00764337">
              <w:rPr>
                <w:rFonts w:ascii="Calibri" w:eastAsia="Times New Roman" w:hAnsi="Calibri" w:cs="Times New Roman"/>
                <w:b/>
                <w:bCs/>
                <w:color w:val="FFFFFF"/>
                <w:sz w:val="24"/>
                <w:szCs w:val="24"/>
                <w:lang w:val="en-GB" w:eastAsia="en-GB" w:bidi="ar-SA"/>
              </w:rPr>
              <w:t>22.25</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single" w:sz="4" w:space="0" w:color="7F7F7F"/>
              <w:left w:val="single" w:sz="4" w:space="0" w:color="7F7F7F"/>
              <w:bottom w:val="single" w:sz="4" w:space="0" w:color="7F7F7F"/>
              <w:right w:val="single" w:sz="4" w:space="0" w:color="7F7F7F"/>
            </w:tcBorders>
            <w:shd w:val="clear" w:color="000000" w:fill="F2F2F2"/>
            <w:noWrap/>
            <w:vAlign w:val="bottom"/>
            <w:hideMark/>
          </w:tcPr>
          <w:p w:rsidR="00764337" w:rsidRPr="00764337" w:rsidRDefault="00764337" w:rsidP="00764337">
            <w:pPr>
              <w:spacing w:after="0" w:line="240" w:lineRule="auto"/>
              <w:jc w:val="right"/>
              <w:rPr>
                <w:rFonts w:ascii="Calibri" w:eastAsia="Times New Roman" w:hAnsi="Calibri" w:cs="Times New Roman"/>
                <w:b/>
                <w:bCs/>
                <w:color w:val="FA7D00"/>
                <w:sz w:val="24"/>
                <w:szCs w:val="24"/>
                <w:lang w:val="en-GB" w:eastAsia="en-GB" w:bidi="ar-SA"/>
              </w:rPr>
            </w:pPr>
            <w:r w:rsidRPr="00764337">
              <w:rPr>
                <w:rFonts w:ascii="Calibri" w:eastAsia="Times New Roman" w:hAnsi="Calibri" w:cs="Times New Roman"/>
                <w:b/>
                <w:bCs/>
                <w:color w:val="FA7D00"/>
                <w:sz w:val="24"/>
                <w:szCs w:val="24"/>
                <w:lang w:val="en-GB" w:eastAsia="en-GB" w:bidi="ar-SA"/>
              </w:rPr>
              <w:t>25.1</w:t>
            </w:r>
          </w:p>
        </w:tc>
        <w:tc>
          <w:tcPr>
            <w:tcW w:w="1787" w:type="dxa"/>
            <w:tcBorders>
              <w:top w:val="single" w:sz="4" w:space="0" w:color="7F7F7F"/>
              <w:left w:val="nil"/>
              <w:bottom w:val="single" w:sz="4" w:space="0" w:color="7F7F7F"/>
              <w:right w:val="single" w:sz="4" w:space="0" w:color="7F7F7F"/>
            </w:tcBorders>
            <w:shd w:val="clear" w:color="000000" w:fill="F2F2F2"/>
            <w:noWrap/>
            <w:vAlign w:val="bottom"/>
            <w:hideMark/>
          </w:tcPr>
          <w:p w:rsidR="00764337" w:rsidRPr="00764337" w:rsidRDefault="00764337" w:rsidP="00764337">
            <w:pPr>
              <w:spacing w:after="0" w:line="240" w:lineRule="auto"/>
              <w:jc w:val="right"/>
              <w:rPr>
                <w:rFonts w:ascii="Calibri" w:eastAsia="Times New Roman" w:hAnsi="Calibri" w:cs="Times New Roman"/>
                <w:b/>
                <w:bCs/>
                <w:color w:val="FA7D00"/>
                <w:sz w:val="24"/>
                <w:szCs w:val="24"/>
                <w:lang w:val="en-GB" w:eastAsia="en-GB" w:bidi="ar-SA"/>
              </w:rPr>
            </w:pPr>
            <w:r w:rsidRPr="00764337">
              <w:rPr>
                <w:rFonts w:ascii="Calibri" w:eastAsia="Times New Roman" w:hAnsi="Calibri" w:cs="Times New Roman"/>
                <w:b/>
                <w:bCs/>
                <w:color w:val="FA7D00"/>
                <w:sz w:val="24"/>
                <w:szCs w:val="24"/>
                <w:lang w:val="en-GB" w:eastAsia="en-GB" w:bidi="ar-SA"/>
              </w:rPr>
              <w:t>28.25</w:t>
            </w:r>
          </w:p>
        </w:tc>
        <w:tc>
          <w:tcPr>
            <w:tcW w:w="222"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236"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1684"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c>
          <w:tcPr>
            <w:tcW w:w="960" w:type="dxa"/>
            <w:tcBorders>
              <w:top w:val="nil"/>
              <w:left w:val="nil"/>
              <w:bottom w:val="nil"/>
              <w:right w:val="nil"/>
            </w:tcBorders>
            <w:shd w:val="clear" w:color="auto" w:fill="auto"/>
            <w:noWrap/>
            <w:vAlign w:val="bottom"/>
            <w:hideMark/>
          </w:tcPr>
          <w:p w:rsidR="00764337" w:rsidRPr="00764337" w:rsidRDefault="00764337" w:rsidP="00764337">
            <w:pPr>
              <w:spacing w:after="0" w:line="240" w:lineRule="auto"/>
              <w:rPr>
                <w:rFonts w:ascii="Calibri" w:eastAsia="Times New Roman" w:hAnsi="Calibri" w:cs="Times New Roman"/>
                <w:color w:val="000000"/>
                <w:sz w:val="24"/>
                <w:szCs w:val="24"/>
                <w:lang w:val="en-GB" w:eastAsia="en-GB" w:bidi="ar-SA"/>
              </w:rPr>
            </w:pPr>
          </w:p>
        </w:tc>
      </w:tr>
    </w:tbl>
    <w:p w:rsidR="00142CA5" w:rsidRPr="00142CA5" w:rsidRDefault="00142CA5" w:rsidP="003607EE">
      <w:pPr>
        <w:ind w:left="1004" w:hanging="720"/>
        <w:rPr>
          <w:sz w:val="24"/>
          <w:szCs w:val="24"/>
        </w:rPr>
      </w:pPr>
    </w:p>
    <w:sectPr w:rsidR="00142CA5" w:rsidRPr="00142CA5" w:rsidSect="0079219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67185D"/>
    <w:rsid w:val="000141EA"/>
    <w:rsid w:val="000355B5"/>
    <w:rsid w:val="000A2860"/>
    <w:rsid w:val="000B33D3"/>
    <w:rsid w:val="000E1F69"/>
    <w:rsid w:val="000E51BD"/>
    <w:rsid w:val="0010695A"/>
    <w:rsid w:val="00142CA5"/>
    <w:rsid w:val="001502F8"/>
    <w:rsid w:val="00172327"/>
    <w:rsid w:val="00195C69"/>
    <w:rsid w:val="001A630D"/>
    <w:rsid w:val="001B161D"/>
    <w:rsid w:val="00244714"/>
    <w:rsid w:val="00277733"/>
    <w:rsid w:val="0032002B"/>
    <w:rsid w:val="0032613C"/>
    <w:rsid w:val="003607EE"/>
    <w:rsid w:val="00366F09"/>
    <w:rsid w:val="003B02F4"/>
    <w:rsid w:val="003B2680"/>
    <w:rsid w:val="004055A0"/>
    <w:rsid w:val="00426021"/>
    <w:rsid w:val="004C7015"/>
    <w:rsid w:val="004F4D93"/>
    <w:rsid w:val="005039BD"/>
    <w:rsid w:val="00520642"/>
    <w:rsid w:val="005319BB"/>
    <w:rsid w:val="00554C67"/>
    <w:rsid w:val="00561284"/>
    <w:rsid w:val="005625C5"/>
    <w:rsid w:val="005737C7"/>
    <w:rsid w:val="00586311"/>
    <w:rsid w:val="005B24E2"/>
    <w:rsid w:val="005F02B9"/>
    <w:rsid w:val="005F4894"/>
    <w:rsid w:val="006033E8"/>
    <w:rsid w:val="0061288A"/>
    <w:rsid w:val="00630086"/>
    <w:rsid w:val="006563E8"/>
    <w:rsid w:val="0067185D"/>
    <w:rsid w:val="006B7AC2"/>
    <w:rsid w:val="006C1611"/>
    <w:rsid w:val="006D6369"/>
    <w:rsid w:val="00704537"/>
    <w:rsid w:val="0071676E"/>
    <w:rsid w:val="00740A0B"/>
    <w:rsid w:val="00750289"/>
    <w:rsid w:val="007561D2"/>
    <w:rsid w:val="00764337"/>
    <w:rsid w:val="007739B6"/>
    <w:rsid w:val="00784CE5"/>
    <w:rsid w:val="00786752"/>
    <w:rsid w:val="0079219D"/>
    <w:rsid w:val="007C6E22"/>
    <w:rsid w:val="007F5450"/>
    <w:rsid w:val="008147DA"/>
    <w:rsid w:val="00815167"/>
    <w:rsid w:val="00861B8A"/>
    <w:rsid w:val="0086400F"/>
    <w:rsid w:val="008724FE"/>
    <w:rsid w:val="00874FFA"/>
    <w:rsid w:val="008C37AA"/>
    <w:rsid w:val="008D3E6C"/>
    <w:rsid w:val="008E1DB5"/>
    <w:rsid w:val="0092388C"/>
    <w:rsid w:val="00924D15"/>
    <w:rsid w:val="00972D97"/>
    <w:rsid w:val="009962C9"/>
    <w:rsid w:val="009B01D9"/>
    <w:rsid w:val="009B40C4"/>
    <w:rsid w:val="009B417C"/>
    <w:rsid w:val="009E029D"/>
    <w:rsid w:val="009E26AB"/>
    <w:rsid w:val="009E72A4"/>
    <w:rsid w:val="00A05317"/>
    <w:rsid w:val="00A30B0E"/>
    <w:rsid w:val="00A457F1"/>
    <w:rsid w:val="00A54F50"/>
    <w:rsid w:val="00A645FD"/>
    <w:rsid w:val="00A76612"/>
    <w:rsid w:val="00AC3271"/>
    <w:rsid w:val="00AF0A71"/>
    <w:rsid w:val="00AF6FB4"/>
    <w:rsid w:val="00B722EA"/>
    <w:rsid w:val="00BA00E1"/>
    <w:rsid w:val="00BA2185"/>
    <w:rsid w:val="00BA58A2"/>
    <w:rsid w:val="00BC4B4B"/>
    <w:rsid w:val="00C32FFD"/>
    <w:rsid w:val="00C909DF"/>
    <w:rsid w:val="00CB7712"/>
    <w:rsid w:val="00CD393D"/>
    <w:rsid w:val="00CE2D3C"/>
    <w:rsid w:val="00CE31C4"/>
    <w:rsid w:val="00CF15E9"/>
    <w:rsid w:val="00D06CD0"/>
    <w:rsid w:val="00D74F95"/>
    <w:rsid w:val="00D75622"/>
    <w:rsid w:val="00D81BB4"/>
    <w:rsid w:val="00DF0D69"/>
    <w:rsid w:val="00DF24D2"/>
    <w:rsid w:val="00E044B4"/>
    <w:rsid w:val="00E40443"/>
    <w:rsid w:val="00E46E80"/>
    <w:rsid w:val="00E81A08"/>
    <w:rsid w:val="00E8537D"/>
    <w:rsid w:val="00E9372B"/>
    <w:rsid w:val="00EA51D9"/>
    <w:rsid w:val="00F16276"/>
    <w:rsid w:val="00F200F2"/>
    <w:rsid w:val="00F30E62"/>
    <w:rsid w:val="00F96444"/>
    <w:rsid w:val="00FF41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2A4"/>
  </w:style>
  <w:style w:type="paragraph" w:styleId="Heading1">
    <w:name w:val="heading 1"/>
    <w:basedOn w:val="Normal"/>
    <w:next w:val="Normal"/>
    <w:link w:val="Heading1Char"/>
    <w:uiPriority w:val="9"/>
    <w:qFormat/>
    <w:rsid w:val="009E72A4"/>
    <w:pPr>
      <w:pBdr>
        <w:bottom w:val="thinThickSmallGap" w:sz="12" w:space="1" w:color="AF0F5A" w:themeColor="accent2" w:themeShade="BF"/>
      </w:pBdr>
      <w:spacing w:before="400"/>
      <w:jc w:val="center"/>
      <w:outlineLvl w:val="0"/>
    </w:pPr>
    <w:rPr>
      <w:caps/>
      <w:color w:val="750A3C" w:themeColor="accent2" w:themeShade="80"/>
      <w:spacing w:val="20"/>
      <w:sz w:val="28"/>
      <w:szCs w:val="28"/>
    </w:rPr>
  </w:style>
  <w:style w:type="paragraph" w:styleId="Heading2">
    <w:name w:val="heading 2"/>
    <w:basedOn w:val="Normal"/>
    <w:next w:val="Normal"/>
    <w:link w:val="Heading2Char"/>
    <w:uiPriority w:val="9"/>
    <w:semiHidden/>
    <w:unhideWhenUsed/>
    <w:qFormat/>
    <w:rsid w:val="009E72A4"/>
    <w:pPr>
      <w:pBdr>
        <w:bottom w:val="single" w:sz="4" w:space="1" w:color="740A3C" w:themeColor="accent2" w:themeShade="7F"/>
      </w:pBdr>
      <w:spacing w:before="400"/>
      <w:jc w:val="center"/>
      <w:outlineLvl w:val="1"/>
    </w:pPr>
    <w:rPr>
      <w:caps/>
      <w:color w:val="750A3C" w:themeColor="accent2" w:themeShade="80"/>
      <w:spacing w:val="15"/>
      <w:sz w:val="24"/>
      <w:szCs w:val="24"/>
    </w:rPr>
  </w:style>
  <w:style w:type="paragraph" w:styleId="Heading3">
    <w:name w:val="heading 3"/>
    <w:basedOn w:val="Normal"/>
    <w:next w:val="Normal"/>
    <w:link w:val="Heading3Char"/>
    <w:uiPriority w:val="9"/>
    <w:semiHidden/>
    <w:unhideWhenUsed/>
    <w:qFormat/>
    <w:rsid w:val="009E72A4"/>
    <w:pPr>
      <w:pBdr>
        <w:top w:val="dotted" w:sz="4" w:space="1" w:color="740A3C" w:themeColor="accent2" w:themeShade="7F"/>
        <w:bottom w:val="dotted" w:sz="4" w:space="1" w:color="740A3C" w:themeColor="accent2" w:themeShade="7F"/>
      </w:pBdr>
      <w:spacing w:before="300"/>
      <w:jc w:val="center"/>
      <w:outlineLvl w:val="2"/>
    </w:pPr>
    <w:rPr>
      <w:caps/>
      <w:color w:val="740A3C" w:themeColor="accent2" w:themeShade="7F"/>
      <w:sz w:val="24"/>
      <w:szCs w:val="24"/>
    </w:rPr>
  </w:style>
  <w:style w:type="paragraph" w:styleId="Heading4">
    <w:name w:val="heading 4"/>
    <w:basedOn w:val="Normal"/>
    <w:next w:val="Normal"/>
    <w:link w:val="Heading4Char"/>
    <w:uiPriority w:val="9"/>
    <w:semiHidden/>
    <w:unhideWhenUsed/>
    <w:qFormat/>
    <w:rsid w:val="009E72A4"/>
    <w:pPr>
      <w:pBdr>
        <w:bottom w:val="dotted" w:sz="4" w:space="1" w:color="AF0F5A" w:themeColor="accent2" w:themeShade="BF"/>
      </w:pBdr>
      <w:spacing w:after="120"/>
      <w:jc w:val="center"/>
      <w:outlineLvl w:val="3"/>
    </w:pPr>
    <w:rPr>
      <w:caps/>
      <w:color w:val="740A3C" w:themeColor="accent2" w:themeShade="7F"/>
      <w:spacing w:val="10"/>
    </w:rPr>
  </w:style>
  <w:style w:type="paragraph" w:styleId="Heading5">
    <w:name w:val="heading 5"/>
    <w:basedOn w:val="Normal"/>
    <w:next w:val="Normal"/>
    <w:link w:val="Heading5Char"/>
    <w:uiPriority w:val="9"/>
    <w:semiHidden/>
    <w:unhideWhenUsed/>
    <w:qFormat/>
    <w:rsid w:val="009E72A4"/>
    <w:pPr>
      <w:spacing w:before="320" w:after="120"/>
      <w:jc w:val="center"/>
      <w:outlineLvl w:val="4"/>
    </w:pPr>
    <w:rPr>
      <w:caps/>
      <w:color w:val="740A3C" w:themeColor="accent2" w:themeShade="7F"/>
      <w:spacing w:val="10"/>
    </w:rPr>
  </w:style>
  <w:style w:type="paragraph" w:styleId="Heading6">
    <w:name w:val="heading 6"/>
    <w:basedOn w:val="Normal"/>
    <w:next w:val="Normal"/>
    <w:link w:val="Heading6Char"/>
    <w:uiPriority w:val="9"/>
    <w:semiHidden/>
    <w:unhideWhenUsed/>
    <w:qFormat/>
    <w:rsid w:val="009E72A4"/>
    <w:pPr>
      <w:spacing w:after="120"/>
      <w:jc w:val="center"/>
      <w:outlineLvl w:val="5"/>
    </w:pPr>
    <w:rPr>
      <w:caps/>
      <w:color w:val="AF0F5A" w:themeColor="accent2" w:themeShade="BF"/>
      <w:spacing w:val="10"/>
    </w:rPr>
  </w:style>
  <w:style w:type="paragraph" w:styleId="Heading7">
    <w:name w:val="heading 7"/>
    <w:basedOn w:val="Normal"/>
    <w:next w:val="Normal"/>
    <w:link w:val="Heading7Char"/>
    <w:uiPriority w:val="9"/>
    <w:semiHidden/>
    <w:unhideWhenUsed/>
    <w:qFormat/>
    <w:rsid w:val="009E72A4"/>
    <w:pPr>
      <w:spacing w:after="120"/>
      <w:jc w:val="center"/>
      <w:outlineLvl w:val="6"/>
    </w:pPr>
    <w:rPr>
      <w:i/>
      <w:iCs/>
      <w:caps/>
      <w:color w:val="AF0F5A" w:themeColor="accent2" w:themeShade="BF"/>
      <w:spacing w:val="10"/>
    </w:rPr>
  </w:style>
  <w:style w:type="paragraph" w:styleId="Heading8">
    <w:name w:val="heading 8"/>
    <w:basedOn w:val="Normal"/>
    <w:next w:val="Normal"/>
    <w:link w:val="Heading8Char"/>
    <w:uiPriority w:val="9"/>
    <w:semiHidden/>
    <w:unhideWhenUsed/>
    <w:qFormat/>
    <w:rsid w:val="009E72A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9E72A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2A4"/>
    <w:rPr>
      <w:rFonts w:eastAsiaTheme="majorEastAsia" w:cstheme="majorBidi"/>
      <w:caps/>
      <w:color w:val="750A3C" w:themeColor="accent2" w:themeShade="80"/>
      <w:spacing w:val="20"/>
      <w:sz w:val="28"/>
      <w:szCs w:val="28"/>
    </w:rPr>
  </w:style>
  <w:style w:type="character" w:customStyle="1" w:styleId="Heading2Char">
    <w:name w:val="Heading 2 Char"/>
    <w:basedOn w:val="DefaultParagraphFont"/>
    <w:link w:val="Heading2"/>
    <w:uiPriority w:val="9"/>
    <w:semiHidden/>
    <w:rsid w:val="009E72A4"/>
    <w:rPr>
      <w:caps/>
      <w:color w:val="750A3C" w:themeColor="accent2" w:themeShade="80"/>
      <w:spacing w:val="15"/>
      <w:sz w:val="24"/>
      <w:szCs w:val="24"/>
    </w:rPr>
  </w:style>
  <w:style w:type="character" w:customStyle="1" w:styleId="Heading3Char">
    <w:name w:val="Heading 3 Char"/>
    <w:basedOn w:val="DefaultParagraphFont"/>
    <w:link w:val="Heading3"/>
    <w:uiPriority w:val="9"/>
    <w:semiHidden/>
    <w:rsid w:val="009E72A4"/>
    <w:rPr>
      <w:rFonts w:eastAsiaTheme="majorEastAsia" w:cstheme="majorBidi"/>
      <w:caps/>
      <w:color w:val="740A3C" w:themeColor="accent2" w:themeShade="7F"/>
      <w:sz w:val="24"/>
      <w:szCs w:val="24"/>
    </w:rPr>
  </w:style>
  <w:style w:type="character" w:customStyle="1" w:styleId="Heading4Char">
    <w:name w:val="Heading 4 Char"/>
    <w:basedOn w:val="DefaultParagraphFont"/>
    <w:link w:val="Heading4"/>
    <w:uiPriority w:val="9"/>
    <w:semiHidden/>
    <w:rsid w:val="009E72A4"/>
    <w:rPr>
      <w:rFonts w:eastAsiaTheme="majorEastAsia" w:cstheme="majorBidi"/>
      <w:caps/>
      <w:color w:val="740A3C" w:themeColor="accent2" w:themeShade="7F"/>
      <w:spacing w:val="10"/>
    </w:rPr>
  </w:style>
  <w:style w:type="character" w:customStyle="1" w:styleId="Heading5Char">
    <w:name w:val="Heading 5 Char"/>
    <w:basedOn w:val="DefaultParagraphFont"/>
    <w:link w:val="Heading5"/>
    <w:uiPriority w:val="9"/>
    <w:semiHidden/>
    <w:rsid w:val="009E72A4"/>
    <w:rPr>
      <w:rFonts w:eastAsiaTheme="majorEastAsia" w:cstheme="majorBidi"/>
      <w:caps/>
      <w:color w:val="740A3C" w:themeColor="accent2" w:themeShade="7F"/>
      <w:spacing w:val="10"/>
    </w:rPr>
  </w:style>
  <w:style w:type="character" w:customStyle="1" w:styleId="Heading6Char">
    <w:name w:val="Heading 6 Char"/>
    <w:basedOn w:val="DefaultParagraphFont"/>
    <w:link w:val="Heading6"/>
    <w:uiPriority w:val="9"/>
    <w:semiHidden/>
    <w:rsid w:val="009E72A4"/>
    <w:rPr>
      <w:rFonts w:eastAsiaTheme="majorEastAsia" w:cstheme="majorBidi"/>
      <w:caps/>
      <w:color w:val="AF0F5A" w:themeColor="accent2" w:themeShade="BF"/>
      <w:spacing w:val="10"/>
    </w:rPr>
  </w:style>
  <w:style w:type="character" w:customStyle="1" w:styleId="Heading7Char">
    <w:name w:val="Heading 7 Char"/>
    <w:basedOn w:val="DefaultParagraphFont"/>
    <w:link w:val="Heading7"/>
    <w:uiPriority w:val="9"/>
    <w:semiHidden/>
    <w:rsid w:val="009E72A4"/>
    <w:rPr>
      <w:rFonts w:eastAsiaTheme="majorEastAsia" w:cstheme="majorBidi"/>
      <w:i/>
      <w:iCs/>
      <w:caps/>
      <w:color w:val="AF0F5A" w:themeColor="accent2" w:themeShade="BF"/>
      <w:spacing w:val="10"/>
    </w:rPr>
  </w:style>
  <w:style w:type="character" w:customStyle="1" w:styleId="Heading8Char">
    <w:name w:val="Heading 8 Char"/>
    <w:basedOn w:val="DefaultParagraphFont"/>
    <w:link w:val="Heading8"/>
    <w:uiPriority w:val="9"/>
    <w:semiHidden/>
    <w:rsid w:val="009E72A4"/>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9E72A4"/>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9E72A4"/>
    <w:rPr>
      <w:caps/>
      <w:spacing w:val="10"/>
      <w:sz w:val="18"/>
      <w:szCs w:val="18"/>
    </w:rPr>
  </w:style>
  <w:style w:type="paragraph" w:styleId="Title">
    <w:name w:val="Title"/>
    <w:basedOn w:val="Normal"/>
    <w:next w:val="Normal"/>
    <w:link w:val="TitleChar"/>
    <w:uiPriority w:val="10"/>
    <w:qFormat/>
    <w:rsid w:val="009E72A4"/>
    <w:pPr>
      <w:pBdr>
        <w:top w:val="dotted" w:sz="2" w:space="1" w:color="750A3C" w:themeColor="accent2" w:themeShade="80"/>
        <w:bottom w:val="dotted" w:sz="2" w:space="6" w:color="750A3C" w:themeColor="accent2" w:themeShade="80"/>
      </w:pBdr>
      <w:spacing w:before="500" w:after="300" w:line="240" w:lineRule="auto"/>
      <w:jc w:val="center"/>
    </w:pPr>
    <w:rPr>
      <w:caps/>
      <w:color w:val="750A3C" w:themeColor="accent2" w:themeShade="80"/>
      <w:spacing w:val="50"/>
      <w:sz w:val="44"/>
      <w:szCs w:val="44"/>
    </w:rPr>
  </w:style>
  <w:style w:type="character" w:customStyle="1" w:styleId="TitleChar">
    <w:name w:val="Title Char"/>
    <w:basedOn w:val="DefaultParagraphFont"/>
    <w:link w:val="Title"/>
    <w:uiPriority w:val="10"/>
    <w:rsid w:val="009E72A4"/>
    <w:rPr>
      <w:rFonts w:eastAsiaTheme="majorEastAsia" w:cstheme="majorBidi"/>
      <w:caps/>
      <w:color w:val="750A3C" w:themeColor="accent2" w:themeShade="80"/>
      <w:spacing w:val="50"/>
      <w:sz w:val="44"/>
      <w:szCs w:val="44"/>
    </w:rPr>
  </w:style>
  <w:style w:type="paragraph" w:styleId="Subtitle">
    <w:name w:val="Subtitle"/>
    <w:basedOn w:val="Normal"/>
    <w:next w:val="Normal"/>
    <w:link w:val="SubtitleChar"/>
    <w:uiPriority w:val="11"/>
    <w:qFormat/>
    <w:rsid w:val="009E72A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E72A4"/>
    <w:rPr>
      <w:rFonts w:eastAsiaTheme="majorEastAsia" w:cstheme="majorBidi"/>
      <w:caps/>
      <w:spacing w:val="20"/>
      <w:sz w:val="18"/>
      <w:szCs w:val="18"/>
    </w:rPr>
  </w:style>
  <w:style w:type="character" w:styleId="Strong">
    <w:name w:val="Strong"/>
    <w:uiPriority w:val="22"/>
    <w:qFormat/>
    <w:rsid w:val="009E72A4"/>
    <w:rPr>
      <w:b/>
      <w:bCs/>
      <w:color w:val="AF0F5A" w:themeColor="accent2" w:themeShade="BF"/>
      <w:spacing w:val="5"/>
    </w:rPr>
  </w:style>
  <w:style w:type="character" w:styleId="Emphasis">
    <w:name w:val="Emphasis"/>
    <w:uiPriority w:val="20"/>
    <w:qFormat/>
    <w:rsid w:val="009E72A4"/>
    <w:rPr>
      <w:caps/>
      <w:spacing w:val="5"/>
      <w:sz w:val="20"/>
      <w:szCs w:val="20"/>
    </w:rPr>
  </w:style>
  <w:style w:type="paragraph" w:styleId="NoSpacing">
    <w:name w:val="No Spacing"/>
    <w:basedOn w:val="Normal"/>
    <w:link w:val="NoSpacingChar"/>
    <w:uiPriority w:val="1"/>
    <w:qFormat/>
    <w:rsid w:val="009E72A4"/>
    <w:pPr>
      <w:spacing w:after="0" w:line="240" w:lineRule="auto"/>
    </w:pPr>
  </w:style>
  <w:style w:type="character" w:customStyle="1" w:styleId="NoSpacingChar">
    <w:name w:val="No Spacing Char"/>
    <w:basedOn w:val="DefaultParagraphFont"/>
    <w:link w:val="NoSpacing"/>
    <w:uiPriority w:val="1"/>
    <w:rsid w:val="009E72A4"/>
  </w:style>
  <w:style w:type="paragraph" w:styleId="ListParagraph">
    <w:name w:val="List Paragraph"/>
    <w:basedOn w:val="Normal"/>
    <w:uiPriority w:val="34"/>
    <w:qFormat/>
    <w:rsid w:val="009E72A4"/>
    <w:pPr>
      <w:ind w:left="720"/>
      <w:contextualSpacing/>
    </w:pPr>
  </w:style>
  <w:style w:type="paragraph" w:styleId="Quote">
    <w:name w:val="Quote"/>
    <w:basedOn w:val="Normal"/>
    <w:next w:val="Normal"/>
    <w:link w:val="QuoteChar"/>
    <w:uiPriority w:val="29"/>
    <w:qFormat/>
    <w:rsid w:val="009E72A4"/>
    <w:rPr>
      <w:i/>
      <w:iCs/>
    </w:rPr>
  </w:style>
  <w:style w:type="character" w:customStyle="1" w:styleId="QuoteChar">
    <w:name w:val="Quote Char"/>
    <w:basedOn w:val="DefaultParagraphFont"/>
    <w:link w:val="Quote"/>
    <w:uiPriority w:val="29"/>
    <w:rsid w:val="009E72A4"/>
    <w:rPr>
      <w:rFonts w:eastAsiaTheme="majorEastAsia" w:cstheme="majorBidi"/>
      <w:i/>
      <w:iCs/>
    </w:rPr>
  </w:style>
  <w:style w:type="paragraph" w:styleId="IntenseQuote">
    <w:name w:val="Intense Quote"/>
    <w:basedOn w:val="Normal"/>
    <w:next w:val="Normal"/>
    <w:link w:val="IntenseQuoteChar"/>
    <w:uiPriority w:val="30"/>
    <w:qFormat/>
    <w:rsid w:val="009E72A4"/>
    <w:pPr>
      <w:pBdr>
        <w:top w:val="dotted" w:sz="2" w:space="10" w:color="750A3C" w:themeColor="accent2" w:themeShade="80"/>
        <w:bottom w:val="dotted" w:sz="2" w:space="4" w:color="750A3C" w:themeColor="accent2" w:themeShade="80"/>
      </w:pBdr>
      <w:spacing w:before="160" w:line="300" w:lineRule="auto"/>
      <w:ind w:left="1440" w:right="1440"/>
    </w:pPr>
    <w:rPr>
      <w:caps/>
      <w:color w:val="740A3C" w:themeColor="accent2" w:themeShade="7F"/>
      <w:spacing w:val="5"/>
      <w:sz w:val="20"/>
      <w:szCs w:val="20"/>
    </w:rPr>
  </w:style>
  <w:style w:type="character" w:customStyle="1" w:styleId="IntenseQuoteChar">
    <w:name w:val="Intense Quote Char"/>
    <w:basedOn w:val="DefaultParagraphFont"/>
    <w:link w:val="IntenseQuote"/>
    <w:uiPriority w:val="30"/>
    <w:rsid w:val="009E72A4"/>
    <w:rPr>
      <w:rFonts w:eastAsiaTheme="majorEastAsia" w:cstheme="majorBidi"/>
      <w:caps/>
      <w:color w:val="740A3C" w:themeColor="accent2" w:themeShade="7F"/>
      <w:spacing w:val="5"/>
      <w:sz w:val="20"/>
      <w:szCs w:val="20"/>
    </w:rPr>
  </w:style>
  <w:style w:type="character" w:styleId="SubtleEmphasis">
    <w:name w:val="Subtle Emphasis"/>
    <w:uiPriority w:val="19"/>
    <w:qFormat/>
    <w:rsid w:val="009E72A4"/>
    <w:rPr>
      <w:i/>
      <w:iCs/>
    </w:rPr>
  </w:style>
  <w:style w:type="character" w:styleId="IntenseEmphasis">
    <w:name w:val="Intense Emphasis"/>
    <w:uiPriority w:val="21"/>
    <w:qFormat/>
    <w:rsid w:val="009E72A4"/>
    <w:rPr>
      <w:i/>
      <w:iCs/>
      <w:caps/>
      <w:spacing w:val="10"/>
      <w:sz w:val="20"/>
      <w:szCs w:val="20"/>
    </w:rPr>
  </w:style>
  <w:style w:type="character" w:styleId="SubtleReference">
    <w:name w:val="Subtle Reference"/>
    <w:basedOn w:val="DefaultParagraphFont"/>
    <w:uiPriority w:val="31"/>
    <w:qFormat/>
    <w:rsid w:val="009E72A4"/>
    <w:rPr>
      <w:rFonts w:asciiTheme="minorHAnsi" w:eastAsiaTheme="minorEastAsia" w:hAnsiTheme="minorHAnsi" w:cstheme="minorBidi"/>
      <w:i/>
      <w:iCs/>
      <w:color w:val="740A3C" w:themeColor="accent2" w:themeShade="7F"/>
    </w:rPr>
  </w:style>
  <w:style w:type="character" w:styleId="IntenseReference">
    <w:name w:val="Intense Reference"/>
    <w:uiPriority w:val="32"/>
    <w:qFormat/>
    <w:rsid w:val="009E72A4"/>
    <w:rPr>
      <w:rFonts w:asciiTheme="minorHAnsi" w:eastAsiaTheme="minorEastAsia" w:hAnsiTheme="minorHAnsi" w:cstheme="minorBidi"/>
      <w:b/>
      <w:bCs/>
      <w:i/>
      <w:iCs/>
      <w:color w:val="740A3C" w:themeColor="accent2" w:themeShade="7F"/>
    </w:rPr>
  </w:style>
  <w:style w:type="character" w:styleId="BookTitle">
    <w:name w:val="Book Title"/>
    <w:uiPriority w:val="33"/>
    <w:qFormat/>
    <w:rsid w:val="009E72A4"/>
    <w:rPr>
      <w:caps/>
      <w:color w:val="740A3C" w:themeColor="accent2" w:themeShade="7F"/>
      <w:spacing w:val="5"/>
      <w:u w:color="740A3C" w:themeColor="accent2" w:themeShade="7F"/>
    </w:rPr>
  </w:style>
  <w:style w:type="paragraph" w:styleId="TOCHeading">
    <w:name w:val="TOC Heading"/>
    <w:basedOn w:val="Heading1"/>
    <w:next w:val="Normal"/>
    <w:uiPriority w:val="39"/>
    <w:semiHidden/>
    <w:unhideWhenUsed/>
    <w:qFormat/>
    <w:rsid w:val="009E72A4"/>
    <w:pPr>
      <w:outlineLvl w:val="9"/>
    </w:pPr>
  </w:style>
  <w:style w:type="character" w:customStyle="1" w:styleId="apple-converted-space">
    <w:name w:val="apple-converted-space"/>
    <w:basedOn w:val="DefaultParagraphFont"/>
    <w:rsid w:val="003607EE"/>
  </w:style>
  <w:style w:type="character" w:styleId="Hyperlink">
    <w:name w:val="Hyperlink"/>
    <w:basedOn w:val="DefaultParagraphFont"/>
    <w:uiPriority w:val="99"/>
    <w:semiHidden/>
    <w:unhideWhenUsed/>
    <w:rsid w:val="003607EE"/>
    <w:rPr>
      <w:color w:val="0000FF"/>
      <w:u w:val="single"/>
    </w:rPr>
  </w:style>
  <w:style w:type="table" w:styleId="TableGrid">
    <w:name w:val="Table Grid"/>
    <w:basedOn w:val="TableNormal"/>
    <w:uiPriority w:val="59"/>
    <w:rsid w:val="0078675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Shading2-Accent6">
    <w:name w:val="Medium Shading 2 Accent 6"/>
    <w:basedOn w:val="TableNormal"/>
    <w:uiPriority w:val="64"/>
    <w:rsid w:val="0078675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B39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AB39F" w:themeFill="accent6"/>
      </w:tcPr>
    </w:tblStylePr>
    <w:tblStylePr w:type="lastCol">
      <w:rPr>
        <w:b/>
        <w:bCs/>
        <w:color w:val="FFFFFF" w:themeColor="background1"/>
      </w:rPr>
      <w:tblPr/>
      <w:tcPr>
        <w:tcBorders>
          <w:left w:val="nil"/>
          <w:right w:val="nil"/>
          <w:insideH w:val="nil"/>
          <w:insideV w:val="nil"/>
        </w:tcBorders>
        <w:shd w:val="clear" w:color="auto" w:fill="1AB39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5">
    <w:name w:val="Medium List 2 Accent 5"/>
    <w:basedOn w:val="TableNormal"/>
    <w:uiPriority w:val="66"/>
    <w:rsid w:val="00786752"/>
    <w:pPr>
      <w:spacing w:after="0" w:line="240" w:lineRule="auto"/>
    </w:pPr>
    <w:rPr>
      <w:color w:val="000000" w:themeColor="text1"/>
    </w:rPr>
    <w:tblPr>
      <w:tblStyleRowBandSize w:val="1"/>
      <w:tblStyleColBandSize w:val="1"/>
      <w:tblInd w:w="0" w:type="dxa"/>
      <w:tblBorders>
        <w:top w:val="single" w:sz="8" w:space="0" w:color="738AC8" w:themeColor="accent5"/>
        <w:left w:val="single" w:sz="8" w:space="0" w:color="738AC8" w:themeColor="accent5"/>
        <w:bottom w:val="single" w:sz="8" w:space="0" w:color="738AC8" w:themeColor="accent5"/>
        <w:right w:val="single" w:sz="8" w:space="0" w:color="738AC8"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738AC8" w:themeColor="accent5"/>
          <w:right w:val="nil"/>
          <w:insideH w:val="nil"/>
          <w:insideV w:val="nil"/>
        </w:tcBorders>
        <w:shd w:val="clear" w:color="auto" w:fill="FFFFFF" w:themeFill="background1"/>
      </w:tcPr>
    </w:tblStylePr>
    <w:tblStylePr w:type="lastRow">
      <w:tblPr/>
      <w:tcPr>
        <w:tcBorders>
          <w:top w:val="single" w:sz="8" w:space="0" w:color="738AC8"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8AC8" w:themeColor="accent5"/>
          <w:insideH w:val="nil"/>
          <w:insideV w:val="nil"/>
        </w:tcBorders>
        <w:shd w:val="clear" w:color="auto" w:fill="FFFFFF" w:themeFill="background1"/>
      </w:tcPr>
    </w:tblStylePr>
    <w:tblStylePr w:type="lastCol">
      <w:tblPr/>
      <w:tcPr>
        <w:tcBorders>
          <w:top w:val="nil"/>
          <w:left w:val="single" w:sz="8" w:space="0" w:color="738AC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1F1" w:themeFill="accent5" w:themeFillTint="3F"/>
      </w:tcPr>
    </w:tblStylePr>
    <w:tblStylePr w:type="band1Horz">
      <w:tblPr/>
      <w:tcPr>
        <w:tcBorders>
          <w:top w:val="nil"/>
          <w:bottom w:val="nil"/>
          <w:insideH w:val="nil"/>
          <w:insideV w:val="nil"/>
        </w:tcBorders>
        <w:shd w:val="clear" w:color="auto" w:fill="DCE1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46E80"/>
    <w:pPr>
      <w:spacing w:after="0" w:line="240" w:lineRule="auto"/>
    </w:pPr>
    <w:rPr>
      <w:color w:val="000000" w:themeColor="text1"/>
    </w:rPr>
    <w:tblPr>
      <w:tblStyleRowBandSize w:val="1"/>
      <w:tblStyleColBandSize w:val="1"/>
      <w:tblInd w:w="0" w:type="dxa"/>
      <w:tblBorders>
        <w:top w:val="single" w:sz="8" w:space="0" w:color="00ADDC" w:themeColor="accent4"/>
        <w:left w:val="single" w:sz="8" w:space="0" w:color="00ADDC" w:themeColor="accent4"/>
        <w:bottom w:val="single" w:sz="8" w:space="0" w:color="00ADDC" w:themeColor="accent4"/>
        <w:right w:val="single" w:sz="8" w:space="0" w:color="00ADDC"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00ADDC" w:themeColor="accent4"/>
          <w:right w:val="nil"/>
          <w:insideH w:val="nil"/>
          <w:insideV w:val="nil"/>
        </w:tcBorders>
        <w:shd w:val="clear" w:color="auto" w:fill="FFFFFF" w:themeFill="background1"/>
      </w:tcPr>
    </w:tblStylePr>
    <w:tblStylePr w:type="lastRow">
      <w:tblPr/>
      <w:tcPr>
        <w:tcBorders>
          <w:top w:val="single" w:sz="8" w:space="0" w:color="00ADDC"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DDC" w:themeColor="accent4"/>
          <w:insideH w:val="nil"/>
          <w:insideV w:val="nil"/>
        </w:tcBorders>
        <w:shd w:val="clear" w:color="auto" w:fill="FFFFFF" w:themeFill="background1"/>
      </w:tcPr>
    </w:tblStylePr>
    <w:tblStylePr w:type="lastCol">
      <w:tblPr/>
      <w:tcPr>
        <w:tcBorders>
          <w:top w:val="nil"/>
          <w:left w:val="single" w:sz="8" w:space="0" w:color="00ADD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FF" w:themeFill="accent4" w:themeFillTint="3F"/>
      </w:tcPr>
    </w:tblStylePr>
    <w:tblStylePr w:type="band1Horz">
      <w:tblPr/>
      <w:tcPr>
        <w:tcBorders>
          <w:top w:val="nil"/>
          <w:bottom w:val="nil"/>
          <w:insideH w:val="nil"/>
          <w:insideV w:val="nil"/>
        </w:tcBorders>
        <w:shd w:val="clear" w:color="auto" w:fill="B7EF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paragraph" w:styleId="BalloonText">
    <w:name w:val="Balloon Text"/>
    <w:basedOn w:val="Normal"/>
    <w:link w:val="BalloonTextChar"/>
    <w:uiPriority w:val="99"/>
    <w:semiHidden/>
    <w:unhideWhenUsed/>
    <w:rsid w:val="007561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1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3555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sycnet.apa.org/doi/10.1037/0022-006X.56.6.893" TargetMode="Externa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hloe\Downloads\gender%20and%20anxiety%20data%20for%20report%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pivotSource>
    <c:name>[gender and anxiety data for report (2).xlsx]Sheet2!PivotTable7</c:name>
    <c:fmtId val="3"/>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Sum of Anxiety Score by Gender</a:t>
            </a:r>
          </a:p>
        </c:rich>
      </c:tx>
      <c:spPr>
        <a:noFill/>
        <a:ln>
          <a:noFill/>
        </a:ln>
        <a:effectLst/>
      </c:spPr>
    </c:title>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dLbl>
          <c:idx val="0"/>
          <c:delete val="1"/>
        </c:dLbl>
      </c:pivotFmt>
    </c:pivotFmts>
    <c:view3D>
      <c:perspective val="30"/>
    </c:view3D>
    <c:sideWall>
      <c:spPr>
        <a:noFill/>
        <a:ln w="25400">
          <a:noFill/>
        </a:ln>
        <a:effectLst/>
      </c:spPr>
    </c:sideWall>
    <c:backWall>
      <c:spPr>
        <a:noFill/>
        <a:ln w="25400">
          <a:noFill/>
        </a:ln>
        <a:effectLst/>
      </c:spPr>
    </c:backWall>
    <c:plotArea>
      <c:layout/>
      <c:bar3DChart>
        <c:barDir val="col"/>
        <c:grouping val="clustered"/>
        <c:ser>
          <c:idx val="0"/>
          <c:order val="0"/>
          <c:tx>
            <c:strRef>
              <c:f>Sheet2!$B$3</c:f>
              <c:strCache>
                <c:ptCount val="1"/>
                <c:pt idx="0">
                  <c:v>Total</c:v>
                </c:pt>
              </c:strCache>
            </c:strRef>
          </c:tx>
          <c:spPr>
            <a:solidFill>
              <a:schemeClr val="accent2">
                <a:lumMod val="75000"/>
              </a:schemeClr>
            </a:solidFill>
            <a:ln w="25400" cap="flat" cmpd="sng" algn="ctr">
              <a:solidFill>
                <a:schemeClr val="accent6">
                  <a:lumMod val="75000"/>
                </a:schemeClr>
              </a:solidFill>
              <a:prstDash val="solid"/>
            </a:ln>
            <a:effectLst/>
          </c:spPr>
          <c:cat>
            <c:strRef>
              <c:f>Sheet2!$A$4:$A$5</c:f>
              <c:strCache>
                <c:ptCount val="2"/>
                <c:pt idx="0">
                  <c:v>Female</c:v>
                </c:pt>
                <c:pt idx="1">
                  <c:v>Male</c:v>
                </c:pt>
              </c:strCache>
            </c:strRef>
          </c:cat>
          <c:val>
            <c:numRef>
              <c:f>Sheet2!$B$4:$B$5</c:f>
              <c:numCache>
                <c:formatCode>General</c:formatCode>
                <c:ptCount val="2"/>
                <c:pt idx="0">
                  <c:v>565</c:v>
                </c:pt>
                <c:pt idx="1">
                  <c:v>28.25</c:v>
                </c:pt>
              </c:numCache>
            </c:numRef>
          </c:val>
          <c:extLst xmlns:c16r2="http://schemas.microsoft.com/office/drawing/2015/06/chart">
            <c:ext xmlns:c16="http://schemas.microsoft.com/office/drawing/2014/chart" uri="{C3380CC4-5D6E-409C-BE32-E72D297353CC}">
              <c16:uniqueId val="{00000000-6DD8-4D30-8DCE-367768645745}"/>
            </c:ext>
          </c:extLst>
        </c:ser>
        <c:gapWidth val="219"/>
        <c:shape val="cylinder"/>
        <c:axId val="80890880"/>
        <c:axId val="80929536"/>
        <c:axId val="0"/>
      </c:bar3DChart>
      <c:catAx>
        <c:axId val="8089088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29536"/>
        <c:crosses val="autoZero"/>
        <c:auto val="1"/>
        <c:lblAlgn val="ctr"/>
        <c:lblOffset val="100"/>
      </c:catAx>
      <c:valAx>
        <c:axId val="8092953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w="9525" cap="flat" cmpd="sng" algn="ctr">
            <a:solidFill>
              <a:schemeClr val="dk1">
                <a:shade val="95000"/>
                <a:satMod val="105000"/>
              </a:schemeClr>
            </a:solidFill>
            <a:prstDash val="solid"/>
          </a:ln>
          <a:effectLst/>
        </c:spPr>
        <c:txPr>
          <a:bodyPr rot="-60000000" spcFirstLastPara="1" vertOverflow="ellipsis" vert="horz" wrap="square" anchor="ctr" anchorCtr="1"/>
          <a:lstStyle/>
          <a:p>
            <a:pPr>
              <a:defRPr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latin typeface="+mn-lt"/>
                <a:ea typeface="+mn-ea"/>
                <a:cs typeface="+mn-cs"/>
              </a:defRPr>
            </a:pPr>
            <a:endParaRPr lang="en-US"/>
          </a:p>
        </c:txPr>
        <c:crossAx val="80890880"/>
        <c:crosses val="autoZero"/>
        <c:crossBetween val="between"/>
      </c:valAx>
    </c:plotArea>
    <c:plotVisOnly val="1"/>
    <c:dispBlanksAs val="gap"/>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1"/>
  <c:extLst xmlns:c16r2="http://schemas.microsoft.com/office/drawing/2015/06/char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theme/theme1.xml><?xml version="1.0" encoding="utf-8"?>
<a:theme xmlns:a="http://schemas.openxmlformats.org/drawingml/2006/main" name="Office Theme">
  <a:themeElements>
    <a:clrScheme name="Metro">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3057B-B255-4D2B-B484-3B4960CAA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9957</TotalTime>
  <Pages>10</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Juniper Networks, Inc.</Company>
  <LinksUpToDate>false</LinksUpToDate>
  <CharactersWithSpaces>11066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82</cp:revision>
  <dcterms:created xsi:type="dcterms:W3CDTF">2020-01-09T20:09:00Z</dcterms:created>
  <dcterms:modified xsi:type="dcterms:W3CDTF">2020-01-17T21:30:00Z</dcterms:modified>
</cp:coreProperties>
</file>