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A24" w:rsidRDefault="00A30E2C">
      <w:r>
        <w:t>Samuel Mowbray</w:t>
      </w:r>
    </w:p>
    <w:p w:rsidR="00A30E2C" w:rsidRDefault="00A30E2C">
      <w:r>
        <w:t>PC 6721 South Wales Police</w:t>
      </w:r>
    </w:p>
    <w:p w:rsidR="00A30E2C" w:rsidRDefault="00A30E2C">
      <w:r>
        <w:t>Student Number: 1922452</w:t>
      </w:r>
    </w:p>
    <w:p w:rsidR="00A30E2C" w:rsidRDefault="00A30E2C">
      <w:r>
        <w:t>Exam 2 – 16/11/20</w:t>
      </w:r>
    </w:p>
    <w:p w:rsidR="00A30E2C" w:rsidRDefault="00A30E2C" w:rsidP="00A30E2C">
      <w:pPr>
        <w:pBdr>
          <w:bottom w:val="single" w:sz="4" w:space="1" w:color="auto"/>
        </w:pBdr>
      </w:pPr>
    </w:p>
    <w:p w:rsidR="00A30E2C" w:rsidRDefault="00A30E2C" w:rsidP="00A30E2C"/>
    <w:p w:rsidR="00A30E2C" w:rsidRDefault="00A30E2C" w:rsidP="00A30E2C">
      <w:r>
        <w:t>Q1.</w:t>
      </w:r>
    </w:p>
    <w:p w:rsidR="00447C3B" w:rsidRDefault="00447C3B" w:rsidP="00A30E2C">
      <w:r>
        <w:t>A constable on duty and in uniform</w:t>
      </w:r>
      <w:r w:rsidR="007C1325">
        <w:t xml:space="preserve"> or other person authorised to do so by the Secretary of State</w:t>
      </w:r>
      <w:r>
        <w:t xml:space="preserve"> may stop any mechanically propelled vehicle being driven on a road or highway. </w:t>
      </w:r>
    </w:p>
    <w:p w:rsidR="00A30E2C" w:rsidRDefault="00447C3B" w:rsidP="00A30E2C">
      <w:r>
        <w:t xml:space="preserve">A constable can also require any cycle being ridden on the road or highway to stop. </w:t>
      </w:r>
    </w:p>
    <w:p w:rsidR="00447C3B" w:rsidRDefault="00447C3B" w:rsidP="00A30E2C">
      <w:r>
        <w:t>Failure to stop is an offence under this section.</w:t>
      </w:r>
    </w:p>
    <w:p w:rsidR="00A30E2C" w:rsidRDefault="00A30E2C" w:rsidP="00A30E2C">
      <w:r>
        <w:t>Q2.</w:t>
      </w:r>
    </w:p>
    <w:p w:rsidR="00447C3B" w:rsidRDefault="00447C3B" w:rsidP="00A30E2C">
      <w:r>
        <w:t>Section 6(4) gives police constables the power to require a preliminary sample of breath where a vehicle has committed a moving traffic offence. Any constable can require the sample but only a constable in uniform can administer the preliminary test under these circumstances.</w:t>
      </w:r>
    </w:p>
    <w:p w:rsidR="00447C3B" w:rsidRDefault="00447C3B" w:rsidP="00A30E2C">
      <w:r>
        <w:t xml:space="preserve">Q3. </w:t>
      </w:r>
    </w:p>
    <w:p w:rsidR="00447C3B" w:rsidRDefault="00447C3B" w:rsidP="00A30E2C">
      <w:r>
        <w:t xml:space="preserve">“A person commits an offence if whilst driving a mechanically propelled vehicle on a road or other public place they drive without reasonable care and attention or without due consideration to other road users. </w:t>
      </w:r>
    </w:p>
    <w:p w:rsidR="00447C3B" w:rsidRDefault="00447C3B" w:rsidP="00A30E2C">
      <w:r>
        <w:t>Q4.</w:t>
      </w:r>
    </w:p>
    <w:p w:rsidR="00447C3B" w:rsidRDefault="00447C3B" w:rsidP="00A30E2C">
      <w:r>
        <w:t>Whilst roads policing powers are important in reducing dangers and hazards resulting in death and serious injuries on the roads, they are also important in disrupting wider unlawful activities of criminals. The NPCC state that criminals tend to use the roads network in order to facilitate unlawful activities such as moving drugs or other illegal articles across the country.</w:t>
      </w:r>
      <w:r w:rsidR="00BE11B0">
        <w:t xml:space="preserve"> This is especially true in the case of county lines drug dealing and other organised crime.</w:t>
      </w:r>
      <w:r>
        <w:t xml:space="preserve"> Furthermore, vehicles are used to facilitate crimes such as </w:t>
      </w:r>
      <w:r w:rsidR="00BE11B0">
        <w:t>thefts and burglaries by providing a means of transporting stolen goods and allowing movement to targets. By using road policing powers these crimes can be disrupted.</w:t>
      </w:r>
    </w:p>
    <w:p w:rsidR="00BE11B0" w:rsidRDefault="00BE11B0" w:rsidP="00A30E2C">
      <w:r>
        <w:t>Q5.</w:t>
      </w:r>
    </w:p>
    <w:p w:rsidR="00BE11B0" w:rsidRDefault="007C1325" w:rsidP="00A30E2C">
      <w:r>
        <w:t>“A constable in uniform can seize any mechanically propelled vehicle if he has reasonable cause to believe that the vehicle was being driven on a road otherwise in accordance with a license, or by a person who does not hold a license or is disqualified, or the vehicle was being driven without a relevant certificate of insurance for the vehicle and driver. The mechanically propelled vehicle can also be seized if it has failed to stop when directed to by a police constable or other authorised person within the last 24 hours”</w:t>
      </w:r>
    </w:p>
    <w:p w:rsidR="007C1325" w:rsidRDefault="007C1325" w:rsidP="00A30E2C">
      <w:r>
        <w:t>Q6.</w:t>
      </w:r>
    </w:p>
    <w:p w:rsidR="007C1325" w:rsidRDefault="007C1325" w:rsidP="00A30E2C">
      <w:r>
        <w:t>“Owing to its presence on a road, a mechanically propelled vehicle is involved in an accident that:</w:t>
      </w:r>
    </w:p>
    <w:p w:rsidR="007C1325" w:rsidRDefault="007C1325" w:rsidP="00A30E2C">
      <w:r>
        <w:t>Causes personal injury to any person other than the driver of the vehicle,</w:t>
      </w:r>
    </w:p>
    <w:p w:rsidR="007C1325" w:rsidRDefault="007C1325" w:rsidP="00A30E2C">
      <w:r>
        <w:lastRenderedPageBreak/>
        <w:t>Causes damage to any vehicle other than that of the driver,</w:t>
      </w:r>
    </w:p>
    <w:p w:rsidR="007C1325" w:rsidRDefault="007C1325" w:rsidP="00A30E2C">
      <w:r>
        <w:t xml:space="preserve">Causes damage to any animal other than that carried in or on the vehicle, </w:t>
      </w:r>
    </w:p>
    <w:p w:rsidR="007C1325" w:rsidRDefault="007C1325" w:rsidP="007C1325">
      <w:r>
        <w:t>Causes damage to any property fixed to, growing on or located next to the road or immediately adjacent to the road or highway.”</w:t>
      </w:r>
    </w:p>
    <w:p w:rsidR="007C1325" w:rsidRDefault="007C1325" w:rsidP="007C1325">
      <w:r>
        <w:t xml:space="preserve">Q7. </w:t>
      </w:r>
    </w:p>
    <w:p w:rsidR="007C1325" w:rsidRDefault="007C1325" w:rsidP="007C1325">
      <w:r>
        <w:t>The family liaison officer is tasked when there is a fatal road accident. The FLO has a number of roles to fulfil within the context of the investigation and the police actions in relation to the accident. One of the primary roles of the FLO is to act as a point of contact and liaison between the family of the deceased person and the police investigation. The FLO will pass relevant information arising from the investigation and subsequent steps such as arr</w:t>
      </w:r>
      <w:r w:rsidR="00920E73">
        <w:t xml:space="preserve">ests, charging decisions and similar on to the family so that they are fully informed about the investigation. The NPCC identify that it may be necessary to have multiple FLO’s assigned to different elements of the deceased person’s family if they were estranged or did not have contact, such as in the case of a person with children from different relationships. </w:t>
      </w:r>
    </w:p>
    <w:p w:rsidR="00920E73" w:rsidRDefault="00920E73" w:rsidP="007C1325">
      <w:r>
        <w:t>In addition to this, the FLO will also engage with the family to help generate avenues of enquiry. This could involve gathering information on the person’s life style and habits, personal connections and relationships and their movements as well as their frame of mind or behaviour at certain points prior to incidents. This information would be gathered where it is deemed necessary and relevant to the investigation into the death of the person. An FLO can also assist with other aspects of the investigation such as helping bereaved families to organise roadside tributes to deceased persons.</w:t>
      </w:r>
    </w:p>
    <w:p w:rsidR="00920E73" w:rsidRDefault="00920E73" w:rsidP="007C1325">
      <w:r>
        <w:t>Q8.</w:t>
      </w:r>
    </w:p>
    <w:p w:rsidR="00920E73" w:rsidRDefault="00920E73" w:rsidP="007C1325">
      <w:r>
        <w:t>Following an incident that is reportable under S170 of the Road Traffic Act 1988, a driver should stop at the scene of the accident. Whilst at the scene, they should provide any person who reasonably requires it with their name and address, and the name and address of the owner of the vehicle if it is different. They should also provide the identification marks of the vehicle, normally the VRM for most motor vehicles. Persons who reasonably require this information consist of any other persons involved in the accident or whose property has been damaged as a result. If for whatever reason the person is unable to stop and provide these details, they must report the accident in person (not over the telephone) at a police station as soon as reasonably possible, but certainly within 24 hours of the accident. Failure to stop or report an accident is an offence. In the event of an accident that has resulted in personal injury, the driver must produce their certificate of insurance to a police officer or any person reasonably requiring to see it.</w:t>
      </w:r>
    </w:p>
    <w:p w:rsidR="00920E73" w:rsidRDefault="00920E73" w:rsidP="007C1325">
      <w:r>
        <w:t>Q9.</w:t>
      </w:r>
    </w:p>
    <w:p w:rsidR="00920E73" w:rsidRDefault="00920E73" w:rsidP="007C1325">
      <w:r>
        <w:t>If a constable has reasonable belief that a person has been the driver of a vehicle that has been involved in an accident that causes personal injury to another person</w:t>
      </w:r>
      <w:r w:rsidR="00FA5437">
        <w:t xml:space="preserve"> and that the person was under the influence of alcohol or drugs at the time of the accident</w:t>
      </w:r>
      <w:r>
        <w:t>, a constable has the power enter any premises in order to require a sample of breath is provided for analysis. Reasonable force can be used in o</w:t>
      </w:r>
      <w:r w:rsidR="00FA5437">
        <w:t>rder to do so.</w:t>
      </w:r>
    </w:p>
    <w:p w:rsidR="00FA5437" w:rsidRDefault="00FA5437" w:rsidP="007C1325">
      <w:r>
        <w:t>Q10.</w:t>
      </w:r>
    </w:p>
    <w:p w:rsidR="00FA5437" w:rsidRDefault="00FA5437" w:rsidP="007C1325">
      <w:r>
        <w:t xml:space="preserve">A person who causes the death of another whilst driving a mechanically propelled vehicle dangerously on a road or other public place shall be guilty of an offence. </w:t>
      </w:r>
    </w:p>
    <w:p w:rsidR="00FA5437" w:rsidRDefault="00FA5437" w:rsidP="007C1325">
      <w:r>
        <w:lastRenderedPageBreak/>
        <w:t>Q11.</w:t>
      </w:r>
    </w:p>
    <w:p w:rsidR="00FA5437" w:rsidRDefault="00FA5437" w:rsidP="007C1325">
      <w:r>
        <w:t>For drink driving, the national limits are:</w:t>
      </w:r>
    </w:p>
    <w:p w:rsidR="00FA5437" w:rsidRDefault="00FA5437" w:rsidP="007C1325">
      <w:r>
        <w:t>35 microgrammes per 100 ml of breath</w:t>
      </w:r>
    </w:p>
    <w:p w:rsidR="00FA5437" w:rsidRDefault="00FA5437" w:rsidP="007C1325">
      <w:r>
        <w:t>80 microgrammes per 100 ml of blood</w:t>
      </w:r>
    </w:p>
    <w:p w:rsidR="00FA5437" w:rsidRDefault="00FA5437" w:rsidP="007C1325">
      <w:r>
        <w:t>107 milligrammes per 100 ml of urine</w:t>
      </w:r>
    </w:p>
    <w:p w:rsidR="00FA5437" w:rsidRDefault="00FA5437" w:rsidP="007C1325">
      <w:r>
        <w:t>For drug driving, the limits are established individually for 18 named controlled substances including cannabis, cocaine, heroin and so on.</w:t>
      </w:r>
    </w:p>
    <w:p w:rsidR="00FA5437" w:rsidRDefault="00FA5437" w:rsidP="007C1325">
      <w:r>
        <w:t>Q12.</w:t>
      </w:r>
    </w:p>
    <w:p w:rsidR="00FA5437" w:rsidRDefault="00FA5437" w:rsidP="007C1325">
      <w:r>
        <w:t>Several different people could be present during a suspect interview, these include:</w:t>
      </w:r>
    </w:p>
    <w:p w:rsidR="00FA5437" w:rsidRDefault="00FA5437" w:rsidP="007C1325">
      <w:r>
        <w:t>An appropriate adult - They attend at an interview where a person is under 18 years of age or where the person has cognitive, learning or mental health disabilities that may limit their ability to understand or engage with the interview. It also applies for people who are unable to read or right. The role of the appropriate adult is to help the person being interviewed understand the questions that are being put to them and to ensure that they are treated fairly and in accordance with PACE. They can be any person not connected to the investigation over the age of 18, but usually are family members of the suspect or a representative from social services or an appropriate adult volunteer. Appropriate adults should not seek to answer questions for suspects or to advise them on how to answer.</w:t>
      </w:r>
    </w:p>
    <w:p w:rsidR="00FA5437" w:rsidRDefault="00FA5437" w:rsidP="007C1325">
      <w:r>
        <w:t xml:space="preserve">Legal representative – their role is to protect the legal rights of their client and to provide them with advice regarding what they may choose to say or not to say in an interview. </w:t>
      </w:r>
    </w:p>
    <w:p w:rsidR="00FA5437" w:rsidRDefault="00FA5437" w:rsidP="007C1325">
      <w:r>
        <w:t xml:space="preserve">Translators – a translator may be required to attend an interview if the suspect does not speak adequate English. Their role is to translate questions from interviewing officers and then translate the answers provided by the suspect back into English. They must do this accurately to ensure that the suspect has a fair interview. </w:t>
      </w:r>
    </w:p>
    <w:p w:rsidR="007B22D4" w:rsidRDefault="007B22D4" w:rsidP="007C1325">
      <w:r>
        <w:t>Q13.</w:t>
      </w:r>
    </w:p>
    <w:p w:rsidR="007B22D4" w:rsidRDefault="007B22D4" w:rsidP="007C1325">
      <w:r>
        <w:t>The national police interviewing model is more commonly known as the PEACE model. It stands for the following</w:t>
      </w:r>
    </w:p>
    <w:p w:rsidR="007B22D4" w:rsidRDefault="007B22D4" w:rsidP="007C1325">
      <w:r>
        <w:t xml:space="preserve">P – planning and preparation. This is where interviewing officers will plan their interview in order to establish what questions need to be asked and what topics need to be covered. </w:t>
      </w:r>
      <w:r w:rsidR="00926C70">
        <w:t>It is also necessary to cover the logistical elements of the interview, such as where it will take place and how it will be recorded. It will further</w:t>
      </w:r>
      <w:r>
        <w:t xml:space="preserve"> allow them to </w:t>
      </w:r>
      <w:r w:rsidR="00926C70">
        <w:t>research the occurrence in question and any offences that are suspected or have taken place, and research the person being interviewed using systems such as NICHE or PNC to establish if they pose any risks during interview or similar.</w:t>
      </w:r>
    </w:p>
    <w:p w:rsidR="00926C70" w:rsidRDefault="00926C70" w:rsidP="00926C70">
      <w:r>
        <w:t xml:space="preserve">E – Engage and explain. This stage of the model is where interviewing officers engage with the person being interviewed in order to build up rapport and trust and encourage them to take part in the process. It is important to establish what ground rules will need to be followed during the interview and to set expectations of how the interview will be conducted, what questions may be asked and how long it may take. For a suspect interview, the aide memoire provided will need to be followed as this contains important legal elements stipulated under PACE and force policy elements which both need to be stated to the suspect. This includes information such as the fact the interview </w:t>
      </w:r>
      <w:r>
        <w:lastRenderedPageBreak/>
        <w:t>is being audio and visually recorded, the name of all persons in the room and the suspect’s right to legal representation.</w:t>
      </w:r>
    </w:p>
    <w:p w:rsidR="00926C70" w:rsidRDefault="00926C70" w:rsidP="00926C70">
      <w:r>
        <w:t>A – account. This phase of the interview model is where the witness or suspect is asked to provide their account of the events in question. This is called the ‘free narrative’ where the person is allowed to say whatever they wish to in regards to the events. The interviewing officer will then cover various topics that have been established during the planning stage or during the free narrative as being pertinent to the investigation. Following the topics, the interviewing officer will challenge any inconsistencies in what the interviewed person has said or any previously established matters of fact, such as the presence of their DNA at a place or on an object.</w:t>
      </w:r>
      <w:r w:rsidR="000B52D5">
        <w:t xml:space="preserve"> This will allow the interviewed person to account for this should they wish to or change their original account. </w:t>
      </w:r>
    </w:p>
    <w:p w:rsidR="00926C70" w:rsidRDefault="00926C70" w:rsidP="00926C70">
      <w:r>
        <w:t>C – closure. After the main body of the interview has been conducted, the officer will bring the interview to a close. No further questions are asked after this point.</w:t>
      </w:r>
    </w:p>
    <w:p w:rsidR="00926C70" w:rsidRDefault="00926C70" w:rsidP="00926C70">
      <w:r>
        <w:t xml:space="preserve">E – evaluation. Following the conclusion of the interview, </w:t>
      </w:r>
      <w:r w:rsidR="000B52D5">
        <w:t>the interviewing officer will evaluate the information and evidence that has been gathered. This may present new lines of enquiry that need to be followed up, such as alibis provided, or allow officers to seek a charging decision. It is also important to evaluate the performance of interviewing officers in order to improve, and CPD can be identified during this.</w:t>
      </w:r>
    </w:p>
    <w:p w:rsidR="000B52D5" w:rsidRDefault="000B52D5" w:rsidP="00926C70">
      <w:r>
        <w:t>Q14.</w:t>
      </w:r>
    </w:p>
    <w:p w:rsidR="000B52D5" w:rsidRDefault="000B52D5" w:rsidP="00926C70">
      <w:r>
        <w:t>Section 76 of the Serious Crime Act is defined as “</w:t>
      </w:r>
      <w:r w:rsidR="0001490A">
        <w:t>a pattern of abusive, coercive or controlling behaviour directed towards a person who is a family member or whom the person is in an intimate relationship with that is likely to cause alarm or distress”</w:t>
      </w:r>
    </w:p>
    <w:p w:rsidR="000B52D5" w:rsidRDefault="000B52D5" w:rsidP="00926C70">
      <w:r>
        <w:t>Q15.</w:t>
      </w:r>
    </w:p>
    <w:p w:rsidR="000B52D5" w:rsidRDefault="000B52D5" w:rsidP="00926C70">
      <w:r>
        <w:t>The new offence of coercive control is important because it provides a new means of prosecuting offenders who are causing a great deal of harm to a family member or person in which they are in an intimate relationship, but have previously fallen short of committing other offences or where there is insufficient evidence to prosecute. For example, a person may be committing the offence of coercive control but not actually using any violence. Previously, this would have left officers unable to arrest or prosecute. Similarly, the victim of coercive control may be unwilling to provide evidence against their abuser, but the use of coercive control legislation allows witness testimony and evidence to be gathered from other people, such as friends or family who may be able to identify elements of the offence.</w:t>
      </w:r>
    </w:p>
    <w:p w:rsidR="000B52D5" w:rsidRDefault="000B52D5" w:rsidP="00926C70">
      <w:r>
        <w:t>Q16.</w:t>
      </w:r>
    </w:p>
    <w:p w:rsidR="000B52D5" w:rsidRDefault="000B52D5" w:rsidP="00926C70">
      <w:r>
        <w:t xml:space="preserve">Section 46 of the Children’s Act 1986 provides what is known as Police Protection powers. Where a police constable believes that a child is at risk of suffering significant harm as a result of their circumstances, they have the power to remove the child from that situation and place them into suitable accommodation, or to take reasonable steps to ensure a child remains in suitable accommodation. For the purpose of S46, suitable accommodation is a place where a child can have their needs catered for and where they are protected from harm. This usually involves specialist accommodation for children provided by local authorities, but could also include family members of the child where adequate PNC and NICHE checks have been carried out to ensure the child will be safe at that place. </w:t>
      </w:r>
      <w:r w:rsidR="00E5528B">
        <w:t xml:space="preserve">Children may also be removed to police stations but this should only be done for a limited time, where adequate facilities are available for the child, and as a matter of last resort. The S46 power allows children to be removed to suitable accommodation for a maximum of 76 hours, </w:t>
      </w:r>
      <w:r w:rsidR="00E5528B">
        <w:lastRenderedPageBreak/>
        <w:t xml:space="preserve">during which time Social Services will apply for an Interim Protection Order or an Emergency Protection Order, approved by the courts which will allow the child to be kept at suitable accommodation for a longer period of time. </w:t>
      </w:r>
    </w:p>
    <w:p w:rsidR="00E5528B" w:rsidRDefault="00E5528B" w:rsidP="00926C70">
      <w:r>
        <w:t>In order for S46 powers to be used, there is an initiating officer and an authorising officer. The initiating officer will take the initial steps of safeguarding the child and placing them into care, as well as conducting necessary checks and so on. Meanwhile, the authorising officer is a senior officer ranked Inspector or above who takes an independent view on the circumstances under which the S46 powers are used and their necessity and proportionality. The authorising officer will provide the authority to remove the child into suitable accommodation and monitor the situation.</w:t>
      </w:r>
    </w:p>
    <w:p w:rsidR="00E5528B" w:rsidRDefault="00E5528B" w:rsidP="00926C70">
      <w:r>
        <w:t>Q17.</w:t>
      </w:r>
      <w:r w:rsidR="0001490A">
        <w:t xml:space="preserve"> </w:t>
      </w:r>
    </w:p>
    <w:p w:rsidR="00E5528B" w:rsidRDefault="00E5528B" w:rsidP="00926C70">
      <w:r>
        <w:t>S1 of the Children and Young persons Act 1933 is defined as “Any person over the age of 16, having responsibility for a child, wilfully allows the child to be subject to physical harm, or abandons, neglects, ill-treats or exposes the child shall be guilty of an offence”.</w:t>
      </w:r>
    </w:p>
    <w:p w:rsidR="00E5528B" w:rsidRDefault="00E5528B" w:rsidP="00926C70">
      <w:r>
        <w:t>Q18.</w:t>
      </w:r>
    </w:p>
    <w:p w:rsidR="00BE374F" w:rsidRDefault="00BE374F" w:rsidP="00926C70">
      <w:r>
        <w:t>The SERAF Process is a model used by agencies such as Barnardos to identify children at risk. It is the serious…</w:t>
      </w:r>
      <w:bookmarkStart w:id="0" w:name="_GoBack"/>
      <w:bookmarkEnd w:id="0"/>
    </w:p>
    <w:p w:rsidR="00E5528B" w:rsidRDefault="00E5528B" w:rsidP="00926C70">
      <w:r>
        <w:t>Q19.</w:t>
      </w:r>
    </w:p>
    <w:p w:rsidR="00E5528B" w:rsidRDefault="00E5528B" w:rsidP="00926C70">
      <w:r>
        <w:t xml:space="preserve">The Public Protection Notification (PPN) is a key document that is completed by officers wherever vulnerability is identified. This applies to all circumstances involving children, as well as domestic incidents, hate crime incidents or vulnerable adults. The PPN contains a number of questions that are used to identify and categorise the risk a person is at. The information gathered in the PPN, along with the observations of the officer, are sent through to the local Public Protection Unit, who will make a further assessment of the risk that a person is at. This information is then shared with partner agencies such as the local authority and social services at MARAC meetings, which allow </w:t>
      </w:r>
      <w:r w:rsidR="00991327">
        <w:t xml:space="preserve">an interagency approach to be taken towards vulnerable persons. This process arose out of the Lord Laming inquiry into the death of Victoria Climbie in North London in 2000. This found that a lack of communication between agencies and third sector groups involved in safeguarding meant that abuse and neglect was allowed to continue resulting in Climbie’s death. </w:t>
      </w:r>
    </w:p>
    <w:p w:rsidR="00991327" w:rsidRDefault="00991327" w:rsidP="00926C70">
      <w:r>
        <w:t>Q20.</w:t>
      </w:r>
    </w:p>
    <w:p w:rsidR="00991327" w:rsidRDefault="00485FA4" w:rsidP="00926C70">
      <w:r>
        <w:t>A DVPN (domestic violence protection notice) is a power that can be applied for by the police in cases of domestic violence. The Protection Notice is issued to a suspected offender, usually at the time of their release from custody where no further action can be taken against them. It contains a number of prohibitions or requirements on a person, such as preventing them from returning to an address they share with the abuse victim or contacting the person and is approved by a Superintendent. This Notice lasts 48 hours during which time the subject will have to attend Magistrates Court were the Notice can be extended for a set time period up to 28 days and becomes a Domestic Violence Protection Order (DVPO). DVPN’s and DVPO’s are approved based on the balance of probabilities rather than proving an offence beyond reasonable doubt. Breaking the order is a strict liability offence and provides a power to arrest a person.</w:t>
      </w:r>
    </w:p>
    <w:p w:rsidR="00485FA4" w:rsidRDefault="00485FA4" w:rsidP="00926C70">
      <w:r>
        <w:t xml:space="preserve">Q21. </w:t>
      </w:r>
    </w:p>
    <w:p w:rsidR="008344C5" w:rsidRDefault="00485FA4" w:rsidP="00926C70">
      <w:r>
        <w:t xml:space="preserve">Child Sex Exploitation is defined by NSPCC as a type of power relationship constituting child abuse where an abusing adult exchanges ‘something’ in return for sex with a child under 18. This </w:t>
      </w:r>
      <w:r>
        <w:lastRenderedPageBreak/>
        <w:t>something can be anything that a child needs or wants, such as money, affection, accommodation, alcohol, cigarettes or drugs.</w:t>
      </w:r>
      <w:r w:rsidR="008344C5">
        <w:t xml:space="preserve"> This exchange highlights the unequal power relationship and how this is used to coerce and control vulnerable children.</w:t>
      </w:r>
    </w:p>
    <w:p w:rsidR="008344C5" w:rsidRDefault="008344C5" w:rsidP="00926C70">
      <w:r>
        <w:t>A number of different models have been proposed to explain how this abuse happens. Firstly, the inappropriate relationship model is where a child is in what they perceive to be a loving relationship. However, the adult in this situation is often much older than the child and uses their position and power to abuse the child, despite it appearing consenting.</w:t>
      </w:r>
    </w:p>
    <w:p w:rsidR="00890751" w:rsidRDefault="008344C5" w:rsidP="00890751">
      <w:r>
        <w:t>Similarly, the ‘party’ model is often seen where an abusing adult befriends and grooms a child into thinking that they are in a relationship. The adult will then host parties in which the child is encouraged to invite their friends and drugs and alcohol are used as incentives. The abusing adult will then invite what they describe as their ‘friends’ to the party, which are in fact other child abusers.</w:t>
      </w:r>
      <w:r w:rsidR="00890751">
        <w:t xml:space="preserve"> </w:t>
      </w:r>
      <w:r w:rsidR="00890751">
        <w:t xml:space="preserve">The party model feeds quite closely into the organised crime group or network model of CSE, where vulnerable children are groomed before being passed around networks of abusing adults, often using party methodology. This can often take place across wider geographical areas such as different towns and cities. The case of the Rotherham abuse scandal, which took place in Northern England highlights this. Here, organised gangs of predominantly Asian males from across the North of England groomed hundreds of young females and passed them across the network to be abused. A lack of police action, where the abused children were often labelled as troublemakers or consenting prostitutes allowed this to go unchecked for a number of years. </w:t>
      </w:r>
    </w:p>
    <w:p w:rsidR="0001490A" w:rsidRDefault="0001490A" w:rsidP="00926C70"/>
    <w:p w:rsidR="00890751" w:rsidRDefault="00890751" w:rsidP="00926C70">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1628775</wp:posOffset>
                </wp:positionH>
                <wp:positionV relativeFrom="paragraph">
                  <wp:posOffset>42057</wp:posOffset>
                </wp:positionV>
                <wp:extent cx="1002030" cy="878840"/>
                <wp:effectExtent l="0" t="0" r="2667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878840"/>
                        </a:xfrm>
                        <a:prstGeom prst="rect">
                          <a:avLst/>
                        </a:prstGeom>
                        <a:solidFill>
                          <a:srgbClr val="FFFFFF"/>
                        </a:solidFill>
                        <a:ln w="9525">
                          <a:solidFill>
                            <a:srgbClr val="000000"/>
                          </a:solidFill>
                          <a:miter lim="800000"/>
                          <a:headEnd/>
                          <a:tailEnd/>
                        </a:ln>
                      </wps:spPr>
                      <wps:txbx>
                        <w:txbxContent>
                          <w:p w:rsidR="00890751" w:rsidRDefault="00890751">
                            <w:r>
                              <w:t>Abusing Adult</w:t>
                            </w:r>
                          </w:p>
                          <w:p w:rsidR="00890751" w:rsidRDefault="00890751">
                            <w:r>
                              <w:t>Boyfriend</w:t>
                            </w:r>
                          </w:p>
                          <w:p w:rsidR="00890751" w:rsidRDefault="00890751">
                            <w:r>
                              <w:t>Pimp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8.25pt;margin-top:3.3pt;width:78.9pt;height:69.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">
                <v:textbox>
                  <w:txbxContent>
                    <w:p w:rsidR="00890751" w:rsidRDefault="00890751">
                      <w:r>
                        <w:t>Abusing Adult</w:t>
                      </w:r>
                    </w:p>
                    <w:p w:rsidR="00890751" w:rsidRDefault="00890751">
                      <w:r>
                        <w:t>Boyfriend</w:t>
                      </w:r>
                    </w:p>
                    <w:p w:rsidR="00890751" w:rsidRDefault="00890751">
                      <w:r>
                        <w:t>Pimp</w:t>
                      </w:r>
                    </w:p>
                  </w:txbxContent>
                </v:textbox>
                <w10:wrap type="square"/>
              </v:shape>
            </w:pict>
          </mc:Fallback>
        </mc:AlternateContent>
      </w:r>
    </w:p>
    <w:p w:rsidR="00890751" w:rsidRDefault="00890751" w:rsidP="00926C70"/>
    <w:p w:rsidR="00890751" w:rsidRDefault="00890751" w:rsidP="00926C70"/>
    <w:p w:rsidR="0001490A" w:rsidRDefault="00890751" w:rsidP="00926C7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1342292</wp:posOffset>
                </wp:positionH>
                <wp:positionV relativeFrom="paragraph">
                  <wp:posOffset>153719</wp:posOffset>
                </wp:positionV>
                <wp:extent cx="1002323" cy="468923"/>
                <wp:effectExtent l="19050" t="19050" r="45720" b="26670"/>
                <wp:wrapNone/>
                <wp:docPr id="1" name="Isosceles Triangle 1"/>
                <wp:cNvGraphicFramePr/>
                <a:graphic xmlns:a="http://schemas.openxmlformats.org/drawingml/2006/main">
                  <a:graphicData uri="http://schemas.microsoft.com/office/word/2010/wordprocessingShape">
                    <wps:wsp>
                      <wps:cNvSpPr/>
                      <wps:spPr>
                        <a:xfrm>
                          <a:off x="0" y="0"/>
                          <a:ext cx="1002323" cy="468923"/>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A4E62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05.7pt;margin-top:12.1pt;width:78.9pt;height:36.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" fillcolor="#5b9bd5 [3204]" strokecolor="#1f4d78 [1604]" strokeweight="1pt"/>
            </w:pict>
          </mc:Fallback>
        </mc:AlternateContent>
      </w:r>
    </w:p>
    <w:p w:rsidR="0001490A" w:rsidRDefault="0001490A" w:rsidP="00926C70"/>
    <w:p w:rsidR="0001490A" w:rsidRDefault="00890751" w:rsidP="00926C70">
      <w:r>
        <w:rPr>
          <w:noProof/>
          <w:lang w:eastAsia="en-GB"/>
        </w:rPr>
        <mc:AlternateContent>
          <mc:Choice Requires="wps">
            <w:drawing>
              <wp:anchor distT="45720" distB="45720" distL="114300" distR="114300" simplePos="0" relativeHeight="251663360" behindDoc="0" locked="0" layoutInCell="1" allowOverlap="1" wp14:anchorId="0A1142B2" wp14:editId="533856C4">
                <wp:simplePos x="0" y="0"/>
                <wp:positionH relativeFrom="column">
                  <wp:posOffset>257810</wp:posOffset>
                </wp:positionH>
                <wp:positionV relativeFrom="paragraph">
                  <wp:posOffset>137795</wp:posOffset>
                </wp:positionV>
                <wp:extent cx="1002030" cy="878840"/>
                <wp:effectExtent l="0" t="0" r="26670" b="165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878840"/>
                        </a:xfrm>
                        <a:prstGeom prst="rect">
                          <a:avLst/>
                        </a:prstGeom>
                        <a:solidFill>
                          <a:srgbClr val="FFFFFF"/>
                        </a:solidFill>
                        <a:ln w="9525">
                          <a:solidFill>
                            <a:srgbClr val="000000"/>
                          </a:solidFill>
                          <a:miter lim="800000"/>
                          <a:headEnd/>
                          <a:tailEnd/>
                        </a:ln>
                      </wps:spPr>
                      <wps:txbx>
                        <w:txbxContent>
                          <w:p w:rsidR="00890751" w:rsidRDefault="00890751" w:rsidP="00890751">
                            <w:r>
                              <w:t>Punters</w:t>
                            </w:r>
                          </w:p>
                          <w:p w:rsidR="00890751" w:rsidRDefault="00890751" w:rsidP="00890751">
                            <w:r>
                              <w:t>His friends</w:t>
                            </w:r>
                          </w:p>
                          <w:p w:rsidR="00890751" w:rsidRDefault="00890751" w:rsidP="00890751">
                            <w:r>
                              <w:t>Sex offenders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142B2" id="_x0000_s1027" type="#_x0000_t202" style="position:absolute;margin-left:20.3pt;margin-top:10.85pt;width:78.9pt;height:69.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">
                <v:textbox>
                  <w:txbxContent>
                    <w:p w:rsidR="00890751" w:rsidRDefault="00890751" w:rsidP="00890751">
                      <w:r>
                        <w:t>Punters</w:t>
                      </w:r>
                    </w:p>
                    <w:p w:rsidR="00890751" w:rsidRDefault="00890751" w:rsidP="00890751">
                      <w:r>
                        <w:t>His friends</w:t>
                      </w:r>
                    </w:p>
                    <w:p w:rsidR="00890751" w:rsidRDefault="00890751" w:rsidP="00890751">
                      <w:r>
                        <w:t>Sex offenders</w:t>
                      </w:r>
                    </w:p>
                  </w:txbxContent>
                </v:textbox>
                <w10:wrap type="square"/>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0A1142B2" wp14:editId="533856C4">
                <wp:simplePos x="0" y="0"/>
                <wp:positionH relativeFrom="column">
                  <wp:posOffset>2450026</wp:posOffset>
                </wp:positionH>
                <wp:positionV relativeFrom="paragraph">
                  <wp:posOffset>85041</wp:posOffset>
                </wp:positionV>
                <wp:extent cx="1002030" cy="878840"/>
                <wp:effectExtent l="0" t="0" r="26670"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878840"/>
                        </a:xfrm>
                        <a:prstGeom prst="rect">
                          <a:avLst/>
                        </a:prstGeom>
                        <a:solidFill>
                          <a:srgbClr val="FFFFFF"/>
                        </a:solidFill>
                        <a:ln w="9525">
                          <a:solidFill>
                            <a:srgbClr val="000000"/>
                          </a:solidFill>
                          <a:miter lim="800000"/>
                          <a:headEnd/>
                          <a:tailEnd/>
                        </a:ln>
                      </wps:spPr>
                      <wps:txbx>
                        <w:txbxContent>
                          <w:p w:rsidR="00890751" w:rsidRDefault="00890751" w:rsidP="00890751">
                            <w:r>
                              <w:t>Prostitute</w:t>
                            </w:r>
                          </w:p>
                          <w:p w:rsidR="00890751" w:rsidRDefault="00890751" w:rsidP="00890751">
                            <w:r>
                              <w:t>Girlfriend</w:t>
                            </w:r>
                          </w:p>
                          <w:p w:rsidR="00890751" w:rsidRDefault="00890751" w:rsidP="00890751">
                            <w:r>
                              <w:t>Abused child</w:t>
                            </w:r>
                          </w:p>
                          <w:p w:rsidR="00890751" w:rsidRDefault="00890751" w:rsidP="00890751"/>
                          <w:p w:rsidR="00890751" w:rsidRDefault="00890751" w:rsidP="008907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142B2" id="_x0000_s1028" type="#_x0000_t202" style="position:absolute;margin-left:192.9pt;margin-top:6.7pt;width:78.9pt;height:69.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">
                <v:textbox>
                  <w:txbxContent>
                    <w:p w:rsidR="00890751" w:rsidRDefault="00890751" w:rsidP="00890751">
                      <w:r>
                        <w:t>Prostitute</w:t>
                      </w:r>
                    </w:p>
                    <w:p w:rsidR="00890751" w:rsidRDefault="00890751" w:rsidP="00890751">
                      <w:r>
                        <w:t>Girlfriend</w:t>
                      </w:r>
                    </w:p>
                    <w:p w:rsidR="00890751" w:rsidRDefault="00890751" w:rsidP="00890751">
                      <w:r>
                        <w:t>Abused child</w:t>
                      </w:r>
                    </w:p>
                    <w:p w:rsidR="00890751" w:rsidRDefault="00890751" w:rsidP="00890751"/>
                    <w:p w:rsidR="00890751" w:rsidRDefault="00890751" w:rsidP="00890751"/>
                  </w:txbxContent>
                </v:textbox>
                <w10:wrap type="square"/>
              </v:shape>
            </w:pict>
          </mc:Fallback>
        </mc:AlternateContent>
      </w:r>
    </w:p>
    <w:p w:rsidR="00890751" w:rsidRDefault="00890751" w:rsidP="00926C70"/>
    <w:p w:rsidR="00890751" w:rsidRDefault="00890751" w:rsidP="00926C70"/>
    <w:p w:rsidR="00890751" w:rsidRDefault="00890751" w:rsidP="00926C70"/>
    <w:p w:rsidR="00890751" w:rsidRDefault="00890751" w:rsidP="00926C70"/>
    <w:p w:rsidR="00890751" w:rsidRDefault="00890751" w:rsidP="00926C70">
      <w:r>
        <w:t xml:space="preserve">The justification triangle model highlights how perceptions of those involved in CSE can vary, as children may often be seen as being part of the problem or not abused. It also highlights the supply and demand nature of CSE, where it is often to necessary to have a person who the abused child sees as a boyfriend or similar, in order to enable abusers to gain access to children. </w:t>
      </w:r>
    </w:p>
    <w:p w:rsidR="008344C5" w:rsidRDefault="008344C5" w:rsidP="00926C70">
      <w:r>
        <w:t>Q22.</w:t>
      </w:r>
    </w:p>
    <w:p w:rsidR="008344C5" w:rsidRDefault="008344C5" w:rsidP="00926C70">
      <w:r>
        <w:t xml:space="preserve">The Child Sex Offender Disclsoure Scheme (Sarah’s Law), emerges from a case in England where a convicted paedophile, Roy Whiting, who had previously been charged with the attempted abduction and rape of an 8 year old, abducted 8 year old Sarah Payne from a cornfield close to her home and and murdered her. The scheme allows any person connected to a child </w:t>
      </w:r>
      <w:r w:rsidR="00E51177">
        <w:t xml:space="preserve">such as a parent </w:t>
      </w:r>
      <w:r>
        <w:t>to apply</w:t>
      </w:r>
      <w:r w:rsidR="0001490A">
        <w:t xml:space="preserve"> to </w:t>
      </w:r>
      <w:r w:rsidR="0001490A">
        <w:lastRenderedPageBreak/>
        <w:t>the police</w:t>
      </w:r>
      <w:r>
        <w:t xml:space="preserve"> for </w:t>
      </w:r>
      <w:r w:rsidR="00E51177">
        <w:t>a disclosure of information in regards to a person who has regular contact with that child. This application will be assessed by police who then may make a disclosure relating to previous convictions for child sex offences to the person</w:t>
      </w:r>
      <w:r w:rsidR="0001490A">
        <w:t xml:space="preserve"> if it is deemed proportionate</w:t>
      </w:r>
      <w:r w:rsidR="00E51177">
        <w:t xml:space="preserve">. This information must be held confidentially by the person it has been disclosed to. There were several concerns that the scheme could push sex offenders ‘underground’ or make them a target for vigilante retribution, as has happened in the US with similar laws. </w:t>
      </w:r>
    </w:p>
    <w:p w:rsidR="00E51177" w:rsidRDefault="00E51177" w:rsidP="00926C70">
      <w:r>
        <w:t xml:space="preserve">Q23. </w:t>
      </w:r>
    </w:p>
    <w:p w:rsidR="00E51177" w:rsidRDefault="00E51177" w:rsidP="00926C70">
      <w:r>
        <w:t>The evidential presumptions that a court can make are that the person could not consent as they were:</w:t>
      </w:r>
    </w:p>
    <w:p w:rsidR="00E51177" w:rsidRDefault="00E51177" w:rsidP="00926C70">
      <w:r>
        <w:t>Under duress or threat to their life or limb</w:t>
      </w:r>
    </w:p>
    <w:p w:rsidR="00E51177" w:rsidRDefault="00E51177" w:rsidP="00926C70">
      <w:r>
        <w:t>Under the influence of alcohol or drugs to the extent where they no longer had capacity to make decisions</w:t>
      </w:r>
    </w:p>
    <w:p w:rsidR="00E51177" w:rsidRDefault="00E51177" w:rsidP="00926C70">
      <w:r>
        <w:t>They were unconscious</w:t>
      </w:r>
    </w:p>
    <w:p w:rsidR="00E51177" w:rsidRDefault="00E51177" w:rsidP="00926C70">
      <w:r>
        <w:t>They were deceived as to the identity of the person with whom they engaged in sexual intercourse</w:t>
      </w:r>
    </w:p>
    <w:p w:rsidR="00A77088" w:rsidRDefault="00A77088" w:rsidP="00926C70">
      <w:r>
        <w:t>These evidential presumptions are matters of fact that could be identified as precluding the possibility of consensual sexual activity, thus negating the defence of the accused.</w:t>
      </w:r>
    </w:p>
    <w:p w:rsidR="0001490A" w:rsidRDefault="0001490A" w:rsidP="00926C70"/>
    <w:p w:rsidR="00E51177" w:rsidRDefault="00E51177" w:rsidP="00926C70">
      <w:r>
        <w:t>Q24.</w:t>
      </w:r>
    </w:p>
    <w:p w:rsidR="00E51177" w:rsidRDefault="00E51177" w:rsidP="00926C70">
      <w:r>
        <w:t>The overriding objectives are:</w:t>
      </w:r>
    </w:p>
    <w:p w:rsidR="00E51177" w:rsidRDefault="00E51177" w:rsidP="00926C70">
      <w:r>
        <w:t xml:space="preserve">For </w:t>
      </w:r>
      <w:r w:rsidR="0001490A">
        <w:t>the case to be conducted fairly and impartially for all parties and to reach the truth of the matter.</w:t>
      </w:r>
    </w:p>
    <w:p w:rsidR="0001490A" w:rsidRDefault="0001490A" w:rsidP="00926C70">
      <w:r>
        <w:t>For the accused to be able to defend themselves fairly.</w:t>
      </w:r>
    </w:p>
    <w:p w:rsidR="0001490A" w:rsidRDefault="0001490A" w:rsidP="00926C70"/>
    <w:p w:rsidR="00E51177" w:rsidRDefault="00E51177" w:rsidP="00926C70">
      <w:r>
        <w:t>Q25.</w:t>
      </w:r>
    </w:p>
    <w:p w:rsidR="00E51177" w:rsidRDefault="00E51177" w:rsidP="00926C70">
      <w:r>
        <w:t xml:space="preserve">The full code test is where there is sufficient evidence to provide a realistic likelihood of a guilty conviction and where it is in the public interest to prosecute the case. For example, where a young person above the age of criminal responsibility for whom conviction would have an undue impact upon them, the prosecution may not be in the public interest to carry out. </w:t>
      </w:r>
    </w:p>
    <w:p w:rsidR="00FA5437" w:rsidRDefault="00FA5437" w:rsidP="007C1325"/>
    <w:p w:rsidR="00FA5437" w:rsidRPr="00A30E2C" w:rsidRDefault="00FA5437" w:rsidP="007C1325"/>
    <w:sectPr w:rsidR="00FA5437" w:rsidRPr="00A30E2C" w:rsidSect="00A30E2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90A" w:rsidRDefault="0001490A" w:rsidP="00A30E2C">
      <w:pPr>
        <w:spacing w:after="0" w:line="240" w:lineRule="auto"/>
      </w:pPr>
      <w:r>
        <w:separator/>
      </w:r>
    </w:p>
  </w:endnote>
  <w:endnote w:type="continuationSeparator" w:id="0">
    <w:p w:rsidR="0001490A" w:rsidRDefault="0001490A" w:rsidP="00A30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90A" w:rsidRDefault="00BE374F" w:rsidP="00BE374F">
    <w:pPr>
      <w:pStyle w:val="Footer"/>
      <w:rPr>
        <w:color w:val="000000"/>
        <w:sz w:val="17"/>
      </w:rPr>
    </w:pPr>
    <w:bookmarkStart w:id="3" w:name="TITUS1FooterEvenPages"/>
    <w:r>
      <w:rPr>
        <w:color w:val="000000"/>
        <w:sz w:val="17"/>
      </w:rPr>
      <w:t> </w:t>
    </w:r>
  </w:p>
  <w:bookmarkEnd w:id="3"/>
  <w:p w:rsidR="0001490A" w:rsidRDefault="0001490A" w:rsidP="00BE11B0">
    <w:pPr>
      <w:pStyle w:val="Footer"/>
    </w:pPr>
  </w:p>
  <w:p w:rsidR="0001490A" w:rsidRDefault="000149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90A" w:rsidRDefault="00BE374F" w:rsidP="00BE374F">
    <w:pPr>
      <w:pStyle w:val="Footer"/>
      <w:rPr>
        <w:color w:val="000000"/>
        <w:sz w:val="17"/>
      </w:rPr>
    </w:pPr>
    <w:bookmarkStart w:id="4" w:name="TITUS1FooterPrimary"/>
    <w:r>
      <w:rPr>
        <w:color w:val="000000"/>
        <w:sz w:val="17"/>
      </w:rPr>
      <w:t> </w:t>
    </w:r>
  </w:p>
  <w:bookmarkEnd w:id="4"/>
  <w:p w:rsidR="0001490A" w:rsidRDefault="000149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90A" w:rsidRDefault="00BE374F" w:rsidP="00BE374F">
    <w:pPr>
      <w:pStyle w:val="Footer"/>
      <w:rPr>
        <w:color w:val="000000"/>
        <w:sz w:val="17"/>
      </w:rPr>
    </w:pPr>
    <w:bookmarkStart w:id="6" w:name="TITUS1FooterFirstPage"/>
    <w:r>
      <w:rPr>
        <w:color w:val="000000"/>
        <w:sz w:val="17"/>
      </w:rPr>
      <w:t> </w:t>
    </w:r>
  </w:p>
  <w:bookmarkEnd w:id="6"/>
  <w:p w:rsidR="0001490A" w:rsidRDefault="000149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90A" w:rsidRDefault="0001490A" w:rsidP="00A30E2C">
      <w:pPr>
        <w:spacing w:after="0" w:line="240" w:lineRule="auto"/>
      </w:pPr>
      <w:r>
        <w:separator/>
      </w:r>
    </w:p>
  </w:footnote>
  <w:footnote w:type="continuationSeparator" w:id="0">
    <w:p w:rsidR="0001490A" w:rsidRDefault="0001490A" w:rsidP="00A30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90A" w:rsidRDefault="00BE374F" w:rsidP="00BE374F">
    <w:pPr>
      <w:pStyle w:val="Header"/>
      <w:rPr>
        <w:color w:val="000000"/>
        <w:sz w:val="17"/>
      </w:rPr>
    </w:pPr>
    <w:bookmarkStart w:id="1" w:name="TITUS1HeaderEvenPages"/>
    <w:r>
      <w:rPr>
        <w:color w:val="000000"/>
        <w:sz w:val="17"/>
      </w:rPr>
      <w:t> </w:t>
    </w:r>
  </w:p>
  <w:bookmarkEnd w:id="1"/>
  <w:p w:rsidR="0001490A" w:rsidRDefault="0001490A" w:rsidP="00BE11B0">
    <w:pPr>
      <w:pStyle w:val="Header"/>
    </w:pPr>
  </w:p>
  <w:p w:rsidR="0001490A" w:rsidRDefault="000149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90A" w:rsidRDefault="00BE374F" w:rsidP="00BE374F">
    <w:pPr>
      <w:pStyle w:val="Header"/>
      <w:rPr>
        <w:color w:val="000000"/>
        <w:sz w:val="17"/>
      </w:rPr>
    </w:pPr>
    <w:bookmarkStart w:id="2" w:name="TITUS1HeaderPrimary"/>
    <w:r>
      <w:rPr>
        <w:color w:val="000000"/>
        <w:sz w:val="17"/>
      </w:rPr>
      <w:t> </w:t>
    </w:r>
  </w:p>
  <w:bookmarkEnd w:id="2"/>
  <w:p w:rsidR="0001490A" w:rsidRDefault="000149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90A" w:rsidRDefault="00BE374F" w:rsidP="00BE374F">
    <w:pPr>
      <w:pStyle w:val="Header"/>
      <w:rPr>
        <w:color w:val="000000"/>
        <w:sz w:val="17"/>
      </w:rPr>
    </w:pPr>
    <w:bookmarkStart w:id="5" w:name="TITUS1HeaderFirstPage"/>
    <w:r>
      <w:rPr>
        <w:color w:val="000000"/>
        <w:sz w:val="17"/>
      </w:rPr>
      <w:t> </w:t>
    </w:r>
  </w:p>
  <w:bookmarkEnd w:id="5"/>
  <w:p w:rsidR="0001490A" w:rsidRDefault="000149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3E5A30"/>
    <w:multiLevelType w:val="hybridMultilevel"/>
    <w:tmpl w:val="B69C1346"/>
    <w:lvl w:ilvl="0" w:tplc="A1D28F6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E2C"/>
    <w:rsid w:val="0001490A"/>
    <w:rsid w:val="000B52D5"/>
    <w:rsid w:val="0019160F"/>
    <w:rsid w:val="00447C3B"/>
    <w:rsid w:val="00485FA4"/>
    <w:rsid w:val="007B22D4"/>
    <w:rsid w:val="007C1325"/>
    <w:rsid w:val="008344C5"/>
    <w:rsid w:val="00890751"/>
    <w:rsid w:val="00920E73"/>
    <w:rsid w:val="00926C70"/>
    <w:rsid w:val="00991327"/>
    <w:rsid w:val="009A3A24"/>
    <w:rsid w:val="00A30E2C"/>
    <w:rsid w:val="00A77088"/>
    <w:rsid w:val="00BE11B0"/>
    <w:rsid w:val="00BE374F"/>
    <w:rsid w:val="00D415D8"/>
    <w:rsid w:val="00E51177"/>
    <w:rsid w:val="00E5528B"/>
    <w:rsid w:val="00FA5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4E4820"/>
  <w15:chartTrackingRefBased/>
  <w15:docId w15:val="{98ADDB9A-8D03-46B7-BEC5-CF4AC2B7F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0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E2C"/>
  </w:style>
  <w:style w:type="paragraph" w:styleId="Footer">
    <w:name w:val="footer"/>
    <w:basedOn w:val="Normal"/>
    <w:link w:val="FooterChar"/>
    <w:uiPriority w:val="99"/>
    <w:unhideWhenUsed/>
    <w:rsid w:val="00A30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E2C"/>
  </w:style>
  <w:style w:type="paragraph" w:styleId="ListParagraph">
    <w:name w:val="List Paragraph"/>
    <w:basedOn w:val="Normal"/>
    <w:uiPriority w:val="34"/>
    <w:qFormat/>
    <w:rsid w:val="00926C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7</Pages>
  <Words>2987</Words>
  <Characters>17031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Mowbray,Samuel swp6721</dc:creator>
  <cp:keywords/>
  <dc:description/>
  <cp:lastModifiedBy>Mowbray,Samuel swp6721</cp:lastModifiedBy>
  <cp:revision>9</cp:revision>
  <dcterms:created xsi:type="dcterms:W3CDTF">2020-11-16T12:55:00Z</dcterms:created>
  <dcterms:modified xsi:type="dcterms:W3CDTF">2020-11-16T15:00:00Z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49472447-67ba-45e8-bb32-8f89536692dc</vt:lpwstr>
  </property>
  <property fmtid="{D5CDD505-2E9C-101B-9397-08002B2CF9AE}" pid="3" name="Classification">
    <vt:lpwstr>OFFICIAL</vt:lpwstr>
  </property>
  <property fmtid="{D5CDD505-2E9C-101B-9397-08002B2CF9AE}" pid="4" name="Visibility">
    <vt:lpwstr>NOT VISIBLE</vt:lpwstr>
  </property>
</Properties>
</file>