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223E4C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137E6">
              <w:rPr>
                <w:rFonts w:ascii="Times New Roman" w:hAnsi="Times New Roman" w:cs="Times New Roman"/>
                <w:b/>
                <w:color w:val="auto"/>
                <w:sz w:val="48"/>
              </w:rPr>
              <w:t>Nicola Perkins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3E3DAA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137E6">
              <w:rPr>
                <w:rFonts w:ascii="Times New Roman" w:hAnsi="Times New Roman" w:cs="Times New Roman"/>
                <w:b/>
                <w:color w:val="auto"/>
                <w:sz w:val="48"/>
              </w:rPr>
              <w:t xml:space="preserve"> Nicola.perkins@outlook.com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74919F4"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137E6">
              <w:rPr>
                <w:rFonts w:ascii="Times New Roman" w:hAnsi="Times New Roman" w:cs="Times New Roman"/>
                <w:b/>
                <w:color w:val="auto"/>
                <w:sz w:val="48"/>
              </w:rPr>
              <w:t xml:space="preserve"> </w:t>
            </w:r>
          </w:p>
          <w:p w14:paraId="7B296683" w14:textId="3BCFBD11" w:rsidR="005137E6" w:rsidRPr="005D3F07" w:rsidRDefault="005137E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1203286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68841421"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2E69772D" w14:textId="77777777" w:rsidR="001421A9" w:rsidRDefault="00F73919" w:rsidP="00FF7EBB">
            <w:pPr>
              <w:jc w:val="both"/>
              <w:rPr>
                <w:sz w:val="24"/>
                <w:szCs w:val="24"/>
              </w:rPr>
            </w:pPr>
            <w:r>
              <w:rPr>
                <w:sz w:val="24"/>
                <w:szCs w:val="24"/>
              </w:rPr>
              <w:t xml:space="preserve">As a practitioner working in children’s services, it is important I have an understanding the legislation, policies and procedures for safeguarding adults which is not my usual area of work. </w:t>
            </w:r>
          </w:p>
          <w:p w14:paraId="258B64EB" w14:textId="7F4A4CD9" w:rsidR="005137E6" w:rsidRDefault="00F73919" w:rsidP="00FF7EBB">
            <w:pPr>
              <w:jc w:val="both"/>
              <w:rPr>
                <w:sz w:val="24"/>
                <w:szCs w:val="24"/>
              </w:rPr>
            </w:pPr>
            <w:r>
              <w:rPr>
                <w:sz w:val="24"/>
                <w:szCs w:val="24"/>
              </w:rPr>
              <w:t xml:space="preserve">The primary legislation for safeguarding </w:t>
            </w:r>
            <w:r w:rsidR="001421A9">
              <w:rPr>
                <w:sz w:val="24"/>
                <w:szCs w:val="24"/>
              </w:rPr>
              <w:t>adults in Wales is the Social Services and Well-being (Wales) Act 2014 (SSWBWA). The</w:t>
            </w:r>
            <w:r>
              <w:rPr>
                <w:sz w:val="24"/>
                <w:szCs w:val="24"/>
              </w:rPr>
              <w:t xml:space="preserve"> </w:t>
            </w:r>
            <w:r w:rsidR="001421A9">
              <w:rPr>
                <w:sz w:val="24"/>
                <w:szCs w:val="24"/>
              </w:rPr>
              <w:t>definition of ‘adult’ provided in the act under Section 3(2)  is any person aged 18 or over. An adult ‘at risk’ is defined as any adult who is or is at risk of experiencing abuse and neglect, has care and support needs or is unable to protect themselves from abuse and neglect due to their needs under Section 126 (1)(a, b &amp; c).</w:t>
            </w:r>
            <w:r w:rsidR="00A15D29">
              <w:rPr>
                <w:sz w:val="24"/>
                <w:szCs w:val="24"/>
              </w:rPr>
              <w:t xml:space="preserve"> The Wales Safeguarding Procedures (2025) state that every person who works arranging services for children or adults should understand their own role and responsibilities to safeguard adults from abuse and neglect.</w:t>
            </w:r>
            <w:r w:rsidR="00147DFB">
              <w:rPr>
                <w:sz w:val="24"/>
                <w:szCs w:val="24"/>
              </w:rPr>
              <w:t xml:space="preserve"> </w:t>
            </w:r>
          </w:p>
          <w:p w14:paraId="0C7142E8" w14:textId="77777777" w:rsidR="001421A9" w:rsidRDefault="001421A9" w:rsidP="00FF7EBB">
            <w:pPr>
              <w:jc w:val="both"/>
              <w:rPr>
                <w:sz w:val="24"/>
                <w:szCs w:val="24"/>
              </w:rPr>
            </w:pPr>
          </w:p>
          <w:p w14:paraId="261823E7" w14:textId="5D774DC2" w:rsidR="001421A9" w:rsidRDefault="00A15D29" w:rsidP="00FF7EBB">
            <w:pPr>
              <w:jc w:val="both"/>
              <w:rPr>
                <w:sz w:val="24"/>
                <w:szCs w:val="24"/>
              </w:rPr>
            </w:pPr>
            <w:r>
              <w:rPr>
                <w:sz w:val="24"/>
                <w:szCs w:val="24"/>
              </w:rPr>
              <w:t xml:space="preserve">Should professionals identify an adult at risk, the SSWBWA (2014) places a duty on relevant partners to inform the local authority of the fact under Section 128(1). </w:t>
            </w:r>
            <w:r w:rsidR="00B40316">
              <w:rPr>
                <w:sz w:val="24"/>
                <w:szCs w:val="24"/>
              </w:rPr>
              <w:t>The local procedure as a professional is to submit a Multi Agency Referral Form to the adult safeguarding team</w:t>
            </w:r>
            <w:r w:rsidR="00147DFB">
              <w:rPr>
                <w:sz w:val="24"/>
                <w:szCs w:val="24"/>
              </w:rPr>
              <w:t>. The Social Care Institute for Excellence (2015) outlines indicators of abuse relate to psychological, sexual, physical, financial and emotional abuse and provides guidance on signs, for example enforced isolation being an indicator of psychological abuse.</w:t>
            </w:r>
          </w:p>
          <w:p w14:paraId="6060E389" w14:textId="77777777" w:rsidR="00B40316" w:rsidRDefault="00B40316" w:rsidP="00FF7EBB">
            <w:pPr>
              <w:jc w:val="both"/>
              <w:rPr>
                <w:sz w:val="24"/>
                <w:szCs w:val="24"/>
              </w:rPr>
            </w:pPr>
          </w:p>
          <w:p w14:paraId="18EAA7D0" w14:textId="4850D4C3" w:rsidR="001C2C35" w:rsidRPr="00F73919" w:rsidRDefault="001C2C35" w:rsidP="00FF7EBB">
            <w:pPr>
              <w:jc w:val="both"/>
              <w:rPr>
                <w:sz w:val="24"/>
                <w:szCs w:val="24"/>
              </w:rPr>
            </w:pPr>
            <w:r>
              <w:rPr>
                <w:sz w:val="24"/>
                <w:szCs w:val="24"/>
              </w:rPr>
              <w:t>The SSWBWA 2014 places a duty on local authorities to make whatever enquiries it deems necessary if there is reasonable cause that an adult is at risk in their area under Section 126 (2)(a). The SSWBWA 2014 enables local authorities to apply for adult protection orders under Section 127, which enables them to speak to adults alone to ascertain if they are making decisions freely and assess if the person is at risk</w:t>
            </w:r>
            <w:r w:rsidR="00147DFB">
              <w:rPr>
                <w:sz w:val="24"/>
                <w:szCs w:val="24"/>
              </w:rPr>
              <w:t>, so long as they have capacity under the Mental Capacity Act 2005</w:t>
            </w:r>
            <w:r>
              <w:rPr>
                <w:sz w:val="24"/>
                <w:szCs w:val="24"/>
              </w:rPr>
              <w:t xml:space="preserve">. Following enquiries, the local authority has a duty to decide if action should be taken under SSWBWA 2014 Section 126 (2)(b). Should it be found that the adult is at risk of abuse and/or neglect, they are eligible for care and support in order to protect them under </w:t>
            </w:r>
            <w:bookmarkStart w:id="0" w:name="_Hlk208064206"/>
            <w:r>
              <w:rPr>
                <w:sz w:val="24"/>
                <w:szCs w:val="24"/>
              </w:rPr>
              <w:t>The Care and Support (Eligibility) (Wales) Regulations 2015</w:t>
            </w:r>
            <w:bookmarkEnd w:id="0"/>
            <w:r>
              <w:rPr>
                <w:sz w:val="24"/>
                <w:szCs w:val="24"/>
              </w:rPr>
              <w:t xml:space="preserve"> Section 3 (b)(iii). </w:t>
            </w:r>
          </w:p>
          <w:p w14:paraId="087DAC78" w14:textId="77777777" w:rsidR="00F73919" w:rsidRDefault="00F73919" w:rsidP="00FF7EBB">
            <w:pPr>
              <w:jc w:val="both"/>
              <w:rPr>
                <w:sz w:val="24"/>
                <w:szCs w:val="24"/>
              </w:rPr>
            </w:pPr>
          </w:p>
          <w:p w14:paraId="2EBFDFBC" w14:textId="24C0CE2B" w:rsidR="004B5B02" w:rsidRDefault="004B5B02" w:rsidP="00FF7EBB">
            <w:pPr>
              <w:jc w:val="both"/>
              <w:rPr>
                <w:sz w:val="24"/>
                <w:szCs w:val="24"/>
              </w:rPr>
            </w:pPr>
            <w:r>
              <w:rPr>
                <w:sz w:val="24"/>
                <w:szCs w:val="24"/>
              </w:rPr>
              <w:lastRenderedPageBreak/>
              <w:t xml:space="preserve">The SSWBWA 2014 Section 7(1) states that professionals working under the act must have due regard to the United Nations Principles for Older Persons 1991 which recognises the additional strain placed on family life and communities of caring for higher numbers of people in advanced age, who have a right to be treated fairly and without discrimination (United Nations, n.d.). Professionals must also give due regard to the More Than Just Words </w:t>
            </w:r>
            <w:r w:rsidR="000A2AE5">
              <w:rPr>
                <w:sz w:val="24"/>
                <w:szCs w:val="24"/>
              </w:rPr>
              <w:t>initiative, highlighting the importance of offering Welsh Language services to older people where it is often a matter of need (Welsh Government 2022 p4).</w:t>
            </w:r>
          </w:p>
          <w:p w14:paraId="2D631E66" w14:textId="77777777" w:rsidR="000A2AE5" w:rsidRDefault="000A2AE5" w:rsidP="00FF7EBB">
            <w:pPr>
              <w:jc w:val="both"/>
              <w:rPr>
                <w:sz w:val="24"/>
                <w:szCs w:val="24"/>
              </w:rPr>
            </w:pPr>
          </w:p>
          <w:p w14:paraId="5340ECCD" w14:textId="285AF345" w:rsidR="000A2AE5" w:rsidRDefault="000A2AE5" w:rsidP="00FF7EBB">
            <w:pPr>
              <w:jc w:val="both"/>
              <w:rPr>
                <w:sz w:val="24"/>
                <w:szCs w:val="24"/>
              </w:rPr>
            </w:pPr>
            <w:r>
              <w:rPr>
                <w:sz w:val="24"/>
                <w:szCs w:val="24"/>
              </w:rPr>
              <w:t xml:space="preserve">There is wider national and international legislation that should be considered when working with adults at risk. The Human Rights Act 1998 sets out the guaranteed rights and freedoms for all persons under the European Convention on Human Rights. The Mental Capacity Act 2005 ensures all adults are assumed to have capacity and </w:t>
            </w:r>
            <w:r w:rsidR="00FE312F">
              <w:rPr>
                <w:sz w:val="24"/>
                <w:szCs w:val="24"/>
              </w:rPr>
              <w:t>ensures adults have the freedom to make their own decisions, even when unwise. The Equality Act 2010 sets out duties with the aim of minimising inequalities relating to discrimination against protected characteristics.</w:t>
            </w:r>
          </w:p>
          <w:p w14:paraId="18ADF502" w14:textId="77777777" w:rsidR="005137E6" w:rsidRDefault="005137E6" w:rsidP="00FF7EBB">
            <w:pPr>
              <w:jc w:val="both"/>
              <w:rPr>
                <w:sz w:val="24"/>
                <w:szCs w:val="24"/>
              </w:rPr>
            </w:pPr>
          </w:p>
          <w:p w14:paraId="14883BA0" w14:textId="4E7E722A" w:rsidR="00FC0334" w:rsidRPr="00FE312F" w:rsidRDefault="00FE312F" w:rsidP="00FF7EBB">
            <w:pPr>
              <w:jc w:val="both"/>
              <w:rPr>
                <w:b/>
                <w:bCs/>
                <w:sz w:val="24"/>
                <w:szCs w:val="24"/>
              </w:rPr>
            </w:pPr>
            <w:r w:rsidRPr="00FE312F">
              <w:rPr>
                <w:b/>
                <w:bCs/>
                <w:sz w:val="24"/>
                <w:szCs w:val="24"/>
              </w:rPr>
              <w:t>Word count: 54</w:t>
            </w:r>
            <w:r w:rsidR="00FE3E69">
              <w:rPr>
                <w:b/>
                <w:bCs/>
                <w:sz w:val="24"/>
                <w:szCs w:val="24"/>
              </w:rPr>
              <w:t>9</w:t>
            </w: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4B25FBF9" w:rsidR="00FC0334" w:rsidRDefault="00745A06" w:rsidP="00FC0334">
            <w:pPr>
              <w:jc w:val="both"/>
              <w:rPr>
                <w:sz w:val="24"/>
                <w:szCs w:val="24"/>
              </w:rPr>
            </w:pPr>
            <w:r>
              <w:rPr>
                <w:sz w:val="24"/>
                <w:szCs w:val="24"/>
              </w:rPr>
              <w:t>Whilst the Social Services and Wellbeing (Wales) Act 2014 (SSWBWA) is the overarching safeguarding legislation for adults and children, there are key differences in practice</w:t>
            </w:r>
            <w:r w:rsidR="00DF07ED">
              <w:rPr>
                <w:sz w:val="24"/>
                <w:szCs w:val="24"/>
              </w:rPr>
              <w:t xml:space="preserve">. </w:t>
            </w:r>
            <w:r>
              <w:rPr>
                <w:sz w:val="24"/>
                <w:szCs w:val="24"/>
              </w:rPr>
              <w:t xml:space="preserve">Indicators of harm </w:t>
            </w:r>
            <w:r w:rsidR="00DF07ED">
              <w:rPr>
                <w:sz w:val="24"/>
                <w:szCs w:val="24"/>
              </w:rPr>
              <w:t>can appear</w:t>
            </w:r>
            <w:r>
              <w:rPr>
                <w:sz w:val="24"/>
                <w:szCs w:val="24"/>
              </w:rPr>
              <w:t xml:space="preserve"> similar between adults and children, however children require safeguarding due to their youth, inexperience and family dynamics whilst adults have the right to make decisions where they have capacity that might put them at risk (Koubel, 2016 p25). </w:t>
            </w:r>
          </w:p>
          <w:p w14:paraId="0E82BD03" w14:textId="77777777" w:rsidR="00745A06" w:rsidRDefault="00745A06" w:rsidP="00FC0334">
            <w:pPr>
              <w:jc w:val="both"/>
              <w:rPr>
                <w:sz w:val="24"/>
                <w:szCs w:val="24"/>
              </w:rPr>
            </w:pPr>
          </w:p>
          <w:p w14:paraId="689DE0EC" w14:textId="417EE251" w:rsidR="009924EA" w:rsidRDefault="00AC209C" w:rsidP="00FC0334">
            <w:pPr>
              <w:jc w:val="both"/>
              <w:rPr>
                <w:sz w:val="24"/>
                <w:szCs w:val="24"/>
              </w:rPr>
            </w:pPr>
            <w:r>
              <w:rPr>
                <w:sz w:val="24"/>
                <w:szCs w:val="24"/>
              </w:rPr>
              <w:t xml:space="preserve">I reflect that one of the central differences between adult and children’s social work is the matter of consent. For children, work can be completed with parents consent regarding matters related to them, some children unable to </w:t>
            </w:r>
            <w:r w:rsidR="009924EA">
              <w:rPr>
                <w:sz w:val="24"/>
                <w:szCs w:val="24"/>
              </w:rPr>
              <w:t>consent due to age and maturity. If the local authority has reasonable grounds to suspect an adult is at risk, they have a duty to investigate under Part 7 of the SSWBWA 2014. Should an adult decline intervention and is making these decisions freely and with capacity, they have the right to continue living in the way they wish without interference under Article 8 of the Human Rights Act 1998, right to a private and family life. Only in extreme instances are Deprivation of Liberty safeguards used under the Mental Capacity Act 2010.</w:t>
            </w:r>
            <w:r w:rsidR="00DF07ED">
              <w:rPr>
                <w:sz w:val="24"/>
                <w:szCs w:val="24"/>
              </w:rPr>
              <w:t xml:space="preserve">  </w:t>
            </w:r>
            <w:r w:rsidR="009924EA">
              <w:rPr>
                <w:sz w:val="24"/>
                <w:szCs w:val="24"/>
              </w:rPr>
              <w:t xml:space="preserve">In contrast, the Human Rights Act 1998 makes provision under Article 8 that the right to private and family life </w:t>
            </w:r>
            <w:r w:rsidR="00DF07ED">
              <w:rPr>
                <w:sz w:val="24"/>
                <w:szCs w:val="24"/>
              </w:rPr>
              <w:t xml:space="preserve">is overridden should action be needed to protect the rights and freedoms of others, which includes children. </w:t>
            </w:r>
            <w:r w:rsidR="00CA7B11">
              <w:rPr>
                <w:sz w:val="24"/>
                <w:szCs w:val="24"/>
              </w:rPr>
              <w:t>The Human Rights Act</w:t>
            </w:r>
            <w:r w:rsidR="00DF07ED">
              <w:rPr>
                <w:sz w:val="24"/>
                <w:szCs w:val="24"/>
              </w:rPr>
              <w:t xml:space="preserve"> provides local </w:t>
            </w:r>
            <w:r w:rsidR="00DF07ED">
              <w:rPr>
                <w:sz w:val="24"/>
                <w:szCs w:val="24"/>
              </w:rPr>
              <w:lastRenderedPageBreak/>
              <w:t xml:space="preserve">authorities with powers to interfere </w:t>
            </w:r>
            <w:r w:rsidR="00CA7B11">
              <w:rPr>
                <w:sz w:val="24"/>
                <w:szCs w:val="24"/>
              </w:rPr>
              <w:t>as keeping the safety of the child paramount, or the ‘paramountcy principle’, must remain central to all practice with children (White, 2013).</w:t>
            </w:r>
          </w:p>
          <w:p w14:paraId="77FE86D3" w14:textId="77777777" w:rsidR="00745A06" w:rsidRDefault="00745A06" w:rsidP="00FC0334">
            <w:pPr>
              <w:jc w:val="both"/>
              <w:rPr>
                <w:sz w:val="24"/>
                <w:szCs w:val="24"/>
              </w:rPr>
            </w:pPr>
          </w:p>
          <w:p w14:paraId="0E64B386" w14:textId="7497B38A" w:rsidR="00FC0334" w:rsidRDefault="00745A06" w:rsidP="00FC0334">
            <w:pPr>
              <w:jc w:val="both"/>
              <w:rPr>
                <w:sz w:val="24"/>
                <w:szCs w:val="24"/>
              </w:rPr>
            </w:pPr>
            <w:r>
              <w:rPr>
                <w:sz w:val="24"/>
                <w:szCs w:val="24"/>
              </w:rPr>
              <w:t>An interesting conflict between adult and children safeguarding work is the definition of ‘adult’ and ‘child’. The SSWBWA 2014 defines adult</w:t>
            </w:r>
            <w:r w:rsidR="00FE3E69">
              <w:rPr>
                <w:sz w:val="24"/>
                <w:szCs w:val="24"/>
              </w:rPr>
              <w:t>s</w:t>
            </w:r>
            <w:r>
              <w:rPr>
                <w:sz w:val="24"/>
                <w:szCs w:val="24"/>
              </w:rPr>
              <w:t xml:space="preserve"> as over 18 and child</w:t>
            </w:r>
            <w:r w:rsidR="00FE3E69">
              <w:rPr>
                <w:sz w:val="24"/>
                <w:szCs w:val="24"/>
              </w:rPr>
              <w:t>ren</w:t>
            </w:r>
            <w:r>
              <w:rPr>
                <w:sz w:val="24"/>
                <w:szCs w:val="24"/>
              </w:rPr>
              <w:t xml:space="preserve"> as under 18, whilst the Mental Capacity Act 2010 defines</w:t>
            </w:r>
            <w:r w:rsidR="00FE3E69">
              <w:rPr>
                <w:sz w:val="24"/>
                <w:szCs w:val="24"/>
              </w:rPr>
              <w:t xml:space="preserve"> </w:t>
            </w:r>
            <w:r>
              <w:rPr>
                <w:sz w:val="24"/>
                <w:szCs w:val="24"/>
              </w:rPr>
              <w:t>adult</w:t>
            </w:r>
            <w:r w:rsidR="00FE3E69">
              <w:rPr>
                <w:sz w:val="24"/>
                <w:szCs w:val="24"/>
              </w:rPr>
              <w:t>s</w:t>
            </w:r>
            <w:r>
              <w:rPr>
                <w:sz w:val="24"/>
                <w:szCs w:val="24"/>
              </w:rPr>
              <w:t xml:space="preserve"> as over 16. Capacity is presumed in over 16s according to the Mental Capacity Act, however the Gillick Competency Principle </w:t>
            </w:r>
            <w:r w:rsidR="00AC209C">
              <w:rPr>
                <w:sz w:val="24"/>
                <w:szCs w:val="24"/>
              </w:rPr>
              <w:t xml:space="preserve">where it was concluded that if a child has the ‘intelligence and maturity’ to understand a decision, they should be able to consent (Fenton, 2020). This creates an interesting overlap and grey area in practice when working with adolescents with strong views and wishes. In practice, children </w:t>
            </w:r>
            <w:r w:rsidR="00FE3E69">
              <w:rPr>
                <w:sz w:val="24"/>
                <w:szCs w:val="24"/>
              </w:rPr>
              <w:t>at risk must be protected, even when against their wishes</w:t>
            </w:r>
            <w:r w:rsidR="002C0EA6">
              <w:rPr>
                <w:sz w:val="24"/>
                <w:szCs w:val="24"/>
              </w:rPr>
              <w:t xml:space="preserve"> if under 18. A</w:t>
            </w:r>
            <w:r w:rsidR="00AC209C">
              <w:rPr>
                <w:sz w:val="24"/>
                <w:szCs w:val="24"/>
              </w:rPr>
              <w:t xml:space="preserve">dults </w:t>
            </w:r>
            <w:r w:rsidR="00FE3E69">
              <w:rPr>
                <w:sz w:val="24"/>
                <w:szCs w:val="24"/>
              </w:rPr>
              <w:t xml:space="preserve">retain more </w:t>
            </w:r>
            <w:r w:rsidR="00AC209C">
              <w:rPr>
                <w:sz w:val="24"/>
                <w:szCs w:val="24"/>
              </w:rPr>
              <w:t>control</w:t>
            </w:r>
            <w:r w:rsidR="008B02FF">
              <w:rPr>
                <w:sz w:val="24"/>
                <w:szCs w:val="24"/>
              </w:rPr>
              <w:t xml:space="preserve"> to make risky decisions, </w:t>
            </w:r>
            <w:r w:rsidR="002C0EA6">
              <w:rPr>
                <w:sz w:val="24"/>
                <w:szCs w:val="24"/>
              </w:rPr>
              <w:t>however local authorities still have a duty to act in order to protect adults who are experiencing or are at risk of, abuse and neglect (SCIE, n.d.).</w:t>
            </w:r>
          </w:p>
          <w:p w14:paraId="4847C39E" w14:textId="77777777" w:rsidR="00FC0334" w:rsidRDefault="00FC0334" w:rsidP="00FC0334">
            <w:pPr>
              <w:jc w:val="both"/>
              <w:rPr>
                <w:sz w:val="24"/>
                <w:szCs w:val="24"/>
              </w:rPr>
            </w:pPr>
          </w:p>
          <w:p w14:paraId="11A5A256" w14:textId="5907EF02" w:rsidR="00DF07ED" w:rsidRPr="00DF07ED" w:rsidRDefault="00DF07ED" w:rsidP="00FC0334">
            <w:pPr>
              <w:jc w:val="both"/>
              <w:rPr>
                <w:b/>
                <w:bCs/>
                <w:sz w:val="24"/>
                <w:szCs w:val="24"/>
              </w:rPr>
            </w:pPr>
            <w:r w:rsidRPr="00DF07ED">
              <w:rPr>
                <w:b/>
                <w:bCs/>
                <w:sz w:val="24"/>
                <w:szCs w:val="24"/>
              </w:rPr>
              <w:t>Word count: 4</w:t>
            </w:r>
            <w:r w:rsidR="002C0EA6">
              <w:rPr>
                <w:b/>
                <w:bCs/>
                <w:sz w:val="24"/>
                <w:szCs w:val="24"/>
              </w:rPr>
              <w:t>20</w:t>
            </w: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2AE5"/>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21A9"/>
    <w:rsid w:val="001447F6"/>
    <w:rsid w:val="00147DE3"/>
    <w:rsid w:val="00147DFB"/>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C35"/>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00AF"/>
    <w:rsid w:val="002C0EA6"/>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5B02"/>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7E6"/>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5A0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2FF"/>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4E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5D29"/>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209C"/>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0316"/>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B11"/>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26C"/>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07ED"/>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3919"/>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312F"/>
    <w:rsid w:val="00FE3E69"/>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4</Pages>
  <Words>1175</Words>
  <Characters>6148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Perkins, Nicola</cp:lastModifiedBy>
  <cp:revision>7</cp:revision>
  <cp:lastPrinted>2020-02-11T19:20:00Z</cp:lastPrinted>
  <dcterms:created xsi:type="dcterms:W3CDTF">2025-09-06T14:42:00Z</dcterms:created>
  <dcterms:modified xsi:type="dcterms:W3CDTF">2025-09-22T18:59:00Z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