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7756F" w14:textId="77777777" w:rsidR="00145B2C" w:rsidRPr="00145B2C" w:rsidRDefault="00145B2C" w:rsidP="00145B2C">
      <w:r w:rsidRPr="00145B2C">
        <w:rPr>
          <w:b/>
          <w:bCs/>
        </w:rPr>
        <w:t>Slide 1 (Cover)</w:t>
      </w:r>
      <w:r w:rsidRPr="00145B2C">
        <w:br/>
        <w:t>Hello everyone. My presentation is about digitally enabled virtual wards in England, sometimes called hospital at home. I will summarise what the innovation is, how it is implemented, then I will analyse impacts on workforce, service delivery, patient experience, and community. I will finish with a careful judgement, because the evidence is still not fully mature at national scale.</w:t>
      </w:r>
    </w:p>
    <w:p w14:paraId="3BF10050" w14:textId="77777777" w:rsidR="00145B2C" w:rsidRPr="00145B2C" w:rsidRDefault="00145B2C" w:rsidP="00145B2C">
      <w:r w:rsidRPr="00145B2C">
        <w:rPr>
          <w:b/>
          <w:bCs/>
        </w:rPr>
        <w:t>Slide 2 (Aim and structure)</w:t>
      </w:r>
      <w:r w:rsidRPr="00145B2C">
        <w:br/>
        <w:t xml:space="preserve">I will keep it structured and close to the assessment criteria. </w:t>
      </w:r>
      <w:proofErr w:type="gramStart"/>
      <w:r w:rsidRPr="00145B2C">
        <w:t>First</w:t>
      </w:r>
      <w:proofErr w:type="gramEnd"/>
      <w:r w:rsidRPr="00145B2C">
        <w:t xml:space="preserve"> I define virtual wards as an innovation, then I describe how England implemented it and what scale looks like now. After that I move to the human impacts: staff roles, daily care routines, patient feelings like comfort or anxiety, </w:t>
      </w:r>
      <w:proofErr w:type="gramStart"/>
      <w:r w:rsidRPr="00145B2C">
        <w:t>and also</w:t>
      </w:r>
      <w:proofErr w:type="gramEnd"/>
      <w:r w:rsidRPr="00145B2C">
        <w:t xml:space="preserve"> community effects like unpaid caring. I will finish with what seems positive, what remains risky, and what should happen next.</w:t>
      </w:r>
    </w:p>
    <w:p w14:paraId="27A5C080" w14:textId="77777777" w:rsidR="00145B2C" w:rsidRPr="00145B2C" w:rsidRDefault="00145B2C" w:rsidP="00145B2C">
      <w:r w:rsidRPr="00145B2C">
        <w:rPr>
          <w:b/>
          <w:bCs/>
        </w:rPr>
        <w:t>Slide 3 (What is a virtual ward?)</w:t>
      </w:r>
      <w:r w:rsidRPr="00145B2C">
        <w:br/>
        <w:t>A virtual ward is not just a video appointment. It is a service that tries to replicate ward processes while the patient stays at home. Patients might send oxygen saturations, blood pressure, weight, or symptom scores. Clinicians review dashboards, contact patients, and decide if the patient can stay safely at home. If the patient deteriorates, there must be a clear escalation pathway, otherwise it becomes unsafe.</w:t>
      </w:r>
    </w:p>
    <w:p w14:paraId="1CD6B443" w14:textId="77777777" w:rsidR="00145B2C" w:rsidRPr="00145B2C" w:rsidRDefault="00145B2C" w:rsidP="00145B2C">
      <w:r w:rsidRPr="00145B2C">
        <w:rPr>
          <w:b/>
          <w:bCs/>
        </w:rPr>
        <w:t>Slide 4 (Why this matters now)</w:t>
      </w:r>
      <w:r w:rsidRPr="00145B2C">
        <w:br/>
        <w:t>Virtual wards matter now because they moved from local pilots into a national operational approach. England set measurable targets for capacity, so it becomes system change rather than small experiment. The policy argument is that if some patients can be safely treated at home, hospitals can keep beds for people who truly need inpatient care. Still, the hardest part is not technology, it is service design, staffing, and oversight.</w:t>
      </w:r>
    </w:p>
    <w:p w14:paraId="73CE25EF" w14:textId="3AF1CBBE" w:rsidR="00145B2C" w:rsidRPr="00145B2C" w:rsidRDefault="00145B2C" w:rsidP="00145B2C">
      <w:r w:rsidRPr="00145B2C">
        <w:rPr>
          <w:b/>
          <w:bCs/>
        </w:rPr>
        <w:t>Slide 5 (How implementation works)</w:t>
      </w:r>
      <w:r w:rsidRPr="00145B2C">
        <w:br/>
        <w:t xml:space="preserve">Implementation is done by local systems, so Integrated Care Boards and providers develop clinical pathways. National guidance tries to reduce unsafe variation by specifying governance, monitoring expectations, and escalation responsibilities. Even with that, models still </w:t>
      </w:r>
      <w:r w:rsidRPr="00145B2C">
        <w:t>vary</w:t>
      </w:r>
      <w:r w:rsidRPr="00145B2C">
        <w:t xml:space="preserve"> who is eligible, how often they are contacted, and how quickly deterioration is acted on. This variation matters because safety is sensitive to response time.</w:t>
      </w:r>
    </w:p>
    <w:p w14:paraId="4692397C" w14:textId="77777777" w:rsidR="00145B2C" w:rsidRPr="00145B2C" w:rsidRDefault="00145B2C" w:rsidP="00145B2C">
      <w:r w:rsidRPr="00145B2C">
        <w:rPr>
          <w:b/>
          <w:bCs/>
        </w:rPr>
        <w:t>Slide 6 (Scale and current activity)</w:t>
      </w:r>
      <w:r w:rsidRPr="00145B2C">
        <w:br/>
        <w:t xml:space="preserve">The Health Foundation analysis helps show what virtual wards looked like during scale-up, including occupancy and patient numbers in late 2023. More recent data is reported monthly in official statistics, which is useful because it makes activity visible rather than only promotional stories. Some national analysis suggests that after a period of growth, </w:t>
      </w:r>
      <w:r w:rsidRPr="00145B2C">
        <w:lastRenderedPageBreak/>
        <w:t>capacity increases slowed, so we should not assume smooth expansion or guaranteed impact.</w:t>
      </w:r>
    </w:p>
    <w:p w14:paraId="72B42708" w14:textId="77777777" w:rsidR="00145B2C" w:rsidRPr="00145B2C" w:rsidRDefault="00145B2C" w:rsidP="00145B2C">
      <w:r w:rsidRPr="00145B2C">
        <w:rPr>
          <w:b/>
          <w:bCs/>
        </w:rPr>
        <w:t>Slide 7 (Workforce: change and pressure)</w:t>
      </w:r>
      <w:r w:rsidRPr="00145B2C">
        <w:br/>
        <w:t>Work does not disappear. It changes shape. Staff must interpret dashboards, decide urgency without seeing the patient, and communicate clearly when risk is rising. This is stressful because uncertainty is higher at distance. Workforce gaps are a repeated warning, because rapid scaling can become unsafe if it is treated as extra work placed on teams that already struggle.</w:t>
      </w:r>
    </w:p>
    <w:p w14:paraId="044A47B5" w14:textId="77777777" w:rsidR="00145B2C" w:rsidRPr="00145B2C" w:rsidRDefault="00145B2C" w:rsidP="00145B2C">
      <w:r w:rsidRPr="00145B2C">
        <w:rPr>
          <w:b/>
          <w:bCs/>
        </w:rPr>
        <w:t>Slide 8 (Service delivery changes)</w:t>
      </w:r>
      <w:r w:rsidRPr="00145B2C">
        <w:br/>
        <w:t>Service delivery changes from bedside observation to remote supervision. The work pattern can become a mixture of planned calls and sudden reactive work when readings worsen. Some models still need many home visits, so the service may shift demand rather than reduce it. Evidence from local studies suggests changes in length of stay, but because some studies are retrospective, patient selection can make results look better than they would be in a broader group.</w:t>
      </w:r>
    </w:p>
    <w:p w14:paraId="30ADB083" w14:textId="77777777" w:rsidR="00145B2C" w:rsidRPr="00145B2C" w:rsidRDefault="00145B2C" w:rsidP="00145B2C">
      <w:r w:rsidRPr="00145B2C">
        <w:rPr>
          <w:b/>
          <w:bCs/>
        </w:rPr>
        <w:t>Slide 9 (Digital inclusion)</w:t>
      </w:r>
      <w:r w:rsidRPr="00145B2C">
        <w:br/>
        <w:t>Digital inclusion is not a side topic. It is a practical delivery requirement. If a patient cannot use devices, cannot read instructions, or lacks stable internet, then the pathway may fail or they might never be offered it. National guidance is clear that services should provide alternatives and support. That takes resources, so inclusion must be planned, not just promised.</w:t>
      </w:r>
    </w:p>
    <w:p w14:paraId="12596F8E" w14:textId="77777777" w:rsidR="00145B2C" w:rsidRPr="00145B2C" w:rsidRDefault="00145B2C" w:rsidP="00145B2C">
      <w:r w:rsidRPr="00145B2C">
        <w:rPr>
          <w:b/>
          <w:bCs/>
        </w:rPr>
        <w:t>Slide 10 (Patient experience)</w:t>
      </w:r>
      <w:r w:rsidRPr="00145B2C">
        <w:br/>
        <w:t xml:space="preserve">Patients often like being at home, and qualitative work reports comfort and reduced disruption for some people. Still, home care changes the patient role. The patient becomes part of monitoring work, and that can feel heavy, especially for older people or those with anxiety. If response is slow after a worrying reading, trust reduces quickly. </w:t>
      </w:r>
      <w:proofErr w:type="gramStart"/>
      <w:r w:rsidRPr="00145B2C">
        <w:t>So</w:t>
      </w:r>
      <w:proofErr w:type="gramEnd"/>
      <w:r w:rsidRPr="00145B2C">
        <w:t xml:space="preserve"> experience depends on reliable human support, not only sensors.</w:t>
      </w:r>
    </w:p>
    <w:p w14:paraId="0C194586" w14:textId="77777777" w:rsidR="00145B2C" w:rsidRPr="00145B2C" w:rsidRDefault="00145B2C" w:rsidP="00145B2C">
      <w:r w:rsidRPr="00145B2C">
        <w:rPr>
          <w:b/>
          <w:bCs/>
        </w:rPr>
        <w:t>Slide 11 (Carers and community)</w:t>
      </w:r>
      <w:r w:rsidRPr="00145B2C">
        <w:br/>
        <w:t>Community impact is not only about location; it is also about family and unpaid carers. Virtual wards can quietly move responsibility from ward staff to relatives, like helping with devices, medications, or symptom tracking. This can increase stress and feel like unpaid clinical labour. Research with patients and carers shows they want clearer information, predictable contact, and recognition of what families are doing.</w:t>
      </w:r>
    </w:p>
    <w:p w14:paraId="408CDC3A" w14:textId="77777777" w:rsidR="00145B2C" w:rsidRPr="00145B2C" w:rsidRDefault="00145B2C" w:rsidP="00145B2C">
      <w:r w:rsidRPr="00145B2C">
        <w:rPr>
          <w:b/>
          <w:bCs/>
        </w:rPr>
        <w:t>Slide 12 (Positive outcomes)</w:t>
      </w:r>
      <w:r w:rsidRPr="00145B2C">
        <w:br/>
        <w:t xml:space="preserve">There are real potential positives. Virtual wards are designed to support admission avoidance and earlier discharge, and this is reinforced through national policy and professional reporting. Some evidence suggests benefits for selected patients, but there is still uncertainty. There is also a sustainability argument: if fewer inpatient days </w:t>
      </w:r>
      <w:r w:rsidRPr="00145B2C">
        <w:lastRenderedPageBreak/>
        <w:t xml:space="preserve">and less travel happens, emissions can be lower, but this depends on how the pathway is </w:t>
      </w:r>
      <w:proofErr w:type="gramStart"/>
      <w:r w:rsidRPr="00145B2C">
        <w:t>actually delivered</w:t>
      </w:r>
      <w:proofErr w:type="gramEnd"/>
      <w:r w:rsidRPr="00145B2C">
        <w:t>.</w:t>
      </w:r>
    </w:p>
    <w:p w14:paraId="76E97FE6" w14:textId="77777777" w:rsidR="00145B2C" w:rsidRPr="00145B2C" w:rsidRDefault="00145B2C" w:rsidP="00145B2C">
      <w:r w:rsidRPr="00145B2C">
        <w:rPr>
          <w:b/>
          <w:bCs/>
        </w:rPr>
        <w:t>Slide 13 (Risks and unresolved issues)</w:t>
      </w:r>
      <w:r w:rsidRPr="00145B2C">
        <w:br/>
        <w:t>The main risks are about people, equity, and evidence. If staffing is not adequate, virtual wards can become unsafe or burn staff out. If inclusion is weak, inequalities widen. A big issue is evidence: roll-out moved faster than high-quality national evaluation, so strong claims about productivity or system flow can be premature. Governance also matters because these services cut across acute trusts, community care, and sometimes suppliers.</w:t>
      </w:r>
    </w:p>
    <w:p w14:paraId="76DC8ACB" w14:textId="77777777" w:rsidR="00145B2C" w:rsidRPr="00145B2C" w:rsidRDefault="00145B2C" w:rsidP="00145B2C">
      <w:r w:rsidRPr="00145B2C">
        <w:rPr>
          <w:b/>
          <w:bCs/>
        </w:rPr>
        <w:t>Slide 14 (Judgement and recommendations)</w:t>
      </w:r>
      <w:r w:rsidRPr="00145B2C">
        <w:br/>
        <w:t>My conclusion is balanced. Virtual wards are a serious innovation and can be valuable, but success is conditional. The service needs staffing that matches monitoring and escalation workload. Safety metrics must be consistent and visible, so learning is shared. Inclusion needs real funding, not only policy words. Carers must be treated as partners with rights and limits, not invisible labour. If these conditions are ignored, scaling targets can backfire and trust drops.</w:t>
      </w:r>
    </w:p>
    <w:p w14:paraId="76592573" w14:textId="77777777" w:rsidR="002F6040" w:rsidRDefault="002F6040"/>
    <w:sectPr w:rsidR="002F6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2C"/>
    <w:rsid w:val="00145B2C"/>
    <w:rsid w:val="002F6040"/>
    <w:rsid w:val="003B79C2"/>
    <w:rsid w:val="004C115F"/>
    <w:rsid w:val="00606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2B37C"/>
  <w15:chartTrackingRefBased/>
  <w15:docId w15:val="{A3198E88-E0FC-438E-9C47-41CBC456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B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B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B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B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B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B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B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B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B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B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B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B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B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B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B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B2C"/>
    <w:rPr>
      <w:rFonts w:eastAsiaTheme="majorEastAsia" w:cstheme="majorBidi"/>
      <w:color w:val="272727" w:themeColor="text1" w:themeTint="D8"/>
    </w:rPr>
  </w:style>
  <w:style w:type="paragraph" w:styleId="Title">
    <w:name w:val="Title"/>
    <w:basedOn w:val="Normal"/>
    <w:next w:val="Normal"/>
    <w:link w:val="TitleChar"/>
    <w:uiPriority w:val="10"/>
    <w:qFormat/>
    <w:rsid w:val="00145B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B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B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B2C"/>
    <w:pPr>
      <w:spacing w:before="160"/>
      <w:jc w:val="center"/>
    </w:pPr>
    <w:rPr>
      <w:i/>
      <w:iCs/>
      <w:color w:val="404040" w:themeColor="text1" w:themeTint="BF"/>
    </w:rPr>
  </w:style>
  <w:style w:type="character" w:customStyle="1" w:styleId="QuoteChar">
    <w:name w:val="Quote Char"/>
    <w:basedOn w:val="DefaultParagraphFont"/>
    <w:link w:val="Quote"/>
    <w:uiPriority w:val="29"/>
    <w:rsid w:val="00145B2C"/>
    <w:rPr>
      <w:i/>
      <w:iCs/>
      <w:color w:val="404040" w:themeColor="text1" w:themeTint="BF"/>
    </w:rPr>
  </w:style>
  <w:style w:type="paragraph" w:styleId="ListParagraph">
    <w:name w:val="List Paragraph"/>
    <w:basedOn w:val="Normal"/>
    <w:uiPriority w:val="34"/>
    <w:qFormat/>
    <w:rsid w:val="00145B2C"/>
    <w:pPr>
      <w:ind w:left="720"/>
      <w:contextualSpacing/>
    </w:pPr>
  </w:style>
  <w:style w:type="character" w:styleId="IntenseEmphasis">
    <w:name w:val="Intense Emphasis"/>
    <w:basedOn w:val="DefaultParagraphFont"/>
    <w:uiPriority w:val="21"/>
    <w:qFormat/>
    <w:rsid w:val="00145B2C"/>
    <w:rPr>
      <w:i/>
      <w:iCs/>
      <w:color w:val="0F4761" w:themeColor="accent1" w:themeShade="BF"/>
    </w:rPr>
  </w:style>
  <w:style w:type="paragraph" w:styleId="IntenseQuote">
    <w:name w:val="Intense Quote"/>
    <w:basedOn w:val="Normal"/>
    <w:next w:val="Normal"/>
    <w:link w:val="IntenseQuoteChar"/>
    <w:uiPriority w:val="30"/>
    <w:qFormat/>
    <w:rsid w:val="00145B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B2C"/>
    <w:rPr>
      <w:i/>
      <w:iCs/>
      <w:color w:val="0F4761" w:themeColor="accent1" w:themeShade="BF"/>
    </w:rPr>
  </w:style>
  <w:style w:type="character" w:styleId="IntenseReference">
    <w:name w:val="Intense Reference"/>
    <w:basedOn w:val="DefaultParagraphFont"/>
    <w:uiPriority w:val="32"/>
    <w:qFormat/>
    <w:rsid w:val="00145B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892</Words>
  <Characters>5546</Characters>
  <Application>Microsoft Office Word</Application>
  <DocSecurity>0</DocSecurity>
  <Lines>102</Lines>
  <Paragraphs>17</Paragraphs>
  <ScaleCrop>false</ScaleCrop>
  <Company/>
  <LinksUpToDate>false</LinksUpToDate>
  <CharactersWithSpaces>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Cristian Mihaita</dc:creator>
  <cp:keywords/>
  <dc:description/>
  <cp:lastModifiedBy>Andrei Cristian Mihaita</cp:lastModifiedBy>
  <cp:revision>1</cp:revision>
  <dcterms:created xsi:type="dcterms:W3CDTF">2026-02-18T19:15:00Z</dcterms:created>
  <dcterms:modified xsi:type="dcterms:W3CDTF">2026-02-18T19:15:00Z</dcterms:modified>
</cp:coreProperties>
</file>