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10" w:type="dxa"/>
        <w:tblBorders>
          <w:top w:val="outset" w:sz="6" w:space="0" w:color="auto"/>
          <w:left w:val="outset" w:sz="6" w:space="0" w:color="auto"/>
          <w:bottom w:val="outset" w:sz="6" w:space="0" w:color="auto"/>
          <w:right w:val="outset" w:sz="6" w:space="0" w:color="auto"/>
        </w:tblBorders>
        <w:shd w:val="clear" w:color="auto" w:fill="CDD4E9"/>
        <w:tblCellMar>
          <w:left w:w="0" w:type="dxa"/>
          <w:right w:w="0" w:type="dxa"/>
        </w:tblCellMar>
        <w:tblLook w:val="04A0" w:firstRow="1" w:lastRow="0" w:firstColumn="1" w:lastColumn="0" w:noHBand="0" w:noVBand="1"/>
      </w:tblPr>
      <w:tblGrid>
        <w:gridCol w:w="1121"/>
        <w:gridCol w:w="3056"/>
        <w:gridCol w:w="4833"/>
      </w:tblGrid>
      <w:tr w:rsidR="000568E7" w:rsidRPr="000568E7" w14:paraId="10CE4178" w14:textId="77777777" w:rsidTr="000568E7">
        <w:trPr>
          <w:trHeight w:val="1155"/>
        </w:trPr>
        <w:tc>
          <w:tcPr>
            <w:tcW w:w="1126" w:type="dxa"/>
            <w:tcBorders>
              <w:top w:val="single" w:sz="6" w:space="0" w:color="FFFFFF"/>
              <w:left w:val="single" w:sz="6" w:space="0" w:color="FFFFFF"/>
              <w:bottom w:val="single" w:sz="6" w:space="0" w:color="FFFFFF"/>
              <w:right w:val="single" w:sz="6" w:space="0" w:color="FFFFFF"/>
            </w:tcBorders>
            <w:shd w:val="clear" w:color="auto" w:fill="CDD4E9"/>
            <w:hideMark/>
          </w:tcPr>
          <w:p w14:paraId="6B40B3F7" w14:textId="77777777" w:rsidR="000568E7" w:rsidRPr="000568E7" w:rsidRDefault="000568E7" w:rsidP="000568E7">
            <w:pPr>
              <w:textAlignment w:val="baseline"/>
              <w:rPr>
                <w:rFonts w:ascii="Arial" w:hAnsi="Arial" w:cs="Arial"/>
                <w:sz w:val="22"/>
                <w:szCs w:val="22"/>
              </w:rPr>
            </w:pPr>
            <w:r w:rsidRPr="000568E7">
              <w:rPr>
                <w:rFonts w:ascii="Arial" w:hAnsi="Arial" w:cs="Arial"/>
                <w:sz w:val="22"/>
                <w:szCs w:val="22"/>
              </w:rPr>
              <w:t> </w:t>
            </w:r>
          </w:p>
        </w:tc>
        <w:tc>
          <w:tcPr>
            <w:tcW w:w="3080" w:type="dxa"/>
            <w:tcBorders>
              <w:top w:val="single" w:sz="6" w:space="0" w:color="FFFFFF"/>
              <w:left w:val="single" w:sz="6" w:space="0" w:color="FFFFFF"/>
              <w:bottom w:val="single" w:sz="6" w:space="0" w:color="FFFFFF"/>
              <w:right w:val="single" w:sz="6" w:space="0" w:color="FFFFFF"/>
            </w:tcBorders>
            <w:shd w:val="clear" w:color="auto" w:fill="CDD4E9"/>
            <w:hideMark/>
          </w:tcPr>
          <w:p w14:paraId="2C44F834" w14:textId="77777777" w:rsidR="000568E7" w:rsidRPr="000568E7" w:rsidRDefault="000568E7" w:rsidP="000568E7">
            <w:pPr>
              <w:textAlignment w:val="baseline"/>
              <w:rPr>
                <w:rFonts w:ascii="Arial" w:hAnsi="Arial" w:cs="Arial"/>
                <w:sz w:val="22"/>
                <w:szCs w:val="22"/>
              </w:rPr>
            </w:pPr>
            <w:r w:rsidRPr="000568E7">
              <w:rPr>
                <w:rFonts w:ascii="Arial" w:hAnsi="Arial" w:cs="Arial"/>
                <w:color w:val="000000"/>
                <w:sz w:val="22"/>
                <w:szCs w:val="22"/>
                <w:lang w:val="en-US"/>
              </w:rPr>
              <w:t>Targed/Target</w:t>
            </w:r>
            <w:r w:rsidRPr="000568E7">
              <w:rPr>
                <w:rFonts w:ascii="Arial" w:hAnsi="Arial" w:cs="Arial"/>
                <w:color w:val="000000"/>
                <w:sz w:val="22"/>
                <w:szCs w:val="22"/>
              </w:rPr>
              <w:t> </w:t>
            </w:r>
          </w:p>
        </w:tc>
        <w:tc>
          <w:tcPr>
            <w:tcW w:w="4804" w:type="dxa"/>
            <w:tcBorders>
              <w:top w:val="single" w:sz="6" w:space="0" w:color="FFFFFF"/>
              <w:left w:val="single" w:sz="6" w:space="0" w:color="FFFFFF"/>
              <w:bottom w:val="single" w:sz="6" w:space="0" w:color="FFFFFF"/>
              <w:right w:val="single" w:sz="6" w:space="0" w:color="FFFFFF"/>
            </w:tcBorders>
            <w:shd w:val="clear" w:color="auto" w:fill="CDD4E9"/>
            <w:hideMark/>
          </w:tcPr>
          <w:p w14:paraId="6CF2A4E6" w14:textId="77777777" w:rsidR="000568E7" w:rsidRPr="000568E7" w:rsidRDefault="000568E7" w:rsidP="000568E7">
            <w:pPr>
              <w:textAlignment w:val="baseline"/>
              <w:rPr>
                <w:rFonts w:ascii="Arial" w:hAnsi="Arial" w:cs="Arial"/>
                <w:sz w:val="22"/>
                <w:szCs w:val="22"/>
              </w:rPr>
            </w:pPr>
            <w:r w:rsidRPr="000568E7">
              <w:rPr>
                <w:rFonts w:ascii="Arial" w:hAnsi="Arial" w:cs="Arial"/>
                <w:color w:val="000000"/>
                <w:sz w:val="22"/>
                <w:szCs w:val="22"/>
                <w:lang w:val="en-US"/>
              </w:rPr>
              <w:t>Yr hyn yr wyf wedi’i wneud yn yr aseiniad hwn….</w:t>
            </w:r>
            <w:r w:rsidRPr="000568E7">
              <w:rPr>
                <w:rFonts w:ascii="Arial" w:hAnsi="Arial" w:cs="Arial"/>
                <w:color w:val="000000"/>
                <w:sz w:val="22"/>
                <w:szCs w:val="22"/>
              </w:rPr>
              <w:t> </w:t>
            </w:r>
          </w:p>
          <w:p w14:paraId="33AD0CBB" w14:textId="77777777" w:rsidR="000568E7" w:rsidRPr="000568E7" w:rsidRDefault="000568E7" w:rsidP="000568E7">
            <w:pPr>
              <w:textAlignment w:val="baseline"/>
              <w:rPr>
                <w:rFonts w:ascii="Arial" w:hAnsi="Arial" w:cs="Arial"/>
                <w:sz w:val="22"/>
                <w:szCs w:val="22"/>
              </w:rPr>
            </w:pPr>
            <w:r w:rsidRPr="000568E7">
              <w:rPr>
                <w:rFonts w:ascii="Arial" w:hAnsi="Arial" w:cs="Arial"/>
                <w:color w:val="000000"/>
                <w:sz w:val="22"/>
                <w:szCs w:val="22"/>
                <w:lang w:val="en-US"/>
              </w:rPr>
              <w:t>What I have done in this assignment….</w:t>
            </w:r>
            <w:r w:rsidRPr="000568E7">
              <w:rPr>
                <w:rFonts w:ascii="Arial" w:hAnsi="Arial" w:cs="Arial"/>
                <w:color w:val="000000"/>
                <w:sz w:val="22"/>
                <w:szCs w:val="22"/>
              </w:rPr>
              <w:t> </w:t>
            </w:r>
          </w:p>
        </w:tc>
      </w:tr>
      <w:tr w:rsidR="000568E7" w:rsidRPr="000568E7" w14:paraId="363FB564" w14:textId="77777777" w:rsidTr="000568E7">
        <w:trPr>
          <w:trHeight w:val="450"/>
        </w:trPr>
        <w:tc>
          <w:tcPr>
            <w:tcW w:w="1126" w:type="dxa"/>
            <w:tcBorders>
              <w:top w:val="single" w:sz="6" w:space="0" w:color="FFFFFF"/>
              <w:left w:val="single" w:sz="6" w:space="0" w:color="FFFFFF"/>
              <w:bottom w:val="single" w:sz="6" w:space="0" w:color="FFFFFF"/>
              <w:right w:val="single" w:sz="6" w:space="0" w:color="FFFFFF"/>
            </w:tcBorders>
            <w:shd w:val="clear" w:color="auto" w:fill="E7EAF4"/>
            <w:hideMark/>
          </w:tcPr>
          <w:p w14:paraId="20DB3AB7" w14:textId="77777777" w:rsidR="000568E7" w:rsidRPr="009D4162" w:rsidRDefault="000568E7" w:rsidP="000568E7">
            <w:pPr>
              <w:textAlignment w:val="baseline"/>
              <w:rPr>
                <w:rFonts w:ascii="Arial" w:hAnsi="Arial" w:cs="Arial"/>
                <w:color w:val="000000"/>
                <w:sz w:val="22"/>
                <w:szCs w:val="22"/>
                <w:lang w:val="en-US"/>
              </w:rPr>
            </w:pPr>
            <w:r w:rsidRPr="000568E7">
              <w:rPr>
                <w:rFonts w:ascii="Arial" w:hAnsi="Arial" w:cs="Arial"/>
                <w:color w:val="000000"/>
                <w:sz w:val="22"/>
                <w:szCs w:val="22"/>
                <w:lang w:val="en-US"/>
              </w:rPr>
              <w:t>Targed/</w:t>
            </w:r>
          </w:p>
          <w:p w14:paraId="53B262C6" w14:textId="7B91BBB6" w:rsidR="000568E7" w:rsidRPr="000568E7" w:rsidRDefault="000568E7" w:rsidP="000568E7">
            <w:pPr>
              <w:textAlignment w:val="baseline"/>
              <w:rPr>
                <w:rFonts w:ascii="Arial" w:hAnsi="Arial" w:cs="Arial"/>
                <w:sz w:val="22"/>
                <w:szCs w:val="22"/>
              </w:rPr>
            </w:pPr>
            <w:r w:rsidRPr="000568E7">
              <w:rPr>
                <w:rFonts w:ascii="Arial" w:hAnsi="Arial" w:cs="Arial"/>
                <w:color w:val="000000"/>
                <w:sz w:val="22"/>
                <w:szCs w:val="22"/>
                <w:lang w:val="en-US"/>
              </w:rPr>
              <w:t>Target 1</w:t>
            </w:r>
            <w:r w:rsidRPr="000568E7">
              <w:rPr>
                <w:rFonts w:ascii="Arial" w:hAnsi="Arial" w:cs="Arial"/>
                <w:color w:val="000000"/>
                <w:sz w:val="22"/>
                <w:szCs w:val="22"/>
              </w:rPr>
              <w:t> </w:t>
            </w:r>
          </w:p>
        </w:tc>
        <w:tc>
          <w:tcPr>
            <w:tcW w:w="3080" w:type="dxa"/>
            <w:tcBorders>
              <w:top w:val="single" w:sz="6" w:space="0" w:color="FFFFFF"/>
              <w:left w:val="single" w:sz="6" w:space="0" w:color="FFFFFF"/>
              <w:bottom w:val="single" w:sz="6" w:space="0" w:color="FFFFFF"/>
              <w:right w:val="single" w:sz="6" w:space="0" w:color="FFFFFF"/>
            </w:tcBorders>
            <w:shd w:val="clear" w:color="auto" w:fill="E7EAF4"/>
            <w:hideMark/>
          </w:tcPr>
          <w:p w14:paraId="7D841906" w14:textId="0B465827" w:rsidR="000568E7" w:rsidRPr="000568E7" w:rsidRDefault="000568E7" w:rsidP="000568E7">
            <w:pPr>
              <w:textAlignment w:val="baseline"/>
              <w:rPr>
                <w:rFonts w:ascii="Arial" w:hAnsi="Arial" w:cs="Arial"/>
                <w:sz w:val="22"/>
                <w:szCs w:val="22"/>
              </w:rPr>
            </w:pPr>
            <w:r w:rsidRPr="000568E7">
              <w:rPr>
                <w:rFonts w:ascii="Arial" w:hAnsi="Arial" w:cs="Arial"/>
                <w:sz w:val="22"/>
                <w:szCs w:val="22"/>
              </w:rPr>
              <w:t> </w:t>
            </w:r>
            <w:r w:rsidRPr="009D4162">
              <w:rPr>
                <w:rFonts w:ascii="Arial" w:hAnsi="Arial" w:cs="Arial"/>
                <w:sz w:val="22"/>
                <w:szCs w:val="22"/>
              </w:rPr>
              <w:t>Proofread with care.</w:t>
            </w:r>
          </w:p>
        </w:tc>
        <w:tc>
          <w:tcPr>
            <w:tcW w:w="4804" w:type="dxa"/>
            <w:tcBorders>
              <w:top w:val="single" w:sz="6" w:space="0" w:color="FFFFFF"/>
              <w:left w:val="single" w:sz="6" w:space="0" w:color="FFFFFF"/>
              <w:bottom w:val="single" w:sz="6" w:space="0" w:color="FFFFFF"/>
              <w:right w:val="single" w:sz="6" w:space="0" w:color="FFFFFF"/>
            </w:tcBorders>
            <w:shd w:val="clear" w:color="auto" w:fill="E7EAF4"/>
            <w:hideMark/>
          </w:tcPr>
          <w:p w14:paraId="224FA745" w14:textId="77777777" w:rsidR="000568E7" w:rsidRDefault="000568E7" w:rsidP="000568E7">
            <w:pPr>
              <w:textAlignment w:val="baseline"/>
              <w:rPr>
                <w:rFonts w:ascii="Arial" w:hAnsi="Arial" w:cs="Arial"/>
                <w:sz w:val="22"/>
                <w:szCs w:val="22"/>
              </w:rPr>
            </w:pPr>
            <w:r w:rsidRPr="000568E7">
              <w:rPr>
                <w:rFonts w:ascii="Arial" w:hAnsi="Arial" w:cs="Arial"/>
                <w:sz w:val="22"/>
                <w:szCs w:val="22"/>
              </w:rPr>
              <w:t> </w:t>
            </w:r>
            <w:r w:rsidR="009D4162" w:rsidRPr="009D4162">
              <w:rPr>
                <w:rFonts w:ascii="Arial" w:hAnsi="Arial" w:cs="Arial"/>
                <w:sz w:val="22"/>
                <w:szCs w:val="22"/>
              </w:rPr>
              <w:t xml:space="preserve">I have read over my work multiple times in order to reduce errors. </w:t>
            </w:r>
          </w:p>
          <w:p w14:paraId="4FC0E5E0" w14:textId="24B080F3" w:rsidR="009D4162" w:rsidRPr="000568E7" w:rsidRDefault="009D4162" w:rsidP="000568E7">
            <w:pPr>
              <w:textAlignment w:val="baseline"/>
              <w:rPr>
                <w:rFonts w:ascii="Arial" w:hAnsi="Arial" w:cs="Arial"/>
                <w:sz w:val="22"/>
                <w:szCs w:val="22"/>
              </w:rPr>
            </w:pPr>
          </w:p>
        </w:tc>
      </w:tr>
      <w:tr w:rsidR="000568E7" w:rsidRPr="000568E7" w14:paraId="7F97A494" w14:textId="77777777" w:rsidTr="000568E7">
        <w:trPr>
          <w:trHeight w:val="450"/>
        </w:trPr>
        <w:tc>
          <w:tcPr>
            <w:tcW w:w="1126" w:type="dxa"/>
            <w:tcBorders>
              <w:top w:val="single" w:sz="6" w:space="0" w:color="FFFFFF"/>
              <w:left w:val="single" w:sz="6" w:space="0" w:color="FFFFFF"/>
              <w:bottom w:val="single" w:sz="6" w:space="0" w:color="FFFFFF"/>
              <w:right w:val="single" w:sz="6" w:space="0" w:color="FFFFFF"/>
            </w:tcBorders>
            <w:shd w:val="clear" w:color="auto" w:fill="CDD4E9"/>
            <w:hideMark/>
          </w:tcPr>
          <w:p w14:paraId="5E4D9C41" w14:textId="77777777" w:rsidR="000568E7" w:rsidRPr="009D4162" w:rsidRDefault="000568E7" w:rsidP="000568E7">
            <w:pPr>
              <w:textAlignment w:val="baseline"/>
              <w:rPr>
                <w:rFonts w:ascii="Arial" w:hAnsi="Arial" w:cs="Arial"/>
                <w:color w:val="000000"/>
                <w:sz w:val="22"/>
                <w:szCs w:val="22"/>
                <w:lang w:val="en-US"/>
              </w:rPr>
            </w:pPr>
            <w:r w:rsidRPr="000568E7">
              <w:rPr>
                <w:rFonts w:ascii="Arial" w:hAnsi="Arial" w:cs="Arial"/>
                <w:color w:val="000000"/>
                <w:sz w:val="22"/>
                <w:szCs w:val="22"/>
                <w:lang w:val="en-US"/>
              </w:rPr>
              <w:t>Targed/</w:t>
            </w:r>
          </w:p>
          <w:p w14:paraId="451E9033" w14:textId="1568533A" w:rsidR="000568E7" w:rsidRPr="000568E7" w:rsidRDefault="000568E7" w:rsidP="000568E7">
            <w:pPr>
              <w:textAlignment w:val="baseline"/>
              <w:rPr>
                <w:rFonts w:ascii="Arial" w:hAnsi="Arial" w:cs="Arial"/>
                <w:sz w:val="22"/>
                <w:szCs w:val="22"/>
              </w:rPr>
            </w:pPr>
            <w:r w:rsidRPr="000568E7">
              <w:rPr>
                <w:rFonts w:ascii="Arial" w:hAnsi="Arial" w:cs="Arial"/>
                <w:color w:val="000000"/>
                <w:sz w:val="22"/>
                <w:szCs w:val="22"/>
                <w:lang w:val="en-US"/>
              </w:rPr>
              <w:t>Target 2</w:t>
            </w:r>
            <w:r w:rsidRPr="000568E7">
              <w:rPr>
                <w:rFonts w:ascii="Arial" w:hAnsi="Arial" w:cs="Arial"/>
                <w:color w:val="000000"/>
                <w:sz w:val="22"/>
                <w:szCs w:val="22"/>
              </w:rPr>
              <w:t> </w:t>
            </w:r>
          </w:p>
        </w:tc>
        <w:tc>
          <w:tcPr>
            <w:tcW w:w="3080" w:type="dxa"/>
            <w:tcBorders>
              <w:top w:val="single" w:sz="6" w:space="0" w:color="FFFFFF"/>
              <w:left w:val="single" w:sz="6" w:space="0" w:color="FFFFFF"/>
              <w:bottom w:val="single" w:sz="6" w:space="0" w:color="FFFFFF"/>
              <w:right w:val="single" w:sz="6" w:space="0" w:color="FFFFFF"/>
            </w:tcBorders>
            <w:shd w:val="clear" w:color="auto" w:fill="CDD4E9"/>
            <w:hideMark/>
          </w:tcPr>
          <w:p w14:paraId="0F905E0D" w14:textId="77777777" w:rsidR="000568E7" w:rsidRDefault="000568E7" w:rsidP="000568E7">
            <w:pPr>
              <w:textAlignment w:val="baseline"/>
              <w:rPr>
                <w:rFonts w:ascii="Arial" w:hAnsi="Arial" w:cs="Arial"/>
                <w:sz w:val="22"/>
                <w:szCs w:val="22"/>
              </w:rPr>
            </w:pPr>
            <w:r w:rsidRPr="000568E7">
              <w:rPr>
                <w:rFonts w:ascii="Arial" w:hAnsi="Arial" w:cs="Arial"/>
                <w:sz w:val="22"/>
                <w:szCs w:val="22"/>
              </w:rPr>
              <w:t> </w:t>
            </w:r>
            <w:r w:rsidRPr="009D4162">
              <w:rPr>
                <w:rFonts w:ascii="Arial" w:hAnsi="Arial" w:cs="Arial"/>
                <w:sz w:val="22"/>
                <w:szCs w:val="22"/>
              </w:rPr>
              <w:t xml:space="preserve">Aim to engage critically with the Lit. you read, as opposed to simply stating the perspective. </w:t>
            </w:r>
          </w:p>
          <w:p w14:paraId="408ECA52" w14:textId="13E69289" w:rsidR="009D4162" w:rsidRPr="000568E7" w:rsidRDefault="009D4162" w:rsidP="000568E7">
            <w:pPr>
              <w:textAlignment w:val="baseline"/>
              <w:rPr>
                <w:rFonts w:ascii="Arial" w:hAnsi="Arial" w:cs="Arial"/>
                <w:sz w:val="22"/>
                <w:szCs w:val="22"/>
              </w:rPr>
            </w:pPr>
          </w:p>
        </w:tc>
        <w:tc>
          <w:tcPr>
            <w:tcW w:w="4804" w:type="dxa"/>
            <w:tcBorders>
              <w:top w:val="single" w:sz="6" w:space="0" w:color="FFFFFF"/>
              <w:left w:val="single" w:sz="6" w:space="0" w:color="FFFFFF"/>
              <w:bottom w:val="single" w:sz="6" w:space="0" w:color="FFFFFF"/>
              <w:right w:val="single" w:sz="6" w:space="0" w:color="FFFFFF"/>
            </w:tcBorders>
            <w:shd w:val="clear" w:color="auto" w:fill="CDD4E9"/>
            <w:hideMark/>
          </w:tcPr>
          <w:p w14:paraId="40F484CE" w14:textId="4B34C20A" w:rsidR="000568E7" w:rsidRPr="000568E7" w:rsidRDefault="000568E7" w:rsidP="000568E7">
            <w:pPr>
              <w:textAlignment w:val="baseline"/>
              <w:rPr>
                <w:rFonts w:ascii="Arial" w:hAnsi="Arial" w:cs="Arial"/>
                <w:sz w:val="22"/>
                <w:szCs w:val="22"/>
              </w:rPr>
            </w:pPr>
            <w:r w:rsidRPr="000568E7">
              <w:rPr>
                <w:rFonts w:ascii="Arial" w:hAnsi="Arial" w:cs="Arial"/>
                <w:sz w:val="22"/>
                <w:szCs w:val="22"/>
              </w:rPr>
              <w:t> </w:t>
            </w:r>
            <w:r w:rsidR="009D4162" w:rsidRPr="009D4162">
              <w:rPr>
                <w:rFonts w:ascii="Arial" w:hAnsi="Arial" w:cs="Arial"/>
                <w:sz w:val="22"/>
                <w:szCs w:val="22"/>
              </w:rPr>
              <w:t>Ensured to try and engage with the Literature critically.</w:t>
            </w:r>
          </w:p>
        </w:tc>
      </w:tr>
      <w:tr w:rsidR="000568E7" w:rsidRPr="000568E7" w14:paraId="18A42647" w14:textId="77777777" w:rsidTr="000568E7">
        <w:trPr>
          <w:trHeight w:val="450"/>
        </w:trPr>
        <w:tc>
          <w:tcPr>
            <w:tcW w:w="1126" w:type="dxa"/>
            <w:tcBorders>
              <w:top w:val="single" w:sz="6" w:space="0" w:color="FFFFFF"/>
              <w:left w:val="single" w:sz="6" w:space="0" w:color="FFFFFF"/>
              <w:bottom w:val="single" w:sz="6" w:space="0" w:color="FFFFFF"/>
              <w:right w:val="single" w:sz="6" w:space="0" w:color="FFFFFF"/>
            </w:tcBorders>
            <w:shd w:val="clear" w:color="auto" w:fill="CDD4E9"/>
            <w:hideMark/>
          </w:tcPr>
          <w:p w14:paraId="0987B76B" w14:textId="77777777" w:rsidR="000568E7" w:rsidRPr="009D4162" w:rsidRDefault="000568E7" w:rsidP="000568E7">
            <w:pPr>
              <w:textAlignment w:val="baseline"/>
              <w:rPr>
                <w:rFonts w:ascii="Arial" w:hAnsi="Arial" w:cs="Arial"/>
                <w:color w:val="000000"/>
                <w:sz w:val="22"/>
                <w:szCs w:val="22"/>
                <w:lang w:val="en-US"/>
              </w:rPr>
            </w:pPr>
            <w:r w:rsidRPr="000568E7">
              <w:rPr>
                <w:rFonts w:ascii="Arial" w:hAnsi="Arial" w:cs="Arial"/>
                <w:color w:val="000000"/>
                <w:sz w:val="22"/>
                <w:szCs w:val="22"/>
                <w:lang w:val="en-US"/>
              </w:rPr>
              <w:t>Targed/</w:t>
            </w:r>
          </w:p>
          <w:p w14:paraId="4375A924" w14:textId="77777777" w:rsidR="000568E7" w:rsidRDefault="000568E7" w:rsidP="000568E7">
            <w:pPr>
              <w:textAlignment w:val="baseline"/>
              <w:rPr>
                <w:rFonts w:ascii="Arial" w:hAnsi="Arial" w:cs="Arial"/>
                <w:color w:val="000000"/>
                <w:sz w:val="22"/>
                <w:szCs w:val="22"/>
              </w:rPr>
            </w:pPr>
            <w:r w:rsidRPr="000568E7">
              <w:rPr>
                <w:rFonts w:ascii="Arial" w:hAnsi="Arial" w:cs="Arial"/>
                <w:color w:val="000000"/>
                <w:sz w:val="22"/>
                <w:szCs w:val="22"/>
                <w:lang w:val="en-US"/>
              </w:rPr>
              <w:t>Target 3</w:t>
            </w:r>
            <w:r w:rsidRPr="000568E7">
              <w:rPr>
                <w:rFonts w:ascii="Arial" w:hAnsi="Arial" w:cs="Arial"/>
                <w:color w:val="000000"/>
                <w:sz w:val="22"/>
                <w:szCs w:val="22"/>
              </w:rPr>
              <w:t> </w:t>
            </w:r>
          </w:p>
          <w:p w14:paraId="13E6AD92" w14:textId="6BCA1ADE" w:rsidR="009D4162" w:rsidRPr="000568E7" w:rsidRDefault="009D4162" w:rsidP="000568E7">
            <w:pPr>
              <w:textAlignment w:val="baseline"/>
              <w:rPr>
                <w:rFonts w:ascii="Arial" w:hAnsi="Arial" w:cs="Arial"/>
                <w:sz w:val="22"/>
                <w:szCs w:val="22"/>
              </w:rPr>
            </w:pPr>
          </w:p>
        </w:tc>
        <w:tc>
          <w:tcPr>
            <w:tcW w:w="3080" w:type="dxa"/>
            <w:tcBorders>
              <w:top w:val="single" w:sz="6" w:space="0" w:color="FFFFFF"/>
              <w:left w:val="single" w:sz="6" w:space="0" w:color="FFFFFF"/>
              <w:bottom w:val="single" w:sz="6" w:space="0" w:color="FFFFFF"/>
              <w:right w:val="single" w:sz="6" w:space="0" w:color="FFFFFF"/>
            </w:tcBorders>
            <w:shd w:val="clear" w:color="auto" w:fill="CDD4E9"/>
            <w:hideMark/>
          </w:tcPr>
          <w:p w14:paraId="139D6367" w14:textId="522F7706" w:rsidR="000568E7" w:rsidRPr="000568E7" w:rsidRDefault="000568E7" w:rsidP="000568E7">
            <w:pPr>
              <w:textAlignment w:val="baseline"/>
              <w:rPr>
                <w:rFonts w:ascii="Arial" w:hAnsi="Arial" w:cs="Arial"/>
                <w:sz w:val="22"/>
                <w:szCs w:val="22"/>
              </w:rPr>
            </w:pPr>
            <w:r w:rsidRPr="000568E7">
              <w:rPr>
                <w:rFonts w:ascii="Arial" w:hAnsi="Arial" w:cs="Arial"/>
                <w:sz w:val="22"/>
                <w:szCs w:val="22"/>
              </w:rPr>
              <w:t> </w:t>
            </w:r>
            <w:r w:rsidRPr="009D4162">
              <w:rPr>
                <w:rFonts w:ascii="Arial" w:hAnsi="Arial" w:cs="Arial"/>
                <w:sz w:val="22"/>
                <w:szCs w:val="22"/>
              </w:rPr>
              <w:t xml:space="preserve">Make more explicit critical comments of your own. </w:t>
            </w:r>
          </w:p>
        </w:tc>
        <w:tc>
          <w:tcPr>
            <w:tcW w:w="4804" w:type="dxa"/>
            <w:tcBorders>
              <w:top w:val="single" w:sz="6" w:space="0" w:color="FFFFFF"/>
              <w:left w:val="single" w:sz="6" w:space="0" w:color="FFFFFF"/>
              <w:bottom w:val="single" w:sz="6" w:space="0" w:color="FFFFFF"/>
              <w:right w:val="single" w:sz="6" w:space="0" w:color="FFFFFF"/>
            </w:tcBorders>
            <w:shd w:val="clear" w:color="auto" w:fill="CDD4E9"/>
            <w:hideMark/>
          </w:tcPr>
          <w:p w14:paraId="17FB2416" w14:textId="3C2B7F94" w:rsidR="000568E7" w:rsidRPr="000568E7" w:rsidRDefault="000568E7" w:rsidP="000568E7">
            <w:pPr>
              <w:textAlignment w:val="baseline"/>
              <w:rPr>
                <w:rFonts w:ascii="Arial" w:hAnsi="Arial" w:cs="Arial"/>
                <w:sz w:val="22"/>
                <w:szCs w:val="22"/>
              </w:rPr>
            </w:pPr>
            <w:r w:rsidRPr="000568E7">
              <w:rPr>
                <w:rFonts w:ascii="Arial" w:hAnsi="Arial" w:cs="Arial"/>
                <w:sz w:val="22"/>
                <w:szCs w:val="22"/>
              </w:rPr>
              <w:t> </w:t>
            </w:r>
            <w:r w:rsidR="009D4162" w:rsidRPr="009D4162">
              <w:rPr>
                <w:rFonts w:ascii="Arial" w:hAnsi="Arial" w:cs="Arial"/>
                <w:sz w:val="22"/>
                <w:szCs w:val="22"/>
              </w:rPr>
              <w:t xml:space="preserve">In this assignment I have included critical comments of my own. </w:t>
            </w:r>
          </w:p>
        </w:tc>
      </w:tr>
    </w:tbl>
    <w:p w14:paraId="4AF682DC" w14:textId="77777777" w:rsidR="000568E7" w:rsidRDefault="000568E7" w:rsidP="007145BF">
      <w:pPr>
        <w:jc w:val="center"/>
        <w:rPr>
          <w:sz w:val="32"/>
          <w:szCs w:val="32"/>
        </w:rPr>
      </w:pPr>
    </w:p>
    <w:p w14:paraId="21F5EB83" w14:textId="77777777" w:rsidR="000568E7" w:rsidRDefault="000568E7" w:rsidP="007145BF">
      <w:pPr>
        <w:jc w:val="center"/>
        <w:rPr>
          <w:sz w:val="32"/>
          <w:szCs w:val="32"/>
        </w:rPr>
      </w:pPr>
    </w:p>
    <w:p w14:paraId="50683D31" w14:textId="77777777" w:rsidR="000568E7" w:rsidRDefault="000568E7" w:rsidP="007145BF">
      <w:pPr>
        <w:jc w:val="center"/>
        <w:rPr>
          <w:sz w:val="32"/>
          <w:szCs w:val="32"/>
        </w:rPr>
      </w:pPr>
    </w:p>
    <w:p w14:paraId="0B5A0EFA" w14:textId="77777777" w:rsidR="000568E7" w:rsidRDefault="000568E7" w:rsidP="007145BF">
      <w:pPr>
        <w:jc w:val="center"/>
        <w:rPr>
          <w:sz w:val="32"/>
          <w:szCs w:val="32"/>
        </w:rPr>
      </w:pPr>
    </w:p>
    <w:p w14:paraId="473F2DC8" w14:textId="77777777" w:rsidR="000568E7" w:rsidRDefault="000568E7" w:rsidP="007145BF">
      <w:pPr>
        <w:jc w:val="center"/>
        <w:rPr>
          <w:sz w:val="32"/>
          <w:szCs w:val="32"/>
        </w:rPr>
      </w:pPr>
    </w:p>
    <w:p w14:paraId="0D759227" w14:textId="77777777" w:rsidR="000568E7" w:rsidRPr="00F45C46" w:rsidRDefault="000568E7" w:rsidP="000568E7">
      <w:pPr>
        <w:spacing w:line="360" w:lineRule="auto"/>
        <w:jc w:val="center"/>
        <w:rPr>
          <w:rFonts w:ascii="Arial" w:hAnsi="Arial" w:cs="Arial"/>
          <w:b/>
          <w:bCs/>
          <w:sz w:val="36"/>
          <w:szCs w:val="36"/>
          <w:u w:val="single"/>
        </w:rPr>
      </w:pPr>
      <w:r w:rsidRPr="00F45C46">
        <w:rPr>
          <w:rFonts w:ascii="Arial" w:hAnsi="Arial" w:cs="Arial"/>
          <w:b/>
          <w:bCs/>
          <w:sz w:val="36"/>
          <w:szCs w:val="36"/>
          <w:u w:val="single"/>
        </w:rPr>
        <w:t>Critically reflect on your progress in planning, preparing, and teaching lessons that incorporate 4 specific pedagogical principles.</w:t>
      </w:r>
    </w:p>
    <w:p w14:paraId="72749198" w14:textId="77777777" w:rsidR="000568E7" w:rsidRDefault="000568E7" w:rsidP="000568E7">
      <w:pPr>
        <w:spacing w:line="360" w:lineRule="auto"/>
        <w:jc w:val="center"/>
        <w:rPr>
          <w:rFonts w:ascii="Arial" w:hAnsi="Arial" w:cs="Arial"/>
          <w:b/>
          <w:bCs/>
          <w:sz w:val="36"/>
          <w:szCs w:val="36"/>
          <w:u w:val="single"/>
        </w:rPr>
      </w:pPr>
    </w:p>
    <w:p w14:paraId="7D027398" w14:textId="77777777" w:rsidR="000568E7" w:rsidRDefault="000568E7" w:rsidP="000568E7">
      <w:pPr>
        <w:spacing w:line="360" w:lineRule="auto"/>
        <w:jc w:val="center"/>
        <w:rPr>
          <w:rFonts w:ascii="Arial" w:hAnsi="Arial" w:cs="Arial"/>
          <w:b/>
          <w:bCs/>
          <w:sz w:val="36"/>
          <w:szCs w:val="36"/>
          <w:u w:val="single"/>
        </w:rPr>
      </w:pPr>
    </w:p>
    <w:p w14:paraId="62198654" w14:textId="77777777" w:rsidR="000568E7" w:rsidRPr="00F45C46" w:rsidRDefault="000568E7" w:rsidP="000568E7">
      <w:pPr>
        <w:spacing w:line="360" w:lineRule="auto"/>
        <w:jc w:val="center"/>
        <w:rPr>
          <w:rFonts w:ascii="Arial" w:hAnsi="Arial" w:cs="Arial"/>
          <w:b/>
          <w:bCs/>
          <w:sz w:val="36"/>
          <w:szCs w:val="36"/>
          <w:u w:val="single"/>
        </w:rPr>
      </w:pPr>
      <w:r w:rsidRPr="00F45C46">
        <w:rPr>
          <w:rFonts w:ascii="Arial" w:hAnsi="Arial" w:cs="Arial"/>
          <w:b/>
          <w:bCs/>
          <w:sz w:val="36"/>
          <w:szCs w:val="36"/>
          <w:u w:val="single"/>
        </w:rPr>
        <w:t>Identify one of these pedagogical principles as an area for development and justify the next steps in your development.</w:t>
      </w:r>
    </w:p>
    <w:p w14:paraId="084324F4" w14:textId="77777777" w:rsidR="000568E7" w:rsidRPr="00204E37" w:rsidRDefault="000568E7" w:rsidP="000568E7">
      <w:pPr>
        <w:rPr>
          <w:u w:val="single"/>
        </w:rPr>
      </w:pPr>
    </w:p>
    <w:p w14:paraId="7B4908D7" w14:textId="77777777" w:rsidR="000568E7" w:rsidRDefault="000568E7" w:rsidP="007145BF">
      <w:pPr>
        <w:jc w:val="center"/>
        <w:rPr>
          <w:sz w:val="32"/>
          <w:szCs w:val="32"/>
        </w:rPr>
      </w:pPr>
    </w:p>
    <w:p w14:paraId="61DB7403" w14:textId="77777777" w:rsidR="000568E7" w:rsidRDefault="000568E7" w:rsidP="007145BF">
      <w:pPr>
        <w:jc w:val="center"/>
        <w:rPr>
          <w:sz w:val="32"/>
          <w:szCs w:val="32"/>
        </w:rPr>
      </w:pPr>
    </w:p>
    <w:p w14:paraId="4F617F12" w14:textId="77777777" w:rsidR="000568E7" w:rsidRDefault="000568E7" w:rsidP="007145BF">
      <w:pPr>
        <w:jc w:val="center"/>
        <w:rPr>
          <w:sz w:val="32"/>
          <w:szCs w:val="32"/>
        </w:rPr>
      </w:pPr>
    </w:p>
    <w:p w14:paraId="4EA504BA" w14:textId="77777777" w:rsidR="000568E7" w:rsidRDefault="000568E7" w:rsidP="007145BF">
      <w:pPr>
        <w:jc w:val="center"/>
        <w:rPr>
          <w:sz w:val="32"/>
          <w:szCs w:val="32"/>
        </w:rPr>
      </w:pPr>
    </w:p>
    <w:p w14:paraId="15F5AEE5" w14:textId="77777777" w:rsidR="000568E7" w:rsidRDefault="000568E7" w:rsidP="007145BF">
      <w:pPr>
        <w:jc w:val="center"/>
        <w:rPr>
          <w:sz w:val="32"/>
          <w:szCs w:val="32"/>
        </w:rPr>
      </w:pPr>
    </w:p>
    <w:p w14:paraId="67D81C29" w14:textId="77777777" w:rsidR="000568E7" w:rsidRDefault="000568E7" w:rsidP="007145BF">
      <w:pPr>
        <w:jc w:val="center"/>
        <w:rPr>
          <w:sz w:val="32"/>
          <w:szCs w:val="32"/>
        </w:rPr>
      </w:pPr>
    </w:p>
    <w:p w14:paraId="3FDA74E7" w14:textId="77777777" w:rsidR="000568E7" w:rsidRDefault="000568E7" w:rsidP="007145BF">
      <w:pPr>
        <w:jc w:val="center"/>
        <w:rPr>
          <w:sz w:val="32"/>
          <w:szCs w:val="32"/>
        </w:rPr>
      </w:pPr>
    </w:p>
    <w:p w14:paraId="7E7A44CA" w14:textId="77777777" w:rsidR="000568E7" w:rsidRDefault="000568E7" w:rsidP="007145BF">
      <w:pPr>
        <w:jc w:val="center"/>
        <w:rPr>
          <w:sz w:val="32"/>
          <w:szCs w:val="32"/>
        </w:rPr>
      </w:pPr>
    </w:p>
    <w:p w14:paraId="34AB9CE6" w14:textId="77777777" w:rsidR="000568E7" w:rsidRDefault="000568E7" w:rsidP="007145BF">
      <w:pPr>
        <w:jc w:val="center"/>
        <w:rPr>
          <w:sz w:val="32"/>
          <w:szCs w:val="32"/>
        </w:rPr>
      </w:pPr>
    </w:p>
    <w:p w14:paraId="65357E44" w14:textId="1DD8DD09" w:rsidR="00025523" w:rsidRDefault="00025523" w:rsidP="000568E7">
      <w:pPr>
        <w:rPr>
          <w:sz w:val="32"/>
          <w:szCs w:val="32"/>
        </w:rPr>
      </w:pPr>
    </w:p>
    <w:p w14:paraId="23A469FA" w14:textId="248A5FAF" w:rsidR="000568E7" w:rsidRPr="000568E7" w:rsidRDefault="000568E7" w:rsidP="000568E7">
      <w:pPr>
        <w:rPr>
          <w:b/>
          <w:bCs/>
          <w:sz w:val="32"/>
          <w:szCs w:val="32"/>
          <w:u w:val="single"/>
        </w:rPr>
      </w:pPr>
      <w:r>
        <w:rPr>
          <w:b/>
          <w:bCs/>
          <w:sz w:val="32"/>
          <w:szCs w:val="32"/>
          <w:u w:val="single"/>
        </w:rPr>
        <w:t>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860793" w14:paraId="03D03FA5" w14:textId="77777777" w:rsidTr="00860793">
        <w:tc>
          <w:tcPr>
            <w:tcW w:w="2689" w:type="dxa"/>
          </w:tcPr>
          <w:p w14:paraId="5039DB9F" w14:textId="77777777" w:rsidR="00860793" w:rsidRDefault="00860793" w:rsidP="00860793">
            <w:pPr>
              <w:pStyle w:val="Heading2"/>
              <w:jc w:val="center"/>
              <w:outlineLvl w:val="1"/>
            </w:pPr>
            <w:r>
              <w:t xml:space="preserve">Professional Experience </w:t>
            </w:r>
            <w:r w:rsidRPr="00CD1E5D">
              <w:t>Template</w:t>
            </w:r>
            <w:r>
              <w:t xml:space="preserve"> 1</w:t>
            </w:r>
          </w:p>
        </w:tc>
        <w:tc>
          <w:tcPr>
            <w:tcW w:w="6327" w:type="dxa"/>
          </w:tcPr>
          <w:p w14:paraId="56AB4704" w14:textId="77777777" w:rsidR="00860793" w:rsidRDefault="00860793" w:rsidP="00860793"/>
        </w:tc>
      </w:tr>
      <w:tr w:rsidR="00860793" w14:paraId="3117AEB7" w14:textId="77777777" w:rsidTr="00860793">
        <w:tc>
          <w:tcPr>
            <w:tcW w:w="2689" w:type="dxa"/>
          </w:tcPr>
          <w:p w14:paraId="67265297" w14:textId="77777777" w:rsidR="00860793" w:rsidRDefault="00860793" w:rsidP="00860793">
            <w:pPr>
              <w:pStyle w:val="Heading2"/>
              <w:jc w:val="center"/>
              <w:outlineLvl w:val="1"/>
            </w:pPr>
            <w:r>
              <w:t>Pedagogy Standard</w:t>
            </w:r>
          </w:p>
        </w:tc>
        <w:tc>
          <w:tcPr>
            <w:tcW w:w="6327" w:type="dxa"/>
          </w:tcPr>
          <w:p w14:paraId="443B46CB" w14:textId="77777777" w:rsidR="00860793" w:rsidRPr="00860793" w:rsidRDefault="00860793" w:rsidP="00860793">
            <w:pPr>
              <w:rPr>
                <w:sz w:val="28"/>
                <w:szCs w:val="28"/>
              </w:rPr>
            </w:pPr>
            <w:r w:rsidRPr="00860793">
              <w:rPr>
                <w:rFonts w:cstheme="minorHAnsi"/>
                <w:color w:val="2E74B5" w:themeColor="accent1" w:themeShade="BF"/>
                <w:sz w:val="28"/>
                <w:szCs w:val="28"/>
              </w:rPr>
              <w:t>Assessment for learning</w:t>
            </w:r>
          </w:p>
        </w:tc>
      </w:tr>
      <w:tr w:rsidR="00860793" w14:paraId="5CD8972C" w14:textId="77777777" w:rsidTr="00860793">
        <w:tc>
          <w:tcPr>
            <w:tcW w:w="2689" w:type="dxa"/>
          </w:tcPr>
          <w:p w14:paraId="74967B91" w14:textId="77777777" w:rsidR="00860793" w:rsidRDefault="00860793" w:rsidP="00860793">
            <w:pPr>
              <w:pStyle w:val="Heading3"/>
              <w:jc w:val="center"/>
              <w:outlineLvl w:val="2"/>
            </w:pPr>
            <w:r>
              <w:t>What did you do and why?</w:t>
            </w:r>
          </w:p>
          <w:p w14:paraId="4C0F68C1" w14:textId="77777777" w:rsidR="00860793" w:rsidRDefault="00860793" w:rsidP="00860793">
            <w:pPr>
              <w:jc w:val="center"/>
            </w:pPr>
          </w:p>
        </w:tc>
        <w:tc>
          <w:tcPr>
            <w:tcW w:w="6327" w:type="dxa"/>
          </w:tcPr>
          <w:p w14:paraId="3FBEC478" w14:textId="7CBAF740" w:rsidR="00294448" w:rsidRDefault="00294448" w:rsidP="00294448">
            <w:pPr>
              <w:pStyle w:val="NormalWeb"/>
            </w:pPr>
            <w:r>
              <w:t xml:space="preserve">In a previous lesson, pupils were given the task to write a drama performance in groups that linked to our topic of Natural Disasters, specifically Pompeii. Once they had wrote their performances, they were then told their next task would be to perform these as a group. As a class, we decided to create a </w:t>
            </w:r>
            <w:r>
              <w:rPr>
                <w:rStyle w:val="Strong"/>
                <w:rFonts w:eastAsiaTheme="majorEastAsia"/>
              </w:rPr>
              <w:t>success criteri</w:t>
            </w:r>
            <w:r w:rsidR="00AD1F32">
              <w:rPr>
                <w:rStyle w:val="Strong"/>
                <w:rFonts w:eastAsiaTheme="majorEastAsia"/>
              </w:rPr>
              <w:t>a</w:t>
            </w:r>
            <w:r>
              <w:t xml:space="preserve"> for their performances, so they were able to stay on track and stay engaged throughout the process. I thought it would be a good idea to create the </w:t>
            </w:r>
            <w:r>
              <w:rPr>
                <w:rStyle w:val="Strong"/>
                <w:rFonts w:eastAsiaTheme="majorEastAsia"/>
              </w:rPr>
              <w:t>success criteria</w:t>
            </w:r>
            <w:r>
              <w:t xml:space="preserve"> through pupil lead as they are then more aware of what is required from them and have more of an input and be engaged rather than just being told what to do.</w:t>
            </w:r>
          </w:p>
          <w:p w14:paraId="14840C95" w14:textId="77777777" w:rsidR="00294448" w:rsidRDefault="00294448" w:rsidP="00294448">
            <w:pPr>
              <w:pStyle w:val="NormalWeb"/>
            </w:pPr>
            <w:r>
              <w:t xml:space="preserve">The </w:t>
            </w:r>
            <w:r>
              <w:rPr>
                <w:rStyle w:val="Strong"/>
                <w:rFonts w:eastAsiaTheme="majorEastAsia"/>
              </w:rPr>
              <w:t xml:space="preserve">success criteria </w:t>
            </w:r>
            <w:r>
              <w:t>was linked to 'Chilli Challenges' which pupils are familiar with as it is within the classroom environment, in the hope they would see something they are familiar with and be confident in using it. The 'Chilli's' were linked into the success criteria as followed:</w:t>
            </w:r>
          </w:p>
          <w:p w14:paraId="28E37391" w14:textId="77777777" w:rsidR="00294448" w:rsidRDefault="00294448" w:rsidP="00294448">
            <w:pPr>
              <w:numPr>
                <w:ilvl w:val="0"/>
                <w:numId w:val="1"/>
              </w:numPr>
              <w:spacing w:before="100" w:beforeAutospacing="1" w:after="100" w:afterAutospacing="1"/>
            </w:pPr>
            <w:r>
              <w:t>Mild/Must...</w:t>
            </w:r>
          </w:p>
          <w:p w14:paraId="38D5476F" w14:textId="77777777" w:rsidR="00294448" w:rsidRDefault="00294448" w:rsidP="00294448">
            <w:pPr>
              <w:numPr>
                <w:ilvl w:val="0"/>
                <w:numId w:val="1"/>
              </w:numPr>
              <w:spacing w:before="100" w:beforeAutospacing="1" w:after="100" w:afterAutospacing="1"/>
            </w:pPr>
            <w:r>
              <w:t>Medium/Should...</w:t>
            </w:r>
          </w:p>
          <w:p w14:paraId="69224B48" w14:textId="77777777" w:rsidR="00294448" w:rsidRDefault="00294448" w:rsidP="00294448">
            <w:pPr>
              <w:numPr>
                <w:ilvl w:val="0"/>
                <w:numId w:val="1"/>
              </w:numPr>
              <w:spacing w:before="100" w:beforeAutospacing="1" w:after="100" w:afterAutospacing="1"/>
            </w:pPr>
            <w:r>
              <w:t>Hot/Could...</w:t>
            </w:r>
          </w:p>
          <w:p w14:paraId="63AF00D1" w14:textId="77777777" w:rsidR="00294448" w:rsidRDefault="00294448" w:rsidP="00294448">
            <w:pPr>
              <w:numPr>
                <w:ilvl w:val="0"/>
                <w:numId w:val="1"/>
              </w:numPr>
              <w:spacing w:before="100" w:beforeAutospacing="1" w:after="100" w:afterAutospacing="1"/>
            </w:pPr>
            <w:r>
              <w:t>Spicy/Could even...</w:t>
            </w:r>
          </w:p>
          <w:p w14:paraId="4BBF2ED6" w14:textId="77777777" w:rsidR="00294448" w:rsidRDefault="00294448" w:rsidP="00294448">
            <w:pPr>
              <w:pStyle w:val="NormalWeb"/>
            </w:pPr>
            <w:r>
              <w:t xml:space="preserve">When pupils were performing their performances, they kept their slip which contained the </w:t>
            </w:r>
            <w:r>
              <w:rPr>
                <w:rStyle w:val="Strong"/>
                <w:rFonts w:eastAsiaTheme="majorEastAsia"/>
              </w:rPr>
              <w:t>success criteria.</w:t>
            </w:r>
            <w:r>
              <w:t xml:space="preserve"> I made this decision so pupils could refer back to what was required of them and ensure they stayed on task throughout. Pupils thoroughly enjoyed creating their performances collaboratively. </w:t>
            </w:r>
          </w:p>
          <w:p w14:paraId="0074AA94" w14:textId="53E7E068" w:rsidR="00294448" w:rsidRDefault="00294448" w:rsidP="00294448">
            <w:pPr>
              <w:pStyle w:val="NormalWeb"/>
            </w:pPr>
            <w:r>
              <w:t xml:space="preserve">After the performances had been uploaded to Seesaw (pupils are familiar with this platform and regularly upload work for marking), I then told the pupils we would be watching themselves back in groups and also watch another group's performance and giving </w:t>
            </w:r>
            <w:r>
              <w:rPr>
                <w:rStyle w:val="Strong"/>
                <w:rFonts w:eastAsiaTheme="majorEastAsia"/>
              </w:rPr>
              <w:t>peer-feedback</w:t>
            </w:r>
            <w:r>
              <w:t xml:space="preserve">. I probed the question of why it is important to give </w:t>
            </w:r>
            <w:r>
              <w:rPr>
                <w:rStyle w:val="Strong"/>
                <w:rFonts w:eastAsiaTheme="majorEastAsia"/>
              </w:rPr>
              <w:t xml:space="preserve">peer-feedback </w:t>
            </w:r>
            <w:r>
              <w:t xml:space="preserve">and pupil's responded well, even though this was a relatively new concept for them. Pupils then watched their own performances in their </w:t>
            </w:r>
            <w:r>
              <w:lastRenderedPageBreak/>
              <w:t>groups and assessed themselves against the </w:t>
            </w:r>
            <w:r>
              <w:rPr>
                <w:rStyle w:val="Strong"/>
                <w:rFonts w:eastAsiaTheme="majorEastAsia"/>
              </w:rPr>
              <w:t>success criteria </w:t>
            </w:r>
            <w:r>
              <w:t>that we made as a class. Then they watched another group's performance and again, assessed them against the </w:t>
            </w:r>
            <w:r>
              <w:rPr>
                <w:rStyle w:val="Strong"/>
                <w:rFonts w:eastAsiaTheme="majorEastAsia"/>
              </w:rPr>
              <w:t>success criteria. </w:t>
            </w:r>
            <w:r>
              <w:t>They assessed themselves and other groups by using a green and pink highlighter. This aligns with the school policy of 'Green = Good' 'Pink = Think'. Again, I wanted to incorporate a scheme that pupils were familiar with in order for them to feel confident implementing it. </w:t>
            </w:r>
          </w:p>
          <w:p w14:paraId="16C09349" w14:textId="77777777" w:rsidR="00294448" w:rsidRDefault="00294448" w:rsidP="00294448"/>
          <w:p w14:paraId="0632905B" w14:textId="77777777" w:rsidR="00860793" w:rsidRDefault="00860793" w:rsidP="00860793"/>
        </w:tc>
      </w:tr>
      <w:tr w:rsidR="00860793" w14:paraId="3708ECE7" w14:textId="77777777" w:rsidTr="00860793">
        <w:tc>
          <w:tcPr>
            <w:tcW w:w="2689" w:type="dxa"/>
          </w:tcPr>
          <w:p w14:paraId="7C2C61F3" w14:textId="77777777" w:rsidR="00860793" w:rsidRDefault="00860793" w:rsidP="00860793">
            <w:pPr>
              <w:pStyle w:val="Heading3"/>
              <w:jc w:val="center"/>
              <w:outlineLvl w:val="2"/>
            </w:pPr>
            <w:r>
              <w:lastRenderedPageBreak/>
              <w:t>What have you learned?</w:t>
            </w:r>
          </w:p>
          <w:p w14:paraId="4DB6A7DB" w14:textId="77777777" w:rsidR="00860793" w:rsidRDefault="00860793" w:rsidP="00860793">
            <w:pPr>
              <w:jc w:val="center"/>
            </w:pPr>
          </w:p>
        </w:tc>
        <w:tc>
          <w:tcPr>
            <w:tcW w:w="6327" w:type="dxa"/>
          </w:tcPr>
          <w:p w14:paraId="73548362" w14:textId="3D9CC963" w:rsidR="00294448" w:rsidRDefault="00294448" w:rsidP="00294448">
            <w:r>
              <w:t>I have discovered how pivotal AfL strategies can be in identifying pupil's knowledge and understanding. As it was a new concept used for the pupils, I wanted to try and incorporate schemes that they were familiar with so they felt as confident as they could. However, I learnt that it still needed teacher support but hopefully the more they utilise these AfL strategies, the less teacher support would be required. By involving the class when making the success criteria, it created a more engaging environment and something they were genuinely interested in. Also, by allowing them to keep their slips with the success criteria on, pupils were constantly thinking about what was required of them and resulted in pupils staying on task. This lesson was a success, and all pupils completed the task to a high standard. </w:t>
            </w:r>
          </w:p>
          <w:p w14:paraId="73524AB5" w14:textId="77777777" w:rsidR="00860793" w:rsidRDefault="00860793" w:rsidP="00860793"/>
        </w:tc>
      </w:tr>
      <w:tr w:rsidR="00860793" w14:paraId="1FAA742E" w14:textId="77777777" w:rsidTr="00860793">
        <w:tc>
          <w:tcPr>
            <w:tcW w:w="2689" w:type="dxa"/>
          </w:tcPr>
          <w:p w14:paraId="6C752A2A" w14:textId="77777777" w:rsidR="00860793" w:rsidRPr="007C32AA" w:rsidRDefault="00860793" w:rsidP="00860793">
            <w:pPr>
              <w:pStyle w:val="Heading3"/>
              <w:jc w:val="center"/>
              <w:outlineLvl w:val="2"/>
            </w:pPr>
            <w:r>
              <w:t>What next?</w:t>
            </w:r>
          </w:p>
          <w:p w14:paraId="65DF7BB3" w14:textId="77777777" w:rsidR="00860793" w:rsidRDefault="00860793" w:rsidP="00860793">
            <w:pPr>
              <w:jc w:val="center"/>
            </w:pPr>
          </w:p>
        </w:tc>
        <w:tc>
          <w:tcPr>
            <w:tcW w:w="6327" w:type="dxa"/>
          </w:tcPr>
          <w:p w14:paraId="5364BEF7" w14:textId="4E2D7CA3" w:rsidR="00294448" w:rsidRDefault="00294448" w:rsidP="00294448">
            <w:r>
              <w:t>I will continue to involve AfL strategies within my teaching practice as I found it very beneficial, and pupils benefited from using it. In future, I will try to use more 'less formal' AfL strategies to gage pupils’ knowledge and understanding. For example, using thumbs up/middle/down to quickly understand how pupils are feeling regarding a task.</w:t>
            </w:r>
          </w:p>
          <w:p w14:paraId="49997857" w14:textId="77777777" w:rsidR="00860793" w:rsidRDefault="00860793" w:rsidP="00860793"/>
        </w:tc>
      </w:tr>
    </w:tbl>
    <w:p w14:paraId="6937C2A1" w14:textId="77777777" w:rsidR="007145BF" w:rsidRPr="007145BF" w:rsidRDefault="007145BF" w:rsidP="007145BF">
      <w:pPr>
        <w:jc w:val="center"/>
        <w:rPr>
          <w:sz w:val="32"/>
          <w:szCs w:val="32"/>
        </w:rPr>
      </w:pPr>
    </w:p>
    <w:tbl>
      <w:tblPr>
        <w:tblStyle w:val="TableGrid"/>
        <w:tblW w:w="0" w:type="auto"/>
        <w:tblLook w:val="04A0" w:firstRow="1" w:lastRow="0" w:firstColumn="1" w:lastColumn="0" w:noHBand="0" w:noVBand="1"/>
      </w:tblPr>
      <w:tblGrid>
        <w:gridCol w:w="2689"/>
        <w:gridCol w:w="6327"/>
      </w:tblGrid>
      <w:tr w:rsidR="007145BF" w14:paraId="667C59F9" w14:textId="77777777" w:rsidTr="007145BF">
        <w:tc>
          <w:tcPr>
            <w:tcW w:w="2689" w:type="dxa"/>
          </w:tcPr>
          <w:p w14:paraId="1B3283FD" w14:textId="77777777" w:rsidR="007145BF" w:rsidRDefault="007145BF" w:rsidP="000B52F4">
            <w:pPr>
              <w:pStyle w:val="Heading2"/>
              <w:jc w:val="center"/>
              <w:outlineLvl w:val="1"/>
            </w:pPr>
            <w:r>
              <w:lastRenderedPageBreak/>
              <w:t xml:space="preserve">Professional Experience </w:t>
            </w:r>
            <w:r w:rsidRPr="00CD1E5D">
              <w:t>Template</w:t>
            </w:r>
            <w:r w:rsidR="00860793">
              <w:t xml:space="preserve"> 2</w:t>
            </w:r>
          </w:p>
        </w:tc>
        <w:tc>
          <w:tcPr>
            <w:tcW w:w="6327" w:type="dxa"/>
          </w:tcPr>
          <w:p w14:paraId="7BFE5128" w14:textId="77777777" w:rsidR="007145BF" w:rsidRDefault="007145BF"/>
        </w:tc>
      </w:tr>
      <w:tr w:rsidR="007145BF" w14:paraId="34722523" w14:textId="77777777" w:rsidTr="007145BF">
        <w:tc>
          <w:tcPr>
            <w:tcW w:w="2689" w:type="dxa"/>
          </w:tcPr>
          <w:p w14:paraId="4B949BC5" w14:textId="77777777" w:rsidR="007145BF" w:rsidRDefault="007145BF" w:rsidP="000B52F4">
            <w:pPr>
              <w:pStyle w:val="Heading2"/>
              <w:jc w:val="center"/>
              <w:outlineLvl w:val="1"/>
            </w:pPr>
            <w:r>
              <w:t>Pe</w:t>
            </w:r>
            <w:r w:rsidR="000B52F4">
              <w:t>dagogy Standard</w:t>
            </w:r>
          </w:p>
        </w:tc>
        <w:tc>
          <w:tcPr>
            <w:tcW w:w="6327" w:type="dxa"/>
          </w:tcPr>
          <w:p w14:paraId="1F28A724" w14:textId="77777777" w:rsidR="006115AD" w:rsidRPr="00D57F44" w:rsidRDefault="006115AD" w:rsidP="006115A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Blended learning experiences</w:t>
            </w:r>
          </w:p>
          <w:p w14:paraId="75A0C9FF" w14:textId="77777777" w:rsidR="007145BF" w:rsidRPr="00BD56CC" w:rsidRDefault="007145BF">
            <w:pPr>
              <w:rPr>
                <w:rFonts w:asciiTheme="majorHAnsi" w:hAnsiTheme="majorHAnsi" w:cstheme="majorHAnsi"/>
                <w:color w:val="2E74B5" w:themeColor="accent1" w:themeShade="BF"/>
                <w:sz w:val="28"/>
                <w:szCs w:val="28"/>
              </w:rPr>
            </w:pPr>
          </w:p>
        </w:tc>
      </w:tr>
      <w:tr w:rsidR="007145BF" w14:paraId="1DABC16C" w14:textId="77777777" w:rsidTr="007145BF">
        <w:tc>
          <w:tcPr>
            <w:tcW w:w="2689" w:type="dxa"/>
          </w:tcPr>
          <w:p w14:paraId="1A077FF7" w14:textId="77777777" w:rsidR="007145BF" w:rsidRDefault="007145BF" w:rsidP="000B52F4">
            <w:pPr>
              <w:pStyle w:val="Heading3"/>
              <w:jc w:val="center"/>
              <w:outlineLvl w:val="2"/>
            </w:pPr>
            <w:r>
              <w:t>What did you do and why?</w:t>
            </w:r>
          </w:p>
          <w:p w14:paraId="2CC4EED0" w14:textId="77777777" w:rsidR="007145BF" w:rsidRDefault="007145BF" w:rsidP="000B52F4">
            <w:pPr>
              <w:jc w:val="center"/>
            </w:pPr>
          </w:p>
        </w:tc>
        <w:tc>
          <w:tcPr>
            <w:tcW w:w="6327" w:type="dxa"/>
          </w:tcPr>
          <w:p w14:paraId="41CF7D5E" w14:textId="7C2C48C9" w:rsidR="00294448" w:rsidRDefault="00294448" w:rsidP="00294448">
            <w:r>
              <w:t xml:space="preserve">As part of the ECAD6008 module, we were required to plan and prepare an effective 15-minute micro-teaching lesson to present to the remaining members of the cohort which will work towards QTS standards. Micro-teaching is a scaled-down teaching procedure with a few peers under controlled conditions, in order to analyse teaching techniques and develop new teaching skills. This micro-teaching session occurred </w:t>
            </w:r>
            <w:r>
              <w:rPr>
                <w:rStyle w:val="Strong"/>
              </w:rPr>
              <w:t>online via Microsoft Teams</w:t>
            </w:r>
            <w:r>
              <w:t xml:space="preserve">, incorporating a </w:t>
            </w:r>
            <w:r>
              <w:rPr>
                <w:rStyle w:val="Strong"/>
              </w:rPr>
              <w:t>blended learning approach.</w:t>
            </w:r>
            <w:r>
              <w:t> As a group of 4, we created a lesson plan targeted towards Year 1 in Foundation Phase on the subject of Paddington Bear. The lesson's objective was sequencing and incorporated the process of making Paddington Bear's sandwich. Incidental welsh was used throughout the lesson. </w:t>
            </w:r>
          </w:p>
          <w:p w14:paraId="1A0A715D" w14:textId="77777777" w:rsidR="007145BF" w:rsidRDefault="007145BF"/>
        </w:tc>
      </w:tr>
      <w:tr w:rsidR="007145BF" w14:paraId="4D2AD1E6" w14:textId="77777777" w:rsidTr="007145BF">
        <w:tc>
          <w:tcPr>
            <w:tcW w:w="2689" w:type="dxa"/>
          </w:tcPr>
          <w:p w14:paraId="61280E65" w14:textId="77777777" w:rsidR="007145BF" w:rsidRDefault="007145BF" w:rsidP="000B52F4">
            <w:pPr>
              <w:pStyle w:val="Heading3"/>
              <w:jc w:val="center"/>
              <w:outlineLvl w:val="2"/>
            </w:pPr>
            <w:r>
              <w:t>What have you learned?</w:t>
            </w:r>
          </w:p>
          <w:p w14:paraId="58BD2171" w14:textId="77777777" w:rsidR="007145BF" w:rsidRDefault="007145BF" w:rsidP="000B52F4">
            <w:pPr>
              <w:jc w:val="center"/>
            </w:pPr>
          </w:p>
        </w:tc>
        <w:tc>
          <w:tcPr>
            <w:tcW w:w="6327" w:type="dxa"/>
          </w:tcPr>
          <w:p w14:paraId="01A30999" w14:textId="5D6419B3" w:rsidR="00294448" w:rsidRDefault="00294448" w:rsidP="00294448">
            <w:r>
              <w:t>Through this micro-teaching experience, I was able to gain first-hand experience using a blended learning approach. This is beneficial as it allows me as a teacher to use a range of imaginative approaches to benefit to all learners. This is especially important as during the COVID-19 pandemic, all learning was moved remotely via platforms such as </w:t>
            </w:r>
            <w:r>
              <w:rPr>
                <w:rStyle w:val="Strong"/>
              </w:rPr>
              <w:t xml:space="preserve">Microsoft Teams. </w:t>
            </w:r>
            <w:r>
              <w:t>By completing the micro-teaching experience through the ECAD6008 module, allowed me to gain confidence in teaching remotely and if the COVID-19 pandemic was to hit again, I would be able to make a smooth transition over to remote learning. However, this blended learning approach can be pivotal in a pupil's success over remote learning. If a pupil does not have sufficient means to access remote learning, then it will have a cynical impact on them as individuals. </w:t>
            </w:r>
          </w:p>
          <w:p w14:paraId="6AB8C357" w14:textId="77777777" w:rsidR="007145BF" w:rsidRDefault="007145BF"/>
        </w:tc>
      </w:tr>
      <w:tr w:rsidR="007145BF" w14:paraId="23277602" w14:textId="77777777" w:rsidTr="007145BF">
        <w:tc>
          <w:tcPr>
            <w:tcW w:w="2689" w:type="dxa"/>
          </w:tcPr>
          <w:p w14:paraId="7EC3309A" w14:textId="77777777" w:rsidR="007145BF" w:rsidRPr="007C32AA" w:rsidRDefault="007145BF" w:rsidP="000B52F4">
            <w:pPr>
              <w:pStyle w:val="Heading3"/>
              <w:jc w:val="center"/>
              <w:outlineLvl w:val="2"/>
            </w:pPr>
            <w:r>
              <w:t>What next?</w:t>
            </w:r>
          </w:p>
          <w:p w14:paraId="212C9229" w14:textId="77777777" w:rsidR="007145BF" w:rsidRDefault="007145BF" w:rsidP="000B52F4">
            <w:pPr>
              <w:jc w:val="center"/>
            </w:pPr>
          </w:p>
        </w:tc>
        <w:tc>
          <w:tcPr>
            <w:tcW w:w="6327" w:type="dxa"/>
          </w:tcPr>
          <w:p w14:paraId="3C3D1544" w14:textId="77777777" w:rsidR="00294448" w:rsidRDefault="00294448" w:rsidP="00294448">
            <w:r>
              <w:t>I have learnt the importance of using a wide range of blended learning approaches in order to benefit learners. This is especially important in the unprecedented times we are currently living in, with the COVID-19 pandemic. However, I recognise that not all pupils have the same level of access towards remote learning. If learning had to be completed remotely, I would ensure all pupils had access towards remote learning with a platform such as </w:t>
            </w:r>
            <w:r>
              <w:rPr>
                <w:rStyle w:val="Strong"/>
              </w:rPr>
              <w:t>Microsoft Teams. </w:t>
            </w:r>
          </w:p>
          <w:p w14:paraId="45EFFF71" w14:textId="77777777" w:rsidR="007145BF" w:rsidRDefault="007145BF"/>
        </w:tc>
      </w:tr>
    </w:tbl>
    <w:p w14:paraId="3BE6EA0B" w14:textId="77777777" w:rsidR="007145BF" w:rsidRDefault="007145BF"/>
    <w:p w14:paraId="24AD6E22" w14:textId="77777777" w:rsidR="00BC0E87" w:rsidRDefault="00BC0E87"/>
    <w:tbl>
      <w:tblPr>
        <w:tblStyle w:val="TableGrid"/>
        <w:tblW w:w="0" w:type="auto"/>
        <w:tblLook w:val="04A0" w:firstRow="1" w:lastRow="0" w:firstColumn="1" w:lastColumn="0" w:noHBand="0" w:noVBand="1"/>
      </w:tblPr>
      <w:tblGrid>
        <w:gridCol w:w="2689"/>
        <w:gridCol w:w="6327"/>
      </w:tblGrid>
      <w:tr w:rsidR="00BC0E87" w14:paraId="42FB8F74" w14:textId="77777777" w:rsidTr="00815CFA">
        <w:tc>
          <w:tcPr>
            <w:tcW w:w="2689" w:type="dxa"/>
          </w:tcPr>
          <w:p w14:paraId="2C66C26E" w14:textId="77777777" w:rsidR="00BC0E87" w:rsidRDefault="00BC0E87" w:rsidP="000B52F4">
            <w:pPr>
              <w:pStyle w:val="Heading2"/>
              <w:jc w:val="center"/>
              <w:outlineLvl w:val="1"/>
            </w:pPr>
            <w:r>
              <w:lastRenderedPageBreak/>
              <w:t xml:space="preserve">Professional Experience </w:t>
            </w:r>
            <w:r w:rsidRPr="00CD1E5D">
              <w:t>Template</w:t>
            </w:r>
            <w:r w:rsidR="00860793">
              <w:t xml:space="preserve"> 3</w:t>
            </w:r>
          </w:p>
        </w:tc>
        <w:tc>
          <w:tcPr>
            <w:tcW w:w="6327" w:type="dxa"/>
          </w:tcPr>
          <w:p w14:paraId="7D3DB2A6" w14:textId="77777777" w:rsidR="00BC0E87" w:rsidRDefault="00BC0E87" w:rsidP="00815CFA"/>
        </w:tc>
      </w:tr>
      <w:tr w:rsidR="00BC0E87" w14:paraId="7E6E8775" w14:textId="77777777" w:rsidTr="00815CFA">
        <w:tc>
          <w:tcPr>
            <w:tcW w:w="2689" w:type="dxa"/>
          </w:tcPr>
          <w:p w14:paraId="47BB2670" w14:textId="77777777" w:rsidR="00BC0E87" w:rsidRDefault="00BC0E87" w:rsidP="000B52F4">
            <w:pPr>
              <w:pStyle w:val="Heading2"/>
              <w:jc w:val="center"/>
              <w:outlineLvl w:val="1"/>
            </w:pPr>
            <w:r>
              <w:t>Pe</w:t>
            </w:r>
            <w:r w:rsidR="000B52F4">
              <w:t>dagogy Standard</w:t>
            </w:r>
          </w:p>
        </w:tc>
        <w:tc>
          <w:tcPr>
            <w:tcW w:w="6327" w:type="dxa"/>
          </w:tcPr>
          <w:p w14:paraId="3265976A" w14:textId="7134D97A" w:rsidR="00BC0E87" w:rsidRPr="00DD7CB4" w:rsidRDefault="006115AD" w:rsidP="00815CFA">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Real life authentic context</w:t>
            </w:r>
          </w:p>
        </w:tc>
      </w:tr>
      <w:tr w:rsidR="00BC0E87" w14:paraId="268006C9" w14:textId="77777777" w:rsidTr="00815CFA">
        <w:tc>
          <w:tcPr>
            <w:tcW w:w="2689" w:type="dxa"/>
          </w:tcPr>
          <w:p w14:paraId="714F9E6B" w14:textId="77777777" w:rsidR="00BC0E87" w:rsidRDefault="00BC0E87" w:rsidP="000B52F4">
            <w:pPr>
              <w:pStyle w:val="Heading3"/>
              <w:jc w:val="center"/>
              <w:outlineLvl w:val="2"/>
            </w:pPr>
            <w:r>
              <w:lastRenderedPageBreak/>
              <w:t>What did you do and why?</w:t>
            </w:r>
          </w:p>
          <w:p w14:paraId="167D6616" w14:textId="77777777" w:rsidR="00BC0E87" w:rsidRDefault="00BC0E87" w:rsidP="000B52F4">
            <w:pPr>
              <w:jc w:val="center"/>
            </w:pPr>
          </w:p>
        </w:tc>
        <w:tc>
          <w:tcPr>
            <w:tcW w:w="6327" w:type="dxa"/>
          </w:tcPr>
          <w:p w14:paraId="59647342" w14:textId="56B6A79F" w:rsidR="00294448" w:rsidRDefault="00294448" w:rsidP="00294448">
            <w:pPr>
              <w:pStyle w:val="NormalWeb"/>
            </w:pPr>
            <w:r>
              <w:t xml:space="preserve">Throughout the first half of my PTE1 experience, I took on the </w:t>
            </w:r>
            <w:r>
              <w:rPr>
                <w:rStyle w:val="Strong"/>
                <w:rFonts w:eastAsiaTheme="majorEastAsia"/>
              </w:rPr>
              <w:t>responsibility</w:t>
            </w:r>
            <w:r>
              <w:t xml:space="preserve"> of leading </w:t>
            </w:r>
            <w:r>
              <w:rPr>
                <w:rStyle w:val="Strong"/>
                <w:rFonts w:eastAsiaTheme="majorEastAsia"/>
              </w:rPr>
              <w:t>'Helpwr Heddiw'</w:t>
            </w:r>
            <w:r>
              <w:t xml:space="preserve">. Helpwr Heddiw consists of 20 minutes a day of practicing and using the Welsh language. Within these 20 minutes, pupils have a set of questions from their 'Pump y dydd' which they are to complete activities and answer these questions with their peers. This is a scheme that the whole school use from Reception to Year 6. Each month the Pump y dydd questions will change, ranging from 'Pwy wyt ti?' to 'Beth wyt ti'n wisgo?'. Both Year 3 classes had been struggling find time and to think of ways to implement this project. I took </w:t>
            </w:r>
            <w:r>
              <w:rPr>
                <w:rStyle w:val="Strong"/>
                <w:rFonts w:eastAsiaTheme="majorEastAsia"/>
              </w:rPr>
              <w:t>leadership</w:t>
            </w:r>
            <w:r>
              <w:t xml:space="preserve"> in the hope of driving the Welsh language forward and implementing it more day-to-day.</w:t>
            </w:r>
          </w:p>
          <w:p w14:paraId="7DA69299" w14:textId="141F0658" w:rsidR="00294448" w:rsidRDefault="00294448" w:rsidP="00294448">
            <w:pPr>
              <w:pStyle w:val="NormalWeb"/>
            </w:pPr>
            <w:r>
              <w:t>Each week a pupil was chosen to be the 'Helpwr Heddiw’, and they would stand at the front and ask their peers questions which were on the 'Pump y dydd'. However, if there was a new question on the pump y dydd, as a class we would complete activities surrounding the question first. For example, 'Sut mae'r tywydd heddiw?'. We learnt a song, learnt phrases through flashcards and went outside to identify what phrase was best suited to that day. I further introduced a certificate that the Helpwr Heddiw would choose a pupil who they thought used the most Welsh that week and actively participated in the sessions. This encouraged pupils to get involved as there was something to win. </w:t>
            </w:r>
          </w:p>
          <w:p w14:paraId="7A52FFCC" w14:textId="77777777" w:rsidR="00294448" w:rsidRDefault="00294448" w:rsidP="00294448">
            <w:pPr>
              <w:pStyle w:val="NormalWeb"/>
            </w:pPr>
            <w:r>
              <w:t>I decided to take lead on Helpwr Heddiw as I always felt confident using the Welsh language but thought this would be a perfect opportunity to develop my Welsh language skills further. </w:t>
            </w:r>
          </w:p>
          <w:p w14:paraId="5D2C3E00" w14:textId="77777777" w:rsidR="00294448" w:rsidRDefault="00294448" w:rsidP="00294448">
            <w:pPr>
              <w:pStyle w:val="NormalWeb"/>
            </w:pPr>
            <w:r>
              <w:t>Building from these sessions, I was able to make pupils aware of the Welsh language, how it originated and how vital it is to continue to use it. Pupils were shocked at how many people spoke Welsh across Wales and were proud of their heritage. </w:t>
            </w:r>
          </w:p>
          <w:p w14:paraId="055380D0" w14:textId="77777777" w:rsidR="00294448" w:rsidRDefault="00294448" w:rsidP="00294448">
            <w:pPr>
              <w:pStyle w:val="NormalWeb"/>
            </w:pPr>
            <w:r>
              <w:t>From this, I found it easy to implement incidental welsh throughout day-to-day tasks, such as taking the register or gaining pupils attention. Although pupils could not recall the whole sentence, they could pick out key phrases which helped them understand what was required from them. </w:t>
            </w:r>
          </w:p>
          <w:p w14:paraId="6F8153DF" w14:textId="77777777" w:rsidR="00294448" w:rsidRDefault="00294448" w:rsidP="00294448">
            <w:pPr>
              <w:pStyle w:val="NormalWeb"/>
            </w:pPr>
            <w:r>
              <w:rPr>
                <w:u w:val="single"/>
              </w:rPr>
              <w:t>Working with in-school colleagues and Leading Project.</w:t>
            </w:r>
          </w:p>
          <w:p w14:paraId="3B39661B" w14:textId="77777777" w:rsidR="00294448" w:rsidRDefault="00294448" w:rsidP="00DD7CB4">
            <w:pPr>
              <w:pStyle w:val="NormalWeb"/>
            </w:pPr>
            <w:r>
              <w:t xml:space="preserve">When taking leadership of Helpwr Heddiw, </w:t>
            </w:r>
            <w:r>
              <w:rPr>
                <w:rStyle w:val="Strong"/>
                <w:rFonts w:eastAsiaTheme="majorEastAsia"/>
              </w:rPr>
              <w:t>I worked alongside both Year 3 teachers</w:t>
            </w:r>
            <w:r>
              <w:t xml:space="preserve"> and another student-teacher to implement these sessions. When a new question occurred in the Pump y dydd, I created resources for both classes to aid learning. For example, I created flashcards and games to play </w:t>
            </w:r>
            <w:r>
              <w:lastRenderedPageBreak/>
              <w:t>with pupils regarding 'Beth wyt ti'n wisgo?'. This involved me talking to the other members of staff to reflect on how they found the activities and then acting upon this. </w:t>
            </w:r>
          </w:p>
          <w:p w14:paraId="63C20D2B" w14:textId="654C4D2B" w:rsidR="00DD7CB4" w:rsidRPr="00294448" w:rsidRDefault="00DD7CB4" w:rsidP="00DD7CB4">
            <w:pPr>
              <w:pStyle w:val="NormalWeb"/>
            </w:pPr>
          </w:p>
        </w:tc>
      </w:tr>
      <w:tr w:rsidR="00BC0E87" w14:paraId="37DD8179" w14:textId="77777777" w:rsidTr="00815CFA">
        <w:tc>
          <w:tcPr>
            <w:tcW w:w="2689" w:type="dxa"/>
          </w:tcPr>
          <w:p w14:paraId="18911088" w14:textId="77777777" w:rsidR="00BC0E87" w:rsidRDefault="00BC0E87" w:rsidP="000B52F4">
            <w:pPr>
              <w:pStyle w:val="Heading3"/>
              <w:jc w:val="center"/>
              <w:outlineLvl w:val="2"/>
            </w:pPr>
            <w:r>
              <w:lastRenderedPageBreak/>
              <w:t>What have you learned?</w:t>
            </w:r>
          </w:p>
          <w:p w14:paraId="1033FE23" w14:textId="77777777" w:rsidR="00BC0E87" w:rsidRDefault="00BC0E87" w:rsidP="000B52F4">
            <w:pPr>
              <w:jc w:val="center"/>
            </w:pPr>
          </w:p>
        </w:tc>
        <w:tc>
          <w:tcPr>
            <w:tcW w:w="6327" w:type="dxa"/>
          </w:tcPr>
          <w:p w14:paraId="7A682E03" w14:textId="5522972E" w:rsidR="00294448" w:rsidRDefault="00294448" w:rsidP="00294448">
            <w:pPr>
              <w:pStyle w:val="NormalWeb"/>
            </w:pPr>
            <w:r>
              <w:t>I have learned through the Helpwr Heddiw sessions how pivotal it is to continue to teach and implement the Welsh language and show pupils where the language originated from. I think this helps pupils understand the importance of using it day to day. I also learned how easy it is it implement incidental Welsh in daily routines. I think if I continue to approach my teaching with this mindset it will allow pupils Welsh language skills to develop in a natural manner and I will continue to consider other ways I can incorporate Welsh into my daily routine.</w:t>
            </w:r>
          </w:p>
          <w:p w14:paraId="09BA1EBB" w14:textId="77777777" w:rsidR="00294448" w:rsidRDefault="00294448" w:rsidP="00294448">
            <w:pPr>
              <w:pStyle w:val="NormalWeb"/>
            </w:pPr>
            <w:r>
              <w:t>I thoroughly enjoyed working with other members of staff and leading this Helpwr Heddiw project. It allowed me to take responsibility for a project and I think pupils are now more aware of the Welsh language and how to implement it correctly than they did before. </w:t>
            </w:r>
          </w:p>
          <w:p w14:paraId="35A93831" w14:textId="77777777" w:rsidR="00BC0E87" w:rsidRDefault="00BC0E87" w:rsidP="00815CFA"/>
        </w:tc>
      </w:tr>
      <w:tr w:rsidR="00BC0E87" w14:paraId="7296F65D" w14:textId="77777777" w:rsidTr="00815CFA">
        <w:tc>
          <w:tcPr>
            <w:tcW w:w="2689" w:type="dxa"/>
          </w:tcPr>
          <w:p w14:paraId="47BCD859" w14:textId="77777777" w:rsidR="00BC0E87" w:rsidRPr="007C32AA" w:rsidRDefault="00BC0E87" w:rsidP="000B52F4">
            <w:pPr>
              <w:pStyle w:val="Heading3"/>
              <w:jc w:val="center"/>
              <w:outlineLvl w:val="2"/>
            </w:pPr>
            <w:r>
              <w:t>What next?</w:t>
            </w:r>
          </w:p>
          <w:p w14:paraId="32C49C8F" w14:textId="77777777" w:rsidR="00BC0E87" w:rsidRDefault="00BC0E87" w:rsidP="000B52F4">
            <w:pPr>
              <w:jc w:val="center"/>
            </w:pPr>
          </w:p>
        </w:tc>
        <w:tc>
          <w:tcPr>
            <w:tcW w:w="6327" w:type="dxa"/>
          </w:tcPr>
          <w:p w14:paraId="4D2A1A7F" w14:textId="71FB2D57" w:rsidR="00294448" w:rsidRDefault="00294448" w:rsidP="00294448">
            <w:r>
              <w:t>In future placements or future employment, I would continue to use incidental Welsh and use it in day-to-day tasks. I could develop my Welsh language skills and broaden it across more A</w:t>
            </w:r>
            <w:r w:rsidR="00622077">
              <w:t>o</w:t>
            </w:r>
            <w:r>
              <w:t xml:space="preserve">LE's, especially LLC. I would like to try and complete a Welsh literacy task in order to demonstrate the link between Welsh and English, rather than keeping them separate. I was pleased that my commitment and leadership to Helpwr Heddiw sessions was recognised in my </w:t>
            </w:r>
            <w:r>
              <w:rPr>
                <w:rStyle w:val="Strong"/>
              </w:rPr>
              <w:t>mid-placement review</w:t>
            </w:r>
            <w:r>
              <w:t xml:space="preserve"> by the class teacher. </w:t>
            </w:r>
          </w:p>
          <w:p w14:paraId="3BB6E5B4" w14:textId="77777777" w:rsidR="00BC0E87" w:rsidRDefault="00BC0E87" w:rsidP="00815CFA"/>
        </w:tc>
      </w:tr>
    </w:tbl>
    <w:p w14:paraId="24765508" w14:textId="77777777" w:rsidR="00BC0E87" w:rsidRDefault="00BC0E87"/>
    <w:p w14:paraId="6AA8E87F" w14:textId="77777777" w:rsidR="00BC0E87" w:rsidRDefault="00BC0E87"/>
    <w:tbl>
      <w:tblPr>
        <w:tblStyle w:val="TableGrid"/>
        <w:tblW w:w="0" w:type="auto"/>
        <w:tblLook w:val="04A0" w:firstRow="1" w:lastRow="0" w:firstColumn="1" w:lastColumn="0" w:noHBand="0" w:noVBand="1"/>
      </w:tblPr>
      <w:tblGrid>
        <w:gridCol w:w="2689"/>
        <w:gridCol w:w="6327"/>
      </w:tblGrid>
      <w:tr w:rsidR="00BC0E87" w14:paraId="66C62A36" w14:textId="77777777" w:rsidTr="00815CFA">
        <w:tc>
          <w:tcPr>
            <w:tcW w:w="2689" w:type="dxa"/>
          </w:tcPr>
          <w:p w14:paraId="6CEC531C" w14:textId="77777777" w:rsidR="00BC0E87" w:rsidRDefault="00BC0E87" w:rsidP="000B52F4">
            <w:pPr>
              <w:pStyle w:val="Heading2"/>
              <w:jc w:val="center"/>
              <w:outlineLvl w:val="1"/>
            </w:pPr>
            <w:r>
              <w:lastRenderedPageBreak/>
              <w:t xml:space="preserve">Professional Experience </w:t>
            </w:r>
            <w:r w:rsidRPr="00CD1E5D">
              <w:t>Template</w:t>
            </w:r>
            <w:r w:rsidR="00860793">
              <w:t xml:space="preserve"> 4</w:t>
            </w:r>
          </w:p>
        </w:tc>
        <w:tc>
          <w:tcPr>
            <w:tcW w:w="6327" w:type="dxa"/>
          </w:tcPr>
          <w:p w14:paraId="413D467E" w14:textId="77777777" w:rsidR="00BC0E87" w:rsidRDefault="00BC0E87" w:rsidP="00815CFA"/>
        </w:tc>
      </w:tr>
      <w:tr w:rsidR="00BC0E87" w14:paraId="32012DD4" w14:textId="77777777" w:rsidTr="00815CFA">
        <w:tc>
          <w:tcPr>
            <w:tcW w:w="2689" w:type="dxa"/>
          </w:tcPr>
          <w:p w14:paraId="5B4E3CAC" w14:textId="77777777" w:rsidR="00BC0E87" w:rsidRDefault="00BC0E87" w:rsidP="000B52F4">
            <w:pPr>
              <w:pStyle w:val="Heading2"/>
              <w:jc w:val="center"/>
              <w:outlineLvl w:val="1"/>
            </w:pPr>
            <w:r>
              <w:t>Pe</w:t>
            </w:r>
            <w:r w:rsidR="000B52F4">
              <w:t>dagogy Standard</w:t>
            </w:r>
          </w:p>
        </w:tc>
        <w:tc>
          <w:tcPr>
            <w:tcW w:w="6327" w:type="dxa"/>
          </w:tcPr>
          <w:p w14:paraId="637A7144" w14:textId="77777777" w:rsidR="004E1D46" w:rsidRPr="00D57F44" w:rsidRDefault="004E1D46" w:rsidP="004E1D46">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Cross-curricular themes</w:t>
            </w:r>
          </w:p>
          <w:p w14:paraId="6B583549" w14:textId="77777777" w:rsidR="00BC0E87" w:rsidRDefault="00BC0E87" w:rsidP="00815CFA"/>
        </w:tc>
      </w:tr>
      <w:tr w:rsidR="00BC0E87" w14:paraId="0495A67E" w14:textId="77777777" w:rsidTr="00815CFA">
        <w:tc>
          <w:tcPr>
            <w:tcW w:w="2689" w:type="dxa"/>
          </w:tcPr>
          <w:p w14:paraId="7247DEAD" w14:textId="77777777" w:rsidR="00BC0E87" w:rsidRDefault="00BC0E87" w:rsidP="000B52F4">
            <w:pPr>
              <w:pStyle w:val="Heading3"/>
              <w:jc w:val="center"/>
              <w:outlineLvl w:val="2"/>
            </w:pPr>
            <w:r>
              <w:t>What did you do and why?</w:t>
            </w:r>
          </w:p>
          <w:p w14:paraId="4A3689AF" w14:textId="77777777" w:rsidR="00BC0E87" w:rsidRDefault="00BC0E87" w:rsidP="000B52F4">
            <w:pPr>
              <w:jc w:val="center"/>
            </w:pPr>
          </w:p>
        </w:tc>
        <w:tc>
          <w:tcPr>
            <w:tcW w:w="6327" w:type="dxa"/>
          </w:tcPr>
          <w:p w14:paraId="1BC87D65" w14:textId="77777777" w:rsidR="00294448" w:rsidRDefault="00294448" w:rsidP="00294448">
            <w:pPr>
              <w:pStyle w:val="NormalWeb"/>
            </w:pPr>
            <w:r>
              <w:t>I got asked to deliver a lesson on Minecraft Education and to link it to Pompeii - which relates to our term topic. I demonstrated to pupils how to find the Pompeii world on Minecraft Education and explained to pupils that they had time to discover the world. </w:t>
            </w:r>
          </w:p>
          <w:p w14:paraId="757F4CCD" w14:textId="77777777" w:rsidR="00294448" w:rsidRDefault="00294448" w:rsidP="00294448">
            <w:pPr>
              <w:pStyle w:val="NormalWeb"/>
            </w:pPr>
            <w:r>
              <w:t xml:space="preserve">The main theme of the lesson was to incorporate the </w:t>
            </w:r>
            <w:r>
              <w:rPr>
                <w:rStyle w:val="Strong"/>
                <w:rFonts w:eastAsiaTheme="majorEastAsia"/>
              </w:rPr>
              <w:t>Digital Competence Framework (DCF) </w:t>
            </w:r>
            <w:r>
              <w:t>to discover the world of Pompeii through Minecraft Education on the school's iPads or Computers. I incorporated cross-curricular themes in the following ways:</w:t>
            </w:r>
          </w:p>
          <w:p w14:paraId="2FB24EC2" w14:textId="77777777" w:rsidR="00294448" w:rsidRDefault="00294448" w:rsidP="00294448">
            <w:pPr>
              <w:pStyle w:val="NormalWeb"/>
            </w:pPr>
            <w:r>
              <w:rPr>
                <w:rStyle w:val="Strong"/>
                <w:rFonts w:eastAsiaTheme="majorEastAsia"/>
                <w:u w:val="single"/>
              </w:rPr>
              <w:t>Literacy, Languages and Communication</w:t>
            </w:r>
          </w:p>
          <w:p w14:paraId="66842CBC" w14:textId="377319B1" w:rsidR="00294448" w:rsidRDefault="00294448" w:rsidP="00294448">
            <w:pPr>
              <w:pStyle w:val="NormalWeb"/>
            </w:pPr>
            <w:r>
              <w:t xml:space="preserve">After pupils were given time to discover the world of Pompeii, I explained the task they would have to complete. They were to make the volcano erupt by talking to a NPC (Non-player Character) and answering a question. Once they have erupted the volcano, they then had to find the camera, </w:t>
            </w:r>
            <w:r w:rsidR="00092F62">
              <w:t>book,</w:t>
            </w:r>
            <w:r>
              <w:t xml:space="preserve"> and pen tool in their inventory. They had to take a screenshot of the volcano erupting then by using the book and pen took they had to describe what was happening in the picture. </w:t>
            </w:r>
          </w:p>
          <w:p w14:paraId="77B51457" w14:textId="77777777" w:rsidR="00294448" w:rsidRDefault="00294448" w:rsidP="00294448">
            <w:pPr>
              <w:pStyle w:val="NormalWeb"/>
            </w:pPr>
            <w:r>
              <w:rPr>
                <w:rStyle w:val="Strong"/>
                <w:rFonts w:eastAsiaTheme="majorEastAsia"/>
                <w:u w:val="single"/>
              </w:rPr>
              <w:t>Science and Technology</w:t>
            </w:r>
          </w:p>
          <w:p w14:paraId="78DA4AF5" w14:textId="77777777" w:rsidR="00294448" w:rsidRDefault="00294448" w:rsidP="00294448">
            <w:pPr>
              <w:pStyle w:val="NormalWeb"/>
            </w:pPr>
            <w:r>
              <w:t>As a class, we have been learning about the topic Natural Disasters and looking at the Volcanoes specifically. Pupils were required to use their prior knowledge and implement it when describing how a volcano erupts and what is currently happening in their screenshot of the volcano. </w:t>
            </w:r>
          </w:p>
          <w:p w14:paraId="697A94DC" w14:textId="77777777" w:rsidR="00294448" w:rsidRDefault="00294448" w:rsidP="00294448">
            <w:pPr>
              <w:pStyle w:val="NormalWeb"/>
            </w:pPr>
            <w:r>
              <w:rPr>
                <w:rStyle w:val="Strong"/>
                <w:rFonts w:eastAsiaTheme="majorEastAsia"/>
                <w:u w:val="single"/>
              </w:rPr>
              <w:t>DCF</w:t>
            </w:r>
          </w:p>
          <w:p w14:paraId="1EAD9F81" w14:textId="77777777" w:rsidR="00294448" w:rsidRDefault="00294448" w:rsidP="00294448">
            <w:pPr>
              <w:pStyle w:val="NormalWeb"/>
            </w:pPr>
            <w:r>
              <w:t>Once pupils had wrote in their books using the tools on Minecraft Education, they had to save them as a PDF and then upload them to Seesaw which they are familiar with, as the class use it as a platform to upload work for Teacher marking. </w:t>
            </w:r>
          </w:p>
          <w:p w14:paraId="294CDBB6" w14:textId="77777777" w:rsidR="00BC0E87" w:rsidRDefault="00BC0E87" w:rsidP="00815CFA"/>
        </w:tc>
      </w:tr>
      <w:tr w:rsidR="00BC0E87" w14:paraId="7C0DA704" w14:textId="77777777" w:rsidTr="00815CFA">
        <w:tc>
          <w:tcPr>
            <w:tcW w:w="2689" w:type="dxa"/>
          </w:tcPr>
          <w:p w14:paraId="7C20ED49" w14:textId="77777777" w:rsidR="00BC0E87" w:rsidRDefault="00BC0E87" w:rsidP="000B52F4">
            <w:pPr>
              <w:pStyle w:val="Heading3"/>
              <w:jc w:val="center"/>
              <w:outlineLvl w:val="2"/>
            </w:pPr>
            <w:r>
              <w:lastRenderedPageBreak/>
              <w:t>What have you learned?</w:t>
            </w:r>
          </w:p>
          <w:p w14:paraId="163C0E98" w14:textId="77777777" w:rsidR="00BC0E87" w:rsidRDefault="00BC0E87" w:rsidP="000B52F4">
            <w:pPr>
              <w:jc w:val="center"/>
            </w:pPr>
          </w:p>
        </w:tc>
        <w:tc>
          <w:tcPr>
            <w:tcW w:w="6327" w:type="dxa"/>
          </w:tcPr>
          <w:p w14:paraId="674DAC5E" w14:textId="4DD76574" w:rsidR="00294448" w:rsidRDefault="00294448" w:rsidP="00294448">
            <w:r>
              <w:t>I have learnt how cross-curricular themes can be implemented in order to compliment the main topic or A</w:t>
            </w:r>
            <w:r w:rsidR="00622077">
              <w:t>o</w:t>
            </w:r>
            <w:r>
              <w:t>LE of the lesson. This lesson displayed a successful lesson on cross-curricular themes. When implementing cross-curricular themes it is important that it is relevant to current learning and to be genuine, for the lesson to have the greatest impact. By implementing Minecraft Education, which pupils are already so familiar with from outside of the classroom, created a sense of excitement and almost felt like they weren't actually doing any work or learning. When in fact, they displayed their prior knowledge of Science and Technology, and improved their DCF skills, all whilst practicing their LLC skills. However, for the pupils who were unfamiliar with Minecraft Education, I could have displayed a step-by-step method for them to follow. </w:t>
            </w:r>
          </w:p>
          <w:p w14:paraId="1908A77A" w14:textId="77777777" w:rsidR="00BC0E87" w:rsidRDefault="00BC0E87" w:rsidP="00815CFA"/>
        </w:tc>
      </w:tr>
      <w:tr w:rsidR="00BC0E87" w14:paraId="473E7F3E" w14:textId="77777777" w:rsidTr="00815CFA">
        <w:tc>
          <w:tcPr>
            <w:tcW w:w="2689" w:type="dxa"/>
          </w:tcPr>
          <w:p w14:paraId="32CD5165" w14:textId="77777777" w:rsidR="00BC0E87" w:rsidRPr="007C32AA" w:rsidRDefault="00BC0E87" w:rsidP="000B52F4">
            <w:pPr>
              <w:pStyle w:val="Heading3"/>
              <w:jc w:val="center"/>
              <w:outlineLvl w:val="2"/>
            </w:pPr>
            <w:r>
              <w:t>What next?</w:t>
            </w:r>
          </w:p>
          <w:p w14:paraId="09B85CCC" w14:textId="77777777" w:rsidR="00BC0E87" w:rsidRDefault="00BC0E87" w:rsidP="000B52F4">
            <w:pPr>
              <w:jc w:val="center"/>
            </w:pPr>
          </w:p>
        </w:tc>
        <w:tc>
          <w:tcPr>
            <w:tcW w:w="6327" w:type="dxa"/>
          </w:tcPr>
          <w:p w14:paraId="09623310" w14:textId="6F601935" w:rsidR="00294448" w:rsidRDefault="00294448" w:rsidP="00294448">
            <w:pPr>
              <w:pStyle w:val="NormalWeb"/>
            </w:pPr>
            <w:r>
              <w:t>I will continue to plan and deliver cross-curricular themes throughout my lessons. This is so pupils are able to demonstrate multiple A</w:t>
            </w:r>
            <w:r w:rsidR="00622077">
              <w:t>o</w:t>
            </w:r>
            <w:r>
              <w:t>LE learning through one activity. I would definitely use Minecraft Education again to implement cross-curricular themes as it is accessible to each pupil through their Hwb account. This had such a positive impact on their learning as they didn't even realise how much they were developing and improving their skills. In terms of further development, a Minecraft Education specialist could potentially come into my future school or deliver an online workshop to show members of staff how they could implement this style of delivering a lesson. </w:t>
            </w:r>
          </w:p>
          <w:p w14:paraId="174DAF34" w14:textId="77777777" w:rsidR="00294448" w:rsidRDefault="00294448" w:rsidP="00294448"/>
          <w:p w14:paraId="00CCAE11" w14:textId="77777777" w:rsidR="00BC0E87" w:rsidRDefault="00BC0E87" w:rsidP="00815CFA"/>
        </w:tc>
      </w:tr>
    </w:tbl>
    <w:p w14:paraId="43A448CA" w14:textId="77777777" w:rsidR="00BC0E87" w:rsidRDefault="00BC0E87"/>
    <w:p w14:paraId="10893578" w14:textId="77777777" w:rsidR="00BC0E87" w:rsidRDefault="00BC0E87"/>
    <w:p w14:paraId="7AD4E607" w14:textId="77777777" w:rsidR="00BC0E87" w:rsidRDefault="00BC0E87"/>
    <w:p w14:paraId="5489858A" w14:textId="73B0F057" w:rsidR="003F3D6C" w:rsidRDefault="003F3D6C">
      <w:r>
        <w:t>Word count: Approximately 2,000</w:t>
      </w:r>
    </w:p>
    <w:p w14:paraId="6601311D" w14:textId="56C61AF2" w:rsidR="00711010" w:rsidRDefault="00711010"/>
    <w:p w14:paraId="0904A7F5" w14:textId="12AC2704" w:rsidR="00711010" w:rsidRDefault="00711010"/>
    <w:p w14:paraId="71618317" w14:textId="44EF03DD" w:rsidR="00711010" w:rsidRDefault="00711010"/>
    <w:p w14:paraId="20740E87" w14:textId="1F5E1155" w:rsidR="00711010" w:rsidRDefault="00711010"/>
    <w:p w14:paraId="76CBBDDF" w14:textId="0140059B" w:rsidR="00711010" w:rsidRDefault="00711010"/>
    <w:p w14:paraId="1023CCE0" w14:textId="48775E61" w:rsidR="00711010" w:rsidRDefault="00711010"/>
    <w:p w14:paraId="266C8CA3" w14:textId="0779C053" w:rsidR="00711010" w:rsidRDefault="00711010"/>
    <w:p w14:paraId="64D3F6CF" w14:textId="32B0480E" w:rsidR="00241A8A" w:rsidRDefault="00241A8A"/>
    <w:p w14:paraId="2FC9074C" w14:textId="4E29A9A7" w:rsidR="00241A8A" w:rsidRDefault="00241A8A"/>
    <w:p w14:paraId="2F5E4A9A" w14:textId="4F60D51B" w:rsidR="00241A8A" w:rsidRDefault="00241A8A"/>
    <w:p w14:paraId="50DC3A82" w14:textId="2BBD74EE" w:rsidR="00241A8A" w:rsidRDefault="00241A8A"/>
    <w:p w14:paraId="1E3B90ED" w14:textId="6E338BFE" w:rsidR="00241A8A" w:rsidRDefault="00241A8A"/>
    <w:p w14:paraId="2F862864" w14:textId="47BAD261" w:rsidR="00F45C46" w:rsidRDefault="00F45C46"/>
    <w:p w14:paraId="6525B5B1" w14:textId="77777777" w:rsidR="000568E7" w:rsidRDefault="000568E7">
      <w:pPr>
        <w:rPr>
          <w:u w:val="single"/>
        </w:rPr>
      </w:pPr>
    </w:p>
    <w:p w14:paraId="49363047" w14:textId="77777777" w:rsidR="00F45C46" w:rsidRDefault="00F45C46">
      <w:pPr>
        <w:rPr>
          <w:u w:val="single"/>
        </w:rPr>
      </w:pPr>
    </w:p>
    <w:p w14:paraId="660ACF2D" w14:textId="77777777" w:rsidR="000568E7" w:rsidRDefault="000568E7" w:rsidP="00F45C46">
      <w:pPr>
        <w:spacing w:line="360" w:lineRule="auto"/>
        <w:rPr>
          <w:rFonts w:ascii="Arial" w:hAnsi="Arial" w:cs="Arial"/>
          <w:b/>
          <w:bCs/>
          <w:sz w:val="28"/>
          <w:szCs w:val="28"/>
          <w:u w:val="single"/>
        </w:rPr>
      </w:pPr>
      <w:r>
        <w:rPr>
          <w:rFonts w:ascii="Arial" w:hAnsi="Arial" w:cs="Arial"/>
          <w:b/>
          <w:bCs/>
          <w:sz w:val="28"/>
          <w:szCs w:val="28"/>
          <w:u w:val="single"/>
        </w:rPr>
        <w:lastRenderedPageBreak/>
        <w:t>Part 2:</w:t>
      </w:r>
    </w:p>
    <w:p w14:paraId="111596D1" w14:textId="2D02F8AD" w:rsidR="0009549A" w:rsidRPr="00F45C46" w:rsidRDefault="0009549A" w:rsidP="00F45C46">
      <w:pPr>
        <w:spacing w:line="360" w:lineRule="auto"/>
        <w:rPr>
          <w:rFonts w:ascii="Arial" w:hAnsi="Arial" w:cs="Arial"/>
          <w:b/>
          <w:bCs/>
          <w:sz w:val="28"/>
          <w:szCs w:val="28"/>
          <w:u w:val="single"/>
        </w:rPr>
      </w:pPr>
      <w:r w:rsidRPr="00F45C46">
        <w:rPr>
          <w:rFonts w:ascii="Arial" w:hAnsi="Arial" w:cs="Arial"/>
          <w:b/>
          <w:bCs/>
          <w:sz w:val="28"/>
          <w:szCs w:val="28"/>
          <w:u w:val="single"/>
        </w:rPr>
        <w:t>Introduction</w:t>
      </w:r>
    </w:p>
    <w:p w14:paraId="4A4834D8" w14:textId="48084FC5" w:rsidR="0078753F" w:rsidRPr="00F45C46" w:rsidRDefault="00711010" w:rsidP="00F45C46">
      <w:pPr>
        <w:spacing w:line="360" w:lineRule="auto"/>
        <w:rPr>
          <w:rFonts w:ascii="Arial" w:hAnsi="Arial" w:cs="Arial"/>
          <w:sz w:val="22"/>
          <w:szCs w:val="22"/>
        </w:rPr>
      </w:pPr>
      <w:r w:rsidRPr="00F45C46">
        <w:rPr>
          <w:rFonts w:ascii="Arial" w:hAnsi="Arial" w:cs="Arial"/>
          <w:sz w:val="22"/>
          <w:szCs w:val="22"/>
        </w:rPr>
        <w:t>I have decided to focus on the pedagogical strategy 'Reinforce cross-curricular responsibilities'</w:t>
      </w:r>
      <w:r w:rsidR="004C4A6C" w:rsidRPr="00F45C46">
        <w:rPr>
          <w:rFonts w:ascii="Arial" w:hAnsi="Arial" w:cs="Arial"/>
          <w:sz w:val="22"/>
          <w:szCs w:val="22"/>
        </w:rPr>
        <w:t xml:space="preserve"> which </w:t>
      </w:r>
      <w:r w:rsidRPr="00F45C46">
        <w:rPr>
          <w:rFonts w:ascii="Arial" w:hAnsi="Arial" w:cs="Arial"/>
          <w:sz w:val="22"/>
          <w:szCs w:val="22"/>
        </w:rPr>
        <w:t>align</w:t>
      </w:r>
      <w:r w:rsidR="004C4A6C" w:rsidRPr="00F45C46">
        <w:rPr>
          <w:rFonts w:ascii="Arial" w:hAnsi="Arial" w:cs="Arial"/>
          <w:sz w:val="22"/>
          <w:szCs w:val="22"/>
        </w:rPr>
        <w:t>s</w:t>
      </w:r>
      <w:r w:rsidRPr="00F45C46">
        <w:rPr>
          <w:rFonts w:ascii="Arial" w:hAnsi="Arial" w:cs="Arial"/>
          <w:sz w:val="22"/>
          <w:szCs w:val="22"/>
        </w:rPr>
        <w:t xml:space="preserve"> with the QTS Standard 'Cross-curricular themes'</w:t>
      </w:r>
      <w:r w:rsidR="004C4A6C" w:rsidRPr="00F45C46">
        <w:rPr>
          <w:rFonts w:ascii="Arial" w:hAnsi="Arial" w:cs="Arial"/>
          <w:sz w:val="22"/>
          <w:szCs w:val="22"/>
        </w:rPr>
        <w:t xml:space="preserve"> as an area for development</w:t>
      </w:r>
      <w:r w:rsidRPr="00F45C46">
        <w:rPr>
          <w:rFonts w:ascii="Arial" w:hAnsi="Arial" w:cs="Arial"/>
          <w:sz w:val="22"/>
          <w:szCs w:val="22"/>
        </w:rPr>
        <w:t xml:space="preserve">. </w:t>
      </w:r>
      <w:r w:rsidR="004C4A6C" w:rsidRPr="00F45C46">
        <w:rPr>
          <w:rFonts w:ascii="Arial" w:hAnsi="Arial" w:cs="Arial"/>
          <w:sz w:val="22"/>
          <w:szCs w:val="22"/>
        </w:rPr>
        <w:t>I will critically reflect on my experience during PTE1 to justify the next steps in my development</w:t>
      </w:r>
      <w:r w:rsidR="004C4A6C" w:rsidRPr="00114653">
        <w:rPr>
          <w:rFonts w:ascii="Arial" w:hAnsi="Arial" w:cs="Arial"/>
          <w:sz w:val="22"/>
          <w:szCs w:val="22"/>
        </w:rPr>
        <w:t xml:space="preserve">. </w:t>
      </w:r>
      <w:r w:rsidR="00A106C3" w:rsidRPr="00114653">
        <w:rPr>
          <w:rFonts w:ascii="Arial" w:hAnsi="Arial" w:cs="Arial"/>
          <w:sz w:val="22"/>
          <w:szCs w:val="22"/>
        </w:rPr>
        <w:t>Tripp (2012</w:t>
      </w:r>
      <w:r w:rsidR="00E82637" w:rsidRPr="00114653">
        <w:rPr>
          <w:rFonts w:ascii="Arial" w:hAnsi="Arial" w:cs="Arial"/>
          <w:sz w:val="22"/>
          <w:szCs w:val="22"/>
        </w:rPr>
        <w:t xml:space="preserve">, pg. </w:t>
      </w:r>
      <w:r w:rsidR="00D66A23">
        <w:rPr>
          <w:rFonts w:ascii="Arial" w:hAnsi="Arial" w:cs="Arial"/>
          <w:sz w:val="22"/>
          <w:szCs w:val="22"/>
        </w:rPr>
        <w:t>xiii</w:t>
      </w:r>
      <w:r w:rsidR="00A106C3" w:rsidRPr="00114653">
        <w:rPr>
          <w:rFonts w:ascii="Arial" w:hAnsi="Arial" w:cs="Arial"/>
          <w:sz w:val="22"/>
          <w:szCs w:val="22"/>
        </w:rPr>
        <w:t>)</w:t>
      </w:r>
      <w:r w:rsidR="00A106C3" w:rsidRPr="00F45C46">
        <w:rPr>
          <w:rFonts w:ascii="Arial" w:hAnsi="Arial" w:cs="Arial"/>
          <w:sz w:val="22"/>
          <w:szCs w:val="22"/>
        </w:rPr>
        <w:t xml:space="preserve"> explains that a critical reflection occurs when the individual takes themselves out of the situation and looks at it from an outsiders' point of view to gage a true reflection. </w:t>
      </w:r>
      <w:r w:rsidR="0078753F" w:rsidRPr="00F45C46">
        <w:rPr>
          <w:rFonts w:ascii="Arial" w:hAnsi="Arial" w:cs="Arial"/>
          <w:sz w:val="22"/>
          <w:szCs w:val="22"/>
        </w:rPr>
        <w:t>As an educator, this is a paramount skill to have to be able to analyse my own practice and highlight what works and any improvements</w:t>
      </w:r>
      <w:r w:rsidR="00E82637">
        <w:rPr>
          <w:rFonts w:ascii="Arial" w:hAnsi="Arial" w:cs="Arial"/>
          <w:sz w:val="22"/>
          <w:szCs w:val="22"/>
        </w:rPr>
        <w:t xml:space="preserve"> that are</w:t>
      </w:r>
      <w:r w:rsidR="0078753F" w:rsidRPr="00F45C46">
        <w:rPr>
          <w:rFonts w:ascii="Arial" w:hAnsi="Arial" w:cs="Arial"/>
          <w:sz w:val="22"/>
          <w:szCs w:val="22"/>
        </w:rPr>
        <w:t xml:space="preserve"> needed. </w:t>
      </w:r>
    </w:p>
    <w:p w14:paraId="367841DE" w14:textId="63CF9DA7" w:rsidR="007651C5" w:rsidRPr="00F45C46" w:rsidRDefault="00711010" w:rsidP="00F45C46">
      <w:pPr>
        <w:spacing w:line="360" w:lineRule="auto"/>
        <w:rPr>
          <w:rFonts w:ascii="Arial" w:hAnsi="Arial" w:cs="Arial"/>
          <w:sz w:val="22"/>
          <w:szCs w:val="22"/>
        </w:rPr>
      </w:pPr>
      <w:r w:rsidRPr="00F45C46">
        <w:rPr>
          <w:rFonts w:ascii="Arial" w:hAnsi="Arial" w:cs="Arial"/>
          <w:sz w:val="22"/>
          <w:szCs w:val="22"/>
        </w:rPr>
        <w:t xml:space="preserve">I felt out of the four </w:t>
      </w:r>
      <w:r w:rsidR="00C22D9D" w:rsidRPr="00F45C46">
        <w:rPr>
          <w:rFonts w:ascii="Arial" w:hAnsi="Arial" w:cs="Arial"/>
          <w:sz w:val="22"/>
          <w:szCs w:val="22"/>
        </w:rPr>
        <w:t xml:space="preserve">pedagogical strategies that </w:t>
      </w:r>
      <w:r w:rsidR="00E82637">
        <w:rPr>
          <w:rFonts w:ascii="Arial" w:hAnsi="Arial" w:cs="Arial"/>
          <w:sz w:val="22"/>
          <w:szCs w:val="22"/>
        </w:rPr>
        <w:t>'Reinforce cross-curricular responsibilities'</w:t>
      </w:r>
      <w:r w:rsidR="00C22D9D" w:rsidRPr="00F45C46">
        <w:rPr>
          <w:rFonts w:ascii="Arial" w:hAnsi="Arial" w:cs="Arial"/>
          <w:sz w:val="22"/>
          <w:szCs w:val="22"/>
        </w:rPr>
        <w:t xml:space="preserve"> was the most influential when implement</w:t>
      </w:r>
      <w:r w:rsidR="0061522B" w:rsidRPr="00F45C46">
        <w:rPr>
          <w:rFonts w:ascii="Arial" w:hAnsi="Arial" w:cs="Arial"/>
          <w:sz w:val="22"/>
          <w:szCs w:val="22"/>
        </w:rPr>
        <w:t>ed</w:t>
      </w:r>
      <w:r w:rsidR="00C22D9D" w:rsidRPr="00F45C46">
        <w:rPr>
          <w:rFonts w:ascii="Arial" w:hAnsi="Arial" w:cs="Arial"/>
          <w:sz w:val="22"/>
          <w:szCs w:val="22"/>
        </w:rPr>
        <w:t xml:space="preserve"> within the classroom</w:t>
      </w:r>
      <w:r w:rsidR="0061522B" w:rsidRPr="00F45C46">
        <w:rPr>
          <w:rFonts w:ascii="Arial" w:hAnsi="Arial" w:cs="Arial"/>
          <w:sz w:val="22"/>
          <w:szCs w:val="22"/>
        </w:rPr>
        <w:t xml:space="preserve"> environment</w:t>
      </w:r>
      <w:r w:rsidR="00523B05" w:rsidRPr="00F45C46">
        <w:rPr>
          <w:rFonts w:ascii="Arial" w:hAnsi="Arial" w:cs="Arial"/>
          <w:sz w:val="22"/>
          <w:szCs w:val="22"/>
        </w:rPr>
        <w:t xml:space="preserve"> and an area that could be improved through further research and engaging with a wider range of literature. </w:t>
      </w:r>
    </w:p>
    <w:p w14:paraId="78753565" w14:textId="1D8C00C7" w:rsidR="00204E37" w:rsidRPr="00F45C46" w:rsidRDefault="007651C5" w:rsidP="00F45C46">
      <w:pPr>
        <w:spacing w:line="360" w:lineRule="auto"/>
        <w:rPr>
          <w:rFonts w:ascii="Arial" w:hAnsi="Arial" w:cs="Arial"/>
          <w:sz w:val="22"/>
          <w:szCs w:val="22"/>
        </w:rPr>
      </w:pPr>
      <w:r w:rsidRPr="00F45C46">
        <w:rPr>
          <w:rFonts w:ascii="Arial" w:hAnsi="Arial" w:cs="Arial"/>
          <w:sz w:val="22"/>
          <w:szCs w:val="22"/>
        </w:rPr>
        <w:t xml:space="preserve">My mentor and I also agreed that it was a strong foundation to have when approaching future teaching experiences and an area that can continually be improved and adapted. </w:t>
      </w:r>
      <w:r w:rsidR="00523B05" w:rsidRPr="00F45C46">
        <w:rPr>
          <w:rFonts w:ascii="Arial" w:hAnsi="Arial" w:cs="Arial"/>
          <w:sz w:val="22"/>
          <w:szCs w:val="22"/>
        </w:rPr>
        <w:t>A Cross-curricular approach to teaching</w:t>
      </w:r>
      <w:r w:rsidR="00581EB7" w:rsidRPr="00F45C46">
        <w:rPr>
          <w:rFonts w:ascii="Arial" w:hAnsi="Arial" w:cs="Arial"/>
          <w:sz w:val="22"/>
          <w:szCs w:val="22"/>
        </w:rPr>
        <w:t xml:space="preserve"> offers an alternative way to nurture and develop pupils' knowledge, skill and understanding</w:t>
      </w:r>
      <w:r w:rsidR="00A519BB" w:rsidRPr="00F45C46">
        <w:rPr>
          <w:rFonts w:ascii="Arial" w:hAnsi="Arial" w:cs="Arial"/>
          <w:sz w:val="22"/>
          <w:szCs w:val="22"/>
        </w:rPr>
        <w:t xml:space="preserve"> </w:t>
      </w:r>
      <w:r w:rsidR="00A519BB" w:rsidRPr="00114653">
        <w:rPr>
          <w:rFonts w:ascii="Arial" w:hAnsi="Arial" w:cs="Arial"/>
          <w:sz w:val="22"/>
          <w:szCs w:val="22"/>
        </w:rPr>
        <w:t>(Kerry, 2015</w:t>
      </w:r>
      <w:r w:rsidR="00A01420" w:rsidRPr="00114653">
        <w:rPr>
          <w:rFonts w:ascii="Arial" w:hAnsi="Arial" w:cs="Arial"/>
          <w:sz w:val="22"/>
          <w:szCs w:val="22"/>
        </w:rPr>
        <w:t>,</w:t>
      </w:r>
      <w:r w:rsidR="00A01420">
        <w:rPr>
          <w:rFonts w:ascii="Arial" w:hAnsi="Arial" w:cs="Arial"/>
          <w:sz w:val="22"/>
          <w:szCs w:val="22"/>
        </w:rPr>
        <w:t xml:space="preserve"> pg. 3</w:t>
      </w:r>
      <w:r w:rsidR="00A519BB" w:rsidRPr="00F45C46">
        <w:rPr>
          <w:rFonts w:ascii="Arial" w:hAnsi="Arial" w:cs="Arial"/>
          <w:sz w:val="22"/>
          <w:szCs w:val="22"/>
        </w:rPr>
        <w:t xml:space="preserve">). </w:t>
      </w:r>
      <w:r w:rsidRPr="00F45C46">
        <w:rPr>
          <w:rFonts w:ascii="Arial" w:hAnsi="Arial" w:cs="Arial"/>
          <w:sz w:val="22"/>
          <w:szCs w:val="22"/>
        </w:rPr>
        <w:t>This style of learning is done through crossing A</w:t>
      </w:r>
      <w:r w:rsidR="00622077" w:rsidRPr="00F45C46">
        <w:rPr>
          <w:rFonts w:ascii="Arial" w:hAnsi="Arial" w:cs="Arial"/>
          <w:sz w:val="22"/>
          <w:szCs w:val="22"/>
        </w:rPr>
        <w:t>o</w:t>
      </w:r>
      <w:r w:rsidRPr="00F45C46">
        <w:rPr>
          <w:rFonts w:ascii="Arial" w:hAnsi="Arial" w:cs="Arial"/>
          <w:sz w:val="22"/>
          <w:szCs w:val="22"/>
        </w:rPr>
        <w:t>LE's boundaries</w:t>
      </w:r>
      <w:r w:rsidR="00A01420">
        <w:rPr>
          <w:rFonts w:ascii="Arial" w:hAnsi="Arial" w:cs="Arial"/>
          <w:sz w:val="22"/>
          <w:szCs w:val="22"/>
        </w:rPr>
        <w:t xml:space="preserve"> and allowing</w:t>
      </w:r>
      <w:r w:rsidRPr="00F45C46">
        <w:rPr>
          <w:rFonts w:ascii="Arial" w:hAnsi="Arial" w:cs="Arial"/>
          <w:sz w:val="22"/>
          <w:szCs w:val="22"/>
        </w:rPr>
        <w:t xml:space="preserve"> pupils to stay motivated through initiative, discussion, and debate</w:t>
      </w:r>
      <w:r w:rsidR="00A519BB" w:rsidRPr="00F45C46">
        <w:rPr>
          <w:rFonts w:ascii="Arial" w:hAnsi="Arial" w:cs="Arial"/>
          <w:sz w:val="22"/>
          <w:szCs w:val="22"/>
        </w:rPr>
        <w:t>.</w:t>
      </w:r>
    </w:p>
    <w:p w14:paraId="4CC55872" w14:textId="1D703063" w:rsidR="00764EF7" w:rsidRDefault="00D807BF" w:rsidP="00F45C46">
      <w:pPr>
        <w:spacing w:line="360" w:lineRule="auto"/>
        <w:rPr>
          <w:rFonts w:ascii="Arial" w:hAnsi="Arial" w:cs="Arial"/>
          <w:sz w:val="22"/>
          <w:szCs w:val="22"/>
        </w:rPr>
      </w:pPr>
      <w:r w:rsidRPr="00F45C46">
        <w:rPr>
          <w:rFonts w:ascii="Arial" w:hAnsi="Arial" w:cs="Arial"/>
          <w:sz w:val="22"/>
          <w:szCs w:val="22"/>
        </w:rPr>
        <w:t xml:space="preserve">With the </w:t>
      </w:r>
      <w:r w:rsidR="0061522B" w:rsidRPr="00F45C46">
        <w:rPr>
          <w:rFonts w:ascii="Arial" w:hAnsi="Arial" w:cs="Arial"/>
          <w:sz w:val="22"/>
          <w:szCs w:val="22"/>
        </w:rPr>
        <w:t xml:space="preserve">new Curriculum in Wales </w:t>
      </w:r>
      <w:r w:rsidRPr="00F45C46">
        <w:rPr>
          <w:rFonts w:ascii="Arial" w:hAnsi="Arial" w:cs="Arial"/>
          <w:sz w:val="22"/>
          <w:szCs w:val="22"/>
        </w:rPr>
        <w:t xml:space="preserve">being introduced, there </w:t>
      </w:r>
      <w:r w:rsidR="0061522B" w:rsidRPr="00F45C46">
        <w:rPr>
          <w:rFonts w:ascii="Arial" w:hAnsi="Arial" w:cs="Arial"/>
          <w:sz w:val="22"/>
          <w:szCs w:val="22"/>
        </w:rPr>
        <w:t xml:space="preserve">has </w:t>
      </w:r>
      <w:r w:rsidRPr="00F45C46">
        <w:rPr>
          <w:rFonts w:ascii="Arial" w:hAnsi="Arial" w:cs="Arial"/>
          <w:sz w:val="22"/>
          <w:szCs w:val="22"/>
        </w:rPr>
        <w:t xml:space="preserve">been </w:t>
      </w:r>
      <w:r w:rsidR="0061522B" w:rsidRPr="00F45C46">
        <w:rPr>
          <w:rFonts w:ascii="Arial" w:hAnsi="Arial" w:cs="Arial"/>
          <w:sz w:val="22"/>
          <w:szCs w:val="22"/>
        </w:rPr>
        <w:t>a big push in the importance of implementing cross-curricular activities</w:t>
      </w:r>
      <w:r w:rsidR="007651C5" w:rsidRPr="00F45C46">
        <w:rPr>
          <w:rFonts w:ascii="Arial" w:hAnsi="Arial" w:cs="Arial"/>
          <w:sz w:val="22"/>
          <w:szCs w:val="22"/>
        </w:rPr>
        <w:t xml:space="preserve"> in order to offer a diverse teaching approach</w:t>
      </w:r>
      <w:r w:rsidRPr="00F45C46">
        <w:rPr>
          <w:rFonts w:ascii="Arial" w:hAnsi="Arial" w:cs="Arial"/>
          <w:sz w:val="22"/>
          <w:szCs w:val="22"/>
        </w:rPr>
        <w:t>. However, the implementation process is what</w:t>
      </w:r>
      <w:r w:rsidR="0078753F" w:rsidRPr="00F45C46">
        <w:rPr>
          <w:rFonts w:ascii="Arial" w:hAnsi="Arial" w:cs="Arial"/>
          <w:sz w:val="22"/>
          <w:szCs w:val="22"/>
        </w:rPr>
        <w:t xml:space="preserve"> best</w:t>
      </w:r>
      <w:r w:rsidRPr="00F45C46">
        <w:rPr>
          <w:rFonts w:ascii="Arial" w:hAnsi="Arial" w:cs="Arial"/>
          <w:sz w:val="22"/>
          <w:szCs w:val="22"/>
        </w:rPr>
        <w:t xml:space="preserve"> fit</w:t>
      </w:r>
      <w:r w:rsidR="0078753F" w:rsidRPr="00F45C46">
        <w:rPr>
          <w:rFonts w:ascii="Arial" w:hAnsi="Arial" w:cs="Arial"/>
          <w:sz w:val="22"/>
          <w:szCs w:val="22"/>
        </w:rPr>
        <w:t>s</w:t>
      </w:r>
      <w:r w:rsidRPr="00F45C46">
        <w:rPr>
          <w:rFonts w:ascii="Arial" w:hAnsi="Arial" w:cs="Arial"/>
          <w:sz w:val="22"/>
          <w:szCs w:val="22"/>
        </w:rPr>
        <w:t xml:space="preserve"> with the individual schools' approach rather than a nationwide set procedure, with Literacy, Numeracy and Digital </w:t>
      </w:r>
      <w:r w:rsidR="00A01420">
        <w:rPr>
          <w:rFonts w:ascii="Arial" w:hAnsi="Arial" w:cs="Arial"/>
          <w:sz w:val="22"/>
          <w:szCs w:val="22"/>
        </w:rPr>
        <w:t>C</w:t>
      </w:r>
      <w:r w:rsidRPr="00F45C46">
        <w:rPr>
          <w:rFonts w:ascii="Arial" w:hAnsi="Arial" w:cs="Arial"/>
          <w:sz w:val="22"/>
          <w:szCs w:val="22"/>
        </w:rPr>
        <w:t>ompetence being at the forefront of the framework</w:t>
      </w:r>
      <w:r w:rsidR="00FE669B">
        <w:rPr>
          <w:rFonts w:ascii="Arial" w:hAnsi="Arial" w:cs="Arial"/>
          <w:sz w:val="22"/>
          <w:szCs w:val="22"/>
        </w:rPr>
        <w:t>.</w:t>
      </w:r>
    </w:p>
    <w:p w14:paraId="2BA65786" w14:textId="77777777" w:rsidR="00764EF7" w:rsidRDefault="00764EF7" w:rsidP="00F45C46">
      <w:pPr>
        <w:spacing w:line="360" w:lineRule="auto"/>
        <w:rPr>
          <w:rFonts w:ascii="Arial" w:hAnsi="Arial" w:cs="Arial"/>
          <w:sz w:val="22"/>
          <w:szCs w:val="22"/>
        </w:rPr>
      </w:pPr>
      <w:r>
        <w:rPr>
          <w:rFonts w:ascii="Arial" w:hAnsi="Arial" w:cs="Arial"/>
          <w:sz w:val="22"/>
          <w:szCs w:val="22"/>
        </w:rPr>
        <w:tab/>
      </w:r>
    </w:p>
    <w:p w14:paraId="43D84F1C" w14:textId="27788B2B" w:rsidR="00764EF7" w:rsidRDefault="00764EF7" w:rsidP="00F45C46">
      <w:pPr>
        <w:spacing w:line="360" w:lineRule="auto"/>
        <w:rPr>
          <w:rFonts w:ascii="Arial" w:hAnsi="Arial" w:cs="Arial"/>
          <w:sz w:val="22"/>
          <w:szCs w:val="22"/>
        </w:rPr>
      </w:pPr>
      <w:r>
        <w:rPr>
          <w:rFonts w:ascii="Arial" w:hAnsi="Arial" w:cs="Arial"/>
          <w:sz w:val="22"/>
          <w:szCs w:val="22"/>
        </w:rPr>
        <w:tab/>
      </w:r>
      <w:r w:rsidR="0061522B" w:rsidRPr="00F45C46">
        <w:rPr>
          <w:rFonts w:ascii="Arial" w:hAnsi="Arial" w:cs="Arial"/>
          <w:sz w:val="22"/>
          <w:szCs w:val="22"/>
        </w:rPr>
        <w:t xml:space="preserve">"Literacy, numeracy and digital competence are mandatory skills across all areas of </w:t>
      </w:r>
      <w:r>
        <w:rPr>
          <w:rFonts w:ascii="Arial" w:hAnsi="Arial" w:cs="Arial"/>
          <w:sz w:val="22"/>
          <w:szCs w:val="22"/>
        </w:rPr>
        <w:tab/>
      </w:r>
      <w:r w:rsidR="0061522B" w:rsidRPr="00F45C46">
        <w:rPr>
          <w:rFonts w:ascii="Arial" w:hAnsi="Arial" w:cs="Arial"/>
          <w:sz w:val="22"/>
          <w:szCs w:val="22"/>
        </w:rPr>
        <w:t xml:space="preserve">learning and experience and will need to be considered...", </w:t>
      </w:r>
    </w:p>
    <w:p w14:paraId="61B0E4D1" w14:textId="77777777" w:rsidR="00764EF7" w:rsidRDefault="00764EF7" w:rsidP="00F45C46">
      <w:pPr>
        <w:spacing w:line="360" w:lineRule="auto"/>
        <w:rPr>
          <w:rFonts w:ascii="Arial" w:hAnsi="Arial" w:cs="Arial"/>
          <w:sz w:val="22"/>
          <w:szCs w:val="22"/>
        </w:rPr>
      </w:pPr>
    </w:p>
    <w:p w14:paraId="062817D6" w14:textId="4B271966" w:rsidR="00764EF7" w:rsidRDefault="00764EF7" w:rsidP="00F45C46">
      <w:pPr>
        <w:spacing w:line="360" w:lineRule="auto"/>
        <w:rPr>
          <w:rFonts w:ascii="Arial" w:hAnsi="Arial" w:cs="Arial"/>
          <w:sz w:val="22"/>
          <w:szCs w:val="22"/>
        </w:rPr>
      </w:pPr>
      <w:r>
        <w:rPr>
          <w:rFonts w:ascii="Arial" w:hAnsi="Arial" w:cs="Arial"/>
          <w:sz w:val="22"/>
          <w:szCs w:val="22"/>
        </w:rPr>
        <w:tab/>
      </w:r>
      <w:r w:rsidR="0061522B" w:rsidRPr="00F45C46">
        <w:rPr>
          <w:rFonts w:ascii="Arial" w:hAnsi="Arial" w:cs="Arial"/>
          <w:sz w:val="22"/>
          <w:szCs w:val="22"/>
        </w:rPr>
        <w:t xml:space="preserve">"It will be the responsibility of all teachers, across all curriculum areas, to develop </w:t>
      </w:r>
      <w:r>
        <w:rPr>
          <w:rFonts w:ascii="Arial" w:hAnsi="Arial" w:cs="Arial"/>
          <w:sz w:val="22"/>
          <w:szCs w:val="22"/>
        </w:rPr>
        <w:tab/>
      </w:r>
      <w:r w:rsidR="0061522B" w:rsidRPr="00F45C46">
        <w:rPr>
          <w:rFonts w:ascii="Arial" w:hAnsi="Arial" w:cs="Arial"/>
          <w:sz w:val="22"/>
          <w:szCs w:val="22"/>
        </w:rPr>
        <w:t xml:space="preserve">and ensure progression in these skills." </w:t>
      </w:r>
    </w:p>
    <w:p w14:paraId="43239EA7" w14:textId="045BE75D" w:rsidR="00D807BF" w:rsidRPr="00F45C46" w:rsidRDefault="00764EF7" w:rsidP="00F45C46">
      <w:pPr>
        <w:spacing w:line="360" w:lineRule="auto"/>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sidR="0061522B" w:rsidRPr="00114653">
        <w:rPr>
          <w:rFonts w:ascii="Arial" w:hAnsi="Arial" w:cs="Arial"/>
          <w:sz w:val="22"/>
          <w:szCs w:val="22"/>
        </w:rPr>
        <w:t>(HWB, Welsh Government, 2020, accessed 25th August 2020).</w:t>
      </w:r>
      <w:r w:rsidR="0061522B" w:rsidRPr="00F45C46">
        <w:rPr>
          <w:rFonts w:ascii="Arial" w:hAnsi="Arial" w:cs="Arial"/>
          <w:sz w:val="22"/>
          <w:szCs w:val="22"/>
        </w:rPr>
        <w:t xml:space="preserve"> </w:t>
      </w:r>
    </w:p>
    <w:p w14:paraId="29168CCB" w14:textId="77777777" w:rsidR="00764EF7" w:rsidRDefault="00764EF7" w:rsidP="00F45C46">
      <w:pPr>
        <w:spacing w:line="360" w:lineRule="auto"/>
        <w:rPr>
          <w:rFonts w:ascii="Arial" w:hAnsi="Arial" w:cs="Arial"/>
          <w:sz w:val="22"/>
          <w:szCs w:val="22"/>
        </w:rPr>
      </w:pPr>
    </w:p>
    <w:p w14:paraId="69B2D826" w14:textId="7C84A1FE" w:rsidR="0009549A" w:rsidRPr="00764EF7" w:rsidRDefault="00D807BF" w:rsidP="00764EF7">
      <w:pPr>
        <w:spacing w:line="360" w:lineRule="auto"/>
        <w:rPr>
          <w:rFonts w:ascii="Arial" w:hAnsi="Arial" w:cs="Arial"/>
          <w:sz w:val="22"/>
          <w:szCs w:val="22"/>
        </w:rPr>
      </w:pPr>
      <w:r w:rsidRPr="00F45C46">
        <w:rPr>
          <w:rFonts w:ascii="Arial" w:hAnsi="Arial" w:cs="Arial"/>
          <w:sz w:val="22"/>
          <w:szCs w:val="22"/>
        </w:rPr>
        <w:t>The remainder of this essay will highlight the strengths and limitations</w:t>
      </w:r>
      <w:r w:rsidR="007651C5" w:rsidRPr="00F45C46">
        <w:rPr>
          <w:rFonts w:ascii="Arial" w:hAnsi="Arial" w:cs="Arial"/>
          <w:sz w:val="22"/>
          <w:szCs w:val="22"/>
        </w:rPr>
        <w:t xml:space="preserve"> of using cross-curricular themes within a classroom environment, </w:t>
      </w:r>
      <w:r w:rsidR="00DC1EB1" w:rsidRPr="00F45C46">
        <w:rPr>
          <w:rFonts w:ascii="Arial" w:hAnsi="Arial" w:cs="Arial"/>
          <w:sz w:val="22"/>
          <w:szCs w:val="22"/>
        </w:rPr>
        <w:t xml:space="preserve">through </w:t>
      </w:r>
      <w:r w:rsidR="007651C5" w:rsidRPr="00F45C46">
        <w:rPr>
          <w:rFonts w:ascii="Arial" w:hAnsi="Arial" w:cs="Arial"/>
          <w:sz w:val="22"/>
          <w:szCs w:val="22"/>
        </w:rPr>
        <w:t>engaging with literature and further research.</w:t>
      </w:r>
      <w:r w:rsidR="0078753F" w:rsidRPr="00F45C46">
        <w:rPr>
          <w:rFonts w:ascii="Arial" w:hAnsi="Arial" w:cs="Arial"/>
          <w:sz w:val="22"/>
          <w:szCs w:val="22"/>
        </w:rPr>
        <w:t xml:space="preserve"> I will also identify any next steps I can take to improve my cross-curricular teaching approac</w:t>
      </w:r>
      <w:r w:rsidR="00764EF7">
        <w:rPr>
          <w:rFonts w:ascii="Arial" w:hAnsi="Arial" w:cs="Arial"/>
          <w:sz w:val="22"/>
          <w:szCs w:val="22"/>
        </w:rPr>
        <w:t>h.</w:t>
      </w:r>
    </w:p>
    <w:p w14:paraId="625EABFB" w14:textId="50BC3906" w:rsidR="0009549A" w:rsidRPr="00F45C46" w:rsidRDefault="000A15E5" w:rsidP="00F45C46">
      <w:pPr>
        <w:spacing w:line="360" w:lineRule="auto"/>
        <w:rPr>
          <w:rFonts w:ascii="Arial" w:hAnsi="Arial" w:cs="Arial"/>
          <w:b/>
          <w:bCs/>
          <w:u w:val="single"/>
        </w:rPr>
      </w:pPr>
      <w:r w:rsidRPr="00F45C46">
        <w:rPr>
          <w:rFonts w:ascii="Arial" w:hAnsi="Arial" w:cs="Arial"/>
          <w:b/>
          <w:bCs/>
          <w:sz w:val="28"/>
          <w:szCs w:val="28"/>
          <w:u w:val="single"/>
        </w:rPr>
        <w:lastRenderedPageBreak/>
        <w:t>Literature Review</w:t>
      </w:r>
    </w:p>
    <w:p w14:paraId="2EADA553" w14:textId="692FED20" w:rsidR="00A72FFF" w:rsidRPr="00F45C46" w:rsidRDefault="00E04E09" w:rsidP="00F45C46">
      <w:pPr>
        <w:spacing w:line="360" w:lineRule="auto"/>
        <w:rPr>
          <w:rFonts w:ascii="Arial" w:hAnsi="Arial" w:cs="Arial"/>
          <w:sz w:val="22"/>
          <w:szCs w:val="22"/>
        </w:rPr>
      </w:pPr>
      <w:r w:rsidRPr="00F45C46">
        <w:rPr>
          <w:rFonts w:ascii="Arial" w:hAnsi="Arial" w:cs="Arial"/>
          <w:sz w:val="22"/>
          <w:szCs w:val="22"/>
        </w:rPr>
        <w:t xml:space="preserve">Cross-curricular </w:t>
      </w:r>
      <w:r w:rsidR="00AF0F6E" w:rsidRPr="00F45C46">
        <w:rPr>
          <w:rFonts w:ascii="Arial" w:hAnsi="Arial" w:cs="Arial"/>
          <w:sz w:val="22"/>
          <w:szCs w:val="22"/>
        </w:rPr>
        <w:t xml:space="preserve">learning has been connected to education for many years. This is evident </w:t>
      </w:r>
      <w:r w:rsidR="00AF0F6E" w:rsidRPr="00114653">
        <w:rPr>
          <w:rFonts w:ascii="Arial" w:hAnsi="Arial" w:cs="Arial"/>
          <w:sz w:val="22"/>
          <w:szCs w:val="22"/>
        </w:rPr>
        <w:t xml:space="preserve">through </w:t>
      </w:r>
      <w:r w:rsidR="00D262B5" w:rsidRPr="00114653">
        <w:rPr>
          <w:rFonts w:ascii="Arial" w:hAnsi="Arial" w:cs="Arial"/>
          <w:sz w:val="22"/>
          <w:szCs w:val="22"/>
        </w:rPr>
        <w:t xml:space="preserve">Plowden’s' </w:t>
      </w:r>
      <w:r w:rsidR="00AF0F6E" w:rsidRPr="00114653">
        <w:rPr>
          <w:rFonts w:ascii="Arial" w:hAnsi="Arial" w:cs="Arial"/>
          <w:sz w:val="22"/>
          <w:szCs w:val="22"/>
        </w:rPr>
        <w:t>(1967)</w:t>
      </w:r>
      <w:r w:rsidR="00AF0F6E" w:rsidRPr="00F45C46">
        <w:rPr>
          <w:rFonts w:ascii="Arial" w:hAnsi="Arial" w:cs="Arial"/>
          <w:sz w:val="22"/>
          <w:szCs w:val="22"/>
        </w:rPr>
        <w:t xml:space="preserve"> important statement of "Throughout our discussion of curriculum we stress that children's learning does not fit into subject categories". This statement has aged almost 55 </w:t>
      </w:r>
      <w:r w:rsidR="00D262B5" w:rsidRPr="00F45C46">
        <w:rPr>
          <w:rFonts w:ascii="Arial" w:hAnsi="Arial" w:cs="Arial"/>
          <w:sz w:val="22"/>
          <w:szCs w:val="22"/>
        </w:rPr>
        <w:t>years,</w:t>
      </w:r>
      <w:r w:rsidR="00AF0F6E" w:rsidRPr="00F45C46">
        <w:rPr>
          <w:rFonts w:ascii="Arial" w:hAnsi="Arial" w:cs="Arial"/>
          <w:sz w:val="22"/>
          <w:szCs w:val="22"/>
        </w:rPr>
        <w:t xml:space="preserve"> yet the message is still relevant to </w:t>
      </w:r>
      <w:r w:rsidR="00AD00F2" w:rsidRPr="00F45C46">
        <w:rPr>
          <w:rFonts w:ascii="Arial" w:hAnsi="Arial" w:cs="Arial"/>
          <w:sz w:val="22"/>
          <w:szCs w:val="22"/>
        </w:rPr>
        <w:t>today’s</w:t>
      </w:r>
      <w:r w:rsidR="00AF0F6E" w:rsidRPr="00F45C46">
        <w:rPr>
          <w:rFonts w:ascii="Arial" w:hAnsi="Arial" w:cs="Arial"/>
          <w:sz w:val="22"/>
          <w:szCs w:val="22"/>
        </w:rPr>
        <w:t xml:space="preserve"> practice</w:t>
      </w:r>
      <w:r w:rsidR="00D262B5" w:rsidRPr="00F45C46">
        <w:rPr>
          <w:rFonts w:ascii="Arial" w:hAnsi="Arial" w:cs="Arial"/>
          <w:sz w:val="22"/>
          <w:szCs w:val="22"/>
        </w:rPr>
        <w:t>,</w:t>
      </w:r>
      <w:r w:rsidR="00AD00F2" w:rsidRPr="00F45C46">
        <w:rPr>
          <w:rFonts w:ascii="Arial" w:hAnsi="Arial" w:cs="Arial"/>
          <w:sz w:val="22"/>
          <w:szCs w:val="22"/>
        </w:rPr>
        <w:t xml:space="preserve"> aligning with the new Curriculum in Wales and the push for implementing cross-curricular activity. </w:t>
      </w:r>
      <w:r w:rsidR="00FB106E" w:rsidRPr="00F45C46">
        <w:rPr>
          <w:rFonts w:ascii="Arial" w:hAnsi="Arial" w:cs="Arial"/>
          <w:sz w:val="22"/>
          <w:szCs w:val="22"/>
        </w:rPr>
        <w:t xml:space="preserve">Although the concept is the same, the approach has developed since </w:t>
      </w:r>
      <w:r w:rsidR="00FB106E" w:rsidRPr="00114653">
        <w:rPr>
          <w:rFonts w:ascii="Arial" w:hAnsi="Arial" w:cs="Arial"/>
          <w:sz w:val="22"/>
          <w:szCs w:val="22"/>
        </w:rPr>
        <w:t>Plowden's (1967)</w:t>
      </w:r>
      <w:r w:rsidR="00FB106E" w:rsidRPr="00F45C46">
        <w:rPr>
          <w:rFonts w:ascii="Arial" w:hAnsi="Arial" w:cs="Arial"/>
          <w:sz w:val="22"/>
          <w:szCs w:val="22"/>
        </w:rPr>
        <w:t xml:space="preserve"> </w:t>
      </w:r>
      <w:r w:rsidR="00D262B5" w:rsidRPr="00F45C46">
        <w:rPr>
          <w:rFonts w:ascii="Arial" w:hAnsi="Arial" w:cs="Arial"/>
          <w:sz w:val="22"/>
          <w:szCs w:val="22"/>
        </w:rPr>
        <w:t>statement,</w:t>
      </w:r>
      <w:r w:rsidR="00FB106E" w:rsidRPr="00F45C46">
        <w:rPr>
          <w:rFonts w:ascii="Arial" w:hAnsi="Arial" w:cs="Arial"/>
          <w:sz w:val="22"/>
          <w:szCs w:val="22"/>
        </w:rPr>
        <w:t xml:space="preserve"> and it will continue to develop as time endures and research is widened</w:t>
      </w:r>
      <w:r w:rsidR="00EF0256" w:rsidRPr="00F45C46">
        <w:rPr>
          <w:rFonts w:ascii="Arial" w:hAnsi="Arial" w:cs="Arial"/>
          <w:sz w:val="22"/>
          <w:szCs w:val="22"/>
        </w:rPr>
        <w:t xml:space="preserve">. </w:t>
      </w:r>
      <w:r w:rsidR="00260ACC" w:rsidRPr="00F45C46">
        <w:rPr>
          <w:rFonts w:ascii="Arial" w:hAnsi="Arial" w:cs="Arial"/>
          <w:sz w:val="22"/>
          <w:szCs w:val="22"/>
        </w:rPr>
        <w:t xml:space="preserve">Previously, topics were identified by their titles and teachers would integrate this into their lessons. Whereas now, objective-lead planning is undertaken by teachers which ensures that each activity within the chosen topic has a specific purpose and is used as a vehicle for the next steps of their </w:t>
      </w:r>
      <w:r w:rsidR="00260ACC" w:rsidRPr="00114653">
        <w:rPr>
          <w:rFonts w:ascii="Arial" w:hAnsi="Arial" w:cs="Arial"/>
          <w:sz w:val="22"/>
          <w:szCs w:val="22"/>
        </w:rPr>
        <w:t>learning (Farmery, 2015</w:t>
      </w:r>
      <w:r w:rsidR="007C00CD" w:rsidRPr="00114653">
        <w:rPr>
          <w:rFonts w:ascii="Arial" w:hAnsi="Arial" w:cs="Arial"/>
          <w:sz w:val="22"/>
          <w:szCs w:val="22"/>
        </w:rPr>
        <w:t>, pg. 74</w:t>
      </w:r>
      <w:r w:rsidR="00260ACC" w:rsidRPr="00114653">
        <w:rPr>
          <w:rFonts w:ascii="Arial" w:hAnsi="Arial" w:cs="Arial"/>
          <w:sz w:val="22"/>
          <w:szCs w:val="22"/>
        </w:rPr>
        <w:t>).</w:t>
      </w:r>
      <w:r w:rsidR="00260ACC" w:rsidRPr="00F45C46">
        <w:rPr>
          <w:rFonts w:ascii="Arial" w:hAnsi="Arial" w:cs="Arial"/>
          <w:sz w:val="22"/>
          <w:szCs w:val="22"/>
        </w:rPr>
        <w:t xml:space="preserve"> </w:t>
      </w:r>
    </w:p>
    <w:p w14:paraId="71998DF4" w14:textId="5A7BDD79" w:rsidR="00AE1BAE" w:rsidRPr="00F45C46" w:rsidRDefault="00AE1BAE" w:rsidP="00F45C46">
      <w:pPr>
        <w:spacing w:line="360" w:lineRule="auto"/>
        <w:rPr>
          <w:rFonts w:ascii="Arial" w:hAnsi="Arial" w:cs="Arial"/>
          <w:sz w:val="22"/>
          <w:szCs w:val="22"/>
        </w:rPr>
      </w:pPr>
      <w:r w:rsidRPr="00F45C46">
        <w:rPr>
          <w:rFonts w:ascii="Arial" w:hAnsi="Arial" w:cs="Arial"/>
          <w:sz w:val="22"/>
          <w:szCs w:val="22"/>
        </w:rPr>
        <w:t xml:space="preserve">When looking at </w:t>
      </w:r>
      <w:r w:rsidRPr="00A01420">
        <w:rPr>
          <w:rFonts w:ascii="Arial" w:hAnsi="Arial" w:cs="Arial"/>
          <w:i/>
          <w:iCs/>
          <w:sz w:val="22"/>
          <w:szCs w:val="22"/>
        </w:rPr>
        <w:t>good</w:t>
      </w:r>
      <w:r w:rsidRPr="00F45C46">
        <w:rPr>
          <w:rFonts w:ascii="Arial" w:hAnsi="Arial" w:cs="Arial"/>
          <w:sz w:val="22"/>
          <w:szCs w:val="22"/>
        </w:rPr>
        <w:t xml:space="preserve"> cross-curricular practice it is important to look at the confidence in the teacher</w:t>
      </w:r>
      <w:r w:rsidR="00D74CA3">
        <w:rPr>
          <w:rFonts w:ascii="Arial" w:hAnsi="Arial" w:cs="Arial"/>
          <w:sz w:val="22"/>
          <w:szCs w:val="22"/>
        </w:rPr>
        <w:t xml:space="preserve"> (</w:t>
      </w:r>
      <w:r w:rsidR="00A01420">
        <w:rPr>
          <w:rFonts w:ascii="Arial" w:hAnsi="Arial" w:cs="Arial"/>
          <w:sz w:val="22"/>
          <w:szCs w:val="22"/>
        </w:rPr>
        <w:t xml:space="preserve">The emphasis placed on </w:t>
      </w:r>
      <w:r w:rsidR="00A01420">
        <w:rPr>
          <w:rFonts w:ascii="Arial" w:hAnsi="Arial" w:cs="Arial"/>
          <w:i/>
          <w:iCs/>
          <w:sz w:val="22"/>
          <w:szCs w:val="22"/>
        </w:rPr>
        <w:t>good</w:t>
      </w:r>
      <w:r w:rsidR="00A01420">
        <w:rPr>
          <w:rFonts w:ascii="Arial" w:hAnsi="Arial" w:cs="Arial"/>
          <w:sz w:val="22"/>
          <w:szCs w:val="22"/>
        </w:rPr>
        <w:t xml:space="preserve"> as I recognise that individual standards are different, therefore a generalised approach will be taken.</w:t>
      </w:r>
      <w:r w:rsidR="00D74CA3">
        <w:rPr>
          <w:rFonts w:ascii="Arial" w:hAnsi="Arial" w:cs="Arial"/>
          <w:sz w:val="22"/>
          <w:szCs w:val="22"/>
        </w:rPr>
        <w:t>)</w:t>
      </w:r>
      <w:r w:rsidRPr="00F45C46">
        <w:rPr>
          <w:rFonts w:ascii="Arial" w:hAnsi="Arial" w:cs="Arial"/>
          <w:sz w:val="22"/>
          <w:szCs w:val="22"/>
        </w:rPr>
        <w:t xml:space="preserve"> </w:t>
      </w:r>
      <w:r w:rsidR="00260ACC" w:rsidRPr="00F45C46">
        <w:rPr>
          <w:rFonts w:ascii="Arial" w:hAnsi="Arial" w:cs="Arial"/>
          <w:sz w:val="22"/>
          <w:szCs w:val="22"/>
        </w:rPr>
        <w:t>In the UK,</w:t>
      </w:r>
      <w:r w:rsidR="00AF25F1" w:rsidRPr="00F45C46">
        <w:rPr>
          <w:rFonts w:ascii="Arial" w:hAnsi="Arial" w:cs="Arial"/>
          <w:sz w:val="22"/>
          <w:szCs w:val="22"/>
        </w:rPr>
        <w:t xml:space="preserve"> primary teachers are expected to use a wide range of approaches to implement lessons that coordinate with the curriculum, naturally with English and Mathematics at the forefront of learning. However</w:t>
      </w:r>
      <w:r w:rsidR="00AF25F1" w:rsidRPr="00114653">
        <w:rPr>
          <w:rFonts w:ascii="Arial" w:hAnsi="Arial" w:cs="Arial"/>
          <w:sz w:val="22"/>
          <w:szCs w:val="22"/>
        </w:rPr>
        <w:t>, Rogers (2003</w:t>
      </w:r>
      <w:r w:rsidR="001B232C">
        <w:rPr>
          <w:rFonts w:ascii="Arial" w:hAnsi="Arial" w:cs="Arial"/>
          <w:sz w:val="22"/>
          <w:szCs w:val="22"/>
        </w:rPr>
        <w:t>, pg. 92</w:t>
      </w:r>
      <w:r w:rsidR="00AF25F1" w:rsidRPr="00F45C46">
        <w:rPr>
          <w:rFonts w:ascii="Arial" w:hAnsi="Arial" w:cs="Arial"/>
          <w:sz w:val="22"/>
          <w:szCs w:val="22"/>
        </w:rPr>
        <w:t>) found that teacher’s preparation of teaching other subjects can be inconsistent and lack a solid foundation. This can cause implications for the learning environment and learner's understanding of the topic</w:t>
      </w:r>
      <w:r w:rsidR="00613B54" w:rsidRPr="00F45C46">
        <w:rPr>
          <w:rFonts w:ascii="Arial" w:hAnsi="Arial" w:cs="Arial"/>
          <w:sz w:val="22"/>
          <w:szCs w:val="22"/>
        </w:rPr>
        <w:t xml:space="preserve"> or </w:t>
      </w:r>
      <w:r w:rsidR="00AF25F1" w:rsidRPr="00F45C46">
        <w:rPr>
          <w:rFonts w:ascii="Arial" w:hAnsi="Arial" w:cs="Arial"/>
          <w:sz w:val="22"/>
          <w:szCs w:val="22"/>
        </w:rPr>
        <w:t>activity.</w:t>
      </w:r>
      <w:r w:rsidR="00AE398D" w:rsidRPr="00F45C46">
        <w:rPr>
          <w:rFonts w:ascii="Arial" w:hAnsi="Arial" w:cs="Arial"/>
          <w:sz w:val="22"/>
          <w:szCs w:val="22"/>
        </w:rPr>
        <w:t xml:space="preserve"> </w:t>
      </w:r>
    </w:p>
    <w:p w14:paraId="5288533A" w14:textId="7B5BEDE6" w:rsidR="005174BD" w:rsidRPr="00F45C46" w:rsidRDefault="00DC0DFF" w:rsidP="00F45C46">
      <w:pPr>
        <w:spacing w:line="360" w:lineRule="auto"/>
        <w:rPr>
          <w:rFonts w:ascii="Arial" w:hAnsi="Arial" w:cs="Arial"/>
          <w:sz w:val="22"/>
          <w:szCs w:val="22"/>
        </w:rPr>
      </w:pPr>
      <w:r w:rsidRPr="00114653">
        <w:rPr>
          <w:rFonts w:ascii="Arial" w:hAnsi="Arial" w:cs="Arial"/>
          <w:sz w:val="22"/>
          <w:szCs w:val="22"/>
        </w:rPr>
        <w:t>Birchinall (2013</w:t>
      </w:r>
      <w:r w:rsidR="00C909CE" w:rsidRPr="00114653">
        <w:rPr>
          <w:rFonts w:ascii="Arial" w:hAnsi="Arial" w:cs="Arial"/>
          <w:sz w:val="22"/>
          <w:szCs w:val="22"/>
        </w:rPr>
        <w:t>, pg. 28</w:t>
      </w:r>
      <w:r w:rsidRPr="00114653">
        <w:rPr>
          <w:rFonts w:ascii="Arial" w:hAnsi="Arial" w:cs="Arial"/>
          <w:sz w:val="22"/>
          <w:szCs w:val="22"/>
        </w:rPr>
        <w:t>) aimed</w:t>
      </w:r>
      <w:r w:rsidRPr="00F45C46">
        <w:rPr>
          <w:rFonts w:ascii="Arial" w:hAnsi="Arial" w:cs="Arial"/>
          <w:sz w:val="22"/>
          <w:szCs w:val="22"/>
        </w:rPr>
        <w:t xml:space="preserve"> to delve deeper into this implication and conducted a study to investigate whether cross-curricular learning is more effective in engaging learners. The aim of the study is supported </w:t>
      </w:r>
      <w:r w:rsidRPr="00114653">
        <w:rPr>
          <w:rFonts w:ascii="Arial" w:hAnsi="Arial" w:cs="Arial"/>
          <w:sz w:val="22"/>
          <w:szCs w:val="22"/>
        </w:rPr>
        <w:t>by Barnes</w:t>
      </w:r>
      <w:r w:rsidR="00D74CA3" w:rsidRPr="00114653">
        <w:rPr>
          <w:rFonts w:ascii="Arial" w:hAnsi="Arial" w:cs="Arial"/>
          <w:sz w:val="22"/>
          <w:szCs w:val="22"/>
        </w:rPr>
        <w:t>'</w:t>
      </w:r>
      <w:r w:rsidRPr="00114653">
        <w:rPr>
          <w:rFonts w:ascii="Arial" w:hAnsi="Arial" w:cs="Arial"/>
          <w:sz w:val="22"/>
          <w:szCs w:val="22"/>
        </w:rPr>
        <w:t xml:space="preserve"> (2015</w:t>
      </w:r>
      <w:r w:rsidR="00835CF8" w:rsidRPr="00114653">
        <w:rPr>
          <w:rFonts w:ascii="Arial" w:hAnsi="Arial" w:cs="Arial"/>
          <w:sz w:val="22"/>
          <w:szCs w:val="22"/>
        </w:rPr>
        <w:t>, pg</w:t>
      </w:r>
      <w:r w:rsidR="00835CF8">
        <w:rPr>
          <w:rFonts w:ascii="Arial" w:hAnsi="Arial" w:cs="Arial"/>
          <w:sz w:val="22"/>
          <w:szCs w:val="22"/>
        </w:rPr>
        <w:t>. 74</w:t>
      </w:r>
      <w:r w:rsidRPr="00F45C46">
        <w:rPr>
          <w:rFonts w:ascii="Arial" w:hAnsi="Arial" w:cs="Arial"/>
          <w:sz w:val="22"/>
          <w:szCs w:val="22"/>
        </w:rPr>
        <w:t xml:space="preserve">) statement, teachers that implement cross-curricular learning need to be confident in subject knowledge, be clear about learning intensions and plan sufficient challenges to ensure learning is successfully taken forward. Similarly, </w:t>
      </w:r>
      <w:r w:rsidR="00CB70B5">
        <w:rPr>
          <w:rFonts w:ascii="Arial" w:hAnsi="Arial" w:cs="Arial"/>
          <w:sz w:val="22"/>
          <w:szCs w:val="22"/>
        </w:rPr>
        <w:t>Fleisch (2011</w:t>
      </w:r>
      <w:r w:rsidR="00835CF8">
        <w:rPr>
          <w:rFonts w:ascii="Arial" w:hAnsi="Arial" w:cs="Arial"/>
          <w:sz w:val="22"/>
          <w:szCs w:val="22"/>
        </w:rPr>
        <w:t xml:space="preserve">, pg. </w:t>
      </w:r>
      <w:r w:rsidR="00CB70B5">
        <w:rPr>
          <w:rFonts w:ascii="Arial" w:hAnsi="Arial" w:cs="Arial"/>
          <w:sz w:val="22"/>
          <w:szCs w:val="22"/>
        </w:rPr>
        <w:t>471</w:t>
      </w:r>
      <w:r w:rsidRPr="00F45C46">
        <w:rPr>
          <w:rFonts w:ascii="Arial" w:hAnsi="Arial" w:cs="Arial"/>
          <w:sz w:val="22"/>
          <w:szCs w:val="22"/>
        </w:rPr>
        <w:t xml:space="preserve">) stated that teachers who are effective in lesson planning and delivering are motivated, empowering, and engaging individuals. Birchinall's study demonstrated that pupils reacted well to the cross-curricular approach to learning and engagement was high. Demonstrating the correlation of teacher’s knowledge and confidence, and pupil learning and engagement. </w:t>
      </w:r>
      <w:r w:rsidRPr="00CB70B5">
        <w:rPr>
          <w:rFonts w:ascii="Arial" w:hAnsi="Arial" w:cs="Arial"/>
          <w:sz w:val="22"/>
          <w:szCs w:val="22"/>
        </w:rPr>
        <w:t>Moon and Leach (2008</w:t>
      </w:r>
      <w:r w:rsidR="00835CF8" w:rsidRPr="00CB70B5">
        <w:rPr>
          <w:rFonts w:ascii="Arial" w:hAnsi="Arial" w:cs="Arial"/>
          <w:sz w:val="22"/>
          <w:szCs w:val="22"/>
        </w:rPr>
        <w:t>, pg.</w:t>
      </w:r>
      <w:r w:rsidR="00835CF8">
        <w:rPr>
          <w:rFonts w:ascii="Arial" w:hAnsi="Arial" w:cs="Arial"/>
          <w:sz w:val="22"/>
          <w:szCs w:val="22"/>
        </w:rPr>
        <w:t xml:space="preserve"> </w:t>
      </w:r>
      <w:r w:rsidR="00CB70B5">
        <w:rPr>
          <w:rFonts w:ascii="Arial" w:hAnsi="Arial" w:cs="Arial"/>
          <w:sz w:val="22"/>
          <w:szCs w:val="22"/>
        </w:rPr>
        <w:t>56</w:t>
      </w:r>
      <w:r w:rsidRPr="00F45C46">
        <w:rPr>
          <w:rFonts w:ascii="Arial" w:hAnsi="Arial" w:cs="Arial"/>
          <w:sz w:val="22"/>
          <w:szCs w:val="22"/>
        </w:rPr>
        <w:t xml:space="preserve">) rightly identified "Children don't learn from people they don't like". However, it is slightly unfair to put the whole </w:t>
      </w:r>
      <w:r w:rsidR="005174BD" w:rsidRPr="00F45C46">
        <w:rPr>
          <w:rFonts w:ascii="Arial" w:hAnsi="Arial" w:cs="Arial"/>
          <w:sz w:val="22"/>
          <w:szCs w:val="22"/>
        </w:rPr>
        <w:t>responsibility on teachers, without the support of colleagues and school leaders. Furthermore, in response to Birchinall's findings, there needs to be a degree of responsibility placed on the learners and their willingness to learn.</w:t>
      </w:r>
      <w:r w:rsidR="00613B54" w:rsidRPr="00F45C46">
        <w:rPr>
          <w:rFonts w:ascii="Arial" w:hAnsi="Arial" w:cs="Arial"/>
          <w:sz w:val="22"/>
          <w:szCs w:val="22"/>
        </w:rPr>
        <w:t xml:space="preserve"> Later on in the study, Birchinall identifies</w:t>
      </w:r>
      <w:r w:rsidR="00374C84" w:rsidRPr="00F45C46">
        <w:rPr>
          <w:rFonts w:ascii="Arial" w:hAnsi="Arial" w:cs="Arial"/>
          <w:sz w:val="22"/>
          <w:szCs w:val="22"/>
        </w:rPr>
        <w:t xml:space="preserve"> this</w:t>
      </w:r>
      <w:r w:rsidR="002C58E5">
        <w:rPr>
          <w:rFonts w:ascii="Arial" w:hAnsi="Arial" w:cs="Arial"/>
          <w:sz w:val="22"/>
          <w:szCs w:val="22"/>
        </w:rPr>
        <w:t>, as</w:t>
      </w:r>
      <w:r w:rsidR="00613B54" w:rsidRPr="00F45C46">
        <w:rPr>
          <w:rFonts w:ascii="Arial" w:hAnsi="Arial" w:cs="Arial"/>
          <w:sz w:val="22"/>
          <w:szCs w:val="22"/>
        </w:rPr>
        <w:t xml:space="preserve"> without learners showing up for school</w:t>
      </w:r>
      <w:r w:rsidR="00C909CE" w:rsidRPr="00F45C46">
        <w:rPr>
          <w:rFonts w:ascii="Arial" w:hAnsi="Arial" w:cs="Arial"/>
          <w:sz w:val="22"/>
          <w:szCs w:val="22"/>
        </w:rPr>
        <w:t xml:space="preserve"> and possessing a willingness to learn</w:t>
      </w:r>
      <w:r w:rsidR="002C58E5">
        <w:rPr>
          <w:rFonts w:ascii="Arial" w:hAnsi="Arial" w:cs="Arial"/>
          <w:sz w:val="22"/>
          <w:szCs w:val="22"/>
        </w:rPr>
        <w:t>,</w:t>
      </w:r>
      <w:r w:rsidR="00C909CE" w:rsidRPr="00F45C46">
        <w:rPr>
          <w:rFonts w:ascii="Arial" w:hAnsi="Arial" w:cs="Arial"/>
          <w:sz w:val="22"/>
          <w:szCs w:val="22"/>
        </w:rPr>
        <w:t xml:space="preserve"> it does not matter what approach is used. </w:t>
      </w:r>
    </w:p>
    <w:p w14:paraId="55D13AEF" w14:textId="48161207" w:rsidR="00000178" w:rsidRPr="00F45C46" w:rsidRDefault="005174BD" w:rsidP="00F45C46">
      <w:pPr>
        <w:spacing w:line="360" w:lineRule="auto"/>
        <w:rPr>
          <w:rFonts w:ascii="Arial" w:hAnsi="Arial" w:cs="Arial"/>
          <w:sz w:val="22"/>
          <w:szCs w:val="22"/>
        </w:rPr>
      </w:pPr>
      <w:r w:rsidRPr="00F45C46">
        <w:rPr>
          <w:rFonts w:ascii="Arial" w:hAnsi="Arial" w:cs="Arial"/>
          <w:sz w:val="22"/>
          <w:szCs w:val="22"/>
        </w:rPr>
        <w:lastRenderedPageBreak/>
        <w:t>This research</w:t>
      </w:r>
      <w:r w:rsidR="00374C84" w:rsidRPr="00F45C46">
        <w:rPr>
          <w:rFonts w:ascii="Arial" w:hAnsi="Arial" w:cs="Arial"/>
          <w:sz w:val="22"/>
          <w:szCs w:val="22"/>
        </w:rPr>
        <w:t xml:space="preserve"> by </w:t>
      </w:r>
      <w:r w:rsidR="00374C84" w:rsidRPr="00FC6012">
        <w:rPr>
          <w:rFonts w:ascii="Arial" w:hAnsi="Arial" w:cs="Arial"/>
          <w:sz w:val="22"/>
          <w:szCs w:val="22"/>
        </w:rPr>
        <w:t>Rogers (2003); Barnes (2015); Birchinall (2013</w:t>
      </w:r>
      <w:r w:rsidR="00374C84" w:rsidRPr="00F45C46">
        <w:rPr>
          <w:rFonts w:ascii="Arial" w:hAnsi="Arial" w:cs="Arial"/>
          <w:sz w:val="22"/>
          <w:szCs w:val="22"/>
        </w:rPr>
        <w:t>)</w:t>
      </w:r>
      <w:r w:rsidRPr="00F45C46">
        <w:rPr>
          <w:rFonts w:ascii="Arial" w:hAnsi="Arial" w:cs="Arial"/>
          <w:sz w:val="22"/>
          <w:szCs w:val="22"/>
        </w:rPr>
        <w:t xml:space="preserve"> </w:t>
      </w:r>
      <w:r w:rsidR="00374C84" w:rsidRPr="00F45C46">
        <w:rPr>
          <w:rFonts w:ascii="Arial" w:hAnsi="Arial" w:cs="Arial"/>
          <w:sz w:val="22"/>
          <w:szCs w:val="22"/>
        </w:rPr>
        <w:t>supports</w:t>
      </w:r>
      <w:r w:rsidRPr="00F45C46">
        <w:rPr>
          <w:rFonts w:ascii="Arial" w:hAnsi="Arial" w:cs="Arial"/>
          <w:sz w:val="22"/>
          <w:szCs w:val="22"/>
        </w:rPr>
        <w:t xml:space="preserve"> the document </w:t>
      </w:r>
      <w:r w:rsidR="00AE398D" w:rsidRPr="00FC6012">
        <w:rPr>
          <w:rFonts w:ascii="Arial" w:hAnsi="Arial" w:cs="Arial"/>
          <w:sz w:val="22"/>
          <w:szCs w:val="22"/>
        </w:rPr>
        <w:t>The Great Teaching Toolkit (2020)</w:t>
      </w:r>
      <w:r w:rsidR="00AE398D" w:rsidRPr="00F45C46">
        <w:rPr>
          <w:rFonts w:ascii="Arial" w:hAnsi="Arial" w:cs="Arial"/>
          <w:sz w:val="22"/>
          <w:szCs w:val="22"/>
        </w:rPr>
        <w:t xml:space="preserve"> of Dimension 1: Understanding the context</w:t>
      </w:r>
      <w:r w:rsidR="00D262B5" w:rsidRPr="00F45C46">
        <w:rPr>
          <w:rFonts w:ascii="Arial" w:hAnsi="Arial" w:cs="Arial"/>
          <w:sz w:val="22"/>
          <w:szCs w:val="22"/>
        </w:rPr>
        <w:t>, stating that teachers should "have an explicit repertoire of well-crafted explanations, examples and tasks for each topic they teach</w:t>
      </w:r>
      <w:r w:rsidR="00AE1BAE" w:rsidRPr="00F45C46">
        <w:rPr>
          <w:rFonts w:ascii="Arial" w:hAnsi="Arial" w:cs="Arial"/>
          <w:sz w:val="22"/>
          <w:szCs w:val="22"/>
        </w:rPr>
        <w:t>"</w:t>
      </w:r>
      <w:r w:rsidR="00374C84" w:rsidRPr="00F45C46">
        <w:rPr>
          <w:rFonts w:ascii="Arial" w:hAnsi="Arial" w:cs="Arial"/>
          <w:sz w:val="22"/>
          <w:szCs w:val="22"/>
        </w:rPr>
        <w:t xml:space="preserve">. It goes on to explain that teachers are required to know how different topics, in different subjects are related, similar or distinct. </w:t>
      </w:r>
    </w:p>
    <w:p w14:paraId="58250985" w14:textId="77777777" w:rsidR="00000178" w:rsidRPr="00F45C46" w:rsidRDefault="00000178" w:rsidP="00F45C46">
      <w:pPr>
        <w:spacing w:line="360" w:lineRule="auto"/>
        <w:rPr>
          <w:rFonts w:ascii="Arial" w:hAnsi="Arial" w:cs="Arial"/>
          <w:sz w:val="22"/>
          <w:szCs w:val="22"/>
        </w:rPr>
      </w:pPr>
    </w:p>
    <w:p w14:paraId="6E3A8948" w14:textId="3B215894" w:rsidR="00AF25F1" w:rsidRDefault="00AD00F2" w:rsidP="00F45C46">
      <w:pPr>
        <w:spacing w:line="360" w:lineRule="auto"/>
        <w:rPr>
          <w:rFonts w:ascii="Arial" w:hAnsi="Arial" w:cs="Arial"/>
          <w:sz w:val="22"/>
          <w:szCs w:val="22"/>
        </w:rPr>
      </w:pPr>
      <w:r w:rsidRPr="00FC6012">
        <w:rPr>
          <w:rFonts w:ascii="Arial" w:hAnsi="Arial" w:cs="Arial"/>
          <w:sz w:val="22"/>
          <w:szCs w:val="22"/>
        </w:rPr>
        <w:t>According to Barnes (2015</w:t>
      </w:r>
      <w:r w:rsidR="007C00CD" w:rsidRPr="00FC6012">
        <w:rPr>
          <w:rFonts w:ascii="Arial" w:hAnsi="Arial" w:cs="Arial"/>
          <w:sz w:val="22"/>
          <w:szCs w:val="22"/>
        </w:rPr>
        <w:t>, pg. 76</w:t>
      </w:r>
      <w:r w:rsidRPr="00FC6012">
        <w:rPr>
          <w:rFonts w:ascii="Arial" w:hAnsi="Arial" w:cs="Arial"/>
          <w:sz w:val="22"/>
          <w:szCs w:val="22"/>
        </w:rPr>
        <w:t>) the</w:t>
      </w:r>
      <w:r w:rsidRPr="00F45C46">
        <w:rPr>
          <w:rFonts w:ascii="Arial" w:hAnsi="Arial" w:cs="Arial"/>
          <w:sz w:val="22"/>
          <w:szCs w:val="22"/>
        </w:rPr>
        <w:t xml:space="preserve"> best cross-curricular </w:t>
      </w:r>
      <w:r w:rsidR="00A72FFF" w:rsidRPr="00F45C46">
        <w:rPr>
          <w:rFonts w:ascii="Arial" w:hAnsi="Arial" w:cs="Arial"/>
          <w:sz w:val="22"/>
          <w:szCs w:val="22"/>
        </w:rPr>
        <w:t>projects combine creative thinking with the preservation of discipline and challenge</w:t>
      </w:r>
      <w:r w:rsidR="00A72FFF" w:rsidRPr="00FC6012">
        <w:rPr>
          <w:rFonts w:ascii="Arial" w:hAnsi="Arial" w:cs="Arial"/>
          <w:sz w:val="22"/>
          <w:szCs w:val="22"/>
        </w:rPr>
        <w:t>.</w:t>
      </w:r>
      <w:r w:rsidR="00B00208" w:rsidRPr="00FC6012">
        <w:rPr>
          <w:rFonts w:ascii="Arial" w:hAnsi="Arial" w:cs="Arial"/>
          <w:sz w:val="22"/>
          <w:szCs w:val="22"/>
        </w:rPr>
        <w:t xml:space="preserve"> As Barnes (2015</w:t>
      </w:r>
      <w:r w:rsidR="002A58C1" w:rsidRPr="00FC6012">
        <w:rPr>
          <w:rFonts w:ascii="Arial" w:hAnsi="Arial" w:cs="Arial"/>
          <w:sz w:val="22"/>
          <w:szCs w:val="22"/>
        </w:rPr>
        <w:t>, pg. 62</w:t>
      </w:r>
      <w:r w:rsidR="00B00208" w:rsidRPr="00FC6012">
        <w:rPr>
          <w:rFonts w:ascii="Arial" w:hAnsi="Arial" w:cs="Arial"/>
          <w:sz w:val="22"/>
          <w:szCs w:val="22"/>
        </w:rPr>
        <w:t>)</w:t>
      </w:r>
      <w:r w:rsidR="00B00208">
        <w:rPr>
          <w:rFonts w:ascii="Arial" w:hAnsi="Arial" w:cs="Arial"/>
          <w:sz w:val="22"/>
          <w:szCs w:val="22"/>
        </w:rPr>
        <w:t xml:space="preserve"> identifies, "Cross-curricular learning and creativity go hand in hand". </w:t>
      </w:r>
      <w:r w:rsidR="00A72FFF" w:rsidRPr="00F45C46">
        <w:rPr>
          <w:rFonts w:ascii="Arial" w:hAnsi="Arial" w:cs="Arial"/>
          <w:sz w:val="22"/>
          <w:szCs w:val="22"/>
        </w:rPr>
        <w:t xml:space="preserve"> Whilst some may think that the best way to implement cross-curricular learning</w:t>
      </w:r>
      <w:r w:rsidR="00B00208">
        <w:rPr>
          <w:rFonts w:ascii="Arial" w:hAnsi="Arial" w:cs="Arial"/>
          <w:sz w:val="22"/>
          <w:szCs w:val="22"/>
        </w:rPr>
        <w:t xml:space="preserve"> and creative thinking</w:t>
      </w:r>
      <w:r w:rsidR="00A72FFF" w:rsidRPr="00F45C46">
        <w:rPr>
          <w:rFonts w:ascii="Arial" w:hAnsi="Arial" w:cs="Arial"/>
          <w:sz w:val="22"/>
          <w:szCs w:val="22"/>
        </w:rPr>
        <w:t xml:space="preserve"> is to try and fit as many subjects in as possible, research suggests that in order to gain maximum progression and knowledge attainment, it is best to limit subject involvement to two or three (</w:t>
      </w:r>
      <w:r w:rsidR="00A72FFF" w:rsidRPr="00FC6012">
        <w:rPr>
          <w:rFonts w:ascii="Arial" w:hAnsi="Arial" w:cs="Arial"/>
          <w:sz w:val="22"/>
          <w:szCs w:val="22"/>
        </w:rPr>
        <w:t>Barnes and Shirley, 2007; Jacobs, 2004; Roth, 2000).</w:t>
      </w:r>
      <w:r w:rsidR="00AF25F1" w:rsidRPr="00FC6012">
        <w:rPr>
          <w:rFonts w:ascii="Arial" w:hAnsi="Arial" w:cs="Arial"/>
          <w:sz w:val="22"/>
          <w:szCs w:val="22"/>
        </w:rPr>
        <w:t xml:space="preserve"> </w:t>
      </w:r>
      <w:r w:rsidR="003A466A" w:rsidRPr="00FC6012">
        <w:rPr>
          <w:rFonts w:ascii="Arial" w:hAnsi="Arial" w:cs="Arial"/>
          <w:sz w:val="22"/>
          <w:szCs w:val="22"/>
        </w:rPr>
        <w:t>This</w:t>
      </w:r>
      <w:r w:rsidR="003A466A" w:rsidRPr="00F45C46">
        <w:rPr>
          <w:rFonts w:ascii="Arial" w:hAnsi="Arial" w:cs="Arial"/>
          <w:sz w:val="22"/>
          <w:szCs w:val="22"/>
        </w:rPr>
        <w:t xml:space="preserve"> aligns with the Welsh Governments new Curriculum as the initial framework is based upon</w:t>
      </w:r>
      <w:r w:rsidR="00E26D2E" w:rsidRPr="00F45C46">
        <w:rPr>
          <w:rFonts w:ascii="Arial" w:hAnsi="Arial" w:cs="Arial"/>
          <w:sz w:val="22"/>
          <w:szCs w:val="22"/>
        </w:rPr>
        <w:t xml:space="preserve"> th</w:t>
      </w:r>
      <w:r w:rsidR="00D262B5" w:rsidRPr="00F45C46">
        <w:rPr>
          <w:rFonts w:ascii="Arial" w:hAnsi="Arial" w:cs="Arial"/>
          <w:sz w:val="22"/>
          <w:szCs w:val="22"/>
        </w:rPr>
        <w:t>ree A</w:t>
      </w:r>
      <w:r w:rsidR="00622077" w:rsidRPr="00F45C46">
        <w:rPr>
          <w:rFonts w:ascii="Arial" w:hAnsi="Arial" w:cs="Arial"/>
          <w:sz w:val="22"/>
          <w:szCs w:val="22"/>
        </w:rPr>
        <w:t>o</w:t>
      </w:r>
      <w:r w:rsidR="00D262B5" w:rsidRPr="00F45C46">
        <w:rPr>
          <w:rFonts w:ascii="Arial" w:hAnsi="Arial" w:cs="Arial"/>
          <w:sz w:val="22"/>
          <w:szCs w:val="22"/>
        </w:rPr>
        <w:t>LE’s,</w:t>
      </w:r>
      <w:r w:rsidR="003A466A" w:rsidRPr="00F45C46">
        <w:rPr>
          <w:rFonts w:ascii="Arial" w:hAnsi="Arial" w:cs="Arial"/>
          <w:sz w:val="22"/>
          <w:szCs w:val="22"/>
        </w:rPr>
        <w:t xml:space="preserve"> Literacy, Numeracy and Digital Competence. </w:t>
      </w:r>
      <w:r w:rsidR="00622077" w:rsidRPr="00F45C46">
        <w:rPr>
          <w:rFonts w:ascii="Arial" w:hAnsi="Arial" w:cs="Arial"/>
          <w:sz w:val="22"/>
          <w:szCs w:val="22"/>
        </w:rPr>
        <w:t>This research also aligns with my experience within PTE1 as we focused on Digital Competence, Literacy and Science and Technology</w:t>
      </w:r>
      <w:r w:rsidR="00835CF8">
        <w:rPr>
          <w:rFonts w:ascii="Arial" w:hAnsi="Arial" w:cs="Arial"/>
          <w:sz w:val="22"/>
          <w:szCs w:val="22"/>
        </w:rPr>
        <w:t>.</w:t>
      </w:r>
      <w:r w:rsidR="00622077" w:rsidRPr="00F45C46">
        <w:rPr>
          <w:rFonts w:ascii="Arial" w:hAnsi="Arial" w:cs="Arial"/>
          <w:sz w:val="22"/>
          <w:szCs w:val="22"/>
        </w:rPr>
        <w:t xml:space="preserve"> </w:t>
      </w:r>
      <w:r w:rsidR="00835CF8">
        <w:rPr>
          <w:rFonts w:ascii="Arial" w:hAnsi="Arial" w:cs="Arial"/>
          <w:sz w:val="22"/>
          <w:szCs w:val="22"/>
        </w:rPr>
        <w:t>C</w:t>
      </w:r>
      <w:r w:rsidR="00622077" w:rsidRPr="00F45C46">
        <w:rPr>
          <w:rFonts w:ascii="Arial" w:hAnsi="Arial" w:cs="Arial"/>
          <w:sz w:val="22"/>
          <w:szCs w:val="22"/>
        </w:rPr>
        <w:t xml:space="preserve">reating a task to fit with </w:t>
      </w:r>
      <w:r w:rsidR="004B0F0B" w:rsidRPr="00F45C46">
        <w:rPr>
          <w:rFonts w:ascii="Arial" w:hAnsi="Arial" w:cs="Arial"/>
          <w:sz w:val="22"/>
          <w:szCs w:val="22"/>
        </w:rPr>
        <w:t>three</w:t>
      </w:r>
      <w:r w:rsidR="00622077" w:rsidRPr="00F45C46">
        <w:rPr>
          <w:rFonts w:ascii="Arial" w:hAnsi="Arial" w:cs="Arial"/>
          <w:sz w:val="22"/>
          <w:szCs w:val="22"/>
        </w:rPr>
        <w:t xml:space="preserve"> AoLE's created a positive learning environment as pupils were focused on task and understood what was required of them.</w:t>
      </w:r>
    </w:p>
    <w:p w14:paraId="094FF21F" w14:textId="77777777" w:rsidR="00835CF8" w:rsidRPr="00F45C46" w:rsidRDefault="00835CF8" w:rsidP="00F45C46">
      <w:pPr>
        <w:spacing w:line="360" w:lineRule="auto"/>
        <w:rPr>
          <w:rFonts w:ascii="Arial" w:hAnsi="Arial" w:cs="Arial"/>
          <w:sz w:val="22"/>
          <w:szCs w:val="22"/>
        </w:rPr>
      </w:pPr>
    </w:p>
    <w:p w14:paraId="75CBE916" w14:textId="7A01B606" w:rsidR="007C00CD" w:rsidRPr="00F45C46" w:rsidRDefault="001E53D8" w:rsidP="00F45C46">
      <w:pPr>
        <w:spacing w:line="360" w:lineRule="auto"/>
        <w:rPr>
          <w:rFonts w:ascii="Arial" w:hAnsi="Arial" w:cs="Arial"/>
          <w:sz w:val="22"/>
          <w:szCs w:val="22"/>
        </w:rPr>
      </w:pPr>
      <w:r w:rsidRPr="00F45C46">
        <w:rPr>
          <w:rFonts w:ascii="Arial" w:hAnsi="Arial" w:cs="Arial"/>
          <w:sz w:val="22"/>
          <w:szCs w:val="22"/>
        </w:rPr>
        <w:t>In order to gain further research and a wider scope of cross-curricular learnin</w:t>
      </w:r>
      <w:r w:rsidRPr="00FC6012">
        <w:rPr>
          <w:rFonts w:ascii="Arial" w:hAnsi="Arial" w:cs="Arial"/>
          <w:sz w:val="22"/>
          <w:szCs w:val="22"/>
        </w:rPr>
        <w:t>g, Pöntinen and Räty-Záborszky (2020</w:t>
      </w:r>
      <w:r w:rsidR="001B232C" w:rsidRPr="00FC6012">
        <w:rPr>
          <w:rFonts w:ascii="Arial" w:hAnsi="Arial" w:cs="Arial"/>
          <w:sz w:val="22"/>
          <w:szCs w:val="22"/>
        </w:rPr>
        <w:t>, pg. 182</w:t>
      </w:r>
      <w:r w:rsidRPr="00FC6012">
        <w:rPr>
          <w:rFonts w:ascii="Arial" w:hAnsi="Arial" w:cs="Arial"/>
          <w:sz w:val="22"/>
          <w:szCs w:val="22"/>
        </w:rPr>
        <w:t>) aimed to encourage digital competence</w:t>
      </w:r>
      <w:r w:rsidRPr="00F45C46">
        <w:rPr>
          <w:rFonts w:ascii="Arial" w:hAnsi="Arial" w:cs="Arial"/>
          <w:sz w:val="22"/>
          <w:szCs w:val="22"/>
        </w:rPr>
        <w:t xml:space="preserve"> across the curriculum in a primary school setting, covering a two-year period. Their findings show that all children were eager in using digital technology for learning and it had an overall positive impact on education. Similarly, </w:t>
      </w:r>
      <w:r w:rsidRPr="00FC6012">
        <w:rPr>
          <w:rFonts w:ascii="Arial" w:hAnsi="Arial" w:cs="Arial"/>
          <w:sz w:val="22"/>
          <w:szCs w:val="22"/>
        </w:rPr>
        <w:t>Volk et al (2017</w:t>
      </w:r>
      <w:r w:rsidR="00835CF8" w:rsidRPr="00FC6012">
        <w:rPr>
          <w:rFonts w:ascii="Arial" w:hAnsi="Arial" w:cs="Arial"/>
          <w:sz w:val="22"/>
          <w:szCs w:val="22"/>
        </w:rPr>
        <w:t>,</w:t>
      </w:r>
      <w:r w:rsidR="00835CF8">
        <w:rPr>
          <w:rFonts w:ascii="Arial" w:hAnsi="Arial" w:cs="Arial"/>
          <w:sz w:val="22"/>
          <w:szCs w:val="22"/>
        </w:rPr>
        <w:t xml:space="preserve"> pg. </w:t>
      </w:r>
      <w:r w:rsidR="00FC6012">
        <w:rPr>
          <w:rFonts w:ascii="Arial" w:hAnsi="Arial" w:cs="Arial"/>
          <w:sz w:val="22"/>
          <w:szCs w:val="22"/>
        </w:rPr>
        <w:t>2</w:t>
      </w:r>
      <w:r w:rsidRPr="00F45C46">
        <w:rPr>
          <w:rFonts w:ascii="Arial" w:hAnsi="Arial" w:cs="Arial"/>
          <w:sz w:val="22"/>
          <w:szCs w:val="22"/>
        </w:rPr>
        <w:t xml:space="preserve">) examined the impact of tablet-based cross-curricular maths activities. </w:t>
      </w:r>
      <w:r w:rsidR="00007804">
        <w:rPr>
          <w:rFonts w:ascii="Arial" w:hAnsi="Arial" w:cs="Arial"/>
          <w:sz w:val="22"/>
          <w:szCs w:val="22"/>
        </w:rPr>
        <w:t>Both r</w:t>
      </w:r>
      <w:r w:rsidRPr="00F45C46">
        <w:rPr>
          <w:rFonts w:ascii="Arial" w:hAnsi="Arial" w:cs="Arial"/>
          <w:sz w:val="22"/>
          <w:szCs w:val="22"/>
        </w:rPr>
        <w:t xml:space="preserve">esearchers then compared the use of cross-curricular learning approach to a traditional maths classroom approach. </w:t>
      </w:r>
      <w:r w:rsidR="0026048E" w:rsidRPr="00FC6012">
        <w:rPr>
          <w:rFonts w:ascii="Arial" w:hAnsi="Arial" w:cs="Arial"/>
          <w:sz w:val="22"/>
          <w:szCs w:val="22"/>
        </w:rPr>
        <w:t>Volk et al (2017) findings support that of Pöntinen and Räty-Záborszky (2020) and found</w:t>
      </w:r>
      <w:r w:rsidR="0026048E" w:rsidRPr="00F45C46">
        <w:rPr>
          <w:rFonts w:ascii="Arial" w:hAnsi="Arial" w:cs="Arial"/>
          <w:sz w:val="22"/>
          <w:szCs w:val="22"/>
        </w:rPr>
        <w:t xml:space="preserve"> that the use of digital technology, in this case a tablet, has a significant impact on a pupil's physical, cognitive, and organisational efficiency. </w:t>
      </w:r>
      <w:r w:rsidR="00007804">
        <w:rPr>
          <w:rFonts w:ascii="Arial" w:hAnsi="Arial" w:cs="Arial"/>
          <w:sz w:val="22"/>
          <w:szCs w:val="22"/>
        </w:rPr>
        <w:t xml:space="preserve">It is important to recognise the publication date of both articles. They are both recently published, which credits their relevance. </w:t>
      </w:r>
      <w:r w:rsidR="0026048E" w:rsidRPr="00F45C46">
        <w:rPr>
          <w:rFonts w:ascii="Arial" w:hAnsi="Arial" w:cs="Arial"/>
          <w:sz w:val="22"/>
          <w:szCs w:val="22"/>
        </w:rPr>
        <w:t xml:space="preserve">However, both studies lack generalizability of their results as their sample size was too small, a larger sample size for both studies would improve the reliability of their results. Also, both studies were conducted in Europe; Finland and Slovenia, although they both align with the Welsh Government's new cross-curricular approach of implementing digital competence across other subjects, the </w:t>
      </w:r>
      <w:r w:rsidR="00EE12E1" w:rsidRPr="00F45C46">
        <w:rPr>
          <w:rFonts w:ascii="Arial" w:hAnsi="Arial" w:cs="Arial"/>
          <w:sz w:val="22"/>
          <w:szCs w:val="22"/>
        </w:rPr>
        <w:t xml:space="preserve">Education systems are vastly parallel which is a contributing factor. </w:t>
      </w:r>
    </w:p>
    <w:p w14:paraId="44374DA6" w14:textId="74B0D686" w:rsidR="003476B8" w:rsidRPr="00F45C46" w:rsidRDefault="003476B8" w:rsidP="00F45C46">
      <w:pPr>
        <w:spacing w:line="360" w:lineRule="auto"/>
        <w:rPr>
          <w:rFonts w:ascii="Arial" w:hAnsi="Arial" w:cs="Arial"/>
          <w:sz w:val="22"/>
          <w:szCs w:val="22"/>
        </w:rPr>
      </w:pPr>
    </w:p>
    <w:p w14:paraId="3F22CED6" w14:textId="3B4F15D9" w:rsidR="003476B8" w:rsidRDefault="003476B8" w:rsidP="00F45C46">
      <w:pPr>
        <w:spacing w:line="360" w:lineRule="auto"/>
        <w:rPr>
          <w:rFonts w:ascii="Arial" w:hAnsi="Arial" w:cs="Arial"/>
          <w:sz w:val="22"/>
          <w:szCs w:val="22"/>
        </w:rPr>
      </w:pPr>
      <w:r w:rsidRPr="00FC6012">
        <w:rPr>
          <w:rFonts w:ascii="Arial" w:hAnsi="Arial" w:cs="Arial"/>
          <w:sz w:val="22"/>
          <w:szCs w:val="22"/>
        </w:rPr>
        <w:lastRenderedPageBreak/>
        <w:t xml:space="preserve">Whilst the benefits of cross-curricular learning are highlighted and Plowden's (1967) statement is valuable, the approach to learning can sometimes be unclear and lose the purpose if not implemented efficiently. </w:t>
      </w:r>
      <w:r w:rsidR="0073318E" w:rsidRPr="00FC6012">
        <w:rPr>
          <w:rFonts w:ascii="Arial" w:hAnsi="Arial" w:cs="Arial"/>
          <w:sz w:val="22"/>
          <w:szCs w:val="22"/>
        </w:rPr>
        <w:t>Price (2010</w:t>
      </w:r>
      <w:r w:rsidR="0060653B" w:rsidRPr="00FC6012">
        <w:rPr>
          <w:rFonts w:ascii="Arial" w:hAnsi="Arial" w:cs="Arial"/>
          <w:sz w:val="22"/>
          <w:szCs w:val="22"/>
        </w:rPr>
        <w:t>, pg. 3</w:t>
      </w:r>
      <w:r w:rsidR="0073318E" w:rsidRPr="00FC6012">
        <w:rPr>
          <w:rFonts w:ascii="Arial" w:hAnsi="Arial" w:cs="Arial"/>
          <w:sz w:val="22"/>
          <w:szCs w:val="22"/>
        </w:rPr>
        <w:t>) conducted</w:t>
      </w:r>
      <w:r w:rsidR="0073318E" w:rsidRPr="00F45C46">
        <w:rPr>
          <w:rFonts w:ascii="Arial" w:hAnsi="Arial" w:cs="Arial"/>
          <w:sz w:val="22"/>
          <w:szCs w:val="22"/>
        </w:rPr>
        <w:t xml:space="preserve"> a study to discover any benefits of cross-curricular work. It is worth noting that the study was conducted in England. The findings showed that the lower attaining students had the most gratification and had the biggest confidence boost when completing the task. Whilst it is beneficial to investigate this study as a comparison to </w:t>
      </w:r>
      <w:r w:rsidR="0073318E" w:rsidRPr="00FC6012">
        <w:rPr>
          <w:rFonts w:ascii="Arial" w:hAnsi="Arial" w:cs="Arial"/>
          <w:sz w:val="22"/>
          <w:szCs w:val="22"/>
        </w:rPr>
        <w:t xml:space="preserve">Volk et al (2017) and Pöntinen and Räty-Záborszky (2020) of their European study, it is important to recognise that this study was conducted over a one-day period, naming it a 'mega-day'. This poses the question of does a change need to </w:t>
      </w:r>
      <w:r w:rsidR="00F02080" w:rsidRPr="00FC6012">
        <w:rPr>
          <w:rFonts w:ascii="Arial" w:hAnsi="Arial" w:cs="Arial"/>
          <w:sz w:val="22"/>
          <w:szCs w:val="22"/>
        </w:rPr>
        <w:t xml:space="preserve">be </w:t>
      </w:r>
      <w:r w:rsidR="0073318E" w:rsidRPr="00FC6012">
        <w:rPr>
          <w:rFonts w:ascii="Arial" w:hAnsi="Arial" w:cs="Arial"/>
          <w:sz w:val="22"/>
          <w:szCs w:val="22"/>
        </w:rPr>
        <w:t>ma</w:t>
      </w:r>
      <w:r w:rsidR="00F02080" w:rsidRPr="00FC6012">
        <w:rPr>
          <w:rFonts w:ascii="Arial" w:hAnsi="Arial" w:cs="Arial"/>
          <w:sz w:val="22"/>
          <w:szCs w:val="22"/>
        </w:rPr>
        <w:t>d</w:t>
      </w:r>
      <w:r w:rsidR="0073318E" w:rsidRPr="00FC6012">
        <w:rPr>
          <w:rFonts w:ascii="Arial" w:hAnsi="Arial" w:cs="Arial"/>
          <w:sz w:val="22"/>
          <w:szCs w:val="22"/>
        </w:rPr>
        <w:t>e to the structure of a school day, just to implement cross-curricular activities? Barnes (2015</w:t>
      </w:r>
      <w:r w:rsidR="00007804" w:rsidRPr="00FC6012">
        <w:rPr>
          <w:rFonts w:ascii="Arial" w:hAnsi="Arial" w:cs="Arial"/>
          <w:sz w:val="22"/>
          <w:szCs w:val="22"/>
        </w:rPr>
        <w:t>, pg</w:t>
      </w:r>
      <w:r w:rsidR="00FC6012" w:rsidRPr="00FC6012">
        <w:rPr>
          <w:rFonts w:ascii="Arial" w:hAnsi="Arial" w:cs="Arial"/>
          <w:sz w:val="22"/>
          <w:szCs w:val="22"/>
        </w:rPr>
        <w:t>. 92</w:t>
      </w:r>
      <w:r w:rsidR="0073318E" w:rsidRPr="00FC6012">
        <w:rPr>
          <w:rFonts w:ascii="Arial" w:hAnsi="Arial" w:cs="Arial"/>
          <w:sz w:val="22"/>
          <w:szCs w:val="22"/>
        </w:rPr>
        <w:t xml:space="preserve">) supports this </w:t>
      </w:r>
      <w:r w:rsidR="00F02080" w:rsidRPr="00FC6012">
        <w:rPr>
          <w:rFonts w:ascii="Arial" w:hAnsi="Arial" w:cs="Arial"/>
          <w:sz w:val="22"/>
          <w:szCs w:val="22"/>
        </w:rPr>
        <w:t xml:space="preserve">implementation as he </w:t>
      </w:r>
      <w:r w:rsidR="00E05A18" w:rsidRPr="00FC6012">
        <w:rPr>
          <w:rFonts w:ascii="Arial" w:hAnsi="Arial" w:cs="Arial"/>
          <w:sz w:val="22"/>
          <w:szCs w:val="22"/>
        </w:rPr>
        <w:t>sugges</w:t>
      </w:r>
      <w:r w:rsidR="00F02080" w:rsidRPr="00FC6012">
        <w:rPr>
          <w:rFonts w:ascii="Arial" w:hAnsi="Arial" w:cs="Arial"/>
          <w:sz w:val="22"/>
          <w:szCs w:val="22"/>
        </w:rPr>
        <w:t>ts</w:t>
      </w:r>
      <w:r w:rsidR="00E05A18" w:rsidRPr="00FC6012">
        <w:rPr>
          <w:rFonts w:ascii="Arial" w:hAnsi="Arial" w:cs="Arial"/>
          <w:sz w:val="22"/>
          <w:szCs w:val="22"/>
        </w:rPr>
        <w:t xml:space="preserve"> that effective cross-curricular practice is not just done through applying learning to more than one subject. It is the practice of deep, transferable, useful learning and for that reason a sufficient amount of time needs to be spent on the topic or activity. Barnes builds on this statement </w:t>
      </w:r>
      <w:r w:rsidR="00EA7AA8" w:rsidRPr="00FC6012">
        <w:rPr>
          <w:rFonts w:ascii="Arial" w:hAnsi="Arial" w:cs="Arial"/>
          <w:sz w:val="22"/>
          <w:szCs w:val="22"/>
        </w:rPr>
        <w:t>by mentioning that schools should incorporate visits, partnerships</w:t>
      </w:r>
      <w:r w:rsidR="00EA7AA8" w:rsidRPr="00F45C46">
        <w:rPr>
          <w:rFonts w:ascii="Arial" w:hAnsi="Arial" w:cs="Arial"/>
          <w:sz w:val="22"/>
          <w:szCs w:val="22"/>
        </w:rPr>
        <w:t>, and the community into their cross-curricular activities</w:t>
      </w:r>
      <w:r w:rsidR="00F02080">
        <w:rPr>
          <w:rFonts w:ascii="Arial" w:hAnsi="Arial" w:cs="Arial"/>
          <w:sz w:val="22"/>
          <w:szCs w:val="22"/>
        </w:rPr>
        <w:t xml:space="preserve">, to gain a wider range of knowledge from individuals that have a specific subject knowledge, potentially more than the practitioner, which acknowledges </w:t>
      </w:r>
      <w:r w:rsidR="00F02080" w:rsidRPr="00FC6012">
        <w:rPr>
          <w:rFonts w:ascii="Arial" w:hAnsi="Arial" w:cs="Arial"/>
          <w:sz w:val="22"/>
          <w:szCs w:val="22"/>
        </w:rPr>
        <w:t>Rogers (2003</w:t>
      </w:r>
      <w:r w:rsidR="001B232C" w:rsidRPr="00FC6012">
        <w:rPr>
          <w:rFonts w:ascii="Arial" w:hAnsi="Arial" w:cs="Arial"/>
          <w:sz w:val="22"/>
          <w:szCs w:val="22"/>
        </w:rPr>
        <w:t>,</w:t>
      </w:r>
      <w:r w:rsidR="001B232C">
        <w:rPr>
          <w:rFonts w:ascii="Arial" w:hAnsi="Arial" w:cs="Arial"/>
          <w:sz w:val="22"/>
          <w:szCs w:val="22"/>
        </w:rPr>
        <w:t xml:space="preserve"> pg. 92</w:t>
      </w:r>
      <w:r w:rsidR="00F02080">
        <w:rPr>
          <w:rFonts w:ascii="Arial" w:hAnsi="Arial" w:cs="Arial"/>
          <w:sz w:val="22"/>
          <w:szCs w:val="22"/>
        </w:rPr>
        <w:t>) statement.</w:t>
      </w:r>
      <w:r w:rsidR="00EA7AA8" w:rsidRPr="00F45C46">
        <w:rPr>
          <w:rFonts w:ascii="Arial" w:hAnsi="Arial" w:cs="Arial"/>
          <w:sz w:val="22"/>
          <w:szCs w:val="22"/>
        </w:rPr>
        <w:t xml:space="preserve"> Thus, again posing the question of does the structure of a school day need to be disrupted to implement cross-curricular activities</w:t>
      </w:r>
      <w:r w:rsidR="00007804">
        <w:rPr>
          <w:rFonts w:ascii="Arial" w:hAnsi="Arial" w:cs="Arial"/>
          <w:sz w:val="22"/>
          <w:szCs w:val="22"/>
        </w:rPr>
        <w:t>?</w:t>
      </w:r>
      <w:r w:rsidR="00EA7AA8" w:rsidRPr="00F45C46">
        <w:rPr>
          <w:rFonts w:ascii="Arial" w:hAnsi="Arial" w:cs="Arial"/>
          <w:sz w:val="22"/>
          <w:szCs w:val="22"/>
        </w:rPr>
        <w:t xml:space="preserve"> In support of this, the Welsh Government has stated that the decision of how cross-curricular learning is conducted is </w:t>
      </w:r>
      <w:r w:rsidR="00880BC6">
        <w:rPr>
          <w:rFonts w:ascii="Arial" w:hAnsi="Arial" w:cs="Arial"/>
          <w:sz w:val="22"/>
          <w:szCs w:val="22"/>
        </w:rPr>
        <w:t xml:space="preserve">decided by </w:t>
      </w:r>
      <w:r w:rsidR="00EA7AA8" w:rsidRPr="00F45C46">
        <w:rPr>
          <w:rFonts w:ascii="Arial" w:hAnsi="Arial" w:cs="Arial"/>
          <w:sz w:val="22"/>
          <w:szCs w:val="22"/>
        </w:rPr>
        <w:t xml:space="preserve">the </w:t>
      </w:r>
      <w:r w:rsidR="000A15E5" w:rsidRPr="00F45C46">
        <w:rPr>
          <w:rFonts w:ascii="Arial" w:hAnsi="Arial" w:cs="Arial"/>
          <w:sz w:val="22"/>
          <w:szCs w:val="22"/>
        </w:rPr>
        <w:t>individual</w:t>
      </w:r>
      <w:r w:rsidR="00EA7AA8" w:rsidRPr="00F45C46">
        <w:rPr>
          <w:rFonts w:ascii="Arial" w:hAnsi="Arial" w:cs="Arial"/>
          <w:sz w:val="22"/>
          <w:szCs w:val="22"/>
        </w:rPr>
        <w:t xml:space="preserve"> school rather than a nationwide procedure, as previously mentioned. </w:t>
      </w:r>
      <w:r w:rsidR="00893D88">
        <w:rPr>
          <w:rFonts w:ascii="Arial" w:hAnsi="Arial" w:cs="Arial"/>
          <w:sz w:val="22"/>
          <w:szCs w:val="22"/>
        </w:rPr>
        <w:t xml:space="preserve">Therefore, if a school in Wales would like to conduct a 'mega-day' to implement cross-curricular activities, then they may do so. </w:t>
      </w:r>
    </w:p>
    <w:p w14:paraId="2B0E6E4D" w14:textId="63AA3CE3" w:rsidR="00B00208" w:rsidRDefault="00B00208" w:rsidP="00745DC6">
      <w:pPr>
        <w:spacing w:line="360" w:lineRule="auto"/>
        <w:rPr>
          <w:rFonts w:ascii="Arial" w:hAnsi="Arial" w:cs="Arial"/>
          <w:sz w:val="22"/>
          <w:szCs w:val="22"/>
        </w:rPr>
      </w:pPr>
    </w:p>
    <w:p w14:paraId="14EEC428" w14:textId="673EF5EB" w:rsidR="00B00208" w:rsidRDefault="00B00208" w:rsidP="00745DC6">
      <w:pPr>
        <w:spacing w:line="360" w:lineRule="auto"/>
        <w:rPr>
          <w:rFonts w:ascii="Arial" w:hAnsi="Arial" w:cs="Arial"/>
          <w:sz w:val="22"/>
          <w:szCs w:val="22"/>
        </w:rPr>
      </w:pPr>
      <w:r w:rsidRPr="00E6534B">
        <w:rPr>
          <w:rFonts w:ascii="Arial" w:hAnsi="Arial" w:cs="Arial"/>
          <w:sz w:val="22"/>
          <w:szCs w:val="22"/>
        </w:rPr>
        <w:t xml:space="preserve">Savage (2012) </w:t>
      </w:r>
      <w:r w:rsidR="00C75BAA" w:rsidRPr="00E6534B">
        <w:rPr>
          <w:rFonts w:ascii="Arial" w:hAnsi="Arial" w:cs="Arial"/>
          <w:sz w:val="22"/>
          <w:szCs w:val="22"/>
        </w:rPr>
        <w:t>conducted a study which investigated four case studies of cross-curricular pedagogy in secondary schools. He identified that cross-curricular pedagogies can be found in any day-to-</w:t>
      </w:r>
      <w:r w:rsidR="00C75BAA">
        <w:rPr>
          <w:rFonts w:ascii="Arial" w:hAnsi="Arial" w:cs="Arial"/>
          <w:sz w:val="22"/>
          <w:szCs w:val="22"/>
        </w:rPr>
        <w:t xml:space="preserve">day classroom activities, whether it be through the type of assessment used, selection of </w:t>
      </w:r>
      <w:r w:rsidR="00C75BAA" w:rsidRPr="00A201D2">
        <w:rPr>
          <w:rFonts w:ascii="Arial" w:hAnsi="Arial" w:cs="Arial"/>
          <w:sz w:val="22"/>
          <w:szCs w:val="22"/>
        </w:rPr>
        <w:t>lesson resources or style of questioning used</w:t>
      </w:r>
      <w:r w:rsidR="00E6534B" w:rsidRPr="00A201D2">
        <w:rPr>
          <w:rFonts w:ascii="Arial" w:hAnsi="Arial" w:cs="Arial"/>
          <w:sz w:val="22"/>
          <w:szCs w:val="22"/>
        </w:rPr>
        <w:t xml:space="preserve"> (pg. 79</w:t>
      </w:r>
      <w:r w:rsidR="00880BC6">
        <w:rPr>
          <w:rFonts w:ascii="Arial" w:hAnsi="Arial" w:cs="Arial"/>
          <w:sz w:val="22"/>
          <w:szCs w:val="22"/>
        </w:rPr>
        <w:t>).</w:t>
      </w:r>
      <w:r w:rsidR="00C75BAA" w:rsidRPr="00A201D2">
        <w:rPr>
          <w:rFonts w:ascii="Arial" w:hAnsi="Arial" w:cs="Arial"/>
          <w:sz w:val="22"/>
          <w:szCs w:val="22"/>
        </w:rPr>
        <w:t xml:space="preserve"> This identification contrasts Price (2010) study of holding a 'mega-day' in order to implement cross-curricular activities. In one of the four case studies Savage (2012) observed</w:t>
      </w:r>
      <w:r w:rsidR="003278F5">
        <w:rPr>
          <w:rFonts w:ascii="Arial" w:hAnsi="Arial" w:cs="Arial"/>
          <w:sz w:val="22"/>
          <w:szCs w:val="22"/>
        </w:rPr>
        <w:t xml:space="preserve">, he recognised a teacher delivering a </w:t>
      </w:r>
      <w:r w:rsidR="003278F5" w:rsidRPr="00114653">
        <w:rPr>
          <w:rFonts w:ascii="Arial" w:hAnsi="Arial" w:cs="Arial"/>
          <w:i/>
          <w:iCs/>
          <w:sz w:val="22"/>
          <w:szCs w:val="22"/>
        </w:rPr>
        <w:t>successful</w:t>
      </w:r>
      <w:r w:rsidR="003278F5">
        <w:rPr>
          <w:rFonts w:ascii="Arial" w:hAnsi="Arial" w:cs="Arial"/>
          <w:sz w:val="22"/>
          <w:szCs w:val="22"/>
        </w:rPr>
        <w:t xml:space="preserve"> cross-curricular lesson as they had an awareness of what pupils were studying in other curriculum areas, which enabled the teacher to construct their lesson around it. Thus, supporting </w:t>
      </w:r>
      <w:r w:rsidR="00CB70B5">
        <w:rPr>
          <w:rFonts w:ascii="Arial" w:hAnsi="Arial" w:cs="Arial"/>
          <w:sz w:val="22"/>
          <w:szCs w:val="22"/>
        </w:rPr>
        <w:t>Fleisch (2011)</w:t>
      </w:r>
      <w:r w:rsidR="003278F5">
        <w:rPr>
          <w:rFonts w:ascii="Arial" w:hAnsi="Arial" w:cs="Arial"/>
          <w:sz w:val="22"/>
          <w:szCs w:val="22"/>
        </w:rPr>
        <w:t xml:space="preserve"> findings that effective lesson planning and delivering are engaging individuals, leading to engaging lessons. </w:t>
      </w:r>
      <w:r w:rsidR="008B3972">
        <w:rPr>
          <w:rFonts w:ascii="Arial" w:hAnsi="Arial" w:cs="Arial"/>
          <w:sz w:val="22"/>
          <w:szCs w:val="22"/>
        </w:rPr>
        <w:t xml:space="preserve">However, it is important to recognise that the study is too small to implement large changes from. </w:t>
      </w:r>
      <w:r w:rsidR="008B3972" w:rsidRPr="00A201D2">
        <w:rPr>
          <w:rFonts w:ascii="Arial" w:hAnsi="Arial" w:cs="Arial"/>
          <w:sz w:val="22"/>
          <w:szCs w:val="22"/>
        </w:rPr>
        <w:t>Through Savages' (2012) research, it w</w:t>
      </w:r>
      <w:r w:rsidR="008B3972">
        <w:rPr>
          <w:rFonts w:ascii="Arial" w:hAnsi="Arial" w:cs="Arial"/>
          <w:sz w:val="22"/>
          <w:szCs w:val="22"/>
        </w:rPr>
        <w:t xml:space="preserve">as found that individuals schools are opting out of National Curriculum framework and creating their own curriculum arrangements. Although it is important to note </w:t>
      </w:r>
      <w:r w:rsidR="008B3972">
        <w:rPr>
          <w:rFonts w:ascii="Arial" w:hAnsi="Arial" w:cs="Arial"/>
          <w:sz w:val="22"/>
          <w:szCs w:val="22"/>
        </w:rPr>
        <w:lastRenderedPageBreak/>
        <w:t>that this research was conducted in England</w:t>
      </w:r>
      <w:r w:rsidR="00621724">
        <w:rPr>
          <w:rFonts w:ascii="Arial" w:hAnsi="Arial" w:cs="Arial"/>
          <w:sz w:val="22"/>
          <w:szCs w:val="22"/>
        </w:rPr>
        <w:t>, it</w:t>
      </w:r>
      <w:r w:rsidR="008B3972">
        <w:rPr>
          <w:rFonts w:ascii="Arial" w:hAnsi="Arial" w:cs="Arial"/>
          <w:sz w:val="22"/>
          <w:szCs w:val="22"/>
        </w:rPr>
        <w:t xml:space="preserve"> supports the Welsh Government</w:t>
      </w:r>
      <w:r w:rsidR="00621724">
        <w:rPr>
          <w:rFonts w:ascii="Arial" w:hAnsi="Arial" w:cs="Arial"/>
          <w:sz w:val="22"/>
          <w:szCs w:val="22"/>
        </w:rPr>
        <w:t>s</w:t>
      </w:r>
      <w:r w:rsidR="008B3972">
        <w:rPr>
          <w:rFonts w:ascii="Arial" w:hAnsi="Arial" w:cs="Arial"/>
          <w:sz w:val="22"/>
          <w:szCs w:val="22"/>
        </w:rPr>
        <w:t xml:space="preserve"> decision to allow schools to </w:t>
      </w:r>
      <w:r w:rsidR="00621724">
        <w:rPr>
          <w:rFonts w:ascii="Arial" w:hAnsi="Arial" w:cs="Arial"/>
          <w:sz w:val="22"/>
          <w:szCs w:val="22"/>
        </w:rPr>
        <w:t>put into actions</w:t>
      </w:r>
      <w:r w:rsidR="008B3972">
        <w:rPr>
          <w:rFonts w:ascii="Arial" w:hAnsi="Arial" w:cs="Arial"/>
          <w:sz w:val="22"/>
          <w:szCs w:val="22"/>
        </w:rPr>
        <w:t xml:space="preserve"> what best fits them, rather than a nationwide approach. </w:t>
      </w:r>
      <w:r w:rsidR="00621724">
        <w:rPr>
          <w:rFonts w:ascii="Arial" w:hAnsi="Arial" w:cs="Arial"/>
          <w:sz w:val="22"/>
          <w:szCs w:val="22"/>
        </w:rPr>
        <w:t>This finding poses the question for further research as to whether a more relaxed approach on the creation and implementation of cross curricular frameworks encourage or discourage teachers to develop cross-curricular implementation strategies?</w:t>
      </w:r>
    </w:p>
    <w:p w14:paraId="7FBEE7CF" w14:textId="59CFDB0C" w:rsidR="000C0FF4" w:rsidRDefault="000C0FF4" w:rsidP="00745DC6">
      <w:pPr>
        <w:spacing w:line="360" w:lineRule="auto"/>
        <w:rPr>
          <w:rFonts w:ascii="Arial" w:hAnsi="Arial" w:cs="Arial"/>
          <w:sz w:val="22"/>
          <w:szCs w:val="22"/>
        </w:rPr>
      </w:pPr>
    </w:p>
    <w:p w14:paraId="7A0F35A5" w14:textId="3EA2E7AD" w:rsidR="000C0FF4" w:rsidRDefault="000C0FF4" w:rsidP="000C0FF4">
      <w:pPr>
        <w:spacing w:line="360" w:lineRule="auto"/>
        <w:rPr>
          <w:rFonts w:ascii="Arial" w:hAnsi="Arial" w:cs="Arial"/>
          <w:sz w:val="22"/>
          <w:szCs w:val="22"/>
        </w:rPr>
      </w:pPr>
      <w:r>
        <w:rPr>
          <w:rFonts w:ascii="Arial" w:hAnsi="Arial" w:cs="Arial"/>
          <w:sz w:val="22"/>
          <w:szCs w:val="22"/>
        </w:rPr>
        <w:t xml:space="preserve">In </w:t>
      </w:r>
      <w:r w:rsidR="00880BC6">
        <w:rPr>
          <w:rFonts w:ascii="Arial" w:hAnsi="Arial" w:cs="Arial"/>
          <w:sz w:val="22"/>
          <w:szCs w:val="22"/>
        </w:rPr>
        <w:t>support of Savages' (2012) findings</w:t>
      </w:r>
      <w:r w:rsidRPr="00FC6012">
        <w:rPr>
          <w:rFonts w:ascii="Arial" w:hAnsi="Arial" w:cs="Arial"/>
          <w:sz w:val="22"/>
          <w:szCs w:val="22"/>
        </w:rPr>
        <w:t xml:space="preserve">, Hayes (2010, </w:t>
      </w:r>
      <w:r>
        <w:rPr>
          <w:rFonts w:ascii="Arial" w:hAnsi="Arial" w:cs="Arial"/>
          <w:sz w:val="22"/>
          <w:szCs w:val="22"/>
        </w:rPr>
        <w:t xml:space="preserve">pg. </w:t>
      </w:r>
      <w:r w:rsidRPr="00FC6012">
        <w:rPr>
          <w:rFonts w:ascii="Arial" w:hAnsi="Arial" w:cs="Arial"/>
          <w:sz w:val="22"/>
          <w:szCs w:val="22"/>
        </w:rPr>
        <w:t>382) identifies 'The Rose Review' (Rose, 2009) as a critical review that identifies concerns within the National Curriculum. Rose argues that a cross-curricular approach to learning is not a formal way of teaching and lacks opportunities to gain fundamental skills in key subjects. Rose continues to argue that learning needs the boundaries which is provided by single-subject teaching. Barnes (2015, pg. 92) supports the Rose Review by suggesting that learners may become unsure of which subject</w:t>
      </w:r>
      <w:r w:rsidRPr="00F45C46">
        <w:rPr>
          <w:rFonts w:ascii="Arial" w:hAnsi="Arial" w:cs="Arial"/>
          <w:sz w:val="22"/>
          <w:szCs w:val="22"/>
        </w:rPr>
        <w:t xml:space="preserve"> they are learning when involved in a cross-curricular learning approach.</w:t>
      </w:r>
      <w:r>
        <w:rPr>
          <w:rFonts w:ascii="Arial" w:hAnsi="Arial" w:cs="Arial"/>
          <w:sz w:val="22"/>
          <w:szCs w:val="22"/>
        </w:rPr>
        <w:t xml:space="preserve"> The Rose Review goes on to identify that when making cross-curricular links, some subjects have more natural links than others. For example, finding links between music and geography are more difficult than science and technology. Whilst this supports research suggestions of limiting subject involvement to two or three, it completely rejects the transformation set out by the Welsh Government. If practitioners constantly possessed a pessimistic attitude towards creating and finding links between subjects, then cross-curricular learning cannot take place. The design of the new Welsh Government curriculum allows cross-curricular links to naturally flow between AoLE's and frameworks. The Great Teaching toolkit dismisses the Rose Review identification as Dimension 4: Activating Hard Thinking states "Great teachers present content, activities and interactions that ac</w:t>
      </w:r>
      <w:r w:rsidRPr="00FC6012">
        <w:rPr>
          <w:rFonts w:ascii="Arial" w:hAnsi="Arial" w:cs="Arial"/>
          <w:sz w:val="22"/>
          <w:szCs w:val="22"/>
        </w:rPr>
        <w:t>tivate their students' thinking" (Great Teaching Toolkit, 2020).</w:t>
      </w:r>
      <w:r>
        <w:rPr>
          <w:rFonts w:ascii="Arial" w:hAnsi="Arial" w:cs="Arial"/>
          <w:sz w:val="22"/>
          <w:szCs w:val="22"/>
        </w:rPr>
        <w:t xml:space="preserve"> </w:t>
      </w:r>
    </w:p>
    <w:p w14:paraId="1613361A" w14:textId="77777777" w:rsidR="000C0FF4" w:rsidRPr="00745DC6" w:rsidRDefault="000C0FF4" w:rsidP="00745DC6">
      <w:pPr>
        <w:spacing w:line="360" w:lineRule="auto"/>
        <w:rPr>
          <w:rFonts w:ascii="Arial" w:hAnsi="Arial" w:cs="Arial"/>
          <w:sz w:val="22"/>
          <w:szCs w:val="22"/>
        </w:rPr>
      </w:pPr>
    </w:p>
    <w:p w14:paraId="4EBB21BB" w14:textId="77777777" w:rsidR="003870D2" w:rsidRDefault="003870D2"/>
    <w:p w14:paraId="08604EB9" w14:textId="7A9D8395" w:rsidR="007C00CD" w:rsidRPr="00F45C46" w:rsidRDefault="0060653B" w:rsidP="00F45C46">
      <w:pPr>
        <w:spacing w:line="360" w:lineRule="auto"/>
        <w:rPr>
          <w:rFonts w:ascii="Arial" w:hAnsi="Arial" w:cs="Arial"/>
          <w:b/>
          <w:bCs/>
          <w:sz w:val="28"/>
          <w:szCs w:val="28"/>
          <w:u w:val="single"/>
        </w:rPr>
      </w:pPr>
      <w:r w:rsidRPr="00F45C46">
        <w:rPr>
          <w:rFonts w:ascii="Arial" w:hAnsi="Arial" w:cs="Arial"/>
          <w:b/>
          <w:bCs/>
          <w:sz w:val="28"/>
          <w:szCs w:val="28"/>
          <w:u w:val="single"/>
        </w:rPr>
        <w:t>Conclusion</w:t>
      </w:r>
    </w:p>
    <w:p w14:paraId="07CDE437" w14:textId="557EBD20" w:rsidR="0060653B" w:rsidRPr="00E6534B" w:rsidRDefault="0060653B" w:rsidP="00F45C46">
      <w:pPr>
        <w:spacing w:line="360" w:lineRule="auto"/>
        <w:rPr>
          <w:rFonts w:ascii="Arial" w:hAnsi="Arial" w:cs="Arial"/>
          <w:sz w:val="22"/>
          <w:szCs w:val="22"/>
        </w:rPr>
      </w:pPr>
      <w:r w:rsidRPr="00F45C46">
        <w:rPr>
          <w:rFonts w:ascii="Arial" w:hAnsi="Arial" w:cs="Arial"/>
          <w:sz w:val="22"/>
          <w:szCs w:val="22"/>
        </w:rPr>
        <w:t xml:space="preserve">To conclude on this essay, I will reflect on my own experience during PTE1, drawing on research that has previously </w:t>
      </w:r>
      <w:r w:rsidRPr="00E6534B">
        <w:rPr>
          <w:rFonts w:ascii="Arial" w:hAnsi="Arial" w:cs="Arial"/>
          <w:sz w:val="22"/>
          <w:szCs w:val="22"/>
        </w:rPr>
        <w:t xml:space="preserve">been mentioned throughout my essay. By reflecting on my experiences, I will be able to identify any further steps needed to be taken. </w:t>
      </w:r>
      <w:r w:rsidR="00277F03" w:rsidRPr="00E6534B">
        <w:rPr>
          <w:rFonts w:ascii="Arial" w:hAnsi="Arial" w:cs="Arial"/>
          <w:sz w:val="22"/>
          <w:szCs w:val="22"/>
        </w:rPr>
        <w:t>By using Tripp's (2012) approach of taking myself out of the situation to reflect from an outsiders' point of view, I will be able to create an authentic reflection on my experience. Reflective practice has seen a big push in recent years, alongside the Curriculum in Wales. Furlong (</w:t>
      </w:r>
      <w:r w:rsidR="00A201D2">
        <w:rPr>
          <w:rFonts w:ascii="Arial" w:hAnsi="Arial" w:cs="Arial"/>
          <w:sz w:val="22"/>
          <w:szCs w:val="22"/>
        </w:rPr>
        <w:t>2021)</w:t>
      </w:r>
      <w:r w:rsidR="00277F03" w:rsidRPr="00E6534B">
        <w:rPr>
          <w:rFonts w:ascii="Arial" w:hAnsi="Arial" w:cs="Arial"/>
          <w:sz w:val="22"/>
          <w:szCs w:val="22"/>
        </w:rPr>
        <w:t xml:space="preserve"> recognised that Education in Wales is everchanging, therefore in order for professional development to occur, reflection, evaluation and adjustment</w:t>
      </w:r>
      <w:r w:rsidR="00277F03" w:rsidRPr="00F45C46">
        <w:rPr>
          <w:rFonts w:ascii="Arial" w:hAnsi="Arial" w:cs="Arial"/>
          <w:sz w:val="22"/>
          <w:szCs w:val="22"/>
        </w:rPr>
        <w:t xml:space="preserve"> is critical. Due to this everchanging education </w:t>
      </w:r>
      <w:r w:rsidR="00277F03" w:rsidRPr="00E6534B">
        <w:rPr>
          <w:rFonts w:ascii="Arial" w:hAnsi="Arial" w:cs="Arial"/>
          <w:sz w:val="22"/>
          <w:szCs w:val="22"/>
        </w:rPr>
        <w:t xml:space="preserve">system, the Welsh Government announced five new Professional Standards for teaching and leadership in order to align and correctly reflect the new </w:t>
      </w:r>
      <w:r w:rsidR="00277F03" w:rsidRPr="00E6534B">
        <w:rPr>
          <w:rFonts w:ascii="Arial" w:hAnsi="Arial" w:cs="Arial"/>
          <w:sz w:val="22"/>
          <w:szCs w:val="22"/>
        </w:rPr>
        <w:lastRenderedPageBreak/>
        <w:t>curriculum, consisting of: Pedagogy, Collaboration, Leadership, Innovation and Professional Learning (</w:t>
      </w:r>
      <w:r w:rsidR="007C2645" w:rsidRPr="00E6534B">
        <w:rPr>
          <w:rFonts w:ascii="Arial" w:hAnsi="Arial" w:cs="Arial"/>
          <w:sz w:val="22"/>
          <w:szCs w:val="22"/>
        </w:rPr>
        <w:t>HWB, Welsh Government, 2017, Accessed: July 2020). When looking at the five professional standards, the importance of reflection for both practitioners and learners is evidently displayed. In particular, under the Pedagogy standard, there is a standard - 'Reflection on learning' which ensures the teacher "demonstrates an awareness of the importance of encouraging learners' reflection..." (HWB, Welsh Government, 2017, Accessed: July 2020).</w:t>
      </w:r>
    </w:p>
    <w:p w14:paraId="66787484" w14:textId="361AC8F1" w:rsidR="007C2645" w:rsidRPr="00E6534B" w:rsidRDefault="007C2645" w:rsidP="00F45C46">
      <w:pPr>
        <w:spacing w:line="360" w:lineRule="auto"/>
        <w:rPr>
          <w:rFonts w:ascii="Arial" w:hAnsi="Arial" w:cs="Arial"/>
          <w:sz w:val="22"/>
          <w:szCs w:val="22"/>
        </w:rPr>
      </w:pPr>
    </w:p>
    <w:p w14:paraId="56BE5481" w14:textId="5D8BBEF7" w:rsidR="007C00CD" w:rsidRPr="00E6534B" w:rsidRDefault="007C2645" w:rsidP="00F45C46">
      <w:pPr>
        <w:spacing w:line="360" w:lineRule="auto"/>
        <w:rPr>
          <w:rFonts w:ascii="Arial" w:hAnsi="Arial" w:cs="Arial"/>
          <w:sz w:val="22"/>
          <w:szCs w:val="22"/>
        </w:rPr>
      </w:pPr>
      <w:r w:rsidRPr="00E6534B">
        <w:rPr>
          <w:rFonts w:ascii="Arial" w:hAnsi="Arial" w:cs="Arial"/>
          <w:sz w:val="22"/>
          <w:szCs w:val="22"/>
        </w:rPr>
        <w:t xml:space="preserve">When planning my cross-curricular lesson, my mentor and I discussed the importance of each activity having a purpose and ensuring it is building upon previous learning. This is supported by Farmery (2015) statement of </w:t>
      </w:r>
      <w:r w:rsidR="003F5669" w:rsidRPr="00E6534B">
        <w:rPr>
          <w:rFonts w:ascii="Arial" w:hAnsi="Arial" w:cs="Arial"/>
          <w:sz w:val="22"/>
          <w:szCs w:val="22"/>
        </w:rPr>
        <w:t>"... used as a vehicle for their next steps of learning". I decided to implement the Digital Competence Framework, Languages Literacy and Communication</w:t>
      </w:r>
      <w:r w:rsidR="002C29A9" w:rsidRPr="00E6534B">
        <w:rPr>
          <w:rFonts w:ascii="Arial" w:hAnsi="Arial" w:cs="Arial"/>
          <w:sz w:val="22"/>
          <w:szCs w:val="22"/>
        </w:rPr>
        <w:t xml:space="preserve"> (LLC)</w:t>
      </w:r>
      <w:r w:rsidR="003F5669" w:rsidRPr="00E6534B">
        <w:rPr>
          <w:rFonts w:ascii="Arial" w:hAnsi="Arial" w:cs="Arial"/>
          <w:sz w:val="22"/>
          <w:szCs w:val="22"/>
        </w:rPr>
        <w:t xml:space="preserve"> AoLE and Science and Technology AoLE. Thus, aligning with suggested research of limiting subject involvement to two or three to gain knowledge attainment (Barnes and Shirley, 2007; Jacobs, 2004; Roth, 2000). </w:t>
      </w:r>
      <w:r w:rsidR="008E4635" w:rsidRPr="00E6534B">
        <w:rPr>
          <w:rFonts w:ascii="Arial" w:hAnsi="Arial" w:cs="Arial"/>
          <w:sz w:val="22"/>
          <w:szCs w:val="22"/>
        </w:rPr>
        <w:t xml:space="preserve">Consequently, when delivering this lesson, knowledge attainment and engagement levels was high throughout. Learners were aware of what AoLE we were covering that </w:t>
      </w:r>
      <w:r w:rsidR="00C14204" w:rsidRPr="00E6534B">
        <w:rPr>
          <w:rFonts w:ascii="Arial" w:hAnsi="Arial" w:cs="Arial"/>
          <w:sz w:val="22"/>
          <w:szCs w:val="22"/>
        </w:rPr>
        <w:t>lesson,</w:t>
      </w:r>
      <w:r w:rsidR="008E4635" w:rsidRPr="00E6534B">
        <w:rPr>
          <w:rFonts w:ascii="Arial" w:hAnsi="Arial" w:cs="Arial"/>
          <w:sz w:val="22"/>
          <w:szCs w:val="22"/>
        </w:rPr>
        <w:t xml:space="preserve"> and this encouraged them to take responsibility of their learning as they were more involved. </w:t>
      </w:r>
      <w:r w:rsidR="00E802A4" w:rsidRPr="00E6534B">
        <w:rPr>
          <w:rFonts w:ascii="Arial" w:hAnsi="Arial" w:cs="Arial"/>
          <w:sz w:val="22"/>
          <w:szCs w:val="22"/>
        </w:rPr>
        <w:t>However, by implementing the frameworks and AoLE's previously mentioned</w:t>
      </w:r>
      <w:r w:rsidR="00C50507" w:rsidRPr="00E6534B">
        <w:rPr>
          <w:rFonts w:ascii="Arial" w:hAnsi="Arial" w:cs="Arial"/>
          <w:sz w:val="22"/>
          <w:szCs w:val="22"/>
        </w:rPr>
        <w:t xml:space="preserve">, I recognise that I gravitated to implementing the most obvious frameworks and AoLE's. Next time I create a cross-curricular lesson I will try and involve other AoLE's that may not be the most obvious, for example, implementing </w:t>
      </w:r>
      <w:r w:rsidR="00A93FAB">
        <w:rPr>
          <w:rFonts w:ascii="Arial" w:hAnsi="Arial" w:cs="Arial"/>
          <w:sz w:val="22"/>
          <w:szCs w:val="22"/>
        </w:rPr>
        <w:t xml:space="preserve">AoLE </w:t>
      </w:r>
      <w:r w:rsidR="00C50507" w:rsidRPr="00E6534B">
        <w:rPr>
          <w:rFonts w:ascii="Arial" w:hAnsi="Arial" w:cs="Arial"/>
          <w:sz w:val="22"/>
          <w:szCs w:val="22"/>
        </w:rPr>
        <w:t xml:space="preserve">Health and Wellbeing. By incorporating the less obvious AoLE's, it will enhance my provision of cross-curricular learning. </w:t>
      </w:r>
    </w:p>
    <w:p w14:paraId="5EF49E6C" w14:textId="77777777" w:rsidR="00C50507" w:rsidRPr="00E6534B" w:rsidRDefault="00C50507" w:rsidP="00F45C46">
      <w:pPr>
        <w:spacing w:line="360" w:lineRule="auto"/>
        <w:rPr>
          <w:rFonts w:ascii="Arial" w:hAnsi="Arial" w:cs="Arial"/>
          <w:sz w:val="22"/>
          <w:szCs w:val="22"/>
        </w:rPr>
      </w:pPr>
    </w:p>
    <w:p w14:paraId="35B964D8" w14:textId="62F31267" w:rsidR="00AE3363" w:rsidRPr="00E6534B" w:rsidRDefault="00AE3363" w:rsidP="00F45C46">
      <w:pPr>
        <w:spacing w:line="360" w:lineRule="auto"/>
        <w:rPr>
          <w:rFonts w:ascii="Arial" w:hAnsi="Arial" w:cs="Arial"/>
          <w:sz w:val="22"/>
          <w:szCs w:val="22"/>
        </w:rPr>
      </w:pPr>
      <w:r w:rsidRPr="00E6534B">
        <w:rPr>
          <w:rFonts w:ascii="Arial" w:hAnsi="Arial" w:cs="Arial"/>
          <w:sz w:val="22"/>
          <w:szCs w:val="22"/>
        </w:rPr>
        <w:t>The term topic was Natural disasters, specifically Volcanoes in Pompeii. I decided to incorporate Minecraft Education through the HWB website, where there was a pre-made 'world' of Pompeii. Learners were given time to self-explore the 'world', developing th</w:t>
      </w:r>
      <w:r w:rsidR="00A93FAB">
        <w:rPr>
          <w:rFonts w:ascii="Arial" w:hAnsi="Arial" w:cs="Arial"/>
          <w:sz w:val="22"/>
          <w:szCs w:val="22"/>
        </w:rPr>
        <w:t>eir</w:t>
      </w:r>
      <w:r w:rsidRPr="00E6534B">
        <w:rPr>
          <w:rFonts w:ascii="Arial" w:hAnsi="Arial" w:cs="Arial"/>
          <w:sz w:val="22"/>
          <w:szCs w:val="22"/>
        </w:rPr>
        <w:t xml:space="preserve"> digital competence skills and then have a set amount of time to complete the task</w:t>
      </w:r>
      <w:r w:rsidR="002C29A9" w:rsidRPr="00E6534B">
        <w:rPr>
          <w:rFonts w:ascii="Arial" w:hAnsi="Arial" w:cs="Arial"/>
          <w:sz w:val="22"/>
          <w:szCs w:val="22"/>
        </w:rPr>
        <w:t>, incorporating the LLC AoLE.</w:t>
      </w:r>
      <w:r w:rsidRPr="00E6534B">
        <w:rPr>
          <w:rFonts w:ascii="Arial" w:hAnsi="Arial" w:cs="Arial"/>
          <w:sz w:val="22"/>
          <w:szCs w:val="22"/>
        </w:rPr>
        <w:t xml:space="preserve"> Minecraft Education is a relatively new apparatus of learning and something my mentor and I knew little about.</w:t>
      </w:r>
      <w:r w:rsidR="002C29A9" w:rsidRPr="00E6534B">
        <w:rPr>
          <w:rFonts w:ascii="Arial" w:hAnsi="Arial" w:cs="Arial"/>
          <w:sz w:val="22"/>
          <w:szCs w:val="22"/>
        </w:rPr>
        <w:t xml:space="preserve"> Reflecting on this particular lesson, it would have been beneficial for myself to have more knowledge and understanding about the software. Although I spent a few hours getting to know the basics, </w:t>
      </w:r>
      <w:r w:rsidR="006D3070" w:rsidRPr="00E6534B">
        <w:rPr>
          <w:rFonts w:ascii="Arial" w:hAnsi="Arial" w:cs="Arial"/>
          <w:sz w:val="22"/>
          <w:szCs w:val="22"/>
        </w:rPr>
        <w:t>learners</w:t>
      </w:r>
      <w:r w:rsidR="002C29A9" w:rsidRPr="00E6534B">
        <w:rPr>
          <w:rFonts w:ascii="Arial" w:hAnsi="Arial" w:cs="Arial"/>
          <w:sz w:val="22"/>
          <w:szCs w:val="22"/>
        </w:rPr>
        <w:t xml:space="preserve"> knew a lot more about the software than I did and as a result, gave me tips on how to use the software. Thinking back to wider research I have discovered, this supports </w:t>
      </w:r>
      <w:r w:rsidR="00CE5A40" w:rsidRPr="00E6534B">
        <w:rPr>
          <w:rFonts w:ascii="Arial" w:hAnsi="Arial" w:cs="Arial"/>
          <w:sz w:val="22"/>
          <w:szCs w:val="22"/>
        </w:rPr>
        <w:t>Rogers (2003</w:t>
      </w:r>
      <w:r w:rsidR="001B232C" w:rsidRPr="00E6534B">
        <w:rPr>
          <w:rFonts w:ascii="Arial" w:hAnsi="Arial" w:cs="Arial"/>
          <w:sz w:val="22"/>
          <w:szCs w:val="22"/>
        </w:rPr>
        <w:t>, pg. 92</w:t>
      </w:r>
      <w:r w:rsidR="00CE5A40" w:rsidRPr="00E6534B">
        <w:rPr>
          <w:rFonts w:ascii="Arial" w:hAnsi="Arial" w:cs="Arial"/>
          <w:sz w:val="22"/>
          <w:szCs w:val="22"/>
        </w:rPr>
        <w:t xml:space="preserve">) as I lacked a solid foundation in my knowledge when delivering the lesson. Although, my lack of knowledge did not have a negative impact towards learners’ engagement and understanding of the task. Going forward, I will ensure I build upon this and continue to explore Minecraft </w:t>
      </w:r>
      <w:r w:rsidR="00CE5A40" w:rsidRPr="00E6534B">
        <w:rPr>
          <w:rFonts w:ascii="Arial" w:hAnsi="Arial" w:cs="Arial"/>
          <w:sz w:val="22"/>
          <w:szCs w:val="22"/>
        </w:rPr>
        <w:lastRenderedPageBreak/>
        <w:t xml:space="preserve">Education, as it is a great tool of learning and something I would definitely use again but with more knowledge. </w:t>
      </w:r>
    </w:p>
    <w:p w14:paraId="4C3BA232" w14:textId="1D9F6570" w:rsidR="006D3070" w:rsidRPr="00F45C46" w:rsidRDefault="006D3070" w:rsidP="00F45C46">
      <w:pPr>
        <w:spacing w:line="360" w:lineRule="auto"/>
        <w:rPr>
          <w:rFonts w:ascii="Arial" w:hAnsi="Arial" w:cs="Arial"/>
          <w:sz w:val="22"/>
          <w:szCs w:val="22"/>
        </w:rPr>
      </w:pPr>
      <w:r w:rsidRPr="00E6534B">
        <w:rPr>
          <w:rFonts w:ascii="Arial" w:hAnsi="Arial" w:cs="Arial"/>
          <w:sz w:val="22"/>
          <w:szCs w:val="22"/>
        </w:rPr>
        <w:t xml:space="preserve">In </w:t>
      </w:r>
      <w:r w:rsidR="0051217F" w:rsidRPr="00E6534B">
        <w:rPr>
          <w:rFonts w:ascii="Arial" w:hAnsi="Arial" w:cs="Arial"/>
          <w:sz w:val="22"/>
          <w:szCs w:val="22"/>
        </w:rPr>
        <w:t xml:space="preserve">the reflection process, I recognised that my cross-curricular lesson actually took up the whole day. This is partially because in my class, we taught in a rotational system rather than whole class teaching, but also because the task took longer than anticipated and learners were enjoying the task. </w:t>
      </w:r>
      <w:r w:rsidR="00A93FAB">
        <w:rPr>
          <w:rFonts w:ascii="Arial" w:hAnsi="Arial" w:cs="Arial"/>
          <w:sz w:val="22"/>
          <w:szCs w:val="22"/>
        </w:rPr>
        <w:t xml:space="preserve">As </w:t>
      </w:r>
      <w:r w:rsidR="0051217F" w:rsidRPr="00E6534B">
        <w:rPr>
          <w:rFonts w:ascii="Arial" w:hAnsi="Arial" w:cs="Arial"/>
          <w:sz w:val="22"/>
          <w:szCs w:val="22"/>
        </w:rPr>
        <w:t>the lesson took all day</w:t>
      </w:r>
      <w:r w:rsidR="00A93FAB">
        <w:rPr>
          <w:rFonts w:ascii="Arial" w:hAnsi="Arial" w:cs="Arial"/>
          <w:sz w:val="22"/>
          <w:szCs w:val="22"/>
        </w:rPr>
        <w:t>, it</w:t>
      </w:r>
      <w:r w:rsidR="0051217F" w:rsidRPr="00E6534B">
        <w:rPr>
          <w:rFonts w:ascii="Arial" w:hAnsi="Arial" w:cs="Arial"/>
          <w:sz w:val="22"/>
          <w:szCs w:val="22"/>
        </w:rPr>
        <w:t xml:space="preserve"> justifies Price</w:t>
      </w:r>
      <w:r w:rsidR="00A93FAB">
        <w:rPr>
          <w:rFonts w:ascii="Arial" w:hAnsi="Arial" w:cs="Arial"/>
          <w:sz w:val="22"/>
          <w:szCs w:val="22"/>
        </w:rPr>
        <w:t>s'</w:t>
      </w:r>
      <w:r w:rsidR="0051217F" w:rsidRPr="00E6534B">
        <w:rPr>
          <w:rFonts w:ascii="Arial" w:hAnsi="Arial" w:cs="Arial"/>
          <w:sz w:val="22"/>
          <w:szCs w:val="22"/>
        </w:rPr>
        <w:t xml:space="preserve"> (2010) decision of holding a 'mega-day' which was solely focused on cross-curricular learning. In my next steps, I will try and ensure cross-curricular </w:t>
      </w:r>
      <w:r w:rsidR="00E802A4" w:rsidRPr="00E6534B">
        <w:rPr>
          <w:rFonts w:ascii="Arial" w:hAnsi="Arial" w:cs="Arial"/>
          <w:sz w:val="22"/>
          <w:szCs w:val="22"/>
        </w:rPr>
        <w:t xml:space="preserve">learning is </w:t>
      </w:r>
      <w:r w:rsidR="0051217F" w:rsidRPr="00E6534B">
        <w:rPr>
          <w:rFonts w:ascii="Arial" w:hAnsi="Arial" w:cs="Arial"/>
          <w:sz w:val="22"/>
          <w:szCs w:val="22"/>
        </w:rPr>
        <w:t>implemented through everyday</w:t>
      </w:r>
      <w:r w:rsidR="0051217F" w:rsidRPr="00F45C46">
        <w:rPr>
          <w:rFonts w:ascii="Arial" w:hAnsi="Arial" w:cs="Arial"/>
          <w:sz w:val="22"/>
          <w:szCs w:val="22"/>
        </w:rPr>
        <w:t xml:space="preserve"> tasks and </w:t>
      </w:r>
      <w:r w:rsidR="00E802A4" w:rsidRPr="00F45C46">
        <w:rPr>
          <w:rFonts w:ascii="Arial" w:hAnsi="Arial" w:cs="Arial"/>
          <w:sz w:val="22"/>
          <w:szCs w:val="22"/>
        </w:rPr>
        <w:t xml:space="preserve">as often as possible. I recognise that cross-curricular learning does not need to be a big, exaggerated lesson. I would like to </w:t>
      </w:r>
      <w:r w:rsidR="008B08CF">
        <w:rPr>
          <w:rFonts w:ascii="Arial" w:hAnsi="Arial" w:cs="Arial"/>
          <w:sz w:val="22"/>
          <w:szCs w:val="22"/>
        </w:rPr>
        <w:t>deliver</w:t>
      </w:r>
      <w:r w:rsidR="00E802A4" w:rsidRPr="00F45C46">
        <w:rPr>
          <w:rFonts w:ascii="Arial" w:hAnsi="Arial" w:cs="Arial"/>
          <w:sz w:val="22"/>
          <w:szCs w:val="22"/>
        </w:rPr>
        <w:t xml:space="preserve"> a cross-curricular activity in a small and subtle way to </w:t>
      </w:r>
      <w:r w:rsidR="00A93FAB" w:rsidRPr="00F45C46">
        <w:rPr>
          <w:rFonts w:ascii="Arial" w:hAnsi="Arial" w:cs="Arial"/>
          <w:sz w:val="22"/>
          <w:szCs w:val="22"/>
        </w:rPr>
        <w:t>i</w:t>
      </w:r>
      <w:r w:rsidR="00A93FAB">
        <w:rPr>
          <w:rFonts w:ascii="Arial" w:hAnsi="Arial" w:cs="Arial"/>
          <w:sz w:val="22"/>
          <w:szCs w:val="22"/>
        </w:rPr>
        <w:t>nvestigate</w:t>
      </w:r>
      <w:r w:rsidR="00E802A4" w:rsidRPr="00F45C46">
        <w:rPr>
          <w:rFonts w:ascii="Arial" w:hAnsi="Arial" w:cs="Arial"/>
          <w:sz w:val="22"/>
          <w:szCs w:val="22"/>
        </w:rPr>
        <w:t xml:space="preserve"> </w:t>
      </w:r>
      <w:r w:rsidR="00A93FAB">
        <w:rPr>
          <w:rFonts w:ascii="Arial" w:hAnsi="Arial" w:cs="Arial"/>
          <w:sz w:val="22"/>
          <w:szCs w:val="22"/>
        </w:rPr>
        <w:t xml:space="preserve">whether </w:t>
      </w:r>
      <w:r w:rsidR="00E802A4" w:rsidRPr="00F45C46">
        <w:rPr>
          <w:rFonts w:ascii="Arial" w:hAnsi="Arial" w:cs="Arial"/>
          <w:sz w:val="22"/>
          <w:szCs w:val="22"/>
        </w:rPr>
        <w:t xml:space="preserve">this has any impact on learners’ knowledge or attainment. </w:t>
      </w:r>
    </w:p>
    <w:p w14:paraId="0BF1C918" w14:textId="55BC6307" w:rsidR="007C00CD" w:rsidRPr="00F45C46" w:rsidRDefault="007C00CD" w:rsidP="00F45C46">
      <w:pPr>
        <w:spacing w:line="360" w:lineRule="auto"/>
        <w:rPr>
          <w:rFonts w:ascii="Arial" w:hAnsi="Arial" w:cs="Arial"/>
          <w:sz w:val="22"/>
          <w:szCs w:val="22"/>
        </w:rPr>
      </w:pPr>
    </w:p>
    <w:p w14:paraId="372FDE0F" w14:textId="4266A91C" w:rsidR="007C00CD" w:rsidRDefault="007C00CD"/>
    <w:p w14:paraId="777271D5" w14:textId="4FDDEB2F" w:rsidR="007C00CD" w:rsidRDefault="007C00CD"/>
    <w:p w14:paraId="0F9438AD" w14:textId="444F0D14" w:rsidR="003572B5" w:rsidRDefault="003572B5"/>
    <w:p w14:paraId="27B59601" w14:textId="7C4860C1" w:rsidR="003572B5" w:rsidRDefault="003572B5"/>
    <w:p w14:paraId="7FB4B562" w14:textId="529F78BF" w:rsidR="003572B5" w:rsidRDefault="003572B5"/>
    <w:p w14:paraId="4AE812E0" w14:textId="4428ECE6" w:rsidR="003572B5" w:rsidRDefault="003572B5"/>
    <w:p w14:paraId="7114FF01" w14:textId="4D87C631" w:rsidR="003572B5" w:rsidRDefault="003572B5"/>
    <w:p w14:paraId="6CCB3751" w14:textId="4B15FF62" w:rsidR="003572B5" w:rsidRDefault="003572B5"/>
    <w:p w14:paraId="25F32E3E" w14:textId="7D41B99E" w:rsidR="003572B5" w:rsidRDefault="003572B5"/>
    <w:p w14:paraId="5D7ACBF9" w14:textId="4AEFE6C0" w:rsidR="003572B5" w:rsidRDefault="003572B5"/>
    <w:p w14:paraId="70741EAD" w14:textId="31C9C544" w:rsidR="003572B5" w:rsidRDefault="003572B5"/>
    <w:p w14:paraId="24A18344" w14:textId="63359F11" w:rsidR="003572B5" w:rsidRDefault="003572B5"/>
    <w:p w14:paraId="1B244770" w14:textId="59D55B9E" w:rsidR="003572B5" w:rsidRDefault="003572B5"/>
    <w:p w14:paraId="6928A49F" w14:textId="57405B00" w:rsidR="003572B5" w:rsidRDefault="003572B5"/>
    <w:p w14:paraId="5AEFF6C6" w14:textId="42DAF9B9" w:rsidR="003572B5" w:rsidRDefault="003572B5"/>
    <w:p w14:paraId="65AB0858" w14:textId="6D6C0583" w:rsidR="003572B5" w:rsidRDefault="003572B5"/>
    <w:p w14:paraId="641C61DB" w14:textId="2FE304B9" w:rsidR="003572B5" w:rsidRDefault="003572B5"/>
    <w:p w14:paraId="3338F1D8" w14:textId="2AA2ADA2" w:rsidR="003572B5" w:rsidRDefault="003572B5"/>
    <w:p w14:paraId="3DEBE23D" w14:textId="1D531574" w:rsidR="003572B5" w:rsidRDefault="003572B5"/>
    <w:p w14:paraId="176ACE12" w14:textId="77705497" w:rsidR="003572B5" w:rsidRDefault="003572B5"/>
    <w:p w14:paraId="2B6A0CB5" w14:textId="1E764C4E" w:rsidR="003572B5" w:rsidRDefault="003572B5"/>
    <w:p w14:paraId="3B5A09ED" w14:textId="083BAEC7" w:rsidR="003572B5" w:rsidRDefault="003572B5"/>
    <w:p w14:paraId="74ACCE6C" w14:textId="2478060A" w:rsidR="003572B5" w:rsidRDefault="003572B5"/>
    <w:p w14:paraId="2B8C6A67" w14:textId="44DAB0CF" w:rsidR="003572B5" w:rsidRDefault="003572B5"/>
    <w:p w14:paraId="14BDC24E" w14:textId="4ED3DA4A" w:rsidR="003572B5" w:rsidRDefault="003572B5"/>
    <w:p w14:paraId="306A2C50" w14:textId="7432D453" w:rsidR="003572B5" w:rsidRDefault="003572B5"/>
    <w:p w14:paraId="5D085722" w14:textId="24038B3F" w:rsidR="003572B5" w:rsidRDefault="003572B5"/>
    <w:p w14:paraId="3701A5D6" w14:textId="5543D430" w:rsidR="003572B5" w:rsidRDefault="003572B5"/>
    <w:p w14:paraId="2630204A" w14:textId="1F536B1C" w:rsidR="003572B5" w:rsidRDefault="003572B5"/>
    <w:p w14:paraId="5E40DBCD" w14:textId="5E818454" w:rsidR="003572B5" w:rsidRDefault="003572B5"/>
    <w:p w14:paraId="29BE60C3" w14:textId="0792CEF1" w:rsidR="004305B0" w:rsidRDefault="004305B0"/>
    <w:p w14:paraId="2619AC93" w14:textId="77777777" w:rsidR="004305B0" w:rsidRDefault="004305B0"/>
    <w:p w14:paraId="2AB9E01B" w14:textId="77777777" w:rsidR="000C0FF4" w:rsidRDefault="000C0FF4" w:rsidP="004305B0">
      <w:pPr>
        <w:spacing w:line="360" w:lineRule="auto"/>
      </w:pPr>
    </w:p>
    <w:p w14:paraId="39A38686" w14:textId="3489EF9B" w:rsidR="004305B0" w:rsidRPr="004305B0" w:rsidRDefault="007C00CD" w:rsidP="004305B0">
      <w:pPr>
        <w:spacing w:line="360" w:lineRule="auto"/>
        <w:rPr>
          <w:rFonts w:ascii="Arial" w:hAnsi="Arial" w:cs="Arial"/>
          <w:b/>
          <w:bCs/>
          <w:sz w:val="28"/>
          <w:szCs w:val="28"/>
          <w:u w:val="single"/>
        </w:rPr>
      </w:pPr>
      <w:r w:rsidRPr="00F45C46">
        <w:rPr>
          <w:rFonts w:ascii="Arial" w:hAnsi="Arial" w:cs="Arial"/>
          <w:b/>
          <w:bCs/>
          <w:sz w:val="28"/>
          <w:szCs w:val="28"/>
          <w:u w:val="single"/>
        </w:rPr>
        <w:lastRenderedPageBreak/>
        <w:t>References</w:t>
      </w:r>
    </w:p>
    <w:p w14:paraId="516C9C85" w14:textId="77777777" w:rsidR="004305B0" w:rsidRPr="004305B0" w:rsidRDefault="004305B0" w:rsidP="004305B0">
      <w:pPr>
        <w:spacing w:line="360" w:lineRule="auto"/>
        <w:rPr>
          <w:rFonts w:ascii="Arial" w:hAnsi="Arial" w:cs="Arial"/>
          <w:sz w:val="22"/>
          <w:szCs w:val="22"/>
        </w:rPr>
      </w:pPr>
      <w:r w:rsidRPr="004305B0">
        <w:rPr>
          <w:rFonts w:ascii="Arial" w:hAnsi="Arial" w:cs="Arial"/>
          <w:sz w:val="22"/>
          <w:szCs w:val="22"/>
        </w:rPr>
        <w:t xml:space="preserve">Barnes, J. (2015) </w:t>
      </w:r>
      <w:r w:rsidRPr="004305B0">
        <w:rPr>
          <w:rFonts w:ascii="Arial" w:hAnsi="Arial" w:cs="Arial"/>
          <w:i/>
          <w:iCs/>
          <w:sz w:val="22"/>
          <w:szCs w:val="22"/>
        </w:rPr>
        <w:t xml:space="preserve">Cross-curricular Learning 3-14. </w:t>
      </w:r>
      <w:r w:rsidRPr="004305B0">
        <w:rPr>
          <w:rFonts w:ascii="Arial" w:hAnsi="Arial" w:cs="Arial"/>
          <w:sz w:val="22"/>
          <w:szCs w:val="22"/>
        </w:rPr>
        <w:t xml:space="preserve">3rd ed. London: Sage. </w:t>
      </w:r>
    </w:p>
    <w:p w14:paraId="7AF1DD8D" w14:textId="77777777" w:rsidR="004305B0" w:rsidRDefault="004305B0" w:rsidP="004305B0">
      <w:pPr>
        <w:spacing w:line="360" w:lineRule="auto"/>
        <w:rPr>
          <w:rFonts w:ascii="Arial" w:hAnsi="Arial" w:cs="Arial"/>
          <w:sz w:val="22"/>
          <w:szCs w:val="22"/>
        </w:rPr>
      </w:pPr>
    </w:p>
    <w:p w14:paraId="4EBD6BFD" w14:textId="72AD3C5E" w:rsidR="004305B0" w:rsidRPr="004305B0" w:rsidRDefault="004305B0" w:rsidP="004305B0">
      <w:pPr>
        <w:spacing w:line="360" w:lineRule="auto"/>
        <w:rPr>
          <w:rFonts w:ascii="Arial" w:hAnsi="Arial" w:cs="Arial"/>
          <w:sz w:val="22"/>
          <w:szCs w:val="22"/>
        </w:rPr>
      </w:pPr>
      <w:r w:rsidRPr="004305B0">
        <w:rPr>
          <w:rFonts w:ascii="Arial" w:hAnsi="Arial" w:cs="Arial"/>
          <w:sz w:val="22"/>
          <w:szCs w:val="22"/>
        </w:rPr>
        <w:t xml:space="preserve">Barnes, J. and Shirley, I. (2005) Strangely familiar: Promoting Creativity in Initial Teacher Education, paper presented at British Educational Research Association (BERA) conference, 16th September. </w:t>
      </w:r>
    </w:p>
    <w:p w14:paraId="036A1E7C" w14:textId="77777777" w:rsidR="004305B0" w:rsidRDefault="004305B0" w:rsidP="004305B0">
      <w:pPr>
        <w:spacing w:line="360" w:lineRule="auto"/>
        <w:rPr>
          <w:rFonts w:ascii="Arial" w:hAnsi="Arial" w:cs="Arial"/>
          <w:sz w:val="22"/>
          <w:szCs w:val="22"/>
        </w:rPr>
      </w:pPr>
    </w:p>
    <w:p w14:paraId="53E4A24C" w14:textId="2BCD70B8" w:rsidR="004305B0" w:rsidRPr="004305B0" w:rsidRDefault="004305B0" w:rsidP="004305B0">
      <w:pPr>
        <w:spacing w:line="360" w:lineRule="auto"/>
        <w:rPr>
          <w:rFonts w:ascii="Arial" w:hAnsi="Arial" w:cs="Arial"/>
          <w:sz w:val="22"/>
          <w:szCs w:val="22"/>
        </w:rPr>
      </w:pPr>
      <w:r w:rsidRPr="004305B0">
        <w:rPr>
          <w:rFonts w:ascii="Arial" w:hAnsi="Arial" w:cs="Arial"/>
          <w:sz w:val="22"/>
          <w:szCs w:val="22"/>
        </w:rPr>
        <w:t xml:space="preserve">Birchinall, L. (2013) 'Case study of trainee teachers' responses to the impact on engagement and motivation in learning through a model of cross-curricular context-based learning: ' keeping fit and healthy''. </w:t>
      </w:r>
      <w:r w:rsidRPr="004305B0">
        <w:rPr>
          <w:rFonts w:ascii="Arial" w:hAnsi="Arial" w:cs="Arial"/>
          <w:i/>
          <w:iCs/>
          <w:sz w:val="22"/>
          <w:szCs w:val="22"/>
        </w:rPr>
        <w:t xml:space="preserve">The Curriculum Journal. </w:t>
      </w:r>
      <w:r w:rsidRPr="004305B0">
        <w:rPr>
          <w:rFonts w:ascii="Arial" w:hAnsi="Arial" w:cs="Arial"/>
          <w:sz w:val="22"/>
          <w:szCs w:val="22"/>
        </w:rPr>
        <w:t>Vol. 24 (1)</w:t>
      </w:r>
    </w:p>
    <w:p w14:paraId="1D5DE8EA" w14:textId="77777777" w:rsidR="000C0FF4" w:rsidRDefault="000C0FF4" w:rsidP="004305B0">
      <w:pPr>
        <w:spacing w:line="360" w:lineRule="auto"/>
        <w:rPr>
          <w:rFonts w:ascii="Arial" w:hAnsi="Arial" w:cs="Arial"/>
          <w:sz w:val="22"/>
          <w:szCs w:val="22"/>
        </w:rPr>
      </w:pPr>
    </w:p>
    <w:p w14:paraId="05333234" w14:textId="2B314CD9" w:rsidR="004305B0" w:rsidRPr="004305B0" w:rsidRDefault="004305B0" w:rsidP="004305B0">
      <w:pPr>
        <w:spacing w:line="360" w:lineRule="auto"/>
        <w:rPr>
          <w:rFonts w:ascii="Arial" w:hAnsi="Arial" w:cs="Arial"/>
          <w:sz w:val="22"/>
          <w:szCs w:val="22"/>
        </w:rPr>
      </w:pPr>
      <w:r w:rsidRPr="004305B0">
        <w:rPr>
          <w:rFonts w:ascii="Arial" w:hAnsi="Arial" w:cs="Arial"/>
          <w:sz w:val="22"/>
          <w:szCs w:val="22"/>
        </w:rPr>
        <w:t xml:space="preserve">Farmery, C. (2015) ' The cross-curricular approach in Key Stage 2'. In, Kerry, T. (2015) 'Cross Curricular Teaching in the Primary School' </w:t>
      </w:r>
      <w:r w:rsidRPr="004305B0">
        <w:rPr>
          <w:rFonts w:ascii="Arial" w:hAnsi="Arial" w:cs="Arial"/>
          <w:i/>
          <w:iCs/>
          <w:sz w:val="22"/>
          <w:szCs w:val="22"/>
        </w:rPr>
        <w:t>Planning and Facilitating Imaginative Lessons.</w:t>
      </w:r>
      <w:r w:rsidRPr="004305B0">
        <w:rPr>
          <w:rFonts w:ascii="Arial" w:hAnsi="Arial" w:cs="Arial"/>
          <w:sz w:val="22"/>
          <w:szCs w:val="22"/>
        </w:rPr>
        <w:t xml:space="preserve"> 2nd ed. </w:t>
      </w:r>
    </w:p>
    <w:p w14:paraId="11D351D6" w14:textId="77777777" w:rsidR="000C0FF4" w:rsidRDefault="000C0FF4" w:rsidP="004305B0">
      <w:pPr>
        <w:spacing w:line="360" w:lineRule="auto"/>
        <w:rPr>
          <w:rFonts w:ascii="Arial" w:hAnsi="Arial" w:cs="Arial"/>
          <w:color w:val="000000" w:themeColor="text1"/>
          <w:sz w:val="22"/>
          <w:szCs w:val="22"/>
          <w:shd w:val="clear" w:color="auto" w:fill="FFFFFF"/>
        </w:rPr>
      </w:pPr>
    </w:p>
    <w:p w14:paraId="18199A48" w14:textId="36BD28CF" w:rsidR="004305B0" w:rsidRPr="004305B0" w:rsidRDefault="004305B0" w:rsidP="004305B0">
      <w:pPr>
        <w:spacing w:line="360" w:lineRule="auto"/>
        <w:rPr>
          <w:rFonts w:ascii="Arial" w:hAnsi="Arial" w:cs="Arial"/>
          <w:color w:val="000000" w:themeColor="text1"/>
          <w:sz w:val="22"/>
          <w:szCs w:val="22"/>
        </w:rPr>
      </w:pPr>
      <w:r w:rsidRPr="004305B0">
        <w:rPr>
          <w:rFonts w:ascii="Arial" w:hAnsi="Arial" w:cs="Arial"/>
          <w:color w:val="000000" w:themeColor="text1"/>
          <w:sz w:val="22"/>
          <w:szCs w:val="22"/>
          <w:shd w:val="clear" w:color="auto" w:fill="FFFFFF"/>
        </w:rPr>
        <w:t>Fleisch, B. (2011) ‘Mona Mourshed, Chinezi Chijioke and Michael Barber: How the world’s most improved school systems keep getting better: McKinsey &amp; Company, 2010’, </w:t>
      </w:r>
      <w:r w:rsidRPr="004305B0">
        <w:rPr>
          <w:rFonts w:ascii="Arial" w:hAnsi="Arial" w:cs="Arial"/>
          <w:i/>
          <w:iCs/>
          <w:color w:val="000000" w:themeColor="text1"/>
          <w:sz w:val="22"/>
          <w:szCs w:val="22"/>
          <w:shd w:val="clear" w:color="auto" w:fill="FFFFFF"/>
        </w:rPr>
        <w:t>Journal of Educational Change</w:t>
      </w:r>
      <w:r w:rsidRPr="004305B0">
        <w:rPr>
          <w:rFonts w:ascii="Arial" w:hAnsi="Arial" w:cs="Arial"/>
          <w:color w:val="000000" w:themeColor="text1"/>
          <w:sz w:val="22"/>
          <w:szCs w:val="22"/>
          <w:shd w:val="clear" w:color="auto" w:fill="FFFFFF"/>
        </w:rPr>
        <w:t>. Dordrecht: Springer Netherlands, pp. 469–472. doi:10.1007/s10833-011-9175-9.</w:t>
      </w:r>
    </w:p>
    <w:p w14:paraId="1281C6AC" w14:textId="77777777" w:rsidR="000C0FF4" w:rsidRDefault="000C0FF4" w:rsidP="004305B0">
      <w:pPr>
        <w:pStyle w:val="Heading2"/>
        <w:shd w:val="clear" w:color="auto" w:fill="FFFFFF"/>
        <w:spacing w:before="0"/>
        <w:rPr>
          <w:rFonts w:ascii="Arial" w:hAnsi="Arial" w:cs="Arial"/>
          <w:b w:val="0"/>
          <w:color w:val="000000" w:themeColor="text1"/>
          <w:sz w:val="22"/>
          <w:szCs w:val="22"/>
        </w:rPr>
      </w:pPr>
    </w:p>
    <w:p w14:paraId="29408823" w14:textId="72F740E7" w:rsidR="004305B0" w:rsidRPr="004305B0" w:rsidRDefault="004305B0" w:rsidP="004305B0">
      <w:pPr>
        <w:pStyle w:val="Heading2"/>
        <w:shd w:val="clear" w:color="auto" w:fill="FFFFFF"/>
        <w:spacing w:before="0"/>
        <w:rPr>
          <w:rFonts w:ascii="Arial" w:hAnsi="Arial" w:cs="Arial"/>
          <w:b w:val="0"/>
          <w:bCs/>
          <w:color w:val="000000" w:themeColor="text1"/>
          <w:sz w:val="22"/>
          <w:szCs w:val="22"/>
        </w:rPr>
      </w:pPr>
      <w:r w:rsidRPr="004305B0">
        <w:rPr>
          <w:rFonts w:ascii="Arial" w:hAnsi="Arial" w:cs="Arial"/>
          <w:b w:val="0"/>
          <w:color w:val="000000" w:themeColor="text1"/>
          <w:sz w:val="22"/>
          <w:szCs w:val="22"/>
        </w:rPr>
        <w:t xml:space="preserve">Furlong, J. (2021) A landmark in Welsh education reform - new criteria for the accreditation of Initial Teacher Education. Education Workforce Council. Available at: https://www.ewc.wales/site/index.php/en/67-english/ite-accreditation/417-a-landmark-in-welsh-education-reform-new-criteria-for-the-accreditation-of-initial-teacher-education.html </w:t>
      </w:r>
    </w:p>
    <w:p w14:paraId="3ED81E2E" w14:textId="77777777" w:rsidR="000C0FF4" w:rsidRDefault="000C0FF4" w:rsidP="004305B0">
      <w:pPr>
        <w:spacing w:line="360" w:lineRule="auto"/>
        <w:rPr>
          <w:rFonts w:ascii="Arial" w:hAnsi="Arial" w:cs="Arial"/>
          <w:sz w:val="22"/>
          <w:szCs w:val="22"/>
        </w:rPr>
      </w:pPr>
    </w:p>
    <w:p w14:paraId="2BB3613C" w14:textId="28A20A54" w:rsidR="004305B0" w:rsidRPr="004305B0" w:rsidRDefault="004305B0" w:rsidP="004305B0">
      <w:pPr>
        <w:spacing w:line="360" w:lineRule="auto"/>
        <w:rPr>
          <w:rFonts w:ascii="Arial" w:hAnsi="Arial" w:cs="Arial"/>
          <w:sz w:val="22"/>
          <w:szCs w:val="22"/>
        </w:rPr>
      </w:pPr>
      <w:r w:rsidRPr="004305B0">
        <w:rPr>
          <w:rFonts w:ascii="Arial" w:hAnsi="Arial" w:cs="Arial"/>
          <w:sz w:val="22"/>
          <w:szCs w:val="22"/>
        </w:rPr>
        <w:t xml:space="preserve">Great Teaching Toolkit (2020) Access: </w:t>
      </w:r>
      <w:r w:rsidR="000C0FF4" w:rsidRPr="004305B0">
        <w:rPr>
          <w:rFonts w:ascii="Arial" w:hAnsi="Arial" w:cs="Arial"/>
          <w:sz w:val="22"/>
          <w:szCs w:val="22"/>
        </w:rPr>
        <w:t>https://assets.website-files.com/5ee28729f7b4a5fa99bef2b3/5ee9f507021911ae35ac6c4d_EBE_GTT_EVIDENCE%20REVIEW_DIGITAL.pdf?utm_referrer=https%3A%2F%2Fwww.greatteaching.com%2F</w:t>
      </w:r>
    </w:p>
    <w:p w14:paraId="240A6CEB" w14:textId="77777777" w:rsidR="000C0FF4" w:rsidRDefault="000C0FF4" w:rsidP="004305B0">
      <w:pPr>
        <w:spacing w:line="360" w:lineRule="auto"/>
        <w:rPr>
          <w:rFonts w:ascii="Arial" w:hAnsi="Arial" w:cs="Arial"/>
          <w:color w:val="222222"/>
          <w:sz w:val="22"/>
          <w:szCs w:val="22"/>
          <w:shd w:val="clear" w:color="auto" w:fill="FFFFFF"/>
        </w:rPr>
      </w:pPr>
    </w:p>
    <w:p w14:paraId="1BA60F52" w14:textId="040A8E86" w:rsidR="004305B0" w:rsidRPr="004305B0" w:rsidRDefault="004305B0" w:rsidP="004305B0">
      <w:pPr>
        <w:spacing w:line="360" w:lineRule="auto"/>
        <w:rPr>
          <w:rFonts w:ascii="Arial" w:hAnsi="Arial" w:cs="Arial"/>
          <w:sz w:val="22"/>
          <w:szCs w:val="22"/>
        </w:rPr>
      </w:pPr>
      <w:r w:rsidRPr="004305B0">
        <w:rPr>
          <w:rFonts w:ascii="Arial" w:hAnsi="Arial" w:cs="Arial"/>
          <w:color w:val="222222"/>
          <w:sz w:val="22"/>
          <w:szCs w:val="22"/>
          <w:shd w:val="clear" w:color="auto" w:fill="FFFFFF"/>
        </w:rPr>
        <w:t>Hayes, D. (2010). The seductive charms of a cross-curricular approach. </w:t>
      </w:r>
      <w:r w:rsidRPr="004305B0">
        <w:rPr>
          <w:rFonts w:ascii="Arial" w:hAnsi="Arial" w:cs="Arial"/>
          <w:i/>
          <w:iCs/>
          <w:color w:val="222222"/>
          <w:sz w:val="22"/>
          <w:szCs w:val="22"/>
          <w:shd w:val="clear" w:color="auto" w:fill="FFFFFF"/>
        </w:rPr>
        <w:t>Education 3–13</w:t>
      </w:r>
      <w:r w:rsidRPr="004305B0">
        <w:rPr>
          <w:rFonts w:ascii="Arial" w:hAnsi="Arial" w:cs="Arial"/>
          <w:color w:val="222222"/>
          <w:sz w:val="22"/>
          <w:szCs w:val="22"/>
          <w:shd w:val="clear" w:color="auto" w:fill="FFFFFF"/>
        </w:rPr>
        <w:t>, </w:t>
      </w:r>
      <w:r w:rsidRPr="004305B0">
        <w:rPr>
          <w:rFonts w:ascii="Arial" w:hAnsi="Arial" w:cs="Arial"/>
          <w:i/>
          <w:iCs/>
          <w:color w:val="222222"/>
          <w:sz w:val="22"/>
          <w:szCs w:val="22"/>
          <w:shd w:val="clear" w:color="auto" w:fill="FFFFFF"/>
        </w:rPr>
        <w:t>38</w:t>
      </w:r>
      <w:r w:rsidRPr="004305B0">
        <w:rPr>
          <w:rFonts w:ascii="Arial" w:hAnsi="Arial" w:cs="Arial"/>
          <w:color w:val="222222"/>
          <w:sz w:val="22"/>
          <w:szCs w:val="22"/>
          <w:shd w:val="clear" w:color="auto" w:fill="FFFFFF"/>
        </w:rPr>
        <w:t>(4), 381-387.</w:t>
      </w:r>
    </w:p>
    <w:p w14:paraId="4CA66C12" w14:textId="2D837EBE" w:rsidR="004305B0" w:rsidRPr="004305B0" w:rsidRDefault="004305B0" w:rsidP="004305B0">
      <w:pPr>
        <w:spacing w:line="360" w:lineRule="auto"/>
        <w:rPr>
          <w:rFonts w:ascii="Arial" w:hAnsi="Arial" w:cs="Arial"/>
          <w:sz w:val="22"/>
          <w:szCs w:val="22"/>
        </w:rPr>
      </w:pPr>
      <w:r w:rsidRPr="004305B0">
        <w:rPr>
          <w:rFonts w:ascii="Arial" w:hAnsi="Arial" w:cs="Arial"/>
          <w:sz w:val="22"/>
          <w:szCs w:val="22"/>
        </w:rPr>
        <w:t xml:space="preserve">   </w:t>
      </w:r>
    </w:p>
    <w:p w14:paraId="278CB99E" w14:textId="77777777" w:rsidR="004305B0" w:rsidRPr="004305B0" w:rsidRDefault="004305B0" w:rsidP="004305B0">
      <w:pPr>
        <w:spacing w:line="360" w:lineRule="auto"/>
        <w:rPr>
          <w:rFonts w:ascii="Arial" w:hAnsi="Arial" w:cs="Arial"/>
          <w:sz w:val="22"/>
          <w:szCs w:val="22"/>
        </w:rPr>
      </w:pPr>
      <w:r w:rsidRPr="004305B0">
        <w:rPr>
          <w:rFonts w:ascii="Arial" w:hAnsi="Arial" w:cs="Arial"/>
          <w:sz w:val="22"/>
          <w:szCs w:val="22"/>
        </w:rPr>
        <w:t xml:space="preserve">HWB, Welsh Government (2017) </w:t>
      </w:r>
      <w:r w:rsidRPr="004305B0">
        <w:rPr>
          <w:rFonts w:ascii="Arial" w:hAnsi="Arial" w:cs="Arial"/>
          <w:i/>
          <w:iCs/>
          <w:sz w:val="22"/>
          <w:szCs w:val="22"/>
        </w:rPr>
        <w:t xml:space="preserve">Professional Standards. </w:t>
      </w:r>
      <w:r w:rsidRPr="004305B0">
        <w:rPr>
          <w:rFonts w:ascii="Arial" w:hAnsi="Arial" w:cs="Arial"/>
          <w:sz w:val="22"/>
          <w:szCs w:val="22"/>
        </w:rPr>
        <w:t xml:space="preserve">Access: https://hwb.gov.wales/professional-development/professional-standards </w:t>
      </w:r>
    </w:p>
    <w:p w14:paraId="35FBFC9B" w14:textId="77777777" w:rsidR="000C0FF4" w:rsidRDefault="000C0FF4" w:rsidP="004305B0">
      <w:pPr>
        <w:spacing w:line="360" w:lineRule="auto"/>
        <w:rPr>
          <w:rFonts w:ascii="Arial" w:hAnsi="Arial" w:cs="Arial"/>
          <w:sz w:val="22"/>
          <w:szCs w:val="22"/>
        </w:rPr>
      </w:pPr>
    </w:p>
    <w:p w14:paraId="5CB9BC63" w14:textId="6B73010B" w:rsidR="004305B0" w:rsidRPr="004305B0" w:rsidRDefault="004305B0" w:rsidP="004305B0">
      <w:pPr>
        <w:spacing w:line="360" w:lineRule="auto"/>
        <w:rPr>
          <w:rFonts w:ascii="Arial" w:hAnsi="Arial" w:cs="Arial"/>
          <w:sz w:val="22"/>
          <w:szCs w:val="22"/>
        </w:rPr>
      </w:pPr>
      <w:r w:rsidRPr="004305B0">
        <w:rPr>
          <w:rFonts w:ascii="Arial" w:hAnsi="Arial" w:cs="Arial"/>
          <w:sz w:val="22"/>
          <w:szCs w:val="22"/>
        </w:rPr>
        <w:lastRenderedPageBreak/>
        <w:t xml:space="preserve">HWB, Welsh Government (2020). Access: </w:t>
      </w:r>
      <w:r w:rsidRPr="004305B0">
        <w:rPr>
          <w:rFonts w:ascii="Arial" w:hAnsi="Arial" w:cs="Arial"/>
          <w:i/>
          <w:iCs/>
          <w:sz w:val="22"/>
          <w:szCs w:val="22"/>
        </w:rPr>
        <w:t xml:space="preserve">Cross-curricular skills framework. </w:t>
      </w:r>
      <w:r w:rsidRPr="004305B0">
        <w:rPr>
          <w:rFonts w:ascii="Arial" w:hAnsi="Arial" w:cs="Arial"/>
          <w:sz w:val="22"/>
          <w:szCs w:val="22"/>
        </w:rPr>
        <w:t xml:space="preserve">Access: </w:t>
      </w:r>
      <w:r w:rsidRPr="004305B0">
        <w:rPr>
          <w:rFonts w:ascii="Arial" w:hAnsi="Arial" w:cs="Arial"/>
          <w:sz w:val="22"/>
          <w:szCs w:val="22"/>
        </w:rPr>
        <w:t>https://hwb.gov.wales/curriculum-for-wales/cross-curricular-skills-frameworks/</w:t>
      </w:r>
      <w:r w:rsidRPr="004305B0">
        <w:rPr>
          <w:rFonts w:ascii="Arial" w:hAnsi="Arial" w:cs="Arial"/>
          <w:sz w:val="22"/>
          <w:szCs w:val="22"/>
        </w:rPr>
        <w:t xml:space="preserve"> </w:t>
      </w:r>
    </w:p>
    <w:p w14:paraId="5554A87C" w14:textId="77777777" w:rsidR="000C0FF4" w:rsidRDefault="000C0FF4" w:rsidP="004305B0">
      <w:pPr>
        <w:spacing w:line="360" w:lineRule="auto"/>
        <w:rPr>
          <w:rFonts w:ascii="Arial" w:hAnsi="Arial" w:cs="Arial"/>
          <w:sz w:val="22"/>
          <w:szCs w:val="22"/>
        </w:rPr>
      </w:pPr>
    </w:p>
    <w:p w14:paraId="5C7D0192" w14:textId="39177E4A" w:rsidR="004305B0" w:rsidRPr="004305B0" w:rsidRDefault="004305B0" w:rsidP="004305B0">
      <w:pPr>
        <w:spacing w:line="360" w:lineRule="auto"/>
        <w:rPr>
          <w:rFonts w:ascii="Arial" w:hAnsi="Arial" w:cs="Arial"/>
          <w:sz w:val="22"/>
          <w:szCs w:val="22"/>
        </w:rPr>
      </w:pPr>
      <w:r w:rsidRPr="004305B0">
        <w:rPr>
          <w:rFonts w:ascii="Arial" w:hAnsi="Arial" w:cs="Arial"/>
          <w:sz w:val="22"/>
          <w:szCs w:val="22"/>
        </w:rPr>
        <w:t xml:space="preserve">Jacobs, H. (2004) </w:t>
      </w:r>
      <w:r w:rsidRPr="004305B0">
        <w:rPr>
          <w:rFonts w:ascii="Arial" w:hAnsi="Arial" w:cs="Arial"/>
          <w:i/>
          <w:iCs/>
          <w:sz w:val="22"/>
          <w:szCs w:val="22"/>
        </w:rPr>
        <w:t xml:space="preserve">Interdisciplinary Curriculum, Design, and Implementation. </w:t>
      </w:r>
      <w:r w:rsidRPr="004305B0">
        <w:rPr>
          <w:rFonts w:ascii="Arial" w:hAnsi="Arial" w:cs="Arial"/>
          <w:sz w:val="22"/>
          <w:szCs w:val="22"/>
        </w:rPr>
        <w:t>Heatherton, Victoria: Hawker Brownlow Education.</w:t>
      </w:r>
    </w:p>
    <w:p w14:paraId="790301E6" w14:textId="77777777" w:rsidR="000C0FF4" w:rsidRDefault="000C0FF4" w:rsidP="004305B0">
      <w:pPr>
        <w:spacing w:line="360" w:lineRule="auto"/>
        <w:rPr>
          <w:rFonts w:ascii="Arial" w:hAnsi="Arial" w:cs="Arial"/>
          <w:sz w:val="22"/>
          <w:szCs w:val="22"/>
        </w:rPr>
      </w:pPr>
    </w:p>
    <w:p w14:paraId="42B2358D" w14:textId="2BD08174" w:rsidR="004305B0" w:rsidRPr="004305B0" w:rsidRDefault="004305B0" w:rsidP="004305B0">
      <w:pPr>
        <w:spacing w:line="360" w:lineRule="auto"/>
        <w:rPr>
          <w:rFonts w:ascii="Arial" w:hAnsi="Arial" w:cs="Arial"/>
          <w:sz w:val="22"/>
          <w:szCs w:val="22"/>
        </w:rPr>
      </w:pPr>
      <w:r w:rsidRPr="004305B0">
        <w:rPr>
          <w:rFonts w:ascii="Arial" w:hAnsi="Arial" w:cs="Arial"/>
          <w:sz w:val="22"/>
          <w:szCs w:val="22"/>
        </w:rPr>
        <w:t xml:space="preserve">Kerry, T. (2015) </w:t>
      </w:r>
      <w:r w:rsidRPr="004305B0">
        <w:rPr>
          <w:rFonts w:ascii="Arial" w:hAnsi="Arial" w:cs="Arial"/>
          <w:i/>
          <w:iCs/>
          <w:sz w:val="22"/>
          <w:szCs w:val="22"/>
        </w:rPr>
        <w:t xml:space="preserve">Cross-Curricular Teaching in the Primary School. </w:t>
      </w:r>
      <w:r w:rsidRPr="004305B0">
        <w:rPr>
          <w:rFonts w:ascii="Arial" w:hAnsi="Arial" w:cs="Arial"/>
          <w:sz w:val="22"/>
          <w:szCs w:val="22"/>
        </w:rPr>
        <w:t xml:space="preserve">2nd edn. Abingdon: Routledge. </w:t>
      </w:r>
    </w:p>
    <w:p w14:paraId="004212C7" w14:textId="77777777" w:rsidR="000C0FF4" w:rsidRDefault="000C0FF4" w:rsidP="004305B0">
      <w:pPr>
        <w:spacing w:line="360" w:lineRule="auto"/>
        <w:rPr>
          <w:rFonts w:ascii="Arial" w:hAnsi="Arial" w:cs="Arial"/>
          <w:sz w:val="22"/>
          <w:szCs w:val="22"/>
        </w:rPr>
      </w:pPr>
    </w:p>
    <w:p w14:paraId="49BD3132" w14:textId="036CCEB1" w:rsidR="004305B0" w:rsidRPr="004305B0" w:rsidRDefault="004305B0" w:rsidP="004305B0">
      <w:pPr>
        <w:spacing w:line="360" w:lineRule="auto"/>
        <w:rPr>
          <w:rFonts w:ascii="Arial" w:hAnsi="Arial" w:cs="Arial"/>
          <w:sz w:val="22"/>
          <w:szCs w:val="22"/>
        </w:rPr>
      </w:pPr>
      <w:r w:rsidRPr="004305B0">
        <w:rPr>
          <w:rFonts w:ascii="Arial" w:hAnsi="Arial" w:cs="Arial"/>
          <w:sz w:val="22"/>
          <w:szCs w:val="22"/>
        </w:rPr>
        <w:t xml:space="preserve">Moon, B., and Leach, J. (2008) </w:t>
      </w:r>
      <w:r w:rsidRPr="004305B0">
        <w:rPr>
          <w:rFonts w:ascii="Arial" w:hAnsi="Arial" w:cs="Arial"/>
          <w:i/>
          <w:iCs/>
          <w:sz w:val="22"/>
          <w:szCs w:val="22"/>
        </w:rPr>
        <w:t xml:space="preserve">The power of pedagogy. </w:t>
      </w:r>
      <w:r w:rsidRPr="004305B0">
        <w:rPr>
          <w:rFonts w:ascii="Arial" w:hAnsi="Arial" w:cs="Arial"/>
          <w:sz w:val="22"/>
          <w:szCs w:val="22"/>
        </w:rPr>
        <w:t>London: Sage.</w:t>
      </w:r>
    </w:p>
    <w:p w14:paraId="32D266C0" w14:textId="77777777" w:rsidR="000C0FF4" w:rsidRDefault="000C0FF4" w:rsidP="004305B0">
      <w:pPr>
        <w:spacing w:line="360" w:lineRule="auto"/>
        <w:rPr>
          <w:rFonts w:ascii="Arial" w:hAnsi="Arial" w:cs="Arial"/>
          <w:sz w:val="22"/>
          <w:szCs w:val="22"/>
        </w:rPr>
      </w:pPr>
    </w:p>
    <w:p w14:paraId="7A15363C" w14:textId="01D711CC" w:rsidR="004305B0" w:rsidRPr="004305B0" w:rsidRDefault="004305B0" w:rsidP="004305B0">
      <w:pPr>
        <w:spacing w:line="360" w:lineRule="auto"/>
        <w:rPr>
          <w:rFonts w:ascii="Arial" w:hAnsi="Arial" w:cs="Arial"/>
          <w:sz w:val="22"/>
          <w:szCs w:val="22"/>
        </w:rPr>
      </w:pPr>
      <w:r w:rsidRPr="004305B0">
        <w:rPr>
          <w:rFonts w:ascii="Arial" w:hAnsi="Arial" w:cs="Arial"/>
          <w:sz w:val="22"/>
          <w:szCs w:val="22"/>
        </w:rPr>
        <w:t xml:space="preserve">Plowden, Lady Bridget. (1967) </w:t>
      </w:r>
      <w:r w:rsidRPr="004305B0">
        <w:rPr>
          <w:rFonts w:ascii="Arial" w:hAnsi="Arial" w:cs="Arial"/>
          <w:i/>
          <w:iCs/>
          <w:sz w:val="22"/>
          <w:szCs w:val="22"/>
        </w:rPr>
        <w:t xml:space="preserve">Children and Their Primary Schools: A Report of the Central Advisory Council for Education. </w:t>
      </w:r>
      <w:r w:rsidRPr="004305B0">
        <w:rPr>
          <w:rFonts w:ascii="Arial" w:hAnsi="Arial" w:cs="Arial"/>
          <w:sz w:val="22"/>
          <w:szCs w:val="22"/>
        </w:rPr>
        <w:t>Vol 1. London: HMSO.</w:t>
      </w:r>
    </w:p>
    <w:p w14:paraId="7A455C1C" w14:textId="77777777" w:rsidR="000C0FF4" w:rsidRPr="000C0FF4" w:rsidRDefault="000C0FF4" w:rsidP="004305B0">
      <w:pPr>
        <w:spacing w:line="360" w:lineRule="auto"/>
        <w:rPr>
          <w:rFonts w:ascii="Arial" w:hAnsi="Arial" w:cs="Arial"/>
          <w:color w:val="000000" w:themeColor="text1"/>
          <w:sz w:val="22"/>
          <w:szCs w:val="22"/>
          <w:shd w:val="clear" w:color="auto" w:fill="FFFFFF"/>
        </w:rPr>
      </w:pPr>
    </w:p>
    <w:p w14:paraId="1ACE8B4B" w14:textId="4CBC98F9" w:rsidR="004305B0" w:rsidRPr="000C0FF4" w:rsidRDefault="004305B0" w:rsidP="004305B0">
      <w:pPr>
        <w:spacing w:line="360" w:lineRule="auto"/>
        <w:rPr>
          <w:rFonts w:ascii="Arial" w:hAnsi="Arial" w:cs="Arial"/>
          <w:color w:val="000000" w:themeColor="text1"/>
          <w:sz w:val="22"/>
          <w:szCs w:val="22"/>
        </w:rPr>
      </w:pPr>
      <w:r w:rsidRPr="000C0FF4">
        <w:rPr>
          <w:rFonts w:ascii="Arial" w:hAnsi="Arial" w:cs="Arial"/>
          <w:color w:val="000000" w:themeColor="text1"/>
          <w:sz w:val="22"/>
          <w:szCs w:val="22"/>
          <w:shd w:val="clear" w:color="auto" w:fill="FFFFFF"/>
        </w:rPr>
        <w:t>Pöntinen, S., and Räty-Záborszky, S. (2020). Pedagogical aspects to support students’ evolving digital competence at school. </w:t>
      </w:r>
      <w:r w:rsidRPr="000C0FF4">
        <w:rPr>
          <w:rFonts w:ascii="Arial" w:hAnsi="Arial" w:cs="Arial"/>
          <w:i/>
          <w:iCs/>
          <w:color w:val="000000" w:themeColor="text1"/>
          <w:sz w:val="22"/>
          <w:szCs w:val="22"/>
          <w:shd w:val="clear" w:color="auto" w:fill="FFFFFF"/>
        </w:rPr>
        <w:t>European early childhood education research journal</w:t>
      </w:r>
      <w:r w:rsidRPr="000C0FF4">
        <w:rPr>
          <w:rFonts w:ascii="Arial" w:hAnsi="Arial" w:cs="Arial"/>
          <w:color w:val="000000" w:themeColor="text1"/>
          <w:sz w:val="22"/>
          <w:szCs w:val="22"/>
          <w:shd w:val="clear" w:color="auto" w:fill="FFFFFF"/>
        </w:rPr>
        <w:t>, </w:t>
      </w:r>
      <w:r w:rsidRPr="000C0FF4">
        <w:rPr>
          <w:rFonts w:ascii="Arial" w:hAnsi="Arial" w:cs="Arial"/>
          <w:i/>
          <w:iCs/>
          <w:color w:val="000000" w:themeColor="text1"/>
          <w:sz w:val="22"/>
          <w:szCs w:val="22"/>
          <w:shd w:val="clear" w:color="auto" w:fill="FFFFFF"/>
        </w:rPr>
        <w:t>28</w:t>
      </w:r>
      <w:r w:rsidRPr="000C0FF4">
        <w:rPr>
          <w:rFonts w:ascii="Arial" w:hAnsi="Arial" w:cs="Arial"/>
          <w:color w:val="000000" w:themeColor="text1"/>
          <w:sz w:val="22"/>
          <w:szCs w:val="22"/>
          <w:shd w:val="clear" w:color="auto" w:fill="FFFFFF"/>
        </w:rPr>
        <w:t>(2), 182-196.</w:t>
      </w:r>
    </w:p>
    <w:p w14:paraId="58E526A6" w14:textId="77777777" w:rsidR="000C0FF4" w:rsidRDefault="000C0FF4" w:rsidP="004305B0">
      <w:pPr>
        <w:spacing w:line="360" w:lineRule="auto"/>
        <w:rPr>
          <w:rFonts w:ascii="Arial" w:hAnsi="Arial" w:cs="Arial"/>
          <w:sz w:val="22"/>
          <w:szCs w:val="22"/>
        </w:rPr>
      </w:pPr>
    </w:p>
    <w:p w14:paraId="00C27A84" w14:textId="51EBA9FD" w:rsidR="004305B0" w:rsidRPr="004305B0" w:rsidRDefault="004305B0" w:rsidP="004305B0">
      <w:pPr>
        <w:spacing w:line="360" w:lineRule="auto"/>
        <w:rPr>
          <w:rFonts w:ascii="Arial" w:hAnsi="Arial" w:cs="Arial"/>
          <w:i/>
          <w:iCs/>
          <w:sz w:val="22"/>
          <w:szCs w:val="22"/>
        </w:rPr>
      </w:pPr>
      <w:r w:rsidRPr="004305B0">
        <w:rPr>
          <w:rFonts w:ascii="Arial" w:hAnsi="Arial" w:cs="Arial"/>
          <w:sz w:val="22"/>
          <w:szCs w:val="22"/>
        </w:rPr>
        <w:t xml:space="preserve">Price, A. (2010). 'What are the benefits for teaching and learning of cross-curricular work using thinking skills, techniques and language?' </w:t>
      </w:r>
      <w:r w:rsidRPr="004305B0">
        <w:rPr>
          <w:rFonts w:ascii="Arial" w:hAnsi="Arial" w:cs="Arial"/>
          <w:i/>
          <w:iCs/>
          <w:sz w:val="22"/>
          <w:szCs w:val="22"/>
        </w:rPr>
        <w:t xml:space="preserve">National Teacher Research Panel. </w:t>
      </w:r>
    </w:p>
    <w:p w14:paraId="6863B6AF" w14:textId="77777777" w:rsidR="000C0FF4" w:rsidRDefault="000C0FF4" w:rsidP="004305B0">
      <w:pPr>
        <w:spacing w:line="360" w:lineRule="auto"/>
        <w:rPr>
          <w:rFonts w:ascii="Arial" w:hAnsi="Arial" w:cs="Arial"/>
          <w:sz w:val="22"/>
          <w:szCs w:val="22"/>
        </w:rPr>
      </w:pPr>
    </w:p>
    <w:p w14:paraId="3FE2CB42" w14:textId="2567BFC1" w:rsidR="004305B0" w:rsidRPr="004305B0" w:rsidRDefault="004305B0" w:rsidP="004305B0">
      <w:pPr>
        <w:spacing w:line="360" w:lineRule="auto"/>
        <w:rPr>
          <w:rFonts w:ascii="Arial" w:hAnsi="Arial" w:cs="Arial"/>
          <w:sz w:val="22"/>
          <w:szCs w:val="22"/>
        </w:rPr>
      </w:pPr>
      <w:r w:rsidRPr="004305B0">
        <w:rPr>
          <w:rFonts w:ascii="Arial" w:hAnsi="Arial" w:cs="Arial"/>
          <w:sz w:val="22"/>
          <w:szCs w:val="22"/>
        </w:rPr>
        <w:t xml:space="preserve">Rogers, R. (2003). </w:t>
      </w:r>
      <w:r w:rsidRPr="004305B0">
        <w:rPr>
          <w:rFonts w:ascii="Arial" w:hAnsi="Arial" w:cs="Arial"/>
          <w:i/>
          <w:iCs/>
          <w:sz w:val="22"/>
          <w:szCs w:val="22"/>
        </w:rPr>
        <w:t xml:space="preserve">Time for the Arts? The Arts in the Initial Training of Primary Teachers: </w:t>
      </w:r>
      <w:r w:rsidR="00092F62" w:rsidRPr="004305B0">
        <w:rPr>
          <w:rFonts w:ascii="Arial" w:hAnsi="Arial" w:cs="Arial"/>
          <w:i/>
          <w:iCs/>
          <w:sz w:val="22"/>
          <w:szCs w:val="22"/>
        </w:rPr>
        <w:t>A</w:t>
      </w:r>
      <w:r w:rsidRPr="004305B0">
        <w:rPr>
          <w:rFonts w:ascii="Arial" w:hAnsi="Arial" w:cs="Arial"/>
          <w:i/>
          <w:iCs/>
          <w:sz w:val="22"/>
          <w:szCs w:val="22"/>
        </w:rPr>
        <w:t xml:space="preserve"> Survey of Training Providers in England. </w:t>
      </w:r>
      <w:r w:rsidRPr="004305B0">
        <w:rPr>
          <w:rFonts w:ascii="Arial" w:hAnsi="Arial" w:cs="Arial"/>
          <w:sz w:val="22"/>
          <w:szCs w:val="22"/>
        </w:rPr>
        <w:t>London: RSA.</w:t>
      </w:r>
    </w:p>
    <w:p w14:paraId="2538451E" w14:textId="77777777" w:rsidR="000C0FF4" w:rsidRDefault="000C0FF4" w:rsidP="004305B0">
      <w:pPr>
        <w:spacing w:line="360" w:lineRule="auto"/>
        <w:rPr>
          <w:rFonts w:ascii="Arial" w:hAnsi="Arial" w:cs="Arial"/>
          <w:sz w:val="22"/>
          <w:szCs w:val="22"/>
        </w:rPr>
      </w:pPr>
    </w:p>
    <w:p w14:paraId="7A9C6A62" w14:textId="546441AC" w:rsidR="004305B0" w:rsidRPr="004305B0" w:rsidRDefault="004305B0" w:rsidP="004305B0">
      <w:pPr>
        <w:spacing w:line="360" w:lineRule="auto"/>
        <w:rPr>
          <w:rFonts w:ascii="Arial" w:hAnsi="Arial" w:cs="Arial"/>
          <w:sz w:val="22"/>
          <w:szCs w:val="22"/>
        </w:rPr>
      </w:pPr>
      <w:r w:rsidRPr="004305B0">
        <w:rPr>
          <w:rFonts w:ascii="Arial" w:hAnsi="Arial" w:cs="Arial"/>
          <w:sz w:val="22"/>
          <w:szCs w:val="22"/>
        </w:rPr>
        <w:t>Rose, J</w:t>
      </w:r>
      <w:r w:rsidRPr="004305B0">
        <w:rPr>
          <w:rFonts w:ascii="Arial" w:hAnsi="Arial" w:cs="Arial"/>
          <w:sz w:val="22"/>
          <w:szCs w:val="22"/>
        </w:rPr>
        <w:t>. (</w:t>
      </w:r>
      <w:r w:rsidRPr="004305B0">
        <w:rPr>
          <w:rFonts w:ascii="Arial" w:hAnsi="Arial" w:cs="Arial"/>
          <w:sz w:val="22"/>
          <w:szCs w:val="22"/>
        </w:rPr>
        <w:t>2009</w:t>
      </w:r>
      <w:r w:rsidRPr="004305B0">
        <w:rPr>
          <w:rFonts w:ascii="Arial" w:hAnsi="Arial" w:cs="Arial"/>
          <w:sz w:val="22"/>
          <w:szCs w:val="22"/>
        </w:rPr>
        <w:t>)</w:t>
      </w:r>
      <w:r w:rsidRPr="004305B0">
        <w:rPr>
          <w:rFonts w:ascii="Arial" w:hAnsi="Arial" w:cs="Arial"/>
          <w:sz w:val="22"/>
          <w:szCs w:val="22"/>
        </w:rPr>
        <w:t>. Independent review of the primary curriculum: Final report. London: DCSF Publications.</w:t>
      </w:r>
    </w:p>
    <w:p w14:paraId="40CAFEAC" w14:textId="77777777" w:rsidR="000C0FF4" w:rsidRDefault="000C0FF4" w:rsidP="004305B0">
      <w:pPr>
        <w:spacing w:line="360" w:lineRule="auto"/>
        <w:rPr>
          <w:rFonts w:ascii="Arial" w:hAnsi="Arial" w:cs="Arial"/>
          <w:sz w:val="22"/>
          <w:szCs w:val="22"/>
        </w:rPr>
      </w:pPr>
    </w:p>
    <w:p w14:paraId="5DAA1AE0" w14:textId="7AC05D5F" w:rsidR="004305B0" w:rsidRPr="004305B0" w:rsidRDefault="004305B0" w:rsidP="004305B0">
      <w:pPr>
        <w:spacing w:line="360" w:lineRule="auto"/>
        <w:rPr>
          <w:rFonts w:ascii="Arial" w:hAnsi="Arial" w:cs="Arial"/>
          <w:sz w:val="22"/>
          <w:szCs w:val="22"/>
        </w:rPr>
      </w:pPr>
      <w:r w:rsidRPr="004305B0">
        <w:rPr>
          <w:rFonts w:ascii="Arial" w:hAnsi="Arial" w:cs="Arial"/>
          <w:sz w:val="22"/>
          <w:szCs w:val="22"/>
        </w:rPr>
        <w:t xml:space="preserve">Roth, M. (2000) The metamorphosis of Columbus, in S. Wineburg and P. Grossmon (eds), </w:t>
      </w:r>
      <w:r w:rsidRPr="004305B0">
        <w:rPr>
          <w:rFonts w:ascii="Arial" w:hAnsi="Arial" w:cs="Arial"/>
          <w:i/>
          <w:iCs/>
          <w:sz w:val="22"/>
          <w:szCs w:val="22"/>
        </w:rPr>
        <w:t xml:space="preserve">Interdisciplinary Curriculum: Challenges to Implementation. </w:t>
      </w:r>
      <w:r w:rsidRPr="004305B0">
        <w:rPr>
          <w:rFonts w:ascii="Arial" w:hAnsi="Arial" w:cs="Arial"/>
          <w:sz w:val="22"/>
          <w:szCs w:val="22"/>
        </w:rPr>
        <w:t xml:space="preserve">New York: Teachers College Press. </w:t>
      </w:r>
    </w:p>
    <w:p w14:paraId="712522B4" w14:textId="77777777" w:rsidR="000C0FF4" w:rsidRDefault="000C0FF4" w:rsidP="004305B0">
      <w:pPr>
        <w:spacing w:line="360" w:lineRule="auto"/>
        <w:rPr>
          <w:rFonts w:ascii="Arial" w:hAnsi="Arial" w:cs="Arial"/>
          <w:color w:val="222222"/>
          <w:sz w:val="22"/>
          <w:szCs w:val="22"/>
          <w:shd w:val="clear" w:color="auto" w:fill="FFFFFF"/>
        </w:rPr>
      </w:pPr>
    </w:p>
    <w:p w14:paraId="61D5E528" w14:textId="4698DB62" w:rsidR="004305B0" w:rsidRPr="004305B0" w:rsidRDefault="004305B0" w:rsidP="004305B0">
      <w:pPr>
        <w:spacing w:line="360" w:lineRule="auto"/>
        <w:rPr>
          <w:rFonts w:ascii="Arial" w:hAnsi="Arial" w:cs="Arial"/>
          <w:color w:val="222222"/>
          <w:sz w:val="22"/>
          <w:szCs w:val="22"/>
          <w:shd w:val="clear" w:color="auto" w:fill="FFFFFF"/>
        </w:rPr>
      </w:pPr>
      <w:r w:rsidRPr="004305B0">
        <w:rPr>
          <w:rFonts w:ascii="Arial" w:hAnsi="Arial" w:cs="Arial"/>
          <w:color w:val="222222"/>
          <w:sz w:val="22"/>
          <w:szCs w:val="22"/>
          <w:shd w:val="clear" w:color="auto" w:fill="FFFFFF"/>
        </w:rPr>
        <w:t>Savage, J. (2012). Moving beyond subject boundaries: Four case studies of cross-curricular pedagogy in secondary schools. </w:t>
      </w:r>
      <w:r w:rsidRPr="004305B0">
        <w:rPr>
          <w:rFonts w:ascii="Arial" w:hAnsi="Arial" w:cs="Arial"/>
          <w:i/>
          <w:iCs/>
          <w:color w:val="222222"/>
          <w:sz w:val="22"/>
          <w:szCs w:val="22"/>
          <w:shd w:val="clear" w:color="auto" w:fill="FFFFFF"/>
        </w:rPr>
        <w:t>International Journal of Educational Research</w:t>
      </w:r>
      <w:r w:rsidRPr="004305B0">
        <w:rPr>
          <w:rFonts w:ascii="Arial" w:hAnsi="Arial" w:cs="Arial"/>
          <w:color w:val="222222"/>
          <w:sz w:val="22"/>
          <w:szCs w:val="22"/>
          <w:shd w:val="clear" w:color="auto" w:fill="FFFFFF"/>
        </w:rPr>
        <w:t>, </w:t>
      </w:r>
      <w:r w:rsidRPr="004305B0">
        <w:rPr>
          <w:rFonts w:ascii="Arial" w:hAnsi="Arial" w:cs="Arial"/>
          <w:i/>
          <w:iCs/>
          <w:color w:val="222222"/>
          <w:sz w:val="22"/>
          <w:szCs w:val="22"/>
          <w:shd w:val="clear" w:color="auto" w:fill="FFFFFF"/>
        </w:rPr>
        <w:t>55</w:t>
      </w:r>
      <w:r w:rsidRPr="004305B0">
        <w:rPr>
          <w:rFonts w:ascii="Arial" w:hAnsi="Arial" w:cs="Arial"/>
          <w:color w:val="222222"/>
          <w:sz w:val="22"/>
          <w:szCs w:val="22"/>
          <w:shd w:val="clear" w:color="auto" w:fill="FFFFFF"/>
        </w:rPr>
        <w:t>, 79-88.</w:t>
      </w:r>
    </w:p>
    <w:p w14:paraId="03FDD5B2" w14:textId="77777777" w:rsidR="000C0FF4" w:rsidRDefault="000C0FF4" w:rsidP="004305B0">
      <w:pPr>
        <w:shd w:val="clear" w:color="auto" w:fill="FFFFFF"/>
        <w:spacing w:line="360" w:lineRule="auto"/>
        <w:rPr>
          <w:rFonts w:ascii="Arial" w:hAnsi="Arial" w:cs="Arial"/>
          <w:color w:val="3A3A3A"/>
          <w:sz w:val="22"/>
          <w:szCs w:val="22"/>
        </w:rPr>
      </w:pPr>
    </w:p>
    <w:p w14:paraId="65C50AF1" w14:textId="38B14701" w:rsidR="004305B0" w:rsidRPr="000C0FF4" w:rsidRDefault="004305B0" w:rsidP="004305B0">
      <w:pPr>
        <w:shd w:val="clear" w:color="auto" w:fill="FFFFFF"/>
        <w:spacing w:line="360" w:lineRule="auto"/>
        <w:rPr>
          <w:rFonts w:ascii="Arial" w:hAnsi="Arial" w:cs="Arial"/>
          <w:color w:val="000000" w:themeColor="text1"/>
          <w:sz w:val="22"/>
          <w:szCs w:val="22"/>
        </w:rPr>
      </w:pPr>
      <w:r w:rsidRPr="000C0FF4">
        <w:rPr>
          <w:rFonts w:ascii="Arial" w:hAnsi="Arial" w:cs="Arial"/>
          <w:color w:val="000000" w:themeColor="text1"/>
          <w:sz w:val="22"/>
          <w:szCs w:val="22"/>
        </w:rPr>
        <w:t>Tripp, D. (2012) </w:t>
      </w:r>
      <w:r w:rsidRPr="000C0FF4">
        <w:rPr>
          <w:rFonts w:ascii="Arial" w:hAnsi="Arial" w:cs="Arial"/>
          <w:i/>
          <w:iCs/>
          <w:color w:val="000000" w:themeColor="text1"/>
          <w:sz w:val="22"/>
          <w:szCs w:val="22"/>
        </w:rPr>
        <w:t xml:space="preserve">Critical incidents in </w:t>
      </w:r>
      <w:r w:rsidRPr="000C0FF4">
        <w:rPr>
          <w:rFonts w:ascii="Arial" w:hAnsi="Arial" w:cs="Arial"/>
          <w:i/>
          <w:iCs/>
          <w:color w:val="000000" w:themeColor="text1"/>
          <w:sz w:val="22"/>
          <w:szCs w:val="22"/>
        </w:rPr>
        <w:t>teaching:</w:t>
      </w:r>
      <w:r w:rsidRPr="000C0FF4">
        <w:rPr>
          <w:rFonts w:ascii="Arial" w:hAnsi="Arial" w:cs="Arial"/>
          <w:i/>
          <w:iCs/>
          <w:color w:val="000000" w:themeColor="text1"/>
          <w:sz w:val="22"/>
          <w:szCs w:val="22"/>
        </w:rPr>
        <w:t xml:space="preserve"> developing professional judgement</w:t>
      </w:r>
      <w:r w:rsidRPr="000C0FF4">
        <w:rPr>
          <w:rFonts w:ascii="Arial" w:hAnsi="Arial" w:cs="Arial"/>
          <w:color w:val="000000" w:themeColor="text1"/>
          <w:sz w:val="22"/>
          <w:szCs w:val="22"/>
        </w:rPr>
        <w:t>. Classic ed. London: Routledge. doi:10.4324/9780203802014.</w:t>
      </w:r>
    </w:p>
    <w:p w14:paraId="5341B078" w14:textId="77777777" w:rsidR="004305B0" w:rsidRPr="004305B0" w:rsidRDefault="004305B0" w:rsidP="004305B0">
      <w:pPr>
        <w:spacing w:line="360" w:lineRule="auto"/>
        <w:rPr>
          <w:rFonts w:ascii="Arial" w:hAnsi="Arial" w:cs="Arial"/>
          <w:color w:val="222222"/>
          <w:sz w:val="22"/>
          <w:szCs w:val="22"/>
          <w:shd w:val="clear" w:color="auto" w:fill="FFFFFF"/>
        </w:rPr>
      </w:pPr>
      <w:r w:rsidRPr="004305B0">
        <w:rPr>
          <w:rFonts w:ascii="Arial" w:hAnsi="Arial" w:cs="Arial"/>
          <w:color w:val="222222"/>
          <w:sz w:val="22"/>
          <w:szCs w:val="22"/>
          <w:shd w:val="clear" w:color="auto" w:fill="FFFFFF"/>
        </w:rPr>
        <w:lastRenderedPageBreak/>
        <w:t>Volk, M., Cotič, M., Zajc, M., and Starcic, A. I. (2017). Tablet-based cross-curricular maths vs. traditional maths classroom practice for higher-order learning outcomes. </w:t>
      </w:r>
      <w:r w:rsidRPr="004305B0">
        <w:rPr>
          <w:rFonts w:ascii="Arial" w:hAnsi="Arial" w:cs="Arial"/>
          <w:i/>
          <w:iCs/>
          <w:color w:val="222222"/>
          <w:sz w:val="22"/>
          <w:szCs w:val="22"/>
          <w:shd w:val="clear" w:color="auto" w:fill="FFFFFF"/>
        </w:rPr>
        <w:t>Computers &amp; Education</w:t>
      </w:r>
      <w:r w:rsidRPr="004305B0">
        <w:rPr>
          <w:rFonts w:ascii="Arial" w:hAnsi="Arial" w:cs="Arial"/>
          <w:color w:val="222222"/>
          <w:sz w:val="22"/>
          <w:szCs w:val="22"/>
          <w:shd w:val="clear" w:color="auto" w:fill="FFFFFF"/>
        </w:rPr>
        <w:t>, </w:t>
      </w:r>
      <w:r w:rsidRPr="004305B0">
        <w:rPr>
          <w:rFonts w:ascii="Arial" w:hAnsi="Arial" w:cs="Arial"/>
          <w:i/>
          <w:iCs/>
          <w:color w:val="222222"/>
          <w:sz w:val="22"/>
          <w:szCs w:val="22"/>
          <w:shd w:val="clear" w:color="auto" w:fill="FFFFFF"/>
        </w:rPr>
        <w:t>114</w:t>
      </w:r>
      <w:r w:rsidRPr="004305B0">
        <w:rPr>
          <w:rFonts w:ascii="Arial" w:hAnsi="Arial" w:cs="Arial"/>
          <w:color w:val="222222"/>
          <w:sz w:val="22"/>
          <w:szCs w:val="22"/>
          <w:shd w:val="clear" w:color="auto" w:fill="FFFFFF"/>
        </w:rPr>
        <w:t>, 1-23.</w:t>
      </w:r>
    </w:p>
    <w:sectPr w:rsidR="004305B0" w:rsidRPr="004305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25C3C"/>
    <w:multiLevelType w:val="multilevel"/>
    <w:tmpl w:val="42E25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5BF"/>
    <w:rsid w:val="00000178"/>
    <w:rsid w:val="00007804"/>
    <w:rsid w:val="0001393E"/>
    <w:rsid w:val="00025523"/>
    <w:rsid w:val="000568E7"/>
    <w:rsid w:val="00092F62"/>
    <w:rsid w:val="0009549A"/>
    <w:rsid w:val="000A15E5"/>
    <w:rsid w:val="000B52F4"/>
    <w:rsid w:val="000C0FF4"/>
    <w:rsid w:val="00114653"/>
    <w:rsid w:val="001605BC"/>
    <w:rsid w:val="001A3181"/>
    <w:rsid w:val="001B232C"/>
    <w:rsid w:val="001B38E1"/>
    <w:rsid w:val="001C0F5B"/>
    <w:rsid w:val="001E53D8"/>
    <w:rsid w:val="001F6814"/>
    <w:rsid w:val="00204E37"/>
    <w:rsid w:val="00207850"/>
    <w:rsid w:val="00231EBB"/>
    <w:rsid w:val="00241A8A"/>
    <w:rsid w:val="0026048E"/>
    <w:rsid w:val="002607E7"/>
    <w:rsid w:val="00260ACC"/>
    <w:rsid w:val="00277F03"/>
    <w:rsid w:val="00294448"/>
    <w:rsid w:val="002A58C1"/>
    <w:rsid w:val="002C29A9"/>
    <w:rsid w:val="002C58E5"/>
    <w:rsid w:val="002F1262"/>
    <w:rsid w:val="00322063"/>
    <w:rsid w:val="003278F5"/>
    <w:rsid w:val="003476B8"/>
    <w:rsid w:val="003555FD"/>
    <w:rsid w:val="003572B5"/>
    <w:rsid w:val="00364154"/>
    <w:rsid w:val="003655F4"/>
    <w:rsid w:val="00366F95"/>
    <w:rsid w:val="00374C84"/>
    <w:rsid w:val="003870D2"/>
    <w:rsid w:val="003A466A"/>
    <w:rsid w:val="003C04CE"/>
    <w:rsid w:val="003F19AE"/>
    <w:rsid w:val="003F3D6C"/>
    <w:rsid w:val="003F5669"/>
    <w:rsid w:val="004305B0"/>
    <w:rsid w:val="004B0F0B"/>
    <w:rsid w:val="004C4A6C"/>
    <w:rsid w:val="004E1D46"/>
    <w:rsid w:val="004F59D0"/>
    <w:rsid w:val="0051217F"/>
    <w:rsid w:val="005174BD"/>
    <w:rsid w:val="00523B05"/>
    <w:rsid w:val="00535F50"/>
    <w:rsid w:val="00581EB7"/>
    <w:rsid w:val="005C723A"/>
    <w:rsid w:val="00604186"/>
    <w:rsid w:val="0060653B"/>
    <w:rsid w:val="006115AD"/>
    <w:rsid w:val="00613B54"/>
    <w:rsid w:val="0061522B"/>
    <w:rsid w:val="00621724"/>
    <w:rsid w:val="00622077"/>
    <w:rsid w:val="0064004D"/>
    <w:rsid w:val="00644AAC"/>
    <w:rsid w:val="00646E64"/>
    <w:rsid w:val="006D3070"/>
    <w:rsid w:val="00711010"/>
    <w:rsid w:val="007145BF"/>
    <w:rsid w:val="0073318E"/>
    <w:rsid w:val="00745DC6"/>
    <w:rsid w:val="007552D3"/>
    <w:rsid w:val="00764EF7"/>
    <w:rsid w:val="007651C5"/>
    <w:rsid w:val="0078753F"/>
    <w:rsid w:val="007A2F9B"/>
    <w:rsid w:val="007C00CD"/>
    <w:rsid w:val="007C2645"/>
    <w:rsid w:val="00835CF8"/>
    <w:rsid w:val="00860793"/>
    <w:rsid w:val="00880BC6"/>
    <w:rsid w:val="00893D88"/>
    <w:rsid w:val="008B08CF"/>
    <w:rsid w:val="008B3972"/>
    <w:rsid w:val="008E4635"/>
    <w:rsid w:val="00942007"/>
    <w:rsid w:val="00960559"/>
    <w:rsid w:val="009C0D56"/>
    <w:rsid w:val="009D4162"/>
    <w:rsid w:val="00A01420"/>
    <w:rsid w:val="00A02F05"/>
    <w:rsid w:val="00A106C3"/>
    <w:rsid w:val="00A201D2"/>
    <w:rsid w:val="00A519BB"/>
    <w:rsid w:val="00A72FFF"/>
    <w:rsid w:val="00A8572B"/>
    <w:rsid w:val="00A919FC"/>
    <w:rsid w:val="00A93FAB"/>
    <w:rsid w:val="00AD00F2"/>
    <w:rsid w:val="00AD0C90"/>
    <w:rsid w:val="00AD1F32"/>
    <w:rsid w:val="00AE0B67"/>
    <w:rsid w:val="00AE1BAE"/>
    <w:rsid w:val="00AE3363"/>
    <w:rsid w:val="00AE398D"/>
    <w:rsid w:val="00AF0F6E"/>
    <w:rsid w:val="00AF25F1"/>
    <w:rsid w:val="00B00208"/>
    <w:rsid w:val="00B2737D"/>
    <w:rsid w:val="00B47884"/>
    <w:rsid w:val="00B8341D"/>
    <w:rsid w:val="00BC0E87"/>
    <w:rsid w:val="00BD56CC"/>
    <w:rsid w:val="00BF08BF"/>
    <w:rsid w:val="00C14204"/>
    <w:rsid w:val="00C22D9D"/>
    <w:rsid w:val="00C50507"/>
    <w:rsid w:val="00C75BAA"/>
    <w:rsid w:val="00C805AC"/>
    <w:rsid w:val="00C909CE"/>
    <w:rsid w:val="00CB70B5"/>
    <w:rsid w:val="00CE5A40"/>
    <w:rsid w:val="00D262B5"/>
    <w:rsid w:val="00D57F44"/>
    <w:rsid w:val="00D66A23"/>
    <w:rsid w:val="00D74CA3"/>
    <w:rsid w:val="00D807BF"/>
    <w:rsid w:val="00DC0DFF"/>
    <w:rsid w:val="00DC1EB1"/>
    <w:rsid w:val="00DD487D"/>
    <w:rsid w:val="00DD7CB4"/>
    <w:rsid w:val="00E04E09"/>
    <w:rsid w:val="00E05A18"/>
    <w:rsid w:val="00E15DBE"/>
    <w:rsid w:val="00E26D2E"/>
    <w:rsid w:val="00E532FC"/>
    <w:rsid w:val="00E6534B"/>
    <w:rsid w:val="00E73D48"/>
    <w:rsid w:val="00E802A4"/>
    <w:rsid w:val="00E82637"/>
    <w:rsid w:val="00EA7AA8"/>
    <w:rsid w:val="00EE12E1"/>
    <w:rsid w:val="00EF0256"/>
    <w:rsid w:val="00F01BE4"/>
    <w:rsid w:val="00F02080"/>
    <w:rsid w:val="00F35A18"/>
    <w:rsid w:val="00F401AD"/>
    <w:rsid w:val="00F4060C"/>
    <w:rsid w:val="00F40B73"/>
    <w:rsid w:val="00F45C46"/>
    <w:rsid w:val="00F52A39"/>
    <w:rsid w:val="00FB106E"/>
    <w:rsid w:val="00FC6012"/>
    <w:rsid w:val="00FE6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800C9"/>
  <w15:chartTrackingRefBased/>
  <w15:docId w15:val="{FD7D9F32-45F6-48AC-B6BF-5494E6E92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9A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607E7"/>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145BF"/>
    <w:pPr>
      <w:keepNext/>
      <w:keepLines/>
      <w:spacing w:before="40" w:line="360" w:lineRule="auto"/>
      <w:outlineLvl w:val="1"/>
    </w:pPr>
    <w:rPr>
      <w:rFonts w:asciiTheme="majorHAnsi" w:eastAsiaTheme="majorEastAsia" w:hAnsiTheme="majorHAnsi" w:cstheme="majorBidi"/>
      <w:b/>
      <w:color w:val="1F4E79" w:themeColor="accent1" w:themeShade="80"/>
      <w:sz w:val="28"/>
      <w:szCs w:val="26"/>
      <w:lang w:val="en-US"/>
    </w:rPr>
  </w:style>
  <w:style w:type="paragraph" w:styleId="Heading3">
    <w:name w:val="heading 3"/>
    <w:basedOn w:val="Normal"/>
    <w:next w:val="Normal"/>
    <w:link w:val="Heading3Char"/>
    <w:uiPriority w:val="9"/>
    <w:unhideWhenUsed/>
    <w:qFormat/>
    <w:rsid w:val="007145BF"/>
    <w:pPr>
      <w:keepNext/>
      <w:keepLines/>
      <w:spacing w:before="120" w:line="360" w:lineRule="auto"/>
      <w:outlineLvl w:val="2"/>
    </w:pPr>
    <w:rPr>
      <w:rFonts w:asciiTheme="majorHAnsi" w:eastAsiaTheme="majorEastAsia" w:hAnsiTheme="majorHAnsi" w:cstheme="majorBidi"/>
      <w:b/>
      <w:bCs/>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4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45BF"/>
    <w:rPr>
      <w:rFonts w:asciiTheme="majorHAnsi" w:eastAsiaTheme="majorEastAsia" w:hAnsiTheme="majorHAnsi" w:cstheme="majorBidi"/>
      <w:b/>
      <w:color w:val="1F4E79" w:themeColor="accent1" w:themeShade="80"/>
      <w:sz w:val="28"/>
      <w:szCs w:val="26"/>
      <w:lang w:val="en-US"/>
    </w:rPr>
  </w:style>
  <w:style w:type="character" w:customStyle="1" w:styleId="Heading3Char">
    <w:name w:val="Heading 3 Char"/>
    <w:basedOn w:val="DefaultParagraphFont"/>
    <w:link w:val="Heading3"/>
    <w:uiPriority w:val="9"/>
    <w:rsid w:val="007145BF"/>
    <w:rPr>
      <w:rFonts w:asciiTheme="majorHAnsi" w:eastAsiaTheme="majorEastAsia" w:hAnsiTheme="majorHAnsi" w:cstheme="majorBidi"/>
      <w:b/>
      <w:bCs/>
      <w:color w:val="1F4D78" w:themeColor="accent1" w:themeShade="7F"/>
      <w:sz w:val="24"/>
      <w:szCs w:val="24"/>
    </w:rPr>
  </w:style>
  <w:style w:type="character" w:styleId="PlaceholderText">
    <w:name w:val="Placeholder Text"/>
    <w:basedOn w:val="DefaultParagraphFont"/>
    <w:uiPriority w:val="99"/>
    <w:semiHidden/>
    <w:rsid w:val="007145BF"/>
    <w:rPr>
      <w:color w:val="3B3838" w:themeColor="background2" w:themeShade="40"/>
    </w:rPr>
  </w:style>
  <w:style w:type="paragraph" w:styleId="NormalWeb">
    <w:name w:val="Normal (Web)"/>
    <w:basedOn w:val="Normal"/>
    <w:uiPriority w:val="99"/>
    <w:unhideWhenUsed/>
    <w:rsid w:val="00294448"/>
    <w:pPr>
      <w:spacing w:before="100" w:beforeAutospacing="1" w:after="100" w:afterAutospacing="1"/>
    </w:pPr>
  </w:style>
  <w:style w:type="character" w:styleId="Strong">
    <w:name w:val="Strong"/>
    <w:basedOn w:val="DefaultParagraphFont"/>
    <w:uiPriority w:val="22"/>
    <w:qFormat/>
    <w:rsid w:val="00294448"/>
    <w:rPr>
      <w:b/>
      <w:bCs/>
    </w:rPr>
  </w:style>
  <w:style w:type="character" w:customStyle="1" w:styleId="Heading1Char">
    <w:name w:val="Heading 1 Char"/>
    <w:basedOn w:val="DefaultParagraphFont"/>
    <w:link w:val="Heading1"/>
    <w:uiPriority w:val="9"/>
    <w:rsid w:val="002607E7"/>
    <w:rPr>
      <w:rFonts w:asciiTheme="majorHAnsi" w:eastAsiaTheme="majorEastAsia" w:hAnsiTheme="majorHAnsi" w:cstheme="majorBidi"/>
      <w:color w:val="2E74B5" w:themeColor="accent1" w:themeShade="BF"/>
      <w:sz w:val="32"/>
      <w:szCs w:val="32"/>
    </w:rPr>
  </w:style>
  <w:style w:type="paragraph" w:customStyle="1" w:styleId="paragraph">
    <w:name w:val="paragraph"/>
    <w:basedOn w:val="Normal"/>
    <w:rsid w:val="00241A8A"/>
    <w:pPr>
      <w:spacing w:before="100" w:beforeAutospacing="1" w:after="100" w:afterAutospacing="1"/>
    </w:pPr>
  </w:style>
  <w:style w:type="character" w:customStyle="1" w:styleId="normaltextrun">
    <w:name w:val="normaltextrun"/>
    <w:basedOn w:val="DefaultParagraphFont"/>
    <w:rsid w:val="00241A8A"/>
  </w:style>
  <w:style w:type="character" w:customStyle="1" w:styleId="eop">
    <w:name w:val="eop"/>
    <w:basedOn w:val="DefaultParagraphFont"/>
    <w:rsid w:val="00241A8A"/>
  </w:style>
  <w:style w:type="paragraph" w:customStyle="1" w:styleId="Style1">
    <w:name w:val="Style1"/>
    <w:basedOn w:val="Normal"/>
    <w:qFormat/>
    <w:rsid w:val="00F45C46"/>
    <w:pPr>
      <w:spacing w:line="360" w:lineRule="auto"/>
    </w:pPr>
    <w:rPr>
      <w:rFonts w:ascii="Arial" w:hAnsi="Arial" w:cs="Arial"/>
      <w:b/>
      <w:bCs/>
      <w:sz w:val="28"/>
      <w:szCs w:val="28"/>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33442">
      <w:bodyDiv w:val="1"/>
      <w:marLeft w:val="0"/>
      <w:marRight w:val="0"/>
      <w:marTop w:val="0"/>
      <w:marBottom w:val="0"/>
      <w:divBdr>
        <w:top w:val="none" w:sz="0" w:space="0" w:color="auto"/>
        <w:left w:val="none" w:sz="0" w:space="0" w:color="auto"/>
        <w:bottom w:val="none" w:sz="0" w:space="0" w:color="auto"/>
        <w:right w:val="none" w:sz="0" w:space="0" w:color="auto"/>
      </w:divBdr>
    </w:div>
    <w:div w:id="258485967">
      <w:bodyDiv w:val="1"/>
      <w:marLeft w:val="0"/>
      <w:marRight w:val="0"/>
      <w:marTop w:val="0"/>
      <w:marBottom w:val="0"/>
      <w:divBdr>
        <w:top w:val="none" w:sz="0" w:space="0" w:color="auto"/>
        <w:left w:val="none" w:sz="0" w:space="0" w:color="auto"/>
        <w:bottom w:val="none" w:sz="0" w:space="0" w:color="auto"/>
        <w:right w:val="none" w:sz="0" w:space="0" w:color="auto"/>
      </w:divBdr>
    </w:div>
    <w:div w:id="470446041">
      <w:bodyDiv w:val="1"/>
      <w:marLeft w:val="0"/>
      <w:marRight w:val="0"/>
      <w:marTop w:val="0"/>
      <w:marBottom w:val="0"/>
      <w:divBdr>
        <w:top w:val="none" w:sz="0" w:space="0" w:color="auto"/>
        <w:left w:val="none" w:sz="0" w:space="0" w:color="auto"/>
        <w:bottom w:val="none" w:sz="0" w:space="0" w:color="auto"/>
        <w:right w:val="none" w:sz="0" w:space="0" w:color="auto"/>
      </w:divBdr>
    </w:div>
    <w:div w:id="478111855">
      <w:bodyDiv w:val="1"/>
      <w:marLeft w:val="0"/>
      <w:marRight w:val="0"/>
      <w:marTop w:val="0"/>
      <w:marBottom w:val="0"/>
      <w:divBdr>
        <w:top w:val="none" w:sz="0" w:space="0" w:color="auto"/>
        <w:left w:val="none" w:sz="0" w:space="0" w:color="auto"/>
        <w:bottom w:val="none" w:sz="0" w:space="0" w:color="auto"/>
        <w:right w:val="none" w:sz="0" w:space="0" w:color="auto"/>
      </w:divBdr>
    </w:div>
    <w:div w:id="565577810">
      <w:bodyDiv w:val="1"/>
      <w:marLeft w:val="0"/>
      <w:marRight w:val="0"/>
      <w:marTop w:val="0"/>
      <w:marBottom w:val="0"/>
      <w:divBdr>
        <w:top w:val="none" w:sz="0" w:space="0" w:color="auto"/>
        <w:left w:val="none" w:sz="0" w:space="0" w:color="auto"/>
        <w:bottom w:val="none" w:sz="0" w:space="0" w:color="auto"/>
        <w:right w:val="none" w:sz="0" w:space="0" w:color="auto"/>
      </w:divBdr>
    </w:div>
    <w:div w:id="572009984">
      <w:bodyDiv w:val="1"/>
      <w:marLeft w:val="0"/>
      <w:marRight w:val="0"/>
      <w:marTop w:val="0"/>
      <w:marBottom w:val="0"/>
      <w:divBdr>
        <w:top w:val="none" w:sz="0" w:space="0" w:color="auto"/>
        <w:left w:val="none" w:sz="0" w:space="0" w:color="auto"/>
        <w:bottom w:val="none" w:sz="0" w:space="0" w:color="auto"/>
        <w:right w:val="none" w:sz="0" w:space="0" w:color="auto"/>
      </w:divBdr>
    </w:div>
    <w:div w:id="623658925">
      <w:bodyDiv w:val="1"/>
      <w:marLeft w:val="0"/>
      <w:marRight w:val="0"/>
      <w:marTop w:val="0"/>
      <w:marBottom w:val="0"/>
      <w:divBdr>
        <w:top w:val="none" w:sz="0" w:space="0" w:color="auto"/>
        <w:left w:val="none" w:sz="0" w:space="0" w:color="auto"/>
        <w:bottom w:val="none" w:sz="0" w:space="0" w:color="auto"/>
        <w:right w:val="none" w:sz="0" w:space="0" w:color="auto"/>
      </w:divBdr>
      <w:divsChild>
        <w:div w:id="240677740">
          <w:marLeft w:val="0"/>
          <w:marRight w:val="0"/>
          <w:marTop w:val="0"/>
          <w:marBottom w:val="0"/>
          <w:divBdr>
            <w:top w:val="none" w:sz="0" w:space="0" w:color="auto"/>
            <w:left w:val="none" w:sz="0" w:space="0" w:color="auto"/>
            <w:bottom w:val="none" w:sz="0" w:space="0" w:color="auto"/>
            <w:right w:val="none" w:sz="0" w:space="0" w:color="auto"/>
          </w:divBdr>
          <w:divsChild>
            <w:div w:id="72865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198084">
      <w:bodyDiv w:val="1"/>
      <w:marLeft w:val="0"/>
      <w:marRight w:val="0"/>
      <w:marTop w:val="0"/>
      <w:marBottom w:val="0"/>
      <w:divBdr>
        <w:top w:val="none" w:sz="0" w:space="0" w:color="auto"/>
        <w:left w:val="none" w:sz="0" w:space="0" w:color="auto"/>
        <w:bottom w:val="none" w:sz="0" w:space="0" w:color="auto"/>
        <w:right w:val="none" w:sz="0" w:space="0" w:color="auto"/>
      </w:divBdr>
    </w:div>
    <w:div w:id="895437283">
      <w:bodyDiv w:val="1"/>
      <w:marLeft w:val="0"/>
      <w:marRight w:val="0"/>
      <w:marTop w:val="0"/>
      <w:marBottom w:val="0"/>
      <w:divBdr>
        <w:top w:val="none" w:sz="0" w:space="0" w:color="auto"/>
        <w:left w:val="none" w:sz="0" w:space="0" w:color="auto"/>
        <w:bottom w:val="none" w:sz="0" w:space="0" w:color="auto"/>
        <w:right w:val="none" w:sz="0" w:space="0" w:color="auto"/>
      </w:divBdr>
    </w:div>
    <w:div w:id="1051803060">
      <w:bodyDiv w:val="1"/>
      <w:marLeft w:val="0"/>
      <w:marRight w:val="0"/>
      <w:marTop w:val="0"/>
      <w:marBottom w:val="0"/>
      <w:divBdr>
        <w:top w:val="none" w:sz="0" w:space="0" w:color="auto"/>
        <w:left w:val="none" w:sz="0" w:space="0" w:color="auto"/>
        <w:bottom w:val="none" w:sz="0" w:space="0" w:color="auto"/>
        <w:right w:val="none" w:sz="0" w:space="0" w:color="auto"/>
      </w:divBdr>
    </w:div>
    <w:div w:id="1121539032">
      <w:bodyDiv w:val="1"/>
      <w:marLeft w:val="0"/>
      <w:marRight w:val="0"/>
      <w:marTop w:val="0"/>
      <w:marBottom w:val="0"/>
      <w:divBdr>
        <w:top w:val="none" w:sz="0" w:space="0" w:color="auto"/>
        <w:left w:val="none" w:sz="0" w:space="0" w:color="auto"/>
        <w:bottom w:val="none" w:sz="0" w:space="0" w:color="auto"/>
        <w:right w:val="none" w:sz="0" w:space="0" w:color="auto"/>
      </w:divBdr>
    </w:div>
    <w:div w:id="1140077941">
      <w:bodyDiv w:val="1"/>
      <w:marLeft w:val="0"/>
      <w:marRight w:val="0"/>
      <w:marTop w:val="0"/>
      <w:marBottom w:val="0"/>
      <w:divBdr>
        <w:top w:val="none" w:sz="0" w:space="0" w:color="auto"/>
        <w:left w:val="none" w:sz="0" w:space="0" w:color="auto"/>
        <w:bottom w:val="none" w:sz="0" w:space="0" w:color="auto"/>
        <w:right w:val="none" w:sz="0" w:space="0" w:color="auto"/>
      </w:divBdr>
      <w:divsChild>
        <w:div w:id="1384673383">
          <w:marLeft w:val="0"/>
          <w:marRight w:val="0"/>
          <w:marTop w:val="0"/>
          <w:marBottom w:val="0"/>
          <w:divBdr>
            <w:top w:val="none" w:sz="0" w:space="0" w:color="auto"/>
            <w:left w:val="none" w:sz="0" w:space="0" w:color="auto"/>
            <w:bottom w:val="none" w:sz="0" w:space="0" w:color="auto"/>
            <w:right w:val="none" w:sz="0" w:space="0" w:color="auto"/>
          </w:divBdr>
          <w:divsChild>
            <w:div w:id="1090001100">
              <w:marLeft w:val="0"/>
              <w:marRight w:val="0"/>
              <w:marTop w:val="0"/>
              <w:marBottom w:val="0"/>
              <w:divBdr>
                <w:top w:val="none" w:sz="0" w:space="0" w:color="auto"/>
                <w:left w:val="none" w:sz="0" w:space="0" w:color="auto"/>
                <w:bottom w:val="none" w:sz="0" w:space="0" w:color="auto"/>
                <w:right w:val="none" w:sz="0" w:space="0" w:color="auto"/>
              </w:divBdr>
              <w:divsChild>
                <w:div w:id="1805273472">
                  <w:marLeft w:val="0"/>
                  <w:marRight w:val="0"/>
                  <w:marTop w:val="0"/>
                  <w:marBottom w:val="0"/>
                  <w:divBdr>
                    <w:top w:val="none" w:sz="0" w:space="0" w:color="auto"/>
                    <w:left w:val="none" w:sz="0" w:space="0" w:color="auto"/>
                    <w:bottom w:val="none" w:sz="0" w:space="0" w:color="auto"/>
                    <w:right w:val="none" w:sz="0" w:space="0" w:color="auto"/>
                  </w:divBdr>
                  <w:divsChild>
                    <w:div w:id="94858522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160582869">
      <w:bodyDiv w:val="1"/>
      <w:marLeft w:val="0"/>
      <w:marRight w:val="0"/>
      <w:marTop w:val="0"/>
      <w:marBottom w:val="0"/>
      <w:divBdr>
        <w:top w:val="none" w:sz="0" w:space="0" w:color="auto"/>
        <w:left w:val="none" w:sz="0" w:space="0" w:color="auto"/>
        <w:bottom w:val="none" w:sz="0" w:space="0" w:color="auto"/>
        <w:right w:val="none" w:sz="0" w:space="0" w:color="auto"/>
      </w:divBdr>
    </w:div>
    <w:div w:id="1292518106">
      <w:bodyDiv w:val="1"/>
      <w:marLeft w:val="0"/>
      <w:marRight w:val="0"/>
      <w:marTop w:val="0"/>
      <w:marBottom w:val="0"/>
      <w:divBdr>
        <w:top w:val="none" w:sz="0" w:space="0" w:color="auto"/>
        <w:left w:val="none" w:sz="0" w:space="0" w:color="auto"/>
        <w:bottom w:val="none" w:sz="0" w:space="0" w:color="auto"/>
        <w:right w:val="none" w:sz="0" w:space="0" w:color="auto"/>
      </w:divBdr>
    </w:div>
    <w:div w:id="1429236640">
      <w:bodyDiv w:val="1"/>
      <w:marLeft w:val="0"/>
      <w:marRight w:val="0"/>
      <w:marTop w:val="0"/>
      <w:marBottom w:val="0"/>
      <w:divBdr>
        <w:top w:val="none" w:sz="0" w:space="0" w:color="auto"/>
        <w:left w:val="none" w:sz="0" w:space="0" w:color="auto"/>
        <w:bottom w:val="none" w:sz="0" w:space="0" w:color="auto"/>
        <w:right w:val="none" w:sz="0" w:space="0" w:color="auto"/>
      </w:divBdr>
    </w:div>
    <w:div w:id="1577855887">
      <w:bodyDiv w:val="1"/>
      <w:marLeft w:val="0"/>
      <w:marRight w:val="0"/>
      <w:marTop w:val="0"/>
      <w:marBottom w:val="0"/>
      <w:divBdr>
        <w:top w:val="none" w:sz="0" w:space="0" w:color="auto"/>
        <w:left w:val="none" w:sz="0" w:space="0" w:color="auto"/>
        <w:bottom w:val="none" w:sz="0" w:space="0" w:color="auto"/>
        <w:right w:val="none" w:sz="0" w:space="0" w:color="auto"/>
      </w:divBdr>
    </w:div>
    <w:div w:id="1668943152">
      <w:bodyDiv w:val="1"/>
      <w:marLeft w:val="0"/>
      <w:marRight w:val="0"/>
      <w:marTop w:val="0"/>
      <w:marBottom w:val="0"/>
      <w:divBdr>
        <w:top w:val="none" w:sz="0" w:space="0" w:color="auto"/>
        <w:left w:val="none" w:sz="0" w:space="0" w:color="auto"/>
        <w:bottom w:val="none" w:sz="0" w:space="0" w:color="auto"/>
        <w:right w:val="none" w:sz="0" w:space="0" w:color="auto"/>
      </w:divBdr>
      <w:divsChild>
        <w:div w:id="535119992">
          <w:marLeft w:val="0"/>
          <w:marRight w:val="0"/>
          <w:marTop w:val="0"/>
          <w:marBottom w:val="0"/>
          <w:divBdr>
            <w:top w:val="none" w:sz="0" w:space="0" w:color="auto"/>
            <w:left w:val="none" w:sz="0" w:space="0" w:color="auto"/>
            <w:bottom w:val="none" w:sz="0" w:space="0" w:color="auto"/>
            <w:right w:val="none" w:sz="0" w:space="0" w:color="auto"/>
          </w:divBdr>
          <w:divsChild>
            <w:div w:id="309752881">
              <w:marLeft w:val="0"/>
              <w:marRight w:val="0"/>
              <w:marTop w:val="0"/>
              <w:marBottom w:val="0"/>
              <w:divBdr>
                <w:top w:val="none" w:sz="0" w:space="0" w:color="auto"/>
                <w:left w:val="none" w:sz="0" w:space="0" w:color="auto"/>
                <w:bottom w:val="none" w:sz="0" w:space="0" w:color="auto"/>
                <w:right w:val="none" w:sz="0" w:space="0" w:color="auto"/>
              </w:divBdr>
            </w:div>
          </w:divsChild>
        </w:div>
        <w:div w:id="173345800">
          <w:marLeft w:val="0"/>
          <w:marRight w:val="0"/>
          <w:marTop w:val="0"/>
          <w:marBottom w:val="0"/>
          <w:divBdr>
            <w:top w:val="none" w:sz="0" w:space="0" w:color="auto"/>
            <w:left w:val="none" w:sz="0" w:space="0" w:color="auto"/>
            <w:bottom w:val="none" w:sz="0" w:space="0" w:color="auto"/>
            <w:right w:val="none" w:sz="0" w:space="0" w:color="auto"/>
          </w:divBdr>
          <w:divsChild>
            <w:div w:id="1404259387">
              <w:marLeft w:val="0"/>
              <w:marRight w:val="0"/>
              <w:marTop w:val="0"/>
              <w:marBottom w:val="0"/>
              <w:divBdr>
                <w:top w:val="none" w:sz="0" w:space="0" w:color="auto"/>
                <w:left w:val="none" w:sz="0" w:space="0" w:color="auto"/>
                <w:bottom w:val="none" w:sz="0" w:space="0" w:color="auto"/>
                <w:right w:val="none" w:sz="0" w:space="0" w:color="auto"/>
              </w:divBdr>
            </w:div>
          </w:divsChild>
        </w:div>
        <w:div w:id="773092594">
          <w:marLeft w:val="0"/>
          <w:marRight w:val="0"/>
          <w:marTop w:val="0"/>
          <w:marBottom w:val="0"/>
          <w:divBdr>
            <w:top w:val="none" w:sz="0" w:space="0" w:color="auto"/>
            <w:left w:val="none" w:sz="0" w:space="0" w:color="auto"/>
            <w:bottom w:val="none" w:sz="0" w:space="0" w:color="auto"/>
            <w:right w:val="none" w:sz="0" w:space="0" w:color="auto"/>
          </w:divBdr>
          <w:divsChild>
            <w:div w:id="161089878">
              <w:marLeft w:val="0"/>
              <w:marRight w:val="0"/>
              <w:marTop w:val="0"/>
              <w:marBottom w:val="0"/>
              <w:divBdr>
                <w:top w:val="none" w:sz="0" w:space="0" w:color="auto"/>
                <w:left w:val="none" w:sz="0" w:space="0" w:color="auto"/>
                <w:bottom w:val="none" w:sz="0" w:space="0" w:color="auto"/>
                <w:right w:val="none" w:sz="0" w:space="0" w:color="auto"/>
              </w:divBdr>
            </w:div>
          </w:divsChild>
        </w:div>
        <w:div w:id="1856460340">
          <w:marLeft w:val="0"/>
          <w:marRight w:val="0"/>
          <w:marTop w:val="0"/>
          <w:marBottom w:val="0"/>
          <w:divBdr>
            <w:top w:val="none" w:sz="0" w:space="0" w:color="auto"/>
            <w:left w:val="none" w:sz="0" w:space="0" w:color="auto"/>
            <w:bottom w:val="none" w:sz="0" w:space="0" w:color="auto"/>
            <w:right w:val="none" w:sz="0" w:space="0" w:color="auto"/>
          </w:divBdr>
          <w:divsChild>
            <w:div w:id="30764349">
              <w:marLeft w:val="0"/>
              <w:marRight w:val="0"/>
              <w:marTop w:val="0"/>
              <w:marBottom w:val="0"/>
              <w:divBdr>
                <w:top w:val="none" w:sz="0" w:space="0" w:color="auto"/>
                <w:left w:val="none" w:sz="0" w:space="0" w:color="auto"/>
                <w:bottom w:val="none" w:sz="0" w:space="0" w:color="auto"/>
                <w:right w:val="none" w:sz="0" w:space="0" w:color="auto"/>
              </w:divBdr>
            </w:div>
          </w:divsChild>
        </w:div>
        <w:div w:id="2019235466">
          <w:marLeft w:val="0"/>
          <w:marRight w:val="0"/>
          <w:marTop w:val="0"/>
          <w:marBottom w:val="0"/>
          <w:divBdr>
            <w:top w:val="none" w:sz="0" w:space="0" w:color="auto"/>
            <w:left w:val="none" w:sz="0" w:space="0" w:color="auto"/>
            <w:bottom w:val="none" w:sz="0" w:space="0" w:color="auto"/>
            <w:right w:val="none" w:sz="0" w:space="0" w:color="auto"/>
          </w:divBdr>
          <w:divsChild>
            <w:div w:id="393042737">
              <w:marLeft w:val="0"/>
              <w:marRight w:val="0"/>
              <w:marTop w:val="0"/>
              <w:marBottom w:val="0"/>
              <w:divBdr>
                <w:top w:val="none" w:sz="0" w:space="0" w:color="auto"/>
                <w:left w:val="none" w:sz="0" w:space="0" w:color="auto"/>
                <w:bottom w:val="none" w:sz="0" w:space="0" w:color="auto"/>
                <w:right w:val="none" w:sz="0" w:space="0" w:color="auto"/>
              </w:divBdr>
            </w:div>
          </w:divsChild>
        </w:div>
        <w:div w:id="970207608">
          <w:marLeft w:val="0"/>
          <w:marRight w:val="0"/>
          <w:marTop w:val="0"/>
          <w:marBottom w:val="0"/>
          <w:divBdr>
            <w:top w:val="none" w:sz="0" w:space="0" w:color="auto"/>
            <w:left w:val="none" w:sz="0" w:space="0" w:color="auto"/>
            <w:bottom w:val="none" w:sz="0" w:space="0" w:color="auto"/>
            <w:right w:val="none" w:sz="0" w:space="0" w:color="auto"/>
          </w:divBdr>
          <w:divsChild>
            <w:div w:id="126422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801404">
      <w:bodyDiv w:val="1"/>
      <w:marLeft w:val="0"/>
      <w:marRight w:val="0"/>
      <w:marTop w:val="0"/>
      <w:marBottom w:val="0"/>
      <w:divBdr>
        <w:top w:val="none" w:sz="0" w:space="0" w:color="auto"/>
        <w:left w:val="none" w:sz="0" w:space="0" w:color="auto"/>
        <w:bottom w:val="none" w:sz="0" w:space="0" w:color="auto"/>
        <w:right w:val="none" w:sz="0" w:space="0" w:color="auto"/>
      </w:divBdr>
    </w:div>
    <w:div w:id="1882591221">
      <w:bodyDiv w:val="1"/>
      <w:marLeft w:val="0"/>
      <w:marRight w:val="0"/>
      <w:marTop w:val="0"/>
      <w:marBottom w:val="0"/>
      <w:divBdr>
        <w:top w:val="none" w:sz="0" w:space="0" w:color="auto"/>
        <w:left w:val="none" w:sz="0" w:space="0" w:color="auto"/>
        <w:bottom w:val="none" w:sz="0" w:space="0" w:color="auto"/>
        <w:right w:val="none" w:sz="0" w:space="0" w:color="auto"/>
      </w:divBdr>
    </w:div>
    <w:div w:id="1985502571">
      <w:bodyDiv w:val="1"/>
      <w:marLeft w:val="0"/>
      <w:marRight w:val="0"/>
      <w:marTop w:val="0"/>
      <w:marBottom w:val="0"/>
      <w:divBdr>
        <w:top w:val="none" w:sz="0" w:space="0" w:color="auto"/>
        <w:left w:val="none" w:sz="0" w:space="0" w:color="auto"/>
        <w:bottom w:val="none" w:sz="0" w:space="0" w:color="auto"/>
        <w:right w:val="none" w:sz="0" w:space="0" w:color="auto"/>
      </w:divBdr>
      <w:divsChild>
        <w:div w:id="1114059961">
          <w:marLeft w:val="0"/>
          <w:marRight w:val="0"/>
          <w:marTop w:val="0"/>
          <w:marBottom w:val="0"/>
          <w:divBdr>
            <w:top w:val="none" w:sz="0" w:space="0" w:color="auto"/>
            <w:left w:val="none" w:sz="0" w:space="0" w:color="auto"/>
            <w:bottom w:val="none" w:sz="0" w:space="0" w:color="auto"/>
            <w:right w:val="none" w:sz="0" w:space="0" w:color="auto"/>
          </w:divBdr>
          <w:divsChild>
            <w:div w:id="1740472140">
              <w:marLeft w:val="0"/>
              <w:marRight w:val="0"/>
              <w:marTop w:val="0"/>
              <w:marBottom w:val="0"/>
              <w:divBdr>
                <w:top w:val="none" w:sz="0" w:space="0" w:color="auto"/>
                <w:left w:val="none" w:sz="0" w:space="0" w:color="auto"/>
                <w:bottom w:val="none" w:sz="0" w:space="0" w:color="auto"/>
                <w:right w:val="none" w:sz="0" w:space="0" w:color="auto"/>
              </w:divBdr>
            </w:div>
          </w:divsChild>
        </w:div>
        <w:div w:id="553395930">
          <w:marLeft w:val="0"/>
          <w:marRight w:val="0"/>
          <w:marTop w:val="0"/>
          <w:marBottom w:val="0"/>
          <w:divBdr>
            <w:top w:val="none" w:sz="0" w:space="0" w:color="auto"/>
            <w:left w:val="none" w:sz="0" w:space="0" w:color="auto"/>
            <w:bottom w:val="none" w:sz="0" w:space="0" w:color="auto"/>
            <w:right w:val="none" w:sz="0" w:space="0" w:color="auto"/>
          </w:divBdr>
          <w:divsChild>
            <w:div w:id="1120609290">
              <w:marLeft w:val="0"/>
              <w:marRight w:val="0"/>
              <w:marTop w:val="0"/>
              <w:marBottom w:val="0"/>
              <w:divBdr>
                <w:top w:val="none" w:sz="0" w:space="0" w:color="auto"/>
                <w:left w:val="none" w:sz="0" w:space="0" w:color="auto"/>
                <w:bottom w:val="none" w:sz="0" w:space="0" w:color="auto"/>
                <w:right w:val="none" w:sz="0" w:space="0" w:color="auto"/>
              </w:divBdr>
            </w:div>
          </w:divsChild>
        </w:div>
        <w:div w:id="210657450">
          <w:marLeft w:val="0"/>
          <w:marRight w:val="0"/>
          <w:marTop w:val="0"/>
          <w:marBottom w:val="0"/>
          <w:divBdr>
            <w:top w:val="none" w:sz="0" w:space="0" w:color="auto"/>
            <w:left w:val="none" w:sz="0" w:space="0" w:color="auto"/>
            <w:bottom w:val="none" w:sz="0" w:space="0" w:color="auto"/>
            <w:right w:val="none" w:sz="0" w:space="0" w:color="auto"/>
          </w:divBdr>
          <w:divsChild>
            <w:div w:id="495649933">
              <w:marLeft w:val="0"/>
              <w:marRight w:val="0"/>
              <w:marTop w:val="0"/>
              <w:marBottom w:val="0"/>
              <w:divBdr>
                <w:top w:val="none" w:sz="0" w:space="0" w:color="auto"/>
                <w:left w:val="none" w:sz="0" w:space="0" w:color="auto"/>
                <w:bottom w:val="none" w:sz="0" w:space="0" w:color="auto"/>
                <w:right w:val="none" w:sz="0" w:space="0" w:color="auto"/>
              </w:divBdr>
            </w:div>
            <w:div w:id="378020416">
              <w:marLeft w:val="0"/>
              <w:marRight w:val="0"/>
              <w:marTop w:val="0"/>
              <w:marBottom w:val="0"/>
              <w:divBdr>
                <w:top w:val="none" w:sz="0" w:space="0" w:color="auto"/>
                <w:left w:val="none" w:sz="0" w:space="0" w:color="auto"/>
                <w:bottom w:val="none" w:sz="0" w:space="0" w:color="auto"/>
                <w:right w:val="none" w:sz="0" w:space="0" w:color="auto"/>
              </w:divBdr>
            </w:div>
          </w:divsChild>
        </w:div>
        <w:div w:id="275332358">
          <w:marLeft w:val="0"/>
          <w:marRight w:val="0"/>
          <w:marTop w:val="0"/>
          <w:marBottom w:val="0"/>
          <w:divBdr>
            <w:top w:val="none" w:sz="0" w:space="0" w:color="auto"/>
            <w:left w:val="none" w:sz="0" w:space="0" w:color="auto"/>
            <w:bottom w:val="none" w:sz="0" w:space="0" w:color="auto"/>
            <w:right w:val="none" w:sz="0" w:space="0" w:color="auto"/>
          </w:divBdr>
          <w:divsChild>
            <w:div w:id="145125331">
              <w:marLeft w:val="0"/>
              <w:marRight w:val="0"/>
              <w:marTop w:val="0"/>
              <w:marBottom w:val="0"/>
              <w:divBdr>
                <w:top w:val="none" w:sz="0" w:space="0" w:color="auto"/>
                <w:left w:val="none" w:sz="0" w:space="0" w:color="auto"/>
                <w:bottom w:val="none" w:sz="0" w:space="0" w:color="auto"/>
                <w:right w:val="none" w:sz="0" w:space="0" w:color="auto"/>
              </w:divBdr>
            </w:div>
          </w:divsChild>
        </w:div>
        <w:div w:id="1719010734">
          <w:marLeft w:val="0"/>
          <w:marRight w:val="0"/>
          <w:marTop w:val="0"/>
          <w:marBottom w:val="0"/>
          <w:divBdr>
            <w:top w:val="none" w:sz="0" w:space="0" w:color="auto"/>
            <w:left w:val="none" w:sz="0" w:space="0" w:color="auto"/>
            <w:bottom w:val="none" w:sz="0" w:space="0" w:color="auto"/>
            <w:right w:val="none" w:sz="0" w:space="0" w:color="auto"/>
          </w:divBdr>
          <w:divsChild>
            <w:div w:id="571282099">
              <w:marLeft w:val="0"/>
              <w:marRight w:val="0"/>
              <w:marTop w:val="0"/>
              <w:marBottom w:val="0"/>
              <w:divBdr>
                <w:top w:val="none" w:sz="0" w:space="0" w:color="auto"/>
                <w:left w:val="none" w:sz="0" w:space="0" w:color="auto"/>
                <w:bottom w:val="none" w:sz="0" w:space="0" w:color="auto"/>
                <w:right w:val="none" w:sz="0" w:space="0" w:color="auto"/>
              </w:divBdr>
            </w:div>
          </w:divsChild>
        </w:div>
        <w:div w:id="906694767">
          <w:marLeft w:val="0"/>
          <w:marRight w:val="0"/>
          <w:marTop w:val="0"/>
          <w:marBottom w:val="0"/>
          <w:divBdr>
            <w:top w:val="none" w:sz="0" w:space="0" w:color="auto"/>
            <w:left w:val="none" w:sz="0" w:space="0" w:color="auto"/>
            <w:bottom w:val="none" w:sz="0" w:space="0" w:color="auto"/>
            <w:right w:val="none" w:sz="0" w:space="0" w:color="auto"/>
          </w:divBdr>
          <w:divsChild>
            <w:div w:id="1599562170">
              <w:marLeft w:val="0"/>
              <w:marRight w:val="0"/>
              <w:marTop w:val="0"/>
              <w:marBottom w:val="0"/>
              <w:divBdr>
                <w:top w:val="none" w:sz="0" w:space="0" w:color="auto"/>
                <w:left w:val="none" w:sz="0" w:space="0" w:color="auto"/>
                <w:bottom w:val="none" w:sz="0" w:space="0" w:color="auto"/>
                <w:right w:val="none" w:sz="0" w:space="0" w:color="auto"/>
              </w:divBdr>
            </w:div>
          </w:divsChild>
        </w:div>
        <w:div w:id="1186597848">
          <w:marLeft w:val="0"/>
          <w:marRight w:val="0"/>
          <w:marTop w:val="0"/>
          <w:marBottom w:val="0"/>
          <w:divBdr>
            <w:top w:val="none" w:sz="0" w:space="0" w:color="auto"/>
            <w:left w:val="none" w:sz="0" w:space="0" w:color="auto"/>
            <w:bottom w:val="none" w:sz="0" w:space="0" w:color="auto"/>
            <w:right w:val="none" w:sz="0" w:space="0" w:color="auto"/>
          </w:divBdr>
          <w:divsChild>
            <w:div w:id="2093817059">
              <w:marLeft w:val="0"/>
              <w:marRight w:val="0"/>
              <w:marTop w:val="0"/>
              <w:marBottom w:val="0"/>
              <w:divBdr>
                <w:top w:val="none" w:sz="0" w:space="0" w:color="auto"/>
                <w:left w:val="none" w:sz="0" w:space="0" w:color="auto"/>
                <w:bottom w:val="none" w:sz="0" w:space="0" w:color="auto"/>
                <w:right w:val="none" w:sz="0" w:space="0" w:color="auto"/>
              </w:divBdr>
            </w:div>
          </w:divsChild>
        </w:div>
        <w:div w:id="1901744573">
          <w:marLeft w:val="0"/>
          <w:marRight w:val="0"/>
          <w:marTop w:val="0"/>
          <w:marBottom w:val="0"/>
          <w:divBdr>
            <w:top w:val="none" w:sz="0" w:space="0" w:color="auto"/>
            <w:left w:val="none" w:sz="0" w:space="0" w:color="auto"/>
            <w:bottom w:val="none" w:sz="0" w:space="0" w:color="auto"/>
            <w:right w:val="none" w:sz="0" w:space="0" w:color="auto"/>
          </w:divBdr>
          <w:divsChild>
            <w:div w:id="1602643221">
              <w:marLeft w:val="0"/>
              <w:marRight w:val="0"/>
              <w:marTop w:val="0"/>
              <w:marBottom w:val="0"/>
              <w:divBdr>
                <w:top w:val="none" w:sz="0" w:space="0" w:color="auto"/>
                <w:left w:val="none" w:sz="0" w:space="0" w:color="auto"/>
                <w:bottom w:val="none" w:sz="0" w:space="0" w:color="auto"/>
                <w:right w:val="none" w:sz="0" w:space="0" w:color="auto"/>
              </w:divBdr>
            </w:div>
          </w:divsChild>
        </w:div>
        <w:div w:id="1463498804">
          <w:marLeft w:val="0"/>
          <w:marRight w:val="0"/>
          <w:marTop w:val="0"/>
          <w:marBottom w:val="0"/>
          <w:divBdr>
            <w:top w:val="none" w:sz="0" w:space="0" w:color="auto"/>
            <w:left w:val="none" w:sz="0" w:space="0" w:color="auto"/>
            <w:bottom w:val="none" w:sz="0" w:space="0" w:color="auto"/>
            <w:right w:val="none" w:sz="0" w:space="0" w:color="auto"/>
          </w:divBdr>
          <w:divsChild>
            <w:div w:id="1729185949">
              <w:marLeft w:val="0"/>
              <w:marRight w:val="0"/>
              <w:marTop w:val="0"/>
              <w:marBottom w:val="0"/>
              <w:divBdr>
                <w:top w:val="none" w:sz="0" w:space="0" w:color="auto"/>
                <w:left w:val="none" w:sz="0" w:space="0" w:color="auto"/>
                <w:bottom w:val="none" w:sz="0" w:space="0" w:color="auto"/>
                <w:right w:val="none" w:sz="0" w:space="0" w:color="auto"/>
              </w:divBdr>
            </w:div>
          </w:divsChild>
        </w:div>
        <w:div w:id="652679012">
          <w:marLeft w:val="0"/>
          <w:marRight w:val="0"/>
          <w:marTop w:val="0"/>
          <w:marBottom w:val="0"/>
          <w:divBdr>
            <w:top w:val="none" w:sz="0" w:space="0" w:color="auto"/>
            <w:left w:val="none" w:sz="0" w:space="0" w:color="auto"/>
            <w:bottom w:val="none" w:sz="0" w:space="0" w:color="auto"/>
            <w:right w:val="none" w:sz="0" w:space="0" w:color="auto"/>
          </w:divBdr>
          <w:divsChild>
            <w:div w:id="1017733922">
              <w:marLeft w:val="0"/>
              <w:marRight w:val="0"/>
              <w:marTop w:val="0"/>
              <w:marBottom w:val="0"/>
              <w:divBdr>
                <w:top w:val="none" w:sz="0" w:space="0" w:color="auto"/>
                <w:left w:val="none" w:sz="0" w:space="0" w:color="auto"/>
                <w:bottom w:val="none" w:sz="0" w:space="0" w:color="auto"/>
                <w:right w:val="none" w:sz="0" w:space="0" w:color="auto"/>
              </w:divBdr>
            </w:div>
          </w:divsChild>
        </w:div>
        <w:div w:id="1155493322">
          <w:marLeft w:val="0"/>
          <w:marRight w:val="0"/>
          <w:marTop w:val="0"/>
          <w:marBottom w:val="0"/>
          <w:divBdr>
            <w:top w:val="none" w:sz="0" w:space="0" w:color="auto"/>
            <w:left w:val="none" w:sz="0" w:space="0" w:color="auto"/>
            <w:bottom w:val="none" w:sz="0" w:space="0" w:color="auto"/>
            <w:right w:val="none" w:sz="0" w:space="0" w:color="auto"/>
          </w:divBdr>
          <w:divsChild>
            <w:div w:id="1993411670">
              <w:marLeft w:val="0"/>
              <w:marRight w:val="0"/>
              <w:marTop w:val="0"/>
              <w:marBottom w:val="0"/>
              <w:divBdr>
                <w:top w:val="none" w:sz="0" w:space="0" w:color="auto"/>
                <w:left w:val="none" w:sz="0" w:space="0" w:color="auto"/>
                <w:bottom w:val="none" w:sz="0" w:space="0" w:color="auto"/>
                <w:right w:val="none" w:sz="0" w:space="0" w:color="auto"/>
              </w:divBdr>
            </w:div>
          </w:divsChild>
        </w:div>
        <w:div w:id="245572306">
          <w:marLeft w:val="0"/>
          <w:marRight w:val="0"/>
          <w:marTop w:val="0"/>
          <w:marBottom w:val="0"/>
          <w:divBdr>
            <w:top w:val="none" w:sz="0" w:space="0" w:color="auto"/>
            <w:left w:val="none" w:sz="0" w:space="0" w:color="auto"/>
            <w:bottom w:val="none" w:sz="0" w:space="0" w:color="auto"/>
            <w:right w:val="none" w:sz="0" w:space="0" w:color="auto"/>
          </w:divBdr>
          <w:divsChild>
            <w:div w:id="304238708">
              <w:marLeft w:val="0"/>
              <w:marRight w:val="0"/>
              <w:marTop w:val="0"/>
              <w:marBottom w:val="0"/>
              <w:divBdr>
                <w:top w:val="none" w:sz="0" w:space="0" w:color="auto"/>
                <w:left w:val="none" w:sz="0" w:space="0" w:color="auto"/>
                <w:bottom w:val="none" w:sz="0" w:space="0" w:color="auto"/>
                <w:right w:val="none" w:sz="0" w:space="0" w:color="auto"/>
              </w:divBdr>
            </w:div>
          </w:divsChild>
        </w:div>
        <w:div w:id="1663851610">
          <w:marLeft w:val="0"/>
          <w:marRight w:val="0"/>
          <w:marTop w:val="0"/>
          <w:marBottom w:val="0"/>
          <w:divBdr>
            <w:top w:val="none" w:sz="0" w:space="0" w:color="auto"/>
            <w:left w:val="none" w:sz="0" w:space="0" w:color="auto"/>
            <w:bottom w:val="none" w:sz="0" w:space="0" w:color="auto"/>
            <w:right w:val="none" w:sz="0" w:space="0" w:color="auto"/>
          </w:divBdr>
          <w:divsChild>
            <w:div w:id="1618566527">
              <w:marLeft w:val="0"/>
              <w:marRight w:val="0"/>
              <w:marTop w:val="0"/>
              <w:marBottom w:val="0"/>
              <w:divBdr>
                <w:top w:val="none" w:sz="0" w:space="0" w:color="auto"/>
                <w:left w:val="none" w:sz="0" w:space="0" w:color="auto"/>
                <w:bottom w:val="none" w:sz="0" w:space="0" w:color="auto"/>
                <w:right w:val="none" w:sz="0" w:space="0" w:color="auto"/>
              </w:divBdr>
            </w:div>
          </w:divsChild>
        </w:div>
        <w:div w:id="134419346">
          <w:marLeft w:val="0"/>
          <w:marRight w:val="0"/>
          <w:marTop w:val="0"/>
          <w:marBottom w:val="0"/>
          <w:divBdr>
            <w:top w:val="none" w:sz="0" w:space="0" w:color="auto"/>
            <w:left w:val="none" w:sz="0" w:space="0" w:color="auto"/>
            <w:bottom w:val="none" w:sz="0" w:space="0" w:color="auto"/>
            <w:right w:val="none" w:sz="0" w:space="0" w:color="auto"/>
          </w:divBdr>
          <w:divsChild>
            <w:div w:id="269557268">
              <w:marLeft w:val="0"/>
              <w:marRight w:val="0"/>
              <w:marTop w:val="0"/>
              <w:marBottom w:val="0"/>
              <w:divBdr>
                <w:top w:val="none" w:sz="0" w:space="0" w:color="auto"/>
                <w:left w:val="none" w:sz="0" w:space="0" w:color="auto"/>
                <w:bottom w:val="none" w:sz="0" w:space="0" w:color="auto"/>
                <w:right w:val="none" w:sz="0" w:space="0" w:color="auto"/>
              </w:divBdr>
            </w:div>
          </w:divsChild>
        </w:div>
        <w:div w:id="1697387917">
          <w:marLeft w:val="0"/>
          <w:marRight w:val="0"/>
          <w:marTop w:val="0"/>
          <w:marBottom w:val="0"/>
          <w:divBdr>
            <w:top w:val="none" w:sz="0" w:space="0" w:color="auto"/>
            <w:left w:val="none" w:sz="0" w:space="0" w:color="auto"/>
            <w:bottom w:val="none" w:sz="0" w:space="0" w:color="auto"/>
            <w:right w:val="none" w:sz="0" w:space="0" w:color="auto"/>
          </w:divBdr>
          <w:divsChild>
            <w:div w:id="163220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340811">
      <w:bodyDiv w:val="1"/>
      <w:marLeft w:val="0"/>
      <w:marRight w:val="0"/>
      <w:marTop w:val="0"/>
      <w:marBottom w:val="0"/>
      <w:divBdr>
        <w:top w:val="none" w:sz="0" w:space="0" w:color="auto"/>
        <w:left w:val="none" w:sz="0" w:space="0" w:color="auto"/>
        <w:bottom w:val="none" w:sz="0" w:space="0" w:color="auto"/>
        <w:right w:val="none" w:sz="0" w:space="0" w:color="auto"/>
      </w:divBdr>
    </w:div>
    <w:div w:id="2046170378">
      <w:bodyDiv w:val="1"/>
      <w:marLeft w:val="0"/>
      <w:marRight w:val="0"/>
      <w:marTop w:val="0"/>
      <w:marBottom w:val="0"/>
      <w:divBdr>
        <w:top w:val="none" w:sz="0" w:space="0" w:color="auto"/>
        <w:left w:val="none" w:sz="0" w:space="0" w:color="auto"/>
        <w:bottom w:val="none" w:sz="0" w:space="0" w:color="auto"/>
        <w:right w:val="none" w:sz="0" w:space="0" w:color="auto"/>
      </w:divBdr>
    </w:div>
    <w:div w:id="2127308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400A521-7A3F-514D-BD0F-8B82F3C44CF7}">
  <we:reference id="wa104380122" version="2.1.0.1" store="en-GB" storeType="OMEX"/>
  <we:alternateReferences>
    <we:reference id="wa104380122" version="2.1.0.1" store="WA104380122" storeType="OMEX"/>
  </we:alternateReferences>
  <we:properties>
    <we:property name="bibliographyEnabled" value="&quot;bibliographyEnabled&quot;"/>
    <we:property name="citations" value="null"/>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userId" value="&quot;user:6139d0778f08f3fc2899c07e&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3" ma:contentTypeDescription="Create a new document." ma:contentTypeScope="" ma:versionID="afb8e8156ae65a8d2e007f3300f7139d">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a6d30ba8b7085bfa44d2817c1fa220fa"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6526CF-A48E-4B77-8026-821FB78DB3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f8d1b9f2-fed3-4e8f-8f36-1fbf8a3a31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392B66-0768-4CB5-A46A-A5A3A307CE2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8B706A6-C93B-4D13-A80A-C8AD4412FDA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5409</Words>
  <Characters>30832</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Sophie Evans</cp:lastModifiedBy>
  <cp:revision>2</cp:revision>
  <dcterms:created xsi:type="dcterms:W3CDTF">2022-01-03T17:22:00Z</dcterms:created>
  <dcterms:modified xsi:type="dcterms:W3CDTF">2022-01-03T17:22:00Z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