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9.0 -->
  <w:body>
    <w:p w:rsidR="00ED5010" w:rsidRPr="0001529B" w:rsidP="00ED5010" w14:paraId="443C942F" w14:textId="67DD97B1">
      <w:pPr>
        <w:jc w:val="center"/>
        <w:rPr>
          <w:rFonts w:ascii="Times New Roman" w:hAnsi="Times New Roman" w:cs="Times New Roman"/>
          <w:sz w:val="24"/>
          <w:szCs w:val="24"/>
          <w:lang w:val="en-US"/>
        </w:rPr>
      </w:pPr>
      <w:r w:rsidRPr="0001529B">
        <w:rPr>
          <w:rFonts w:ascii="Times New Roman" w:hAnsi="Times New Roman" w:cs="Times New Roman"/>
          <w:sz w:val="24"/>
          <w:szCs w:val="24"/>
          <w:lang w:val="en-US"/>
        </w:rPr>
        <w:t>How</w:t>
      </w:r>
      <w:r w:rsidRPr="0001529B" w:rsidR="001F3023">
        <w:rPr>
          <w:rFonts w:ascii="Times New Roman" w:hAnsi="Times New Roman" w:cs="Times New Roman"/>
          <w:sz w:val="24"/>
          <w:szCs w:val="24"/>
          <w:lang w:val="en-US"/>
        </w:rPr>
        <w:t xml:space="preserve"> can</w:t>
      </w:r>
      <w:r w:rsidRPr="0001529B">
        <w:rPr>
          <w:rFonts w:ascii="Times New Roman" w:hAnsi="Times New Roman" w:cs="Times New Roman"/>
          <w:sz w:val="24"/>
          <w:szCs w:val="24"/>
          <w:lang w:val="en-US"/>
        </w:rPr>
        <w:t xml:space="preserve"> we interpret and gain meaning from burial evidence?</w:t>
      </w:r>
    </w:p>
    <w:p w:rsidR="00ED5010" w:rsidRPr="0001529B" w14:paraId="20017491" w14:textId="77777777">
      <w:pPr>
        <w:rPr>
          <w:rFonts w:ascii="Times New Roman" w:hAnsi="Times New Roman" w:cs="Times New Roman"/>
          <w:sz w:val="24"/>
          <w:szCs w:val="24"/>
          <w:lang w:val="en-US"/>
        </w:rPr>
      </w:pPr>
    </w:p>
    <w:p w:rsidR="00202F15" w:rsidRPr="0001529B" w14:paraId="5ADE3018" w14:textId="1178D1AE">
      <w:pPr>
        <w:rPr>
          <w:rFonts w:ascii="Times New Roman" w:hAnsi="Times New Roman" w:cs="Times New Roman"/>
          <w:sz w:val="24"/>
          <w:szCs w:val="24"/>
          <w:lang w:val="en-US"/>
        </w:rPr>
      </w:pPr>
      <w:r w:rsidRPr="0001529B">
        <w:rPr>
          <w:rFonts w:ascii="Times New Roman" w:hAnsi="Times New Roman" w:cs="Times New Roman"/>
          <w:sz w:val="24"/>
          <w:szCs w:val="24"/>
          <w:lang w:val="en-US"/>
        </w:rPr>
        <w:t xml:space="preserve"> </w:t>
      </w:r>
      <w:r w:rsidRPr="0001529B">
        <w:rPr>
          <w:rFonts w:ascii="Times New Roman" w:hAnsi="Times New Roman" w:cs="Times New Roman"/>
          <w:sz w:val="24"/>
          <w:szCs w:val="24"/>
          <w:lang w:val="en-US"/>
        </w:rPr>
        <w:tab/>
        <w:t xml:space="preserve">In the study of archaeology, one of the primary sources of knowledge, discovery and evidence for archaeologists is dead people. Particularly the ways in which the myriad societies bury their dead. </w:t>
      </w:r>
      <w:r w:rsidRPr="0001529B" w:rsidR="008120BE">
        <w:rPr>
          <w:rFonts w:ascii="Times New Roman" w:hAnsi="Times New Roman" w:cs="Times New Roman"/>
          <w:sz w:val="24"/>
          <w:szCs w:val="24"/>
          <w:lang w:val="en-US"/>
        </w:rPr>
        <w:t xml:space="preserve">While the actual bodies </w:t>
      </w:r>
      <w:r w:rsidRPr="0001529B" w:rsidR="0074769B">
        <w:rPr>
          <w:rFonts w:ascii="Times New Roman" w:hAnsi="Times New Roman" w:cs="Times New Roman"/>
          <w:sz w:val="24"/>
          <w:szCs w:val="24"/>
          <w:lang w:val="en-US"/>
        </w:rPr>
        <w:t>contained within the graves are fascinating to bioarcheologists</w:t>
      </w:r>
      <w:r w:rsidRPr="0001529B" w:rsidR="00B319E8">
        <w:rPr>
          <w:rFonts w:ascii="Times New Roman" w:hAnsi="Times New Roman" w:cs="Times New Roman"/>
          <w:sz w:val="24"/>
          <w:szCs w:val="24"/>
          <w:lang w:val="en-US"/>
        </w:rPr>
        <w:t xml:space="preserve">, there is almost as much knowledge, if not more, to be gleaned from the actual </w:t>
      </w:r>
      <w:r w:rsidRPr="0001529B" w:rsidR="003E7F75">
        <w:rPr>
          <w:rFonts w:ascii="Times New Roman" w:hAnsi="Times New Roman" w:cs="Times New Roman"/>
          <w:sz w:val="24"/>
          <w:szCs w:val="24"/>
          <w:lang w:val="en-US"/>
        </w:rPr>
        <w:t>burial grounds that the person was discovered in.</w:t>
      </w:r>
      <w:r w:rsidRPr="0001529B" w:rsidR="00FC3686">
        <w:rPr>
          <w:rFonts w:ascii="Times New Roman" w:hAnsi="Times New Roman" w:cs="Times New Roman"/>
          <w:sz w:val="24"/>
          <w:szCs w:val="24"/>
          <w:lang w:val="en-US"/>
        </w:rPr>
        <w:t xml:space="preserve"> Something as seemingly small and insignificant as the direction the body was facing is incredibly important as it can tell us a lot about the person contained in the grave.</w:t>
      </w:r>
      <w:r w:rsidRPr="0001529B" w:rsidR="00684AF3">
        <w:rPr>
          <w:rFonts w:ascii="Times New Roman" w:hAnsi="Times New Roman" w:cs="Times New Roman"/>
          <w:sz w:val="24"/>
          <w:szCs w:val="24"/>
          <w:lang w:val="en-US"/>
        </w:rPr>
        <w:t xml:space="preserve"> It is possible to u</w:t>
      </w:r>
      <w:r w:rsidRPr="0001529B" w:rsidR="00F26D15">
        <w:rPr>
          <w:rFonts w:ascii="Times New Roman" w:hAnsi="Times New Roman" w:cs="Times New Roman"/>
          <w:sz w:val="24"/>
          <w:szCs w:val="24"/>
          <w:lang w:val="en-US"/>
        </w:rPr>
        <w:t xml:space="preserve">se the details of </w:t>
      </w:r>
      <w:r w:rsidRPr="0001529B" w:rsidR="004502DF">
        <w:rPr>
          <w:rFonts w:ascii="Times New Roman" w:hAnsi="Times New Roman" w:cs="Times New Roman"/>
          <w:sz w:val="24"/>
          <w:szCs w:val="24"/>
          <w:lang w:val="en-US"/>
        </w:rPr>
        <w:t xml:space="preserve">burials such as </w:t>
      </w:r>
      <w:r w:rsidRPr="0001529B" w:rsidR="00684AF3">
        <w:rPr>
          <w:rFonts w:ascii="Times New Roman" w:hAnsi="Times New Roman" w:cs="Times New Roman"/>
          <w:sz w:val="24"/>
          <w:szCs w:val="24"/>
          <w:lang w:val="en-US"/>
        </w:rPr>
        <w:t xml:space="preserve">furniture around the grave to analyze the occupant. The role of the archaeologist is to </w:t>
      </w:r>
      <w:r w:rsidRPr="0001529B">
        <w:rPr>
          <w:rFonts w:ascii="Times New Roman" w:hAnsi="Times New Roman" w:cs="Times New Roman"/>
          <w:sz w:val="24"/>
          <w:szCs w:val="24"/>
          <w:lang w:val="en-US"/>
        </w:rPr>
        <w:t>do this analysis and to draw all the evidence together to try and understand the meaning of the burial</w:t>
      </w:r>
      <w:r w:rsidRPr="0001529B" w:rsidR="004C32F7">
        <w:rPr>
          <w:rFonts w:ascii="Times New Roman" w:hAnsi="Times New Roman" w:cs="Times New Roman"/>
          <w:sz w:val="24"/>
          <w:szCs w:val="24"/>
          <w:lang w:val="en-US"/>
        </w:rPr>
        <w:t xml:space="preserve"> and to better understand the occupant.</w:t>
      </w:r>
    </w:p>
    <w:p w:rsidR="004C32F7" w:rsidRPr="0001529B" w14:paraId="13C72D3B" w14:textId="164B4E95">
      <w:pPr>
        <w:rPr>
          <w:rFonts w:ascii="Times New Roman" w:hAnsi="Times New Roman" w:cs="Times New Roman"/>
          <w:sz w:val="24"/>
          <w:szCs w:val="24"/>
          <w:lang w:val="en-US"/>
        </w:rPr>
      </w:pPr>
      <w:r w:rsidRPr="0001529B">
        <w:rPr>
          <w:rFonts w:ascii="Times New Roman" w:hAnsi="Times New Roman" w:cs="Times New Roman"/>
          <w:sz w:val="24"/>
          <w:szCs w:val="24"/>
          <w:lang w:val="en-US"/>
        </w:rPr>
        <w:tab/>
      </w:r>
      <w:r w:rsidRPr="0001529B" w:rsidR="008E5404">
        <w:rPr>
          <w:rFonts w:ascii="Times New Roman" w:hAnsi="Times New Roman" w:cs="Times New Roman"/>
          <w:sz w:val="24"/>
          <w:szCs w:val="24"/>
          <w:lang w:val="en-US"/>
        </w:rPr>
        <w:t xml:space="preserve">The interpretation of burial evidence must, </w:t>
      </w:r>
      <w:r w:rsidRPr="0001529B" w:rsidR="007B1539">
        <w:rPr>
          <w:rFonts w:ascii="Times New Roman" w:hAnsi="Times New Roman" w:cs="Times New Roman"/>
          <w:sz w:val="24"/>
          <w:szCs w:val="24"/>
          <w:lang w:val="en-US"/>
        </w:rPr>
        <w:t xml:space="preserve">as logic dictates, begin with the burial itself. </w:t>
      </w:r>
      <w:r w:rsidRPr="0001529B" w:rsidR="00FE1AD1">
        <w:rPr>
          <w:rFonts w:ascii="Times New Roman" w:hAnsi="Times New Roman" w:cs="Times New Roman"/>
          <w:sz w:val="24"/>
          <w:szCs w:val="24"/>
          <w:lang w:val="en-US"/>
        </w:rPr>
        <w:t xml:space="preserve">The way people bury their dead changes from culture to culture. In an era as historically short as the </w:t>
      </w:r>
      <w:r w:rsidRPr="0001529B" w:rsidR="00320CAF">
        <w:rPr>
          <w:rFonts w:ascii="Times New Roman" w:hAnsi="Times New Roman" w:cs="Times New Roman"/>
          <w:sz w:val="24"/>
          <w:szCs w:val="24"/>
          <w:lang w:val="en-US"/>
        </w:rPr>
        <w:t>Middle Ages</w:t>
      </w:r>
      <w:r w:rsidRPr="0001529B" w:rsidR="00FE1AD1">
        <w:rPr>
          <w:rFonts w:ascii="Times New Roman" w:hAnsi="Times New Roman" w:cs="Times New Roman"/>
          <w:sz w:val="24"/>
          <w:szCs w:val="24"/>
          <w:lang w:val="en-US"/>
        </w:rPr>
        <w:t xml:space="preserve">, the practices in Britain alone change drastically. There may be many, many grave goods as there </w:t>
      </w:r>
      <w:r w:rsidRPr="0001529B" w:rsidR="00CE6C9F">
        <w:rPr>
          <w:rFonts w:ascii="Times New Roman" w:hAnsi="Times New Roman" w:cs="Times New Roman"/>
          <w:sz w:val="24"/>
          <w:szCs w:val="24"/>
          <w:lang w:val="en-US"/>
        </w:rPr>
        <w:t>were</w:t>
      </w:r>
      <w:r w:rsidRPr="0001529B" w:rsidR="00FE1AD1">
        <w:rPr>
          <w:rFonts w:ascii="Times New Roman" w:hAnsi="Times New Roman" w:cs="Times New Roman"/>
          <w:sz w:val="24"/>
          <w:szCs w:val="24"/>
          <w:lang w:val="en-US"/>
        </w:rPr>
        <w:t xml:space="preserve"> at the Sutton Hoo ship burial</w:t>
      </w:r>
      <w:r>
        <w:rPr>
          <w:rStyle w:val="FootnoteReference"/>
          <w:rFonts w:ascii="Times New Roman" w:hAnsi="Times New Roman" w:cs="Times New Roman"/>
          <w:sz w:val="24"/>
          <w:szCs w:val="24"/>
          <w:lang w:val="en-US"/>
        </w:rPr>
        <w:footnoteReference w:id="2"/>
      </w:r>
      <w:r w:rsidRPr="0001529B" w:rsidR="00120A19">
        <w:rPr>
          <w:rFonts w:ascii="Times New Roman" w:hAnsi="Times New Roman" w:cs="Times New Roman"/>
          <w:sz w:val="24"/>
          <w:szCs w:val="24"/>
          <w:lang w:val="en-US"/>
        </w:rPr>
        <w:t xml:space="preserve"> where something as large as a </w:t>
      </w:r>
      <w:r w:rsidRPr="0001529B" w:rsidR="00CE6C9F">
        <w:rPr>
          <w:rFonts w:ascii="Times New Roman" w:hAnsi="Times New Roman" w:cs="Times New Roman"/>
          <w:sz w:val="24"/>
          <w:szCs w:val="24"/>
          <w:lang w:val="en-US"/>
        </w:rPr>
        <w:t>twenty-seven-meter-long</w:t>
      </w:r>
      <w:r w:rsidRPr="0001529B" w:rsidR="00320CAF">
        <w:rPr>
          <w:rFonts w:ascii="Times New Roman" w:hAnsi="Times New Roman" w:cs="Times New Roman"/>
          <w:sz w:val="24"/>
          <w:szCs w:val="24"/>
          <w:lang w:val="en-US"/>
        </w:rPr>
        <w:t xml:space="preserve"> ship was uncovered</w:t>
      </w:r>
      <w:r w:rsidRPr="0001529B" w:rsidR="00CA5A17">
        <w:rPr>
          <w:rFonts w:ascii="Times New Roman" w:hAnsi="Times New Roman" w:cs="Times New Roman"/>
          <w:sz w:val="24"/>
          <w:szCs w:val="24"/>
          <w:lang w:val="en-US"/>
        </w:rPr>
        <w:t xml:space="preserve">; or </w:t>
      </w:r>
      <w:r w:rsidRPr="0001529B" w:rsidR="002D5B06">
        <w:rPr>
          <w:rFonts w:ascii="Times New Roman" w:hAnsi="Times New Roman" w:cs="Times New Roman"/>
          <w:sz w:val="24"/>
          <w:szCs w:val="24"/>
          <w:lang w:val="en-US"/>
        </w:rPr>
        <w:t>there may be no grave goods of any kind, just as how the practice died out in this county just around 100 years after the Sutton Hoo burials</w:t>
      </w:r>
      <w:r w:rsidRPr="0001529B" w:rsidR="00CA5A17">
        <w:rPr>
          <w:rFonts w:ascii="Times New Roman" w:hAnsi="Times New Roman" w:cs="Times New Roman"/>
          <w:sz w:val="24"/>
          <w:szCs w:val="24"/>
          <w:lang w:val="en-US"/>
        </w:rPr>
        <w:t>.</w:t>
      </w:r>
      <w:r w:rsidRPr="0001529B" w:rsidR="003B7980">
        <w:rPr>
          <w:rFonts w:ascii="Times New Roman" w:hAnsi="Times New Roman" w:cs="Times New Roman"/>
          <w:sz w:val="24"/>
          <w:szCs w:val="24"/>
          <w:lang w:val="en-US"/>
        </w:rPr>
        <w:t xml:space="preserve"> </w:t>
      </w:r>
      <w:r w:rsidRPr="0001529B" w:rsidR="00943EBB">
        <w:rPr>
          <w:rFonts w:ascii="Times New Roman" w:hAnsi="Times New Roman" w:cs="Times New Roman"/>
          <w:sz w:val="24"/>
          <w:szCs w:val="24"/>
          <w:lang w:val="en-US"/>
        </w:rPr>
        <w:t>However,</w:t>
      </w:r>
      <w:r w:rsidRPr="0001529B" w:rsidR="003B7980">
        <w:rPr>
          <w:rFonts w:ascii="Times New Roman" w:hAnsi="Times New Roman" w:cs="Times New Roman"/>
          <w:sz w:val="24"/>
          <w:szCs w:val="24"/>
          <w:lang w:val="en-US"/>
        </w:rPr>
        <w:t xml:space="preserve"> there is always evidence left to interpret. </w:t>
      </w:r>
      <w:r w:rsidRPr="0001529B" w:rsidR="005C59DB">
        <w:rPr>
          <w:rFonts w:ascii="Times New Roman" w:hAnsi="Times New Roman" w:cs="Times New Roman"/>
          <w:sz w:val="24"/>
          <w:szCs w:val="24"/>
          <w:lang w:val="en-US"/>
        </w:rPr>
        <w:t xml:space="preserve"> </w:t>
      </w:r>
      <w:r w:rsidRPr="0001529B" w:rsidR="00CA5A17">
        <w:rPr>
          <w:rFonts w:ascii="Times New Roman" w:hAnsi="Times New Roman" w:cs="Times New Roman"/>
          <w:sz w:val="24"/>
          <w:szCs w:val="24"/>
          <w:lang w:val="en-US"/>
        </w:rPr>
        <w:t xml:space="preserve"> </w:t>
      </w:r>
    </w:p>
    <w:p w:rsidR="007D2AF1" w:rsidRPr="0001529B" w14:paraId="133CD5CA" w14:textId="06910020">
      <w:pPr>
        <w:rPr>
          <w:rFonts w:ascii="Times New Roman" w:hAnsi="Times New Roman" w:cs="Times New Roman"/>
          <w:sz w:val="24"/>
          <w:szCs w:val="24"/>
          <w:lang w:val="en-US"/>
        </w:rPr>
      </w:pPr>
      <w:r w:rsidRPr="0001529B">
        <w:rPr>
          <w:rFonts w:ascii="Times New Roman" w:hAnsi="Times New Roman" w:cs="Times New Roman"/>
          <w:sz w:val="24"/>
          <w:szCs w:val="24"/>
          <w:lang w:val="en-US"/>
        </w:rPr>
        <w:tab/>
        <w:t>One of the primary ways we can interpret the burial</w:t>
      </w:r>
      <w:r w:rsidRPr="0001529B" w:rsidR="007150A7">
        <w:rPr>
          <w:rFonts w:ascii="Times New Roman" w:hAnsi="Times New Roman" w:cs="Times New Roman"/>
          <w:sz w:val="24"/>
          <w:szCs w:val="24"/>
          <w:lang w:val="en-US"/>
        </w:rPr>
        <w:t>s is through context</w:t>
      </w:r>
      <w:r w:rsidRPr="0001529B" w:rsidR="00F7352A">
        <w:rPr>
          <w:rFonts w:ascii="Times New Roman" w:hAnsi="Times New Roman" w:cs="Times New Roman"/>
          <w:sz w:val="24"/>
          <w:szCs w:val="24"/>
          <w:lang w:val="en-US"/>
        </w:rPr>
        <w:t xml:space="preserve">. In the initial discovery of the mass graves of the battle of </w:t>
      </w:r>
      <w:r w:rsidRPr="0001529B" w:rsidR="00A30B7A">
        <w:rPr>
          <w:rFonts w:ascii="Times New Roman" w:hAnsi="Times New Roman" w:cs="Times New Roman"/>
          <w:sz w:val="24"/>
          <w:szCs w:val="24"/>
          <w:lang w:val="en-US"/>
        </w:rPr>
        <w:t>T</w:t>
      </w:r>
      <w:r w:rsidRPr="0001529B" w:rsidR="00F7352A">
        <w:rPr>
          <w:rFonts w:ascii="Times New Roman" w:hAnsi="Times New Roman" w:cs="Times New Roman"/>
          <w:sz w:val="24"/>
          <w:szCs w:val="24"/>
          <w:lang w:val="en-US"/>
        </w:rPr>
        <w:t>owton</w:t>
      </w:r>
      <w:r w:rsidRPr="0001529B" w:rsidR="006831EA">
        <w:rPr>
          <w:rFonts w:ascii="Times New Roman" w:hAnsi="Times New Roman" w:cs="Times New Roman"/>
          <w:sz w:val="24"/>
          <w:szCs w:val="24"/>
          <w:lang w:val="en-US"/>
        </w:rPr>
        <w:t xml:space="preserve"> the total lack of any evidence of burial shrouds or </w:t>
      </w:r>
      <w:r w:rsidRPr="0001529B" w:rsidR="00B73E86">
        <w:rPr>
          <w:rFonts w:ascii="Times New Roman" w:hAnsi="Times New Roman" w:cs="Times New Roman"/>
          <w:sz w:val="24"/>
          <w:szCs w:val="24"/>
          <w:lang w:val="en-US"/>
        </w:rPr>
        <w:t xml:space="preserve">coffins was </w:t>
      </w:r>
      <w:r w:rsidRPr="0001529B" w:rsidR="0069113D">
        <w:rPr>
          <w:rFonts w:ascii="Times New Roman" w:hAnsi="Times New Roman" w:cs="Times New Roman"/>
          <w:sz w:val="24"/>
          <w:szCs w:val="24"/>
          <w:lang w:val="en-US"/>
        </w:rPr>
        <w:t>one</w:t>
      </w:r>
      <w:r w:rsidRPr="0001529B" w:rsidR="00B73E86">
        <w:rPr>
          <w:rFonts w:ascii="Times New Roman" w:hAnsi="Times New Roman" w:cs="Times New Roman"/>
          <w:sz w:val="24"/>
          <w:szCs w:val="24"/>
          <w:lang w:val="en-US"/>
        </w:rPr>
        <w:t xml:space="preserve"> of the initial indicators that this wasn’t a normal </w:t>
      </w:r>
      <w:r w:rsidRPr="0001529B" w:rsidR="0069113D">
        <w:rPr>
          <w:rFonts w:ascii="Times New Roman" w:hAnsi="Times New Roman" w:cs="Times New Roman"/>
          <w:sz w:val="24"/>
          <w:szCs w:val="24"/>
          <w:lang w:val="en-US"/>
        </w:rPr>
        <w:t>burial,</w:t>
      </w:r>
      <w:r w:rsidRPr="0001529B" w:rsidR="00B73E86">
        <w:rPr>
          <w:rFonts w:ascii="Times New Roman" w:hAnsi="Times New Roman" w:cs="Times New Roman"/>
          <w:sz w:val="24"/>
          <w:szCs w:val="24"/>
          <w:lang w:val="en-US"/>
        </w:rPr>
        <w:t xml:space="preserve"> along with the closeness of the packed bodies.</w:t>
      </w:r>
      <w:r>
        <w:rPr>
          <w:rStyle w:val="FootnoteReference"/>
          <w:rFonts w:ascii="Times New Roman" w:hAnsi="Times New Roman" w:cs="Times New Roman"/>
          <w:sz w:val="24"/>
          <w:szCs w:val="24"/>
          <w:lang w:val="en-US"/>
        </w:rPr>
        <w:footnoteReference w:id="3"/>
      </w:r>
      <w:r w:rsidRPr="0001529B" w:rsidR="00B73E86">
        <w:rPr>
          <w:rFonts w:ascii="Times New Roman" w:hAnsi="Times New Roman" w:cs="Times New Roman"/>
          <w:sz w:val="24"/>
          <w:szCs w:val="24"/>
          <w:lang w:val="en-US"/>
        </w:rPr>
        <w:t xml:space="preserve"> </w:t>
      </w:r>
      <w:r w:rsidRPr="0001529B" w:rsidR="00F1790D">
        <w:rPr>
          <w:rFonts w:ascii="Times New Roman" w:hAnsi="Times New Roman" w:cs="Times New Roman"/>
          <w:sz w:val="24"/>
          <w:szCs w:val="24"/>
          <w:lang w:val="en-US"/>
        </w:rPr>
        <w:t>In this instance, t</w:t>
      </w:r>
      <w:r w:rsidRPr="0001529B" w:rsidR="0061086B">
        <w:rPr>
          <w:rFonts w:ascii="Times New Roman" w:hAnsi="Times New Roman" w:cs="Times New Roman"/>
          <w:sz w:val="24"/>
          <w:szCs w:val="24"/>
          <w:lang w:val="en-US"/>
        </w:rPr>
        <w:t>he evidence of the location</w:t>
      </w:r>
      <w:r w:rsidRPr="0001529B" w:rsidR="00523AD7">
        <w:rPr>
          <w:rFonts w:ascii="Times New Roman" w:hAnsi="Times New Roman" w:cs="Times New Roman"/>
          <w:sz w:val="24"/>
          <w:szCs w:val="24"/>
          <w:lang w:val="en-US"/>
        </w:rPr>
        <w:t xml:space="preserve">, </w:t>
      </w:r>
      <w:r w:rsidRPr="0001529B" w:rsidR="0061086B">
        <w:rPr>
          <w:rFonts w:ascii="Times New Roman" w:hAnsi="Times New Roman" w:cs="Times New Roman"/>
          <w:sz w:val="24"/>
          <w:szCs w:val="24"/>
          <w:lang w:val="en-US"/>
        </w:rPr>
        <w:t>the East-West orientation</w:t>
      </w:r>
      <w:r w:rsidRPr="0001529B" w:rsidR="00523AD7">
        <w:rPr>
          <w:rFonts w:ascii="Times New Roman" w:hAnsi="Times New Roman" w:cs="Times New Roman"/>
          <w:sz w:val="24"/>
          <w:szCs w:val="24"/>
          <w:lang w:val="en-US"/>
        </w:rPr>
        <w:t>, and the shallow depth</w:t>
      </w:r>
      <w:r w:rsidRPr="0001529B" w:rsidR="0061086B">
        <w:rPr>
          <w:rFonts w:ascii="Times New Roman" w:hAnsi="Times New Roman" w:cs="Times New Roman"/>
          <w:sz w:val="24"/>
          <w:szCs w:val="24"/>
          <w:lang w:val="en-US"/>
        </w:rPr>
        <w:t xml:space="preserve"> of the grave</w:t>
      </w:r>
      <w:r w:rsidRPr="0001529B" w:rsidR="00B50062">
        <w:rPr>
          <w:rFonts w:ascii="Times New Roman" w:hAnsi="Times New Roman" w:cs="Times New Roman"/>
          <w:sz w:val="24"/>
          <w:szCs w:val="24"/>
          <w:lang w:val="en-US"/>
        </w:rPr>
        <w:t xml:space="preserve"> </w:t>
      </w:r>
      <w:r w:rsidRPr="0001529B" w:rsidR="008A7764">
        <w:rPr>
          <w:rFonts w:ascii="Times New Roman" w:hAnsi="Times New Roman" w:cs="Times New Roman"/>
          <w:sz w:val="24"/>
          <w:szCs w:val="24"/>
          <w:lang w:val="en-US"/>
        </w:rPr>
        <w:t>helped identify that these graves were most likely from the 15</w:t>
      </w:r>
      <w:r w:rsidRPr="0001529B" w:rsidR="008A7764">
        <w:rPr>
          <w:rFonts w:ascii="Times New Roman" w:hAnsi="Times New Roman" w:cs="Times New Roman"/>
          <w:sz w:val="24"/>
          <w:szCs w:val="24"/>
          <w:vertAlign w:val="superscript"/>
          <w:lang w:val="en-US"/>
        </w:rPr>
        <w:t>th</w:t>
      </w:r>
      <w:r w:rsidRPr="0001529B" w:rsidR="008A7764">
        <w:rPr>
          <w:rFonts w:ascii="Times New Roman" w:hAnsi="Times New Roman" w:cs="Times New Roman"/>
          <w:sz w:val="24"/>
          <w:szCs w:val="24"/>
          <w:lang w:val="en-US"/>
        </w:rPr>
        <w:t>-century battle of Towton.</w:t>
      </w:r>
      <w:r w:rsidRPr="0001529B" w:rsidR="002D77C1">
        <w:rPr>
          <w:rFonts w:ascii="Times New Roman" w:hAnsi="Times New Roman" w:cs="Times New Roman"/>
          <w:sz w:val="24"/>
          <w:szCs w:val="24"/>
          <w:lang w:val="en-US"/>
        </w:rPr>
        <w:t xml:space="preserve"> The archaeologists used </w:t>
      </w:r>
      <w:r w:rsidRPr="0001529B" w:rsidR="002C0D57">
        <w:rPr>
          <w:rFonts w:ascii="Times New Roman" w:hAnsi="Times New Roman" w:cs="Times New Roman"/>
          <w:sz w:val="24"/>
          <w:szCs w:val="24"/>
          <w:lang w:val="en-US"/>
        </w:rPr>
        <w:t xml:space="preserve">their knowledge of medieval British burial practices to analyze the finds. </w:t>
      </w:r>
      <w:r w:rsidRPr="0001529B" w:rsidR="007E6C34">
        <w:rPr>
          <w:rFonts w:ascii="Times New Roman" w:hAnsi="Times New Roman" w:cs="Times New Roman"/>
          <w:sz w:val="24"/>
          <w:szCs w:val="24"/>
          <w:lang w:val="en-US"/>
        </w:rPr>
        <w:t xml:space="preserve">As the graves were too shallow for plague victims, the east-west orientation </w:t>
      </w:r>
      <w:r w:rsidRPr="0001529B" w:rsidR="007970EE">
        <w:rPr>
          <w:rFonts w:ascii="Times New Roman" w:hAnsi="Times New Roman" w:cs="Times New Roman"/>
          <w:sz w:val="24"/>
          <w:szCs w:val="24"/>
          <w:lang w:val="en-US"/>
        </w:rPr>
        <w:t>indicated the occupants to be Christians, and the evidence of trauma to the occupants all this together with the location, the village of Towton</w:t>
      </w:r>
      <w:r w:rsidRPr="0001529B" w:rsidR="00544142">
        <w:rPr>
          <w:rFonts w:ascii="Times New Roman" w:hAnsi="Times New Roman" w:cs="Times New Roman"/>
          <w:sz w:val="24"/>
          <w:szCs w:val="24"/>
          <w:lang w:val="en-US"/>
        </w:rPr>
        <w:t>, all of this helped to firmly point to the occupants being from that battle.</w:t>
      </w:r>
      <w:r>
        <w:rPr>
          <w:rStyle w:val="FootnoteReference"/>
          <w:rFonts w:ascii="Times New Roman" w:hAnsi="Times New Roman" w:cs="Times New Roman"/>
          <w:sz w:val="24"/>
          <w:szCs w:val="24"/>
          <w:lang w:val="en-US"/>
        </w:rPr>
        <w:footnoteReference w:id="4"/>
      </w:r>
      <w:r w:rsidRPr="0001529B" w:rsidR="006C4381">
        <w:rPr>
          <w:rFonts w:ascii="Times New Roman" w:hAnsi="Times New Roman" w:cs="Times New Roman"/>
          <w:sz w:val="24"/>
          <w:szCs w:val="24"/>
          <w:lang w:val="en-US"/>
        </w:rPr>
        <w:t xml:space="preserve"> </w:t>
      </w:r>
      <w:r w:rsidRPr="0001529B" w:rsidR="008035D9">
        <w:rPr>
          <w:rFonts w:ascii="Times New Roman" w:hAnsi="Times New Roman" w:cs="Times New Roman"/>
          <w:sz w:val="24"/>
          <w:szCs w:val="24"/>
          <w:lang w:val="en-US"/>
        </w:rPr>
        <w:t>The use of contextual clues helped the archaeologists derive meaning from what on the surface appeared to be merely a pit full of bodie</w:t>
      </w:r>
      <w:r w:rsidRPr="0001529B" w:rsidR="00F84CC3">
        <w:rPr>
          <w:rFonts w:ascii="Times New Roman" w:hAnsi="Times New Roman" w:cs="Times New Roman"/>
          <w:sz w:val="24"/>
          <w:szCs w:val="24"/>
          <w:lang w:val="en-US"/>
        </w:rPr>
        <w:t xml:space="preserve">s. This </w:t>
      </w:r>
      <w:r w:rsidRPr="0001529B" w:rsidR="009B61D0">
        <w:rPr>
          <w:rFonts w:ascii="Times New Roman" w:hAnsi="Times New Roman" w:cs="Times New Roman"/>
          <w:sz w:val="24"/>
          <w:szCs w:val="24"/>
          <w:lang w:val="en-US"/>
        </w:rPr>
        <w:t>allowed the archaeologist to not only understand when and why the people were buried there but also why they were buried in the way they were. They were buried by their enemies, people who didn't care about them, and simply threw them into a pit</w:t>
      </w:r>
      <w:r w:rsidRPr="0001529B" w:rsidR="00F7328F">
        <w:rPr>
          <w:rFonts w:ascii="Times New Roman" w:hAnsi="Times New Roman" w:cs="Times New Roman"/>
          <w:sz w:val="24"/>
          <w:szCs w:val="24"/>
          <w:lang w:val="en-US"/>
        </w:rPr>
        <w:t xml:space="preserve"> to get the job over with.</w:t>
      </w:r>
    </w:p>
    <w:p w:rsidR="00085A82" w:rsidRPr="0001529B" w14:paraId="68D894BE" w14:textId="77777777">
      <w:pPr>
        <w:rPr>
          <w:rFonts w:ascii="Times New Roman" w:hAnsi="Times New Roman" w:cs="Times New Roman"/>
          <w:sz w:val="24"/>
          <w:szCs w:val="24"/>
          <w:lang w:val="en-US"/>
        </w:rPr>
      </w:pPr>
      <w:r w:rsidRPr="0001529B">
        <w:rPr>
          <w:rFonts w:ascii="Times New Roman" w:hAnsi="Times New Roman" w:cs="Times New Roman"/>
          <w:sz w:val="24"/>
          <w:szCs w:val="24"/>
          <w:lang w:val="en-US"/>
        </w:rPr>
        <w:tab/>
      </w:r>
      <w:r w:rsidRPr="0001529B" w:rsidR="008373E4">
        <w:rPr>
          <w:rFonts w:ascii="Times New Roman" w:hAnsi="Times New Roman" w:cs="Times New Roman"/>
          <w:sz w:val="24"/>
          <w:szCs w:val="24"/>
          <w:lang w:val="en-US"/>
        </w:rPr>
        <w:t xml:space="preserve">Another piece in this archaeological puzzle that is ascribing meaning to </w:t>
      </w:r>
      <w:r w:rsidRPr="0001529B" w:rsidR="00F84CC3">
        <w:rPr>
          <w:rFonts w:ascii="Times New Roman" w:hAnsi="Times New Roman" w:cs="Times New Roman"/>
          <w:sz w:val="24"/>
          <w:szCs w:val="24"/>
          <w:lang w:val="en-US"/>
        </w:rPr>
        <w:t>burials</w:t>
      </w:r>
      <w:r w:rsidRPr="0001529B" w:rsidR="00041EA9">
        <w:rPr>
          <w:rFonts w:ascii="Times New Roman" w:hAnsi="Times New Roman" w:cs="Times New Roman"/>
          <w:sz w:val="24"/>
          <w:szCs w:val="24"/>
          <w:lang w:val="en-US"/>
        </w:rPr>
        <w:t xml:space="preserve"> is the contents of the burials, be that voluntary contents like the Sutton Hoo ship burial</w:t>
      </w:r>
      <w:r>
        <w:rPr>
          <w:rStyle w:val="FootnoteReference"/>
          <w:rFonts w:ascii="Times New Roman" w:hAnsi="Times New Roman" w:cs="Times New Roman"/>
          <w:sz w:val="24"/>
          <w:szCs w:val="24"/>
          <w:lang w:val="en-US"/>
        </w:rPr>
        <w:footnoteReference w:id="5"/>
      </w:r>
      <w:r w:rsidRPr="0001529B" w:rsidR="00041EA9">
        <w:rPr>
          <w:rFonts w:ascii="Times New Roman" w:hAnsi="Times New Roman" w:cs="Times New Roman"/>
          <w:sz w:val="24"/>
          <w:szCs w:val="24"/>
          <w:lang w:val="en-US"/>
        </w:rPr>
        <w:t xml:space="preserve">, or </w:t>
      </w:r>
      <w:r w:rsidRPr="0001529B" w:rsidR="007C279D">
        <w:rPr>
          <w:rFonts w:ascii="Times New Roman" w:hAnsi="Times New Roman" w:cs="Times New Roman"/>
          <w:sz w:val="24"/>
          <w:szCs w:val="24"/>
          <w:lang w:val="en-US"/>
        </w:rPr>
        <w:t>things placed in the grave unintentionally</w:t>
      </w:r>
      <w:r w:rsidRPr="0001529B" w:rsidR="00041EA9">
        <w:rPr>
          <w:rFonts w:ascii="Times New Roman" w:hAnsi="Times New Roman" w:cs="Times New Roman"/>
          <w:sz w:val="24"/>
          <w:szCs w:val="24"/>
          <w:lang w:val="en-US"/>
        </w:rPr>
        <w:t xml:space="preserve">, like the arrowheads embedded in the bodies of the men </w:t>
      </w:r>
      <w:r w:rsidRPr="0001529B" w:rsidR="00041EA9">
        <w:rPr>
          <w:rFonts w:ascii="Times New Roman" w:hAnsi="Times New Roman" w:cs="Times New Roman"/>
          <w:sz w:val="24"/>
          <w:szCs w:val="24"/>
          <w:lang w:val="en-US"/>
        </w:rPr>
        <w:t>buried a</w:t>
      </w:r>
      <w:r w:rsidRPr="0001529B" w:rsidR="006B4034">
        <w:rPr>
          <w:rFonts w:ascii="Times New Roman" w:hAnsi="Times New Roman" w:cs="Times New Roman"/>
          <w:sz w:val="24"/>
          <w:szCs w:val="24"/>
          <w:lang w:val="en-US"/>
        </w:rPr>
        <w:t>t</w:t>
      </w:r>
      <w:r w:rsidRPr="0001529B" w:rsidR="00041EA9">
        <w:rPr>
          <w:rFonts w:ascii="Times New Roman" w:hAnsi="Times New Roman" w:cs="Times New Roman"/>
          <w:sz w:val="24"/>
          <w:szCs w:val="24"/>
          <w:lang w:val="en-US"/>
        </w:rPr>
        <w:t xml:space="preserve"> Towton.</w:t>
      </w:r>
      <w:r>
        <w:rPr>
          <w:rStyle w:val="FootnoteReference"/>
          <w:rFonts w:ascii="Times New Roman" w:hAnsi="Times New Roman" w:cs="Times New Roman"/>
          <w:sz w:val="24"/>
          <w:szCs w:val="24"/>
          <w:lang w:val="en-US"/>
        </w:rPr>
        <w:footnoteReference w:id="6"/>
      </w:r>
      <w:r w:rsidRPr="0001529B" w:rsidR="00041EA9">
        <w:rPr>
          <w:rFonts w:ascii="Times New Roman" w:hAnsi="Times New Roman" w:cs="Times New Roman"/>
          <w:sz w:val="24"/>
          <w:szCs w:val="24"/>
          <w:lang w:val="en-US"/>
        </w:rPr>
        <w:t xml:space="preserve"> </w:t>
      </w:r>
      <w:r w:rsidRPr="0001529B" w:rsidR="007C279D">
        <w:rPr>
          <w:rFonts w:ascii="Times New Roman" w:hAnsi="Times New Roman" w:cs="Times New Roman"/>
          <w:sz w:val="24"/>
          <w:szCs w:val="24"/>
          <w:lang w:val="en-US"/>
        </w:rPr>
        <w:t>Finds such as the Sutton Hoo ship buria</w:t>
      </w:r>
      <w:r w:rsidRPr="0001529B" w:rsidR="005B5441">
        <w:rPr>
          <w:rFonts w:ascii="Times New Roman" w:hAnsi="Times New Roman" w:cs="Times New Roman"/>
          <w:sz w:val="24"/>
          <w:szCs w:val="24"/>
          <w:lang w:val="en-US"/>
        </w:rPr>
        <w:t xml:space="preserve">l contain many grave goods. This presence of grave goods helps unravel the beliefs of the society that laid the individual to rest. This burial </w:t>
      </w:r>
      <w:r w:rsidRPr="0001529B" w:rsidR="005B5441">
        <w:rPr>
          <w:rFonts w:ascii="Times New Roman" w:hAnsi="Times New Roman" w:cs="Times New Roman"/>
          <w:sz w:val="24"/>
          <w:szCs w:val="24"/>
          <w:lang w:val="en-US"/>
        </w:rPr>
        <w:t>in particular opens</w:t>
      </w:r>
      <w:r w:rsidRPr="0001529B" w:rsidR="005B5441">
        <w:rPr>
          <w:rFonts w:ascii="Times New Roman" w:hAnsi="Times New Roman" w:cs="Times New Roman"/>
          <w:sz w:val="24"/>
          <w:szCs w:val="24"/>
          <w:lang w:val="en-US"/>
        </w:rPr>
        <w:t xml:space="preserve"> a window into the way pagan Anglo-Saxons viewed power and the afterlife</w:t>
      </w:r>
      <w:r>
        <w:rPr>
          <w:rStyle w:val="FootnoteReference"/>
          <w:rFonts w:ascii="Times New Roman" w:hAnsi="Times New Roman" w:cs="Times New Roman"/>
          <w:sz w:val="24"/>
          <w:szCs w:val="24"/>
          <w:lang w:val="en-US"/>
        </w:rPr>
        <w:footnoteReference w:id="7"/>
      </w:r>
      <w:r w:rsidRPr="0001529B" w:rsidR="005B5441">
        <w:rPr>
          <w:rFonts w:ascii="Times New Roman" w:hAnsi="Times New Roman" w:cs="Times New Roman"/>
          <w:sz w:val="24"/>
          <w:szCs w:val="24"/>
          <w:lang w:val="en-US"/>
        </w:rPr>
        <w:t xml:space="preserve">. The </w:t>
      </w:r>
      <w:r w:rsidRPr="0001529B" w:rsidR="007117C9">
        <w:rPr>
          <w:rFonts w:ascii="Times New Roman" w:hAnsi="Times New Roman" w:cs="Times New Roman"/>
          <w:sz w:val="24"/>
          <w:szCs w:val="24"/>
          <w:lang w:val="en-US"/>
        </w:rPr>
        <w:t>numerous grave goods, including a ship, sword, spears, shield and most famously a helmet.</w:t>
      </w:r>
      <w:r w:rsidRPr="0001529B" w:rsidR="00FB3E4D">
        <w:rPr>
          <w:rFonts w:ascii="Times New Roman" w:hAnsi="Times New Roman" w:cs="Times New Roman"/>
          <w:sz w:val="24"/>
          <w:szCs w:val="24"/>
          <w:lang w:val="en-US"/>
        </w:rPr>
        <w:t xml:space="preserve"> </w:t>
      </w:r>
      <w:r w:rsidRPr="0001529B" w:rsidR="00FB3E4D">
        <w:rPr>
          <w:rFonts w:ascii="Times New Roman" w:hAnsi="Times New Roman" w:cs="Times New Roman"/>
          <w:sz w:val="24"/>
          <w:szCs w:val="24"/>
          <w:lang w:val="en-US"/>
        </w:rPr>
        <w:t>These artefacts help</w:t>
      </w:r>
      <w:r w:rsidRPr="0001529B" w:rsidR="00FB3E4D">
        <w:rPr>
          <w:rFonts w:ascii="Times New Roman" w:hAnsi="Times New Roman" w:cs="Times New Roman"/>
          <w:sz w:val="24"/>
          <w:szCs w:val="24"/>
          <w:lang w:val="en-US"/>
        </w:rPr>
        <w:t xml:space="preserve"> shine a light on the reasons for these artefacts being in</w:t>
      </w:r>
      <w:r w:rsidRPr="0001529B" w:rsidR="003867D4">
        <w:rPr>
          <w:rFonts w:ascii="Times New Roman" w:hAnsi="Times New Roman" w:cs="Times New Roman"/>
          <w:sz w:val="24"/>
          <w:szCs w:val="24"/>
          <w:lang w:val="en-US"/>
        </w:rPr>
        <w:t>terred with the individual</w:t>
      </w:r>
      <w:r w:rsidRPr="0001529B" w:rsidR="00027054">
        <w:rPr>
          <w:rFonts w:ascii="Times New Roman" w:hAnsi="Times New Roman" w:cs="Times New Roman"/>
          <w:sz w:val="24"/>
          <w:szCs w:val="24"/>
          <w:lang w:val="en-US"/>
        </w:rPr>
        <w:t>, using the presence of these artefacts we can conclude that the reason for this is the belief in a corporeal afterlife, a life after this one where the interred indi</w:t>
      </w:r>
      <w:r w:rsidRPr="0001529B" w:rsidR="00C46797">
        <w:rPr>
          <w:rFonts w:ascii="Times New Roman" w:hAnsi="Times New Roman" w:cs="Times New Roman"/>
          <w:sz w:val="24"/>
          <w:szCs w:val="24"/>
          <w:lang w:val="en-US"/>
        </w:rPr>
        <w:t>vid</w:t>
      </w:r>
      <w:r w:rsidRPr="0001529B" w:rsidR="00027054">
        <w:rPr>
          <w:rFonts w:ascii="Times New Roman" w:hAnsi="Times New Roman" w:cs="Times New Roman"/>
          <w:sz w:val="24"/>
          <w:szCs w:val="24"/>
          <w:lang w:val="en-US"/>
        </w:rPr>
        <w:t>u</w:t>
      </w:r>
      <w:r w:rsidRPr="0001529B" w:rsidR="00C46797">
        <w:rPr>
          <w:rFonts w:ascii="Times New Roman" w:hAnsi="Times New Roman" w:cs="Times New Roman"/>
          <w:sz w:val="24"/>
          <w:szCs w:val="24"/>
          <w:lang w:val="en-US"/>
        </w:rPr>
        <w:t xml:space="preserve">al was still a warrior and a king. </w:t>
      </w:r>
      <w:r w:rsidRPr="0001529B" w:rsidR="00A406F8">
        <w:rPr>
          <w:rFonts w:ascii="Times New Roman" w:hAnsi="Times New Roman" w:cs="Times New Roman"/>
          <w:sz w:val="24"/>
          <w:szCs w:val="24"/>
          <w:lang w:val="en-US"/>
        </w:rPr>
        <w:t xml:space="preserve">The </w:t>
      </w:r>
      <w:r w:rsidRPr="0001529B" w:rsidR="00981C90">
        <w:rPr>
          <w:rFonts w:ascii="Times New Roman" w:hAnsi="Times New Roman" w:cs="Times New Roman"/>
          <w:sz w:val="24"/>
          <w:szCs w:val="24"/>
          <w:lang w:val="en-US"/>
        </w:rPr>
        <w:t>arrows in the grave at Towton are indicative of the way the men inside died</w:t>
      </w:r>
      <w:r w:rsidRPr="0001529B" w:rsidR="001B1601">
        <w:rPr>
          <w:rFonts w:ascii="Times New Roman" w:hAnsi="Times New Roman" w:cs="Times New Roman"/>
          <w:sz w:val="24"/>
          <w:szCs w:val="24"/>
          <w:lang w:val="en-US"/>
        </w:rPr>
        <w:t>.</w:t>
      </w:r>
      <w:r w:rsidRPr="0001529B" w:rsidR="00981C90">
        <w:rPr>
          <w:rFonts w:ascii="Times New Roman" w:hAnsi="Times New Roman" w:cs="Times New Roman"/>
          <w:sz w:val="24"/>
          <w:szCs w:val="24"/>
          <w:lang w:val="en-US"/>
        </w:rPr>
        <w:t xml:space="preserve"> </w:t>
      </w:r>
      <w:r w:rsidRPr="0001529B">
        <w:rPr>
          <w:rFonts w:ascii="Times New Roman" w:hAnsi="Times New Roman" w:cs="Times New Roman"/>
          <w:sz w:val="24"/>
          <w:szCs w:val="24"/>
          <w:lang w:val="en-US"/>
        </w:rPr>
        <w:t xml:space="preserve">While they weren’t intentionally placed there these arrowheads shine a light on how these men met their </w:t>
      </w:r>
      <w:r w:rsidRPr="0001529B">
        <w:rPr>
          <w:rFonts w:ascii="Times New Roman" w:hAnsi="Times New Roman" w:cs="Times New Roman"/>
          <w:sz w:val="24"/>
          <w:szCs w:val="24"/>
          <w:lang w:val="en-US"/>
        </w:rPr>
        <w:t>end and</w:t>
      </w:r>
      <w:r w:rsidRPr="0001529B">
        <w:rPr>
          <w:rFonts w:ascii="Times New Roman" w:hAnsi="Times New Roman" w:cs="Times New Roman"/>
          <w:sz w:val="24"/>
          <w:szCs w:val="24"/>
          <w:lang w:val="en-US"/>
        </w:rPr>
        <w:t xml:space="preserve"> provide a way for archaeologists to identify the graves.</w:t>
      </w:r>
    </w:p>
    <w:p w:rsidR="0049568C" w:rsidRPr="0001529B" w14:paraId="0CD8542F" w14:textId="775F1F9D">
      <w:pPr>
        <w:rPr>
          <w:rFonts w:ascii="Times New Roman" w:hAnsi="Times New Roman" w:cs="Times New Roman"/>
          <w:sz w:val="24"/>
          <w:szCs w:val="24"/>
          <w:lang w:val="en-US"/>
        </w:rPr>
      </w:pPr>
      <w:r w:rsidRPr="0001529B">
        <w:rPr>
          <w:rFonts w:ascii="Times New Roman" w:hAnsi="Times New Roman" w:cs="Times New Roman"/>
          <w:sz w:val="24"/>
          <w:szCs w:val="24"/>
          <w:lang w:val="en-US"/>
        </w:rPr>
        <w:tab/>
      </w:r>
      <w:r w:rsidRPr="0001529B" w:rsidR="00D239A0">
        <w:rPr>
          <w:rFonts w:ascii="Times New Roman" w:hAnsi="Times New Roman" w:cs="Times New Roman"/>
          <w:sz w:val="24"/>
          <w:szCs w:val="24"/>
          <w:lang w:val="en-US"/>
        </w:rPr>
        <w:t xml:space="preserve">The location of the burial can also be important, the Towton burials were buried in a mass grave near where the men died, this was probably out of convenience and ease of disposal for the bodies, as evidenced by the shallow half-meter depth at which they were found. </w:t>
      </w:r>
      <w:r w:rsidRPr="0001529B" w:rsidR="00FF2ECC">
        <w:rPr>
          <w:rFonts w:ascii="Times New Roman" w:hAnsi="Times New Roman" w:cs="Times New Roman"/>
          <w:sz w:val="24"/>
          <w:szCs w:val="24"/>
          <w:lang w:val="en-US"/>
        </w:rPr>
        <w:t xml:space="preserve">Many </w:t>
      </w:r>
      <w:r w:rsidRPr="0001529B" w:rsidR="00FF2ECC">
        <w:rPr>
          <w:rFonts w:ascii="Times New Roman" w:hAnsi="Times New Roman" w:cs="Times New Roman"/>
          <w:sz w:val="24"/>
          <w:szCs w:val="24"/>
          <w:lang w:val="en-US"/>
        </w:rPr>
        <w:t>many</w:t>
      </w:r>
      <w:r w:rsidRPr="0001529B" w:rsidR="00FF2ECC">
        <w:rPr>
          <w:rFonts w:ascii="Times New Roman" w:hAnsi="Times New Roman" w:cs="Times New Roman"/>
          <w:sz w:val="24"/>
          <w:szCs w:val="24"/>
          <w:lang w:val="en-US"/>
        </w:rPr>
        <w:t xml:space="preserve"> people are buried in or around churches, as they were important ritual sites.</w:t>
      </w:r>
      <w:r w:rsidRPr="0001529B" w:rsidR="006F06CD">
        <w:rPr>
          <w:rFonts w:ascii="Times New Roman" w:hAnsi="Times New Roman" w:cs="Times New Roman"/>
          <w:sz w:val="24"/>
          <w:szCs w:val="24"/>
          <w:lang w:val="en-US"/>
        </w:rPr>
        <w:t xml:space="preserve"> This is another tool for archaeologists to unveil the meaning behind burials.</w:t>
      </w:r>
    </w:p>
    <w:p w:rsidR="0049568C" w:rsidRPr="0001529B" w14:paraId="222EED57" w14:textId="06564E94">
      <w:pPr>
        <w:rPr>
          <w:rFonts w:ascii="Times New Roman" w:hAnsi="Times New Roman" w:cs="Times New Roman"/>
          <w:sz w:val="24"/>
          <w:szCs w:val="24"/>
          <w:lang w:val="en-US"/>
        </w:rPr>
      </w:pPr>
      <w:r w:rsidRPr="0001529B">
        <w:rPr>
          <w:rFonts w:ascii="Times New Roman" w:hAnsi="Times New Roman" w:cs="Times New Roman"/>
          <w:sz w:val="24"/>
          <w:szCs w:val="24"/>
          <w:lang w:val="en-US"/>
        </w:rPr>
        <w:tab/>
        <w:t xml:space="preserve">In conclusion, there are many ways we </w:t>
      </w:r>
      <w:r w:rsidRPr="0001529B" w:rsidR="00FC6D63">
        <w:rPr>
          <w:rFonts w:ascii="Times New Roman" w:hAnsi="Times New Roman" w:cs="Times New Roman"/>
          <w:sz w:val="24"/>
          <w:szCs w:val="24"/>
          <w:lang w:val="en-US"/>
        </w:rPr>
        <w:t xml:space="preserve">interpret burials, </w:t>
      </w:r>
      <w:r w:rsidRPr="0001529B" w:rsidR="002732DE">
        <w:rPr>
          <w:rFonts w:ascii="Times New Roman" w:hAnsi="Times New Roman" w:cs="Times New Roman"/>
          <w:sz w:val="24"/>
          <w:szCs w:val="24"/>
          <w:lang w:val="en-US"/>
        </w:rPr>
        <w:t xml:space="preserve">and archaeologists use all sorts of burial evidence to help unravel the mysteries of ancient burials. Evidence from context, such as body orientation </w:t>
      </w:r>
      <w:r w:rsidRPr="0001529B" w:rsidR="002732DE">
        <w:rPr>
          <w:rFonts w:ascii="Times New Roman" w:hAnsi="Times New Roman" w:cs="Times New Roman"/>
          <w:sz w:val="24"/>
          <w:szCs w:val="24"/>
          <w:lang w:val="en-US"/>
        </w:rPr>
        <w:t>in regards to</w:t>
      </w:r>
      <w:r w:rsidRPr="0001529B" w:rsidR="002732DE">
        <w:rPr>
          <w:rFonts w:ascii="Times New Roman" w:hAnsi="Times New Roman" w:cs="Times New Roman"/>
          <w:sz w:val="24"/>
          <w:szCs w:val="24"/>
          <w:lang w:val="en-US"/>
        </w:rPr>
        <w:t xml:space="preserve"> the cardinal directions</w:t>
      </w:r>
      <w:r w:rsidRPr="0001529B" w:rsidR="00D73C3B">
        <w:rPr>
          <w:rFonts w:ascii="Times New Roman" w:hAnsi="Times New Roman" w:cs="Times New Roman"/>
          <w:sz w:val="24"/>
          <w:szCs w:val="24"/>
          <w:lang w:val="en-US"/>
        </w:rPr>
        <w:t xml:space="preserve">, and location. Such as near a famous battlefield, to grave goods like the huge ship buried at Sutton Hoo. </w:t>
      </w:r>
      <w:r w:rsidRPr="0001529B" w:rsidR="0065117A">
        <w:rPr>
          <w:rFonts w:ascii="Times New Roman" w:hAnsi="Times New Roman" w:cs="Times New Roman"/>
          <w:sz w:val="24"/>
          <w:szCs w:val="24"/>
          <w:lang w:val="en-US"/>
        </w:rPr>
        <w:t xml:space="preserve">People bury their dead in a myriad of ways </w:t>
      </w:r>
      <w:r w:rsidRPr="0001529B" w:rsidR="00462882">
        <w:rPr>
          <w:rFonts w:ascii="Times New Roman" w:hAnsi="Times New Roman" w:cs="Times New Roman"/>
          <w:sz w:val="24"/>
          <w:szCs w:val="24"/>
          <w:lang w:val="en-US"/>
        </w:rPr>
        <w:t xml:space="preserve">even in such a relatively short time era, such as the </w:t>
      </w:r>
      <w:r w:rsidRPr="0001529B" w:rsidR="00AD3CCE">
        <w:rPr>
          <w:rFonts w:ascii="Times New Roman" w:hAnsi="Times New Roman" w:cs="Times New Roman"/>
          <w:sz w:val="24"/>
          <w:szCs w:val="24"/>
          <w:lang w:val="en-US"/>
        </w:rPr>
        <w:t>Middle Ages</w:t>
      </w:r>
      <w:r w:rsidRPr="0001529B" w:rsidR="00462882">
        <w:rPr>
          <w:rFonts w:ascii="Times New Roman" w:hAnsi="Times New Roman" w:cs="Times New Roman"/>
          <w:sz w:val="24"/>
          <w:szCs w:val="24"/>
          <w:lang w:val="en-US"/>
        </w:rPr>
        <w:t xml:space="preserve">. </w:t>
      </w:r>
    </w:p>
    <w:p w:rsidR="002B7D2F" w:rsidRPr="0001529B" w14:paraId="6E44B9E6" w14:textId="77777777">
      <w:pPr>
        <w:rPr>
          <w:rFonts w:ascii="Times New Roman" w:hAnsi="Times New Roman" w:cs="Times New Roman"/>
          <w:sz w:val="24"/>
          <w:szCs w:val="24"/>
          <w:lang w:val="en-US"/>
        </w:rPr>
      </w:pPr>
    </w:p>
    <w:p w:rsidR="002B7D2F" w:rsidRPr="0001529B" w14:paraId="5DA52B58" w14:textId="77777777">
      <w:pPr>
        <w:rPr>
          <w:rFonts w:ascii="Times New Roman" w:hAnsi="Times New Roman" w:cs="Times New Roman"/>
          <w:sz w:val="24"/>
          <w:szCs w:val="24"/>
          <w:lang w:val="en-US"/>
        </w:rPr>
      </w:pPr>
    </w:p>
    <w:p w:rsidR="002B7D2F" w:rsidRPr="0001529B" w14:paraId="5FBDA3D7" w14:textId="77777777">
      <w:pPr>
        <w:rPr>
          <w:rFonts w:ascii="Times New Roman" w:hAnsi="Times New Roman" w:cs="Times New Roman"/>
          <w:sz w:val="24"/>
          <w:szCs w:val="24"/>
          <w:lang w:val="en-US"/>
        </w:rPr>
      </w:pPr>
    </w:p>
    <w:p w:rsidR="002B7D2F" w14:paraId="7868BA05" w14:textId="77777777">
      <w:pPr>
        <w:rPr>
          <w:rFonts w:ascii="Times New Roman" w:hAnsi="Times New Roman" w:cs="Times New Roman"/>
          <w:sz w:val="24"/>
          <w:szCs w:val="24"/>
          <w:lang w:val="en-US"/>
        </w:rPr>
      </w:pPr>
    </w:p>
    <w:p w:rsidR="007B3B74" w14:paraId="67B1EE0C" w14:textId="77777777">
      <w:pPr>
        <w:rPr>
          <w:rFonts w:ascii="Times New Roman" w:hAnsi="Times New Roman" w:cs="Times New Roman"/>
          <w:sz w:val="24"/>
          <w:szCs w:val="24"/>
          <w:lang w:val="en-US"/>
        </w:rPr>
      </w:pPr>
    </w:p>
    <w:p w:rsidR="007B3B74" w14:paraId="7862E071" w14:textId="77777777">
      <w:pPr>
        <w:rPr>
          <w:rFonts w:ascii="Times New Roman" w:hAnsi="Times New Roman" w:cs="Times New Roman"/>
          <w:sz w:val="24"/>
          <w:szCs w:val="24"/>
          <w:lang w:val="en-US"/>
        </w:rPr>
      </w:pPr>
    </w:p>
    <w:p w:rsidR="007B3B74" w14:paraId="0B2A65AC" w14:textId="77777777">
      <w:pPr>
        <w:rPr>
          <w:rFonts w:ascii="Times New Roman" w:hAnsi="Times New Roman" w:cs="Times New Roman"/>
          <w:sz w:val="24"/>
          <w:szCs w:val="24"/>
          <w:lang w:val="en-US"/>
        </w:rPr>
      </w:pPr>
    </w:p>
    <w:p w:rsidR="007B3B74" w14:paraId="1A328E96" w14:textId="77777777">
      <w:pPr>
        <w:rPr>
          <w:rFonts w:ascii="Times New Roman" w:hAnsi="Times New Roman" w:cs="Times New Roman"/>
          <w:sz w:val="24"/>
          <w:szCs w:val="24"/>
          <w:lang w:val="en-US"/>
        </w:rPr>
      </w:pPr>
    </w:p>
    <w:p w:rsidR="007B3B74" w14:paraId="05E41622" w14:textId="77777777">
      <w:pPr>
        <w:rPr>
          <w:rFonts w:ascii="Times New Roman" w:hAnsi="Times New Roman" w:cs="Times New Roman"/>
          <w:sz w:val="24"/>
          <w:szCs w:val="24"/>
          <w:lang w:val="en-US"/>
        </w:rPr>
      </w:pPr>
    </w:p>
    <w:p w:rsidR="007B3B74" w14:paraId="01D6AA2D" w14:textId="77777777">
      <w:pPr>
        <w:rPr>
          <w:rFonts w:ascii="Times New Roman" w:hAnsi="Times New Roman" w:cs="Times New Roman"/>
          <w:sz w:val="24"/>
          <w:szCs w:val="24"/>
          <w:lang w:val="en-US"/>
        </w:rPr>
      </w:pPr>
    </w:p>
    <w:p w:rsidR="007B3B74" w14:paraId="172CB609" w14:textId="77777777">
      <w:pPr>
        <w:rPr>
          <w:rFonts w:ascii="Times New Roman" w:hAnsi="Times New Roman" w:cs="Times New Roman"/>
          <w:sz w:val="24"/>
          <w:szCs w:val="24"/>
          <w:lang w:val="en-US"/>
        </w:rPr>
      </w:pPr>
    </w:p>
    <w:p w:rsidR="007B3B74" w14:paraId="0678B10D" w14:textId="77777777">
      <w:pPr>
        <w:rPr>
          <w:rFonts w:ascii="Times New Roman" w:hAnsi="Times New Roman" w:cs="Times New Roman"/>
          <w:sz w:val="24"/>
          <w:szCs w:val="24"/>
          <w:lang w:val="en-US"/>
        </w:rPr>
      </w:pPr>
    </w:p>
    <w:p w:rsidR="007B3B74" w:rsidRPr="0001529B" w14:paraId="58F6AEA8" w14:textId="77777777">
      <w:pPr>
        <w:rPr>
          <w:rFonts w:ascii="Times New Roman" w:hAnsi="Times New Roman" w:cs="Times New Roman"/>
          <w:sz w:val="24"/>
          <w:szCs w:val="24"/>
          <w:lang w:val="en-US"/>
        </w:rPr>
      </w:pPr>
    </w:p>
    <w:p w:rsidR="0001529B" w:rsidRPr="0001529B" w:rsidP="0001529B" w14:paraId="7C330D31" w14:textId="77777777">
      <w:pPr>
        <w:jc w:val="center"/>
        <w:rPr>
          <w:rFonts w:ascii="Times New Roman" w:hAnsi="Times New Roman" w:cs="Times New Roman"/>
          <w:sz w:val="24"/>
          <w:szCs w:val="24"/>
          <w:lang w:val="en-US"/>
        </w:rPr>
      </w:pPr>
      <w:r w:rsidRPr="0001529B">
        <w:rPr>
          <w:rFonts w:ascii="Times New Roman" w:hAnsi="Times New Roman" w:cs="Times New Roman"/>
          <w:sz w:val="24"/>
          <w:szCs w:val="24"/>
          <w:lang w:val="en-US"/>
        </w:rPr>
        <w:t>Bibliography</w:t>
      </w:r>
    </w:p>
    <w:p w:rsidR="0001529B" w:rsidRPr="0001529B" w:rsidP="0001529B" w14:paraId="4D8DFFEB" w14:textId="77777777">
      <w:pPr>
        <w:jc w:val="center"/>
        <w:rPr>
          <w:rFonts w:ascii="Times New Roman" w:hAnsi="Times New Roman" w:cs="Times New Roman"/>
          <w:sz w:val="24"/>
          <w:szCs w:val="24"/>
          <w:lang w:val="en-US"/>
        </w:rPr>
      </w:pPr>
    </w:p>
    <w:p w:rsidR="0001529B" w:rsidRPr="0001529B" w:rsidP="0001529B" w14:paraId="42CF543B" w14:textId="22EA6D20">
      <w:pPr>
        <w:rPr>
          <w:rFonts w:ascii="Times New Roman" w:hAnsi="Times New Roman" w:cs="Times New Roman"/>
          <w:sz w:val="24"/>
          <w:szCs w:val="24"/>
        </w:rPr>
      </w:pPr>
      <w:r w:rsidRPr="0001529B">
        <w:rPr>
          <w:rFonts w:ascii="Times New Roman" w:hAnsi="Times New Roman" w:cs="Times New Roman"/>
          <w:sz w:val="24"/>
          <w:szCs w:val="24"/>
        </w:rPr>
        <w:t xml:space="preserve">  </w:t>
      </w:r>
      <w:r w:rsidRPr="0001529B">
        <w:rPr>
          <w:rFonts w:ascii="Times New Roman" w:hAnsi="Times New Roman" w:cs="Times New Roman"/>
          <w:sz w:val="24"/>
          <w:szCs w:val="24"/>
        </w:rPr>
        <w:t>Fiorato</w:t>
      </w:r>
      <w:r w:rsidRPr="0001529B">
        <w:rPr>
          <w:rFonts w:ascii="Times New Roman" w:hAnsi="Times New Roman" w:cs="Times New Roman"/>
          <w:sz w:val="24"/>
          <w:szCs w:val="24"/>
        </w:rPr>
        <w:t xml:space="preserve">, Veronica, Anthea Boylston, Christopher </w:t>
      </w:r>
      <w:r w:rsidRPr="0001529B">
        <w:rPr>
          <w:rFonts w:ascii="Times New Roman" w:hAnsi="Times New Roman" w:cs="Times New Roman"/>
          <w:sz w:val="24"/>
          <w:szCs w:val="24"/>
        </w:rPr>
        <w:t>Knüsel</w:t>
      </w:r>
      <w:r w:rsidRPr="0001529B">
        <w:rPr>
          <w:rFonts w:ascii="Times New Roman" w:hAnsi="Times New Roman" w:cs="Times New Roman"/>
          <w:sz w:val="24"/>
          <w:szCs w:val="24"/>
        </w:rPr>
        <w:t xml:space="preserve">, Robert Hardy, and A. W. Boardman, </w:t>
      </w:r>
      <w:r w:rsidRPr="007860FB">
        <w:rPr>
          <w:rFonts w:ascii="Times New Roman" w:hAnsi="Times New Roman" w:cs="Times New Roman"/>
          <w:i/>
          <w:iCs/>
          <w:sz w:val="24"/>
          <w:szCs w:val="24"/>
        </w:rPr>
        <w:t xml:space="preserve">Blood Red </w:t>
      </w:r>
      <w:r w:rsidRPr="007860FB">
        <w:rPr>
          <w:rFonts w:ascii="Times New Roman" w:hAnsi="Times New Roman" w:cs="Times New Roman"/>
          <w:i/>
          <w:iCs/>
          <w:sz w:val="24"/>
          <w:szCs w:val="24"/>
        </w:rPr>
        <w:t>Roses :</w:t>
      </w:r>
      <w:r w:rsidRPr="007860FB">
        <w:rPr>
          <w:rFonts w:ascii="Times New Roman" w:hAnsi="Times New Roman" w:cs="Times New Roman"/>
          <w:i/>
          <w:iCs/>
          <w:sz w:val="24"/>
          <w:szCs w:val="24"/>
        </w:rPr>
        <w:t xml:space="preserve"> the Archaeology of a Mass Grave from the Battle of Towton AD 1461</w:t>
      </w:r>
      <w:r w:rsidRPr="0001529B">
        <w:rPr>
          <w:rFonts w:ascii="Times New Roman" w:hAnsi="Times New Roman" w:cs="Times New Roman"/>
          <w:sz w:val="24"/>
          <w:szCs w:val="24"/>
        </w:rPr>
        <w:t>, revised edition. (</w:t>
      </w:r>
      <w:r w:rsidRPr="0001529B">
        <w:rPr>
          <w:rFonts w:ascii="Times New Roman" w:hAnsi="Times New Roman" w:cs="Times New Roman"/>
          <w:sz w:val="24"/>
          <w:szCs w:val="24"/>
        </w:rPr>
        <w:t>Oxford ;</w:t>
      </w:r>
      <w:r w:rsidRPr="0001529B">
        <w:rPr>
          <w:rFonts w:ascii="Times New Roman" w:hAnsi="Times New Roman" w:cs="Times New Roman"/>
          <w:sz w:val="24"/>
          <w:szCs w:val="24"/>
        </w:rPr>
        <w:t>: Oxbow Books, 2014)</w:t>
      </w:r>
      <w:r w:rsidRPr="0001529B">
        <w:rPr>
          <w:rFonts w:ascii="Times New Roman" w:hAnsi="Times New Roman" w:cs="Times New Roman"/>
          <w:sz w:val="24"/>
          <w:szCs w:val="24"/>
          <w:lang w:val="en-US"/>
        </w:rPr>
        <w:t xml:space="preserve">  </w:t>
      </w:r>
    </w:p>
    <w:p w:rsidR="0001529B" w:rsidRPr="0001529B" w:rsidP="0001529B" w14:paraId="26DF454F" w14:textId="46355C9B">
      <w:pPr>
        <w:rPr>
          <w:rFonts w:ascii="Times New Roman" w:hAnsi="Times New Roman" w:cs="Times New Roman"/>
          <w:sz w:val="24"/>
          <w:szCs w:val="24"/>
          <w:lang w:val="en-US"/>
        </w:rPr>
      </w:pPr>
      <w:r w:rsidRPr="0001529B">
        <w:rPr>
          <w:rFonts w:ascii="Times New Roman" w:hAnsi="Times New Roman" w:cs="Times New Roman"/>
          <w:sz w:val="24"/>
          <w:szCs w:val="24"/>
          <w:lang w:val="en-US"/>
        </w:rPr>
        <w:t xml:space="preserve">Kendall, Calvin B., and Peter S. Wells, </w:t>
      </w:r>
      <w:r w:rsidRPr="007860FB">
        <w:rPr>
          <w:rFonts w:ascii="Times New Roman" w:hAnsi="Times New Roman" w:cs="Times New Roman"/>
          <w:i/>
          <w:iCs/>
          <w:sz w:val="24"/>
          <w:szCs w:val="24"/>
          <w:lang w:val="en-US"/>
        </w:rPr>
        <w:t>‘Voyage to the Other World the Legacy of Sutton Hoo’</w:t>
      </w:r>
      <w:r w:rsidRPr="0001529B">
        <w:rPr>
          <w:rFonts w:ascii="Times New Roman" w:hAnsi="Times New Roman" w:cs="Times New Roman"/>
          <w:sz w:val="24"/>
          <w:szCs w:val="24"/>
          <w:lang w:val="en-US"/>
        </w:rPr>
        <w:t xml:space="preserve"> (Minneapolis: University of Minnesota Press, 1992)</w:t>
      </w:r>
    </w:p>
    <w:p w:rsidR="0001529B" w:rsidRPr="0001529B" w:rsidP="0001529B" w14:paraId="1AF93476" w14:textId="560D0570">
      <w:pPr>
        <w:rPr>
          <w:rFonts w:ascii="Times New Roman" w:hAnsi="Times New Roman" w:cs="Times New Roman"/>
          <w:sz w:val="24"/>
          <w:szCs w:val="24"/>
          <w:lang w:val="en-US"/>
        </w:rPr>
      </w:pPr>
      <w:r w:rsidRPr="0001529B">
        <w:rPr>
          <w:rFonts w:ascii="Times New Roman" w:hAnsi="Times New Roman" w:cs="Times New Roman"/>
          <w:sz w:val="24"/>
          <w:szCs w:val="24"/>
          <w:lang w:val="en-US"/>
        </w:rPr>
        <w:t xml:space="preserve">Tanner, Pat, Julian Whitewright, and Joe </w:t>
      </w:r>
      <w:r w:rsidRPr="0001529B">
        <w:rPr>
          <w:rFonts w:ascii="Times New Roman" w:hAnsi="Times New Roman" w:cs="Times New Roman"/>
          <w:sz w:val="24"/>
          <w:szCs w:val="24"/>
          <w:lang w:val="en-US"/>
        </w:rPr>
        <w:t>Startin</w:t>
      </w:r>
      <w:r w:rsidRPr="0001529B">
        <w:rPr>
          <w:rFonts w:ascii="Times New Roman" w:hAnsi="Times New Roman" w:cs="Times New Roman"/>
          <w:sz w:val="24"/>
          <w:szCs w:val="24"/>
          <w:lang w:val="en-US"/>
        </w:rPr>
        <w:t xml:space="preserve">, </w:t>
      </w:r>
      <w:r w:rsidRPr="007860FB">
        <w:rPr>
          <w:rFonts w:ascii="Times New Roman" w:hAnsi="Times New Roman" w:cs="Times New Roman"/>
          <w:i/>
          <w:iCs/>
          <w:sz w:val="24"/>
          <w:szCs w:val="24"/>
          <w:lang w:val="en-US"/>
        </w:rPr>
        <w:t>‘The Digital Reconstruction of the Sutton Hoo Ship’</w:t>
      </w:r>
      <w:r w:rsidRPr="0001529B">
        <w:rPr>
          <w:rFonts w:ascii="Times New Roman" w:hAnsi="Times New Roman" w:cs="Times New Roman"/>
          <w:sz w:val="24"/>
          <w:szCs w:val="24"/>
          <w:lang w:val="en-US"/>
        </w:rPr>
        <w:t>, The International Journal of Nautical Archaeology, 49.1 (2020), 5–28</w:t>
      </w:r>
    </w:p>
    <w:p w:rsidR="002B7D2F" w14:paraId="17EAE017" w14:textId="77777777">
      <w:pPr>
        <w:rPr>
          <w:rFonts w:ascii="Comic Sans MS" w:hAnsi="Comic Sans MS"/>
          <w:lang w:val="en-US"/>
        </w:rPr>
      </w:pPr>
    </w:p>
    <w:p w:rsidR="0049568C" w14:paraId="1698DAAA" w14:textId="77777777">
      <w:pPr>
        <w:rPr>
          <w:rFonts w:ascii="Comic Sans MS" w:hAnsi="Comic Sans MS"/>
          <w:lang w:val="en-US"/>
        </w:rPr>
      </w:pPr>
    </w:p>
    <w:p w:rsidR="0049568C" w14:paraId="5EC85BC7" w14:textId="77777777">
      <w:pPr>
        <w:rPr>
          <w:rFonts w:ascii="Comic Sans MS" w:hAnsi="Comic Sans MS"/>
          <w:lang w:val="en-US"/>
        </w:rPr>
      </w:pPr>
    </w:p>
    <w:p w:rsidR="0049568C" w14:paraId="0EC074A4" w14:textId="77777777">
      <w:pPr>
        <w:rPr>
          <w:rFonts w:ascii="Comic Sans MS" w:hAnsi="Comic Sans MS"/>
          <w:lang w:val="en-US"/>
        </w:rPr>
      </w:pPr>
    </w:p>
    <w:p w:rsidR="0049568C" w14:paraId="41847BE7" w14:textId="77777777">
      <w:pPr>
        <w:rPr>
          <w:rFonts w:ascii="Comic Sans MS" w:hAnsi="Comic Sans MS"/>
          <w:lang w:val="en-US"/>
        </w:rPr>
      </w:pPr>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FE1AD1" w:rsidP="00FE1AD1" w14:paraId="6858A608" w14:textId="77777777">
      <w:pPr>
        <w:spacing w:after="0" w:line="240" w:lineRule="auto"/>
      </w:pPr>
      <w:r>
        <w:separator/>
      </w:r>
    </w:p>
  </w:footnote>
  <w:footnote w:type="continuationSeparator" w:id="1">
    <w:p w:rsidR="00FE1AD1" w:rsidP="00FE1AD1" w14:paraId="7B9DE1E1" w14:textId="77777777">
      <w:pPr>
        <w:spacing w:after="0" w:line="240" w:lineRule="auto"/>
      </w:pPr>
      <w:r>
        <w:continuationSeparator/>
      </w:r>
    </w:p>
  </w:footnote>
  <w:footnote w:id="2">
    <w:p w:rsidR="00FE1AD1" w:rsidRPr="00EE0E4F" w:rsidP="009815B4" w14:paraId="328CB405" w14:textId="4C97AA04">
      <w:pPr>
        <w:rPr>
          <w:rFonts w:ascii="Times New Roman" w:hAnsi="Times New Roman" w:cs="Times New Roman"/>
          <w:sz w:val="18"/>
          <w:szCs w:val="18"/>
          <w:lang w:val="en-US"/>
        </w:rPr>
      </w:pPr>
      <w:r w:rsidRPr="00EE0E4F">
        <w:rPr>
          <w:rStyle w:val="FootnoteReference"/>
          <w:rFonts w:ascii="Times New Roman" w:hAnsi="Times New Roman" w:cs="Times New Roman"/>
        </w:rPr>
        <w:footnoteRef/>
      </w:r>
      <w:r w:rsidRPr="00EE0E4F">
        <w:rPr>
          <w:rFonts w:ascii="Times New Roman" w:hAnsi="Times New Roman" w:cs="Times New Roman"/>
        </w:rPr>
        <w:t xml:space="preserve"> </w:t>
      </w:r>
      <w:r w:rsidRPr="00EE0E4F">
        <w:rPr>
          <w:rFonts w:ascii="Times New Roman" w:hAnsi="Times New Roman" w:cs="Times New Roman"/>
          <w:sz w:val="18"/>
          <w:szCs w:val="18"/>
          <w:lang w:val="en-US"/>
        </w:rPr>
        <w:t>Pat</w:t>
      </w:r>
      <w:r w:rsidRPr="00EE0E4F">
        <w:rPr>
          <w:rFonts w:ascii="Times New Roman" w:hAnsi="Times New Roman" w:cs="Times New Roman"/>
          <w:sz w:val="18"/>
          <w:szCs w:val="18"/>
          <w:lang w:val="en-US"/>
        </w:rPr>
        <w:t xml:space="preserve"> Tanner</w:t>
      </w:r>
      <w:r w:rsidRPr="00EE0E4F">
        <w:rPr>
          <w:rFonts w:ascii="Times New Roman" w:hAnsi="Times New Roman" w:cs="Times New Roman"/>
          <w:sz w:val="18"/>
          <w:szCs w:val="18"/>
          <w:lang w:val="en-US"/>
        </w:rPr>
        <w:t xml:space="preserve">, Julian Whitewright, and Joe </w:t>
      </w:r>
      <w:r w:rsidRPr="00EE0E4F">
        <w:rPr>
          <w:rFonts w:ascii="Times New Roman" w:hAnsi="Times New Roman" w:cs="Times New Roman"/>
          <w:sz w:val="18"/>
          <w:szCs w:val="18"/>
          <w:lang w:val="en-US"/>
        </w:rPr>
        <w:t>Startin</w:t>
      </w:r>
      <w:r w:rsidRPr="00EE0E4F">
        <w:rPr>
          <w:rFonts w:ascii="Times New Roman" w:hAnsi="Times New Roman" w:cs="Times New Roman"/>
          <w:sz w:val="18"/>
          <w:szCs w:val="18"/>
          <w:lang w:val="en-US"/>
        </w:rPr>
        <w:t>, ‘</w:t>
      </w:r>
      <w:r w:rsidRPr="00EE0E4F">
        <w:rPr>
          <w:rFonts w:ascii="Times New Roman" w:hAnsi="Times New Roman" w:cs="Times New Roman"/>
          <w:i/>
          <w:iCs/>
          <w:sz w:val="18"/>
          <w:szCs w:val="18"/>
          <w:lang w:val="en-US"/>
        </w:rPr>
        <w:t>The Digital Reconstruction of the Sutton Hoo Ship’</w:t>
      </w:r>
      <w:r w:rsidRPr="00EE0E4F">
        <w:rPr>
          <w:rFonts w:ascii="Times New Roman" w:hAnsi="Times New Roman" w:cs="Times New Roman"/>
          <w:sz w:val="18"/>
          <w:szCs w:val="18"/>
          <w:lang w:val="en-US"/>
        </w:rPr>
        <w:t>, The International Journal of Nautical Archaeology, 49.1 (2020),</w:t>
      </w:r>
      <w:r w:rsidRPr="00EE0E4F" w:rsidR="00AC298C">
        <w:rPr>
          <w:rFonts w:ascii="Times New Roman" w:hAnsi="Times New Roman" w:cs="Times New Roman"/>
          <w:sz w:val="18"/>
          <w:szCs w:val="18"/>
          <w:lang w:val="en-US"/>
        </w:rPr>
        <w:t xml:space="preserve"> p.</w:t>
      </w:r>
      <w:r w:rsidRPr="00EE0E4F">
        <w:rPr>
          <w:rFonts w:ascii="Times New Roman" w:hAnsi="Times New Roman" w:cs="Times New Roman"/>
          <w:sz w:val="18"/>
          <w:szCs w:val="18"/>
          <w:lang w:val="en-US"/>
        </w:rPr>
        <w:t xml:space="preserve"> 5</w:t>
      </w:r>
    </w:p>
  </w:footnote>
  <w:footnote w:id="3">
    <w:p w:rsidR="0069113D" w:rsidRPr="00EE0E4F" w14:paraId="38C914BE" w14:textId="5CDF06FA">
      <w:pPr>
        <w:pStyle w:val="FootnoteText"/>
        <w:rPr>
          <w:rFonts w:ascii="Times New Roman" w:hAnsi="Times New Roman" w:cs="Times New Roman"/>
          <w:lang w:val="en-US"/>
        </w:rPr>
      </w:pPr>
      <w:r w:rsidRPr="00EE0E4F">
        <w:rPr>
          <w:rStyle w:val="FootnoteReference"/>
          <w:rFonts w:ascii="Times New Roman" w:hAnsi="Times New Roman" w:cs="Times New Roman"/>
        </w:rPr>
        <w:footnoteRef/>
      </w:r>
      <w:r w:rsidRPr="00EE0E4F">
        <w:rPr>
          <w:rFonts w:ascii="Times New Roman" w:hAnsi="Times New Roman" w:cs="Times New Roman"/>
        </w:rPr>
        <w:t xml:space="preserve"> </w:t>
      </w:r>
      <w:r w:rsidRPr="00EE0E4F" w:rsidR="0050607E">
        <w:rPr>
          <w:rFonts w:ascii="Times New Roman" w:hAnsi="Times New Roman" w:cs="Times New Roman"/>
        </w:rPr>
        <w:t xml:space="preserve">Veronica </w:t>
      </w:r>
      <w:r w:rsidRPr="00EE0E4F" w:rsidR="0050607E">
        <w:rPr>
          <w:rFonts w:ascii="Times New Roman" w:hAnsi="Times New Roman" w:cs="Times New Roman"/>
        </w:rPr>
        <w:t>Fiorato</w:t>
      </w:r>
      <w:r w:rsidRPr="00EE0E4F" w:rsidR="008D77C5">
        <w:rPr>
          <w:rFonts w:ascii="Times New Roman" w:hAnsi="Times New Roman" w:cs="Times New Roman"/>
        </w:rPr>
        <w:t xml:space="preserve"> and others</w:t>
      </w:r>
      <w:r w:rsidRPr="00EE0E4F" w:rsidR="0050607E">
        <w:rPr>
          <w:rFonts w:ascii="Times New Roman" w:hAnsi="Times New Roman" w:cs="Times New Roman"/>
        </w:rPr>
        <w:t xml:space="preserve">, </w:t>
      </w:r>
      <w:r w:rsidRPr="00EE0E4F" w:rsidR="0050607E">
        <w:rPr>
          <w:rFonts w:ascii="Times New Roman" w:hAnsi="Times New Roman" w:cs="Times New Roman"/>
          <w:i/>
          <w:iCs/>
        </w:rPr>
        <w:t xml:space="preserve">Blood Red </w:t>
      </w:r>
      <w:r w:rsidRPr="00EE0E4F" w:rsidR="0050607E">
        <w:rPr>
          <w:rFonts w:ascii="Times New Roman" w:hAnsi="Times New Roman" w:cs="Times New Roman"/>
          <w:i/>
          <w:iCs/>
        </w:rPr>
        <w:t>Roses :</w:t>
      </w:r>
      <w:r w:rsidRPr="00EE0E4F" w:rsidR="0050607E">
        <w:rPr>
          <w:rFonts w:ascii="Times New Roman" w:hAnsi="Times New Roman" w:cs="Times New Roman"/>
          <w:i/>
          <w:iCs/>
        </w:rPr>
        <w:t xml:space="preserve"> the Archaeology of a Mass Grave from the Battle of Towton AD 1461</w:t>
      </w:r>
      <w:r w:rsidRPr="00EE0E4F" w:rsidR="0050607E">
        <w:rPr>
          <w:rFonts w:ascii="Times New Roman" w:hAnsi="Times New Roman" w:cs="Times New Roman"/>
        </w:rPr>
        <w:t>, ed. Second, revised edition. (</w:t>
      </w:r>
      <w:r w:rsidRPr="00EE0E4F" w:rsidR="0050607E">
        <w:rPr>
          <w:rFonts w:ascii="Times New Roman" w:hAnsi="Times New Roman" w:cs="Times New Roman"/>
        </w:rPr>
        <w:t>Oxford ;</w:t>
      </w:r>
      <w:r w:rsidRPr="00EE0E4F" w:rsidR="0050607E">
        <w:rPr>
          <w:rFonts w:ascii="Times New Roman" w:hAnsi="Times New Roman" w:cs="Times New Roman"/>
        </w:rPr>
        <w:t>: Oxbow Books, 2014)</w:t>
      </w:r>
      <w:r w:rsidRPr="00EE0E4F" w:rsidR="00954968">
        <w:rPr>
          <w:rFonts w:ascii="Times New Roman" w:hAnsi="Times New Roman" w:cs="Times New Roman"/>
        </w:rPr>
        <w:t>,</w:t>
      </w:r>
      <w:r w:rsidRPr="00EE0E4F" w:rsidR="00AC298C">
        <w:rPr>
          <w:rFonts w:ascii="Times New Roman" w:hAnsi="Times New Roman" w:cs="Times New Roman"/>
        </w:rPr>
        <w:t xml:space="preserve"> p</w:t>
      </w:r>
      <w:r w:rsidRPr="00EE0E4F" w:rsidR="00F267C7">
        <w:rPr>
          <w:rFonts w:ascii="Times New Roman" w:hAnsi="Times New Roman" w:cs="Times New Roman"/>
        </w:rPr>
        <w:t>. 2</w:t>
      </w:r>
      <w:r w:rsidRPr="00EE0E4F" w:rsidR="00954968">
        <w:rPr>
          <w:rFonts w:ascii="Times New Roman" w:hAnsi="Times New Roman" w:cs="Times New Roman"/>
        </w:rPr>
        <w:t xml:space="preserve"> </w:t>
      </w:r>
    </w:p>
  </w:footnote>
  <w:footnote w:id="4">
    <w:p w:rsidR="006B6E1B" w:rsidRPr="00EE0E4F" w14:paraId="29E33382" w14:textId="35C86EFD">
      <w:pPr>
        <w:pStyle w:val="FootnoteText"/>
        <w:rPr>
          <w:rFonts w:ascii="Times New Roman" w:hAnsi="Times New Roman" w:cs="Times New Roman"/>
          <w:lang w:val="en-US"/>
        </w:rPr>
      </w:pPr>
      <w:r w:rsidRPr="00EE0E4F">
        <w:rPr>
          <w:rStyle w:val="FootnoteReference"/>
          <w:rFonts w:ascii="Times New Roman" w:hAnsi="Times New Roman" w:cs="Times New Roman"/>
        </w:rPr>
        <w:footnoteRef/>
      </w:r>
      <w:r w:rsidRPr="00EE0E4F">
        <w:rPr>
          <w:rFonts w:ascii="Times New Roman" w:hAnsi="Times New Roman" w:cs="Times New Roman"/>
        </w:rPr>
        <w:t xml:space="preserve"> </w:t>
      </w:r>
      <w:r w:rsidRPr="00EE0E4F" w:rsidR="00023F01">
        <w:rPr>
          <w:rFonts w:ascii="Times New Roman" w:hAnsi="Times New Roman" w:cs="Times New Roman"/>
        </w:rPr>
        <w:t>Fiorato</w:t>
      </w:r>
      <w:r w:rsidRPr="00EE0E4F" w:rsidR="00023F01">
        <w:rPr>
          <w:rFonts w:ascii="Times New Roman" w:hAnsi="Times New Roman" w:cs="Times New Roman"/>
        </w:rPr>
        <w:t xml:space="preserve"> and others, Blood Red Roses, p. 2</w:t>
      </w:r>
    </w:p>
  </w:footnote>
  <w:footnote w:id="5">
    <w:p w:rsidR="00094DBB" w:rsidRPr="0038320A" w14:paraId="46D94709" w14:textId="514821CF">
      <w:pPr>
        <w:pStyle w:val="FootnoteText"/>
        <w:rPr>
          <w:rFonts w:ascii="Times New Roman" w:hAnsi="Times New Roman" w:cs="Times New Roman"/>
          <w:lang w:val="en-US"/>
        </w:rPr>
      </w:pPr>
      <w:r w:rsidRPr="00EE0E4F">
        <w:rPr>
          <w:rStyle w:val="FootnoteReference"/>
          <w:rFonts w:ascii="Times New Roman" w:hAnsi="Times New Roman" w:cs="Times New Roman"/>
        </w:rPr>
        <w:footnoteRef/>
      </w:r>
      <w:r w:rsidRPr="00EE0E4F">
        <w:rPr>
          <w:rFonts w:ascii="Times New Roman" w:hAnsi="Times New Roman" w:cs="Times New Roman"/>
        </w:rPr>
        <w:t xml:space="preserve"> </w:t>
      </w:r>
      <w:r w:rsidRPr="00EE0E4F">
        <w:rPr>
          <w:rFonts w:ascii="Times New Roman" w:hAnsi="Times New Roman" w:cs="Times New Roman"/>
          <w:lang w:val="en-US"/>
        </w:rPr>
        <w:t xml:space="preserve">Tanner, </w:t>
      </w:r>
      <w:r w:rsidRPr="00EE0E4F">
        <w:rPr>
          <w:rFonts w:ascii="Times New Roman" w:hAnsi="Times New Roman" w:cs="Times New Roman"/>
          <w:lang w:val="en-US"/>
        </w:rPr>
        <w:t>Whitewright</w:t>
      </w:r>
      <w:r w:rsidRPr="00EE0E4F">
        <w:rPr>
          <w:rFonts w:ascii="Times New Roman" w:hAnsi="Times New Roman" w:cs="Times New Roman"/>
          <w:lang w:val="en-US"/>
        </w:rPr>
        <w:t xml:space="preserve">, and </w:t>
      </w:r>
      <w:r w:rsidRPr="00EE0E4F">
        <w:rPr>
          <w:rFonts w:ascii="Times New Roman" w:hAnsi="Times New Roman" w:cs="Times New Roman"/>
          <w:lang w:val="en-US"/>
        </w:rPr>
        <w:t>Startin</w:t>
      </w:r>
      <w:r w:rsidRPr="00EE0E4F">
        <w:rPr>
          <w:rFonts w:ascii="Times New Roman" w:hAnsi="Times New Roman" w:cs="Times New Roman"/>
          <w:lang w:val="en-US"/>
        </w:rPr>
        <w:t>,</w:t>
      </w:r>
      <w:r w:rsidRPr="00EE0E4F" w:rsidR="009815B4">
        <w:rPr>
          <w:rFonts w:ascii="Times New Roman" w:hAnsi="Times New Roman" w:cs="Times New Roman"/>
          <w:lang w:val="en-US"/>
        </w:rPr>
        <w:t xml:space="preserve"> </w:t>
      </w:r>
      <w:r w:rsidRPr="00EE0E4F" w:rsidR="009815B4">
        <w:rPr>
          <w:rFonts w:ascii="Times New Roman" w:hAnsi="Times New Roman" w:cs="Times New Roman"/>
          <w:i/>
          <w:iCs/>
          <w:lang w:val="en-US"/>
        </w:rPr>
        <w:t>The Digital Reconstruction of the Sutton Hoo Ship’</w:t>
      </w:r>
      <w:r w:rsidRPr="00EE0E4F" w:rsidR="009815B4">
        <w:rPr>
          <w:rFonts w:ascii="Times New Roman" w:hAnsi="Times New Roman" w:cs="Times New Roman"/>
          <w:i/>
          <w:iCs/>
          <w:lang w:val="en-US"/>
        </w:rPr>
        <w:t>,</w:t>
      </w:r>
      <w:r w:rsidRPr="00EE0E4F" w:rsidR="009815B4">
        <w:rPr>
          <w:rFonts w:ascii="Times New Roman" w:hAnsi="Times New Roman" w:cs="Times New Roman"/>
          <w:lang w:val="en-US"/>
        </w:rPr>
        <w:t xml:space="preserve"> p.6</w:t>
      </w:r>
    </w:p>
  </w:footnote>
  <w:footnote w:id="6">
    <w:p w:rsidR="00EF5DEF" w:rsidRPr="0038320A" w:rsidP="0038320A" w14:paraId="55F9729E" w14:textId="4D2EA79D">
      <w:pPr>
        <w:pStyle w:val="FootnoteText"/>
        <w:rPr>
          <w:rFonts w:ascii="Times New Roman" w:hAnsi="Times New Roman" w:cs="Times New Roman"/>
          <w:lang w:val="en-US"/>
        </w:rPr>
      </w:pPr>
      <w:r w:rsidRPr="0038320A">
        <w:rPr>
          <w:rStyle w:val="FootnoteReference"/>
          <w:rFonts w:ascii="Times New Roman" w:hAnsi="Times New Roman" w:cs="Times New Roman"/>
        </w:rPr>
        <w:footnoteRef/>
      </w:r>
      <w:r w:rsidRPr="0038320A">
        <w:rPr>
          <w:rFonts w:ascii="Times New Roman" w:hAnsi="Times New Roman" w:cs="Times New Roman"/>
        </w:rPr>
        <w:t xml:space="preserve"> </w:t>
      </w:r>
      <w:r w:rsidRPr="0038320A" w:rsidR="00023F01">
        <w:rPr>
          <w:rFonts w:ascii="Times New Roman" w:hAnsi="Times New Roman" w:cs="Times New Roman"/>
        </w:rPr>
        <w:t>Fiorato</w:t>
      </w:r>
      <w:r w:rsidRPr="0038320A" w:rsidR="00023F01">
        <w:rPr>
          <w:rFonts w:ascii="Times New Roman" w:hAnsi="Times New Roman" w:cs="Times New Roman"/>
        </w:rPr>
        <w:t xml:space="preserve"> and others, Blood Red Roses, p. </w:t>
      </w:r>
      <w:r w:rsidRPr="0038320A" w:rsidR="00023F01">
        <w:rPr>
          <w:rFonts w:ascii="Times New Roman" w:hAnsi="Times New Roman" w:cs="Times New Roman"/>
        </w:rPr>
        <w:t>98</w:t>
      </w:r>
    </w:p>
  </w:footnote>
  <w:footnote w:id="7">
    <w:p w:rsidR="0038320A" w:rsidRPr="0038320A" w:rsidP="0038320A" w14:paraId="5CE1636A" w14:textId="38894141">
      <w:pPr>
        <w:rPr>
          <w:rFonts w:ascii="Times New Roman" w:hAnsi="Times New Roman" w:cs="Times New Roman"/>
          <w:sz w:val="20"/>
          <w:szCs w:val="20"/>
          <w:lang w:val="en-US"/>
        </w:rPr>
      </w:pPr>
      <w:r w:rsidRPr="0038320A">
        <w:rPr>
          <w:rStyle w:val="FootnoteReference"/>
          <w:rFonts w:ascii="Times New Roman" w:hAnsi="Times New Roman" w:cs="Times New Roman"/>
          <w:sz w:val="20"/>
          <w:szCs w:val="20"/>
        </w:rPr>
        <w:footnoteRef/>
      </w:r>
      <w:r w:rsidRPr="0038320A">
        <w:rPr>
          <w:rFonts w:ascii="Times New Roman" w:hAnsi="Times New Roman" w:cs="Times New Roman"/>
          <w:sz w:val="20"/>
          <w:szCs w:val="20"/>
          <w:lang w:val="en-US"/>
        </w:rPr>
        <w:t>Calvin B.</w:t>
      </w:r>
      <w:r w:rsidRPr="0038320A">
        <w:rPr>
          <w:rFonts w:ascii="Times New Roman" w:hAnsi="Times New Roman" w:cs="Times New Roman"/>
          <w:sz w:val="20"/>
          <w:szCs w:val="20"/>
          <w:lang w:val="en-US"/>
        </w:rPr>
        <w:t xml:space="preserve"> </w:t>
      </w:r>
      <w:r w:rsidRPr="0038320A">
        <w:rPr>
          <w:rFonts w:ascii="Times New Roman" w:hAnsi="Times New Roman" w:cs="Times New Roman"/>
          <w:sz w:val="20"/>
          <w:szCs w:val="20"/>
          <w:lang w:val="en-US"/>
        </w:rPr>
        <w:t>Kendall, and Peter S. Wells, ‘Voyage to the Other World the Legacy of Sutton Hoo’ (Minneapolis: University of Minnesota Press, 1992)</w:t>
      </w:r>
    </w:p>
    <w:p w:rsidR="00BF6C60" w:rsidRPr="00BF6C60" w14:paraId="595CCDD6" w14:textId="4DAFB6A5">
      <w:pPr>
        <w:pStyle w:val="FootnoteText"/>
        <w:rPr>
          <w:lang w:val="en-US"/>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010"/>
    <w:rsid w:val="0001529B"/>
    <w:rsid w:val="00023F01"/>
    <w:rsid w:val="00027054"/>
    <w:rsid w:val="00041EA9"/>
    <w:rsid w:val="00085A82"/>
    <w:rsid w:val="000904DE"/>
    <w:rsid w:val="00094DBB"/>
    <w:rsid w:val="000F6191"/>
    <w:rsid w:val="00120A19"/>
    <w:rsid w:val="001B1601"/>
    <w:rsid w:val="001F3023"/>
    <w:rsid w:val="00201567"/>
    <w:rsid w:val="00202F15"/>
    <w:rsid w:val="00263D79"/>
    <w:rsid w:val="002732DE"/>
    <w:rsid w:val="002A101B"/>
    <w:rsid w:val="002B7D2F"/>
    <w:rsid w:val="002C0D57"/>
    <w:rsid w:val="002D5B06"/>
    <w:rsid w:val="002D77C1"/>
    <w:rsid w:val="00320CAF"/>
    <w:rsid w:val="00341AFC"/>
    <w:rsid w:val="00343376"/>
    <w:rsid w:val="0038320A"/>
    <w:rsid w:val="003867D4"/>
    <w:rsid w:val="003916D6"/>
    <w:rsid w:val="003B7980"/>
    <w:rsid w:val="003E7F75"/>
    <w:rsid w:val="004502DF"/>
    <w:rsid w:val="00462882"/>
    <w:rsid w:val="0049568C"/>
    <w:rsid w:val="004C32F7"/>
    <w:rsid w:val="0050607E"/>
    <w:rsid w:val="00523AD7"/>
    <w:rsid w:val="00544142"/>
    <w:rsid w:val="005B5441"/>
    <w:rsid w:val="005C055F"/>
    <w:rsid w:val="005C59DB"/>
    <w:rsid w:val="005E0067"/>
    <w:rsid w:val="0061086B"/>
    <w:rsid w:val="00630827"/>
    <w:rsid w:val="0065117A"/>
    <w:rsid w:val="006831EA"/>
    <w:rsid w:val="00684AF3"/>
    <w:rsid w:val="0069113D"/>
    <w:rsid w:val="006B0145"/>
    <w:rsid w:val="006B4034"/>
    <w:rsid w:val="006B6E1B"/>
    <w:rsid w:val="006C4381"/>
    <w:rsid w:val="006F06CD"/>
    <w:rsid w:val="007117C9"/>
    <w:rsid w:val="007150A7"/>
    <w:rsid w:val="0074769B"/>
    <w:rsid w:val="007860FB"/>
    <w:rsid w:val="007970EE"/>
    <w:rsid w:val="007B1539"/>
    <w:rsid w:val="007B3B74"/>
    <w:rsid w:val="007C279D"/>
    <w:rsid w:val="007D2AF1"/>
    <w:rsid w:val="007E6C34"/>
    <w:rsid w:val="008035D9"/>
    <w:rsid w:val="008120BE"/>
    <w:rsid w:val="008373E4"/>
    <w:rsid w:val="008A7764"/>
    <w:rsid w:val="008D77C5"/>
    <w:rsid w:val="008E5404"/>
    <w:rsid w:val="00931763"/>
    <w:rsid w:val="009376DE"/>
    <w:rsid w:val="00943EBB"/>
    <w:rsid w:val="00954968"/>
    <w:rsid w:val="00980D0A"/>
    <w:rsid w:val="009815B4"/>
    <w:rsid w:val="00981C90"/>
    <w:rsid w:val="00986FB0"/>
    <w:rsid w:val="009B61D0"/>
    <w:rsid w:val="009C5D36"/>
    <w:rsid w:val="009C6F82"/>
    <w:rsid w:val="00A05A0E"/>
    <w:rsid w:val="00A30B7A"/>
    <w:rsid w:val="00A406F8"/>
    <w:rsid w:val="00A56FF4"/>
    <w:rsid w:val="00A71E6C"/>
    <w:rsid w:val="00AC298C"/>
    <w:rsid w:val="00AD3CCE"/>
    <w:rsid w:val="00B319E8"/>
    <w:rsid w:val="00B50062"/>
    <w:rsid w:val="00B73E86"/>
    <w:rsid w:val="00BF6C60"/>
    <w:rsid w:val="00C36B75"/>
    <w:rsid w:val="00C46797"/>
    <w:rsid w:val="00C76211"/>
    <w:rsid w:val="00CA5A17"/>
    <w:rsid w:val="00CE6C9F"/>
    <w:rsid w:val="00D239A0"/>
    <w:rsid w:val="00D515D9"/>
    <w:rsid w:val="00D73C3B"/>
    <w:rsid w:val="00DD205B"/>
    <w:rsid w:val="00ED5010"/>
    <w:rsid w:val="00EE0E4F"/>
    <w:rsid w:val="00EE41A0"/>
    <w:rsid w:val="00EF5DEF"/>
    <w:rsid w:val="00F1790D"/>
    <w:rsid w:val="00F267C7"/>
    <w:rsid w:val="00F26D15"/>
    <w:rsid w:val="00F7328F"/>
    <w:rsid w:val="00F7352A"/>
    <w:rsid w:val="00F84CC3"/>
    <w:rsid w:val="00FB3E4D"/>
    <w:rsid w:val="00FC3686"/>
    <w:rsid w:val="00FC6D63"/>
    <w:rsid w:val="00FE1AD1"/>
    <w:rsid w:val="00FF2ECC"/>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4:docId w14:val="540C97F8"/>
  <w15:chartTrackingRefBased/>
  <w15:docId w15:val="{4594AB35-81AC-400C-B511-79018B7B2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E1AD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E1AD1"/>
    <w:rPr>
      <w:sz w:val="20"/>
      <w:szCs w:val="20"/>
    </w:rPr>
  </w:style>
  <w:style w:type="character" w:styleId="FootnoteReference">
    <w:name w:val="footnote reference"/>
    <w:basedOn w:val="DefaultParagraphFont"/>
    <w:uiPriority w:val="99"/>
    <w:semiHidden/>
    <w:unhideWhenUsed/>
    <w:rsid w:val="00FE1AD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TotalTime>
  <Pages>3</Pages>
  <Words>828</Words>
  <Characters>4720</Characters>
  <Application>Microsoft Office Word</Application>
  <DocSecurity>0</DocSecurity>
  <Lines>39</Lines>
  <Paragraphs>11</Paragraphs>
  <ScaleCrop>false</ScaleCrop>
  <Company/>
  <LinksUpToDate>false</LinksUpToDate>
  <CharactersWithSpaces>5537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Josiah Coney</dc:creator>
  <cp:lastModifiedBy>Josiah Coney</cp:lastModifiedBy>
  <cp:revision>117</cp:revision>
  <dcterms:created xsi:type="dcterms:W3CDTF">2022-10-23T13:37:00Z</dcterms:created>
  <dcterms:modified xsi:type="dcterms:W3CDTF">2022-10-23T16:37:00Z</dcterms:modified>
</cp:coreProperties>
</file>