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CB0EE" w14:textId="77777777" w:rsidR="0022093D" w:rsidRPr="0022093D" w:rsidRDefault="0022093D" w:rsidP="0022093D">
      <w:pPr>
        <w:spacing w:after="200"/>
        <w:jc w:val="center"/>
        <w:rPr>
          <w:rFonts w:ascii="Times New Roman" w:hAnsi="Times New Roman" w:cs="Times New Roman"/>
          <w:lang w:eastAsia="en-GB"/>
        </w:rPr>
      </w:pPr>
      <w:r w:rsidRPr="0022093D">
        <w:rPr>
          <w:rFonts w:ascii="Arial" w:hAnsi="Arial" w:cs="Arial"/>
          <w:b/>
          <w:bCs/>
          <w:color w:val="000000"/>
          <w:sz w:val="22"/>
          <w:szCs w:val="22"/>
          <w:u w:val="single"/>
          <w:lang w:eastAsia="en-GB"/>
        </w:rPr>
        <w:t>Looking back, evaluate how has your touring theatre production realised, in practise, elements of Task 1 and 2?</w:t>
      </w:r>
    </w:p>
    <w:p w14:paraId="41AC6457" w14:textId="77777777" w:rsidR="0022093D" w:rsidRPr="0022093D" w:rsidRDefault="0022093D" w:rsidP="0022093D">
      <w:pPr>
        <w:spacing w:after="200"/>
        <w:rPr>
          <w:rFonts w:ascii="Times New Roman" w:hAnsi="Times New Roman" w:cs="Times New Roman"/>
          <w:lang w:eastAsia="en-GB"/>
        </w:rPr>
      </w:pPr>
      <w:r w:rsidRPr="0022093D">
        <w:rPr>
          <w:rFonts w:ascii="Arial" w:hAnsi="Arial" w:cs="Arial"/>
          <w:color w:val="000000"/>
          <w:sz w:val="22"/>
          <w:szCs w:val="22"/>
          <w:lang w:eastAsia="en-GB"/>
        </w:rPr>
        <w:t xml:space="preserve">The research tasks we received were very helpful during the creation process. For example, we all interviewed a 9-10-year-old. One quote I found on touring theatre said </w:t>
      </w:r>
      <w:r w:rsidRPr="0022093D">
        <w:rPr>
          <w:rFonts w:ascii="Arial" w:hAnsi="Arial" w:cs="Arial"/>
          <w:i/>
          <w:iCs/>
          <w:color w:val="000000"/>
          <w:sz w:val="22"/>
          <w:szCs w:val="22"/>
          <w:lang w:eastAsia="en-GB"/>
        </w:rPr>
        <w:t xml:space="preserve">“[the company] were inevitably performing in constantly changing, non-standard venues to similarly transient and diverse </w:t>
      </w:r>
      <w:proofErr w:type="gramStart"/>
      <w:r w:rsidRPr="0022093D">
        <w:rPr>
          <w:rFonts w:ascii="Arial" w:hAnsi="Arial" w:cs="Arial"/>
          <w:i/>
          <w:iCs/>
          <w:color w:val="000000"/>
          <w:sz w:val="22"/>
          <w:szCs w:val="22"/>
          <w:lang w:eastAsia="en-GB"/>
        </w:rPr>
        <w:t>audiences”</w:t>
      </w:r>
      <w:r w:rsidRPr="0022093D">
        <w:rPr>
          <w:rFonts w:ascii="Arial" w:hAnsi="Arial" w:cs="Arial"/>
          <w:color w:val="000000"/>
          <w:sz w:val="22"/>
          <w:szCs w:val="22"/>
          <w:lang w:eastAsia="en-GB"/>
        </w:rPr>
        <w:t>[</w:t>
      </w:r>
      <w:proofErr w:type="gramEnd"/>
      <w:r w:rsidRPr="0022093D">
        <w:rPr>
          <w:rFonts w:ascii="Arial" w:hAnsi="Arial" w:cs="Arial"/>
          <w:color w:val="000000"/>
          <w:sz w:val="22"/>
          <w:szCs w:val="22"/>
          <w:lang w:eastAsia="en-GB"/>
        </w:rPr>
        <w:t xml:space="preserve">1], and as we all come from different backgrounds, we received a  range of viewpoints from children about their lives which helped us understand what sort of a piece they’d need and anticipate diversity. My cousin told me his biggest worry was getting expelled from school, and I knew he often got in trouble. As a result, I suggested having a bully protagonist in one of our stories who eventually sees the error of his ways and betters himself. </w:t>
      </w:r>
    </w:p>
    <w:p w14:paraId="0D923B32" w14:textId="77777777" w:rsidR="0022093D" w:rsidRPr="0022093D" w:rsidRDefault="0022093D" w:rsidP="0022093D">
      <w:pPr>
        <w:spacing w:after="200"/>
        <w:rPr>
          <w:rFonts w:ascii="Times New Roman" w:hAnsi="Times New Roman" w:cs="Times New Roman"/>
          <w:lang w:eastAsia="en-GB"/>
        </w:rPr>
      </w:pPr>
      <w:r w:rsidRPr="0022093D">
        <w:rPr>
          <w:rFonts w:ascii="Arial" w:hAnsi="Arial" w:cs="Arial"/>
          <w:color w:val="000000"/>
          <w:sz w:val="22"/>
          <w:szCs w:val="22"/>
          <w:lang w:eastAsia="en-GB"/>
        </w:rPr>
        <w:t>We also researched into the life of a nine-year-</w:t>
      </w:r>
      <w:proofErr w:type="gramStart"/>
      <w:r w:rsidRPr="0022093D">
        <w:rPr>
          <w:rFonts w:ascii="Arial" w:hAnsi="Arial" w:cs="Arial"/>
          <w:color w:val="000000"/>
          <w:sz w:val="22"/>
          <w:szCs w:val="22"/>
          <w:lang w:eastAsia="en-GB"/>
        </w:rPr>
        <w:t>old[</w:t>
      </w:r>
      <w:proofErr w:type="gramEnd"/>
      <w:r w:rsidRPr="0022093D">
        <w:rPr>
          <w:rFonts w:ascii="Arial" w:hAnsi="Arial" w:cs="Arial"/>
          <w:color w:val="000000"/>
          <w:sz w:val="22"/>
          <w:szCs w:val="22"/>
          <w:lang w:eastAsia="en-GB"/>
        </w:rPr>
        <w:t xml:space="preserve">2], which was very helpful as we saw exactly the way they interacted with the world. We knew our piece had to be fun, uplifting, and comedic for them to enjoy it to the fullest, as their world is just as colourful. Aside from one or two references to social media, we also knew we wanted to stay away from technology a little, as most children’s lives are often dominated by it </w:t>
      </w:r>
      <w:proofErr w:type="gramStart"/>
      <w:r w:rsidRPr="0022093D">
        <w:rPr>
          <w:rFonts w:ascii="Arial" w:hAnsi="Arial" w:cs="Arial"/>
          <w:color w:val="000000"/>
          <w:sz w:val="22"/>
          <w:szCs w:val="22"/>
          <w:lang w:eastAsia="en-GB"/>
        </w:rPr>
        <w:t>today[</w:t>
      </w:r>
      <w:proofErr w:type="gramEnd"/>
      <w:r w:rsidRPr="0022093D">
        <w:rPr>
          <w:rFonts w:ascii="Arial" w:hAnsi="Arial" w:cs="Arial"/>
          <w:color w:val="000000"/>
          <w:sz w:val="22"/>
          <w:szCs w:val="22"/>
          <w:lang w:eastAsia="en-GB"/>
        </w:rPr>
        <w:t>3], and it would give them a break from it.</w:t>
      </w:r>
    </w:p>
    <w:p w14:paraId="3DF59B9F" w14:textId="77777777" w:rsidR="0022093D" w:rsidRPr="0022093D" w:rsidRDefault="0022093D" w:rsidP="0022093D">
      <w:pPr>
        <w:spacing w:after="200"/>
        <w:rPr>
          <w:rFonts w:ascii="Times New Roman" w:hAnsi="Times New Roman" w:cs="Times New Roman"/>
          <w:lang w:eastAsia="en-GB"/>
        </w:rPr>
      </w:pPr>
      <w:r w:rsidRPr="0022093D">
        <w:rPr>
          <w:rFonts w:ascii="Arial" w:hAnsi="Arial" w:cs="Arial"/>
          <w:color w:val="000000"/>
          <w:sz w:val="22"/>
          <w:szCs w:val="22"/>
          <w:lang w:eastAsia="en-GB"/>
        </w:rPr>
        <w:t xml:space="preserve">We discovered that key things children learn in school at that age through the PSHE Key Stages is about their identities, relationships, diversity, equality, and resilience, which we absolutely used for our </w:t>
      </w:r>
      <w:proofErr w:type="gramStart"/>
      <w:r w:rsidRPr="0022093D">
        <w:rPr>
          <w:rFonts w:ascii="Arial" w:hAnsi="Arial" w:cs="Arial"/>
          <w:color w:val="000000"/>
          <w:sz w:val="22"/>
          <w:szCs w:val="22"/>
          <w:lang w:eastAsia="en-GB"/>
        </w:rPr>
        <w:t>piece[</w:t>
      </w:r>
      <w:proofErr w:type="gramEnd"/>
      <w:r w:rsidRPr="0022093D">
        <w:rPr>
          <w:rFonts w:ascii="Arial" w:hAnsi="Arial" w:cs="Arial"/>
          <w:color w:val="000000"/>
          <w:sz w:val="22"/>
          <w:szCs w:val="22"/>
          <w:lang w:eastAsia="en-GB"/>
        </w:rPr>
        <w:t>4,5]. Each story was intrinsically tied to every aspect in an effective way. From the bees questioning who they were, the girl and the grim reapers becoming friends, the understanding communication of the Finnish snowman and the Welsh fox, the giant dancing with someone, and the smallest monkey pushing through others’ expectations of them. Every audience seemed to connect so well with the stories, and this quote explains how I feel on the matter.</w:t>
      </w:r>
    </w:p>
    <w:p w14:paraId="125FEDEB" w14:textId="77777777" w:rsidR="0022093D" w:rsidRPr="0022093D" w:rsidRDefault="0022093D" w:rsidP="0022093D">
      <w:pPr>
        <w:spacing w:after="200"/>
        <w:jc w:val="center"/>
        <w:rPr>
          <w:rFonts w:ascii="Times New Roman" w:hAnsi="Times New Roman" w:cs="Times New Roman"/>
          <w:lang w:eastAsia="en-GB"/>
        </w:rPr>
      </w:pPr>
      <w:r w:rsidRPr="0022093D">
        <w:rPr>
          <w:rFonts w:ascii="Arial" w:hAnsi="Arial" w:cs="Arial"/>
          <w:i/>
          <w:iCs/>
          <w:color w:val="000000"/>
          <w:sz w:val="22"/>
          <w:szCs w:val="22"/>
          <w:lang w:eastAsia="en-GB"/>
        </w:rPr>
        <w:t>“They bring their actual life experiences to bear upon the stage. They react to plays from the standpoint of their own personal sufferings and have the strength to alter the values enshrined in performance. The audience is the link between life and theatre</w:t>
      </w:r>
      <w:proofErr w:type="gramStart"/>
      <w:r w:rsidRPr="0022093D">
        <w:rPr>
          <w:rFonts w:ascii="Arial" w:hAnsi="Arial" w:cs="Arial"/>
          <w:i/>
          <w:iCs/>
          <w:color w:val="000000"/>
          <w:sz w:val="22"/>
          <w:szCs w:val="22"/>
          <w:lang w:eastAsia="en-GB"/>
        </w:rPr>
        <w:t>.”[</w:t>
      </w:r>
      <w:proofErr w:type="gramEnd"/>
      <w:r w:rsidRPr="0022093D">
        <w:rPr>
          <w:rFonts w:ascii="Arial" w:hAnsi="Arial" w:cs="Arial"/>
          <w:i/>
          <w:iCs/>
          <w:color w:val="000000"/>
          <w:sz w:val="22"/>
          <w:szCs w:val="22"/>
          <w:lang w:eastAsia="en-GB"/>
        </w:rPr>
        <w:t xml:space="preserve">6] </w:t>
      </w:r>
      <w:r w:rsidRPr="0022093D">
        <w:rPr>
          <w:rFonts w:ascii="Arial" w:hAnsi="Arial" w:cs="Arial"/>
          <w:color w:val="000000"/>
          <w:sz w:val="22"/>
          <w:szCs w:val="22"/>
          <w:lang w:eastAsia="en-GB"/>
        </w:rPr>
        <w:t> </w:t>
      </w:r>
    </w:p>
    <w:p w14:paraId="05370AF8" w14:textId="77777777" w:rsidR="0022093D" w:rsidRPr="0022093D" w:rsidRDefault="0022093D" w:rsidP="0022093D">
      <w:pPr>
        <w:spacing w:after="200"/>
        <w:rPr>
          <w:rFonts w:ascii="Times New Roman" w:hAnsi="Times New Roman" w:cs="Times New Roman"/>
          <w:lang w:eastAsia="en-GB"/>
        </w:rPr>
      </w:pPr>
      <w:r w:rsidRPr="0022093D">
        <w:rPr>
          <w:rFonts w:ascii="Arial" w:hAnsi="Arial" w:cs="Arial"/>
          <w:color w:val="000000"/>
          <w:sz w:val="22"/>
          <w:szCs w:val="22"/>
          <w:lang w:eastAsia="en-GB"/>
        </w:rPr>
        <w:t xml:space="preserve">I believe our piece realised all aspects of what I discussed in Task 2. We discussed in class the need for the piece to be age appropriate, and said clearly that the piece couldn’t be too heavy or hard-hitting, and so a part of me worried that perhaps it was for too young an audience because of that line of thinking. I made sure to play with the ‘out-of-scene’ narrator moments a lot more because of this, as I felt those were the ‘oldest’ moments - but after the first show, I knew I’d been overthinking. Every school we performed to seemed to really enjoy the piece, and so we </w:t>
      </w:r>
      <w:proofErr w:type="gramStart"/>
      <w:r w:rsidRPr="0022093D">
        <w:rPr>
          <w:rFonts w:ascii="Arial" w:hAnsi="Arial" w:cs="Arial"/>
          <w:color w:val="000000"/>
          <w:sz w:val="22"/>
          <w:szCs w:val="22"/>
          <w:lang w:eastAsia="en-GB"/>
        </w:rPr>
        <w:t>definitely achieved</w:t>
      </w:r>
      <w:proofErr w:type="gramEnd"/>
      <w:r w:rsidRPr="0022093D">
        <w:rPr>
          <w:rFonts w:ascii="Arial" w:hAnsi="Arial" w:cs="Arial"/>
          <w:color w:val="000000"/>
          <w:sz w:val="22"/>
          <w:szCs w:val="22"/>
          <w:lang w:eastAsia="en-GB"/>
        </w:rPr>
        <w:t xml:space="preserve"> our primary visible goal of entertaining. Though we’ll never know if we achieved our other goals of helping children to see differences positively, love themselves, and not be too judgemental of others, I like to think that from the responses, we have. One of the children approached us to give a very heartfelt thank you, and one of the teachers also said that some of the children have difficulty responding and connecting in class, but they really </w:t>
      </w:r>
      <w:proofErr w:type="gramStart"/>
      <w:r w:rsidRPr="0022093D">
        <w:rPr>
          <w:rFonts w:ascii="Arial" w:hAnsi="Arial" w:cs="Arial"/>
          <w:color w:val="000000"/>
          <w:sz w:val="22"/>
          <w:szCs w:val="22"/>
          <w:lang w:eastAsia="en-GB"/>
        </w:rPr>
        <w:t>opened up</w:t>
      </w:r>
      <w:proofErr w:type="gramEnd"/>
      <w:r w:rsidRPr="0022093D">
        <w:rPr>
          <w:rFonts w:ascii="Arial" w:hAnsi="Arial" w:cs="Arial"/>
          <w:color w:val="000000"/>
          <w:sz w:val="22"/>
          <w:szCs w:val="22"/>
          <w:lang w:eastAsia="en-GB"/>
        </w:rPr>
        <w:t xml:space="preserve"> to our piece. Hopefully we gave these children what they needed to help understand their issues, which is something I don’t believe we could have done with this age group had we been more graphic and blunt.                    </w:t>
      </w:r>
    </w:p>
    <w:p w14:paraId="2BAC8138" w14:textId="77777777" w:rsidR="0022093D" w:rsidRPr="0022093D" w:rsidRDefault="0022093D" w:rsidP="0022093D">
      <w:pPr>
        <w:spacing w:after="200"/>
        <w:rPr>
          <w:rFonts w:ascii="Times New Roman" w:hAnsi="Times New Roman" w:cs="Times New Roman"/>
          <w:lang w:eastAsia="en-GB"/>
        </w:rPr>
      </w:pPr>
      <w:r w:rsidRPr="0022093D">
        <w:rPr>
          <w:rFonts w:ascii="Arial" w:hAnsi="Arial" w:cs="Arial"/>
          <w:color w:val="000000"/>
          <w:sz w:val="22"/>
          <w:szCs w:val="22"/>
          <w:lang w:eastAsia="en-GB"/>
        </w:rPr>
        <w:t>In conclusion, I think our piece took both Tasks on board and elements of both are clearly seen throughout.</w:t>
      </w:r>
    </w:p>
    <w:p w14:paraId="13E612DE" w14:textId="77777777" w:rsidR="0022093D" w:rsidRPr="0022093D" w:rsidRDefault="0022093D" w:rsidP="0022093D">
      <w:pPr>
        <w:spacing w:after="240"/>
        <w:rPr>
          <w:rFonts w:ascii="Times New Roman" w:eastAsia="Times New Roman" w:hAnsi="Times New Roman" w:cs="Times New Roman"/>
          <w:lang w:eastAsia="en-GB"/>
        </w:rPr>
      </w:pPr>
      <w:r>
        <w:rPr>
          <w:rFonts w:ascii="Times New Roman" w:eastAsia="Times New Roman" w:hAnsi="Times New Roman" w:cs="Times New Roman"/>
          <w:lang w:eastAsia="en-GB"/>
        </w:rPr>
        <w:br/>
      </w:r>
      <w:r w:rsidRPr="0022093D">
        <w:rPr>
          <w:rFonts w:ascii="Times New Roman" w:eastAsia="Times New Roman" w:hAnsi="Times New Roman" w:cs="Times New Roman"/>
          <w:lang w:eastAsia="en-GB"/>
        </w:rPr>
        <w:br/>
      </w:r>
      <w:r w:rsidRPr="0022093D">
        <w:rPr>
          <w:rFonts w:ascii="Times New Roman" w:eastAsia="Times New Roman" w:hAnsi="Times New Roman" w:cs="Times New Roman"/>
          <w:lang w:eastAsia="en-GB"/>
        </w:rPr>
        <w:br/>
      </w:r>
      <w:bookmarkStart w:id="0" w:name="_GoBack"/>
      <w:bookmarkEnd w:id="0"/>
    </w:p>
    <w:p w14:paraId="7C6E9A19" w14:textId="77777777" w:rsidR="0022093D" w:rsidRPr="0022093D" w:rsidRDefault="0022093D" w:rsidP="0022093D">
      <w:pPr>
        <w:spacing w:after="200"/>
        <w:jc w:val="center"/>
        <w:rPr>
          <w:rFonts w:ascii="Times New Roman" w:hAnsi="Times New Roman" w:cs="Times New Roman"/>
          <w:lang w:eastAsia="en-GB"/>
        </w:rPr>
      </w:pPr>
      <w:r w:rsidRPr="0022093D">
        <w:rPr>
          <w:rFonts w:ascii="Arial" w:hAnsi="Arial" w:cs="Arial"/>
          <w:b/>
          <w:bCs/>
          <w:color w:val="000000"/>
          <w:sz w:val="22"/>
          <w:szCs w:val="22"/>
          <w:u w:val="single"/>
          <w:lang w:eastAsia="en-GB"/>
        </w:rPr>
        <w:lastRenderedPageBreak/>
        <w:t>Bibliography</w:t>
      </w:r>
    </w:p>
    <w:p w14:paraId="3A1AADEA"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Billingham, P. (2000). </w:t>
      </w:r>
      <w:r w:rsidRPr="0022093D">
        <w:rPr>
          <w:rFonts w:ascii="Arial" w:hAnsi="Arial" w:cs="Arial"/>
          <w:i/>
          <w:iCs/>
          <w:color w:val="000000"/>
          <w:sz w:val="22"/>
          <w:szCs w:val="22"/>
          <w:lang w:eastAsia="en-GB"/>
        </w:rPr>
        <w:t>Theatres of Conscience 1939-53, A Study of Four Touring British Community Theatre Production</w:t>
      </w:r>
      <w:r w:rsidRPr="0022093D">
        <w:rPr>
          <w:rFonts w:ascii="Arial" w:hAnsi="Arial" w:cs="Arial"/>
          <w:color w:val="000000"/>
          <w:sz w:val="22"/>
          <w:szCs w:val="22"/>
          <w:lang w:eastAsia="en-GB"/>
        </w:rPr>
        <w:t>. Routledge. Page 4.</w:t>
      </w:r>
    </w:p>
    <w:p w14:paraId="2C8EB52A"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YouTube. (2017). </w:t>
      </w:r>
      <w:r w:rsidRPr="0022093D">
        <w:rPr>
          <w:rFonts w:ascii="Arial" w:hAnsi="Arial" w:cs="Arial"/>
          <w:i/>
          <w:iCs/>
          <w:color w:val="000000"/>
          <w:sz w:val="22"/>
          <w:szCs w:val="22"/>
          <w:lang w:eastAsia="en-GB"/>
        </w:rPr>
        <w:t xml:space="preserve">Life of a </w:t>
      </w:r>
      <w:proofErr w:type="gramStart"/>
      <w:r w:rsidRPr="0022093D">
        <w:rPr>
          <w:rFonts w:ascii="Arial" w:hAnsi="Arial" w:cs="Arial"/>
          <w:i/>
          <w:iCs/>
          <w:color w:val="000000"/>
          <w:sz w:val="22"/>
          <w:szCs w:val="22"/>
          <w:lang w:eastAsia="en-GB"/>
        </w:rPr>
        <w:t>9 Year Old</w:t>
      </w:r>
      <w:proofErr w:type="gramEnd"/>
      <w:r w:rsidRPr="0022093D">
        <w:rPr>
          <w:rFonts w:ascii="Arial" w:hAnsi="Arial" w:cs="Arial"/>
          <w:color w:val="000000"/>
          <w:sz w:val="22"/>
          <w:szCs w:val="22"/>
          <w:lang w:eastAsia="en-GB"/>
        </w:rPr>
        <w:t>. [online] Available at: https://www.youtube.com/channel/UCUJhwULgMdZ3XFSpNagVXAQ [Accessed 24 Nov. 2017].</w:t>
      </w:r>
    </w:p>
    <w:p w14:paraId="79C8C6D9"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Wakefield, J. (2017). </w:t>
      </w:r>
      <w:r w:rsidRPr="0022093D">
        <w:rPr>
          <w:rFonts w:ascii="Arial" w:hAnsi="Arial" w:cs="Arial"/>
          <w:i/>
          <w:iCs/>
          <w:color w:val="000000"/>
          <w:sz w:val="22"/>
          <w:szCs w:val="22"/>
          <w:lang w:eastAsia="en-GB"/>
        </w:rPr>
        <w:t>Children on screens six hours a day</w:t>
      </w:r>
      <w:r w:rsidRPr="0022093D">
        <w:rPr>
          <w:rFonts w:ascii="Arial" w:hAnsi="Arial" w:cs="Arial"/>
          <w:color w:val="000000"/>
          <w:sz w:val="22"/>
          <w:szCs w:val="22"/>
          <w:lang w:eastAsia="en-GB"/>
        </w:rPr>
        <w:t>. [online] BBC News. Available at: http://www.bbc.co.uk/news/technology-32067158 [Accessed 24 Nov. 2017].</w:t>
      </w:r>
    </w:p>
    <w:p w14:paraId="268174AF"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Pshe-association.org.uk. (2017). [online] Available at: https://www.pshe-association.org.uk/sites/default/files/PSHE%20Education%20Programme%20of%20Study%20%28Key%20stage%201-5%29%20Jan%202017_2.pdf [Accessed 24 Nov. 2017].</w:t>
      </w:r>
    </w:p>
    <w:p w14:paraId="4F662F2C"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Pshe-association.org.uk. (2017). </w:t>
      </w:r>
      <w:r w:rsidRPr="0022093D">
        <w:rPr>
          <w:rFonts w:ascii="Arial" w:hAnsi="Arial" w:cs="Arial"/>
          <w:i/>
          <w:iCs/>
          <w:color w:val="000000"/>
          <w:sz w:val="22"/>
          <w:szCs w:val="22"/>
          <w:lang w:eastAsia="en-GB"/>
        </w:rPr>
        <w:t>Programme of Study for PSHE Education (Key stages 1–5) | PSHE Association</w:t>
      </w:r>
      <w:r w:rsidRPr="0022093D">
        <w:rPr>
          <w:rFonts w:ascii="Arial" w:hAnsi="Arial" w:cs="Arial"/>
          <w:color w:val="000000"/>
          <w:sz w:val="22"/>
          <w:szCs w:val="22"/>
          <w:lang w:eastAsia="en-GB"/>
        </w:rPr>
        <w:t>. [online] Available at: https://www.pshe-association.org.uk/curriculum-and-resources/resources/programme-study-pshe-education-key-stages-1%E2%80%935 [Accessed 24 Nov. 2017].</w:t>
      </w:r>
    </w:p>
    <w:p w14:paraId="1E2C7D68" w14:textId="77777777" w:rsidR="0022093D" w:rsidRPr="0022093D" w:rsidRDefault="0022093D" w:rsidP="0022093D">
      <w:pPr>
        <w:numPr>
          <w:ilvl w:val="0"/>
          <w:numId w:val="1"/>
        </w:numPr>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Billingham, P. (2005). </w:t>
      </w:r>
      <w:r w:rsidRPr="0022093D">
        <w:rPr>
          <w:rFonts w:ascii="Arial" w:hAnsi="Arial" w:cs="Arial"/>
          <w:i/>
          <w:iCs/>
          <w:color w:val="000000"/>
          <w:sz w:val="22"/>
          <w:szCs w:val="22"/>
          <w:lang w:eastAsia="en-GB"/>
        </w:rPr>
        <w:t>Radical Initiatives in Interventionist and Community Drama</w:t>
      </w:r>
      <w:r w:rsidRPr="0022093D">
        <w:rPr>
          <w:rFonts w:ascii="Arial" w:hAnsi="Arial" w:cs="Arial"/>
          <w:color w:val="000000"/>
          <w:sz w:val="22"/>
          <w:szCs w:val="22"/>
          <w:lang w:eastAsia="en-GB"/>
        </w:rPr>
        <w:t>. Intellect. Bristol, UK. Page 45.</w:t>
      </w:r>
    </w:p>
    <w:p w14:paraId="2BD3D121"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Anderson, K. (2002). </w:t>
      </w:r>
      <w:r w:rsidRPr="0022093D">
        <w:rPr>
          <w:rFonts w:ascii="Arial" w:hAnsi="Arial" w:cs="Arial"/>
          <w:i/>
          <w:iCs/>
          <w:color w:val="000000"/>
          <w:sz w:val="22"/>
          <w:szCs w:val="22"/>
          <w:lang w:eastAsia="en-GB"/>
        </w:rPr>
        <w:t>Good Grief! Using the Grief Sheet to Improve Community Theatre Production</w:t>
      </w:r>
      <w:r w:rsidRPr="0022093D">
        <w:rPr>
          <w:rFonts w:ascii="Arial" w:hAnsi="Arial" w:cs="Arial"/>
          <w:color w:val="000000"/>
          <w:sz w:val="22"/>
          <w:szCs w:val="22"/>
          <w:lang w:eastAsia="en-GB"/>
        </w:rPr>
        <w:t>. New York: Writers Club Press.</w:t>
      </w:r>
    </w:p>
    <w:p w14:paraId="780AAA5D"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Barr, R. (2001). </w:t>
      </w:r>
      <w:r w:rsidRPr="0022093D">
        <w:rPr>
          <w:rFonts w:ascii="Arial" w:hAnsi="Arial" w:cs="Arial"/>
          <w:i/>
          <w:iCs/>
          <w:color w:val="000000"/>
          <w:sz w:val="22"/>
          <w:szCs w:val="22"/>
          <w:lang w:eastAsia="en-GB"/>
        </w:rPr>
        <w:t>Rooms with a view</w:t>
      </w:r>
      <w:r w:rsidRPr="0022093D">
        <w:rPr>
          <w:rFonts w:ascii="Arial" w:hAnsi="Arial" w:cs="Arial"/>
          <w:color w:val="000000"/>
          <w:sz w:val="22"/>
          <w:szCs w:val="22"/>
          <w:lang w:eastAsia="en-GB"/>
        </w:rPr>
        <w:t xml:space="preserve">. Ann </w:t>
      </w:r>
      <w:proofErr w:type="spellStart"/>
      <w:r w:rsidRPr="0022093D">
        <w:rPr>
          <w:rFonts w:ascii="Arial" w:hAnsi="Arial" w:cs="Arial"/>
          <w:color w:val="000000"/>
          <w:sz w:val="22"/>
          <w:szCs w:val="22"/>
          <w:lang w:eastAsia="en-GB"/>
        </w:rPr>
        <w:t>Arbor</w:t>
      </w:r>
      <w:proofErr w:type="spellEnd"/>
      <w:r w:rsidRPr="0022093D">
        <w:rPr>
          <w:rFonts w:ascii="Arial" w:hAnsi="Arial" w:cs="Arial"/>
          <w:color w:val="000000"/>
          <w:sz w:val="22"/>
          <w:szCs w:val="22"/>
          <w:lang w:eastAsia="en-GB"/>
        </w:rPr>
        <w:t>: University of Michigan Press.</w:t>
      </w:r>
    </w:p>
    <w:p w14:paraId="4C36A7A6"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Thewritersjourney.com. (2017). </w:t>
      </w:r>
      <w:r w:rsidRPr="0022093D">
        <w:rPr>
          <w:rFonts w:ascii="Arial" w:hAnsi="Arial" w:cs="Arial"/>
          <w:i/>
          <w:iCs/>
          <w:color w:val="000000"/>
          <w:sz w:val="22"/>
          <w:szCs w:val="22"/>
          <w:lang w:eastAsia="en-GB"/>
        </w:rPr>
        <w:t>hero's journey</w:t>
      </w:r>
      <w:r w:rsidRPr="0022093D">
        <w:rPr>
          <w:rFonts w:ascii="Arial" w:hAnsi="Arial" w:cs="Arial"/>
          <w:color w:val="000000"/>
          <w:sz w:val="22"/>
          <w:szCs w:val="22"/>
          <w:lang w:eastAsia="en-GB"/>
        </w:rPr>
        <w:t>. [online] Available at: http://www.thewritersjourney.com/hero's_journey.htm [Accessed 24 Nov. 2017].</w:t>
      </w:r>
    </w:p>
    <w:p w14:paraId="67CA5A80"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Growwilduk.com. (2017). </w:t>
      </w:r>
      <w:r w:rsidRPr="0022093D">
        <w:rPr>
          <w:rFonts w:ascii="Arial" w:hAnsi="Arial" w:cs="Arial"/>
          <w:i/>
          <w:iCs/>
          <w:color w:val="000000"/>
          <w:sz w:val="22"/>
          <w:szCs w:val="22"/>
          <w:lang w:eastAsia="en-GB"/>
        </w:rPr>
        <w:t>Everything you need to know about solitary bees | Grow Wild</w:t>
      </w:r>
      <w:r w:rsidRPr="0022093D">
        <w:rPr>
          <w:rFonts w:ascii="Arial" w:hAnsi="Arial" w:cs="Arial"/>
          <w:color w:val="000000"/>
          <w:sz w:val="22"/>
          <w:szCs w:val="22"/>
          <w:lang w:eastAsia="en-GB"/>
        </w:rPr>
        <w:t>. [online] Available at: https://www.growwilduk.com/content/everything-you-need-know-about-solitary-bees [Accessed 24 Nov. 2017].</w:t>
      </w:r>
    </w:p>
    <w:p w14:paraId="58FEE07A"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r w:rsidRPr="0022093D">
        <w:rPr>
          <w:rFonts w:ascii="Arial" w:hAnsi="Arial" w:cs="Arial"/>
          <w:color w:val="000000"/>
          <w:sz w:val="22"/>
          <w:szCs w:val="22"/>
          <w:lang w:eastAsia="en-GB"/>
        </w:rPr>
        <w:t xml:space="preserve">Trishnicholsonswordsinthetreehouse.com. (2017). </w:t>
      </w:r>
      <w:r w:rsidRPr="0022093D">
        <w:rPr>
          <w:rFonts w:ascii="Arial" w:hAnsi="Arial" w:cs="Arial"/>
          <w:i/>
          <w:iCs/>
          <w:color w:val="000000"/>
          <w:sz w:val="22"/>
          <w:szCs w:val="22"/>
          <w:lang w:eastAsia="en-GB"/>
        </w:rPr>
        <w:t xml:space="preserve">How the Brothers Grimm Came to Write Fairy Tales | Trish </w:t>
      </w:r>
      <w:proofErr w:type="spellStart"/>
      <w:r w:rsidRPr="0022093D">
        <w:rPr>
          <w:rFonts w:ascii="Arial" w:hAnsi="Arial" w:cs="Arial"/>
          <w:i/>
          <w:iCs/>
          <w:color w:val="000000"/>
          <w:sz w:val="22"/>
          <w:szCs w:val="22"/>
          <w:lang w:eastAsia="en-GB"/>
        </w:rPr>
        <w:t>Nicholsons</w:t>
      </w:r>
      <w:proofErr w:type="spellEnd"/>
      <w:r w:rsidRPr="0022093D">
        <w:rPr>
          <w:rFonts w:ascii="Arial" w:hAnsi="Arial" w:cs="Arial"/>
          <w:i/>
          <w:iCs/>
          <w:color w:val="000000"/>
          <w:sz w:val="22"/>
          <w:szCs w:val="22"/>
          <w:lang w:eastAsia="en-GB"/>
        </w:rPr>
        <w:t xml:space="preserve"> Words in the Treehouse</w:t>
      </w:r>
      <w:r w:rsidRPr="0022093D">
        <w:rPr>
          <w:rFonts w:ascii="Arial" w:hAnsi="Arial" w:cs="Arial"/>
          <w:color w:val="000000"/>
          <w:sz w:val="22"/>
          <w:szCs w:val="22"/>
          <w:lang w:eastAsia="en-GB"/>
        </w:rPr>
        <w:t>. [online] Available at: http://trishnicholsonswordsinthetreehouse.com/2012/02/24/how-the-brothers-grimm-came-to-write-fairy-tales/#.WhhCm1t-rIV [Accessed 24 Nov. 2017].</w:t>
      </w:r>
    </w:p>
    <w:p w14:paraId="44F68B73" w14:textId="77777777" w:rsidR="0022093D" w:rsidRPr="0022093D" w:rsidRDefault="0022093D" w:rsidP="0022093D">
      <w:pPr>
        <w:numPr>
          <w:ilvl w:val="0"/>
          <w:numId w:val="1"/>
        </w:numPr>
        <w:spacing w:after="200"/>
        <w:textAlignment w:val="baseline"/>
        <w:rPr>
          <w:rFonts w:ascii="Arial" w:hAnsi="Arial" w:cs="Arial"/>
          <w:color w:val="000000"/>
          <w:sz w:val="22"/>
          <w:szCs w:val="22"/>
          <w:lang w:eastAsia="en-GB"/>
        </w:rPr>
      </w:pPr>
      <w:proofErr w:type="spellStart"/>
      <w:r w:rsidRPr="0022093D">
        <w:rPr>
          <w:rFonts w:ascii="Arial" w:hAnsi="Arial" w:cs="Arial"/>
          <w:color w:val="000000"/>
          <w:sz w:val="22"/>
          <w:szCs w:val="22"/>
          <w:lang w:eastAsia="en-GB"/>
        </w:rPr>
        <w:t>Verywell</w:t>
      </w:r>
      <w:proofErr w:type="spellEnd"/>
      <w:r w:rsidRPr="0022093D">
        <w:rPr>
          <w:rFonts w:ascii="Arial" w:hAnsi="Arial" w:cs="Arial"/>
          <w:color w:val="000000"/>
          <w:sz w:val="22"/>
          <w:szCs w:val="22"/>
          <w:lang w:eastAsia="en-GB"/>
        </w:rPr>
        <w:t xml:space="preserve">. (2017). </w:t>
      </w:r>
      <w:r w:rsidRPr="0022093D">
        <w:rPr>
          <w:rFonts w:ascii="Arial" w:hAnsi="Arial" w:cs="Arial"/>
          <w:i/>
          <w:iCs/>
          <w:color w:val="000000"/>
          <w:sz w:val="22"/>
          <w:szCs w:val="22"/>
          <w:lang w:eastAsia="en-GB"/>
        </w:rPr>
        <w:t xml:space="preserve">5 Milestones to Expect </w:t>
      </w:r>
      <w:proofErr w:type="gramStart"/>
      <w:r w:rsidRPr="0022093D">
        <w:rPr>
          <w:rFonts w:ascii="Arial" w:hAnsi="Arial" w:cs="Arial"/>
          <w:i/>
          <w:iCs/>
          <w:color w:val="000000"/>
          <w:sz w:val="22"/>
          <w:szCs w:val="22"/>
          <w:lang w:eastAsia="en-GB"/>
        </w:rPr>
        <w:t>From</w:t>
      </w:r>
      <w:proofErr w:type="gramEnd"/>
      <w:r w:rsidRPr="0022093D">
        <w:rPr>
          <w:rFonts w:ascii="Arial" w:hAnsi="Arial" w:cs="Arial"/>
          <w:i/>
          <w:iCs/>
          <w:color w:val="000000"/>
          <w:sz w:val="22"/>
          <w:szCs w:val="22"/>
          <w:lang w:eastAsia="en-GB"/>
        </w:rPr>
        <w:t xml:space="preserve"> Your 9-Year-Old</w:t>
      </w:r>
      <w:r w:rsidRPr="0022093D">
        <w:rPr>
          <w:rFonts w:ascii="Arial" w:hAnsi="Arial" w:cs="Arial"/>
          <w:color w:val="000000"/>
          <w:sz w:val="22"/>
          <w:szCs w:val="22"/>
          <w:lang w:eastAsia="en-GB"/>
        </w:rPr>
        <w:t>. [online] Available at: https://www.verywell.com/child-development-nine-year-old-620731 [Accessed 24 Nov. 2017].</w:t>
      </w:r>
    </w:p>
    <w:p w14:paraId="4150A088" w14:textId="77777777" w:rsidR="000A3FCA" w:rsidRDefault="004C1DC5"/>
    <w:sectPr w:rsidR="000A3FCA" w:rsidSect="009E51FB">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B86BC" w14:textId="77777777" w:rsidR="004C1DC5" w:rsidRDefault="004C1DC5" w:rsidP="0022093D">
      <w:r>
        <w:separator/>
      </w:r>
    </w:p>
  </w:endnote>
  <w:endnote w:type="continuationSeparator" w:id="0">
    <w:p w14:paraId="577CD8DB" w14:textId="77777777" w:rsidR="004C1DC5" w:rsidRDefault="004C1DC5" w:rsidP="00220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BFB62" w14:textId="77777777" w:rsidR="0022093D" w:rsidRDefault="0022093D">
    <w:pPr>
      <w:pStyle w:val="Footer"/>
    </w:pPr>
    <w:r>
      <w:t>Carian Roberts</w:t>
    </w:r>
  </w:p>
  <w:p w14:paraId="5777A9DE" w14:textId="77777777" w:rsidR="0022093D" w:rsidRDefault="0022093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671D7" w14:textId="77777777" w:rsidR="004C1DC5" w:rsidRDefault="004C1DC5" w:rsidP="0022093D">
      <w:r>
        <w:separator/>
      </w:r>
    </w:p>
  </w:footnote>
  <w:footnote w:type="continuationSeparator" w:id="0">
    <w:p w14:paraId="1A17BB54" w14:textId="77777777" w:rsidR="004C1DC5" w:rsidRDefault="004C1DC5" w:rsidP="002209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0271FD"/>
    <w:multiLevelType w:val="multilevel"/>
    <w:tmpl w:val="9524E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93D"/>
    <w:rsid w:val="0022093D"/>
    <w:rsid w:val="00332471"/>
    <w:rsid w:val="004C1DC5"/>
    <w:rsid w:val="009E51F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3F5CFE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93D"/>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22093D"/>
    <w:pPr>
      <w:tabs>
        <w:tab w:val="center" w:pos="4513"/>
        <w:tab w:val="right" w:pos="9026"/>
      </w:tabs>
    </w:pPr>
  </w:style>
  <w:style w:type="character" w:customStyle="1" w:styleId="HeaderChar">
    <w:name w:val="Header Char"/>
    <w:basedOn w:val="DefaultParagraphFont"/>
    <w:link w:val="Header"/>
    <w:uiPriority w:val="99"/>
    <w:rsid w:val="0022093D"/>
  </w:style>
  <w:style w:type="paragraph" w:styleId="Footer">
    <w:name w:val="footer"/>
    <w:basedOn w:val="Normal"/>
    <w:link w:val="FooterChar"/>
    <w:uiPriority w:val="99"/>
    <w:unhideWhenUsed/>
    <w:rsid w:val="0022093D"/>
    <w:pPr>
      <w:tabs>
        <w:tab w:val="center" w:pos="4513"/>
        <w:tab w:val="right" w:pos="9026"/>
      </w:tabs>
    </w:pPr>
  </w:style>
  <w:style w:type="character" w:customStyle="1" w:styleId="FooterChar">
    <w:name w:val="Footer Char"/>
    <w:basedOn w:val="DefaultParagraphFont"/>
    <w:link w:val="Footer"/>
    <w:uiPriority w:val="99"/>
    <w:rsid w:val="00220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7469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864</Words>
  <Characters>4930</Characters>
  <Application>Microsoft Macintosh Word</Application>
  <DocSecurity>0</DocSecurity>
  <Lines>41</Lines>
  <Paragraphs>11</Paragraphs>
  <ScaleCrop>false</ScaleCrop>
  <LinksUpToDate>false</LinksUpToDate>
  <CharactersWithSpaces>5783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Llewelyn (1401135)</dc:creator>
  <cp:keywords/>
  <dc:description/>
  <cp:lastModifiedBy>Rhys Llewelyn (1401135)</cp:lastModifiedBy>
  <cp:revision>1</cp:revision>
  <dcterms:created xsi:type="dcterms:W3CDTF">2017-11-24T16:11:00Z</dcterms:created>
  <dcterms:modified xsi:type="dcterms:W3CDTF">2017-11-24T16:13:00Z</dcterms:modified>
</cp:coreProperties>
</file>