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A4DCA" w14:textId="77777777" w:rsidR="002246A5" w:rsidRPr="007C28EC" w:rsidRDefault="002246A5" w:rsidP="002246A5">
      <w:pPr>
        <w:widowControl w:val="0"/>
        <w:pBdr>
          <w:top w:val="nil"/>
          <w:left w:val="nil"/>
          <w:bottom w:val="nil"/>
          <w:right w:val="nil"/>
          <w:between w:val="nil"/>
        </w:pBdr>
        <w:spacing w:after="0" w:line="276" w:lineRule="auto"/>
        <w:jc w:val="both"/>
        <w:rPr>
          <w:rFonts w:ascii="Arial" w:eastAsia="Times New Roman" w:hAnsi="Arial" w:cs="Arial"/>
          <w:sz w:val="24"/>
          <w:szCs w:val="24"/>
          <w:lang w:eastAsia="en-GB"/>
        </w:rPr>
      </w:pPr>
    </w:p>
    <w:p w14:paraId="1916FFA6" w14:textId="77777777" w:rsidR="002246A5" w:rsidRPr="007C28EC" w:rsidRDefault="002246A5" w:rsidP="002246A5">
      <w:pPr>
        <w:jc w:val="center"/>
        <w:rPr>
          <w:rFonts w:ascii="Arial" w:eastAsia="Times New Roman" w:hAnsi="Arial" w:cs="Arial"/>
          <w:sz w:val="24"/>
          <w:szCs w:val="24"/>
          <w:lang w:eastAsia="en-GB"/>
        </w:rPr>
      </w:pPr>
      <w:r w:rsidRPr="007C28EC">
        <w:rPr>
          <w:rFonts w:ascii="Arial" w:eastAsia="Times New Roman" w:hAnsi="Arial" w:cs="Arial"/>
          <w:noProof/>
          <w:sz w:val="24"/>
          <w:szCs w:val="24"/>
          <w:lang w:val="en-US"/>
        </w:rPr>
        <w:drawing>
          <wp:inline distT="114300" distB="114300" distL="114300" distR="114300" wp14:anchorId="4F7467B2" wp14:editId="3FBAF254">
            <wp:extent cx="3289300" cy="1877060"/>
            <wp:effectExtent l="0" t="0" r="6350" b="889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89941" cy="1877426"/>
                    </a:xfrm>
                    <a:prstGeom prst="rect">
                      <a:avLst/>
                    </a:prstGeom>
                    <a:ln/>
                  </pic:spPr>
                </pic:pic>
              </a:graphicData>
            </a:graphic>
          </wp:inline>
        </w:drawing>
      </w:r>
    </w:p>
    <w:p w14:paraId="225A3ECD" w14:textId="77777777" w:rsidR="002246A5" w:rsidRPr="007C28EC" w:rsidRDefault="007C28EC" w:rsidP="002246A5">
      <w:pPr>
        <w:widowControl w:val="0"/>
        <w:spacing w:after="0" w:line="360" w:lineRule="auto"/>
        <w:jc w:val="center"/>
        <w:rPr>
          <w:rFonts w:ascii="Arial" w:eastAsia="Times New Roman" w:hAnsi="Arial" w:cs="Arial"/>
          <w:b/>
          <w:sz w:val="24"/>
          <w:szCs w:val="24"/>
          <w:lang w:eastAsia="en-GB"/>
        </w:rPr>
      </w:pPr>
      <w:r w:rsidRPr="007C28EC">
        <w:rPr>
          <w:rFonts w:ascii="Arial" w:eastAsia="Times New Roman" w:hAnsi="Arial" w:cs="Arial"/>
          <w:b/>
          <w:sz w:val="24"/>
          <w:szCs w:val="24"/>
          <w:lang w:eastAsia="en-GB"/>
        </w:rPr>
        <w:t>Student N</w:t>
      </w:r>
      <w:r w:rsidR="002246A5" w:rsidRPr="007C28EC">
        <w:rPr>
          <w:rFonts w:ascii="Arial" w:eastAsia="Times New Roman" w:hAnsi="Arial" w:cs="Arial"/>
          <w:b/>
          <w:sz w:val="24"/>
          <w:szCs w:val="24"/>
          <w:lang w:eastAsia="en-GB"/>
        </w:rPr>
        <w:t xml:space="preserve">ame: </w:t>
      </w:r>
      <w:r w:rsidRPr="007C28EC">
        <w:rPr>
          <w:rFonts w:ascii="Arial" w:eastAsia="Times New Roman" w:hAnsi="Arial" w:cs="Arial"/>
          <w:b/>
          <w:sz w:val="24"/>
          <w:szCs w:val="24"/>
          <w:lang w:eastAsia="en-GB"/>
        </w:rPr>
        <w:t xml:space="preserve">Sultana </w:t>
      </w:r>
      <w:proofErr w:type="spellStart"/>
      <w:r w:rsidRPr="007C28EC">
        <w:rPr>
          <w:rFonts w:ascii="Arial" w:eastAsia="Times New Roman" w:hAnsi="Arial" w:cs="Arial"/>
          <w:b/>
          <w:sz w:val="24"/>
          <w:szCs w:val="24"/>
          <w:lang w:eastAsia="en-GB"/>
        </w:rPr>
        <w:t>Akter</w:t>
      </w:r>
      <w:proofErr w:type="spellEnd"/>
    </w:p>
    <w:p w14:paraId="7B27FA7D" w14:textId="6CB325AE" w:rsidR="002246A5" w:rsidRPr="007C28EC" w:rsidRDefault="002246A5" w:rsidP="002246A5">
      <w:pPr>
        <w:widowControl w:val="0"/>
        <w:spacing w:after="0" w:line="360" w:lineRule="auto"/>
        <w:jc w:val="center"/>
        <w:rPr>
          <w:rFonts w:ascii="Arial" w:eastAsia="Times New Roman" w:hAnsi="Arial" w:cs="Arial"/>
          <w:b/>
          <w:sz w:val="24"/>
          <w:szCs w:val="24"/>
          <w:lang w:eastAsia="en-GB"/>
        </w:rPr>
      </w:pPr>
      <w:r w:rsidRPr="007C28EC">
        <w:rPr>
          <w:rFonts w:ascii="Arial" w:eastAsia="Times New Roman" w:hAnsi="Arial" w:cs="Arial"/>
          <w:b/>
          <w:sz w:val="24"/>
          <w:szCs w:val="24"/>
          <w:lang w:eastAsia="en-GB"/>
        </w:rPr>
        <w:t xml:space="preserve">Student ID: </w:t>
      </w:r>
      <w:r w:rsidR="007C28EC" w:rsidRPr="007C28EC">
        <w:rPr>
          <w:rFonts w:ascii="Arial" w:eastAsia="Times New Roman" w:hAnsi="Arial" w:cs="Arial"/>
          <w:b/>
          <w:sz w:val="24"/>
          <w:szCs w:val="24"/>
          <w:lang w:eastAsia="en-GB"/>
        </w:rPr>
        <w:t>2</w:t>
      </w:r>
      <w:r w:rsidR="00693ABB">
        <w:rPr>
          <w:rFonts w:ascii="Arial" w:eastAsia="Times New Roman" w:hAnsi="Arial" w:cs="Arial"/>
          <w:b/>
          <w:sz w:val="24"/>
          <w:szCs w:val="24"/>
          <w:lang w:eastAsia="en-GB"/>
        </w:rPr>
        <w:t>4</w:t>
      </w:r>
      <w:r w:rsidR="007C28EC" w:rsidRPr="007C28EC">
        <w:rPr>
          <w:rFonts w:ascii="Arial" w:eastAsia="Times New Roman" w:hAnsi="Arial" w:cs="Arial"/>
          <w:b/>
          <w:sz w:val="24"/>
          <w:szCs w:val="24"/>
          <w:lang w:eastAsia="en-GB"/>
        </w:rPr>
        <w:t>22835</w:t>
      </w:r>
    </w:p>
    <w:p w14:paraId="47C17A35" w14:textId="62A49824" w:rsidR="002246A5" w:rsidRPr="007C28EC" w:rsidRDefault="002246A5" w:rsidP="002246A5">
      <w:pPr>
        <w:widowControl w:val="0"/>
        <w:spacing w:after="0" w:line="360" w:lineRule="auto"/>
        <w:jc w:val="center"/>
        <w:rPr>
          <w:rFonts w:ascii="Arial" w:eastAsia="Times New Roman" w:hAnsi="Arial" w:cs="Arial"/>
          <w:b/>
          <w:sz w:val="24"/>
          <w:szCs w:val="24"/>
          <w:lang w:eastAsia="en-GB"/>
        </w:rPr>
      </w:pPr>
      <w:r w:rsidRPr="007C28EC">
        <w:rPr>
          <w:rFonts w:ascii="Arial" w:eastAsia="Times New Roman" w:hAnsi="Arial" w:cs="Arial"/>
          <w:b/>
          <w:sz w:val="24"/>
          <w:szCs w:val="24"/>
          <w:lang w:eastAsia="en-GB"/>
        </w:rPr>
        <w:t>Programme:</w:t>
      </w:r>
      <w:r w:rsidR="00693ABB">
        <w:rPr>
          <w:rFonts w:ascii="Arial" w:eastAsia="Times New Roman" w:hAnsi="Arial" w:cs="Arial"/>
          <w:b/>
          <w:sz w:val="24"/>
          <w:szCs w:val="24"/>
          <w:lang w:eastAsia="en-GB"/>
        </w:rPr>
        <w:t xml:space="preserve"> MBA International Business </w:t>
      </w:r>
    </w:p>
    <w:p w14:paraId="647A1333" w14:textId="77777777" w:rsidR="002246A5" w:rsidRPr="007C28EC" w:rsidRDefault="002246A5" w:rsidP="002246A5">
      <w:pPr>
        <w:widowControl w:val="0"/>
        <w:spacing w:after="0" w:line="360" w:lineRule="auto"/>
        <w:jc w:val="center"/>
        <w:rPr>
          <w:rFonts w:ascii="Arial" w:eastAsia="Times New Roman" w:hAnsi="Arial" w:cs="Arial"/>
          <w:b/>
          <w:sz w:val="24"/>
          <w:szCs w:val="24"/>
          <w:lang w:eastAsia="en-GB"/>
        </w:rPr>
      </w:pPr>
      <w:r w:rsidRPr="007C28EC">
        <w:rPr>
          <w:rFonts w:ascii="Arial" w:eastAsia="Times New Roman" w:hAnsi="Arial" w:cs="Arial"/>
          <w:b/>
          <w:sz w:val="24"/>
          <w:szCs w:val="24"/>
          <w:lang w:eastAsia="en-GB"/>
        </w:rPr>
        <w:t>Module &amp; Code: Financial Management</w:t>
      </w:r>
      <w:r w:rsidR="007C28EC" w:rsidRPr="007C28EC">
        <w:rPr>
          <w:rFonts w:ascii="Arial" w:eastAsia="Times New Roman" w:hAnsi="Arial" w:cs="Arial"/>
          <w:b/>
          <w:sz w:val="24"/>
          <w:szCs w:val="24"/>
          <w:lang w:eastAsia="en-GB"/>
        </w:rPr>
        <w:t xml:space="preserve"> </w:t>
      </w:r>
      <w:r w:rsidRPr="007C28EC">
        <w:rPr>
          <w:rFonts w:ascii="Arial" w:eastAsia="Times New Roman" w:hAnsi="Arial" w:cs="Arial"/>
          <w:b/>
          <w:sz w:val="24"/>
          <w:szCs w:val="24"/>
          <w:lang w:eastAsia="en-GB"/>
        </w:rPr>
        <w:t>(LCMB7002)</w:t>
      </w:r>
    </w:p>
    <w:p w14:paraId="3A3F8476" w14:textId="77777777" w:rsidR="002246A5" w:rsidRDefault="005E4003" w:rsidP="002246A5">
      <w:pPr>
        <w:widowControl w:val="0"/>
        <w:spacing w:after="0" w:line="360" w:lineRule="auto"/>
        <w:jc w:val="center"/>
        <w:rPr>
          <w:rFonts w:ascii="Arial" w:eastAsia="Times New Roman" w:hAnsi="Arial" w:cs="Arial"/>
          <w:b/>
          <w:sz w:val="24"/>
          <w:szCs w:val="24"/>
          <w:lang w:eastAsia="en-GB"/>
        </w:rPr>
      </w:pPr>
      <w:r w:rsidRPr="007C28EC">
        <w:rPr>
          <w:rFonts w:ascii="Arial" w:eastAsia="Times New Roman" w:hAnsi="Arial" w:cs="Arial"/>
          <w:b/>
          <w:sz w:val="24"/>
          <w:szCs w:val="24"/>
          <w:lang w:eastAsia="en-GB"/>
        </w:rPr>
        <w:t xml:space="preserve">Word: </w:t>
      </w:r>
      <w:r w:rsidR="00705CC4" w:rsidRPr="007C28EC">
        <w:rPr>
          <w:rFonts w:ascii="Arial" w:eastAsia="Times New Roman" w:hAnsi="Arial" w:cs="Arial"/>
          <w:b/>
          <w:sz w:val="24"/>
          <w:szCs w:val="24"/>
          <w:lang w:eastAsia="en-GB"/>
        </w:rPr>
        <w:t>5</w:t>
      </w:r>
      <w:r w:rsidR="00E2376A">
        <w:rPr>
          <w:rFonts w:ascii="Arial" w:eastAsia="Times New Roman" w:hAnsi="Arial" w:cs="Arial"/>
          <w:b/>
          <w:sz w:val="24"/>
          <w:szCs w:val="24"/>
          <w:lang w:eastAsia="en-GB"/>
        </w:rPr>
        <w:t>482</w:t>
      </w:r>
    </w:p>
    <w:p w14:paraId="31C98327" w14:textId="77777777" w:rsidR="00E2376A" w:rsidRDefault="00E2376A" w:rsidP="00E2376A">
      <w:pPr>
        <w:spacing w:line="360" w:lineRule="auto"/>
        <w:jc w:val="center"/>
        <w:rPr>
          <w:rFonts w:ascii="Arial" w:hAnsi="Arial" w:cs="Arial"/>
          <w:b/>
          <w:bCs/>
          <w:sz w:val="24"/>
          <w:szCs w:val="24"/>
        </w:rPr>
      </w:pPr>
      <w:r w:rsidRPr="00DA3E20">
        <w:rPr>
          <w:rFonts w:ascii="Arial" w:hAnsi="Arial" w:cs="Arial"/>
          <w:b/>
          <w:bCs/>
          <w:sz w:val="24"/>
          <w:szCs w:val="24"/>
        </w:rPr>
        <w:t xml:space="preserve">Lecturer: Md </w:t>
      </w:r>
      <w:proofErr w:type="spellStart"/>
      <w:r w:rsidRPr="00DA3E20">
        <w:rPr>
          <w:rFonts w:ascii="Arial" w:hAnsi="Arial" w:cs="Arial"/>
          <w:b/>
          <w:bCs/>
          <w:sz w:val="24"/>
          <w:szCs w:val="24"/>
        </w:rPr>
        <w:t>Kalam</w:t>
      </w:r>
      <w:proofErr w:type="spellEnd"/>
    </w:p>
    <w:p w14:paraId="1AB9324E" w14:textId="77777777" w:rsidR="00E2376A" w:rsidRPr="00DA3E20" w:rsidRDefault="00E2376A" w:rsidP="00E2376A">
      <w:pPr>
        <w:spacing w:line="360" w:lineRule="auto"/>
        <w:jc w:val="center"/>
        <w:rPr>
          <w:rFonts w:ascii="Arial" w:hAnsi="Arial" w:cs="Arial"/>
          <w:b/>
          <w:bCs/>
          <w:sz w:val="24"/>
          <w:szCs w:val="24"/>
        </w:rPr>
      </w:pPr>
      <w:r w:rsidRPr="00DA3E20">
        <w:rPr>
          <w:rFonts w:ascii="Arial" w:hAnsi="Arial" w:cs="Arial"/>
          <w:b/>
          <w:bCs/>
          <w:sz w:val="24"/>
          <w:szCs w:val="24"/>
        </w:rPr>
        <w:t xml:space="preserve">Submission Deadline: </w:t>
      </w:r>
      <w:r w:rsidRPr="00DA3E20">
        <w:rPr>
          <w:rFonts w:ascii="Arial" w:hAnsi="Arial" w:cs="Arial"/>
          <w:b/>
          <w:sz w:val="24"/>
          <w:szCs w:val="28"/>
        </w:rPr>
        <w:t>22</w:t>
      </w:r>
      <w:r w:rsidRPr="00DA3E20">
        <w:rPr>
          <w:rFonts w:ascii="Arial" w:hAnsi="Arial" w:cs="Arial"/>
          <w:b/>
          <w:sz w:val="24"/>
          <w:szCs w:val="28"/>
          <w:vertAlign w:val="superscript"/>
        </w:rPr>
        <w:t>nd</w:t>
      </w:r>
      <w:r w:rsidRPr="00DA3E20">
        <w:rPr>
          <w:rFonts w:ascii="Arial" w:hAnsi="Arial" w:cs="Arial"/>
          <w:b/>
          <w:sz w:val="24"/>
          <w:szCs w:val="28"/>
        </w:rPr>
        <w:t xml:space="preserve"> December 2025</w:t>
      </w:r>
    </w:p>
    <w:p w14:paraId="4DCBAA95" w14:textId="77777777" w:rsidR="00E2376A" w:rsidRPr="007C28EC" w:rsidRDefault="00E2376A" w:rsidP="002246A5">
      <w:pPr>
        <w:widowControl w:val="0"/>
        <w:spacing w:after="0" w:line="360" w:lineRule="auto"/>
        <w:jc w:val="center"/>
        <w:rPr>
          <w:rFonts w:ascii="Arial" w:eastAsia="Times New Roman" w:hAnsi="Arial" w:cs="Arial"/>
          <w:b/>
          <w:sz w:val="24"/>
          <w:szCs w:val="24"/>
          <w:lang w:eastAsia="en-GB"/>
        </w:rPr>
      </w:pPr>
    </w:p>
    <w:p w14:paraId="195C0493" w14:textId="77777777" w:rsidR="002246A5" w:rsidRPr="007C28EC" w:rsidRDefault="002246A5" w:rsidP="002246A5">
      <w:pPr>
        <w:rPr>
          <w:rFonts w:ascii="Arial" w:eastAsia="Times New Roman" w:hAnsi="Arial" w:cs="Arial"/>
          <w:b/>
          <w:sz w:val="24"/>
          <w:szCs w:val="24"/>
          <w:lang w:eastAsia="en-GB"/>
        </w:rPr>
      </w:pPr>
    </w:p>
    <w:p w14:paraId="7A284B33" w14:textId="77777777" w:rsidR="002246A5" w:rsidRPr="007C28EC" w:rsidRDefault="002246A5" w:rsidP="002246A5">
      <w:pPr>
        <w:jc w:val="center"/>
        <w:rPr>
          <w:rFonts w:ascii="Arial" w:eastAsia="Times New Roman" w:hAnsi="Arial" w:cs="Arial"/>
          <w:b/>
          <w:sz w:val="24"/>
          <w:szCs w:val="24"/>
          <w:lang w:eastAsia="en-GB"/>
        </w:rPr>
      </w:pPr>
    </w:p>
    <w:p w14:paraId="76D9CE86" w14:textId="77777777" w:rsidR="002246A5" w:rsidRPr="007C28EC" w:rsidRDefault="002246A5" w:rsidP="002246A5">
      <w:pPr>
        <w:jc w:val="center"/>
        <w:rPr>
          <w:rFonts w:ascii="Arial" w:eastAsia="Times New Roman" w:hAnsi="Arial" w:cs="Arial"/>
          <w:b/>
          <w:sz w:val="24"/>
          <w:szCs w:val="24"/>
          <w:lang w:eastAsia="en-GB"/>
        </w:rPr>
      </w:pPr>
    </w:p>
    <w:p w14:paraId="1CD4D335" w14:textId="77777777" w:rsidR="002246A5" w:rsidRPr="007C28EC" w:rsidRDefault="002246A5" w:rsidP="002246A5">
      <w:pPr>
        <w:jc w:val="center"/>
        <w:rPr>
          <w:rFonts w:ascii="Arial" w:eastAsia="Times New Roman" w:hAnsi="Arial" w:cs="Arial"/>
          <w:b/>
          <w:sz w:val="24"/>
          <w:szCs w:val="24"/>
          <w:lang w:eastAsia="en-GB"/>
        </w:rPr>
      </w:pPr>
    </w:p>
    <w:p w14:paraId="2BB75AB8" w14:textId="77777777" w:rsidR="002246A5" w:rsidRPr="007C28EC" w:rsidRDefault="002246A5" w:rsidP="002246A5">
      <w:pPr>
        <w:spacing w:line="360" w:lineRule="auto"/>
        <w:jc w:val="both"/>
        <w:rPr>
          <w:rFonts w:ascii="Arial" w:eastAsia="Times New Roman" w:hAnsi="Arial" w:cs="Arial"/>
          <w:sz w:val="24"/>
          <w:szCs w:val="24"/>
          <w:lang w:eastAsia="en-GB"/>
        </w:rPr>
      </w:pPr>
    </w:p>
    <w:p w14:paraId="341FFCBE" w14:textId="77777777" w:rsidR="002246A5" w:rsidRPr="007C28EC" w:rsidRDefault="002246A5" w:rsidP="002246A5">
      <w:pPr>
        <w:spacing w:line="360" w:lineRule="auto"/>
        <w:jc w:val="both"/>
        <w:rPr>
          <w:rFonts w:ascii="Arial" w:eastAsia="Times New Roman" w:hAnsi="Arial" w:cs="Arial"/>
          <w:sz w:val="24"/>
          <w:szCs w:val="24"/>
          <w:lang w:eastAsia="en-GB"/>
        </w:rPr>
      </w:pPr>
    </w:p>
    <w:p w14:paraId="4A2FCBD5" w14:textId="77777777" w:rsidR="002246A5" w:rsidRPr="007C28EC" w:rsidRDefault="002246A5" w:rsidP="002246A5">
      <w:pPr>
        <w:spacing w:line="360" w:lineRule="auto"/>
        <w:jc w:val="both"/>
        <w:rPr>
          <w:rFonts w:ascii="Arial" w:eastAsia="Times New Roman" w:hAnsi="Arial" w:cs="Arial"/>
          <w:sz w:val="24"/>
          <w:szCs w:val="24"/>
          <w:lang w:eastAsia="en-GB"/>
        </w:rPr>
      </w:pPr>
    </w:p>
    <w:p w14:paraId="26AB76CF" w14:textId="77777777" w:rsidR="002246A5" w:rsidRPr="007C28EC" w:rsidRDefault="002246A5" w:rsidP="002246A5">
      <w:pPr>
        <w:spacing w:line="360" w:lineRule="auto"/>
        <w:jc w:val="both"/>
        <w:rPr>
          <w:rFonts w:ascii="Arial" w:eastAsia="Times New Roman" w:hAnsi="Arial" w:cs="Arial"/>
          <w:sz w:val="24"/>
          <w:szCs w:val="24"/>
          <w:lang w:eastAsia="en-GB"/>
        </w:rPr>
      </w:pPr>
    </w:p>
    <w:p w14:paraId="1AF9A12B" w14:textId="77777777" w:rsidR="002246A5" w:rsidRPr="007C28EC" w:rsidRDefault="002246A5" w:rsidP="002246A5">
      <w:pPr>
        <w:spacing w:line="360" w:lineRule="auto"/>
        <w:jc w:val="both"/>
        <w:rPr>
          <w:rFonts w:ascii="Arial" w:eastAsia="Times New Roman" w:hAnsi="Arial" w:cs="Arial"/>
          <w:sz w:val="24"/>
          <w:szCs w:val="24"/>
          <w:lang w:eastAsia="en-GB"/>
        </w:rPr>
      </w:pPr>
    </w:p>
    <w:p w14:paraId="75A8AA69" w14:textId="77777777" w:rsidR="002246A5" w:rsidRPr="007C28EC" w:rsidRDefault="002246A5" w:rsidP="002246A5">
      <w:pPr>
        <w:spacing w:line="360" w:lineRule="auto"/>
        <w:jc w:val="both"/>
        <w:rPr>
          <w:rFonts w:ascii="Arial" w:eastAsia="Times New Roman" w:hAnsi="Arial" w:cs="Arial"/>
          <w:sz w:val="24"/>
          <w:szCs w:val="24"/>
          <w:lang w:eastAsia="en-GB"/>
        </w:rPr>
      </w:pPr>
    </w:p>
    <w:p w14:paraId="629E7C66" w14:textId="77777777" w:rsidR="002246A5" w:rsidRPr="007C28EC" w:rsidRDefault="002246A5" w:rsidP="002246A5">
      <w:pPr>
        <w:spacing w:line="360" w:lineRule="auto"/>
        <w:jc w:val="both"/>
        <w:rPr>
          <w:rFonts w:ascii="Arial" w:eastAsia="Times New Roman" w:hAnsi="Arial" w:cs="Arial"/>
          <w:sz w:val="24"/>
          <w:szCs w:val="24"/>
          <w:lang w:eastAsia="en-GB"/>
        </w:rPr>
      </w:pPr>
    </w:p>
    <w:sdt>
      <w:sdtPr>
        <w:rPr>
          <w:rFonts w:ascii="Arial" w:hAnsi="Arial" w:cs="Arial"/>
        </w:rPr>
        <w:id w:val="-1201780123"/>
        <w:docPartObj>
          <w:docPartGallery w:val="Table of Contents"/>
          <w:docPartUnique/>
        </w:docPartObj>
      </w:sdtPr>
      <w:sdtEndPr>
        <w:rPr>
          <w:b/>
          <w:bCs/>
          <w:noProof/>
          <w:sz w:val="24"/>
          <w:szCs w:val="24"/>
        </w:rPr>
      </w:sdtEndPr>
      <w:sdtContent>
        <w:p w14:paraId="75173170" w14:textId="77777777" w:rsidR="002246A5" w:rsidRPr="007C28EC" w:rsidRDefault="002246A5" w:rsidP="007C28EC">
          <w:pPr>
            <w:keepNext/>
            <w:keepLines/>
            <w:spacing w:before="240"/>
            <w:jc w:val="center"/>
            <w:rPr>
              <w:rFonts w:ascii="Arial" w:eastAsiaTheme="majorEastAsia" w:hAnsi="Arial" w:cs="Arial"/>
              <w:sz w:val="32"/>
              <w:szCs w:val="32"/>
              <w:lang w:val="en-US"/>
            </w:rPr>
          </w:pPr>
          <w:r w:rsidRPr="007C28EC">
            <w:rPr>
              <w:rFonts w:ascii="Arial" w:eastAsiaTheme="majorEastAsia" w:hAnsi="Arial" w:cs="Arial"/>
              <w:sz w:val="32"/>
              <w:szCs w:val="32"/>
              <w:lang w:val="en-US"/>
            </w:rPr>
            <w:t>Contents</w:t>
          </w:r>
        </w:p>
        <w:p w14:paraId="15D09478" w14:textId="77777777" w:rsidR="001B45A1" w:rsidRPr="001B45A1" w:rsidRDefault="002246A5">
          <w:pPr>
            <w:pStyle w:val="TOC1"/>
            <w:tabs>
              <w:tab w:val="right" w:leader="dot" w:pos="9350"/>
            </w:tabs>
            <w:rPr>
              <w:rFonts w:ascii="Arial" w:eastAsiaTheme="minorEastAsia" w:hAnsi="Arial" w:cs="Arial"/>
              <w:noProof/>
              <w:sz w:val="24"/>
              <w:szCs w:val="24"/>
              <w:lang w:val="en-US"/>
            </w:rPr>
          </w:pPr>
          <w:r w:rsidRPr="00E2376A">
            <w:rPr>
              <w:rFonts w:ascii="Arial" w:hAnsi="Arial" w:cs="Arial"/>
              <w:sz w:val="24"/>
              <w:szCs w:val="24"/>
            </w:rPr>
            <w:fldChar w:fldCharType="begin"/>
          </w:r>
          <w:r w:rsidRPr="00E2376A">
            <w:rPr>
              <w:rFonts w:ascii="Arial" w:hAnsi="Arial" w:cs="Arial"/>
              <w:sz w:val="24"/>
              <w:szCs w:val="24"/>
            </w:rPr>
            <w:instrText xml:space="preserve"> TOC \o "1-3" \h \z \u </w:instrText>
          </w:r>
          <w:r w:rsidRPr="00E2376A">
            <w:rPr>
              <w:rFonts w:ascii="Arial" w:hAnsi="Arial" w:cs="Arial"/>
              <w:sz w:val="24"/>
              <w:szCs w:val="24"/>
            </w:rPr>
            <w:fldChar w:fldCharType="separate"/>
          </w:r>
          <w:hyperlink w:anchor="_Toc217195846" w:history="1">
            <w:r w:rsidR="001B45A1" w:rsidRPr="001B45A1">
              <w:rPr>
                <w:rStyle w:val="Hyperlink"/>
                <w:rFonts w:ascii="Arial" w:hAnsi="Arial" w:cs="Arial"/>
                <w:noProof/>
                <w:sz w:val="24"/>
                <w:szCs w:val="24"/>
              </w:rPr>
              <w:t>Introduction</w:t>
            </w:r>
            <w:r w:rsidR="001B45A1" w:rsidRPr="001B45A1">
              <w:rPr>
                <w:rFonts w:ascii="Arial" w:hAnsi="Arial" w:cs="Arial"/>
                <w:noProof/>
                <w:webHidden/>
                <w:sz w:val="24"/>
                <w:szCs w:val="24"/>
              </w:rPr>
              <w:tab/>
            </w:r>
            <w:r w:rsidR="001B45A1" w:rsidRPr="001B45A1">
              <w:rPr>
                <w:rFonts w:ascii="Arial" w:hAnsi="Arial" w:cs="Arial"/>
                <w:noProof/>
                <w:webHidden/>
                <w:sz w:val="24"/>
                <w:szCs w:val="24"/>
              </w:rPr>
              <w:fldChar w:fldCharType="begin"/>
            </w:r>
            <w:r w:rsidR="001B45A1" w:rsidRPr="001B45A1">
              <w:rPr>
                <w:rFonts w:ascii="Arial" w:hAnsi="Arial" w:cs="Arial"/>
                <w:noProof/>
                <w:webHidden/>
                <w:sz w:val="24"/>
                <w:szCs w:val="24"/>
              </w:rPr>
              <w:instrText xml:space="preserve"> PAGEREF _Toc217195846 \h </w:instrText>
            </w:r>
            <w:r w:rsidR="001B45A1" w:rsidRPr="001B45A1">
              <w:rPr>
                <w:rFonts w:ascii="Arial" w:hAnsi="Arial" w:cs="Arial"/>
                <w:noProof/>
                <w:webHidden/>
                <w:sz w:val="24"/>
                <w:szCs w:val="24"/>
              </w:rPr>
            </w:r>
            <w:r w:rsidR="001B45A1" w:rsidRPr="001B45A1">
              <w:rPr>
                <w:rFonts w:ascii="Arial" w:hAnsi="Arial" w:cs="Arial"/>
                <w:noProof/>
                <w:webHidden/>
                <w:sz w:val="24"/>
                <w:szCs w:val="24"/>
              </w:rPr>
              <w:fldChar w:fldCharType="separate"/>
            </w:r>
            <w:r w:rsidR="001B45A1" w:rsidRPr="001B45A1">
              <w:rPr>
                <w:rFonts w:ascii="Arial" w:hAnsi="Arial" w:cs="Arial"/>
                <w:noProof/>
                <w:webHidden/>
                <w:sz w:val="24"/>
                <w:szCs w:val="24"/>
              </w:rPr>
              <w:t>1</w:t>
            </w:r>
            <w:r w:rsidR="001B45A1" w:rsidRPr="001B45A1">
              <w:rPr>
                <w:rFonts w:ascii="Arial" w:hAnsi="Arial" w:cs="Arial"/>
                <w:noProof/>
                <w:webHidden/>
                <w:sz w:val="24"/>
                <w:szCs w:val="24"/>
              </w:rPr>
              <w:fldChar w:fldCharType="end"/>
            </w:r>
          </w:hyperlink>
        </w:p>
        <w:p w14:paraId="7DDC7FF4" w14:textId="77777777" w:rsidR="001B45A1" w:rsidRPr="001B45A1" w:rsidRDefault="001B45A1">
          <w:pPr>
            <w:pStyle w:val="TOC1"/>
            <w:tabs>
              <w:tab w:val="right" w:leader="dot" w:pos="9350"/>
            </w:tabs>
            <w:rPr>
              <w:rFonts w:ascii="Arial" w:eastAsiaTheme="minorEastAsia" w:hAnsi="Arial" w:cs="Arial"/>
              <w:noProof/>
              <w:sz w:val="24"/>
              <w:szCs w:val="24"/>
              <w:lang w:val="en-US"/>
            </w:rPr>
          </w:pPr>
          <w:hyperlink w:anchor="_Toc217195847" w:history="1">
            <w:r w:rsidRPr="001B45A1">
              <w:rPr>
                <w:rStyle w:val="Hyperlink"/>
                <w:rFonts w:ascii="Arial" w:hAnsi="Arial" w:cs="Arial"/>
                <w:noProof/>
                <w:sz w:val="24"/>
                <w:szCs w:val="24"/>
              </w:rPr>
              <w:t>1. Financial Health Analysis of General Electronics.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_Toc217195847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w:t>
            </w:r>
            <w:r w:rsidRPr="001B45A1">
              <w:rPr>
                <w:rFonts w:ascii="Arial" w:hAnsi="Arial" w:cs="Arial"/>
                <w:noProof/>
                <w:webHidden/>
                <w:sz w:val="24"/>
                <w:szCs w:val="24"/>
              </w:rPr>
              <w:fldChar w:fldCharType="end"/>
            </w:r>
          </w:hyperlink>
        </w:p>
        <w:p w14:paraId="0F25B4F8"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48" w:history="1">
            <w:r w:rsidRPr="001B45A1">
              <w:rPr>
                <w:rStyle w:val="Hyperlink"/>
                <w:rFonts w:ascii="Arial" w:hAnsi="Arial" w:cs="Arial"/>
                <w:noProof/>
                <w:sz w:val="24"/>
                <w:szCs w:val="24"/>
              </w:rPr>
              <w:t>1.1 Introduction</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_Toc217195848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w:t>
            </w:r>
            <w:r w:rsidRPr="001B45A1">
              <w:rPr>
                <w:rFonts w:ascii="Arial" w:hAnsi="Arial" w:cs="Arial"/>
                <w:noProof/>
                <w:webHidden/>
                <w:sz w:val="24"/>
                <w:szCs w:val="24"/>
              </w:rPr>
              <w:fldChar w:fldCharType="end"/>
            </w:r>
          </w:hyperlink>
        </w:p>
        <w:p w14:paraId="349C5534"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49" w:history="1">
            <w:r w:rsidRPr="001B45A1">
              <w:rPr>
                <w:rStyle w:val="Hyperlink"/>
                <w:rFonts w:ascii="Arial" w:hAnsi="Arial" w:cs="Arial"/>
                <w:noProof/>
                <w:sz w:val="24"/>
                <w:szCs w:val="24"/>
              </w:rPr>
              <w:t>1.2 Profitability Analysis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_Toc217195849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w:t>
            </w:r>
            <w:r w:rsidRPr="001B45A1">
              <w:rPr>
                <w:rFonts w:ascii="Arial" w:hAnsi="Arial" w:cs="Arial"/>
                <w:noProof/>
                <w:webHidden/>
                <w:sz w:val="24"/>
                <w:szCs w:val="24"/>
              </w:rPr>
              <w:fldChar w:fldCharType="end"/>
            </w:r>
          </w:hyperlink>
        </w:p>
        <w:p w14:paraId="6C7D6DD3"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50" w:history="1">
            <w:r w:rsidRPr="001B45A1">
              <w:rPr>
                <w:rStyle w:val="Hyperlink"/>
                <w:rFonts w:ascii="Arial" w:hAnsi="Arial" w:cs="Arial"/>
                <w:noProof/>
                <w:sz w:val="24"/>
                <w:szCs w:val="24"/>
              </w:rPr>
              <w:t>1.2.1 Gross Profit Margin (GPM)</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_Toc217195850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w:t>
            </w:r>
            <w:r w:rsidRPr="001B45A1">
              <w:rPr>
                <w:rFonts w:ascii="Arial" w:hAnsi="Arial" w:cs="Arial"/>
                <w:noProof/>
                <w:webHidden/>
                <w:sz w:val="24"/>
                <w:szCs w:val="24"/>
              </w:rPr>
              <w:fldChar w:fldCharType="end"/>
            </w:r>
          </w:hyperlink>
        </w:p>
        <w:p w14:paraId="22EB31DD"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51" w:history="1">
            <w:r w:rsidRPr="001B45A1">
              <w:rPr>
                <w:rStyle w:val="Hyperlink"/>
                <w:rFonts w:ascii="Arial" w:hAnsi="Arial" w:cs="Arial"/>
                <w:noProof/>
                <w:sz w:val="24"/>
                <w:szCs w:val="24"/>
              </w:rPr>
              <w:t>1.2.2 Operating Profit Margin (OPM</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_Toc217195851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3</w:t>
            </w:r>
            <w:r w:rsidRPr="001B45A1">
              <w:rPr>
                <w:rFonts w:ascii="Arial" w:hAnsi="Arial" w:cs="Arial"/>
                <w:noProof/>
                <w:webHidden/>
                <w:sz w:val="24"/>
                <w:szCs w:val="24"/>
              </w:rPr>
              <w:fldChar w:fldCharType="end"/>
            </w:r>
          </w:hyperlink>
        </w:p>
        <w:p w14:paraId="33E4A8A7"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52" w:history="1">
            <w:r w:rsidRPr="001B45A1">
              <w:rPr>
                <w:rStyle w:val="Hyperlink"/>
                <w:rFonts w:ascii="Arial" w:hAnsi="Arial" w:cs="Arial"/>
                <w:noProof/>
                <w:sz w:val="24"/>
                <w:szCs w:val="24"/>
              </w:rPr>
              <w:t>1.2.3 Net Profit Margin (NPM)</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_Toc217195852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4</w:t>
            </w:r>
            <w:r w:rsidRPr="001B45A1">
              <w:rPr>
                <w:rFonts w:ascii="Arial" w:hAnsi="Arial" w:cs="Arial"/>
                <w:noProof/>
                <w:webHidden/>
                <w:sz w:val="24"/>
                <w:szCs w:val="24"/>
              </w:rPr>
              <w:fldChar w:fldCharType="end"/>
            </w:r>
          </w:hyperlink>
        </w:p>
        <w:p w14:paraId="6626DF70"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53" w:history="1">
            <w:r w:rsidRPr="001B45A1">
              <w:rPr>
                <w:rStyle w:val="Hyperlink"/>
                <w:rFonts w:ascii="Arial" w:hAnsi="Arial" w:cs="Arial"/>
                <w:noProof/>
                <w:sz w:val="24"/>
                <w:szCs w:val="24"/>
              </w:rPr>
              <w:t>1.2.4 Return on Assets (ROA)</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_Toc217195853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5</w:t>
            </w:r>
            <w:r w:rsidRPr="001B45A1">
              <w:rPr>
                <w:rFonts w:ascii="Arial" w:hAnsi="Arial" w:cs="Arial"/>
                <w:noProof/>
                <w:webHidden/>
                <w:sz w:val="24"/>
                <w:szCs w:val="24"/>
              </w:rPr>
              <w:fldChar w:fldCharType="end"/>
            </w:r>
          </w:hyperlink>
        </w:p>
        <w:p w14:paraId="7C56C48B"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54" w:history="1">
            <w:r w:rsidRPr="001B45A1">
              <w:rPr>
                <w:rStyle w:val="Hyperlink"/>
                <w:rFonts w:ascii="Arial" w:hAnsi="Arial" w:cs="Arial"/>
                <w:noProof/>
                <w:sz w:val="24"/>
                <w:szCs w:val="24"/>
              </w:rPr>
              <w:t>1.2.5 Return on Equity (ROE)</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_Toc217195854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5</w:t>
            </w:r>
            <w:r w:rsidRPr="001B45A1">
              <w:rPr>
                <w:rFonts w:ascii="Arial" w:hAnsi="Arial" w:cs="Arial"/>
                <w:noProof/>
                <w:webHidden/>
                <w:sz w:val="24"/>
                <w:szCs w:val="24"/>
              </w:rPr>
              <w:fldChar w:fldCharType="end"/>
            </w:r>
          </w:hyperlink>
        </w:p>
        <w:p w14:paraId="27BF082D"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55" w:history="1">
            <w:r w:rsidRPr="001B45A1">
              <w:rPr>
                <w:rStyle w:val="Hyperlink"/>
                <w:rFonts w:ascii="Arial" w:hAnsi="Arial" w:cs="Arial"/>
                <w:noProof/>
                <w:sz w:val="24"/>
                <w:szCs w:val="24"/>
              </w:rPr>
              <w:t>1.3 Liquidity Analysis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_Toc217195855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6</w:t>
            </w:r>
            <w:r w:rsidRPr="001B45A1">
              <w:rPr>
                <w:rFonts w:ascii="Arial" w:hAnsi="Arial" w:cs="Arial"/>
                <w:noProof/>
                <w:webHidden/>
                <w:sz w:val="24"/>
                <w:szCs w:val="24"/>
              </w:rPr>
              <w:fldChar w:fldCharType="end"/>
            </w:r>
          </w:hyperlink>
        </w:p>
        <w:p w14:paraId="66A96D9A"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56" w:history="1">
            <w:r w:rsidRPr="001B45A1">
              <w:rPr>
                <w:rStyle w:val="Hyperlink"/>
                <w:rFonts w:ascii="Arial" w:hAnsi="Arial" w:cs="Arial"/>
                <w:noProof/>
                <w:sz w:val="24"/>
                <w:szCs w:val="24"/>
              </w:rPr>
              <w:t>1.3.1 Current Ratio</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_Toc217195856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6</w:t>
            </w:r>
            <w:r w:rsidRPr="001B45A1">
              <w:rPr>
                <w:rFonts w:ascii="Arial" w:hAnsi="Arial" w:cs="Arial"/>
                <w:noProof/>
                <w:webHidden/>
                <w:sz w:val="24"/>
                <w:szCs w:val="24"/>
              </w:rPr>
              <w:fldChar w:fldCharType="end"/>
            </w:r>
          </w:hyperlink>
        </w:p>
        <w:p w14:paraId="0CDEA330"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57" w:history="1">
            <w:r w:rsidRPr="001B45A1">
              <w:rPr>
                <w:rStyle w:val="Hyperlink"/>
                <w:rFonts w:ascii="Arial" w:hAnsi="Arial" w:cs="Arial"/>
                <w:noProof/>
                <w:sz w:val="24"/>
                <w:szCs w:val="24"/>
              </w:rPr>
              <w:t>1.3.2 Quick Ratio</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_Toc217195857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7</w:t>
            </w:r>
            <w:r w:rsidRPr="001B45A1">
              <w:rPr>
                <w:rFonts w:ascii="Arial" w:hAnsi="Arial" w:cs="Arial"/>
                <w:noProof/>
                <w:webHidden/>
                <w:sz w:val="24"/>
                <w:szCs w:val="24"/>
              </w:rPr>
              <w:fldChar w:fldCharType="end"/>
            </w:r>
          </w:hyperlink>
        </w:p>
        <w:p w14:paraId="54270DAD"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58" w:history="1">
            <w:r w:rsidRPr="001B45A1">
              <w:rPr>
                <w:rStyle w:val="Hyperlink"/>
                <w:rFonts w:ascii="Arial" w:hAnsi="Arial" w:cs="Arial"/>
                <w:noProof/>
                <w:sz w:val="24"/>
                <w:szCs w:val="24"/>
              </w:rPr>
              <w:t>1.4 Efficiency Ratios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_Toc217195858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8</w:t>
            </w:r>
            <w:r w:rsidRPr="001B45A1">
              <w:rPr>
                <w:rFonts w:ascii="Arial" w:hAnsi="Arial" w:cs="Arial"/>
                <w:noProof/>
                <w:webHidden/>
                <w:sz w:val="24"/>
                <w:szCs w:val="24"/>
              </w:rPr>
              <w:fldChar w:fldCharType="end"/>
            </w:r>
          </w:hyperlink>
        </w:p>
        <w:p w14:paraId="79448A40"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59" w:history="1">
            <w:r w:rsidRPr="001B45A1">
              <w:rPr>
                <w:rStyle w:val="Hyperlink"/>
                <w:rFonts w:ascii="Arial" w:hAnsi="Arial" w:cs="Arial"/>
                <w:noProof/>
                <w:sz w:val="24"/>
                <w:szCs w:val="24"/>
              </w:rPr>
              <w:t>1.4.1 Inventory Turnover</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_Toc217195859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8</w:t>
            </w:r>
            <w:r w:rsidRPr="001B45A1">
              <w:rPr>
                <w:rFonts w:ascii="Arial" w:hAnsi="Arial" w:cs="Arial"/>
                <w:noProof/>
                <w:webHidden/>
                <w:sz w:val="24"/>
                <w:szCs w:val="24"/>
              </w:rPr>
              <w:fldChar w:fldCharType="end"/>
            </w:r>
          </w:hyperlink>
        </w:p>
        <w:p w14:paraId="5578A260"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60" w:history="1">
            <w:r w:rsidRPr="001B45A1">
              <w:rPr>
                <w:rStyle w:val="Hyperlink"/>
                <w:rFonts w:ascii="Arial" w:hAnsi="Arial" w:cs="Arial"/>
                <w:noProof/>
                <w:sz w:val="24"/>
                <w:szCs w:val="24"/>
              </w:rPr>
              <w:t>1.4.2 Accounts Receivable Turnover</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_Toc217195860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8</w:t>
            </w:r>
            <w:r w:rsidRPr="001B45A1">
              <w:rPr>
                <w:rFonts w:ascii="Arial" w:hAnsi="Arial" w:cs="Arial"/>
                <w:noProof/>
                <w:webHidden/>
                <w:sz w:val="24"/>
                <w:szCs w:val="24"/>
              </w:rPr>
              <w:fldChar w:fldCharType="end"/>
            </w:r>
          </w:hyperlink>
        </w:p>
        <w:p w14:paraId="0FFA10B9"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61" w:history="1">
            <w:r w:rsidRPr="001B45A1">
              <w:rPr>
                <w:rStyle w:val="Hyperlink"/>
                <w:rFonts w:ascii="Arial" w:hAnsi="Arial" w:cs="Arial"/>
                <w:noProof/>
                <w:sz w:val="24"/>
                <w:szCs w:val="24"/>
              </w:rPr>
              <w:t>1.5 Gearing and Solvency Ratios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_Toc217195861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9</w:t>
            </w:r>
            <w:r w:rsidRPr="001B45A1">
              <w:rPr>
                <w:rFonts w:ascii="Arial" w:hAnsi="Arial" w:cs="Arial"/>
                <w:noProof/>
                <w:webHidden/>
                <w:sz w:val="24"/>
                <w:szCs w:val="24"/>
              </w:rPr>
              <w:fldChar w:fldCharType="end"/>
            </w:r>
          </w:hyperlink>
        </w:p>
        <w:p w14:paraId="07604681"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62" w:history="1">
            <w:r w:rsidRPr="001B45A1">
              <w:rPr>
                <w:rStyle w:val="Hyperlink"/>
                <w:rFonts w:ascii="Arial" w:hAnsi="Arial" w:cs="Arial"/>
                <w:noProof/>
                <w:sz w:val="24"/>
                <w:szCs w:val="24"/>
              </w:rPr>
              <w:t>1.5.1 Debt-to-Equity Ratio</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_Toc217195862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9</w:t>
            </w:r>
            <w:r w:rsidRPr="001B45A1">
              <w:rPr>
                <w:rFonts w:ascii="Arial" w:hAnsi="Arial" w:cs="Arial"/>
                <w:noProof/>
                <w:webHidden/>
                <w:sz w:val="24"/>
                <w:szCs w:val="24"/>
              </w:rPr>
              <w:fldChar w:fldCharType="end"/>
            </w:r>
          </w:hyperlink>
        </w:p>
        <w:p w14:paraId="137D664F"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63" w:history="1">
            <w:r w:rsidRPr="001B45A1">
              <w:rPr>
                <w:rStyle w:val="Hyperlink"/>
                <w:rFonts w:ascii="Arial" w:hAnsi="Arial" w:cs="Arial"/>
                <w:noProof/>
                <w:sz w:val="24"/>
                <w:szCs w:val="24"/>
              </w:rPr>
              <w:t>1.5.2 Interest Coverage Ratio</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_Toc217195863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10</w:t>
            </w:r>
            <w:r w:rsidRPr="001B45A1">
              <w:rPr>
                <w:rFonts w:ascii="Arial" w:hAnsi="Arial" w:cs="Arial"/>
                <w:noProof/>
                <w:webHidden/>
                <w:sz w:val="24"/>
                <w:szCs w:val="24"/>
              </w:rPr>
              <w:fldChar w:fldCharType="end"/>
            </w:r>
          </w:hyperlink>
        </w:p>
        <w:p w14:paraId="4CCA94F4"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64" w:history="1">
            <w:r w:rsidRPr="001B45A1">
              <w:rPr>
                <w:rStyle w:val="Hyperlink"/>
                <w:rFonts w:ascii="Arial" w:hAnsi="Arial" w:cs="Arial"/>
                <w:noProof/>
                <w:sz w:val="24"/>
                <w:szCs w:val="24"/>
              </w:rPr>
              <w:t>1.6 Cash Flow Analysis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_Toc217195864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10</w:t>
            </w:r>
            <w:r w:rsidRPr="001B45A1">
              <w:rPr>
                <w:rFonts w:ascii="Arial" w:hAnsi="Arial" w:cs="Arial"/>
                <w:noProof/>
                <w:webHidden/>
                <w:sz w:val="24"/>
                <w:szCs w:val="24"/>
              </w:rPr>
              <w:fldChar w:fldCharType="end"/>
            </w:r>
          </w:hyperlink>
        </w:p>
        <w:p w14:paraId="12C12D95"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65" w:history="1">
            <w:r w:rsidRPr="001B45A1">
              <w:rPr>
                <w:rStyle w:val="Hyperlink"/>
                <w:rFonts w:ascii="Arial" w:hAnsi="Arial" w:cs="Arial"/>
                <w:noProof/>
                <w:sz w:val="24"/>
                <w:szCs w:val="24"/>
              </w:rPr>
              <w:t>1.7 Altman Z-Score Analysis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_Toc217195865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11</w:t>
            </w:r>
            <w:r w:rsidRPr="001B45A1">
              <w:rPr>
                <w:rFonts w:ascii="Arial" w:hAnsi="Arial" w:cs="Arial"/>
                <w:noProof/>
                <w:webHidden/>
                <w:sz w:val="24"/>
                <w:szCs w:val="24"/>
              </w:rPr>
              <w:fldChar w:fldCharType="end"/>
            </w:r>
          </w:hyperlink>
        </w:p>
        <w:p w14:paraId="17FE77E9"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66" w:history="1">
            <w:r w:rsidRPr="001B45A1">
              <w:rPr>
                <w:rStyle w:val="Hyperlink"/>
                <w:rFonts w:ascii="Arial" w:hAnsi="Arial" w:cs="Arial"/>
                <w:noProof/>
                <w:sz w:val="24"/>
                <w:szCs w:val="24"/>
              </w:rPr>
              <w:t>1.8 Key Trends, Strengths, and Threats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_Toc217195866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12</w:t>
            </w:r>
            <w:r w:rsidRPr="001B45A1">
              <w:rPr>
                <w:rFonts w:ascii="Arial" w:hAnsi="Arial" w:cs="Arial"/>
                <w:noProof/>
                <w:webHidden/>
                <w:sz w:val="24"/>
                <w:szCs w:val="24"/>
              </w:rPr>
              <w:fldChar w:fldCharType="end"/>
            </w:r>
          </w:hyperlink>
        </w:p>
        <w:p w14:paraId="184AE3C3" w14:textId="77777777" w:rsidR="001B45A1" w:rsidRPr="001B45A1" w:rsidRDefault="001B45A1">
          <w:pPr>
            <w:pStyle w:val="TOC1"/>
            <w:tabs>
              <w:tab w:val="right" w:leader="dot" w:pos="9350"/>
            </w:tabs>
            <w:rPr>
              <w:rFonts w:ascii="Arial" w:eastAsiaTheme="minorEastAsia" w:hAnsi="Arial" w:cs="Arial"/>
              <w:noProof/>
              <w:sz w:val="24"/>
              <w:szCs w:val="24"/>
              <w:lang w:val="en-US"/>
            </w:rPr>
          </w:pPr>
          <w:hyperlink w:anchor="_Toc217195867" w:history="1">
            <w:r w:rsidRPr="001B45A1">
              <w:rPr>
                <w:rStyle w:val="Hyperlink"/>
                <w:rFonts w:ascii="Arial" w:eastAsia="Times New Roman" w:hAnsi="Arial" w:cs="Arial"/>
                <w:noProof/>
                <w:sz w:val="24"/>
                <w:szCs w:val="24"/>
                <w:lang w:eastAsia="en-GB"/>
              </w:rPr>
              <w:t>2. Working Capital Management Analysis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_Toc217195867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13</w:t>
            </w:r>
            <w:r w:rsidRPr="001B45A1">
              <w:rPr>
                <w:rFonts w:ascii="Arial" w:hAnsi="Arial" w:cs="Arial"/>
                <w:noProof/>
                <w:webHidden/>
                <w:sz w:val="24"/>
                <w:szCs w:val="24"/>
              </w:rPr>
              <w:fldChar w:fldCharType="end"/>
            </w:r>
          </w:hyperlink>
        </w:p>
        <w:p w14:paraId="0C107993"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68" w:history="1">
            <w:r w:rsidRPr="001B45A1">
              <w:rPr>
                <w:rStyle w:val="Hyperlink"/>
                <w:rFonts w:ascii="Arial" w:eastAsia="Times New Roman" w:hAnsi="Arial" w:cs="Arial"/>
                <w:noProof/>
                <w:sz w:val="24"/>
                <w:szCs w:val="24"/>
                <w:lang w:eastAsia="en-GB"/>
              </w:rPr>
              <w:t>2.1 Introduction</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_Toc217195868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13</w:t>
            </w:r>
            <w:r w:rsidRPr="001B45A1">
              <w:rPr>
                <w:rFonts w:ascii="Arial" w:hAnsi="Arial" w:cs="Arial"/>
                <w:noProof/>
                <w:webHidden/>
                <w:sz w:val="24"/>
                <w:szCs w:val="24"/>
              </w:rPr>
              <w:fldChar w:fldCharType="end"/>
            </w:r>
          </w:hyperlink>
        </w:p>
        <w:p w14:paraId="6F14A5AF"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69" w:history="1">
            <w:r w:rsidRPr="001B45A1">
              <w:rPr>
                <w:rStyle w:val="Hyperlink"/>
                <w:rFonts w:ascii="Arial" w:eastAsia="Times New Roman" w:hAnsi="Arial" w:cs="Arial"/>
                <w:noProof/>
                <w:sz w:val="24"/>
                <w:szCs w:val="24"/>
                <w:lang w:eastAsia="en-GB"/>
              </w:rPr>
              <w:t>2.2 Cash Operating Cycle Analysis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_Toc217195869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13</w:t>
            </w:r>
            <w:r w:rsidRPr="001B45A1">
              <w:rPr>
                <w:rFonts w:ascii="Arial" w:hAnsi="Arial" w:cs="Arial"/>
                <w:noProof/>
                <w:webHidden/>
                <w:sz w:val="24"/>
                <w:szCs w:val="24"/>
              </w:rPr>
              <w:fldChar w:fldCharType="end"/>
            </w:r>
          </w:hyperlink>
        </w:p>
        <w:p w14:paraId="06252E01"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70" w:history="1">
            <w:r w:rsidRPr="001B45A1">
              <w:rPr>
                <w:rStyle w:val="Hyperlink"/>
                <w:rFonts w:ascii="Arial" w:eastAsia="Times New Roman" w:hAnsi="Arial" w:cs="Arial"/>
                <w:noProof/>
                <w:sz w:val="24"/>
                <w:szCs w:val="24"/>
                <w:lang w:eastAsia="en-GB"/>
              </w:rPr>
              <w:t>2.3 Working Capital Challenges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_Toc217195870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14</w:t>
            </w:r>
            <w:r w:rsidRPr="001B45A1">
              <w:rPr>
                <w:rFonts w:ascii="Arial" w:hAnsi="Arial" w:cs="Arial"/>
                <w:noProof/>
                <w:webHidden/>
                <w:sz w:val="24"/>
                <w:szCs w:val="24"/>
              </w:rPr>
              <w:fldChar w:fldCharType="end"/>
            </w:r>
          </w:hyperlink>
        </w:p>
        <w:p w14:paraId="5B628067"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71" w:history="1">
            <w:r w:rsidRPr="001B45A1">
              <w:rPr>
                <w:rStyle w:val="Hyperlink"/>
                <w:rFonts w:ascii="Arial" w:hAnsi="Arial" w:cs="Arial"/>
                <w:noProof/>
                <w:sz w:val="24"/>
                <w:szCs w:val="24"/>
                <w:lang w:eastAsia="en-GB"/>
              </w:rPr>
              <w:t>2.4 Liquidity Improvement strategies.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_Toc217195871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14</w:t>
            </w:r>
            <w:r w:rsidRPr="001B45A1">
              <w:rPr>
                <w:rFonts w:ascii="Arial" w:hAnsi="Arial" w:cs="Arial"/>
                <w:noProof/>
                <w:webHidden/>
                <w:sz w:val="24"/>
                <w:szCs w:val="24"/>
              </w:rPr>
              <w:fldChar w:fldCharType="end"/>
            </w:r>
          </w:hyperlink>
        </w:p>
        <w:p w14:paraId="6CE4D76B"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72" w:history="1">
            <w:r w:rsidRPr="001B45A1">
              <w:rPr>
                <w:rStyle w:val="Hyperlink"/>
                <w:rFonts w:ascii="Arial" w:hAnsi="Arial" w:cs="Arial"/>
                <w:noProof/>
                <w:sz w:val="24"/>
                <w:szCs w:val="24"/>
                <w:lang w:eastAsia="en-GB"/>
              </w:rPr>
              <w:t>2.5 Short-term vs Long-term Financing Options.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_Toc217195872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15</w:t>
            </w:r>
            <w:r w:rsidRPr="001B45A1">
              <w:rPr>
                <w:rFonts w:ascii="Arial" w:hAnsi="Arial" w:cs="Arial"/>
                <w:noProof/>
                <w:webHidden/>
                <w:sz w:val="24"/>
                <w:szCs w:val="24"/>
              </w:rPr>
              <w:fldChar w:fldCharType="end"/>
            </w:r>
          </w:hyperlink>
        </w:p>
        <w:p w14:paraId="22290235"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73" w:history="1">
            <w:r w:rsidRPr="001B45A1">
              <w:rPr>
                <w:rStyle w:val="Hyperlink"/>
                <w:rFonts w:ascii="Arial" w:eastAsia="Times New Roman" w:hAnsi="Arial" w:cs="Arial"/>
                <w:noProof/>
                <w:sz w:val="24"/>
                <w:szCs w:val="24"/>
                <w:lang w:eastAsia="en-GB"/>
              </w:rPr>
              <w:t>2.6 Global Considerations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_Toc217195873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16</w:t>
            </w:r>
            <w:r w:rsidRPr="001B45A1">
              <w:rPr>
                <w:rFonts w:ascii="Arial" w:hAnsi="Arial" w:cs="Arial"/>
                <w:noProof/>
                <w:webHidden/>
                <w:sz w:val="24"/>
                <w:szCs w:val="24"/>
              </w:rPr>
              <w:fldChar w:fldCharType="end"/>
            </w:r>
          </w:hyperlink>
        </w:p>
        <w:p w14:paraId="1A46791B" w14:textId="77777777" w:rsidR="001B45A1" w:rsidRPr="001B45A1" w:rsidRDefault="001B45A1">
          <w:pPr>
            <w:pStyle w:val="TOC1"/>
            <w:tabs>
              <w:tab w:val="right" w:leader="dot" w:pos="9350"/>
            </w:tabs>
            <w:rPr>
              <w:rFonts w:ascii="Arial" w:eastAsiaTheme="minorEastAsia" w:hAnsi="Arial" w:cs="Arial"/>
              <w:noProof/>
              <w:sz w:val="24"/>
              <w:szCs w:val="24"/>
              <w:lang w:val="en-US"/>
            </w:rPr>
          </w:pPr>
          <w:hyperlink w:anchor="_Toc217195874" w:history="1">
            <w:r w:rsidRPr="001B45A1">
              <w:rPr>
                <w:rStyle w:val="Hyperlink"/>
                <w:rFonts w:ascii="Arial" w:hAnsi="Arial" w:cs="Arial"/>
                <w:noProof/>
                <w:sz w:val="24"/>
                <w:szCs w:val="24"/>
                <w:lang w:eastAsia="en-GB"/>
              </w:rPr>
              <w:t>3. General Electric 2010 Strategic Financial Restructuring Plan.</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_Toc217195874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17</w:t>
            </w:r>
            <w:r w:rsidRPr="001B45A1">
              <w:rPr>
                <w:rFonts w:ascii="Arial" w:hAnsi="Arial" w:cs="Arial"/>
                <w:noProof/>
                <w:webHidden/>
                <w:sz w:val="24"/>
                <w:szCs w:val="24"/>
              </w:rPr>
              <w:fldChar w:fldCharType="end"/>
            </w:r>
          </w:hyperlink>
        </w:p>
        <w:p w14:paraId="1CA0D016"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75" w:history="1">
            <w:r w:rsidRPr="001B45A1">
              <w:rPr>
                <w:rStyle w:val="Hyperlink"/>
                <w:rFonts w:ascii="Arial" w:hAnsi="Arial" w:cs="Arial"/>
                <w:noProof/>
                <w:sz w:val="24"/>
                <w:szCs w:val="24"/>
                <w:lang w:eastAsia="en-GB"/>
              </w:rPr>
              <w:t>3.1 Introduction</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_Toc217195875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17</w:t>
            </w:r>
            <w:r w:rsidRPr="001B45A1">
              <w:rPr>
                <w:rFonts w:ascii="Arial" w:hAnsi="Arial" w:cs="Arial"/>
                <w:noProof/>
                <w:webHidden/>
                <w:sz w:val="24"/>
                <w:szCs w:val="24"/>
              </w:rPr>
              <w:fldChar w:fldCharType="end"/>
            </w:r>
          </w:hyperlink>
        </w:p>
        <w:p w14:paraId="605B9636"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76" w:history="1">
            <w:r w:rsidRPr="001B45A1">
              <w:rPr>
                <w:rStyle w:val="Hyperlink"/>
                <w:rFonts w:ascii="Arial" w:hAnsi="Arial" w:cs="Arial"/>
                <w:noProof/>
                <w:sz w:val="24"/>
                <w:szCs w:val="24"/>
              </w:rPr>
              <w:t>3.2 Financial Restructuring Objectives.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_Toc217195876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18</w:t>
            </w:r>
            <w:r w:rsidRPr="001B45A1">
              <w:rPr>
                <w:rFonts w:ascii="Arial" w:hAnsi="Arial" w:cs="Arial"/>
                <w:noProof/>
                <w:webHidden/>
                <w:sz w:val="24"/>
                <w:szCs w:val="24"/>
              </w:rPr>
              <w:fldChar w:fldCharType="end"/>
            </w:r>
          </w:hyperlink>
        </w:p>
        <w:p w14:paraId="349E74A1"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77" w:history="1">
            <w:r w:rsidRPr="001B45A1">
              <w:rPr>
                <w:rStyle w:val="Hyperlink"/>
                <w:rFonts w:ascii="Arial" w:hAnsi="Arial" w:cs="Arial"/>
                <w:noProof/>
                <w:sz w:val="24"/>
                <w:szCs w:val="24"/>
              </w:rPr>
              <w:t>3.3 Restructuring Options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_Toc217195877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18</w:t>
            </w:r>
            <w:r w:rsidRPr="001B45A1">
              <w:rPr>
                <w:rFonts w:ascii="Arial" w:hAnsi="Arial" w:cs="Arial"/>
                <w:noProof/>
                <w:webHidden/>
                <w:sz w:val="24"/>
                <w:szCs w:val="24"/>
              </w:rPr>
              <w:fldChar w:fldCharType="end"/>
            </w:r>
          </w:hyperlink>
        </w:p>
        <w:p w14:paraId="3DED0441"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78" w:history="1">
            <w:r w:rsidRPr="001B45A1">
              <w:rPr>
                <w:rStyle w:val="Hyperlink"/>
                <w:rFonts w:ascii="Arial" w:hAnsi="Arial" w:cs="Arial"/>
                <w:noProof/>
                <w:sz w:val="24"/>
                <w:szCs w:val="24"/>
              </w:rPr>
              <w:t>3.3.1 Debt Restructuring</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_Toc217195878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18</w:t>
            </w:r>
            <w:r w:rsidRPr="001B45A1">
              <w:rPr>
                <w:rFonts w:ascii="Arial" w:hAnsi="Arial" w:cs="Arial"/>
                <w:noProof/>
                <w:webHidden/>
                <w:sz w:val="24"/>
                <w:szCs w:val="24"/>
              </w:rPr>
              <w:fldChar w:fldCharType="end"/>
            </w:r>
          </w:hyperlink>
        </w:p>
        <w:p w14:paraId="48C8FB31"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79" w:history="1">
            <w:r w:rsidRPr="001B45A1">
              <w:rPr>
                <w:rStyle w:val="Hyperlink"/>
                <w:rFonts w:ascii="Arial" w:hAnsi="Arial" w:cs="Arial"/>
                <w:noProof/>
                <w:sz w:val="24"/>
                <w:szCs w:val="24"/>
              </w:rPr>
              <w:t>3.3.2 Equity Injection</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_Toc217195879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19</w:t>
            </w:r>
            <w:r w:rsidRPr="001B45A1">
              <w:rPr>
                <w:rFonts w:ascii="Arial" w:hAnsi="Arial" w:cs="Arial"/>
                <w:noProof/>
                <w:webHidden/>
                <w:sz w:val="24"/>
                <w:szCs w:val="24"/>
              </w:rPr>
              <w:fldChar w:fldCharType="end"/>
            </w:r>
          </w:hyperlink>
        </w:p>
        <w:p w14:paraId="61596EE0" w14:textId="77777777" w:rsidR="001B45A1" w:rsidRPr="001B45A1" w:rsidRDefault="001B45A1">
          <w:pPr>
            <w:pStyle w:val="TOC3"/>
            <w:tabs>
              <w:tab w:val="right" w:leader="dot" w:pos="9350"/>
            </w:tabs>
            <w:rPr>
              <w:rFonts w:ascii="Arial" w:eastAsiaTheme="minorEastAsia" w:hAnsi="Arial" w:cs="Arial"/>
              <w:noProof/>
              <w:sz w:val="24"/>
              <w:szCs w:val="24"/>
              <w:lang w:val="en-US"/>
            </w:rPr>
          </w:pPr>
          <w:hyperlink w:anchor="_Toc217195880" w:history="1">
            <w:r w:rsidRPr="001B45A1">
              <w:rPr>
                <w:rStyle w:val="Hyperlink"/>
                <w:rFonts w:ascii="Arial" w:hAnsi="Arial" w:cs="Arial"/>
                <w:noProof/>
                <w:sz w:val="24"/>
                <w:szCs w:val="24"/>
              </w:rPr>
              <w:t>3.3.3 Dive sales and Rationalisation of assets.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_Toc217195880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19</w:t>
            </w:r>
            <w:r w:rsidRPr="001B45A1">
              <w:rPr>
                <w:rFonts w:ascii="Arial" w:hAnsi="Arial" w:cs="Arial"/>
                <w:noProof/>
                <w:webHidden/>
                <w:sz w:val="24"/>
                <w:szCs w:val="24"/>
              </w:rPr>
              <w:fldChar w:fldCharType="end"/>
            </w:r>
          </w:hyperlink>
        </w:p>
        <w:p w14:paraId="3EFF6CAE"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81" w:history="1">
            <w:r w:rsidRPr="001B45A1">
              <w:rPr>
                <w:rStyle w:val="Hyperlink"/>
                <w:rFonts w:ascii="Arial" w:hAnsi="Arial" w:cs="Arial"/>
                <w:noProof/>
                <w:sz w:val="24"/>
                <w:szCs w:val="24"/>
              </w:rPr>
              <w:t>3.4 effects on the value of the shareholders and capital structure.</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_Toc217195881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20</w:t>
            </w:r>
            <w:r w:rsidRPr="001B45A1">
              <w:rPr>
                <w:rFonts w:ascii="Arial" w:hAnsi="Arial" w:cs="Arial"/>
                <w:noProof/>
                <w:webHidden/>
                <w:sz w:val="24"/>
                <w:szCs w:val="24"/>
              </w:rPr>
              <w:fldChar w:fldCharType="end"/>
            </w:r>
          </w:hyperlink>
        </w:p>
        <w:p w14:paraId="67F918DD"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82" w:history="1">
            <w:r w:rsidRPr="001B45A1">
              <w:rPr>
                <w:rStyle w:val="Hyperlink"/>
                <w:rFonts w:ascii="Arial" w:hAnsi="Arial" w:cs="Arial"/>
                <w:noProof/>
                <w:sz w:val="24"/>
                <w:szCs w:val="24"/>
              </w:rPr>
              <w:t>3.5 International Multinational Factors in restructuring.</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_Toc217195882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20</w:t>
            </w:r>
            <w:r w:rsidRPr="001B45A1">
              <w:rPr>
                <w:rFonts w:ascii="Arial" w:hAnsi="Arial" w:cs="Arial"/>
                <w:noProof/>
                <w:webHidden/>
                <w:sz w:val="24"/>
                <w:szCs w:val="24"/>
              </w:rPr>
              <w:fldChar w:fldCharType="end"/>
            </w:r>
          </w:hyperlink>
        </w:p>
        <w:p w14:paraId="5A3BC554"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83" w:history="1">
            <w:r w:rsidRPr="001B45A1">
              <w:rPr>
                <w:rStyle w:val="Hyperlink"/>
                <w:rFonts w:ascii="Arial" w:hAnsi="Arial" w:cs="Arial"/>
                <w:noProof/>
                <w:sz w:val="24"/>
                <w:szCs w:val="24"/>
              </w:rPr>
              <w:t>3.6 Plan of Financial Restructuring Recommended.</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_Toc217195883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21</w:t>
            </w:r>
            <w:r w:rsidRPr="001B45A1">
              <w:rPr>
                <w:rFonts w:ascii="Arial" w:hAnsi="Arial" w:cs="Arial"/>
                <w:noProof/>
                <w:webHidden/>
                <w:sz w:val="24"/>
                <w:szCs w:val="24"/>
              </w:rPr>
              <w:fldChar w:fldCharType="end"/>
            </w:r>
          </w:hyperlink>
        </w:p>
        <w:p w14:paraId="420E08B3" w14:textId="77777777" w:rsidR="001B45A1" w:rsidRPr="001B45A1" w:rsidRDefault="001B45A1">
          <w:pPr>
            <w:pStyle w:val="TOC1"/>
            <w:tabs>
              <w:tab w:val="right" w:leader="dot" w:pos="9350"/>
            </w:tabs>
            <w:rPr>
              <w:rFonts w:ascii="Arial" w:eastAsiaTheme="minorEastAsia" w:hAnsi="Arial" w:cs="Arial"/>
              <w:noProof/>
              <w:sz w:val="24"/>
              <w:szCs w:val="24"/>
              <w:lang w:val="en-US"/>
            </w:rPr>
          </w:pPr>
          <w:hyperlink w:anchor="_Toc217195884" w:history="1">
            <w:r w:rsidRPr="001B45A1">
              <w:rPr>
                <w:rStyle w:val="Hyperlink"/>
                <w:rFonts w:ascii="Arial" w:hAnsi="Arial" w:cs="Arial"/>
                <w:noProof/>
                <w:sz w:val="24"/>
                <w:szCs w:val="24"/>
              </w:rPr>
              <w:t>4. Investment Appraisal and Capital Budgeting.</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_Toc217195884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22</w:t>
            </w:r>
            <w:r w:rsidRPr="001B45A1">
              <w:rPr>
                <w:rFonts w:ascii="Arial" w:hAnsi="Arial" w:cs="Arial"/>
                <w:noProof/>
                <w:webHidden/>
                <w:sz w:val="24"/>
                <w:szCs w:val="24"/>
              </w:rPr>
              <w:fldChar w:fldCharType="end"/>
            </w:r>
          </w:hyperlink>
        </w:p>
        <w:p w14:paraId="2F70850F"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85" w:history="1">
            <w:r w:rsidRPr="001B45A1">
              <w:rPr>
                <w:rStyle w:val="Hyperlink"/>
                <w:rFonts w:ascii="Arial" w:hAnsi="Arial" w:cs="Arial"/>
                <w:noProof/>
                <w:sz w:val="24"/>
                <w:szCs w:val="24"/>
              </w:rPr>
              <w:t>4.2 Project Overview</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_Toc217195885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22</w:t>
            </w:r>
            <w:r w:rsidRPr="001B45A1">
              <w:rPr>
                <w:rFonts w:ascii="Arial" w:hAnsi="Arial" w:cs="Arial"/>
                <w:noProof/>
                <w:webHidden/>
                <w:sz w:val="24"/>
                <w:szCs w:val="24"/>
              </w:rPr>
              <w:fldChar w:fldCharType="end"/>
            </w:r>
          </w:hyperlink>
        </w:p>
        <w:p w14:paraId="0AAD559D"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86" w:history="1">
            <w:r w:rsidRPr="001B45A1">
              <w:rPr>
                <w:rStyle w:val="Hyperlink"/>
                <w:rFonts w:ascii="Arial" w:hAnsi="Arial" w:cs="Arial"/>
                <w:noProof/>
                <w:sz w:val="24"/>
                <w:szCs w:val="24"/>
              </w:rPr>
              <w:t>4.3 Payback Period (PBP)</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_Toc217195886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22</w:t>
            </w:r>
            <w:r w:rsidRPr="001B45A1">
              <w:rPr>
                <w:rFonts w:ascii="Arial" w:hAnsi="Arial" w:cs="Arial"/>
                <w:noProof/>
                <w:webHidden/>
                <w:sz w:val="24"/>
                <w:szCs w:val="24"/>
              </w:rPr>
              <w:fldChar w:fldCharType="end"/>
            </w:r>
          </w:hyperlink>
        </w:p>
        <w:p w14:paraId="36BA0E40"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87" w:history="1">
            <w:r w:rsidRPr="001B45A1">
              <w:rPr>
                <w:rStyle w:val="Hyperlink"/>
                <w:rFonts w:ascii="Arial" w:hAnsi="Arial" w:cs="Arial"/>
                <w:noProof/>
                <w:sz w:val="24"/>
                <w:szCs w:val="24"/>
              </w:rPr>
              <w:t>4.4 Accounting Rate of Return (ARR)</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_Toc217195887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23</w:t>
            </w:r>
            <w:r w:rsidRPr="001B45A1">
              <w:rPr>
                <w:rFonts w:ascii="Arial" w:hAnsi="Arial" w:cs="Arial"/>
                <w:noProof/>
                <w:webHidden/>
                <w:sz w:val="24"/>
                <w:szCs w:val="24"/>
              </w:rPr>
              <w:fldChar w:fldCharType="end"/>
            </w:r>
          </w:hyperlink>
        </w:p>
        <w:p w14:paraId="1AC17928"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88" w:history="1">
            <w:r w:rsidRPr="001B45A1">
              <w:rPr>
                <w:rStyle w:val="Hyperlink"/>
                <w:rFonts w:ascii="Arial" w:hAnsi="Arial" w:cs="Arial"/>
                <w:noProof/>
                <w:sz w:val="24"/>
                <w:szCs w:val="24"/>
              </w:rPr>
              <w:t>4.5 Net Present Value (NPV)</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_Toc217195888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24</w:t>
            </w:r>
            <w:r w:rsidRPr="001B45A1">
              <w:rPr>
                <w:rFonts w:ascii="Arial" w:hAnsi="Arial" w:cs="Arial"/>
                <w:noProof/>
                <w:webHidden/>
                <w:sz w:val="24"/>
                <w:szCs w:val="24"/>
              </w:rPr>
              <w:fldChar w:fldCharType="end"/>
            </w:r>
          </w:hyperlink>
        </w:p>
        <w:p w14:paraId="0B51A716"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89" w:history="1">
            <w:r w:rsidRPr="001B45A1">
              <w:rPr>
                <w:rStyle w:val="Hyperlink"/>
                <w:rFonts w:ascii="Arial" w:hAnsi="Arial" w:cs="Arial"/>
                <w:noProof/>
                <w:sz w:val="24"/>
                <w:szCs w:val="24"/>
              </w:rPr>
              <w:t>4.6 Profitability Index (PI)</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_Toc217195889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25</w:t>
            </w:r>
            <w:r w:rsidRPr="001B45A1">
              <w:rPr>
                <w:rFonts w:ascii="Arial" w:hAnsi="Arial" w:cs="Arial"/>
                <w:noProof/>
                <w:webHidden/>
                <w:sz w:val="24"/>
                <w:szCs w:val="24"/>
              </w:rPr>
              <w:fldChar w:fldCharType="end"/>
            </w:r>
          </w:hyperlink>
        </w:p>
        <w:p w14:paraId="5683A945"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90" w:history="1">
            <w:r w:rsidRPr="001B45A1">
              <w:rPr>
                <w:rStyle w:val="Hyperlink"/>
                <w:rFonts w:ascii="Arial" w:hAnsi="Arial" w:cs="Arial"/>
                <w:noProof/>
                <w:sz w:val="24"/>
                <w:szCs w:val="24"/>
              </w:rPr>
              <w:t>4.7 Internal Rate of Return (IRR)</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_Toc217195890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25</w:t>
            </w:r>
            <w:r w:rsidRPr="001B45A1">
              <w:rPr>
                <w:rFonts w:ascii="Arial" w:hAnsi="Arial" w:cs="Arial"/>
                <w:noProof/>
                <w:webHidden/>
                <w:sz w:val="24"/>
                <w:szCs w:val="24"/>
              </w:rPr>
              <w:fldChar w:fldCharType="end"/>
            </w:r>
          </w:hyperlink>
        </w:p>
        <w:p w14:paraId="14019156" w14:textId="77777777" w:rsidR="001B45A1" w:rsidRPr="001B45A1" w:rsidRDefault="001B45A1">
          <w:pPr>
            <w:pStyle w:val="TOC2"/>
            <w:tabs>
              <w:tab w:val="right" w:leader="dot" w:pos="9350"/>
            </w:tabs>
            <w:rPr>
              <w:rFonts w:ascii="Arial" w:eastAsiaTheme="minorEastAsia" w:hAnsi="Arial" w:cs="Arial"/>
              <w:noProof/>
              <w:sz w:val="24"/>
              <w:szCs w:val="24"/>
              <w:lang w:val="en-US"/>
            </w:rPr>
          </w:pPr>
          <w:hyperlink w:anchor="_Toc217195891" w:history="1">
            <w:r w:rsidRPr="001B45A1">
              <w:rPr>
                <w:rStyle w:val="Hyperlink"/>
                <w:rFonts w:ascii="Arial" w:hAnsi="Arial" w:cs="Arial"/>
                <w:noProof/>
                <w:sz w:val="24"/>
                <w:szCs w:val="24"/>
              </w:rPr>
              <w:t>4.8 Capital Rationing Analysis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_Toc217195891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25</w:t>
            </w:r>
            <w:r w:rsidRPr="001B45A1">
              <w:rPr>
                <w:rFonts w:ascii="Arial" w:hAnsi="Arial" w:cs="Arial"/>
                <w:noProof/>
                <w:webHidden/>
                <w:sz w:val="24"/>
                <w:szCs w:val="24"/>
              </w:rPr>
              <w:fldChar w:fldCharType="end"/>
            </w:r>
          </w:hyperlink>
        </w:p>
        <w:p w14:paraId="1B315ED8" w14:textId="77777777" w:rsidR="001B45A1" w:rsidRPr="001B45A1" w:rsidRDefault="001B45A1">
          <w:pPr>
            <w:pStyle w:val="TOC1"/>
            <w:tabs>
              <w:tab w:val="right" w:leader="dot" w:pos="9350"/>
            </w:tabs>
            <w:rPr>
              <w:rFonts w:ascii="Arial" w:eastAsiaTheme="minorEastAsia" w:hAnsi="Arial" w:cs="Arial"/>
              <w:noProof/>
              <w:sz w:val="24"/>
              <w:szCs w:val="24"/>
              <w:lang w:val="en-US"/>
            </w:rPr>
          </w:pPr>
          <w:hyperlink w:anchor="_Toc217195892" w:history="1">
            <w:r w:rsidRPr="001B45A1">
              <w:rPr>
                <w:rStyle w:val="Hyperlink"/>
                <w:rFonts w:ascii="Arial" w:hAnsi="Arial" w:cs="Arial"/>
                <w:noProof/>
                <w:sz w:val="24"/>
                <w:szCs w:val="24"/>
              </w:rPr>
              <w:t>5. Conclusion</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_Toc217195892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26</w:t>
            </w:r>
            <w:r w:rsidRPr="001B45A1">
              <w:rPr>
                <w:rFonts w:ascii="Arial" w:hAnsi="Arial" w:cs="Arial"/>
                <w:noProof/>
                <w:webHidden/>
                <w:sz w:val="24"/>
                <w:szCs w:val="24"/>
              </w:rPr>
              <w:fldChar w:fldCharType="end"/>
            </w:r>
          </w:hyperlink>
        </w:p>
        <w:p w14:paraId="50104CB3" w14:textId="77777777" w:rsidR="001B45A1" w:rsidRPr="001B45A1" w:rsidRDefault="001B45A1">
          <w:pPr>
            <w:pStyle w:val="TOC1"/>
            <w:tabs>
              <w:tab w:val="right" w:leader="dot" w:pos="9350"/>
            </w:tabs>
            <w:rPr>
              <w:rFonts w:ascii="Arial" w:eastAsiaTheme="minorEastAsia" w:hAnsi="Arial" w:cs="Arial"/>
              <w:noProof/>
              <w:sz w:val="24"/>
              <w:szCs w:val="24"/>
              <w:lang w:val="en-US"/>
            </w:rPr>
          </w:pPr>
          <w:hyperlink w:anchor="_Toc217195893" w:history="1">
            <w:r w:rsidRPr="001B45A1">
              <w:rPr>
                <w:rStyle w:val="Hyperlink"/>
                <w:rFonts w:ascii="Arial" w:hAnsi="Arial" w:cs="Arial"/>
                <w:noProof/>
                <w:sz w:val="24"/>
                <w:szCs w:val="24"/>
              </w:rPr>
              <w:t>6. Reference</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_Toc217195893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27</w:t>
            </w:r>
            <w:r w:rsidRPr="001B45A1">
              <w:rPr>
                <w:rFonts w:ascii="Arial" w:hAnsi="Arial" w:cs="Arial"/>
                <w:noProof/>
                <w:webHidden/>
                <w:sz w:val="24"/>
                <w:szCs w:val="24"/>
              </w:rPr>
              <w:fldChar w:fldCharType="end"/>
            </w:r>
          </w:hyperlink>
        </w:p>
        <w:p w14:paraId="1C5B4CC4" w14:textId="77777777" w:rsidR="001B45A1" w:rsidRPr="001B45A1" w:rsidRDefault="001B45A1">
          <w:pPr>
            <w:pStyle w:val="TOC1"/>
            <w:tabs>
              <w:tab w:val="right" w:leader="dot" w:pos="9350"/>
            </w:tabs>
            <w:rPr>
              <w:rFonts w:ascii="Arial" w:eastAsiaTheme="minorEastAsia" w:hAnsi="Arial" w:cs="Arial"/>
              <w:noProof/>
              <w:sz w:val="24"/>
              <w:szCs w:val="24"/>
              <w:lang w:val="en-US"/>
            </w:rPr>
          </w:pPr>
          <w:hyperlink w:anchor="_Toc217195894" w:history="1">
            <w:r w:rsidRPr="001B45A1">
              <w:rPr>
                <w:rStyle w:val="Hyperlink"/>
                <w:rFonts w:ascii="Arial" w:hAnsi="Arial" w:cs="Arial"/>
                <w:noProof/>
                <w:sz w:val="24"/>
                <w:szCs w:val="24"/>
              </w:rPr>
              <w:t>7. Appendices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_Toc217195894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30</w:t>
            </w:r>
            <w:r w:rsidRPr="001B45A1">
              <w:rPr>
                <w:rFonts w:ascii="Arial" w:hAnsi="Arial" w:cs="Arial"/>
                <w:noProof/>
                <w:webHidden/>
                <w:sz w:val="24"/>
                <w:szCs w:val="24"/>
              </w:rPr>
              <w:fldChar w:fldCharType="end"/>
            </w:r>
          </w:hyperlink>
        </w:p>
        <w:p w14:paraId="759CB798" w14:textId="77777777" w:rsidR="001B45A1" w:rsidRDefault="001B45A1">
          <w:pPr>
            <w:pStyle w:val="TOC2"/>
            <w:tabs>
              <w:tab w:val="left" w:pos="880"/>
              <w:tab w:val="right" w:leader="dot" w:pos="9350"/>
            </w:tabs>
            <w:rPr>
              <w:rFonts w:eastAsiaTheme="minorEastAsia"/>
              <w:noProof/>
              <w:lang w:val="en-US"/>
            </w:rPr>
          </w:pPr>
          <w:hyperlink w:anchor="_Toc217195895" w:history="1">
            <w:r w:rsidRPr="001B45A1">
              <w:rPr>
                <w:rStyle w:val="Hyperlink"/>
                <w:rFonts w:ascii="Arial" w:eastAsia="Times New Roman" w:hAnsi="Arial" w:cs="Arial"/>
                <w:b/>
                <w:bCs/>
                <w:noProof/>
                <w:sz w:val="24"/>
                <w:szCs w:val="24"/>
                <w:lang w:eastAsia="en-GB"/>
              </w:rPr>
              <w:t>7.2</w:t>
            </w:r>
            <w:r w:rsidRPr="001B45A1">
              <w:rPr>
                <w:rFonts w:ascii="Arial" w:eastAsiaTheme="minorEastAsia" w:hAnsi="Arial" w:cs="Arial"/>
                <w:noProof/>
                <w:sz w:val="24"/>
                <w:szCs w:val="24"/>
                <w:lang w:val="en-US"/>
              </w:rPr>
              <w:tab/>
            </w:r>
            <w:r w:rsidRPr="001B45A1">
              <w:rPr>
                <w:rStyle w:val="Hyperlink"/>
                <w:rFonts w:ascii="Arial" w:eastAsia="Times New Roman" w:hAnsi="Arial" w:cs="Arial"/>
                <w:b/>
                <w:bCs/>
                <w:noProof/>
                <w:sz w:val="24"/>
                <w:szCs w:val="24"/>
                <w:lang w:eastAsia="en-GB"/>
              </w:rPr>
              <w:t>Graphs</w:t>
            </w:r>
            <w:r w:rsidRPr="001B45A1">
              <w:rPr>
                <w:rFonts w:ascii="Arial" w:hAnsi="Arial" w:cs="Arial"/>
                <w:noProof/>
                <w:webHidden/>
                <w:sz w:val="24"/>
                <w:szCs w:val="24"/>
              </w:rPr>
              <w:tab/>
            </w:r>
            <w:r w:rsidRPr="001B45A1">
              <w:rPr>
                <w:rFonts w:ascii="Arial" w:hAnsi="Arial" w:cs="Arial"/>
                <w:noProof/>
                <w:webHidden/>
                <w:sz w:val="24"/>
                <w:szCs w:val="24"/>
              </w:rPr>
              <w:fldChar w:fldCharType="begin"/>
            </w:r>
            <w:r w:rsidRPr="001B45A1">
              <w:rPr>
                <w:rFonts w:ascii="Arial" w:hAnsi="Arial" w:cs="Arial"/>
                <w:noProof/>
                <w:webHidden/>
                <w:sz w:val="24"/>
                <w:szCs w:val="24"/>
              </w:rPr>
              <w:instrText xml:space="preserve"> PAGEREF _Toc217195895 \h </w:instrText>
            </w:r>
            <w:r w:rsidRPr="001B45A1">
              <w:rPr>
                <w:rFonts w:ascii="Arial" w:hAnsi="Arial" w:cs="Arial"/>
                <w:noProof/>
                <w:webHidden/>
                <w:sz w:val="24"/>
                <w:szCs w:val="24"/>
              </w:rPr>
            </w:r>
            <w:r w:rsidRPr="001B45A1">
              <w:rPr>
                <w:rFonts w:ascii="Arial" w:hAnsi="Arial" w:cs="Arial"/>
                <w:noProof/>
                <w:webHidden/>
                <w:sz w:val="24"/>
                <w:szCs w:val="24"/>
              </w:rPr>
              <w:fldChar w:fldCharType="separate"/>
            </w:r>
            <w:r w:rsidRPr="001B45A1">
              <w:rPr>
                <w:rFonts w:ascii="Arial" w:hAnsi="Arial" w:cs="Arial"/>
                <w:noProof/>
                <w:webHidden/>
                <w:sz w:val="24"/>
                <w:szCs w:val="24"/>
              </w:rPr>
              <w:t>32</w:t>
            </w:r>
            <w:r w:rsidRPr="001B45A1">
              <w:rPr>
                <w:rFonts w:ascii="Arial" w:hAnsi="Arial" w:cs="Arial"/>
                <w:noProof/>
                <w:webHidden/>
                <w:sz w:val="24"/>
                <w:szCs w:val="24"/>
              </w:rPr>
              <w:fldChar w:fldCharType="end"/>
            </w:r>
          </w:hyperlink>
        </w:p>
        <w:p w14:paraId="183C2B7F" w14:textId="77777777" w:rsidR="00FC1E56" w:rsidRPr="00E2376A" w:rsidRDefault="002246A5" w:rsidP="0015228E">
          <w:pPr>
            <w:jc w:val="both"/>
            <w:rPr>
              <w:rFonts w:ascii="Arial" w:hAnsi="Arial" w:cs="Arial"/>
              <w:b/>
              <w:bCs/>
              <w:noProof/>
              <w:sz w:val="24"/>
              <w:szCs w:val="24"/>
            </w:rPr>
          </w:pPr>
          <w:r w:rsidRPr="00E2376A">
            <w:rPr>
              <w:rFonts w:ascii="Arial" w:hAnsi="Arial" w:cs="Arial"/>
              <w:b/>
              <w:bCs/>
              <w:noProof/>
              <w:sz w:val="24"/>
              <w:szCs w:val="24"/>
            </w:rPr>
            <w:fldChar w:fldCharType="end"/>
          </w:r>
        </w:p>
      </w:sdtContent>
    </w:sdt>
    <w:p w14:paraId="575D628E" w14:textId="77777777" w:rsidR="002246A5" w:rsidRPr="00E2376A" w:rsidRDefault="002246A5" w:rsidP="00FC1E56">
      <w:pPr>
        <w:rPr>
          <w:rFonts w:ascii="Arial" w:hAnsi="Arial" w:cs="Arial"/>
          <w:b/>
          <w:bCs/>
          <w:noProof/>
          <w:sz w:val="24"/>
          <w:szCs w:val="24"/>
        </w:rPr>
        <w:sectPr w:rsidR="002246A5" w:rsidRPr="00E2376A" w:rsidSect="00037DCA">
          <w:footerReference w:type="default" r:id="rId8"/>
          <w:pgSz w:w="12240" w:h="15840"/>
          <w:pgMar w:top="1440" w:right="1440" w:bottom="1440" w:left="1440" w:header="720" w:footer="720" w:gutter="0"/>
          <w:pgBorders w:offsetFrom="page">
            <w:top w:val="flowersTiny" w:sz="14" w:space="24" w:color="auto"/>
            <w:left w:val="flowersTiny" w:sz="14" w:space="24" w:color="auto"/>
            <w:bottom w:val="flowersTiny" w:sz="14" w:space="24" w:color="auto"/>
            <w:right w:val="flowersTiny" w:sz="14" w:space="24" w:color="auto"/>
          </w:pgBorders>
          <w:pgNumType w:fmt="lowerRoman"/>
          <w:cols w:space="720"/>
        </w:sectPr>
      </w:pPr>
    </w:p>
    <w:p w14:paraId="349ABD00" w14:textId="77777777" w:rsidR="00657EF4" w:rsidRPr="007C28EC" w:rsidRDefault="00FD172A" w:rsidP="007C28EC">
      <w:pPr>
        <w:pStyle w:val="Heading1"/>
        <w:spacing w:after="240"/>
        <w:rPr>
          <w:color w:val="auto"/>
        </w:rPr>
      </w:pPr>
      <w:bookmarkStart w:id="0" w:name="_Toc217195846"/>
      <w:r w:rsidRPr="007C28EC">
        <w:rPr>
          <w:color w:val="auto"/>
        </w:rPr>
        <w:t>Introduction</w:t>
      </w:r>
      <w:bookmarkEnd w:id="0"/>
    </w:p>
    <w:p w14:paraId="2F51738E" w14:textId="77777777" w:rsidR="0036664A" w:rsidRPr="007C28EC" w:rsidRDefault="0036664A" w:rsidP="007C28EC">
      <w:pPr>
        <w:spacing w:after="240" w:line="360" w:lineRule="auto"/>
        <w:jc w:val="both"/>
        <w:rPr>
          <w:rFonts w:ascii="Arial" w:hAnsi="Arial" w:cs="Arial"/>
          <w:sz w:val="24"/>
        </w:rPr>
      </w:pPr>
      <w:r w:rsidRPr="007C28EC">
        <w:rPr>
          <w:rFonts w:ascii="Arial" w:hAnsi="Arial" w:cs="Arial"/>
          <w:sz w:val="24"/>
        </w:rPr>
        <w:t xml:space="preserve">Global consumer electronics industry has been </w:t>
      </w:r>
      <w:r w:rsidR="00EC372D" w:rsidRPr="007C28EC">
        <w:rPr>
          <w:rFonts w:ascii="Arial" w:hAnsi="Arial" w:cs="Arial"/>
          <w:sz w:val="24"/>
        </w:rPr>
        <w:t>under stressful</w:t>
      </w:r>
      <w:r w:rsidRPr="007C28EC">
        <w:rPr>
          <w:rFonts w:ascii="Arial" w:hAnsi="Arial" w:cs="Arial"/>
          <w:sz w:val="24"/>
        </w:rPr>
        <w:t xml:space="preserve"> financial pressure and pressure in the last decade because of various technological innovations, decreasing product life cycles, disruption of supply chains and a global competitive pressure. As of 2020, external shocks like the COVID-19 pandemic, shortages of semiconductors, and inflationary pressures as well as fluctuating exchange rates further stressed the financial stability of multinational electronics companies (McKinse</w:t>
      </w:r>
      <w:r w:rsidR="00E2376A">
        <w:rPr>
          <w:rFonts w:ascii="Arial" w:hAnsi="Arial" w:cs="Arial"/>
          <w:sz w:val="24"/>
        </w:rPr>
        <w:t>y &amp; Company, 2021; OECD, 2022).</w:t>
      </w:r>
    </w:p>
    <w:p w14:paraId="62CADE28" w14:textId="77777777" w:rsidR="00EC372D" w:rsidRPr="007C28EC" w:rsidRDefault="0036664A" w:rsidP="0036664A">
      <w:pPr>
        <w:spacing w:line="360" w:lineRule="auto"/>
        <w:jc w:val="both"/>
        <w:rPr>
          <w:rFonts w:ascii="Arial" w:hAnsi="Arial" w:cs="Arial"/>
          <w:sz w:val="24"/>
        </w:rPr>
      </w:pPr>
      <w:r w:rsidRPr="007C28EC">
        <w:rPr>
          <w:rFonts w:ascii="Arial" w:hAnsi="Arial" w:cs="Arial"/>
          <w:sz w:val="24"/>
        </w:rPr>
        <w:t xml:space="preserve">General Electronics is a multinational company that is in the dynamic industry and is currently experiencing serious financial and operational problems. Fading margins, ineffectiveness in the management of the working capital, and excessive use of debt financing has reduced the shareholder value and limited the strategic flexibility. In the modern financial management literature, it is important to note that in times of corporate distress, the Chief Financial Officer (CFO) plays the critical role of diagnosing financial weaknesses, restoring liquidity, and making value-creating investment decisions (Brigham and </w:t>
      </w:r>
      <w:proofErr w:type="spellStart"/>
      <w:r w:rsidRPr="007C28EC">
        <w:rPr>
          <w:rFonts w:ascii="Arial" w:hAnsi="Arial" w:cs="Arial"/>
          <w:sz w:val="24"/>
        </w:rPr>
        <w:t>Daves</w:t>
      </w:r>
      <w:proofErr w:type="spellEnd"/>
      <w:r w:rsidRPr="007C28EC">
        <w:rPr>
          <w:rFonts w:ascii="Arial" w:hAnsi="Arial" w:cs="Arial"/>
          <w:sz w:val="24"/>
        </w:rPr>
        <w:t xml:space="preserve">, 2022; </w:t>
      </w:r>
      <w:proofErr w:type="spellStart"/>
      <w:r w:rsidRPr="007C28EC">
        <w:rPr>
          <w:rFonts w:ascii="Arial" w:hAnsi="Arial" w:cs="Arial"/>
          <w:sz w:val="24"/>
        </w:rPr>
        <w:t>Atrill</w:t>
      </w:r>
      <w:proofErr w:type="spellEnd"/>
      <w:r w:rsidRPr="007C28EC">
        <w:rPr>
          <w:rFonts w:ascii="Arial" w:hAnsi="Arial" w:cs="Arial"/>
          <w:sz w:val="24"/>
        </w:rPr>
        <w:t xml:space="preserve"> and </w:t>
      </w:r>
      <w:proofErr w:type="spellStart"/>
      <w:r w:rsidRPr="007C28EC">
        <w:rPr>
          <w:rFonts w:ascii="Arial" w:hAnsi="Arial" w:cs="Arial"/>
          <w:sz w:val="24"/>
        </w:rPr>
        <w:t>McLaney</w:t>
      </w:r>
      <w:proofErr w:type="spellEnd"/>
      <w:r w:rsidRPr="007C28EC">
        <w:rPr>
          <w:rFonts w:ascii="Arial" w:hAnsi="Arial" w:cs="Arial"/>
          <w:sz w:val="24"/>
        </w:rPr>
        <w:t>, 2024).</w:t>
      </w:r>
    </w:p>
    <w:p w14:paraId="1BB9A0FD" w14:textId="77777777" w:rsidR="00EC372D" w:rsidRPr="007C28EC" w:rsidRDefault="00EC372D" w:rsidP="0036664A">
      <w:pPr>
        <w:spacing w:line="360" w:lineRule="auto"/>
        <w:jc w:val="both"/>
        <w:rPr>
          <w:rFonts w:ascii="Arial" w:hAnsi="Arial" w:cs="Arial"/>
          <w:sz w:val="24"/>
        </w:rPr>
      </w:pPr>
    </w:p>
    <w:p w14:paraId="3B61D870" w14:textId="77777777" w:rsidR="00EC372D" w:rsidRPr="007C28EC" w:rsidRDefault="00EC372D" w:rsidP="0036664A">
      <w:pPr>
        <w:spacing w:line="360" w:lineRule="auto"/>
        <w:jc w:val="both"/>
        <w:rPr>
          <w:rFonts w:ascii="Arial" w:hAnsi="Arial" w:cs="Arial"/>
          <w:sz w:val="24"/>
        </w:rPr>
      </w:pPr>
    </w:p>
    <w:p w14:paraId="33B901F3" w14:textId="77777777" w:rsidR="0036664A" w:rsidRPr="007C28EC" w:rsidRDefault="0036664A" w:rsidP="0036664A">
      <w:pPr>
        <w:spacing w:line="360" w:lineRule="auto"/>
        <w:jc w:val="both"/>
        <w:rPr>
          <w:rFonts w:ascii="Arial" w:hAnsi="Arial" w:cs="Arial"/>
          <w:sz w:val="24"/>
        </w:rPr>
      </w:pPr>
    </w:p>
    <w:p w14:paraId="5B8CA922" w14:textId="77777777" w:rsidR="007C28EC" w:rsidRDefault="007C28EC">
      <w:pPr>
        <w:rPr>
          <w:rFonts w:ascii="Arial" w:eastAsiaTheme="majorEastAsia" w:hAnsi="Arial" w:cstheme="majorBidi"/>
          <w:b/>
          <w:sz w:val="32"/>
          <w:szCs w:val="32"/>
        </w:rPr>
      </w:pPr>
      <w:r>
        <w:br w:type="page"/>
      </w:r>
    </w:p>
    <w:p w14:paraId="3E415FBC" w14:textId="77777777" w:rsidR="0036664A" w:rsidRPr="007C28EC" w:rsidRDefault="0036664A" w:rsidP="007C28EC">
      <w:pPr>
        <w:pStyle w:val="Heading1"/>
        <w:spacing w:after="240"/>
        <w:rPr>
          <w:color w:val="auto"/>
        </w:rPr>
      </w:pPr>
      <w:bookmarkStart w:id="1" w:name="_Toc217195847"/>
      <w:r w:rsidRPr="007C28EC">
        <w:rPr>
          <w:color w:val="auto"/>
        </w:rPr>
        <w:t>1. Financial Health Analysis of General Electronics.</w:t>
      </w:r>
      <w:bookmarkEnd w:id="1"/>
    </w:p>
    <w:p w14:paraId="6D0275BA" w14:textId="77777777" w:rsidR="0036664A" w:rsidRPr="007C28EC" w:rsidRDefault="0036664A" w:rsidP="007C28EC">
      <w:pPr>
        <w:pStyle w:val="Heading2"/>
        <w:spacing w:after="240"/>
        <w:rPr>
          <w:color w:val="auto"/>
        </w:rPr>
      </w:pPr>
      <w:bookmarkStart w:id="2" w:name="_Toc217195848"/>
      <w:r w:rsidRPr="007C28EC">
        <w:rPr>
          <w:color w:val="auto"/>
        </w:rPr>
        <w:t>1.1 Introduction</w:t>
      </w:r>
      <w:bookmarkEnd w:id="2"/>
    </w:p>
    <w:p w14:paraId="126B56E3" w14:textId="77777777" w:rsidR="0036664A" w:rsidRPr="007C28EC" w:rsidRDefault="0036664A" w:rsidP="007C28EC">
      <w:pPr>
        <w:spacing w:after="240" w:line="360" w:lineRule="auto"/>
        <w:jc w:val="both"/>
        <w:rPr>
          <w:rFonts w:ascii="Arial" w:hAnsi="Arial" w:cs="Arial"/>
          <w:sz w:val="24"/>
        </w:rPr>
      </w:pPr>
      <w:r w:rsidRPr="007C28EC">
        <w:rPr>
          <w:rFonts w:ascii="Arial" w:hAnsi="Arial" w:cs="Arial"/>
          <w:sz w:val="24"/>
        </w:rPr>
        <w:t>A financial health check is a systematic review of the financial performance, stability and risk exposure of an organisation on the basis of the past financial records. In the case of General Electronics, it is a critical evaluation because the company has lost competitiveness and is increasingly suffering financially, in the international consumer electronics market. This type of analysis allows to identify the negative trends, potentially existing weaknesses, and possible early warning signs of the corporate failure and make informed strategic decisions and plan the financial turnaround (</w:t>
      </w:r>
      <w:proofErr w:type="spellStart"/>
      <w:r w:rsidRPr="007C28EC">
        <w:rPr>
          <w:rFonts w:ascii="Arial" w:hAnsi="Arial" w:cs="Arial"/>
          <w:sz w:val="24"/>
        </w:rPr>
        <w:t>Atrill</w:t>
      </w:r>
      <w:proofErr w:type="spellEnd"/>
      <w:r w:rsidRPr="007C28EC">
        <w:rPr>
          <w:rFonts w:ascii="Arial" w:hAnsi="Arial" w:cs="Arial"/>
          <w:sz w:val="24"/>
        </w:rPr>
        <w:t xml:space="preserve"> and </w:t>
      </w:r>
      <w:proofErr w:type="spellStart"/>
      <w:r w:rsidRPr="007C28EC">
        <w:rPr>
          <w:rFonts w:ascii="Arial" w:hAnsi="Arial" w:cs="Arial"/>
          <w:sz w:val="24"/>
        </w:rPr>
        <w:t>McLaney</w:t>
      </w:r>
      <w:proofErr w:type="spellEnd"/>
      <w:r w:rsidRPr="007C28EC">
        <w:rPr>
          <w:rFonts w:ascii="Arial" w:hAnsi="Arial" w:cs="Arial"/>
          <w:sz w:val="24"/>
        </w:rPr>
        <w:t xml:space="preserve">, 2024; Brigham and </w:t>
      </w:r>
      <w:proofErr w:type="spellStart"/>
      <w:r w:rsidRPr="007C28EC">
        <w:rPr>
          <w:rFonts w:ascii="Arial" w:hAnsi="Arial" w:cs="Arial"/>
          <w:sz w:val="24"/>
        </w:rPr>
        <w:t>Daves</w:t>
      </w:r>
      <w:proofErr w:type="spellEnd"/>
      <w:r w:rsidRPr="007C28EC">
        <w:rPr>
          <w:rFonts w:ascii="Arial" w:hAnsi="Arial" w:cs="Arial"/>
          <w:sz w:val="24"/>
        </w:rPr>
        <w:t>, 2022).</w:t>
      </w:r>
    </w:p>
    <w:p w14:paraId="3AF0EEC0" w14:textId="77777777" w:rsidR="0036664A" w:rsidRPr="007C28EC" w:rsidRDefault="0036664A" w:rsidP="007C28EC">
      <w:pPr>
        <w:pStyle w:val="Heading2"/>
        <w:spacing w:after="240"/>
        <w:rPr>
          <w:color w:val="auto"/>
        </w:rPr>
      </w:pPr>
      <w:bookmarkStart w:id="3" w:name="_Toc217195849"/>
      <w:r w:rsidRPr="007C28EC">
        <w:rPr>
          <w:color w:val="auto"/>
        </w:rPr>
        <w:t>1.2 Profitability Analysis</w:t>
      </w:r>
      <w:bookmarkEnd w:id="3"/>
    </w:p>
    <w:p w14:paraId="4803FCA3" w14:textId="77777777" w:rsidR="00A473AD" w:rsidRPr="007C28EC" w:rsidRDefault="0036664A" w:rsidP="007C28EC">
      <w:pPr>
        <w:spacing w:after="240" w:line="360" w:lineRule="auto"/>
        <w:jc w:val="both"/>
        <w:rPr>
          <w:rFonts w:ascii="Arial" w:hAnsi="Arial" w:cs="Arial"/>
          <w:sz w:val="24"/>
        </w:rPr>
      </w:pPr>
      <w:r w:rsidRPr="007C28EC">
        <w:rPr>
          <w:rFonts w:ascii="Arial" w:hAnsi="Arial" w:cs="Arial"/>
          <w:sz w:val="24"/>
        </w:rPr>
        <w:t>Profitability ratios determine the performance of the firm in terms of its capacity to achieve profits based on sales, assets and equity of the shareholders. General Electronics has continued to record a steady fall in the gross, operating and net profit margins which is a sign of increasing costs and decreasing buying power. The quality of returns on assets and equity has also worsened, showing ineffective use of assets, high levels of financial leverage. All these trends indicate that the company is not turning the revenue into long-term sustainable profits, which is diminishing shareholder value and elevates the financial risk in the long run (</w:t>
      </w:r>
      <w:proofErr w:type="spellStart"/>
      <w:r w:rsidRPr="007C28EC">
        <w:rPr>
          <w:rFonts w:ascii="Arial" w:hAnsi="Arial" w:cs="Arial"/>
          <w:sz w:val="24"/>
        </w:rPr>
        <w:t>Palepu</w:t>
      </w:r>
      <w:proofErr w:type="spellEnd"/>
      <w:r w:rsidRPr="007C28EC">
        <w:rPr>
          <w:rFonts w:ascii="Arial" w:hAnsi="Arial" w:cs="Arial"/>
          <w:sz w:val="24"/>
        </w:rPr>
        <w:t xml:space="preserve"> et al., 2020; </w:t>
      </w:r>
      <w:proofErr w:type="spellStart"/>
      <w:r w:rsidRPr="007C28EC">
        <w:rPr>
          <w:rFonts w:ascii="Arial" w:hAnsi="Arial" w:cs="Arial"/>
          <w:sz w:val="24"/>
        </w:rPr>
        <w:t>Atrill</w:t>
      </w:r>
      <w:proofErr w:type="spellEnd"/>
      <w:r w:rsidRPr="007C28EC">
        <w:rPr>
          <w:rFonts w:ascii="Arial" w:hAnsi="Arial" w:cs="Arial"/>
          <w:sz w:val="24"/>
        </w:rPr>
        <w:t xml:space="preserve"> and </w:t>
      </w:r>
      <w:proofErr w:type="spellStart"/>
      <w:r w:rsidRPr="007C28EC">
        <w:rPr>
          <w:rFonts w:ascii="Arial" w:hAnsi="Arial" w:cs="Arial"/>
          <w:sz w:val="24"/>
        </w:rPr>
        <w:t>McLaney</w:t>
      </w:r>
      <w:proofErr w:type="spellEnd"/>
      <w:r w:rsidRPr="007C28EC">
        <w:rPr>
          <w:rFonts w:ascii="Arial" w:hAnsi="Arial" w:cs="Arial"/>
          <w:sz w:val="24"/>
        </w:rPr>
        <w:t>, 2024)</w:t>
      </w:r>
      <w:r w:rsidR="007038DC" w:rsidRPr="007C28EC">
        <w:rPr>
          <w:rFonts w:ascii="Arial" w:hAnsi="Arial" w:cs="Arial"/>
          <w:sz w:val="24"/>
        </w:rPr>
        <w:t>.</w:t>
      </w:r>
    </w:p>
    <w:p w14:paraId="5BFFDE97" w14:textId="77777777" w:rsidR="00A473AD" w:rsidRPr="001B45A1" w:rsidRDefault="00A473AD" w:rsidP="001B45A1">
      <w:pPr>
        <w:pStyle w:val="Heading3"/>
        <w:rPr>
          <w:color w:val="auto"/>
        </w:rPr>
      </w:pPr>
      <w:bookmarkStart w:id="4" w:name="_Toc217195850"/>
      <w:r w:rsidRPr="007C28EC">
        <w:rPr>
          <w:color w:val="auto"/>
        </w:rPr>
        <w:t>1.2.1 Gross Profit Margin (GPM)</w:t>
      </w:r>
      <w:bookmarkEnd w:id="4"/>
    </w:p>
    <w:p w14:paraId="020B3DD8" w14:textId="77777777" w:rsidR="00A473AD" w:rsidRPr="007C28EC" w:rsidRDefault="00A473AD" w:rsidP="00E53CC1">
      <w:pPr>
        <w:spacing w:line="360" w:lineRule="auto"/>
        <w:jc w:val="center"/>
        <w:rPr>
          <w:rFonts w:ascii="Arial" w:hAnsi="Arial" w:cs="Arial"/>
          <w:sz w:val="24"/>
        </w:rPr>
      </w:pPr>
      <w:r w:rsidRPr="007C28EC">
        <w:rPr>
          <w:rFonts w:ascii="Arial" w:hAnsi="Arial" w:cs="Arial"/>
          <w:sz w:val="24"/>
        </w:rPr>
        <w:t xml:space="preserve">GPM= </w:t>
      </w:r>
      <m:oMath>
        <m:f>
          <m:fPr>
            <m:ctrlPr>
              <w:rPr>
                <w:rFonts w:ascii="Cambria Math" w:hAnsi="Cambria Math" w:cs="Arial"/>
                <w:i/>
                <w:sz w:val="24"/>
              </w:rPr>
            </m:ctrlPr>
          </m:fPr>
          <m:num>
            <m:r>
              <w:rPr>
                <w:rFonts w:ascii="Cambria Math" w:hAnsi="Cambria Math" w:cs="Arial"/>
                <w:sz w:val="24"/>
              </w:rPr>
              <m:t>Gross Profit</m:t>
            </m:r>
          </m:num>
          <m:den>
            <m:r>
              <w:rPr>
                <w:rFonts w:ascii="Cambria Math" w:hAnsi="Cambria Math" w:cs="Arial"/>
                <w:sz w:val="24"/>
              </w:rPr>
              <m:t>Net Sales</m:t>
            </m:r>
          </m:den>
        </m:f>
      </m:oMath>
      <w:r w:rsidRPr="007C28EC">
        <w:rPr>
          <w:rFonts w:ascii="Arial" w:eastAsiaTheme="minorEastAsia" w:hAnsi="Arial" w:cs="Arial"/>
          <w:sz w:val="24"/>
        </w:rPr>
        <w:t>×100</w:t>
      </w:r>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13986031" w14:textId="77777777" w:rsidTr="00A473AD">
        <w:tc>
          <w:tcPr>
            <w:tcW w:w="2337" w:type="dxa"/>
          </w:tcPr>
          <w:p w14:paraId="04504C08" w14:textId="77777777" w:rsidR="00A473AD" w:rsidRPr="007C28EC" w:rsidRDefault="00A473AD" w:rsidP="00037DCA">
            <w:pPr>
              <w:spacing w:line="360" w:lineRule="auto"/>
              <w:jc w:val="both"/>
              <w:rPr>
                <w:rFonts w:ascii="Arial" w:hAnsi="Arial" w:cs="Arial"/>
                <w:b/>
                <w:sz w:val="24"/>
              </w:rPr>
            </w:pPr>
            <w:r w:rsidRPr="007C28EC">
              <w:rPr>
                <w:rFonts w:ascii="Arial" w:hAnsi="Arial" w:cs="Arial"/>
                <w:b/>
                <w:sz w:val="24"/>
              </w:rPr>
              <w:t>Year</w:t>
            </w:r>
          </w:p>
        </w:tc>
        <w:tc>
          <w:tcPr>
            <w:tcW w:w="2337" w:type="dxa"/>
          </w:tcPr>
          <w:p w14:paraId="17818A1B" w14:textId="77777777" w:rsidR="00A473AD" w:rsidRPr="007C28EC" w:rsidRDefault="00A473AD" w:rsidP="00037DCA">
            <w:pPr>
              <w:spacing w:line="360" w:lineRule="auto"/>
              <w:jc w:val="both"/>
              <w:rPr>
                <w:rFonts w:ascii="Arial" w:hAnsi="Arial" w:cs="Arial"/>
                <w:b/>
                <w:sz w:val="24"/>
              </w:rPr>
            </w:pPr>
            <w:r w:rsidRPr="007C28EC">
              <w:rPr>
                <w:rFonts w:ascii="Arial" w:hAnsi="Arial" w:cs="Arial"/>
                <w:b/>
                <w:sz w:val="24"/>
              </w:rPr>
              <w:t>Gross Profit (£m)</w:t>
            </w:r>
          </w:p>
        </w:tc>
        <w:tc>
          <w:tcPr>
            <w:tcW w:w="2338" w:type="dxa"/>
          </w:tcPr>
          <w:p w14:paraId="5F9BE4F3" w14:textId="77777777" w:rsidR="00A473AD" w:rsidRPr="007C28EC" w:rsidRDefault="00A473AD" w:rsidP="00037DCA">
            <w:pPr>
              <w:spacing w:line="360" w:lineRule="auto"/>
              <w:jc w:val="both"/>
              <w:rPr>
                <w:rFonts w:ascii="Arial" w:hAnsi="Arial" w:cs="Arial"/>
                <w:b/>
                <w:sz w:val="24"/>
              </w:rPr>
            </w:pPr>
            <w:r w:rsidRPr="007C28EC">
              <w:rPr>
                <w:rFonts w:ascii="Arial" w:hAnsi="Arial" w:cs="Arial"/>
                <w:b/>
                <w:sz w:val="24"/>
              </w:rPr>
              <w:t>Net Sales (£m)</w:t>
            </w:r>
          </w:p>
        </w:tc>
        <w:tc>
          <w:tcPr>
            <w:tcW w:w="2338" w:type="dxa"/>
          </w:tcPr>
          <w:p w14:paraId="7AAB2ADD" w14:textId="77777777" w:rsidR="00A473AD" w:rsidRPr="007C28EC" w:rsidRDefault="00A473AD" w:rsidP="00037DCA">
            <w:pPr>
              <w:spacing w:line="360" w:lineRule="auto"/>
              <w:jc w:val="both"/>
              <w:rPr>
                <w:rFonts w:ascii="Arial" w:hAnsi="Arial" w:cs="Arial"/>
                <w:b/>
                <w:sz w:val="24"/>
              </w:rPr>
            </w:pPr>
            <w:r w:rsidRPr="007C28EC">
              <w:rPr>
                <w:rFonts w:ascii="Arial" w:hAnsi="Arial" w:cs="Arial"/>
                <w:b/>
                <w:sz w:val="24"/>
              </w:rPr>
              <w:t>GPM (%)</w:t>
            </w:r>
          </w:p>
        </w:tc>
      </w:tr>
      <w:tr w:rsidR="007C28EC" w:rsidRPr="007C28EC" w14:paraId="1F49C058" w14:textId="77777777" w:rsidTr="00A473AD">
        <w:tc>
          <w:tcPr>
            <w:tcW w:w="2337" w:type="dxa"/>
          </w:tcPr>
          <w:p w14:paraId="57AEEDAC"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2024</w:t>
            </w:r>
          </w:p>
        </w:tc>
        <w:tc>
          <w:tcPr>
            <w:tcW w:w="2337" w:type="dxa"/>
          </w:tcPr>
          <w:p w14:paraId="6CE0D053"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113,994</w:t>
            </w:r>
          </w:p>
        </w:tc>
        <w:tc>
          <w:tcPr>
            <w:tcW w:w="2338" w:type="dxa"/>
          </w:tcPr>
          <w:p w14:paraId="07A4EF20"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394,879</w:t>
            </w:r>
          </w:p>
        </w:tc>
        <w:tc>
          <w:tcPr>
            <w:tcW w:w="2338" w:type="dxa"/>
          </w:tcPr>
          <w:p w14:paraId="5D76528D"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28.9</w:t>
            </w:r>
          </w:p>
        </w:tc>
      </w:tr>
      <w:tr w:rsidR="007C28EC" w:rsidRPr="007C28EC" w14:paraId="3114ADB6" w14:textId="77777777" w:rsidTr="00A473AD">
        <w:tc>
          <w:tcPr>
            <w:tcW w:w="2337" w:type="dxa"/>
          </w:tcPr>
          <w:p w14:paraId="6B64B0A1"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2023</w:t>
            </w:r>
          </w:p>
        </w:tc>
        <w:tc>
          <w:tcPr>
            <w:tcW w:w="2337" w:type="dxa"/>
          </w:tcPr>
          <w:p w14:paraId="10D90754"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97,560</w:t>
            </w:r>
          </w:p>
        </w:tc>
        <w:tc>
          <w:tcPr>
            <w:tcW w:w="2338" w:type="dxa"/>
          </w:tcPr>
          <w:p w14:paraId="70FAD823"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420,457</w:t>
            </w:r>
          </w:p>
        </w:tc>
        <w:tc>
          <w:tcPr>
            <w:tcW w:w="2338" w:type="dxa"/>
          </w:tcPr>
          <w:p w14:paraId="6242A083"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23.2</w:t>
            </w:r>
          </w:p>
        </w:tc>
      </w:tr>
      <w:tr w:rsidR="007C28EC" w:rsidRPr="007C28EC" w14:paraId="0588333B" w14:textId="77777777" w:rsidTr="00A473AD">
        <w:tc>
          <w:tcPr>
            <w:tcW w:w="2337" w:type="dxa"/>
          </w:tcPr>
          <w:p w14:paraId="0158FD15"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2022</w:t>
            </w:r>
          </w:p>
        </w:tc>
        <w:tc>
          <w:tcPr>
            <w:tcW w:w="2337" w:type="dxa"/>
          </w:tcPr>
          <w:p w14:paraId="4DF1B990"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152,292</w:t>
            </w:r>
          </w:p>
        </w:tc>
        <w:tc>
          <w:tcPr>
            <w:tcW w:w="2338" w:type="dxa"/>
          </w:tcPr>
          <w:p w14:paraId="4D68A639"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542,751</w:t>
            </w:r>
          </w:p>
        </w:tc>
        <w:tc>
          <w:tcPr>
            <w:tcW w:w="2338" w:type="dxa"/>
          </w:tcPr>
          <w:p w14:paraId="42BDC700"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28.1</w:t>
            </w:r>
          </w:p>
        </w:tc>
      </w:tr>
      <w:tr w:rsidR="007C28EC" w:rsidRPr="007C28EC" w14:paraId="65482215" w14:textId="77777777" w:rsidTr="00A473AD">
        <w:tc>
          <w:tcPr>
            <w:tcW w:w="2337" w:type="dxa"/>
          </w:tcPr>
          <w:p w14:paraId="552204F2"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2021</w:t>
            </w:r>
          </w:p>
        </w:tc>
        <w:tc>
          <w:tcPr>
            <w:tcW w:w="2337" w:type="dxa"/>
          </w:tcPr>
          <w:p w14:paraId="15249FB1"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173,016</w:t>
            </w:r>
          </w:p>
        </w:tc>
        <w:tc>
          <w:tcPr>
            <w:tcW w:w="2338" w:type="dxa"/>
          </w:tcPr>
          <w:p w14:paraId="390F12BB"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601,602</w:t>
            </w:r>
          </w:p>
        </w:tc>
        <w:tc>
          <w:tcPr>
            <w:tcW w:w="2338" w:type="dxa"/>
          </w:tcPr>
          <w:p w14:paraId="124E6A13"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28.8</w:t>
            </w:r>
          </w:p>
        </w:tc>
      </w:tr>
      <w:tr w:rsidR="007C28EC" w:rsidRPr="007C28EC" w14:paraId="53A01D12" w14:textId="77777777" w:rsidTr="00A473AD">
        <w:tc>
          <w:tcPr>
            <w:tcW w:w="2337" w:type="dxa"/>
          </w:tcPr>
          <w:p w14:paraId="1B506EE6"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2020</w:t>
            </w:r>
          </w:p>
        </w:tc>
        <w:tc>
          <w:tcPr>
            <w:tcW w:w="2337" w:type="dxa"/>
          </w:tcPr>
          <w:p w14:paraId="77BB3D46"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176,256</w:t>
            </w:r>
          </w:p>
        </w:tc>
        <w:tc>
          <w:tcPr>
            <w:tcW w:w="2338" w:type="dxa"/>
          </w:tcPr>
          <w:p w14:paraId="652AB0D2"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614,680</w:t>
            </w:r>
          </w:p>
        </w:tc>
        <w:tc>
          <w:tcPr>
            <w:tcW w:w="2338" w:type="dxa"/>
          </w:tcPr>
          <w:p w14:paraId="31CE5503" w14:textId="77777777" w:rsidR="00A473AD" w:rsidRPr="007C28EC" w:rsidRDefault="00A473AD" w:rsidP="00037DCA">
            <w:pPr>
              <w:spacing w:line="360" w:lineRule="auto"/>
              <w:jc w:val="both"/>
              <w:rPr>
                <w:rFonts w:ascii="Arial" w:hAnsi="Arial" w:cs="Arial"/>
                <w:sz w:val="24"/>
              </w:rPr>
            </w:pPr>
            <w:r w:rsidRPr="007C28EC">
              <w:rPr>
                <w:rFonts w:ascii="Arial" w:hAnsi="Arial" w:cs="Arial"/>
                <w:sz w:val="24"/>
              </w:rPr>
              <w:t>28.7</w:t>
            </w:r>
          </w:p>
        </w:tc>
      </w:tr>
    </w:tbl>
    <w:p w14:paraId="4088123B" w14:textId="77777777" w:rsidR="00FD172A" w:rsidRPr="007C28EC" w:rsidRDefault="00FD172A" w:rsidP="00FD172A">
      <w:pPr>
        <w:jc w:val="both"/>
        <w:rPr>
          <w:rFonts w:ascii="Arial" w:hAnsi="Arial" w:cs="Arial"/>
          <w:sz w:val="24"/>
        </w:rPr>
      </w:pPr>
    </w:p>
    <w:p w14:paraId="3F304158" w14:textId="77777777" w:rsidR="00E53CC1" w:rsidRPr="007C28EC" w:rsidRDefault="00E53CC1" w:rsidP="00E53CC1">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4F468F" w:rsidRPr="007C28EC">
        <w:rPr>
          <w:rFonts w:ascii="Arial" w:hAnsi="Arial" w:cs="Arial"/>
          <w:sz w:val="24"/>
        </w:rPr>
        <w:t>General Electronics has experienced an evident decline in its Gross Profit Margin (GPM) in 2023, with its value dropping sharply to 23.2% amid rather consistent rates between 2020 and 2022, 28-29. This has indicated high increment in the cost of goods sold to sales which was probably caused by high costs of raw materials, and disrupted global supply chain and added energy and logistics costs to the consumer electronics industry in this time frame. Even though GPM is increasing to 28.9% in 2024, it is accompanied by a significant decrease in net sales, implying that the increase in margin may be partially attributed to the reduction or elimination of expenses or product mix, as opposed to better market competitiveness. All in all, the fluctuation of GPM reflects the susceptibility of General Electronics to the cost pressure and inability to consistently transfer the higher costs to the customers, which would pose the risk of a lack of sustainable profitability in case the reduction in revenue persists (</w:t>
      </w:r>
      <w:proofErr w:type="spellStart"/>
      <w:r w:rsidR="004F468F" w:rsidRPr="007C28EC">
        <w:rPr>
          <w:rFonts w:ascii="Arial" w:hAnsi="Arial" w:cs="Arial"/>
          <w:sz w:val="24"/>
        </w:rPr>
        <w:t>Atrill</w:t>
      </w:r>
      <w:proofErr w:type="spellEnd"/>
      <w:r w:rsidR="004F468F" w:rsidRPr="007C28EC">
        <w:rPr>
          <w:rFonts w:ascii="Arial" w:hAnsi="Arial" w:cs="Arial"/>
          <w:sz w:val="24"/>
        </w:rPr>
        <w:t xml:space="preserve"> and </w:t>
      </w:r>
      <w:proofErr w:type="spellStart"/>
      <w:r w:rsidR="004F468F" w:rsidRPr="007C28EC">
        <w:rPr>
          <w:rFonts w:ascii="Arial" w:hAnsi="Arial" w:cs="Arial"/>
          <w:sz w:val="24"/>
        </w:rPr>
        <w:t>McLaney</w:t>
      </w:r>
      <w:proofErr w:type="spellEnd"/>
      <w:r w:rsidR="004F468F" w:rsidRPr="007C28EC">
        <w:rPr>
          <w:rFonts w:ascii="Arial" w:hAnsi="Arial" w:cs="Arial"/>
          <w:sz w:val="24"/>
        </w:rPr>
        <w:t xml:space="preserve">, 2024; Brigham and </w:t>
      </w:r>
      <w:proofErr w:type="spellStart"/>
      <w:r w:rsidR="004F468F" w:rsidRPr="007C28EC">
        <w:rPr>
          <w:rFonts w:ascii="Arial" w:hAnsi="Arial" w:cs="Arial"/>
          <w:sz w:val="24"/>
        </w:rPr>
        <w:t>Daves</w:t>
      </w:r>
      <w:proofErr w:type="spellEnd"/>
      <w:r w:rsidR="004F468F" w:rsidRPr="007C28EC">
        <w:rPr>
          <w:rFonts w:ascii="Arial" w:hAnsi="Arial" w:cs="Arial"/>
          <w:sz w:val="24"/>
        </w:rPr>
        <w:t>, 2022).</w:t>
      </w:r>
    </w:p>
    <w:p w14:paraId="394793A0" w14:textId="77777777" w:rsidR="00E53CC1" w:rsidRPr="007C28EC" w:rsidRDefault="00E53CC1" w:rsidP="00E53CC1">
      <w:pPr>
        <w:spacing w:line="360" w:lineRule="auto"/>
        <w:jc w:val="both"/>
        <w:rPr>
          <w:rFonts w:ascii="Arial" w:hAnsi="Arial" w:cs="Arial"/>
          <w:sz w:val="24"/>
        </w:rPr>
      </w:pPr>
      <w:bookmarkStart w:id="5" w:name="_Toc217195851"/>
      <w:r w:rsidRPr="007C28EC">
        <w:rPr>
          <w:rStyle w:val="Heading3Char"/>
          <w:color w:val="auto"/>
        </w:rPr>
        <w:t>1.2.2 Operating Profit Margin (OPM</w:t>
      </w:r>
      <w:bookmarkEnd w:id="5"/>
      <w:r w:rsidRPr="007C28EC">
        <w:rPr>
          <w:rFonts w:ascii="Arial" w:hAnsi="Arial" w:cs="Arial"/>
          <w:sz w:val="24"/>
        </w:rPr>
        <w:t>)</w:t>
      </w:r>
    </w:p>
    <w:p w14:paraId="09F745FB" w14:textId="77777777" w:rsidR="00E53CC1" w:rsidRPr="007C28EC" w:rsidRDefault="00E53CC1" w:rsidP="00E53CC1">
      <w:pPr>
        <w:spacing w:line="360" w:lineRule="auto"/>
        <w:jc w:val="center"/>
        <w:rPr>
          <w:rFonts w:ascii="Arial" w:hAnsi="Arial" w:cs="Arial"/>
          <w:sz w:val="24"/>
        </w:rPr>
      </w:pPr>
      <w:r w:rsidRPr="007C28EC">
        <w:rPr>
          <w:rFonts w:ascii="Arial" w:hAnsi="Arial" w:cs="Arial"/>
          <w:sz w:val="24"/>
        </w:rPr>
        <w:t>OPM=</w:t>
      </w:r>
      <m:oMath>
        <m:f>
          <m:fPr>
            <m:ctrlPr>
              <w:rPr>
                <w:rFonts w:ascii="Cambria Math" w:hAnsi="Cambria Math" w:cs="Arial"/>
                <w:i/>
                <w:sz w:val="24"/>
              </w:rPr>
            </m:ctrlPr>
          </m:fPr>
          <m:num>
            <m:r>
              <w:rPr>
                <w:rFonts w:ascii="Cambria Math" w:hAnsi="Cambria Math" w:cs="Arial"/>
                <w:sz w:val="24"/>
              </w:rPr>
              <m:t>Operating Income</m:t>
            </m:r>
          </m:num>
          <m:den>
            <m:r>
              <w:rPr>
                <w:rFonts w:ascii="Cambria Math" w:hAnsi="Cambria Math" w:cs="Arial"/>
                <w:sz w:val="24"/>
              </w:rPr>
              <m:t>Net Sales</m:t>
            </m:r>
          </m:den>
        </m:f>
      </m:oMath>
      <w:r w:rsidRPr="007C28EC">
        <w:rPr>
          <w:rFonts w:ascii="Arial" w:eastAsiaTheme="minorEastAsia" w:hAnsi="Arial" w:cs="Arial"/>
          <w:sz w:val="24"/>
        </w:rPr>
        <w:t>×100</w:t>
      </w:r>
    </w:p>
    <w:tbl>
      <w:tblPr>
        <w:tblStyle w:val="TableGrid"/>
        <w:tblW w:w="0" w:type="auto"/>
        <w:tblLook w:val="04A0" w:firstRow="1" w:lastRow="0" w:firstColumn="1" w:lastColumn="0" w:noHBand="0" w:noVBand="1"/>
      </w:tblPr>
      <w:tblGrid>
        <w:gridCol w:w="3116"/>
        <w:gridCol w:w="3117"/>
        <w:gridCol w:w="3117"/>
      </w:tblGrid>
      <w:tr w:rsidR="007C28EC" w:rsidRPr="007C28EC" w14:paraId="0CA07E99" w14:textId="77777777" w:rsidTr="00E53CC1">
        <w:tc>
          <w:tcPr>
            <w:tcW w:w="3116" w:type="dxa"/>
          </w:tcPr>
          <w:p w14:paraId="6E447464"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Year</w:t>
            </w:r>
          </w:p>
        </w:tc>
        <w:tc>
          <w:tcPr>
            <w:tcW w:w="3117" w:type="dxa"/>
          </w:tcPr>
          <w:p w14:paraId="533201BC"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Operating Income (£m)</w:t>
            </w:r>
          </w:p>
        </w:tc>
        <w:tc>
          <w:tcPr>
            <w:tcW w:w="3117" w:type="dxa"/>
          </w:tcPr>
          <w:p w14:paraId="4079683B"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OPM (%)</w:t>
            </w:r>
          </w:p>
        </w:tc>
      </w:tr>
      <w:tr w:rsidR="007C28EC" w:rsidRPr="007C28EC" w14:paraId="327E360C" w14:textId="77777777" w:rsidTr="00E53CC1">
        <w:tc>
          <w:tcPr>
            <w:tcW w:w="3116" w:type="dxa"/>
          </w:tcPr>
          <w:p w14:paraId="04255AEC"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2024</w:t>
            </w:r>
          </w:p>
        </w:tc>
        <w:tc>
          <w:tcPr>
            <w:tcW w:w="3117" w:type="dxa"/>
          </w:tcPr>
          <w:p w14:paraId="281DD113"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(15,297)</w:t>
            </w:r>
          </w:p>
        </w:tc>
        <w:tc>
          <w:tcPr>
            <w:tcW w:w="3117" w:type="dxa"/>
          </w:tcPr>
          <w:p w14:paraId="1AEA885E"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-3.87</w:t>
            </w:r>
          </w:p>
        </w:tc>
      </w:tr>
      <w:tr w:rsidR="007C28EC" w:rsidRPr="007C28EC" w14:paraId="2A63D518" w14:textId="77777777" w:rsidTr="00E53CC1">
        <w:tc>
          <w:tcPr>
            <w:tcW w:w="3116" w:type="dxa"/>
          </w:tcPr>
          <w:p w14:paraId="2EEC312B"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2023</w:t>
            </w:r>
          </w:p>
        </w:tc>
        <w:tc>
          <w:tcPr>
            <w:tcW w:w="3117" w:type="dxa"/>
          </w:tcPr>
          <w:p w14:paraId="36270B0D"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(85,301)</w:t>
            </w:r>
          </w:p>
        </w:tc>
        <w:tc>
          <w:tcPr>
            <w:tcW w:w="3117" w:type="dxa"/>
          </w:tcPr>
          <w:p w14:paraId="12DFAFB1"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-20.3</w:t>
            </w:r>
          </w:p>
        </w:tc>
      </w:tr>
      <w:tr w:rsidR="007C28EC" w:rsidRPr="007C28EC" w14:paraId="674FF01E" w14:textId="77777777" w:rsidTr="00E53CC1">
        <w:tc>
          <w:tcPr>
            <w:tcW w:w="3116" w:type="dxa"/>
          </w:tcPr>
          <w:p w14:paraId="52F2D19C"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2022</w:t>
            </w:r>
          </w:p>
        </w:tc>
        <w:tc>
          <w:tcPr>
            <w:tcW w:w="3117" w:type="dxa"/>
          </w:tcPr>
          <w:p w14:paraId="486029FC"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14,548</w:t>
            </w:r>
          </w:p>
        </w:tc>
        <w:tc>
          <w:tcPr>
            <w:tcW w:w="3117" w:type="dxa"/>
          </w:tcPr>
          <w:p w14:paraId="2C3779FF"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2.68</w:t>
            </w:r>
          </w:p>
        </w:tc>
      </w:tr>
      <w:tr w:rsidR="007C28EC" w:rsidRPr="007C28EC" w14:paraId="260D249A" w14:textId="77777777" w:rsidTr="00E53CC1">
        <w:tc>
          <w:tcPr>
            <w:tcW w:w="3116" w:type="dxa"/>
          </w:tcPr>
          <w:p w14:paraId="00BBAFDB"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2021</w:t>
            </w:r>
          </w:p>
        </w:tc>
        <w:tc>
          <w:tcPr>
            <w:tcW w:w="3117" w:type="dxa"/>
          </w:tcPr>
          <w:p w14:paraId="3B5608D3"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23,253</w:t>
            </w:r>
          </w:p>
        </w:tc>
        <w:tc>
          <w:tcPr>
            <w:tcW w:w="3117" w:type="dxa"/>
          </w:tcPr>
          <w:p w14:paraId="6E9D5D31"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3.87</w:t>
            </w:r>
          </w:p>
        </w:tc>
      </w:tr>
      <w:tr w:rsidR="007C28EC" w:rsidRPr="007C28EC" w14:paraId="7368596D" w14:textId="77777777" w:rsidTr="00E53CC1">
        <w:tc>
          <w:tcPr>
            <w:tcW w:w="3116" w:type="dxa"/>
          </w:tcPr>
          <w:p w14:paraId="6141EEE7"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2020</w:t>
            </w:r>
          </w:p>
        </w:tc>
        <w:tc>
          <w:tcPr>
            <w:tcW w:w="3117" w:type="dxa"/>
          </w:tcPr>
          <w:p w14:paraId="3976EE48"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37,267</w:t>
            </w:r>
          </w:p>
        </w:tc>
        <w:tc>
          <w:tcPr>
            <w:tcW w:w="3117" w:type="dxa"/>
          </w:tcPr>
          <w:p w14:paraId="22A01C3F"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6.06</w:t>
            </w:r>
          </w:p>
        </w:tc>
      </w:tr>
    </w:tbl>
    <w:p w14:paraId="053BA1D0" w14:textId="77777777" w:rsidR="00E53CC1" w:rsidRPr="007C28EC" w:rsidRDefault="00E53CC1" w:rsidP="00E53CC1">
      <w:pPr>
        <w:spacing w:line="360" w:lineRule="auto"/>
        <w:jc w:val="both"/>
        <w:rPr>
          <w:rFonts w:ascii="Arial" w:hAnsi="Arial" w:cs="Arial"/>
          <w:sz w:val="24"/>
        </w:rPr>
      </w:pPr>
    </w:p>
    <w:p w14:paraId="5BBB5BBD" w14:textId="77777777" w:rsidR="00E53CC1" w:rsidRPr="007C28EC" w:rsidRDefault="00E53CC1" w:rsidP="00E53CC1">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755943" w:rsidRPr="007C28EC">
        <w:rPr>
          <w:rFonts w:ascii="Arial" w:hAnsi="Arial" w:cs="Arial"/>
          <w:sz w:val="24"/>
        </w:rPr>
        <w:t xml:space="preserve">Operating Profit Margin (OPM) of General Electronics over the period of five years shows that it has had a severe and continued decline that is currently moving, instead of having a healthy value of 6.06% in 2020, to an </w:t>
      </w:r>
      <w:r w:rsidR="00520ACC" w:rsidRPr="007C28EC">
        <w:rPr>
          <w:rFonts w:ascii="Arial" w:hAnsi="Arial" w:cs="Arial"/>
          <w:sz w:val="24"/>
        </w:rPr>
        <w:t>unfavourable</w:t>
      </w:r>
      <w:r w:rsidR="00755943" w:rsidRPr="007C28EC">
        <w:rPr>
          <w:rFonts w:ascii="Arial" w:hAnsi="Arial" w:cs="Arial"/>
          <w:sz w:val="24"/>
        </w:rPr>
        <w:t xml:space="preserve"> margin of -20.3 in 2023. This drastic fall represents the fact that operating costs such as administrative costs, marketing costs and restructuring costs have also grown significantly compared to sales. In spite of the fact that the increase of operation losses also decreased in 2024 and OPM is now at -3.87, the company is still operating at a loss (</w:t>
      </w:r>
      <w:proofErr w:type="spellStart"/>
      <w:r w:rsidR="00755943" w:rsidRPr="007C28EC">
        <w:rPr>
          <w:rFonts w:ascii="Arial" w:hAnsi="Arial" w:cs="Arial"/>
          <w:sz w:val="24"/>
        </w:rPr>
        <w:t>Atrill</w:t>
      </w:r>
      <w:proofErr w:type="spellEnd"/>
      <w:r w:rsidR="00755943" w:rsidRPr="007C28EC">
        <w:rPr>
          <w:rFonts w:ascii="Arial" w:hAnsi="Arial" w:cs="Arial"/>
          <w:sz w:val="24"/>
        </w:rPr>
        <w:t xml:space="preserve"> and </w:t>
      </w:r>
      <w:proofErr w:type="spellStart"/>
      <w:r w:rsidR="00755943" w:rsidRPr="007C28EC">
        <w:rPr>
          <w:rFonts w:ascii="Arial" w:hAnsi="Arial" w:cs="Arial"/>
          <w:sz w:val="24"/>
        </w:rPr>
        <w:t>McLaney</w:t>
      </w:r>
      <w:proofErr w:type="spellEnd"/>
      <w:r w:rsidR="00755943" w:rsidRPr="007C28EC">
        <w:rPr>
          <w:rFonts w:ascii="Arial" w:hAnsi="Arial" w:cs="Arial"/>
          <w:sz w:val="24"/>
        </w:rPr>
        <w:t xml:space="preserve">, 2024; Brigham and </w:t>
      </w:r>
      <w:proofErr w:type="spellStart"/>
      <w:r w:rsidR="00755943" w:rsidRPr="007C28EC">
        <w:rPr>
          <w:rFonts w:ascii="Arial" w:hAnsi="Arial" w:cs="Arial"/>
          <w:sz w:val="24"/>
        </w:rPr>
        <w:t>Daves</w:t>
      </w:r>
      <w:proofErr w:type="spellEnd"/>
      <w:r w:rsidR="00755943" w:rsidRPr="007C28EC">
        <w:rPr>
          <w:rFonts w:ascii="Arial" w:hAnsi="Arial" w:cs="Arial"/>
          <w:sz w:val="24"/>
        </w:rPr>
        <w:t>, 2022)</w:t>
      </w:r>
      <w:r w:rsidR="009D103E" w:rsidRPr="007C28EC">
        <w:rPr>
          <w:rFonts w:ascii="Arial" w:hAnsi="Arial" w:cs="Arial"/>
          <w:sz w:val="24"/>
        </w:rPr>
        <w:t xml:space="preserve">. </w:t>
      </w:r>
    </w:p>
    <w:p w14:paraId="3DBB3DD3" w14:textId="77777777" w:rsidR="00E53CC1" w:rsidRPr="007C28EC" w:rsidRDefault="00E53CC1" w:rsidP="00E53CC1">
      <w:pPr>
        <w:pStyle w:val="Heading3"/>
        <w:rPr>
          <w:color w:val="auto"/>
        </w:rPr>
      </w:pPr>
      <w:bookmarkStart w:id="6" w:name="_Toc217195852"/>
      <w:r w:rsidRPr="007C28EC">
        <w:rPr>
          <w:color w:val="auto"/>
        </w:rPr>
        <w:t>1.2.3 Net Profit Margin (NPM)</w:t>
      </w:r>
      <w:bookmarkEnd w:id="6"/>
    </w:p>
    <w:p w14:paraId="533F8B29" w14:textId="77777777" w:rsidR="00E53CC1" w:rsidRPr="007C28EC" w:rsidRDefault="00E53CC1" w:rsidP="00E53CC1">
      <w:pPr>
        <w:spacing w:line="360" w:lineRule="auto"/>
        <w:jc w:val="both"/>
        <w:rPr>
          <w:rFonts w:ascii="Arial" w:hAnsi="Arial" w:cs="Arial"/>
          <w:sz w:val="24"/>
        </w:rPr>
      </w:pPr>
    </w:p>
    <w:p w14:paraId="47CA96FC" w14:textId="77777777" w:rsidR="00E53CC1" w:rsidRPr="007C28EC" w:rsidRDefault="00E53CC1" w:rsidP="00E53CC1">
      <w:pPr>
        <w:spacing w:line="360" w:lineRule="auto"/>
        <w:jc w:val="center"/>
        <w:rPr>
          <w:rFonts w:ascii="Arial" w:hAnsi="Arial" w:cs="Arial"/>
          <w:sz w:val="24"/>
        </w:rPr>
      </w:pPr>
      <w:r w:rsidRPr="007C28EC">
        <w:rPr>
          <w:rFonts w:ascii="Arial" w:hAnsi="Arial" w:cs="Arial"/>
          <w:sz w:val="24"/>
        </w:rPr>
        <w:t>NPM=</w:t>
      </w:r>
      <w:r w:rsidRPr="007C28EC">
        <w:rPr>
          <w:rFonts w:ascii="Calibri" w:hAnsi="Calibri" w:cs="Calibri"/>
          <w:lang w:eastAsia="en-GB"/>
        </w:rPr>
        <w:t xml:space="preserve"> </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Net Sales</m:t>
            </m:r>
          </m:den>
        </m:f>
      </m:oMath>
      <w:r w:rsidRPr="007C28EC">
        <w:rPr>
          <w:rFonts w:ascii="Arial" w:eastAsiaTheme="minorEastAsia" w:hAnsi="Arial" w:cs="Arial"/>
          <w:sz w:val="24"/>
        </w:rPr>
        <w:t>×100</w:t>
      </w:r>
    </w:p>
    <w:tbl>
      <w:tblPr>
        <w:tblStyle w:val="TableGrid"/>
        <w:tblW w:w="0" w:type="auto"/>
        <w:tblLook w:val="04A0" w:firstRow="1" w:lastRow="0" w:firstColumn="1" w:lastColumn="0" w:noHBand="0" w:noVBand="1"/>
      </w:tblPr>
      <w:tblGrid>
        <w:gridCol w:w="3116"/>
        <w:gridCol w:w="3117"/>
        <w:gridCol w:w="3117"/>
      </w:tblGrid>
      <w:tr w:rsidR="007C28EC" w:rsidRPr="007C28EC" w14:paraId="24771C89" w14:textId="77777777" w:rsidTr="00E53CC1">
        <w:tc>
          <w:tcPr>
            <w:tcW w:w="3116" w:type="dxa"/>
          </w:tcPr>
          <w:p w14:paraId="420F1B63"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Year</w:t>
            </w:r>
          </w:p>
        </w:tc>
        <w:tc>
          <w:tcPr>
            <w:tcW w:w="3117" w:type="dxa"/>
          </w:tcPr>
          <w:p w14:paraId="589A76A3"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Net Income (£m)</w:t>
            </w:r>
          </w:p>
        </w:tc>
        <w:tc>
          <w:tcPr>
            <w:tcW w:w="3117" w:type="dxa"/>
          </w:tcPr>
          <w:p w14:paraId="38C6249B"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NPM (%)</w:t>
            </w:r>
          </w:p>
        </w:tc>
      </w:tr>
      <w:tr w:rsidR="007C28EC" w:rsidRPr="007C28EC" w14:paraId="7B20F986" w14:textId="77777777" w:rsidTr="00E53CC1">
        <w:tc>
          <w:tcPr>
            <w:tcW w:w="3116" w:type="dxa"/>
          </w:tcPr>
          <w:p w14:paraId="088E7F87"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2024</w:t>
            </w:r>
          </w:p>
        </w:tc>
        <w:tc>
          <w:tcPr>
            <w:tcW w:w="3117" w:type="dxa"/>
          </w:tcPr>
          <w:p w14:paraId="5DBF03A8"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(24,029)</w:t>
            </w:r>
          </w:p>
        </w:tc>
        <w:tc>
          <w:tcPr>
            <w:tcW w:w="3117" w:type="dxa"/>
          </w:tcPr>
          <w:p w14:paraId="03FC24EB"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-6.09</w:t>
            </w:r>
          </w:p>
        </w:tc>
      </w:tr>
      <w:tr w:rsidR="007C28EC" w:rsidRPr="007C28EC" w14:paraId="24185B8D" w14:textId="77777777" w:rsidTr="00E53CC1">
        <w:tc>
          <w:tcPr>
            <w:tcW w:w="3116" w:type="dxa"/>
          </w:tcPr>
          <w:p w14:paraId="3B1185B0"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2023</w:t>
            </w:r>
          </w:p>
        </w:tc>
        <w:tc>
          <w:tcPr>
            <w:tcW w:w="3117" w:type="dxa"/>
          </w:tcPr>
          <w:p w14:paraId="2A427C18"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(98,238)</w:t>
            </w:r>
          </w:p>
        </w:tc>
        <w:tc>
          <w:tcPr>
            <w:tcW w:w="3117" w:type="dxa"/>
          </w:tcPr>
          <w:p w14:paraId="539F5F50"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-23.37</w:t>
            </w:r>
          </w:p>
        </w:tc>
      </w:tr>
      <w:tr w:rsidR="007C28EC" w:rsidRPr="007C28EC" w14:paraId="4E942768" w14:textId="77777777" w:rsidTr="00E53CC1">
        <w:tc>
          <w:tcPr>
            <w:tcW w:w="3116" w:type="dxa"/>
          </w:tcPr>
          <w:p w14:paraId="557D01BE"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2022</w:t>
            </w:r>
          </w:p>
        </w:tc>
        <w:tc>
          <w:tcPr>
            <w:tcW w:w="3117" w:type="dxa"/>
          </w:tcPr>
          <w:p w14:paraId="37B8C7D7"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407</w:t>
            </w:r>
          </w:p>
        </w:tc>
        <w:tc>
          <w:tcPr>
            <w:tcW w:w="3117" w:type="dxa"/>
          </w:tcPr>
          <w:p w14:paraId="46D75993"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0.07</w:t>
            </w:r>
          </w:p>
        </w:tc>
      </w:tr>
      <w:tr w:rsidR="007C28EC" w:rsidRPr="007C28EC" w14:paraId="7F80F640" w14:textId="77777777" w:rsidTr="00E53CC1">
        <w:tc>
          <w:tcPr>
            <w:tcW w:w="3116" w:type="dxa"/>
          </w:tcPr>
          <w:p w14:paraId="24B893CE"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2021</w:t>
            </w:r>
          </w:p>
        </w:tc>
        <w:tc>
          <w:tcPr>
            <w:tcW w:w="3117" w:type="dxa"/>
          </w:tcPr>
          <w:p w14:paraId="580B0333"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5,301</w:t>
            </w:r>
          </w:p>
        </w:tc>
        <w:tc>
          <w:tcPr>
            <w:tcW w:w="3117" w:type="dxa"/>
          </w:tcPr>
          <w:p w14:paraId="3986B2AA"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0.88</w:t>
            </w:r>
          </w:p>
        </w:tc>
      </w:tr>
      <w:tr w:rsidR="007C28EC" w:rsidRPr="007C28EC" w14:paraId="6CB97572" w14:textId="77777777" w:rsidTr="00E53CC1">
        <w:tc>
          <w:tcPr>
            <w:tcW w:w="3116" w:type="dxa"/>
          </w:tcPr>
          <w:p w14:paraId="1173F4EE"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2020</w:t>
            </w:r>
          </w:p>
        </w:tc>
        <w:tc>
          <w:tcPr>
            <w:tcW w:w="3117" w:type="dxa"/>
          </w:tcPr>
          <w:p w14:paraId="288815B8"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38,572</w:t>
            </w:r>
          </w:p>
        </w:tc>
        <w:tc>
          <w:tcPr>
            <w:tcW w:w="3117" w:type="dxa"/>
          </w:tcPr>
          <w:p w14:paraId="07B603B9"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6.28</w:t>
            </w:r>
          </w:p>
        </w:tc>
      </w:tr>
    </w:tbl>
    <w:p w14:paraId="21DB7AD2" w14:textId="77777777" w:rsidR="00FD172A" w:rsidRPr="007C28EC" w:rsidRDefault="00FD172A" w:rsidP="00E53CC1">
      <w:pPr>
        <w:spacing w:line="360" w:lineRule="auto"/>
        <w:jc w:val="both"/>
        <w:rPr>
          <w:rFonts w:ascii="Arial" w:hAnsi="Arial" w:cs="Arial"/>
          <w:sz w:val="24"/>
        </w:rPr>
      </w:pPr>
    </w:p>
    <w:p w14:paraId="7C038D0C" w14:textId="77777777" w:rsidR="00E53CC1" w:rsidRPr="007C28EC" w:rsidRDefault="00E53CC1" w:rsidP="00E53CC1">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520ACC" w:rsidRPr="007C28EC">
        <w:rPr>
          <w:rFonts w:ascii="Arial" w:hAnsi="Arial" w:cs="Arial"/>
          <w:sz w:val="24"/>
        </w:rPr>
        <w:t xml:space="preserve">Net Profit Margin (NPM) of General Electronics shows that the overall profitability is being eroded severely over the five years. NPM dropped drastically as a robust 6.28% in 2020 dropped to fringe profitability in 2021 (0.88%), and 2022 (0.07%) before becoming significantly negative in 2023 </w:t>
      </w:r>
      <w:r w:rsidR="0049717E" w:rsidRPr="007C28EC">
        <w:rPr>
          <w:rFonts w:ascii="Arial" w:hAnsi="Arial" w:cs="Arial"/>
          <w:sz w:val="24"/>
        </w:rPr>
        <w:t>(-</w:t>
      </w:r>
      <w:r w:rsidR="00520ACC" w:rsidRPr="007C28EC">
        <w:rPr>
          <w:rFonts w:ascii="Arial" w:hAnsi="Arial" w:cs="Arial"/>
          <w:sz w:val="24"/>
        </w:rPr>
        <w:t xml:space="preserve">23.37%). This implies that increasing operating losses, increasing finance costs increased and possible impairment or restructuring charges have subdued revenues. In 2024 (loss of -6.09 percent), the company lost profitability at the net level, but the losses have decreased. The continuing negative NPM makes it clear that General electronics cannot translate sales into bottom-line earnings, compromising shareholder value, and raising the risk of insolvency. The long-term financial sustainability is questionable without the long-term recovery in the performance and financial reorganization (Brigham and </w:t>
      </w:r>
      <w:proofErr w:type="spellStart"/>
      <w:r w:rsidR="00520ACC" w:rsidRPr="007C28EC">
        <w:rPr>
          <w:rFonts w:ascii="Arial" w:hAnsi="Arial" w:cs="Arial"/>
          <w:sz w:val="24"/>
        </w:rPr>
        <w:t>Daves</w:t>
      </w:r>
      <w:proofErr w:type="spellEnd"/>
      <w:r w:rsidR="00520ACC" w:rsidRPr="007C28EC">
        <w:rPr>
          <w:rFonts w:ascii="Arial" w:hAnsi="Arial" w:cs="Arial"/>
          <w:sz w:val="24"/>
        </w:rPr>
        <w:t xml:space="preserve">, 2022; </w:t>
      </w:r>
      <w:proofErr w:type="spellStart"/>
      <w:r w:rsidR="00520ACC" w:rsidRPr="007C28EC">
        <w:rPr>
          <w:rFonts w:ascii="Arial" w:hAnsi="Arial" w:cs="Arial"/>
          <w:sz w:val="24"/>
        </w:rPr>
        <w:t>Atrill</w:t>
      </w:r>
      <w:proofErr w:type="spellEnd"/>
      <w:r w:rsidR="00520ACC" w:rsidRPr="007C28EC">
        <w:rPr>
          <w:rFonts w:ascii="Arial" w:hAnsi="Arial" w:cs="Arial"/>
          <w:sz w:val="24"/>
        </w:rPr>
        <w:t xml:space="preserve"> and </w:t>
      </w:r>
      <w:proofErr w:type="spellStart"/>
      <w:r w:rsidR="00520ACC" w:rsidRPr="007C28EC">
        <w:rPr>
          <w:rFonts w:ascii="Arial" w:hAnsi="Arial" w:cs="Arial"/>
          <w:sz w:val="24"/>
        </w:rPr>
        <w:t>McLaney</w:t>
      </w:r>
      <w:proofErr w:type="spellEnd"/>
      <w:r w:rsidR="00520ACC" w:rsidRPr="007C28EC">
        <w:rPr>
          <w:rFonts w:ascii="Arial" w:hAnsi="Arial" w:cs="Arial"/>
          <w:sz w:val="24"/>
        </w:rPr>
        <w:t>, 2024)</w:t>
      </w:r>
      <w:r w:rsidR="00121B46" w:rsidRPr="007C28EC">
        <w:rPr>
          <w:rFonts w:ascii="Arial" w:hAnsi="Arial" w:cs="Arial"/>
          <w:sz w:val="24"/>
        </w:rPr>
        <w:t>.</w:t>
      </w:r>
    </w:p>
    <w:p w14:paraId="2F46FF7E" w14:textId="77777777" w:rsidR="00865BDC" w:rsidRPr="007C28EC" w:rsidRDefault="00865BDC" w:rsidP="00E53CC1">
      <w:pPr>
        <w:spacing w:line="360" w:lineRule="auto"/>
        <w:jc w:val="both"/>
        <w:rPr>
          <w:rFonts w:ascii="Arial" w:hAnsi="Arial" w:cs="Arial"/>
          <w:sz w:val="24"/>
        </w:rPr>
      </w:pPr>
    </w:p>
    <w:p w14:paraId="51C46175" w14:textId="77777777" w:rsidR="00865BDC" w:rsidRDefault="00865BDC" w:rsidP="00E53CC1">
      <w:pPr>
        <w:spacing w:line="360" w:lineRule="auto"/>
        <w:jc w:val="both"/>
        <w:rPr>
          <w:rFonts w:ascii="Arial" w:hAnsi="Arial" w:cs="Arial"/>
          <w:sz w:val="24"/>
        </w:rPr>
      </w:pPr>
    </w:p>
    <w:p w14:paraId="75DBB9CA" w14:textId="77777777" w:rsidR="007C28EC" w:rsidRPr="007C28EC" w:rsidRDefault="007C28EC" w:rsidP="00E53CC1">
      <w:pPr>
        <w:spacing w:line="360" w:lineRule="auto"/>
        <w:jc w:val="both"/>
        <w:rPr>
          <w:rFonts w:ascii="Arial" w:hAnsi="Arial" w:cs="Arial"/>
          <w:sz w:val="24"/>
        </w:rPr>
      </w:pPr>
    </w:p>
    <w:p w14:paraId="097376FE" w14:textId="77777777" w:rsidR="00E53CC1" w:rsidRPr="007C28EC" w:rsidRDefault="00E53CC1" w:rsidP="00E53CC1">
      <w:pPr>
        <w:pStyle w:val="Heading3"/>
        <w:rPr>
          <w:color w:val="auto"/>
        </w:rPr>
      </w:pPr>
      <w:bookmarkStart w:id="7" w:name="_Toc217195853"/>
      <w:r w:rsidRPr="007C28EC">
        <w:rPr>
          <w:color w:val="auto"/>
        </w:rPr>
        <w:t>1.2.4 Return on Assets (ROA)</w:t>
      </w:r>
      <w:bookmarkEnd w:id="7"/>
    </w:p>
    <w:p w14:paraId="2DA8A473" w14:textId="77777777" w:rsidR="00E53CC1" w:rsidRPr="007C28EC" w:rsidRDefault="00E53CC1" w:rsidP="00E53CC1">
      <w:pPr>
        <w:spacing w:line="360" w:lineRule="auto"/>
        <w:jc w:val="both"/>
        <w:rPr>
          <w:rFonts w:ascii="Arial" w:hAnsi="Arial" w:cs="Arial"/>
          <w:sz w:val="24"/>
        </w:rPr>
      </w:pPr>
    </w:p>
    <w:p w14:paraId="39B98FC4" w14:textId="77777777" w:rsidR="00E53CC1" w:rsidRPr="007C28EC" w:rsidRDefault="00E53CC1" w:rsidP="00E53CC1">
      <w:pPr>
        <w:spacing w:line="360" w:lineRule="auto"/>
        <w:jc w:val="center"/>
        <w:rPr>
          <w:rFonts w:ascii="Arial" w:hAnsi="Arial" w:cs="Arial"/>
          <w:sz w:val="24"/>
        </w:rPr>
      </w:pPr>
      <w:r w:rsidRPr="007C28EC">
        <w:rPr>
          <w:rFonts w:ascii="Arial" w:hAnsi="Arial" w:cs="Arial"/>
          <w:sz w:val="24"/>
        </w:rPr>
        <w:t>ROA=</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Total Assets</m:t>
            </m:r>
          </m:den>
        </m:f>
      </m:oMath>
      <w:r w:rsidRPr="007C28EC">
        <w:rPr>
          <w:rFonts w:ascii="Arial" w:eastAsiaTheme="minorEastAsia" w:hAnsi="Arial" w:cs="Arial"/>
          <w:sz w:val="24"/>
        </w:rPr>
        <w:t>×100</w:t>
      </w:r>
      <w:r w:rsidRPr="007C28EC">
        <w:rPr>
          <w:rFonts w:ascii="Arial" w:hAnsi="Arial" w:cs="Arial"/>
          <w:sz w:val="24"/>
        </w:rPr>
        <w:t>​</w:t>
      </w:r>
    </w:p>
    <w:tbl>
      <w:tblPr>
        <w:tblStyle w:val="TableGrid"/>
        <w:tblW w:w="0" w:type="auto"/>
        <w:tblLook w:val="04A0" w:firstRow="1" w:lastRow="0" w:firstColumn="1" w:lastColumn="0" w:noHBand="0" w:noVBand="1"/>
      </w:tblPr>
      <w:tblGrid>
        <w:gridCol w:w="4675"/>
        <w:gridCol w:w="4675"/>
      </w:tblGrid>
      <w:tr w:rsidR="007C28EC" w:rsidRPr="007C28EC" w14:paraId="46B2E5BB" w14:textId="77777777" w:rsidTr="00E53CC1">
        <w:tc>
          <w:tcPr>
            <w:tcW w:w="4675" w:type="dxa"/>
          </w:tcPr>
          <w:p w14:paraId="1ECD30B1"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Year</w:t>
            </w:r>
          </w:p>
        </w:tc>
        <w:tc>
          <w:tcPr>
            <w:tcW w:w="4675" w:type="dxa"/>
          </w:tcPr>
          <w:p w14:paraId="40D1ABA6"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ROA (%)</w:t>
            </w:r>
          </w:p>
        </w:tc>
      </w:tr>
      <w:tr w:rsidR="007C28EC" w:rsidRPr="007C28EC" w14:paraId="50E40363" w14:textId="77777777" w:rsidTr="00E53CC1">
        <w:tc>
          <w:tcPr>
            <w:tcW w:w="4675" w:type="dxa"/>
          </w:tcPr>
          <w:p w14:paraId="58241C63"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2024</w:t>
            </w:r>
          </w:p>
        </w:tc>
        <w:tc>
          <w:tcPr>
            <w:tcW w:w="4675" w:type="dxa"/>
          </w:tcPr>
          <w:p w14:paraId="7C61D98D"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-7.44</w:t>
            </w:r>
          </w:p>
        </w:tc>
      </w:tr>
      <w:tr w:rsidR="007C28EC" w:rsidRPr="007C28EC" w14:paraId="758F66CE" w14:textId="77777777" w:rsidTr="00E53CC1">
        <w:tc>
          <w:tcPr>
            <w:tcW w:w="4675" w:type="dxa"/>
          </w:tcPr>
          <w:p w14:paraId="5662CEE5"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2023</w:t>
            </w:r>
          </w:p>
        </w:tc>
        <w:tc>
          <w:tcPr>
            <w:tcW w:w="4675" w:type="dxa"/>
          </w:tcPr>
          <w:p w14:paraId="27A8108B"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-27.6</w:t>
            </w:r>
          </w:p>
        </w:tc>
      </w:tr>
      <w:tr w:rsidR="007C28EC" w:rsidRPr="007C28EC" w14:paraId="59F5839C" w14:textId="77777777" w:rsidTr="00E53CC1">
        <w:tc>
          <w:tcPr>
            <w:tcW w:w="4675" w:type="dxa"/>
          </w:tcPr>
          <w:p w14:paraId="1967E386"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2022</w:t>
            </w:r>
          </w:p>
        </w:tc>
        <w:tc>
          <w:tcPr>
            <w:tcW w:w="4675" w:type="dxa"/>
          </w:tcPr>
          <w:p w14:paraId="41905ABB"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0.08</w:t>
            </w:r>
          </w:p>
        </w:tc>
      </w:tr>
      <w:tr w:rsidR="007C28EC" w:rsidRPr="007C28EC" w14:paraId="70B68E24" w14:textId="77777777" w:rsidTr="00E53CC1">
        <w:tc>
          <w:tcPr>
            <w:tcW w:w="4675" w:type="dxa"/>
          </w:tcPr>
          <w:p w14:paraId="3AC6E30B"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2021</w:t>
            </w:r>
          </w:p>
        </w:tc>
        <w:tc>
          <w:tcPr>
            <w:tcW w:w="4675" w:type="dxa"/>
          </w:tcPr>
          <w:p w14:paraId="7B0101FF"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1.04</w:t>
            </w:r>
          </w:p>
        </w:tc>
      </w:tr>
      <w:tr w:rsidR="007C28EC" w:rsidRPr="007C28EC" w14:paraId="0F149127" w14:textId="77777777" w:rsidTr="00E53CC1">
        <w:tc>
          <w:tcPr>
            <w:tcW w:w="4675" w:type="dxa"/>
          </w:tcPr>
          <w:p w14:paraId="2677FAAF"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2020</w:t>
            </w:r>
          </w:p>
        </w:tc>
        <w:tc>
          <w:tcPr>
            <w:tcW w:w="4675" w:type="dxa"/>
          </w:tcPr>
          <w:p w14:paraId="63D8CBF0"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7.56</w:t>
            </w:r>
          </w:p>
        </w:tc>
      </w:tr>
    </w:tbl>
    <w:p w14:paraId="23114C47" w14:textId="77777777" w:rsidR="00E53CC1" w:rsidRPr="007C28EC" w:rsidRDefault="00E53CC1" w:rsidP="00E53CC1">
      <w:pPr>
        <w:spacing w:line="360" w:lineRule="auto"/>
        <w:jc w:val="both"/>
        <w:rPr>
          <w:rFonts w:ascii="Arial" w:hAnsi="Arial" w:cs="Arial"/>
          <w:sz w:val="24"/>
        </w:rPr>
      </w:pPr>
    </w:p>
    <w:p w14:paraId="69A801BA" w14:textId="77777777" w:rsidR="00E53CC1" w:rsidRPr="007C28EC" w:rsidRDefault="00E53CC1" w:rsidP="00E53CC1">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794F25" w:rsidRPr="007C28EC">
        <w:rPr>
          <w:rFonts w:ascii="Arial" w:hAnsi="Arial" w:cs="Arial"/>
          <w:sz w:val="24"/>
        </w:rPr>
        <w:t xml:space="preserve">The Return on Assets (ROA) of the General Electronics shows that the profitability of asset has significantly decreased during the five-year period. In 2021, ROA declined to moderate levels (1.04) and in 2022 to negative levels (0.08), and in 2023 it has reported a negative value </w:t>
      </w:r>
      <w:r w:rsidR="00E2376A" w:rsidRPr="007C28EC">
        <w:rPr>
          <w:rFonts w:ascii="Arial" w:hAnsi="Arial" w:cs="Arial"/>
          <w:sz w:val="24"/>
        </w:rPr>
        <w:t>(-</w:t>
      </w:r>
      <w:r w:rsidR="00794F25" w:rsidRPr="007C28EC">
        <w:rPr>
          <w:rFonts w:ascii="Arial" w:hAnsi="Arial" w:cs="Arial"/>
          <w:sz w:val="24"/>
        </w:rPr>
        <w:t>27.6). The ratio is negative, although in 2024 (–7.44%), there was a recovery, which indicates that the firm continues to be inefficient in utilizing the asset base to generate earnings. The trend implies that major assets such as manufacturing plants and technical investments are not exploited or are underutilised. The constant negative ROA is an indicator of ineffective capital allocation, which justifies the necessity to conduct an asset rationalisation and operational restructuring to regain efficiency and financial sustainability (</w:t>
      </w:r>
      <w:proofErr w:type="spellStart"/>
      <w:r w:rsidR="00794F25" w:rsidRPr="007C28EC">
        <w:rPr>
          <w:rFonts w:ascii="Arial" w:hAnsi="Arial" w:cs="Arial"/>
          <w:sz w:val="24"/>
        </w:rPr>
        <w:t>Palepu</w:t>
      </w:r>
      <w:proofErr w:type="spellEnd"/>
      <w:r w:rsidR="00794F25" w:rsidRPr="007C28EC">
        <w:rPr>
          <w:rFonts w:ascii="Arial" w:hAnsi="Arial" w:cs="Arial"/>
          <w:sz w:val="24"/>
        </w:rPr>
        <w:t xml:space="preserve"> et al., 2020; </w:t>
      </w:r>
      <w:proofErr w:type="spellStart"/>
      <w:r w:rsidR="00794F25" w:rsidRPr="007C28EC">
        <w:rPr>
          <w:rFonts w:ascii="Arial" w:hAnsi="Arial" w:cs="Arial"/>
          <w:sz w:val="24"/>
        </w:rPr>
        <w:t>Atrill</w:t>
      </w:r>
      <w:proofErr w:type="spellEnd"/>
      <w:r w:rsidR="00794F25" w:rsidRPr="007C28EC">
        <w:rPr>
          <w:rFonts w:ascii="Arial" w:hAnsi="Arial" w:cs="Arial"/>
          <w:sz w:val="24"/>
        </w:rPr>
        <w:t xml:space="preserve"> and </w:t>
      </w:r>
      <w:proofErr w:type="spellStart"/>
      <w:r w:rsidR="00794F25" w:rsidRPr="007C28EC">
        <w:rPr>
          <w:rFonts w:ascii="Arial" w:hAnsi="Arial" w:cs="Arial"/>
          <w:sz w:val="24"/>
        </w:rPr>
        <w:t>McLaney</w:t>
      </w:r>
      <w:proofErr w:type="spellEnd"/>
      <w:r w:rsidR="00794F25" w:rsidRPr="007C28EC">
        <w:rPr>
          <w:rFonts w:ascii="Arial" w:hAnsi="Arial" w:cs="Arial"/>
          <w:sz w:val="24"/>
        </w:rPr>
        <w:t>, 2024).</w:t>
      </w:r>
    </w:p>
    <w:p w14:paraId="6D5736C7" w14:textId="77777777" w:rsidR="00E53CC1" w:rsidRPr="007C28EC" w:rsidRDefault="00E53CC1" w:rsidP="007C28EC">
      <w:pPr>
        <w:pStyle w:val="Heading3"/>
        <w:spacing w:after="240"/>
        <w:rPr>
          <w:color w:val="auto"/>
        </w:rPr>
      </w:pPr>
      <w:bookmarkStart w:id="8" w:name="_Toc217195854"/>
      <w:r w:rsidRPr="007C28EC">
        <w:rPr>
          <w:color w:val="auto"/>
        </w:rPr>
        <w:t>1.2.5 Return on Equity (ROE)</w:t>
      </w:r>
      <w:bookmarkEnd w:id="8"/>
    </w:p>
    <w:p w14:paraId="45DD53F3" w14:textId="77777777" w:rsidR="00E53CC1" w:rsidRPr="007C28EC" w:rsidRDefault="00E53CC1" w:rsidP="007C28EC">
      <w:pPr>
        <w:spacing w:after="240" w:line="360" w:lineRule="auto"/>
        <w:jc w:val="center"/>
        <w:rPr>
          <w:rFonts w:ascii="Arial" w:hAnsi="Arial" w:cs="Arial"/>
          <w:sz w:val="24"/>
        </w:rPr>
      </w:pPr>
      <w:r w:rsidRPr="007C28EC">
        <w:rPr>
          <w:rFonts w:ascii="Arial" w:hAnsi="Arial" w:cs="Arial"/>
          <w:sz w:val="24"/>
        </w:rPr>
        <w:t xml:space="preserve">ROE= </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Shareholders’ Equit</m:t>
            </m:r>
          </m:den>
        </m:f>
      </m:oMath>
      <w:r w:rsidRPr="007C28EC">
        <w:rPr>
          <w:rFonts w:ascii="Arial" w:eastAsiaTheme="minorEastAsia" w:hAnsi="Arial" w:cs="Arial"/>
          <w:sz w:val="24"/>
        </w:rPr>
        <w:t>×100</w:t>
      </w:r>
      <w:r w:rsidRPr="007C28EC">
        <w:rPr>
          <w:rFonts w:ascii="Arial" w:hAnsi="Arial" w:cs="Arial"/>
          <w:sz w:val="24"/>
        </w:rPr>
        <w:t>​</w:t>
      </w:r>
      <w:r w:rsidRPr="007C28EC">
        <w:rPr>
          <w:rFonts w:ascii="Arial" w:hAnsi="Arial" w:cs="Arial"/>
          <w:sz w:val="24"/>
        </w:rPr>
        <w:tab/>
        <w:t>​</w:t>
      </w:r>
    </w:p>
    <w:tbl>
      <w:tblPr>
        <w:tblStyle w:val="TableGrid"/>
        <w:tblW w:w="0" w:type="auto"/>
        <w:tblLook w:val="04A0" w:firstRow="1" w:lastRow="0" w:firstColumn="1" w:lastColumn="0" w:noHBand="0" w:noVBand="1"/>
      </w:tblPr>
      <w:tblGrid>
        <w:gridCol w:w="4675"/>
        <w:gridCol w:w="4675"/>
      </w:tblGrid>
      <w:tr w:rsidR="007C28EC" w:rsidRPr="007C28EC" w14:paraId="777D48D3" w14:textId="77777777" w:rsidTr="00E53CC1">
        <w:tc>
          <w:tcPr>
            <w:tcW w:w="4675" w:type="dxa"/>
          </w:tcPr>
          <w:p w14:paraId="56EA5B15"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Year</w:t>
            </w:r>
          </w:p>
        </w:tc>
        <w:tc>
          <w:tcPr>
            <w:tcW w:w="4675" w:type="dxa"/>
          </w:tcPr>
          <w:p w14:paraId="77B50B3E" w14:textId="77777777" w:rsidR="00E53CC1" w:rsidRPr="007C28EC" w:rsidRDefault="00E53CC1" w:rsidP="00037DCA">
            <w:pPr>
              <w:spacing w:line="360" w:lineRule="auto"/>
              <w:jc w:val="both"/>
              <w:rPr>
                <w:rFonts w:ascii="Arial" w:hAnsi="Arial" w:cs="Arial"/>
                <w:b/>
                <w:sz w:val="24"/>
              </w:rPr>
            </w:pPr>
            <w:r w:rsidRPr="007C28EC">
              <w:rPr>
                <w:rFonts w:ascii="Arial" w:hAnsi="Arial" w:cs="Arial"/>
                <w:b/>
                <w:sz w:val="24"/>
              </w:rPr>
              <w:t>ROE (%)</w:t>
            </w:r>
          </w:p>
        </w:tc>
      </w:tr>
      <w:tr w:rsidR="007C28EC" w:rsidRPr="007C28EC" w14:paraId="503C838F" w14:textId="77777777" w:rsidTr="00E53CC1">
        <w:tc>
          <w:tcPr>
            <w:tcW w:w="4675" w:type="dxa"/>
          </w:tcPr>
          <w:p w14:paraId="1C5FB7DF"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2024</w:t>
            </w:r>
          </w:p>
        </w:tc>
        <w:tc>
          <w:tcPr>
            <w:tcW w:w="4675" w:type="dxa"/>
          </w:tcPr>
          <w:p w14:paraId="1F1DAB2C"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-15.7</w:t>
            </w:r>
          </w:p>
        </w:tc>
      </w:tr>
      <w:tr w:rsidR="007C28EC" w:rsidRPr="007C28EC" w14:paraId="32A673D5" w14:textId="77777777" w:rsidTr="00E53CC1">
        <w:tc>
          <w:tcPr>
            <w:tcW w:w="4675" w:type="dxa"/>
          </w:tcPr>
          <w:p w14:paraId="3C8FF737"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2023</w:t>
            </w:r>
          </w:p>
        </w:tc>
        <w:tc>
          <w:tcPr>
            <w:tcW w:w="4675" w:type="dxa"/>
          </w:tcPr>
          <w:p w14:paraId="7A0BD2E4"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-54.9</w:t>
            </w:r>
          </w:p>
        </w:tc>
      </w:tr>
      <w:tr w:rsidR="007C28EC" w:rsidRPr="007C28EC" w14:paraId="6DF52B66" w14:textId="77777777" w:rsidTr="00E53CC1">
        <w:tc>
          <w:tcPr>
            <w:tcW w:w="4675" w:type="dxa"/>
          </w:tcPr>
          <w:p w14:paraId="36B687B9"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2022</w:t>
            </w:r>
          </w:p>
        </w:tc>
        <w:tc>
          <w:tcPr>
            <w:tcW w:w="4675" w:type="dxa"/>
          </w:tcPr>
          <w:p w14:paraId="138199C7"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0.15</w:t>
            </w:r>
          </w:p>
        </w:tc>
      </w:tr>
      <w:tr w:rsidR="007C28EC" w:rsidRPr="007C28EC" w14:paraId="216D368A" w14:textId="77777777" w:rsidTr="00E53CC1">
        <w:tc>
          <w:tcPr>
            <w:tcW w:w="4675" w:type="dxa"/>
          </w:tcPr>
          <w:p w14:paraId="718EEC86"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2021</w:t>
            </w:r>
          </w:p>
        </w:tc>
        <w:tc>
          <w:tcPr>
            <w:tcW w:w="4675" w:type="dxa"/>
          </w:tcPr>
          <w:p w14:paraId="1314D648"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1.92</w:t>
            </w:r>
          </w:p>
        </w:tc>
      </w:tr>
      <w:tr w:rsidR="007C28EC" w:rsidRPr="007C28EC" w14:paraId="3226A80D" w14:textId="77777777" w:rsidTr="00E53CC1">
        <w:tc>
          <w:tcPr>
            <w:tcW w:w="4675" w:type="dxa"/>
          </w:tcPr>
          <w:p w14:paraId="75D21051"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2020</w:t>
            </w:r>
          </w:p>
        </w:tc>
        <w:tc>
          <w:tcPr>
            <w:tcW w:w="4675" w:type="dxa"/>
          </w:tcPr>
          <w:p w14:paraId="16C8D882" w14:textId="77777777" w:rsidR="00E53CC1" w:rsidRPr="007C28EC" w:rsidRDefault="00E53CC1" w:rsidP="00037DCA">
            <w:pPr>
              <w:spacing w:line="360" w:lineRule="auto"/>
              <w:jc w:val="both"/>
              <w:rPr>
                <w:rFonts w:ascii="Arial" w:hAnsi="Arial" w:cs="Arial"/>
                <w:sz w:val="24"/>
              </w:rPr>
            </w:pPr>
            <w:r w:rsidRPr="007C28EC">
              <w:rPr>
                <w:rFonts w:ascii="Arial" w:hAnsi="Arial" w:cs="Arial"/>
                <w:sz w:val="24"/>
              </w:rPr>
              <w:t>12.31</w:t>
            </w:r>
          </w:p>
        </w:tc>
      </w:tr>
    </w:tbl>
    <w:p w14:paraId="1009D6BD" w14:textId="77777777" w:rsidR="009C35DE" w:rsidRPr="007C28EC" w:rsidRDefault="00E53CC1" w:rsidP="00E53CC1">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953F2C" w:rsidRPr="007C28EC">
        <w:rPr>
          <w:rFonts w:ascii="Arial" w:hAnsi="Arial" w:cs="Arial"/>
          <w:sz w:val="24"/>
        </w:rPr>
        <w:t xml:space="preserve">The analysis of the Return on Equity (ROE) of General Electronics shows that the shareholder returns have gotten drastically worse in the past five years. ROE has decreased steadily, reaching a healthy level of 12.31% in 2020 to marginal levels in 2021 (1.92%), 2022 (0.15%), and become negative in 2023 (–54.9%). Despite the reduction in losses in 2024 (--15.7%), ROE is still considerably negative, which is indicative of a large amount of shareholder value destruction. This trend is indicative of continued net losses, large financial leverage, and the loss of equity in terms of retained losses. The unprofitable ROE is a key factor that causes decreased investor confidence and prevents the firm from raising equity capital, which underlines the urgency of financial restructuring and recovery of operations to recuperate the shareholder value in the long term (Brigham and </w:t>
      </w:r>
      <w:proofErr w:type="spellStart"/>
      <w:r w:rsidR="00953F2C" w:rsidRPr="007C28EC">
        <w:rPr>
          <w:rFonts w:ascii="Arial" w:hAnsi="Arial" w:cs="Arial"/>
          <w:sz w:val="24"/>
        </w:rPr>
        <w:t>Daves</w:t>
      </w:r>
      <w:proofErr w:type="spellEnd"/>
      <w:r w:rsidR="00953F2C" w:rsidRPr="007C28EC">
        <w:rPr>
          <w:rFonts w:ascii="Arial" w:hAnsi="Arial" w:cs="Arial"/>
          <w:sz w:val="24"/>
        </w:rPr>
        <w:t xml:space="preserve">, 2022; </w:t>
      </w:r>
      <w:proofErr w:type="spellStart"/>
      <w:r w:rsidR="00953F2C" w:rsidRPr="007C28EC">
        <w:rPr>
          <w:rFonts w:ascii="Arial" w:hAnsi="Arial" w:cs="Arial"/>
          <w:sz w:val="24"/>
        </w:rPr>
        <w:t>Atrill</w:t>
      </w:r>
      <w:proofErr w:type="spellEnd"/>
      <w:r w:rsidR="00953F2C" w:rsidRPr="007C28EC">
        <w:rPr>
          <w:rFonts w:ascii="Arial" w:hAnsi="Arial" w:cs="Arial"/>
          <w:sz w:val="24"/>
        </w:rPr>
        <w:t xml:space="preserve"> and </w:t>
      </w:r>
      <w:proofErr w:type="spellStart"/>
      <w:r w:rsidR="00953F2C" w:rsidRPr="007C28EC">
        <w:rPr>
          <w:rFonts w:ascii="Arial" w:hAnsi="Arial" w:cs="Arial"/>
          <w:sz w:val="24"/>
        </w:rPr>
        <w:t>McLaney</w:t>
      </w:r>
      <w:proofErr w:type="spellEnd"/>
      <w:r w:rsidR="00953F2C" w:rsidRPr="007C28EC">
        <w:rPr>
          <w:rFonts w:ascii="Arial" w:hAnsi="Arial" w:cs="Arial"/>
          <w:sz w:val="24"/>
        </w:rPr>
        <w:t>, 2024).</w:t>
      </w:r>
    </w:p>
    <w:p w14:paraId="647FC63B" w14:textId="77777777" w:rsidR="0095083C" w:rsidRPr="007C28EC" w:rsidRDefault="0095083C" w:rsidP="007C28EC">
      <w:pPr>
        <w:pStyle w:val="Heading2"/>
        <w:spacing w:after="240"/>
        <w:rPr>
          <w:color w:val="auto"/>
        </w:rPr>
      </w:pPr>
      <w:bookmarkStart w:id="9" w:name="_Toc217195855"/>
      <w:r w:rsidRPr="007C28EC">
        <w:rPr>
          <w:color w:val="auto"/>
        </w:rPr>
        <w:t>1.3 Liquidity Analysis</w:t>
      </w:r>
      <w:bookmarkEnd w:id="9"/>
    </w:p>
    <w:p w14:paraId="14E4C0C5" w14:textId="77777777" w:rsidR="0095083C" w:rsidRPr="007C28EC" w:rsidRDefault="0095083C" w:rsidP="007C28EC">
      <w:pPr>
        <w:spacing w:after="240" w:line="360" w:lineRule="auto"/>
        <w:jc w:val="both"/>
        <w:rPr>
          <w:rFonts w:ascii="Arial" w:hAnsi="Arial" w:cs="Arial"/>
          <w:sz w:val="24"/>
        </w:rPr>
      </w:pPr>
      <w:r w:rsidRPr="007C28EC">
        <w:rPr>
          <w:rFonts w:ascii="Arial" w:hAnsi="Arial" w:cs="Arial"/>
          <w:sz w:val="24"/>
        </w:rPr>
        <w:t>Liquidity ratios measure the firm’s ability to meet short-term obligations.</w:t>
      </w:r>
    </w:p>
    <w:p w14:paraId="26C3F84B" w14:textId="77777777" w:rsidR="0095083C" w:rsidRPr="007C28EC" w:rsidRDefault="0095083C" w:rsidP="0095083C">
      <w:pPr>
        <w:pStyle w:val="Heading3"/>
        <w:rPr>
          <w:color w:val="auto"/>
        </w:rPr>
      </w:pPr>
      <w:bookmarkStart w:id="10" w:name="_Toc217195856"/>
      <w:r w:rsidRPr="007C28EC">
        <w:rPr>
          <w:color w:val="auto"/>
        </w:rPr>
        <w:t>1.3.1 Current Ratio</w:t>
      </w:r>
      <w:bookmarkEnd w:id="10"/>
    </w:p>
    <w:p w14:paraId="47192DF6" w14:textId="77777777" w:rsidR="0095083C" w:rsidRPr="007C28EC" w:rsidRDefault="0095083C" w:rsidP="0095083C">
      <w:pPr>
        <w:spacing w:line="360" w:lineRule="auto"/>
        <w:jc w:val="both"/>
        <w:rPr>
          <w:rFonts w:ascii="Arial" w:hAnsi="Arial" w:cs="Arial"/>
          <w:sz w:val="24"/>
        </w:rPr>
      </w:pPr>
    </w:p>
    <w:p w14:paraId="2C05129B" w14:textId="77777777" w:rsidR="0095083C" w:rsidRPr="007C28EC" w:rsidRDefault="0095083C" w:rsidP="0095083C">
      <w:pPr>
        <w:spacing w:line="360" w:lineRule="auto"/>
        <w:jc w:val="center"/>
        <w:rPr>
          <w:rFonts w:ascii="Arial" w:hAnsi="Arial" w:cs="Arial"/>
          <w:sz w:val="24"/>
        </w:rPr>
      </w:pPr>
      <w:r w:rsidRPr="007C28EC">
        <w:rPr>
          <w:rFonts w:ascii="Arial" w:hAnsi="Arial" w:cs="Arial"/>
          <w:sz w:val="24"/>
        </w:rPr>
        <w:t xml:space="preserve">Current Ratio= </w:t>
      </w:r>
      <m:oMath>
        <m:f>
          <m:fPr>
            <m:ctrlPr>
              <w:rPr>
                <w:rFonts w:ascii="Cambria Math" w:hAnsi="Cambria Math" w:cs="Arial"/>
                <w:i/>
                <w:sz w:val="24"/>
              </w:rPr>
            </m:ctrlPr>
          </m:fPr>
          <m:num>
            <m:r>
              <w:rPr>
                <w:rFonts w:ascii="Cambria Math" w:hAnsi="Cambria Math" w:cs="Arial"/>
                <w:sz w:val="24"/>
              </w:rPr>
              <m:t>Current Assets</m:t>
            </m:r>
          </m:num>
          <m:den>
            <m:r>
              <w:rPr>
                <w:rFonts w:ascii="Cambria Math" w:hAnsi="Cambria Math" w:cs="Arial"/>
                <w:sz w:val="24"/>
              </w:rPr>
              <m:t>Current Liabilities</m:t>
            </m:r>
          </m:den>
        </m:f>
      </m:oMath>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5BC13F13" w14:textId="77777777" w:rsidTr="0095083C">
        <w:tc>
          <w:tcPr>
            <w:tcW w:w="2337" w:type="dxa"/>
          </w:tcPr>
          <w:p w14:paraId="59A78EC9" w14:textId="77777777" w:rsidR="0095083C" w:rsidRPr="007C28EC" w:rsidRDefault="0095083C" w:rsidP="00037DCA">
            <w:pPr>
              <w:spacing w:line="360" w:lineRule="auto"/>
              <w:jc w:val="both"/>
              <w:rPr>
                <w:rFonts w:ascii="Arial" w:hAnsi="Arial" w:cs="Arial"/>
                <w:b/>
                <w:sz w:val="24"/>
              </w:rPr>
            </w:pPr>
            <w:r w:rsidRPr="007C28EC">
              <w:rPr>
                <w:rFonts w:ascii="Arial" w:hAnsi="Arial" w:cs="Arial"/>
                <w:b/>
                <w:sz w:val="24"/>
              </w:rPr>
              <w:t>Year</w:t>
            </w:r>
          </w:p>
        </w:tc>
        <w:tc>
          <w:tcPr>
            <w:tcW w:w="2337" w:type="dxa"/>
          </w:tcPr>
          <w:p w14:paraId="0C1DA3FE" w14:textId="77777777" w:rsidR="0095083C" w:rsidRPr="007C28EC" w:rsidRDefault="0095083C" w:rsidP="00037DCA">
            <w:pPr>
              <w:spacing w:line="360" w:lineRule="auto"/>
              <w:jc w:val="both"/>
              <w:rPr>
                <w:rFonts w:ascii="Arial" w:hAnsi="Arial" w:cs="Arial"/>
                <w:b/>
                <w:sz w:val="24"/>
              </w:rPr>
            </w:pPr>
            <w:r w:rsidRPr="007C28EC">
              <w:rPr>
                <w:rFonts w:ascii="Arial" w:hAnsi="Arial" w:cs="Arial"/>
                <w:b/>
                <w:sz w:val="24"/>
              </w:rPr>
              <w:t>Current Assets (£m)</w:t>
            </w:r>
          </w:p>
        </w:tc>
        <w:tc>
          <w:tcPr>
            <w:tcW w:w="2338" w:type="dxa"/>
          </w:tcPr>
          <w:p w14:paraId="6828FB1F" w14:textId="77777777" w:rsidR="0095083C" w:rsidRPr="007C28EC" w:rsidRDefault="0095083C" w:rsidP="00037DCA">
            <w:pPr>
              <w:spacing w:line="360" w:lineRule="auto"/>
              <w:jc w:val="both"/>
              <w:rPr>
                <w:rFonts w:ascii="Arial" w:hAnsi="Arial" w:cs="Arial"/>
                <w:b/>
                <w:sz w:val="24"/>
              </w:rPr>
            </w:pPr>
            <w:r w:rsidRPr="007C28EC">
              <w:rPr>
                <w:rFonts w:ascii="Arial" w:hAnsi="Arial" w:cs="Arial"/>
                <w:b/>
                <w:sz w:val="24"/>
              </w:rPr>
              <w:t>Current Liabilities (£m)</w:t>
            </w:r>
          </w:p>
        </w:tc>
        <w:tc>
          <w:tcPr>
            <w:tcW w:w="2338" w:type="dxa"/>
          </w:tcPr>
          <w:p w14:paraId="0736C8C7" w14:textId="77777777" w:rsidR="0095083C" w:rsidRPr="007C28EC" w:rsidRDefault="0095083C" w:rsidP="00037DCA">
            <w:pPr>
              <w:spacing w:line="360" w:lineRule="auto"/>
              <w:jc w:val="both"/>
              <w:rPr>
                <w:rFonts w:ascii="Arial" w:hAnsi="Arial" w:cs="Arial"/>
                <w:b/>
                <w:sz w:val="24"/>
              </w:rPr>
            </w:pPr>
            <w:r w:rsidRPr="007C28EC">
              <w:rPr>
                <w:rFonts w:ascii="Arial" w:hAnsi="Arial" w:cs="Arial"/>
                <w:b/>
                <w:sz w:val="24"/>
              </w:rPr>
              <w:t>Current Ratio</w:t>
            </w:r>
          </w:p>
        </w:tc>
      </w:tr>
      <w:tr w:rsidR="007C28EC" w:rsidRPr="007C28EC" w14:paraId="21FF3FB8" w14:textId="77777777" w:rsidTr="0095083C">
        <w:tc>
          <w:tcPr>
            <w:tcW w:w="2337" w:type="dxa"/>
          </w:tcPr>
          <w:p w14:paraId="1F9DB25E"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2024</w:t>
            </w:r>
          </w:p>
        </w:tc>
        <w:tc>
          <w:tcPr>
            <w:tcW w:w="2337" w:type="dxa"/>
          </w:tcPr>
          <w:p w14:paraId="7FD07A4A"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242,494</w:t>
            </w:r>
          </w:p>
        </w:tc>
        <w:tc>
          <w:tcPr>
            <w:tcW w:w="2338" w:type="dxa"/>
          </w:tcPr>
          <w:p w14:paraId="7BF06749"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158,291</w:t>
            </w:r>
          </w:p>
        </w:tc>
        <w:tc>
          <w:tcPr>
            <w:tcW w:w="2338" w:type="dxa"/>
          </w:tcPr>
          <w:p w14:paraId="50B745D8"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1.53</w:t>
            </w:r>
          </w:p>
        </w:tc>
      </w:tr>
      <w:tr w:rsidR="007C28EC" w:rsidRPr="007C28EC" w14:paraId="00196332" w14:textId="77777777" w:rsidTr="0095083C">
        <w:tc>
          <w:tcPr>
            <w:tcW w:w="2337" w:type="dxa"/>
          </w:tcPr>
          <w:p w14:paraId="583C3DEC"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2023</w:t>
            </w:r>
          </w:p>
        </w:tc>
        <w:tc>
          <w:tcPr>
            <w:tcW w:w="2337" w:type="dxa"/>
          </w:tcPr>
          <w:p w14:paraId="1A207CE6"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258,851</w:t>
            </w:r>
          </w:p>
        </w:tc>
        <w:tc>
          <w:tcPr>
            <w:tcW w:w="2338" w:type="dxa"/>
          </w:tcPr>
          <w:p w14:paraId="6B644830"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161,148</w:t>
            </w:r>
          </w:p>
        </w:tc>
        <w:tc>
          <w:tcPr>
            <w:tcW w:w="2338" w:type="dxa"/>
          </w:tcPr>
          <w:p w14:paraId="013241F7"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1.61</w:t>
            </w:r>
          </w:p>
        </w:tc>
      </w:tr>
      <w:tr w:rsidR="007C28EC" w:rsidRPr="007C28EC" w14:paraId="1237FFF0" w14:textId="77777777" w:rsidTr="0095083C">
        <w:tc>
          <w:tcPr>
            <w:tcW w:w="2337" w:type="dxa"/>
          </w:tcPr>
          <w:p w14:paraId="68FF2D0F"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2022</w:t>
            </w:r>
          </w:p>
        </w:tc>
        <w:tc>
          <w:tcPr>
            <w:tcW w:w="2337" w:type="dxa"/>
          </w:tcPr>
          <w:p w14:paraId="2070911F"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338,040</w:t>
            </w:r>
          </w:p>
        </w:tc>
        <w:tc>
          <w:tcPr>
            <w:tcW w:w="2338" w:type="dxa"/>
          </w:tcPr>
          <w:p w14:paraId="197C1879"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216,473</w:t>
            </w:r>
          </w:p>
        </w:tc>
        <w:tc>
          <w:tcPr>
            <w:tcW w:w="2338" w:type="dxa"/>
          </w:tcPr>
          <w:p w14:paraId="48C39500"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1.56</w:t>
            </w:r>
          </w:p>
        </w:tc>
      </w:tr>
      <w:tr w:rsidR="007C28EC" w:rsidRPr="007C28EC" w14:paraId="27B0D7B0" w14:textId="77777777" w:rsidTr="0095083C">
        <w:tc>
          <w:tcPr>
            <w:tcW w:w="2337" w:type="dxa"/>
          </w:tcPr>
          <w:p w14:paraId="096252FD"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2021</w:t>
            </w:r>
          </w:p>
        </w:tc>
        <w:tc>
          <w:tcPr>
            <w:tcW w:w="2337" w:type="dxa"/>
          </w:tcPr>
          <w:p w14:paraId="1C165B40"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337,146</w:t>
            </w:r>
          </w:p>
        </w:tc>
        <w:tc>
          <w:tcPr>
            <w:tcW w:w="2338" w:type="dxa"/>
          </w:tcPr>
          <w:p w14:paraId="20B76797"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216,787</w:t>
            </w:r>
          </w:p>
        </w:tc>
        <w:tc>
          <w:tcPr>
            <w:tcW w:w="2338" w:type="dxa"/>
          </w:tcPr>
          <w:p w14:paraId="370DCE51"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1.55</w:t>
            </w:r>
          </w:p>
        </w:tc>
      </w:tr>
      <w:tr w:rsidR="007C28EC" w:rsidRPr="007C28EC" w14:paraId="02FEE671" w14:textId="77777777" w:rsidTr="0095083C">
        <w:tc>
          <w:tcPr>
            <w:tcW w:w="2337" w:type="dxa"/>
          </w:tcPr>
          <w:p w14:paraId="464F41BF"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2020</w:t>
            </w:r>
          </w:p>
        </w:tc>
        <w:tc>
          <w:tcPr>
            <w:tcW w:w="2337" w:type="dxa"/>
          </w:tcPr>
          <w:p w14:paraId="699A08D0"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326,843</w:t>
            </w:r>
          </w:p>
        </w:tc>
        <w:tc>
          <w:tcPr>
            <w:tcW w:w="2338" w:type="dxa"/>
          </w:tcPr>
          <w:p w14:paraId="5550F7E4"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179,510</w:t>
            </w:r>
          </w:p>
        </w:tc>
        <w:tc>
          <w:tcPr>
            <w:tcW w:w="2338" w:type="dxa"/>
          </w:tcPr>
          <w:p w14:paraId="1E42C7FD"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1.82</w:t>
            </w:r>
          </w:p>
        </w:tc>
      </w:tr>
    </w:tbl>
    <w:p w14:paraId="07DB3301" w14:textId="77777777" w:rsidR="009C35DE" w:rsidRPr="007C28EC" w:rsidRDefault="009C35DE" w:rsidP="0095083C">
      <w:pPr>
        <w:spacing w:line="360" w:lineRule="auto"/>
        <w:jc w:val="both"/>
        <w:rPr>
          <w:rFonts w:ascii="Arial" w:hAnsi="Arial" w:cs="Arial"/>
          <w:sz w:val="24"/>
        </w:rPr>
      </w:pPr>
    </w:p>
    <w:p w14:paraId="7F405872" w14:textId="77777777" w:rsidR="00BF6263" w:rsidRPr="007C28EC" w:rsidRDefault="0095083C" w:rsidP="0095083C">
      <w:pPr>
        <w:spacing w:line="360" w:lineRule="auto"/>
        <w:jc w:val="both"/>
        <w:rPr>
          <w:rFonts w:ascii="Arial" w:hAnsi="Arial" w:cs="Arial"/>
          <w:b/>
          <w:sz w:val="24"/>
        </w:rPr>
      </w:pPr>
      <w:r w:rsidRPr="007C28EC">
        <w:rPr>
          <w:rFonts w:ascii="Arial" w:hAnsi="Arial" w:cs="Arial"/>
          <w:b/>
          <w:sz w:val="24"/>
        </w:rPr>
        <w:t>Interpretation:</w:t>
      </w:r>
      <w:r w:rsidRPr="007C28EC">
        <w:rPr>
          <w:rFonts w:ascii="Arial" w:hAnsi="Arial" w:cs="Arial"/>
          <w:sz w:val="24"/>
        </w:rPr>
        <w:t xml:space="preserve"> </w:t>
      </w:r>
      <w:r w:rsidR="002C21E2" w:rsidRPr="007C28EC">
        <w:rPr>
          <w:rFonts w:ascii="Arial" w:hAnsi="Arial" w:cs="Arial"/>
          <w:sz w:val="24"/>
        </w:rPr>
        <w:t xml:space="preserve">Current Ratio of General Electronics has recorded a slowing down of </w:t>
      </w:r>
      <w:proofErr w:type="gramStart"/>
      <w:r w:rsidR="002C21E2" w:rsidRPr="007C28EC">
        <w:rPr>
          <w:rFonts w:ascii="Arial" w:hAnsi="Arial" w:cs="Arial"/>
          <w:sz w:val="24"/>
        </w:rPr>
        <w:t>short term</w:t>
      </w:r>
      <w:proofErr w:type="gramEnd"/>
      <w:r w:rsidR="002C21E2" w:rsidRPr="007C28EC">
        <w:rPr>
          <w:rFonts w:ascii="Arial" w:hAnsi="Arial" w:cs="Arial"/>
          <w:sz w:val="24"/>
        </w:rPr>
        <w:t xml:space="preserve"> liquidity during the </w:t>
      </w:r>
      <w:r w:rsidR="00430164" w:rsidRPr="007C28EC">
        <w:rPr>
          <w:rFonts w:ascii="Arial" w:hAnsi="Arial" w:cs="Arial"/>
          <w:sz w:val="24"/>
        </w:rPr>
        <w:t>five-year</w:t>
      </w:r>
      <w:r w:rsidR="002C21E2" w:rsidRPr="007C28EC">
        <w:rPr>
          <w:rFonts w:ascii="Arial" w:hAnsi="Arial" w:cs="Arial"/>
          <w:sz w:val="24"/>
        </w:rPr>
        <w:t xml:space="preserve"> period. Even though the ratio was still higher than the traditional 1.5 mark, there is a decrease of its value that was at a great 1.82 in 2020 to 1.53 in 2024, which means that there is a smaller buffer to cover short term commitments. </w:t>
      </w:r>
      <w:r w:rsidR="00E2376A">
        <w:rPr>
          <w:rFonts w:ascii="Arial" w:hAnsi="Arial" w:cs="Arial"/>
          <w:sz w:val="24"/>
        </w:rPr>
        <w:t>The trend emphasis</w:t>
      </w:r>
      <w:r w:rsidR="002C21E2" w:rsidRPr="007C28EC">
        <w:rPr>
          <w:rFonts w:ascii="Arial" w:hAnsi="Arial" w:cs="Arial"/>
          <w:sz w:val="24"/>
        </w:rPr>
        <w:t>es the importance of stricter working capital management to avoid the occurrence of liquidity stress down the line and dependence on the short-term external funding (</w:t>
      </w:r>
      <w:proofErr w:type="spellStart"/>
      <w:r w:rsidR="002C21E2" w:rsidRPr="007C28EC">
        <w:rPr>
          <w:rFonts w:ascii="Arial" w:hAnsi="Arial" w:cs="Arial"/>
          <w:sz w:val="24"/>
        </w:rPr>
        <w:t>Atrill</w:t>
      </w:r>
      <w:proofErr w:type="spellEnd"/>
      <w:r w:rsidR="002C21E2" w:rsidRPr="007C28EC">
        <w:rPr>
          <w:rFonts w:ascii="Arial" w:hAnsi="Arial" w:cs="Arial"/>
          <w:sz w:val="24"/>
        </w:rPr>
        <w:t xml:space="preserve"> and </w:t>
      </w:r>
      <w:proofErr w:type="spellStart"/>
      <w:r w:rsidR="002C21E2" w:rsidRPr="007C28EC">
        <w:rPr>
          <w:rFonts w:ascii="Arial" w:hAnsi="Arial" w:cs="Arial"/>
          <w:sz w:val="24"/>
        </w:rPr>
        <w:t>McLaney</w:t>
      </w:r>
      <w:proofErr w:type="spellEnd"/>
      <w:r w:rsidR="002C21E2" w:rsidRPr="007C28EC">
        <w:rPr>
          <w:rFonts w:ascii="Arial" w:hAnsi="Arial" w:cs="Arial"/>
          <w:sz w:val="24"/>
        </w:rPr>
        <w:t xml:space="preserve">, 2024; Brigham and </w:t>
      </w:r>
      <w:proofErr w:type="spellStart"/>
      <w:r w:rsidR="002C21E2" w:rsidRPr="007C28EC">
        <w:rPr>
          <w:rFonts w:ascii="Arial" w:hAnsi="Arial" w:cs="Arial"/>
          <w:sz w:val="24"/>
        </w:rPr>
        <w:t>Daves</w:t>
      </w:r>
      <w:proofErr w:type="spellEnd"/>
      <w:r w:rsidR="002C21E2" w:rsidRPr="007C28EC">
        <w:rPr>
          <w:rFonts w:ascii="Arial" w:hAnsi="Arial" w:cs="Arial"/>
          <w:sz w:val="24"/>
        </w:rPr>
        <w:t>, 2022</w:t>
      </w:r>
      <w:r w:rsidR="00F42579" w:rsidRPr="007C28EC">
        <w:rPr>
          <w:rFonts w:ascii="Arial" w:hAnsi="Arial" w:cs="Arial"/>
          <w:sz w:val="24"/>
        </w:rPr>
        <w:t>)</w:t>
      </w:r>
      <w:r w:rsidR="00BD0C3B" w:rsidRPr="007C28EC">
        <w:rPr>
          <w:rFonts w:ascii="Arial" w:hAnsi="Arial" w:cs="Arial"/>
          <w:sz w:val="24"/>
        </w:rPr>
        <w:t xml:space="preserve">. </w:t>
      </w:r>
    </w:p>
    <w:p w14:paraId="628E0F41" w14:textId="77777777" w:rsidR="0095083C" w:rsidRPr="007C28EC" w:rsidRDefault="0095083C" w:rsidP="0095083C">
      <w:pPr>
        <w:pStyle w:val="Heading3"/>
        <w:rPr>
          <w:color w:val="auto"/>
        </w:rPr>
      </w:pPr>
      <w:bookmarkStart w:id="11" w:name="_Toc217195857"/>
      <w:r w:rsidRPr="007C28EC">
        <w:rPr>
          <w:color w:val="auto"/>
        </w:rPr>
        <w:t>1.3.2 Quick Ratio</w:t>
      </w:r>
      <w:bookmarkEnd w:id="11"/>
    </w:p>
    <w:p w14:paraId="7EEC1949" w14:textId="77777777" w:rsidR="0095083C" w:rsidRPr="007C28EC" w:rsidRDefault="0095083C" w:rsidP="0095083C">
      <w:pPr>
        <w:spacing w:line="360" w:lineRule="auto"/>
        <w:jc w:val="both"/>
        <w:rPr>
          <w:rFonts w:ascii="Arial" w:hAnsi="Arial" w:cs="Arial"/>
          <w:sz w:val="24"/>
        </w:rPr>
      </w:pPr>
    </w:p>
    <w:p w14:paraId="4292FC35" w14:textId="77777777" w:rsidR="0095083C" w:rsidRPr="007C28EC" w:rsidRDefault="0095083C" w:rsidP="0095083C">
      <w:pPr>
        <w:spacing w:line="360" w:lineRule="auto"/>
        <w:jc w:val="center"/>
        <w:rPr>
          <w:rFonts w:ascii="Arial" w:hAnsi="Arial" w:cs="Arial"/>
          <w:sz w:val="24"/>
        </w:rPr>
      </w:pPr>
      <w:r w:rsidRPr="007C28EC">
        <w:rPr>
          <w:rFonts w:ascii="Arial" w:hAnsi="Arial" w:cs="Arial"/>
          <w:sz w:val="24"/>
        </w:rPr>
        <w:t xml:space="preserve">Quick Ratio=  </w:t>
      </w:r>
      <m:oMath>
        <m:f>
          <m:fPr>
            <m:ctrlPr>
              <w:rPr>
                <w:rFonts w:ascii="Cambria Math" w:hAnsi="Cambria Math" w:cs="Arial"/>
                <w:i/>
                <w:sz w:val="24"/>
              </w:rPr>
            </m:ctrlPr>
          </m:fPr>
          <m:num>
            <m:r>
              <w:rPr>
                <w:rFonts w:ascii="Cambria Math" w:hAnsi="Cambria Math" w:cs="Arial"/>
                <w:sz w:val="24"/>
              </w:rPr>
              <m:t>Current Assets - Inventories</m:t>
            </m:r>
          </m:num>
          <m:den>
            <m:r>
              <w:rPr>
                <w:rFonts w:ascii="Cambria Math" w:hAnsi="Cambria Math" w:cs="Arial"/>
                <w:sz w:val="24"/>
              </w:rPr>
              <m:t>Current Liabilities</m:t>
            </m:r>
          </m:den>
        </m:f>
      </m:oMath>
    </w:p>
    <w:tbl>
      <w:tblPr>
        <w:tblStyle w:val="TableGrid"/>
        <w:tblW w:w="0" w:type="auto"/>
        <w:tblLook w:val="04A0" w:firstRow="1" w:lastRow="0" w:firstColumn="1" w:lastColumn="0" w:noHBand="0" w:noVBand="1"/>
      </w:tblPr>
      <w:tblGrid>
        <w:gridCol w:w="4675"/>
        <w:gridCol w:w="4675"/>
      </w:tblGrid>
      <w:tr w:rsidR="007C28EC" w:rsidRPr="007C28EC" w14:paraId="40241676" w14:textId="77777777" w:rsidTr="0095083C">
        <w:tc>
          <w:tcPr>
            <w:tcW w:w="4675" w:type="dxa"/>
          </w:tcPr>
          <w:p w14:paraId="1BE24C4E" w14:textId="77777777" w:rsidR="0095083C" w:rsidRPr="007C28EC" w:rsidRDefault="0095083C" w:rsidP="00037DCA">
            <w:pPr>
              <w:spacing w:line="360" w:lineRule="auto"/>
              <w:jc w:val="both"/>
              <w:rPr>
                <w:rFonts w:ascii="Arial" w:hAnsi="Arial" w:cs="Arial"/>
                <w:b/>
                <w:sz w:val="24"/>
              </w:rPr>
            </w:pPr>
            <w:r w:rsidRPr="007C28EC">
              <w:rPr>
                <w:rFonts w:ascii="Arial" w:hAnsi="Arial" w:cs="Arial"/>
                <w:b/>
                <w:sz w:val="24"/>
              </w:rPr>
              <w:t>Year</w:t>
            </w:r>
          </w:p>
        </w:tc>
        <w:tc>
          <w:tcPr>
            <w:tcW w:w="4675" w:type="dxa"/>
          </w:tcPr>
          <w:p w14:paraId="53961803" w14:textId="77777777" w:rsidR="0095083C" w:rsidRPr="007C28EC" w:rsidRDefault="0095083C" w:rsidP="00037DCA">
            <w:pPr>
              <w:spacing w:line="360" w:lineRule="auto"/>
              <w:jc w:val="both"/>
              <w:rPr>
                <w:rFonts w:ascii="Arial" w:hAnsi="Arial" w:cs="Arial"/>
                <w:b/>
                <w:sz w:val="24"/>
              </w:rPr>
            </w:pPr>
            <w:r w:rsidRPr="007C28EC">
              <w:rPr>
                <w:rFonts w:ascii="Arial" w:hAnsi="Arial" w:cs="Arial"/>
                <w:b/>
                <w:sz w:val="24"/>
              </w:rPr>
              <w:t>Quick Ratio</w:t>
            </w:r>
          </w:p>
        </w:tc>
      </w:tr>
      <w:tr w:rsidR="007C28EC" w:rsidRPr="007C28EC" w14:paraId="76A693B1" w14:textId="77777777" w:rsidTr="0095083C">
        <w:tc>
          <w:tcPr>
            <w:tcW w:w="4675" w:type="dxa"/>
          </w:tcPr>
          <w:p w14:paraId="437E91DF"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2024</w:t>
            </w:r>
          </w:p>
        </w:tc>
        <w:tc>
          <w:tcPr>
            <w:tcW w:w="4675" w:type="dxa"/>
          </w:tcPr>
          <w:p w14:paraId="69AEEC27"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1.04</w:t>
            </w:r>
          </w:p>
        </w:tc>
      </w:tr>
      <w:tr w:rsidR="007C28EC" w:rsidRPr="007C28EC" w14:paraId="6BF96793" w14:textId="77777777" w:rsidTr="0095083C">
        <w:tc>
          <w:tcPr>
            <w:tcW w:w="4675" w:type="dxa"/>
          </w:tcPr>
          <w:p w14:paraId="6F7CF358"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2023</w:t>
            </w:r>
          </w:p>
        </w:tc>
        <w:tc>
          <w:tcPr>
            <w:tcW w:w="4675" w:type="dxa"/>
          </w:tcPr>
          <w:p w14:paraId="27907586"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1.01</w:t>
            </w:r>
          </w:p>
        </w:tc>
      </w:tr>
      <w:tr w:rsidR="007C28EC" w:rsidRPr="007C28EC" w14:paraId="1A321BB5" w14:textId="77777777" w:rsidTr="0095083C">
        <w:tc>
          <w:tcPr>
            <w:tcW w:w="4675" w:type="dxa"/>
          </w:tcPr>
          <w:p w14:paraId="5A0760B2"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2022</w:t>
            </w:r>
          </w:p>
        </w:tc>
        <w:tc>
          <w:tcPr>
            <w:tcW w:w="4675" w:type="dxa"/>
          </w:tcPr>
          <w:p w14:paraId="681574E3"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0.91</w:t>
            </w:r>
          </w:p>
        </w:tc>
      </w:tr>
      <w:tr w:rsidR="007C28EC" w:rsidRPr="007C28EC" w14:paraId="574C6BDC" w14:textId="77777777" w:rsidTr="0095083C">
        <w:tc>
          <w:tcPr>
            <w:tcW w:w="4675" w:type="dxa"/>
          </w:tcPr>
          <w:p w14:paraId="0F5DB02B"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2021</w:t>
            </w:r>
          </w:p>
        </w:tc>
        <w:tc>
          <w:tcPr>
            <w:tcW w:w="4675" w:type="dxa"/>
          </w:tcPr>
          <w:p w14:paraId="183C2B0E"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0.97</w:t>
            </w:r>
          </w:p>
        </w:tc>
      </w:tr>
      <w:tr w:rsidR="007C28EC" w:rsidRPr="007C28EC" w14:paraId="3395163A" w14:textId="77777777" w:rsidTr="0095083C">
        <w:tc>
          <w:tcPr>
            <w:tcW w:w="4675" w:type="dxa"/>
          </w:tcPr>
          <w:p w14:paraId="29D2C478"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2020</w:t>
            </w:r>
          </w:p>
        </w:tc>
        <w:tc>
          <w:tcPr>
            <w:tcW w:w="4675" w:type="dxa"/>
          </w:tcPr>
          <w:p w14:paraId="15C7F880" w14:textId="77777777" w:rsidR="0095083C" w:rsidRPr="007C28EC" w:rsidRDefault="0095083C" w:rsidP="00037DCA">
            <w:pPr>
              <w:spacing w:line="360" w:lineRule="auto"/>
              <w:jc w:val="both"/>
              <w:rPr>
                <w:rFonts w:ascii="Arial" w:hAnsi="Arial" w:cs="Arial"/>
                <w:sz w:val="24"/>
              </w:rPr>
            </w:pPr>
            <w:r w:rsidRPr="007C28EC">
              <w:rPr>
                <w:rFonts w:ascii="Arial" w:hAnsi="Arial" w:cs="Arial"/>
                <w:sz w:val="24"/>
              </w:rPr>
              <w:t>1.37</w:t>
            </w:r>
          </w:p>
        </w:tc>
      </w:tr>
    </w:tbl>
    <w:p w14:paraId="79826CBC" w14:textId="77777777" w:rsidR="0095083C" w:rsidRPr="007C28EC" w:rsidRDefault="0095083C" w:rsidP="0095083C">
      <w:pPr>
        <w:spacing w:line="360" w:lineRule="auto"/>
        <w:jc w:val="both"/>
        <w:rPr>
          <w:rFonts w:ascii="Arial" w:hAnsi="Arial" w:cs="Arial"/>
          <w:sz w:val="24"/>
        </w:rPr>
      </w:pPr>
    </w:p>
    <w:p w14:paraId="1B9254F2" w14:textId="77777777" w:rsidR="0095083C" w:rsidRPr="007C28EC" w:rsidRDefault="0095083C" w:rsidP="0095083C">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430164" w:rsidRPr="007C28EC">
        <w:rPr>
          <w:rFonts w:ascii="Arial" w:hAnsi="Arial" w:cs="Arial"/>
          <w:sz w:val="24"/>
        </w:rPr>
        <w:t>Quick Ratio of General Electronics represents the capability of the firm to cover the short-term liabilities without using their inventory. The ratio fell out of 2020 position of 1.37 to less than 1.0 in 2021 (0.97) and 2022 (0.91), then slightly above 1.0 in 2023 (1.01) and 2024 (1.04). It means that historically, the liquidity of the firm was limited without considering the inventories, which may lead to the possibility of using slow-moving inventories as a source of funds to meet the current liabilities. Even though the recent incremental improvement indicates improved cash or receivables management, its ratio is low, indicating low ability to meet unforeseen cash flow requirements. The enhancement of liquid assets and enhancement of receivables collection is important to guarantee a sustainable short-term solvency (</w:t>
      </w:r>
      <w:proofErr w:type="spellStart"/>
      <w:r w:rsidR="00430164" w:rsidRPr="007C28EC">
        <w:rPr>
          <w:rFonts w:ascii="Arial" w:hAnsi="Arial" w:cs="Arial"/>
          <w:sz w:val="24"/>
        </w:rPr>
        <w:t>Palepu</w:t>
      </w:r>
      <w:proofErr w:type="spellEnd"/>
      <w:r w:rsidR="00430164" w:rsidRPr="007C28EC">
        <w:rPr>
          <w:rFonts w:ascii="Arial" w:hAnsi="Arial" w:cs="Arial"/>
          <w:sz w:val="24"/>
        </w:rPr>
        <w:t xml:space="preserve"> et al., 2020; </w:t>
      </w:r>
      <w:proofErr w:type="spellStart"/>
      <w:r w:rsidR="00430164" w:rsidRPr="007C28EC">
        <w:rPr>
          <w:rFonts w:ascii="Arial" w:hAnsi="Arial" w:cs="Arial"/>
          <w:sz w:val="24"/>
        </w:rPr>
        <w:t>Atrill</w:t>
      </w:r>
      <w:proofErr w:type="spellEnd"/>
      <w:r w:rsidR="00430164" w:rsidRPr="007C28EC">
        <w:rPr>
          <w:rFonts w:ascii="Arial" w:hAnsi="Arial" w:cs="Arial"/>
          <w:sz w:val="24"/>
        </w:rPr>
        <w:t xml:space="preserve"> and </w:t>
      </w:r>
      <w:proofErr w:type="spellStart"/>
      <w:r w:rsidR="00430164" w:rsidRPr="007C28EC">
        <w:rPr>
          <w:rFonts w:ascii="Arial" w:hAnsi="Arial" w:cs="Arial"/>
          <w:sz w:val="24"/>
        </w:rPr>
        <w:t>McLaney</w:t>
      </w:r>
      <w:proofErr w:type="spellEnd"/>
      <w:r w:rsidR="00430164" w:rsidRPr="007C28EC">
        <w:rPr>
          <w:rFonts w:ascii="Arial" w:hAnsi="Arial" w:cs="Arial"/>
          <w:sz w:val="24"/>
        </w:rPr>
        <w:t>, 2024)</w:t>
      </w:r>
    </w:p>
    <w:p w14:paraId="57D189ED" w14:textId="77777777" w:rsidR="00503058" w:rsidRDefault="00503058" w:rsidP="0095083C">
      <w:pPr>
        <w:spacing w:line="360" w:lineRule="auto"/>
        <w:jc w:val="both"/>
        <w:rPr>
          <w:rFonts w:ascii="Arial" w:hAnsi="Arial" w:cs="Arial"/>
          <w:sz w:val="24"/>
        </w:rPr>
      </w:pPr>
    </w:p>
    <w:p w14:paraId="1CA523EA" w14:textId="77777777" w:rsidR="00E2376A" w:rsidRPr="007C28EC" w:rsidRDefault="00E2376A" w:rsidP="0095083C">
      <w:pPr>
        <w:spacing w:line="360" w:lineRule="auto"/>
        <w:jc w:val="both"/>
        <w:rPr>
          <w:rFonts w:ascii="Arial" w:hAnsi="Arial" w:cs="Arial"/>
          <w:sz w:val="24"/>
        </w:rPr>
      </w:pPr>
    </w:p>
    <w:p w14:paraId="065F812F" w14:textId="77777777" w:rsidR="0099311A" w:rsidRPr="007C28EC" w:rsidRDefault="0099311A" w:rsidP="007C28EC">
      <w:pPr>
        <w:pStyle w:val="Heading2"/>
        <w:spacing w:after="240"/>
        <w:rPr>
          <w:color w:val="auto"/>
        </w:rPr>
      </w:pPr>
      <w:bookmarkStart w:id="12" w:name="_Toc217195858"/>
      <w:r w:rsidRPr="007C28EC">
        <w:rPr>
          <w:color w:val="auto"/>
        </w:rPr>
        <w:t>1.4 Efficiency Ratios</w:t>
      </w:r>
      <w:bookmarkEnd w:id="12"/>
    </w:p>
    <w:p w14:paraId="18EB8BE5" w14:textId="77777777" w:rsidR="0099311A" w:rsidRPr="007C28EC" w:rsidRDefault="00E538E9" w:rsidP="007C28EC">
      <w:pPr>
        <w:spacing w:after="240" w:line="360" w:lineRule="auto"/>
        <w:jc w:val="both"/>
        <w:rPr>
          <w:rFonts w:ascii="Arial" w:hAnsi="Arial" w:cs="Arial"/>
          <w:sz w:val="24"/>
        </w:rPr>
      </w:pPr>
      <w:r w:rsidRPr="007C28EC">
        <w:rPr>
          <w:rFonts w:ascii="Arial" w:hAnsi="Arial" w:cs="Arial"/>
          <w:sz w:val="24"/>
        </w:rPr>
        <w:t>Performance ratios measure how efficaciously the firm utilises belongings and manages running capital</w:t>
      </w:r>
      <w:r w:rsidR="0099311A" w:rsidRPr="007C28EC">
        <w:rPr>
          <w:rFonts w:ascii="Arial" w:hAnsi="Arial" w:cs="Arial"/>
          <w:sz w:val="24"/>
        </w:rPr>
        <w:t>.</w:t>
      </w:r>
    </w:p>
    <w:p w14:paraId="1F627CED" w14:textId="77777777" w:rsidR="0099311A" w:rsidRPr="007C28EC" w:rsidRDefault="0099311A" w:rsidP="0099311A">
      <w:pPr>
        <w:pStyle w:val="Heading3"/>
        <w:rPr>
          <w:color w:val="auto"/>
        </w:rPr>
      </w:pPr>
      <w:bookmarkStart w:id="13" w:name="_Toc217195859"/>
      <w:r w:rsidRPr="007C28EC">
        <w:rPr>
          <w:color w:val="auto"/>
        </w:rPr>
        <w:t>1.4.1 Inventory Turnover</w:t>
      </w:r>
      <w:bookmarkEnd w:id="13"/>
    </w:p>
    <w:p w14:paraId="205F546F" w14:textId="77777777" w:rsidR="0099311A" w:rsidRPr="007C28EC" w:rsidRDefault="0099311A" w:rsidP="0099311A">
      <w:pPr>
        <w:spacing w:line="360" w:lineRule="auto"/>
        <w:jc w:val="center"/>
        <w:rPr>
          <w:rFonts w:ascii="Arial" w:hAnsi="Arial" w:cs="Arial"/>
          <w:sz w:val="24"/>
        </w:rPr>
      </w:pPr>
      <w:r w:rsidRPr="007C28EC">
        <w:rPr>
          <w:rFonts w:ascii="Arial" w:hAnsi="Arial" w:cs="Arial"/>
          <w:sz w:val="24"/>
        </w:rPr>
        <w:t xml:space="preserve">Inventory Turnover=  </w:t>
      </w:r>
      <m:oMath>
        <m:f>
          <m:fPr>
            <m:ctrlPr>
              <w:rPr>
                <w:rFonts w:ascii="Cambria Math" w:hAnsi="Cambria Math" w:cs="Arial"/>
                <w:i/>
                <w:sz w:val="24"/>
              </w:rPr>
            </m:ctrlPr>
          </m:fPr>
          <m:num>
            <m:r>
              <w:rPr>
                <w:rFonts w:ascii="Cambria Math" w:hAnsi="Cambria Math" w:cs="Arial"/>
                <w:sz w:val="24"/>
              </w:rPr>
              <m:t>Cost of Sales</m:t>
            </m:r>
          </m:num>
          <m:den>
            <m:r>
              <w:rPr>
                <w:rFonts w:ascii="Cambria Math" w:hAnsi="Cambria Math" w:cs="Arial"/>
                <w:sz w:val="24"/>
              </w:rPr>
              <m:t>Average Inventory</m:t>
            </m:r>
          </m:den>
        </m:f>
      </m:oMath>
    </w:p>
    <w:tbl>
      <w:tblPr>
        <w:tblStyle w:val="TableGrid"/>
        <w:tblW w:w="0" w:type="auto"/>
        <w:tblLook w:val="04A0" w:firstRow="1" w:lastRow="0" w:firstColumn="1" w:lastColumn="0" w:noHBand="0" w:noVBand="1"/>
      </w:tblPr>
      <w:tblGrid>
        <w:gridCol w:w="4675"/>
        <w:gridCol w:w="4675"/>
      </w:tblGrid>
      <w:tr w:rsidR="007C28EC" w:rsidRPr="007C28EC" w14:paraId="610FE318" w14:textId="77777777" w:rsidTr="0099311A">
        <w:tc>
          <w:tcPr>
            <w:tcW w:w="4675" w:type="dxa"/>
          </w:tcPr>
          <w:p w14:paraId="0436F2FB" w14:textId="77777777" w:rsidR="0099311A" w:rsidRPr="007C28EC" w:rsidRDefault="0099311A" w:rsidP="00037DCA">
            <w:pPr>
              <w:spacing w:line="360" w:lineRule="auto"/>
              <w:jc w:val="both"/>
              <w:rPr>
                <w:rFonts w:ascii="Arial" w:hAnsi="Arial" w:cs="Arial"/>
                <w:b/>
                <w:sz w:val="24"/>
              </w:rPr>
            </w:pPr>
            <w:r w:rsidRPr="007C28EC">
              <w:rPr>
                <w:rFonts w:ascii="Arial" w:hAnsi="Arial" w:cs="Arial"/>
                <w:b/>
                <w:sz w:val="24"/>
              </w:rPr>
              <w:t>Year</w:t>
            </w:r>
          </w:p>
        </w:tc>
        <w:tc>
          <w:tcPr>
            <w:tcW w:w="4675" w:type="dxa"/>
          </w:tcPr>
          <w:p w14:paraId="4B1433B1" w14:textId="77777777" w:rsidR="0099311A" w:rsidRPr="007C28EC" w:rsidRDefault="0099311A" w:rsidP="00037DCA">
            <w:pPr>
              <w:spacing w:line="360" w:lineRule="auto"/>
              <w:jc w:val="both"/>
              <w:rPr>
                <w:rFonts w:ascii="Arial" w:hAnsi="Arial" w:cs="Arial"/>
                <w:b/>
                <w:sz w:val="24"/>
              </w:rPr>
            </w:pPr>
            <w:r w:rsidRPr="007C28EC">
              <w:rPr>
                <w:rFonts w:ascii="Arial" w:hAnsi="Arial" w:cs="Arial"/>
                <w:b/>
                <w:sz w:val="24"/>
              </w:rPr>
              <w:t>Inventory Turnover (x)</w:t>
            </w:r>
          </w:p>
        </w:tc>
      </w:tr>
      <w:tr w:rsidR="007C28EC" w:rsidRPr="007C28EC" w14:paraId="28A3F45B" w14:textId="77777777" w:rsidTr="0099311A">
        <w:tc>
          <w:tcPr>
            <w:tcW w:w="4675" w:type="dxa"/>
          </w:tcPr>
          <w:p w14:paraId="3987E8BC"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2024</w:t>
            </w:r>
          </w:p>
        </w:tc>
        <w:tc>
          <w:tcPr>
            <w:tcW w:w="4675" w:type="dxa"/>
          </w:tcPr>
          <w:p w14:paraId="2DF8460C"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3.54</w:t>
            </w:r>
          </w:p>
        </w:tc>
      </w:tr>
      <w:tr w:rsidR="007C28EC" w:rsidRPr="007C28EC" w14:paraId="6181526B" w14:textId="77777777" w:rsidTr="0099311A">
        <w:tc>
          <w:tcPr>
            <w:tcW w:w="4675" w:type="dxa"/>
          </w:tcPr>
          <w:p w14:paraId="34E2112A"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2023</w:t>
            </w:r>
          </w:p>
        </w:tc>
        <w:tc>
          <w:tcPr>
            <w:tcW w:w="4675" w:type="dxa"/>
          </w:tcPr>
          <w:p w14:paraId="5FB94462"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3.66</w:t>
            </w:r>
          </w:p>
        </w:tc>
      </w:tr>
      <w:tr w:rsidR="007C28EC" w:rsidRPr="007C28EC" w14:paraId="414E6F95" w14:textId="77777777" w:rsidTr="0099311A">
        <w:tc>
          <w:tcPr>
            <w:tcW w:w="4675" w:type="dxa"/>
          </w:tcPr>
          <w:p w14:paraId="3943C583"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2022</w:t>
            </w:r>
          </w:p>
        </w:tc>
        <w:tc>
          <w:tcPr>
            <w:tcW w:w="4675" w:type="dxa"/>
          </w:tcPr>
          <w:p w14:paraId="77FD08FB"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2.78</w:t>
            </w:r>
          </w:p>
        </w:tc>
      </w:tr>
      <w:tr w:rsidR="007C28EC" w:rsidRPr="007C28EC" w14:paraId="49C50387" w14:textId="77777777" w:rsidTr="0099311A">
        <w:tc>
          <w:tcPr>
            <w:tcW w:w="4675" w:type="dxa"/>
          </w:tcPr>
          <w:p w14:paraId="791B7E44"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2021</w:t>
            </w:r>
          </w:p>
        </w:tc>
        <w:tc>
          <w:tcPr>
            <w:tcW w:w="4675" w:type="dxa"/>
          </w:tcPr>
          <w:p w14:paraId="2EC8006C"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3.19</w:t>
            </w:r>
          </w:p>
        </w:tc>
      </w:tr>
      <w:tr w:rsidR="007C28EC" w:rsidRPr="007C28EC" w14:paraId="20B711F8" w14:textId="77777777" w:rsidTr="0099311A">
        <w:tc>
          <w:tcPr>
            <w:tcW w:w="4675" w:type="dxa"/>
          </w:tcPr>
          <w:p w14:paraId="26253925"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2020</w:t>
            </w:r>
          </w:p>
        </w:tc>
        <w:tc>
          <w:tcPr>
            <w:tcW w:w="4675" w:type="dxa"/>
          </w:tcPr>
          <w:p w14:paraId="7D0E17E1"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3.64</w:t>
            </w:r>
          </w:p>
        </w:tc>
      </w:tr>
    </w:tbl>
    <w:p w14:paraId="2A391AE8" w14:textId="77777777" w:rsidR="0095083C" w:rsidRPr="007C28EC" w:rsidRDefault="0095083C" w:rsidP="0099311A">
      <w:pPr>
        <w:spacing w:line="360" w:lineRule="auto"/>
        <w:jc w:val="both"/>
        <w:rPr>
          <w:rFonts w:ascii="Arial" w:hAnsi="Arial" w:cs="Arial"/>
          <w:sz w:val="24"/>
        </w:rPr>
      </w:pPr>
    </w:p>
    <w:p w14:paraId="6BC9F884" w14:textId="77777777" w:rsidR="00A859D2" w:rsidRPr="007C28EC" w:rsidRDefault="0099311A" w:rsidP="00A859D2">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A859D2" w:rsidRPr="007C28EC">
        <w:rPr>
          <w:rFonts w:ascii="Arial" w:hAnsi="Arial" w:cs="Arial"/>
          <w:sz w:val="24"/>
        </w:rPr>
        <w:t>The Inventory Turnover ratio of General Electronics depicts that the changes during the five years are moderate. The turnover decreased to 2.78x in 2022 as compared to 3.64x in 2020, which means slower inventory turnover and possible problems with overstocking. There was some reinvention of the inventory management though slight recovery was seen in 2023 (3.66x) and 2024 (3.54x). In general, the ratio indicates the inefficiency in demand predictions and stock management, which can occupy capital and raise holding expenses. To improve the liquidity and operational efficiency, it is necessary to improve inventory planning and implement the practice of just-in-time (</w:t>
      </w:r>
      <w:proofErr w:type="spellStart"/>
      <w:r w:rsidR="00A859D2" w:rsidRPr="007C28EC">
        <w:rPr>
          <w:rFonts w:ascii="Arial" w:hAnsi="Arial" w:cs="Arial"/>
          <w:sz w:val="24"/>
        </w:rPr>
        <w:t>Atrill</w:t>
      </w:r>
      <w:proofErr w:type="spellEnd"/>
      <w:r w:rsidR="00A859D2" w:rsidRPr="007C28EC">
        <w:rPr>
          <w:rFonts w:ascii="Arial" w:hAnsi="Arial" w:cs="Arial"/>
          <w:sz w:val="24"/>
        </w:rPr>
        <w:t xml:space="preserve"> and </w:t>
      </w:r>
      <w:proofErr w:type="spellStart"/>
      <w:r w:rsidR="00A859D2" w:rsidRPr="007C28EC">
        <w:rPr>
          <w:rFonts w:ascii="Arial" w:hAnsi="Arial" w:cs="Arial"/>
          <w:sz w:val="24"/>
        </w:rPr>
        <w:t>McLaney</w:t>
      </w:r>
      <w:proofErr w:type="spellEnd"/>
      <w:r w:rsidR="00A859D2" w:rsidRPr="007C28EC">
        <w:rPr>
          <w:rFonts w:ascii="Arial" w:hAnsi="Arial" w:cs="Arial"/>
          <w:sz w:val="24"/>
        </w:rPr>
        <w:t xml:space="preserve">, 2024; Brigham and </w:t>
      </w:r>
      <w:proofErr w:type="spellStart"/>
      <w:r w:rsidR="00A859D2" w:rsidRPr="007C28EC">
        <w:rPr>
          <w:rFonts w:ascii="Arial" w:hAnsi="Arial" w:cs="Arial"/>
          <w:sz w:val="24"/>
        </w:rPr>
        <w:t>Daves</w:t>
      </w:r>
      <w:proofErr w:type="spellEnd"/>
      <w:r w:rsidR="00A859D2" w:rsidRPr="007C28EC">
        <w:rPr>
          <w:rFonts w:ascii="Arial" w:hAnsi="Arial" w:cs="Arial"/>
          <w:sz w:val="24"/>
        </w:rPr>
        <w:t>, 2022).</w:t>
      </w:r>
    </w:p>
    <w:p w14:paraId="3E4FCFAC" w14:textId="77777777" w:rsidR="0099311A" w:rsidRPr="007C28EC" w:rsidRDefault="0099311A" w:rsidP="007C28EC">
      <w:pPr>
        <w:pStyle w:val="Heading3"/>
        <w:spacing w:after="240"/>
        <w:rPr>
          <w:color w:val="auto"/>
        </w:rPr>
      </w:pPr>
      <w:bookmarkStart w:id="14" w:name="_Toc217195860"/>
      <w:r w:rsidRPr="007C28EC">
        <w:rPr>
          <w:color w:val="auto"/>
        </w:rPr>
        <w:t>1.4.2 Accounts Receivable Turnover</w:t>
      </w:r>
      <w:bookmarkEnd w:id="14"/>
    </w:p>
    <w:p w14:paraId="16DECCBC" w14:textId="77777777" w:rsidR="0099311A" w:rsidRPr="007C28EC" w:rsidRDefault="0099311A" w:rsidP="007C28EC">
      <w:pPr>
        <w:spacing w:after="240" w:line="360" w:lineRule="auto"/>
        <w:jc w:val="both"/>
        <w:rPr>
          <w:rFonts w:ascii="Arial" w:hAnsi="Arial" w:cs="Arial"/>
          <w:sz w:val="24"/>
        </w:rPr>
      </w:pPr>
      <w:r w:rsidRPr="007C28EC">
        <w:rPr>
          <w:rFonts w:ascii="Arial" w:hAnsi="Arial" w:cs="Arial"/>
          <w:sz w:val="24"/>
        </w:rPr>
        <w:t xml:space="preserve">AR Turnover=  </w:t>
      </w:r>
      <m:oMath>
        <m:f>
          <m:fPr>
            <m:ctrlPr>
              <w:rPr>
                <w:rFonts w:ascii="Cambria Math" w:hAnsi="Cambria Math" w:cs="Arial"/>
                <w:i/>
                <w:sz w:val="24"/>
              </w:rPr>
            </m:ctrlPr>
          </m:fPr>
          <m:num>
            <m:r>
              <w:rPr>
                <w:rFonts w:ascii="Cambria Math" w:hAnsi="Cambria Math" w:cs="Arial"/>
                <w:sz w:val="24"/>
              </w:rPr>
              <m:t>Net Sales</m:t>
            </m:r>
          </m:num>
          <m:den>
            <m:r>
              <w:rPr>
                <w:rFonts w:ascii="Cambria Math" w:hAnsi="Cambria Math" w:cs="Arial"/>
                <w:sz w:val="24"/>
              </w:rPr>
              <m:t>Average Accounts Receivable</m:t>
            </m:r>
          </m:den>
        </m:f>
      </m:oMath>
    </w:p>
    <w:tbl>
      <w:tblPr>
        <w:tblStyle w:val="TableGrid"/>
        <w:tblW w:w="0" w:type="auto"/>
        <w:tblLook w:val="04A0" w:firstRow="1" w:lastRow="0" w:firstColumn="1" w:lastColumn="0" w:noHBand="0" w:noVBand="1"/>
      </w:tblPr>
      <w:tblGrid>
        <w:gridCol w:w="4675"/>
        <w:gridCol w:w="4675"/>
      </w:tblGrid>
      <w:tr w:rsidR="007C28EC" w:rsidRPr="007C28EC" w14:paraId="4CCDA274" w14:textId="77777777" w:rsidTr="0099311A">
        <w:tc>
          <w:tcPr>
            <w:tcW w:w="4675" w:type="dxa"/>
          </w:tcPr>
          <w:p w14:paraId="7C60F434" w14:textId="77777777" w:rsidR="0099311A" w:rsidRPr="007C28EC" w:rsidRDefault="0099311A" w:rsidP="00037DCA">
            <w:pPr>
              <w:spacing w:line="360" w:lineRule="auto"/>
              <w:jc w:val="both"/>
              <w:rPr>
                <w:rFonts w:ascii="Arial" w:hAnsi="Arial" w:cs="Arial"/>
                <w:b/>
                <w:sz w:val="24"/>
              </w:rPr>
            </w:pPr>
            <w:r w:rsidRPr="007C28EC">
              <w:rPr>
                <w:rFonts w:ascii="Arial" w:hAnsi="Arial" w:cs="Arial"/>
                <w:b/>
                <w:sz w:val="24"/>
              </w:rPr>
              <w:t>Year</w:t>
            </w:r>
          </w:p>
        </w:tc>
        <w:tc>
          <w:tcPr>
            <w:tcW w:w="4675" w:type="dxa"/>
          </w:tcPr>
          <w:p w14:paraId="2E8559AA" w14:textId="77777777" w:rsidR="0099311A" w:rsidRPr="007C28EC" w:rsidRDefault="0099311A" w:rsidP="00037DCA">
            <w:pPr>
              <w:spacing w:line="360" w:lineRule="auto"/>
              <w:jc w:val="both"/>
              <w:rPr>
                <w:rFonts w:ascii="Arial" w:hAnsi="Arial" w:cs="Arial"/>
                <w:b/>
                <w:sz w:val="24"/>
              </w:rPr>
            </w:pPr>
            <w:r w:rsidRPr="007C28EC">
              <w:rPr>
                <w:rFonts w:ascii="Arial" w:hAnsi="Arial" w:cs="Arial"/>
                <w:b/>
                <w:sz w:val="24"/>
              </w:rPr>
              <w:t>AR Turnover (x)</w:t>
            </w:r>
          </w:p>
        </w:tc>
      </w:tr>
      <w:tr w:rsidR="007C28EC" w:rsidRPr="007C28EC" w14:paraId="15925DF7" w14:textId="77777777" w:rsidTr="0099311A">
        <w:tc>
          <w:tcPr>
            <w:tcW w:w="4675" w:type="dxa"/>
          </w:tcPr>
          <w:p w14:paraId="07DE11DD"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2024</w:t>
            </w:r>
          </w:p>
        </w:tc>
        <w:tc>
          <w:tcPr>
            <w:tcW w:w="4675" w:type="dxa"/>
          </w:tcPr>
          <w:p w14:paraId="6D5FF6F7"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3.49</w:t>
            </w:r>
          </w:p>
        </w:tc>
      </w:tr>
      <w:tr w:rsidR="007C28EC" w:rsidRPr="007C28EC" w14:paraId="5BBC4285" w14:textId="77777777" w:rsidTr="0099311A">
        <w:tc>
          <w:tcPr>
            <w:tcW w:w="4675" w:type="dxa"/>
          </w:tcPr>
          <w:p w14:paraId="2B2B865A"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2023</w:t>
            </w:r>
          </w:p>
        </w:tc>
        <w:tc>
          <w:tcPr>
            <w:tcW w:w="4675" w:type="dxa"/>
          </w:tcPr>
          <w:p w14:paraId="3FCDF852"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3.74</w:t>
            </w:r>
          </w:p>
        </w:tc>
      </w:tr>
      <w:tr w:rsidR="007C28EC" w:rsidRPr="007C28EC" w14:paraId="10900067" w14:textId="77777777" w:rsidTr="0099311A">
        <w:tc>
          <w:tcPr>
            <w:tcW w:w="4675" w:type="dxa"/>
          </w:tcPr>
          <w:p w14:paraId="6050D543"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2022</w:t>
            </w:r>
          </w:p>
        </w:tc>
        <w:tc>
          <w:tcPr>
            <w:tcW w:w="4675" w:type="dxa"/>
          </w:tcPr>
          <w:p w14:paraId="1812493A"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4.82</w:t>
            </w:r>
          </w:p>
        </w:tc>
      </w:tr>
      <w:tr w:rsidR="007C28EC" w:rsidRPr="007C28EC" w14:paraId="13C1B92E" w14:textId="77777777" w:rsidTr="0099311A">
        <w:tc>
          <w:tcPr>
            <w:tcW w:w="4675" w:type="dxa"/>
          </w:tcPr>
          <w:p w14:paraId="7F6C2A15"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2021</w:t>
            </w:r>
          </w:p>
        </w:tc>
        <w:tc>
          <w:tcPr>
            <w:tcW w:w="4675" w:type="dxa"/>
          </w:tcPr>
          <w:p w14:paraId="73977072"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4.66</w:t>
            </w:r>
          </w:p>
        </w:tc>
      </w:tr>
      <w:tr w:rsidR="007C28EC" w:rsidRPr="007C28EC" w14:paraId="2F5DEFEB" w14:textId="77777777" w:rsidTr="0099311A">
        <w:tc>
          <w:tcPr>
            <w:tcW w:w="4675" w:type="dxa"/>
          </w:tcPr>
          <w:p w14:paraId="09E9E59E"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2020</w:t>
            </w:r>
          </w:p>
        </w:tc>
        <w:tc>
          <w:tcPr>
            <w:tcW w:w="4675" w:type="dxa"/>
          </w:tcPr>
          <w:p w14:paraId="6D1A91F2" w14:textId="77777777" w:rsidR="0099311A" w:rsidRPr="007C28EC" w:rsidRDefault="0099311A" w:rsidP="00037DCA">
            <w:pPr>
              <w:spacing w:line="360" w:lineRule="auto"/>
              <w:jc w:val="both"/>
              <w:rPr>
                <w:rFonts w:ascii="Arial" w:hAnsi="Arial" w:cs="Arial"/>
                <w:sz w:val="24"/>
              </w:rPr>
            </w:pPr>
            <w:r w:rsidRPr="007C28EC">
              <w:rPr>
                <w:rFonts w:ascii="Arial" w:hAnsi="Arial" w:cs="Arial"/>
                <w:sz w:val="24"/>
              </w:rPr>
              <w:t>4.75</w:t>
            </w:r>
          </w:p>
        </w:tc>
      </w:tr>
    </w:tbl>
    <w:p w14:paraId="41C9DFB7" w14:textId="77777777" w:rsidR="0099311A" w:rsidRPr="007C28EC" w:rsidRDefault="0099311A" w:rsidP="0099311A">
      <w:pPr>
        <w:spacing w:line="360" w:lineRule="auto"/>
        <w:jc w:val="both"/>
        <w:rPr>
          <w:rFonts w:ascii="Arial" w:hAnsi="Arial" w:cs="Arial"/>
          <w:sz w:val="24"/>
        </w:rPr>
      </w:pPr>
    </w:p>
    <w:p w14:paraId="7898450C" w14:textId="77777777" w:rsidR="00A50380" w:rsidRPr="007C28EC" w:rsidRDefault="0099311A" w:rsidP="0099311A">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A859D2" w:rsidRPr="007C28EC">
        <w:rPr>
          <w:rFonts w:ascii="Arial" w:hAnsi="Arial" w:cs="Arial"/>
          <w:sz w:val="24"/>
        </w:rPr>
        <w:t>The Accounts Receivable (AR) Turnover of General Electronics shows that it has been on a decreasing trend in the five-year period with a 4.75x being experienced in 2020 compared to 3.49x in 2024. This means that the company is taking more time to receive payment by customers which may put a strain on the cash flow and ba</w:t>
      </w:r>
      <w:r w:rsidR="00E2376A">
        <w:rPr>
          <w:rFonts w:ascii="Arial" w:hAnsi="Arial" w:cs="Arial"/>
          <w:sz w:val="24"/>
        </w:rPr>
        <w:t>d debts may also be experienced</w:t>
      </w:r>
      <w:r w:rsidR="00A859D2" w:rsidRPr="007C28EC">
        <w:rPr>
          <w:rFonts w:ascii="Arial" w:hAnsi="Arial" w:cs="Arial"/>
          <w:sz w:val="24"/>
        </w:rPr>
        <w:t>. Decre</w:t>
      </w:r>
      <w:r w:rsidR="00E2376A">
        <w:rPr>
          <w:rFonts w:ascii="Arial" w:hAnsi="Arial" w:cs="Arial"/>
          <w:sz w:val="24"/>
        </w:rPr>
        <w:t>asing the turnover would minimis</w:t>
      </w:r>
      <w:r w:rsidR="00A859D2" w:rsidRPr="007C28EC">
        <w:rPr>
          <w:rFonts w:ascii="Arial" w:hAnsi="Arial" w:cs="Arial"/>
          <w:sz w:val="24"/>
        </w:rPr>
        <w:t>e the liquidity and emphasize on better credit control, enhanced collection practices, and reviewing credit risk to improve operational cash flow and working capital efficiency (</w:t>
      </w:r>
      <w:proofErr w:type="spellStart"/>
      <w:r w:rsidR="00A859D2" w:rsidRPr="007C28EC">
        <w:rPr>
          <w:rFonts w:ascii="Arial" w:hAnsi="Arial" w:cs="Arial"/>
          <w:sz w:val="24"/>
        </w:rPr>
        <w:t>Palepu</w:t>
      </w:r>
      <w:proofErr w:type="spellEnd"/>
      <w:r w:rsidR="00A859D2" w:rsidRPr="007C28EC">
        <w:rPr>
          <w:rFonts w:ascii="Arial" w:hAnsi="Arial" w:cs="Arial"/>
          <w:sz w:val="24"/>
        </w:rPr>
        <w:t xml:space="preserve"> et al., 2020; </w:t>
      </w:r>
      <w:proofErr w:type="spellStart"/>
      <w:r w:rsidR="00A859D2" w:rsidRPr="007C28EC">
        <w:rPr>
          <w:rFonts w:ascii="Arial" w:hAnsi="Arial" w:cs="Arial"/>
          <w:sz w:val="24"/>
        </w:rPr>
        <w:t>Atrill</w:t>
      </w:r>
      <w:proofErr w:type="spellEnd"/>
      <w:r w:rsidR="00A859D2" w:rsidRPr="007C28EC">
        <w:rPr>
          <w:rFonts w:ascii="Arial" w:hAnsi="Arial" w:cs="Arial"/>
          <w:sz w:val="24"/>
        </w:rPr>
        <w:t xml:space="preserve"> and </w:t>
      </w:r>
      <w:proofErr w:type="spellStart"/>
      <w:r w:rsidR="00A859D2" w:rsidRPr="007C28EC">
        <w:rPr>
          <w:rFonts w:ascii="Arial" w:hAnsi="Arial" w:cs="Arial"/>
          <w:sz w:val="24"/>
        </w:rPr>
        <w:t>McLaney</w:t>
      </w:r>
      <w:proofErr w:type="spellEnd"/>
      <w:r w:rsidR="00A859D2" w:rsidRPr="007C28EC">
        <w:rPr>
          <w:rFonts w:ascii="Arial" w:hAnsi="Arial" w:cs="Arial"/>
          <w:sz w:val="24"/>
        </w:rPr>
        <w:t>, 2024)</w:t>
      </w:r>
    </w:p>
    <w:p w14:paraId="049DC7D6" w14:textId="77777777" w:rsidR="00FB747E" w:rsidRPr="007C28EC" w:rsidRDefault="00FB747E" w:rsidP="007C28EC">
      <w:pPr>
        <w:pStyle w:val="Heading2"/>
        <w:spacing w:after="240"/>
        <w:rPr>
          <w:color w:val="auto"/>
        </w:rPr>
      </w:pPr>
      <w:bookmarkStart w:id="15" w:name="_Toc217195861"/>
      <w:r w:rsidRPr="007C28EC">
        <w:rPr>
          <w:color w:val="auto"/>
        </w:rPr>
        <w:t>1.5 Gearing and Solvency Ratios</w:t>
      </w:r>
      <w:bookmarkEnd w:id="15"/>
    </w:p>
    <w:p w14:paraId="34081491" w14:textId="77777777" w:rsidR="00FB747E" w:rsidRPr="007C28EC" w:rsidRDefault="00FB747E" w:rsidP="007C28EC">
      <w:pPr>
        <w:spacing w:after="240" w:line="360" w:lineRule="auto"/>
        <w:jc w:val="both"/>
        <w:rPr>
          <w:rFonts w:ascii="Arial" w:hAnsi="Arial" w:cs="Arial"/>
          <w:sz w:val="24"/>
        </w:rPr>
      </w:pPr>
      <w:r w:rsidRPr="007C28EC">
        <w:rPr>
          <w:rFonts w:ascii="Arial" w:hAnsi="Arial" w:cs="Arial"/>
          <w:sz w:val="24"/>
        </w:rPr>
        <w:t>Gearing assesses financial leverage and the risk of default.</w:t>
      </w:r>
    </w:p>
    <w:p w14:paraId="3509BE84" w14:textId="77777777" w:rsidR="00FB747E" w:rsidRPr="007C28EC" w:rsidRDefault="00FB747E" w:rsidP="00FB747E">
      <w:pPr>
        <w:pStyle w:val="Heading3"/>
        <w:rPr>
          <w:color w:val="auto"/>
        </w:rPr>
      </w:pPr>
      <w:bookmarkStart w:id="16" w:name="_Toc217195862"/>
      <w:r w:rsidRPr="007C28EC">
        <w:rPr>
          <w:color w:val="auto"/>
        </w:rPr>
        <w:t>1.5.1 Debt-to-Equity Ratio</w:t>
      </w:r>
      <w:bookmarkEnd w:id="16"/>
    </w:p>
    <w:p w14:paraId="51DE9E80" w14:textId="77777777" w:rsidR="00FB747E" w:rsidRPr="007C28EC" w:rsidRDefault="00FB747E" w:rsidP="00FB747E">
      <w:pPr>
        <w:spacing w:line="360" w:lineRule="auto"/>
        <w:jc w:val="both"/>
        <w:rPr>
          <w:rFonts w:ascii="Arial" w:hAnsi="Arial" w:cs="Arial"/>
          <w:sz w:val="24"/>
        </w:rPr>
      </w:pPr>
    </w:p>
    <w:p w14:paraId="64737874" w14:textId="77777777" w:rsidR="00FB747E" w:rsidRPr="007C28EC" w:rsidRDefault="00FB747E" w:rsidP="00FB747E">
      <w:pPr>
        <w:spacing w:line="360" w:lineRule="auto"/>
        <w:jc w:val="center"/>
        <w:rPr>
          <w:rFonts w:ascii="Arial" w:hAnsi="Arial" w:cs="Arial"/>
          <w:sz w:val="24"/>
        </w:rPr>
      </w:pPr>
      <w:r w:rsidRPr="007C28EC">
        <w:rPr>
          <w:rFonts w:ascii="Arial" w:hAnsi="Arial" w:cs="Arial"/>
          <w:sz w:val="24"/>
        </w:rPr>
        <w:t xml:space="preserve">Debt-to-Equity= </w:t>
      </w:r>
      <m:oMath>
        <m:f>
          <m:fPr>
            <m:ctrlPr>
              <w:rPr>
                <w:rFonts w:ascii="Cambria Math" w:hAnsi="Cambria Math" w:cs="Arial"/>
                <w:i/>
                <w:sz w:val="24"/>
              </w:rPr>
            </m:ctrlPr>
          </m:fPr>
          <m:num>
            <m:r>
              <w:rPr>
                <w:rFonts w:ascii="Cambria Math" w:hAnsi="Cambria Math" w:cs="Arial"/>
                <w:sz w:val="24"/>
              </w:rPr>
              <m:t>Total Liabilities</m:t>
            </m:r>
          </m:num>
          <m:den>
            <m:r>
              <w:rPr>
                <w:rFonts w:ascii="Cambria Math" w:hAnsi="Cambria Math" w:cs="Arial"/>
                <w:sz w:val="24"/>
              </w:rPr>
              <m:t>Shareholders’ Equity</m:t>
            </m:r>
          </m:den>
        </m:f>
      </m:oMath>
    </w:p>
    <w:tbl>
      <w:tblPr>
        <w:tblStyle w:val="TableGrid"/>
        <w:tblW w:w="0" w:type="auto"/>
        <w:tblLook w:val="04A0" w:firstRow="1" w:lastRow="0" w:firstColumn="1" w:lastColumn="0" w:noHBand="0" w:noVBand="1"/>
      </w:tblPr>
      <w:tblGrid>
        <w:gridCol w:w="4675"/>
        <w:gridCol w:w="4675"/>
      </w:tblGrid>
      <w:tr w:rsidR="007C28EC" w:rsidRPr="007C28EC" w14:paraId="3D95A6AC" w14:textId="77777777" w:rsidTr="00FB747E">
        <w:tc>
          <w:tcPr>
            <w:tcW w:w="4675" w:type="dxa"/>
          </w:tcPr>
          <w:p w14:paraId="3CE0DFD2" w14:textId="77777777" w:rsidR="00FB747E" w:rsidRPr="007C28EC" w:rsidRDefault="00FB747E" w:rsidP="00037DCA">
            <w:pPr>
              <w:spacing w:line="360" w:lineRule="auto"/>
              <w:jc w:val="both"/>
              <w:rPr>
                <w:rFonts w:ascii="Arial" w:hAnsi="Arial" w:cs="Arial"/>
                <w:b/>
                <w:sz w:val="24"/>
              </w:rPr>
            </w:pPr>
            <w:r w:rsidRPr="007C28EC">
              <w:rPr>
                <w:rFonts w:ascii="Arial" w:hAnsi="Arial" w:cs="Arial"/>
                <w:b/>
                <w:sz w:val="24"/>
              </w:rPr>
              <w:t>Year</w:t>
            </w:r>
          </w:p>
        </w:tc>
        <w:tc>
          <w:tcPr>
            <w:tcW w:w="4675" w:type="dxa"/>
          </w:tcPr>
          <w:p w14:paraId="19F7416D" w14:textId="77777777" w:rsidR="00FB747E" w:rsidRPr="007C28EC" w:rsidRDefault="00FB747E" w:rsidP="00037DCA">
            <w:pPr>
              <w:spacing w:line="360" w:lineRule="auto"/>
              <w:jc w:val="both"/>
              <w:rPr>
                <w:rFonts w:ascii="Arial" w:hAnsi="Arial" w:cs="Arial"/>
                <w:b/>
                <w:sz w:val="24"/>
              </w:rPr>
            </w:pPr>
            <w:r w:rsidRPr="007C28EC">
              <w:rPr>
                <w:rFonts w:ascii="Arial" w:hAnsi="Arial" w:cs="Arial"/>
                <w:b/>
                <w:sz w:val="24"/>
              </w:rPr>
              <w:t>Debt-to-Equity (x)</w:t>
            </w:r>
          </w:p>
        </w:tc>
      </w:tr>
      <w:tr w:rsidR="007C28EC" w:rsidRPr="007C28EC" w14:paraId="53E3D398" w14:textId="77777777" w:rsidTr="00FB747E">
        <w:tc>
          <w:tcPr>
            <w:tcW w:w="4675" w:type="dxa"/>
          </w:tcPr>
          <w:p w14:paraId="3127F78A"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2024</w:t>
            </w:r>
          </w:p>
        </w:tc>
        <w:tc>
          <w:tcPr>
            <w:tcW w:w="4675" w:type="dxa"/>
          </w:tcPr>
          <w:p w14:paraId="655047EA"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1.11</w:t>
            </w:r>
          </w:p>
        </w:tc>
      </w:tr>
      <w:tr w:rsidR="007C28EC" w:rsidRPr="007C28EC" w14:paraId="0AE4B157" w14:textId="77777777" w:rsidTr="00FB747E">
        <w:tc>
          <w:tcPr>
            <w:tcW w:w="4675" w:type="dxa"/>
          </w:tcPr>
          <w:p w14:paraId="66394429"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2023</w:t>
            </w:r>
          </w:p>
        </w:tc>
        <w:tc>
          <w:tcPr>
            <w:tcW w:w="4675" w:type="dxa"/>
          </w:tcPr>
          <w:p w14:paraId="3DF8BFD9"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0.99</w:t>
            </w:r>
          </w:p>
        </w:tc>
      </w:tr>
      <w:tr w:rsidR="007C28EC" w:rsidRPr="007C28EC" w14:paraId="25BB17C3" w14:textId="77777777" w:rsidTr="00FB747E">
        <w:tc>
          <w:tcPr>
            <w:tcW w:w="4675" w:type="dxa"/>
          </w:tcPr>
          <w:p w14:paraId="0274115A"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2022</w:t>
            </w:r>
          </w:p>
        </w:tc>
        <w:tc>
          <w:tcPr>
            <w:tcW w:w="4675" w:type="dxa"/>
          </w:tcPr>
          <w:p w14:paraId="39CA6CC2"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0.88</w:t>
            </w:r>
          </w:p>
        </w:tc>
      </w:tr>
      <w:tr w:rsidR="007C28EC" w:rsidRPr="007C28EC" w14:paraId="36A70CCE" w14:textId="77777777" w:rsidTr="00FB747E">
        <w:tc>
          <w:tcPr>
            <w:tcW w:w="4675" w:type="dxa"/>
          </w:tcPr>
          <w:p w14:paraId="158B50AF"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2021</w:t>
            </w:r>
          </w:p>
        </w:tc>
        <w:tc>
          <w:tcPr>
            <w:tcW w:w="4675" w:type="dxa"/>
          </w:tcPr>
          <w:p w14:paraId="1CA30FEF"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0.85</w:t>
            </w:r>
          </w:p>
        </w:tc>
      </w:tr>
      <w:tr w:rsidR="007C28EC" w:rsidRPr="007C28EC" w14:paraId="7BA9224B" w14:textId="77777777" w:rsidTr="00FB747E">
        <w:tc>
          <w:tcPr>
            <w:tcW w:w="4675" w:type="dxa"/>
          </w:tcPr>
          <w:p w14:paraId="41A31187"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2020</w:t>
            </w:r>
          </w:p>
        </w:tc>
        <w:tc>
          <w:tcPr>
            <w:tcW w:w="4675" w:type="dxa"/>
          </w:tcPr>
          <w:p w14:paraId="27E447F4" w14:textId="77777777" w:rsidR="00FB747E" w:rsidRPr="007C28EC" w:rsidRDefault="00FB747E" w:rsidP="00037DCA">
            <w:pPr>
              <w:spacing w:line="360" w:lineRule="auto"/>
              <w:jc w:val="both"/>
              <w:rPr>
                <w:rFonts w:ascii="Arial" w:hAnsi="Arial" w:cs="Arial"/>
                <w:sz w:val="24"/>
              </w:rPr>
            </w:pPr>
            <w:r w:rsidRPr="007C28EC">
              <w:rPr>
                <w:rFonts w:ascii="Arial" w:hAnsi="Arial" w:cs="Arial"/>
                <w:sz w:val="24"/>
              </w:rPr>
              <w:t>0.63</w:t>
            </w:r>
          </w:p>
        </w:tc>
      </w:tr>
    </w:tbl>
    <w:p w14:paraId="2295A277" w14:textId="77777777" w:rsidR="0099311A" w:rsidRPr="007C28EC" w:rsidRDefault="0099311A" w:rsidP="00FB747E">
      <w:pPr>
        <w:spacing w:line="360" w:lineRule="auto"/>
        <w:jc w:val="both"/>
        <w:rPr>
          <w:rFonts w:ascii="Arial" w:hAnsi="Arial" w:cs="Arial"/>
          <w:sz w:val="24"/>
        </w:rPr>
      </w:pPr>
    </w:p>
    <w:p w14:paraId="61867570" w14:textId="77777777" w:rsidR="00AF55F7" w:rsidRPr="007C28EC" w:rsidRDefault="00AF55F7" w:rsidP="00AF55F7">
      <w:pPr>
        <w:spacing w:line="360" w:lineRule="auto"/>
        <w:jc w:val="both"/>
        <w:rPr>
          <w:rFonts w:ascii="Arial" w:hAnsi="Arial" w:cs="Arial"/>
          <w:sz w:val="24"/>
        </w:rPr>
      </w:pPr>
      <w:r w:rsidRPr="007C28EC">
        <w:rPr>
          <w:rFonts w:ascii="Arial" w:hAnsi="Arial" w:cs="Arial"/>
          <w:b/>
          <w:sz w:val="24"/>
        </w:rPr>
        <w:t>Interpretation:</w:t>
      </w:r>
      <w:r w:rsidR="00F379EC" w:rsidRPr="007C28EC">
        <w:rPr>
          <w:rFonts w:ascii="Arial" w:hAnsi="Arial" w:cs="Arial"/>
          <w:sz w:val="24"/>
        </w:rPr>
        <w:t xml:space="preserve"> </w:t>
      </w:r>
      <w:r w:rsidR="00A859D2" w:rsidRPr="007C28EC">
        <w:rPr>
          <w:rFonts w:ascii="Arial" w:hAnsi="Arial" w:cs="Arial"/>
          <w:sz w:val="24"/>
        </w:rPr>
        <w:t xml:space="preserve">General electronics Debt-to-Equity ratio indicates that it is steadily increasing within the five-year period, and its value has grown to 1.11 in 2024 as compared to the year 2020 when the ratio was 0.63. This shows that the company has gradually become a heavy user of debt financing as compared to equity of shareholders. The increase of leverage increases financial risks, especially with decreasing profitability and operating losses within the past years. Increased amounts of debts will increase the interest payments and decrease financial flexibility, which will expose the firm to fluctuations in the economy and market shocks. The urgency of financial restructuring to optimise the capital structure and </w:t>
      </w:r>
      <w:r w:rsidR="00B71F27" w:rsidRPr="007C28EC">
        <w:rPr>
          <w:rFonts w:ascii="Arial" w:hAnsi="Arial" w:cs="Arial"/>
          <w:sz w:val="24"/>
        </w:rPr>
        <w:t>re-establish</w:t>
      </w:r>
      <w:r w:rsidR="00A859D2" w:rsidRPr="007C28EC">
        <w:rPr>
          <w:rFonts w:ascii="Arial" w:hAnsi="Arial" w:cs="Arial"/>
          <w:sz w:val="24"/>
        </w:rPr>
        <w:t xml:space="preserve"> the investor confidence is highlighted by this trend (Brigham and </w:t>
      </w:r>
      <w:proofErr w:type="spellStart"/>
      <w:r w:rsidR="00A859D2" w:rsidRPr="007C28EC">
        <w:rPr>
          <w:rFonts w:ascii="Arial" w:hAnsi="Arial" w:cs="Arial"/>
          <w:sz w:val="24"/>
        </w:rPr>
        <w:t>Daves</w:t>
      </w:r>
      <w:proofErr w:type="spellEnd"/>
      <w:r w:rsidR="00A859D2" w:rsidRPr="007C28EC">
        <w:rPr>
          <w:rFonts w:ascii="Arial" w:hAnsi="Arial" w:cs="Arial"/>
          <w:sz w:val="24"/>
        </w:rPr>
        <w:t xml:space="preserve">, 2022; </w:t>
      </w:r>
      <w:proofErr w:type="spellStart"/>
      <w:r w:rsidR="00A859D2" w:rsidRPr="007C28EC">
        <w:rPr>
          <w:rFonts w:ascii="Arial" w:hAnsi="Arial" w:cs="Arial"/>
          <w:sz w:val="24"/>
        </w:rPr>
        <w:t>Atrill</w:t>
      </w:r>
      <w:proofErr w:type="spellEnd"/>
      <w:r w:rsidR="00A859D2" w:rsidRPr="007C28EC">
        <w:rPr>
          <w:rFonts w:ascii="Arial" w:hAnsi="Arial" w:cs="Arial"/>
          <w:sz w:val="24"/>
        </w:rPr>
        <w:t xml:space="preserve"> and </w:t>
      </w:r>
      <w:proofErr w:type="spellStart"/>
      <w:r w:rsidR="00A859D2" w:rsidRPr="007C28EC">
        <w:rPr>
          <w:rFonts w:ascii="Arial" w:hAnsi="Arial" w:cs="Arial"/>
          <w:sz w:val="24"/>
        </w:rPr>
        <w:t>McLaney</w:t>
      </w:r>
      <w:proofErr w:type="spellEnd"/>
      <w:r w:rsidR="00A859D2" w:rsidRPr="007C28EC">
        <w:rPr>
          <w:rFonts w:ascii="Arial" w:hAnsi="Arial" w:cs="Arial"/>
          <w:sz w:val="24"/>
        </w:rPr>
        <w:t>, 2024)</w:t>
      </w:r>
    </w:p>
    <w:p w14:paraId="7E542B17" w14:textId="77777777" w:rsidR="00AF55F7" w:rsidRPr="007C28EC" w:rsidRDefault="00AF55F7" w:rsidP="007C28EC">
      <w:pPr>
        <w:pStyle w:val="Heading3"/>
        <w:spacing w:after="240"/>
        <w:rPr>
          <w:color w:val="auto"/>
        </w:rPr>
      </w:pPr>
      <w:bookmarkStart w:id="17" w:name="_Toc217195863"/>
      <w:r w:rsidRPr="007C28EC">
        <w:rPr>
          <w:color w:val="auto"/>
        </w:rPr>
        <w:t>1.5.2 Interest Coverage Ratio</w:t>
      </w:r>
      <w:bookmarkEnd w:id="17"/>
    </w:p>
    <w:p w14:paraId="7E0616A6" w14:textId="77777777" w:rsidR="00AF55F7" w:rsidRPr="007C28EC" w:rsidRDefault="00AF55F7" w:rsidP="007C28EC">
      <w:pPr>
        <w:spacing w:after="240" w:line="360" w:lineRule="auto"/>
        <w:jc w:val="center"/>
        <w:rPr>
          <w:rFonts w:ascii="Arial" w:hAnsi="Arial" w:cs="Arial"/>
          <w:sz w:val="24"/>
        </w:rPr>
      </w:pPr>
      <w:r w:rsidRPr="007C28EC">
        <w:rPr>
          <w:rFonts w:ascii="Arial" w:hAnsi="Arial" w:cs="Arial"/>
          <w:sz w:val="24"/>
        </w:rPr>
        <w:t xml:space="preserve">Interest Coverage= </w:t>
      </w:r>
      <m:oMath>
        <m:f>
          <m:fPr>
            <m:ctrlPr>
              <w:rPr>
                <w:rFonts w:ascii="Cambria Math" w:hAnsi="Cambria Math" w:cs="Arial"/>
                <w:i/>
                <w:sz w:val="24"/>
              </w:rPr>
            </m:ctrlPr>
          </m:fPr>
          <m:num>
            <m:r>
              <w:rPr>
                <w:rFonts w:ascii="Cambria Math" w:hAnsi="Cambria Math" w:cs="Arial"/>
                <w:sz w:val="24"/>
              </w:rPr>
              <m:t>Operating Income</m:t>
            </m:r>
          </m:num>
          <m:den>
            <m:r>
              <w:rPr>
                <w:rFonts w:ascii="Cambria Math" w:hAnsi="Cambria Math" w:cs="Arial"/>
                <w:sz w:val="24"/>
              </w:rPr>
              <m:t>Interest Expense</m:t>
            </m:r>
          </m:den>
        </m:f>
      </m:oMath>
    </w:p>
    <w:p w14:paraId="4A9FE3E7" w14:textId="77777777" w:rsidR="00AF55F7" w:rsidRPr="007C28EC" w:rsidRDefault="00AF55F7" w:rsidP="00AF55F7">
      <w:pPr>
        <w:spacing w:line="360" w:lineRule="auto"/>
        <w:jc w:val="both"/>
        <w:rPr>
          <w:rFonts w:ascii="Arial" w:hAnsi="Arial" w:cs="Arial"/>
          <w:sz w:val="24"/>
        </w:rPr>
      </w:pPr>
    </w:p>
    <w:tbl>
      <w:tblPr>
        <w:tblStyle w:val="TableGrid"/>
        <w:tblW w:w="0" w:type="auto"/>
        <w:tblLook w:val="04A0" w:firstRow="1" w:lastRow="0" w:firstColumn="1" w:lastColumn="0" w:noHBand="0" w:noVBand="1"/>
      </w:tblPr>
      <w:tblGrid>
        <w:gridCol w:w="4675"/>
        <w:gridCol w:w="4675"/>
      </w:tblGrid>
      <w:tr w:rsidR="007C28EC" w:rsidRPr="007C28EC" w14:paraId="0A051CA2" w14:textId="77777777" w:rsidTr="00AF55F7">
        <w:tc>
          <w:tcPr>
            <w:tcW w:w="4675" w:type="dxa"/>
          </w:tcPr>
          <w:p w14:paraId="72F6E9A9" w14:textId="77777777" w:rsidR="00AF55F7" w:rsidRPr="007C28EC" w:rsidRDefault="00AF55F7" w:rsidP="00037DCA">
            <w:pPr>
              <w:spacing w:line="360" w:lineRule="auto"/>
              <w:jc w:val="both"/>
              <w:rPr>
                <w:rFonts w:ascii="Arial" w:hAnsi="Arial" w:cs="Arial"/>
                <w:b/>
                <w:sz w:val="24"/>
              </w:rPr>
            </w:pPr>
            <w:r w:rsidRPr="007C28EC">
              <w:rPr>
                <w:rFonts w:ascii="Arial" w:hAnsi="Arial" w:cs="Arial"/>
                <w:b/>
                <w:sz w:val="24"/>
              </w:rPr>
              <w:t>Year</w:t>
            </w:r>
          </w:p>
        </w:tc>
        <w:tc>
          <w:tcPr>
            <w:tcW w:w="4675" w:type="dxa"/>
          </w:tcPr>
          <w:p w14:paraId="056EE2F2" w14:textId="77777777" w:rsidR="00AF55F7" w:rsidRPr="007C28EC" w:rsidRDefault="00AF55F7" w:rsidP="00037DCA">
            <w:pPr>
              <w:spacing w:line="360" w:lineRule="auto"/>
              <w:jc w:val="both"/>
              <w:rPr>
                <w:rFonts w:ascii="Arial" w:hAnsi="Arial" w:cs="Arial"/>
                <w:b/>
                <w:sz w:val="24"/>
              </w:rPr>
            </w:pPr>
            <w:r w:rsidRPr="007C28EC">
              <w:rPr>
                <w:rFonts w:ascii="Arial" w:hAnsi="Arial" w:cs="Arial"/>
                <w:b/>
                <w:sz w:val="24"/>
              </w:rPr>
              <w:t>Interest Coverage (x)</w:t>
            </w:r>
          </w:p>
        </w:tc>
      </w:tr>
      <w:tr w:rsidR="007C28EC" w:rsidRPr="007C28EC" w14:paraId="71FFB0F7" w14:textId="77777777" w:rsidTr="00AF55F7">
        <w:tc>
          <w:tcPr>
            <w:tcW w:w="4675" w:type="dxa"/>
          </w:tcPr>
          <w:p w14:paraId="0128279B"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2024</w:t>
            </w:r>
          </w:p>
        </w:tc>
        <w:tc>
          <w:tcPr>
            <w:tcW w:w="4675" w:type="dxa"/>
          </w:tcPr>
          <w:p w14:paraId="7C8413FC"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-4.55</w:t>
            </w:r>
          </w:p>
        </w:tc>
      </w:tr>
      <w:tr w:rsidR="007C28EC" w:rsidRPr="007C28EC" w14:paraId="71EE2549" w14:textId="77777777" w:rsidTr="00AF55F7">
        <w:tc>
          <w:tcPr>
            <w:tcW w:w="4675" w:type="dxa"/>
          </w:tcPr>
          <w:p w14:paraId="7934FA39"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2023</w:t>
            </w:r>
          </w:p>
        </w:tc>
        <w:tc>
          <w:tcPr>
            <w:tcW w:w="4675" w:type="dxa"/>
          </w:tcPr>
          <w:p w14:paraId="00705EB6"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-19.70</w:t>
            </w:r>
          </w:p>
        </w:tc>
      </w:tr>
      <w:tr w:rsidR="007C28EC" w:rsidRPr="007C28EC" w14:paraId="3F2D1510" w14:textId="77777777" w:rsidTr="00AF55F7">
        <w:tc>
          <w:tcPr>
            <w:tcW w:w="4675" w:type="dxa"/>
          </w:tcPr>
          <w:p w14:paraId="58195210"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2022</w:t>
            </w:r>
          </w:p>
        </w:tc>
        <w:tc>
          <w:tcPr>
            <w:tcW w:w="4675" w:type="dxa"/>
          </w:tcPr>
          <w:p w14:paraId="5E6E0E72"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6.61</w:t>
            </w:r>
          </w:p>
        </w:tc>
      </w:tr>
      <w:tr w:rsidR="007C28EC" w:rsidRPr="007C28EC" w14:paraId="56A238A7" w14:textId="77777777" w:rsidTr="00AF55F7">
        <w:tc>
          <w:tcPr>
            <w:tcW w:w="4675" w:type="dxa"/>
          </w:tcPr>
          <w:p w14:paraId="3F8DE4FF"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2021</w:t>
            </w:r>
          </w:p>
        </w:tc>
        <w:tc>
          <w:tcPr>
            <w:tcW w:w="4675" w:type="dxa"/>
          </w:tcPr>
          <w:p w14:paraId="4196F0D7"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41.09</w:t>
            </w:r>
          </w:p>
        </w:tc>
      </w:tr>
      <w:tr w:rsidR="007C28EC" w:rsidRPr="007C28EC" w14:paraId="645CBC2F" w14:textId="77777777" w:rsidTr="00AF55F7">
        <w:tc>
          <w:tcPr>
            <w:tcW w:w="4675" w:type="dxa"/>
          </w:tcPr>
          <w:p w14:paraId="286442A0"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2020</w:t>
            </w:r>
          </w:p>
        </w:tc>
        <w:tc>
          <w:tcPr>
            <w:tcW w:w="4675" w:type="dxa"/>
          </w:tcPr>
          <w:p w14:paraId="295CB371" w14:textId="77777777" w:rsidR="00AF55F7" w:rsidRPr="007C28EC" w:rsidRDefault="00AF55F7" w:rsidP="00037DCA">
            <w:pPr>
              <w:spacing w:line="360" w:lineRule="auto"/>
              <w:jc w:val="both"/>
              <w:rPr>
                <w:rFonts w:ascii="Arial" w:hAnsi="Arial" w:cs="Arial"/>
                <w:sz w:val="24"/>
              </w:rPr>
            </w:pPr>
            <w:r w:rsidRPr="007C28EC">
              <w:rPr>
                <w:rFonts w:ascii="Arial" w:hAnsi="Arial" w:cs="Arial"/>
                <w:sz w:val="24"/>
              </w:rPr>
              <w:t>26.19</w:t>
            </w:r>
          </w:p>
        </w:tc>
      </w:tr>
    </w:tbl>
    <w:p w14:paraId="54AC3183" w14:textId="77777777" w:rsidR="00AF55F7" w:rsidRPr="007C28EC" w:rsidRDefault="00AF55F7" w:rsidP="00AF55F7">
      <w:pPr>
        <w:spacing w:line="360" w:lineRule="auto"/>
        <w:jc w:val="both"/>
        <w:rPr>
          <w:rFonts w:ascii="Arial" w:hAnsi="Arial" w:cs="Arial"/>
          <w:sz w:val="24"/>
        </w:rPr>
      </w:pPr>
    </w:p>
    <w:p w14:paraId="6CF451A5" w14:textId="77777777" w:rsidR="00734DC8" w:rsidRDefault="00734DC8" w:rsidP="00734DC8">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B71F27" w:rsidRPr="007C28EC">
        <w:rPr>
          <w:rFonts w:ascii="Arial" w:hAnsi="Arial" w:cs="Arial"/>
          <w:sz w:val="24"/>
        </w:rPr>
        <w:t xml:space="preserve">An unfavourable trend has been observed in the Interest Coverage Ratio of General Electronics with an overall trend showing a decline of 26.19x in 2020 to -19.70x in 2023, further to a slight improvement in 2024 to -4.55x. The 2023 and 2024 negative ratios imply that the operating income is not enough to cover the interest expenses, which is an indication of high financial stress and risk of defaulting. This sort of trend provides an urgent necessity of restructuring debts, cost management, and expansion of operational efficiency to recover the solvency and keep the creditor confidence (Brigham and </w:t>
      </w:r>
      <w:proofErr w:type="spellStart"/>
      <w:r w:rsidR="00B71F27" w:rsidRPr="007C28EC">
        <w:rPr>
          <w:rFonts w:ascii="Arial" w:hAnsi="Arial" w:cs="Arial"/>
          <w:sz w:val="24"/>
        </w:rPr>
        <w:t>Daves</w:t>
      </w:r>
      <w:proofErr w:type="spellEnd"/>
      <w:r w:rsidR="00B71F27" w:rsidRPr="007C28EC">
        <w:rPr>
          <w:rFonts w:ascii="Arial" w:hAnsi="Arial" w:cs="Arial"/>
          <w:sz w:val="24"/>
        </w:rPr>
        <w:t xml:space="preserve">, 2022; </w:t>
      </w:r>
      <w:proofErr w:type="spellStart"/>
      <w:r w:rsidR="00B71F27" w:rsidRPr="007C28EC">
        <w:rPr>
          <w:rFonts w:ascii="Arial" w:hAnsi="Arial" w:cs="Arial"/>
          <w:sz w:val="24"/>
        </w:rPr>
        <w:t>Atrill</w:t>
      </w:r>
      <w:proofErr w:type="spellEnd"/>
      <w:r w:rsidR="00B71F27" w:rsidRPr="007C28EC">
        <w:rPr>
          <w:rFonts w:ascii="Arial" w:hAnsi="Arial" w:cs="Arial"/>
          <w:sz w:val="24"/>
        </w:rPr>
        <w:t xml:space="preserve"> and </w:t>
      </w:r>
      <w:proofErr w:type="spellStart"/>
      <w:r w:rsidR="00B71F27" w:rsidRPr="007C28EC">
        <w:rPr>
          <w:rFonts w:ascii="Arial" w:hAnsi="Arial" w:cs="Arial"/>
          <w:sz w:val="24"/>
        </w:rPr>
        <w:t>McLaney</w:t>
      </w:r>
      <w:proofErr w:type="spellEnd"/>
      <w:r w:rsidR="00B71F27" w:rsidRPr="007C28EC">
        <w:rPr>
          <w:rFonts w:ascii="Arial" w:hAnsi="Arial" w:cs="Arial"/>
          <w:sz w:val="24"/>
        </w:rPr>
        <w:t>, 2024).</w:t>
      </w:r>
    </w:p>
    <w:p w14:paraId="73ED05B9" w14:textId="77777777" w:rsidR="00734DC8" w:rsidRPr="007C28EC" w:rsidRDefault="00734DC8" w:rsidP="007C28EC">
      <w:pPr>
        <w:pStyle w:val="Heading2"/>
        <w:spacing w:after="240"/>
        <w:rPr>
          <w:color w:val="auto"/>
        </w:rPr>
      </w:pPr>
      <w:bookmarkStart w:id="18" w:name="_Toc217195864"/>
      <w:r w:rsidRPr="007C28EC">
        <w:rPr>
          <w:color w:val="auto"/>
        </w:rPr>
        <w:t>1.6 Cash Flow Analysis</w:t>
      </w:r>
      <w:bookmarkEnd w:id="18"/>
    </w:p>
    <w:p w14:paraId="670181DE" w14:textId="77777777" w:rsidR="00734DC8" w:rsidRPr="007C28EC" w:rsidRDefault="00734DC8" w:rsidP="007C28EC">
      <w:pPr>
        <w:spacing w:after="240" w:line="360" w:lineRule="auto"/>
        <w:jc w:val="both"/>
        <w:rPr>
          <w:rFonts w:ascii="Arial" w:hAnsi="Arial" w:cs="Arial"/>
          <w:sz w:val="24"/>
        </w:rPr>
      </w:pPr>
      <w:r w:rsidRPr="007C28EC">
        <w:rPr>
          <w:rFonts w:ascii="Arial" w:hAnsi="Arial" w:cs="Arial"/>
          <w:sz w:val="24"/>
        </w:rPr>
        <w:t>Operating cash flow is key to assessing liquidity sustainability.</w:t>
      </w:r>
    </w:p>
    <w:tbl>
      <w:tblPr>
        <w:tblStyle w:val="TableGrid"/>
        <w:tblW w:w="0" w:type="auto"/>
        <w:tblLook w:val="04A0" w:firstRow="1" w:lastRow="0" w:firstColumn="1" w:lastColumn="0" w:noHBand="0" w:noVBand="1"/>
      </w:tblPr>
      <w:tblGrid>
        <w:gridCol w:w="4675"/>
        <w:gridCol w:w="4675"/>
      </w:tblGrid>
      <w:tr w:rsidR="007C28EC" w:rsidRPr="007C28EC" w14:paraId="042CAA6E" w14:textId="77777777" w:rsidTr="00734DC8">
        <w:tc>
          <w:tcPr>
            <w:tcW w:w="4675" w:type="dxa"/>
          </w:tcPr>
          <w:p w14:paraId="3FDFFEA3" w14:textId="77777777" w:rsidR="00734DC8" w:rsidRPr="007C28EC" w:rsidRDefault="00734DC8" w:rsidP="00037DCA">
            <w:pPr>
              <w:spacing w:line="360" w:lineRule="auto"/>
              <w:jc w:val="both"/>
              <w:rPr>
                <w:rFonts w:ascii="Arial" w:hAnsi="Arial" w:cs="Arial"/>
                <w:b/>
                <w:sz w:val="24"/>
              </w:rPr>
            </w:pPr>
            <w:r w:rsidRPr="007C28EC">
              <w:rPr>
                <w:rFonts w:ascii="Arial" w:hAnsi="Arial" w:cs="Arial"/>
                <w:b/>
                <w:sz w:val="24"/>
              </w:rPr>
              <w:t>Year</w:t>
            </w:r>
          </w:p>
        </w:tc>
        <w:tc>
          <w:tcPr>
            <w:tcW w:w="4675" w:type="dxa"/>
          </w:tcPr>
          <w:p w14:paraId="0F3876A7" w14:textId="77777777" w:rsidR="00734DC8" w:rsidRPr="007C28EC" w:rsidRDefault="00734DC8" w:rsidP="00037DCA">
            <w:pPr>
              <w:spacing w:line="360" w:lineRule="auto"/>
              <w:jc w:val="both"/>
              <w:rPr>
                <w:rFonts w:ascii="Arial" w:hAnsi="Arial" w:cs="Arial"/>
                <w:b/>
                <w:sz w:val="24"/>
              </w:rPr>
            </w:pPr>
            <w:r w:rsidRPr="007C28EC">
              <w:rPr>
                <w:rFonts w:ascii="Arial" w:hAnsi="Arial" w:cs="Arial"/>
                <w:b/>
                <w:sz w:val="24"/>
              </w:rPr>
              <w:t>Net Cash from Operations (£m)</w:t>
            </w:r>
          </w:p>
        </w:tc>
      </w:tr>
      <w:tr w:rsidR="007C28EC" w:rsidRPr="007C28EC" w14:paraId="09248DCD" w14:textId="77777777" w:rsidTr="00734DC8">
        <w:tc>
          <w:tcPr>
            <w:tcW w:w="4675" w:type="dxa"/>
          </w:tcPr>
          <w:p w14:paraId="4092F58F"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2024</w:t>
            </w:r>
          </w:p>
        </w:tc>
        <w:tc>
          <w:tcPr>
            <w:tcW w:w="4675" w:type="dxa"/>
          </w:tcPr>
          <w:p w14:paraId="60E3403F"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14,822</w:t>
            </w:r>
          </w:p>
        </w:tc>
      </w:tr>
      <w:tr w:rsidR="007C28EC" w:rsidRPr="007C28EC" w14:paraId="26CC198C" w14:textId="77777777" w:rsidTr="00734DC8">
        <w:tc>
          <w:tcPr>
            <w:tcW w:w="4675" w:type="dxa"/>
          </w:tcPr>
          <w:p w14:paraId="5A60ADF0"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2023</w:t>
            </w:r>
          </w:p>
        </w:tc>
        <w:tc>
          <w:tcPr>
            <w:tcW w:w="4675" w:type="dxa"/>
          </w:tcPr>
          <w:p w14:paraId="49FDC06E"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25,190</w:t>
            </w:r>
          </w:p>
        </w:tc>
      </w:tr>
      <w:tr w:rsidR="007C28EC" w:rsidRPr="007C28EC" w14:paraId="42107AD1" w14:textId="77777777" w:rsidTr="00734DC8">
        <w:tc>
          <w:tcPr>
            <w:tcW w:w="4675" w:type="dxa"/>
          </w:tcPr>
          <w:p w14:paraId="7EFCE4AD"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2022</w:t>
            </w:r>
          </w:p>
        </w:tc>
        <w:tc>
          <w:tcPr>
            <w:tcW w:w="4675" w:type="dxa"/>
          </w:tcPr>
          <w:p w14:paraId="46DDB25D"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10,926</w:t>
            </w:r>
          </w:p>
        </w:tc>
      </w:tr>
      <w:tr w:rsidR="007C28EC" w:rsidRPr="007C28EC" w14:paraId="04529132" w14:textId="77777777" w:rsidTr="00734DC8">
        <w:tc>
          <w:tcPr>
            <w:tcW w:w="4675" w:type="dxa"/>
          </w:tcPr>
          <w:p w14:paraId="0D448663"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2021</w:t>
            </w:r>
          </w:p>
        </w:tc>
        <w:tc>
          <w:tcPr>
            <w:tcW w:w="4675" w:type="dxa"/>
          </w:tcPr>
          <w:p w14:paraId="18E42B01"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40,283</w:t>
            </w:r>
          </w:p>
        </w:tc>
      </w:tr>
      <w:tr w:rsidR="007C28EC" w:rsidRPr="007C28EC" w14:paraId="374861B3" w14:textId="77777777" w:rsidTr="00734DC8">
        <w:tc>
          <w:tcPr>
            <w:tcW w:w="4675" w:type="dxa"/>
          </w:tcPr>
          <w:p w14:paraId="6E98D7BE"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2020</w:t>
            </w:r>
          </w:p>
        </w:tc>
        <w:tc>
          <w:tcPr>
            <w:tcW w:w="4675" w:type="dxa"/>
          </w:tcPr>
          <w:p w14:paraId="78999725" w14:textId="77777777" w:rsidR="00734DC8" w:rsidRPr="007C28EC" w:rsidRDefault="00734DC8" w:rsidP="00037DCA">
            <w:pPr>
              <w:spacing w:line="360" w:lineRule="auto"/>
              <w:jc w:val="both"/>
              <w:rPr>
                <w:rFonts w:ascii="Arial" w:hAnsi="Arial" w:cs="Arial"/>
                <w:sz w:val="24"/>
              </w:rPr>
            </w:pPr>
            <w:r w:rsidRPr="007C28EC">
              <w:rPr>
                <w:rFonts w:ascii="Arial" w:hAnsi="Arial" w:cs="Arial"/>
                <w:sz w:val="24"/>
              </w:rPr>
              <w:t>73,392</w:t>
            </w:r>
          </w:p>
        </w:tc>
      </w:tr>
    </w:tbl>
    <w:p w14:paraId="6ED8E239" w14:textId="77777777" w:rsidR="00734DC8" w:rsidRPr="007C28EC" w:rsidRDefault="00734DC8" w:rsidP="00734DC8">
      <w:pPr>
        <w:spacing w:line="360" w:lineRule="auto"/>
        <w:jc w:val="both"/>
        <w:rPr>
          <w:rFonts w:ascii="Arial" w:hAnsi="Arial" w:cs="Arial"/>
          <w:sz w:val="24"/>
        </w:rPr>
      </w:pPr>
    </w:p>
    <w:p w14:paraId="116B8884" w14:textId="77777777" w:rsidR="00D50FBA" w:rsidRPr="007C28EC" w:rsidRDefault="00734DC8" w:rsidP="00734DC8">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4260E1" w:rsidRPr="007C28EC">
        <w:rPr>
          <w:rFonts w:ascii="Arial" w:hAnsi="Arial" w:cs="Arial"/>
          <w:sz w:val="24"/>
        </w:rPr>
        <w:t xml:space="preserve">General Electronics operating cash flow has fallen substantially by the close of five years, between the year 2020 and 2024, i.e., between £73,392m and 14,822m. This decreasing trend shows that the company is producing an increasing amount of less cash using its core business, although it has improved since 2022. </w:t>
      </w:r>
    </w:p>
    <w:p w14:paraId="6560E154" w14:textId="77777777" w:rsidR="00734DC8" w:rsidRPr="007C28EC" w:rsidRDefault="00734DC8" w:rsidP="007C28EC">
      <w:pPr>
        <w:pStyle w:val="Heading2"/>
        <w:spacing w:after="240"/>
        <w:rPr>
          <w:color w:val="auto"/>
        </w:rPr>
      </w:pPr>
      <w:bookmarkStart w:id="19" w:name="_Toc217195865"/>
      <w:r w:rsidRPr="007C28EC">
        <w:rPr>
          <w:color w:val="auto"/>
        </w:rPr>
        <w:t>1.7 Altman Z-Score Analysis</w:t>
      </w:r>
      <w:bookmarkEnd w:id="19"/>
    </w:p>
    <w:p w14:paraId="50B14841" w14:textId="77777777" w:rsidR="00734DC8" w:rsidRPr="007C28EC" w:rsidRDefault="00734DC8" w:rsidP="007C28EC">
      <w:pPr>
        <w:spacing w:after="240" w:line="360" w:lineRule="auto"/>
        <w:jc w:val="both"/>
        <w:rPr>
          <w:rFonts w:ascii="Arial" w:hAnsi="Arial" w:cs="Arial"/>
          <w:sz w:val="24"/>
        </w:rPr>
      </w:pPr>
      <w:r w:rsidRPr="007C28EC">
        <w:rPr>
          <w:rFonts w:ascii="Arial" w:hAnsi="Arial" w:cs="Arial"/>
          <w:sz w:val="24"/>
        </w:rPr>
        <w:t>For a private/manufacturing firm, the Altman Z”-Score is calculated as:</w:t>
      </w:r>
    </w:p>
    <w:p w14:paraId="3C2DBF4E"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Z"=6.56X1+3.26X2+6.72X3+1.05X4</w:t>
      </w:r>
    </w:p>
    <w:p w14:paraId="4210D712"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Where:</w:t>
      </w:r>
    </w:p>
    <w:p w14:paraId="1B17AF2C" w14:textId="77777777" w:rsidR="005638DE" w:rsidRPr="007C28EC" w:rsidRDefault="005638DE" w:rsidP="005638DE">
      <w:pPr>
        <w:spacing w:line="360" w:lineRule="auto"/>
        <w:jc w:val="both"/>
        <w:rPr>
          <w:rFonts w:ascii="Arial" w:hAnsi="Arial" w:cs="Arial"/>
          <w:sz w:val="24"/>
        </w:rPr>
      </w:pPr>
      <w:r w:rsidRPr="007C28EC">
        <w:rPr>
          <w:rFonts w:ascii="Arial" w:hAnsi="Arial" w:cs="Arial"/>
          <w:sz w:val="24"/>
        </w:rPr>
        <w:t>X1=running Capital / general assets</w:t>
      </w:r>
      <w:r w:rsidRPr="007C28EC">
        <w:rPr>
          <w:rFonts w:ascii="Arial" w:hAnsi="Arial" w:cs="Arial"/>
          <w:sz w:val="24"/>
        </w:rPr>
        <w:tab/>
      </w:r>
    </w:p>
    <w:p w14:paraId="76A7F875" w14:textId="77777777" w:rsidR="005638DE" w:rsidRPr="007C28EC" w:rsidRDefault="005638DE" w:rsidP="005638DE">
      <w:pPr>
        <w:spacing w:line="360" w:lineRule="auto"/>
        <w:jc w:val="both"/>
        <w:rPr>
          <w:rFonts w:ascii="Arial" w:hAnsi="Arial" w:cs="Arial"/>
          <w:sz w:val="24"/>
        </w:rPr>
      </w:pPr>
      <w:r w:rsidRPr="007C28EC">
        <w:rPr>
          <w:rFonts w:ascii="Arial" w:hAnsi="Arial" w:cs="Arial"/>
          <w:sz w:val="24"/>
        </w:rPr>
        <w:t>X2=Retained profits / general belongings</w:t>
      </w:r>
    </w:p>
    <w:p w14:paraId="24F399AA" w14:textId="77777777" w:rsidR="00734DC8" w:rsidRPr="007C28EC" w:rsidRDefault="005638DE" w:rsidP="005638DE">
      <w:pPr>
        <w:spacing w:line="360" w:lineRule="auto"/>
        <w:jc w:val="both"/>
        <w:rPr>
          <w:rFonts w:ascii="Arial" w:hAnsi="Arial" w:cs="Arial"/>
          <w:sz w:val="24"/>
        </w:rPr>
      </w:pPr>
      <w:r w:rsidRPr="007C28EC">
        <w:rPr>
          <w:rFonts w:ascii="Arial" w:hAnsi="Arial" w:cs="Arial"/>
          <w:sz w:val="24"/>
        </w:rPr>
        <w:t>X3=EBIT / total property</w:t>
      </w:r>
      <w:r w:rsidR="00734DC8" w:rsidRPr="007C28EC">
        <w:rPr>
          <w:rFonts w:ascii="Arial" w:hAnsi="Arial" w:cs="Arial"/>
          <w:sz w:val="24"/>
        </w:rPr>
        <w:tab/>
        <w:t>​</w:t>
      </w:r>
    </w:p>
    <w:p w14:paraId="305ADDA9"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X4=Book Value of Equity / Total Liabilities</w:t>
      </w:r>
      <w:r w:rsidRPr="007C28EC">
        <w:rPr>
          <w:rFonts w:ascii="Arial" w:hAnsi="Arial" w:cs="Arial"/>
          <w:sz w:val="24"/>
        </w:rPr>
        <w:tab/>
        <w:t>​</w:t>
      </w:r>
    </w:p>
    <w:p w14:paraId="28F65A23"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2024 Calculation Example:</w:t>
      </w:r>
    </w:p>
    <w:p w14:paraId="0DECBDF8"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Working Capital = 242,494 – 158,291 = 84,203 → X</w:t>
      </w:r>
      <w:r w:rsidRPr="007C28EC">
        <w:rPr>
          <w:rFonts w:ascii="Cambria Math" w:hAnsi="Cambria Math" w:cs="Cambria Math"/>
          <w:sz w:val="24"/>
        </w:rPr>
        <w:t>₁</w:t>
      </w:r>
      <w:r w:rsidRPr="007C28EC">
        <w:rPr>
          <w:rFonts w:ascii="Arial" w:hAnsi="Arial" w:cs="Arial"/>
          <w:sz w:val="24"/>
        </w:rPr>
        <w:t xml:space="preserve"> = 84,203 / 323,354 = 0.26</w:t>
      </w:r>
    </w:p>
    <w:p w14:paraId="4E4090FC"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Retained Earnings / Assets = 208,431 / 323,354 = 0.645</w:t>
      </w:r>
    </w:p>
    <w:p w14:paraId="1E06EEBD"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EBIT / Assets = -15,297 / 323,354 = -0.047</w:t>
      </w:r>
    </w:p>
    <w:p w14:paraId="0B017E50"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Equity / Liabilities = 153,105 / 170,249 = 0.899</w:t>
      </w:r>
    </w:p>
    <w:p w14:paraId="535778A3" w14:textId="77777777" w:rsidR="00734DC8" w:rsidRPr="007C28EC" w:rsidRDefault="00734DC8" w:rsidP="00734DC8">
      <w:pPr>
        <w:spacing w:line="360" w:lineRule="auto"/>
        <w:jc w:val="both"/>
        <w:rPr>
          <w:rFonts w:ascii="Arial" w:hAnsi="Arial" w:cs="Arial"/>
          <w:sz w:val="24"/>
        </w:rPr>
      </w:pPr>
      <w:r w:rsidRPr="007C28EC">
        <w:rPr>
          <w:rFonts w:ascii="Arial" w:hAnsi="Arial" w:cs="Arial"/>
          <w:sz w:val="24"/>
        </w:rPr>
        <w:t>Z"=6.56(0.26) +3.26(0.645) +6.72 (−0.047) +1.05(0.899) ≈3.46</w:t>
      </w:r>
    </w:p>
    <w:p w14:paraId="5DBBDA2F" w14:textId="77777777" w:rsidR="005A5363" w:rsidRPr="007C28EC" w:rsidRDefault="00734DC8" w:rsidP="005A5363">
      <w:pPr>
        <w:spacing w:line="360" w:lineRule="auto"/>
        <w:jc w:val="both"/>
        <w:rPr>
          <w:rFonts w:ascii="Arial" w:hAnsi="Arial" w:cs="Arial"/>
          <w:sz w:val="24"/>
        </w:rPr>
      </w:pPr>
      <w:r w:rsidRPr="007C28EC">
        <w:rPr>
          <w:rFonts w:ascii="Arial" w:hAnsi="Arial" w:cs="Arial"/>
          <w:b/>
          <w:sz w:val="24"/>
        </w:rPr>
        <w:t>Interpretation:</w:t>
      </w:r>
      <w:r w:rsidRPr="007C28EC">
        <w:rPr>
          <w:rFonts w:ascii="Arial" w:hAnsi="Arial" w:cs="Arial"/>
          <w:sz w:val="24"/>
        </w:rPr>
        <w:t xml:space="preserve"> </w:t>
      </w:r>
      <w:r w:rsidR="005A5363" w:rsidRPr="007C28EC">
        <w:rPr>
          <w:rFonts w:ascii="Arial" w:hAnsi="Arial" w:cs="Arial"/>
          <w:sz w:val="24"/>
        </w:rPr>
        <w:t xml:space="preserve">General Electronics has an Altman Z"-Score of 2024, which is estimated to be approximately 3.46, which is slightly above the distress level of the private/manufacturing companies. Usually, a Z"-Score of less than 1.1 is a very high risk of bankruptcy, 1.126 is a grey zone, and above 2.6 is relative financial safety (Altman, 2020). Although the current score of 2024 shows that the company is not in the stage of direct default at the moment, the decreasing trend of profitability, cash flows, and operating margins of the past years indicates increased susceptibility to financial stress. The working capital, which is reducing and the negative EBIT component indicate operation and liquidity weak points. Thus, despite the absence of the risk of immediate bankruptcy, General Electronics needs to carry out tactical financial restructuring, enhance the efficiency of operations, and increase liquidity to minimize the possibility of financial distress in the future (Brigham and </w:t>
      </w:r>
      <w:proofErr w:type="spellStart"/>
      <w:r w:rsidR="005A5363" w:rsidRPr="007C28EC">
        <w:rPr>
          <w:rFonts w:ascii="Arial" w:hAnsi="Arial" w:cs="Arial"/>
          <w:sz w:val="24"/>
        </w:rPr>
        <w:t>Daves</w:t>
      </w:r>
      <w:proofErr w:type="spellEnd"/>
      <w:r w:rsidR="005A5363" w:rsidRPr="007C28EC">
        <w:rPr>
          <w:rFonts w:ascii="Arial" w:hAnsi="Arial" w:cs="Arial"/>
          <w:sz w:val="24"/>
        </w:rPr>
        <w:t xml:space="preserve">, 2022; </w:t>
      </w:r>
      <w:proofErr w:type="spellStart"/>
      <w:r w:rsidR="005A5363" w:rsidRPr="007C28EC">
        <w:rPr>
          <w:rFonts w:ascii="Arial" w:hAnsi="Arial" w:cs="Arial"/>
          <w:sz w:val="24"/>
        </w:rPr>
        <w:t>Atrill</w:t>
      </w:r>
      <w:proofErr w:type="spellEnd"/>
      <w:r w:rsidR="005A5363" w:rsidRPr="007C28EC">
        <w:rPr>
          <w:rFonts w:ascii="Arial" w:hAnsi="Arial" w:cs="Arial"/>
          <w:sz w:val="24"/>
        </w:rPr>
        <w:t xml:space="preserve"> and </w:t>
      </w:r>
      <w:proofErr w:type="spellStart"/>
      <w:r w:rsidR="005A5363" w:rsidRPr="007C28EC">
        <w:rPr>
          <w:rFonts w:ascii="Arial" w:hAnsi="Arial" w:cs="Arial"/>
          <w:sz w:val="24"/>
        </w:rPr>
        <w:t>McLaney</w:t>
      </w:r>
      <w:proofErr w:type="spellEnd"/>
      <w:r w:rsidR="005A5363" w:rsidRPr="007C28EC">
        <w:rPr>
          <w:rFonts w:ascii="Arial" w:hAnsi="Arial" w:cs="Arial"/>
          <w:sz w:val="24"/>
        </w:rPr>
        <w:t>, 2024).</w:t>
      </w:r>
    </w:p>
    <w:p w14:paraId="0AAE162B" w14:textId="77777777" w:rsidR="00933267" w:rsidRPr="007C28EC" w:rsidRDefault="00933267" w:rsidP="00933267">
      <w:pPr>
        <w:pStyle w:val="Heading2"/>
        <w:rPr>
          <w:color w:val="auto"/>
        </w:rPr>
      </w:pPr>
      <w:bookmarkStart w:id="20" w:name="_Toc217195866"/>
      <w:r w:rsidRPr="007C28EC">
        <w:rPr>
          <w:color w:val="auto"/>
        </w:rPr>
        <w:t>1.8 Key Trends, Strengths, and Threats</w:t>
      </w:r>
      <w:bookmarkEnd w:id="20"/>
    </w:p>
    <w:p w14:paraId="539521F9" w14:textId="77777777" w:rsidR="00933267" w:rsidRPr="007C28EC" w:rsidRDefault="00933267" w:rsidP="00933267">
      <w:pPr>
        <w:spacing w:line="360" w:lineRule="auto"/>
        <w:jc w:val="both"/>
        <w:rPr>
          <w:rFonts w:ascii="Arial" w:hAnsi="Arial" w:cs="Arial"/>
          <w:sz w:val="24"/>
        </w:rPr>
      </w:pPr>
    </w:p>
    <w:p w14:paraId="1B4529B2" w14:textId="77777777" w:rsidR="00B042E3" w:rsidRPr="007C28EC" w:rsidRDefault="00DD1541" w:rsidP="00B042E3">
      <w:pPr>
        <w:spacing w:line="360" w:lineRule="auto"/>
        <w:jc w:val="both"/>
        <w:rPr>
          <w:rFonts w:ascii="Arial" w:hAnsi="Arial" w:cs="Arial"/>
          <w:b/>
          <w:sz w:val="24"/>
        </w:rPr>
      </w:pPr>
      <w:r w:rsidRPr="007C28EC">
        <w:rPr>
          <w:rFonts w:ascii="Arial" w:hAnsi="Arial" w:cs="Arial"/>
          <w:b/>
          <w:sz w:val="24"/>
        </w:rPr>
        <w:t>Key Trends:</w:t>
      </w:r>
    </w:p>
    <w:p w14:paraId="475D5C25" w14:textId="77777777" w:rsidR="00B042E3" w:rsidRPr="007C28EC" w:rsidRDefault="00B042E3" w:rsidP="00742C85">
      <w:pPr>
        <w:pStyle w:val="ListParagraph"/>
        <w:numPr>
          <w:ilvl w:val="0"/>
          <w:numId w:val="8"/>
        </w:numPr>
        <w:spacing w:line="360" w:lineRule="auto"/>
        <w:jc w:val="both"/>
        <w:rPr>
          <w:rFonts w:ascii="Arial" w:hAnsi="Arial" w:cs="Arial"/>
          <w:sz w:val="24"/>
        </w:rPr>
      </w:pPr>
      <w:r w:rsidRPr="007C28EC">
        <w:rPr>
          <w:rFonts w:ascii="Arial" w:hAnsi="Arial" w:cs="Arial"/>
          <w:b/>
          <w:sz w:val="24"/>
        </w:rPr>
        <w:t>Sluggish Profitability:</w:t>
      </w:r>
      <w:r w:rsidRPr="007C28EC">
        <w:rPr>
          <w:rFonts w:ascii="Arial" w:hAnsi="Arial" w:cs="Arial"/>
          <w:sz w:val="24"/>
        </w:rPr>
        <w:t xml:space="preserve"> Gross, operating, and net profit margins have worsened significantly, both in terms of increasing costs and operating inefficiencies, and a decreasing pricing p</w:t>
      </w:r>
      <w:r w:rsidR="00DD1541" w:rsidRPr="007C28EC">
        <w:rPr>
          <w:rFonts w:ascii="Arial" w:hAnsi="Arial" w:cs="Arial"/>
          <w:sz w:val="24"/>
        </w:rPr>
        <w:t xml:space="preserve">ower (Brigham and </w:t>
      </w:r>
      <w:proofErr w:type="spellStart"/>
      <w:r w:rsidR="00DD1541" w:rsidRPr="007C28EC">
        <w:rPr>
          <w:rFonts w:ascii="Arial" w:hAnsi="Arial" w:cs="Arial"/>
          <w:sz w:val="24"/>
        </w:rPr>
        <w:t>Daves</w:t>
      </w:r>
      <w:proofErr w:type="spellEnd"/>
      <w:r w:rsidR="00DD1541" w:rsidRPr="007C28EC">
        <w:rPr>
          <w:rFonts w:ascii="Arial" w:hAnsi="Arial" w:cs="Arial"/>
          <w:sz w:val="24"/>
        </w:rPr>
        <w:t>, 2022).</w:t>
      </w:r>
    </w:p>
    <w:p w14:paraId="63A4C00C" w14:textId="77777777" w:rsidR="00B042E3" w:rsidRPr="007C28EC" w:rsidRDefault="00DD1541" w:rsidP="00B042E3">
      <w:pPr>
        <w:spacing w:line="360" w:lineRule="auto"/>
        <w:jc w:val="both"/>
        <w:rPr>
          <w:rFonts w:ascii="Arial" w:hAnsi="Arial" w:cs="Arial"/>
          <w:b/>
          <w:sz w:val="24"/>
        </w:rPr>
      </w:pPr>
      <w:r w:rsidRPr="007C28EC">
        <w:rPr>
          <w:rFonts w:ascii="Arial" w:hAnsi="Arial" w:cs="Arial"/>
          <w:b/>
          <w:sz w:val="24"/>
        </w:rPr>
        <w:t>Strengths:</w:t>
      </w:r>
    </w:p>
    <w:p w14:paraId="42686693" w14:textId="77777777" w:rsidR="00B042E3" w:rsidRPr="007C28EC" w:rsidRDefault="00B042E3" w:rsidP="00742C85">
      <w:pPr>
        <w:pStyle w:val="ListParagraph"/>
        <w:numPr>
          <w:ilvl w:val="0"/>
          <w:numId w:val="9"/>
        </w:numPr>
        <w:spacing w:line="360" w:lineRule="auto"/>
        <w:jc w:val="both"/>
        <w:rPr>
          <w:rFonts w:ascii="Arial" w:hAnsi="Arial" w:cs="Arial"/>
          <w:sz w:val="24"/>
        </w:rPr>
      </w:pPr>
      <w:r w:rsidRPr="007C28EC">
        <w:rPr>
          <w:rFonts w:ascii="Arial" w:hAnsi="Arial" w:cs="Arial"/>
          <w:b/>
          <w:sz w:val="24"/>
        </w:rPr>
        <w:t>Regaining Gross Margins:</w:t>
      </w:r>
      <w:r w:rsidRPr="007C28EC">
        <w:rPr>
          <w:rFonts w:ascii="Arial" w:hAnsi="Arial" w:cs="Arial"/>
          <w:sz w:val="24"/>
        </w:rPr>
        <w:t xml:space="preserve"> GPM showed some progress at the firm in 2024, which could be indicative of cost containment or pro</w:t>
      </w:r>
      <w:r w:rsidR="00DD1541" w:rsidRPr="007C28EC">
        <w:rPr>
          <w:rFonts w:ascii="Arial" w:hAnsi="Arial" w:cs="Arial"/>
          <w:sz w:val="24"/>
        </w:rPr>
        <w:t>duct mix optimisation.</w:t>
      </w:r>
    </w:p>
    <w:p w14:paraId="3A33E38E" w14:textId="77777777" w:rsidR="00B042E3" w:rsidRPr="007C28EC" w:rsidRDefault="00DD1541" w:rsidP="00B042E3">
      <w:pPr>
        <w:spacing w:line="360" w:lineRule="auto"/>
        <w:jc w:val="both"/>
        <w:rPr>
          <w:rFonts w:ascii="Arial" w:hAnsi="Arial" w:cs="Arial"/>
          <w:b/>
          <w:sz w:val="24"/>
        </w:rPr>
      </w:pPr>
      <w:r w:rsidRPr="007C28EC">
        <w:rPr>
          <w:rFonts w:ascii="Arial" w:hAnsi="Arial" w:cs="Arial"/>
          <w:b/>
          <w:sz w:val="24"/>
        </w:rPr>
        <w:t>Threats:</w:t>
      </w:r>
    </w:p>
    <w:p w14:paraId="73AD835E" w14:textId="77777777" w:rsidR="00B042E3" w:rsidRPr="007C28EC" w:rsidRDefault="00B042E3" w:rsidP="00742C85">
      <w:pPr>
        <w:pStyle w:val="ListParagraph"/>
        <w:numPr>
          <w:ilvl w:val="0"/>
          <w:numId w:val="10"/>
        </w:numPr>
        <w:spacing w:line="360" w:lineRule="auto"/>
        <w:jc w:val="both"/>
        <w:rPr>
          <w:rFonts w:ascii="Arial" w:hAnsi="Arial" w:cs="Arial"/>
          <w:sz w:val="24"/>
        </w:rPr>
      </w:pPr>
      <w:r w:rsidRPr="007C28EC">
        <w:rPr>
          <w:rFonts w:ascii="Arial" w:hAnsi="Arial" w:cs="Arial"/>
          <w:b/>
          <w:sz w:val="24"/>
        </w:rPr>
        <w:t>Huge Financial Distress Risk:</w:t>
      </w:r>
      <w:r w:rsidRPr="007C28EC">
        <w:rPr>
          <w:rFonts w:ascii="Arial" w:hAnsi="Arial" w:cs="Arial"/>
          <w:sz w:val="24"/>
        </w:rPr>
        <w:t xml:space="preserve"> The presence of negative profitability and interest coverage ratios increases the risk of bankruptcy in ca</w:t>
      </w:r>
      <w:r w:rsidR="00DD1541" w:rsidRPr="007C28EC">
        <w:rPr>
          <w:rFonts w:ascii="Arial" w:hAnsi="Arial" w:cs="Arial"/>
          <w:sz w:val="24"/>
        </w:rPr>
        <w:t>se of a delay in restructuring.</w:t>
      </w:r>
    </w:p>
    <w:p w14:paraId="6295A39C" w14:textId="77777777" w:rsidR="00E2376A" w:rsidRDefault="00E2376A">
      <w:pPr>
        <w:rPr>
          <w:rFonts w:ascii="Arial" w:eastAsia="Times New Roman" w:hAnsi="Arial" w:cstheme="majorBidi"/>
          <w:b/>
          <w:sz w:val="32"/>
          <w:szCs w:val="32"/>
          <w:lang w:eastAsia="en-GB"/>
        </w:rPr>
      </w:pPr>
      <w:r>
        <w:rPr>
          <w:rFonts w:eastAsia="Times New Roman"/>
          <w:lang w:eastAsia="en-GB"/>
        </w:rPr>
        <w:br w:type="page"/>
      </w:r>
    </w:p>
    <w:p w14:paraId="21B27842" w14:textId="77777777" w:rsidR="00DF41BD" w:rsidRPr="007C28EC" w:rsidRDefault="00DF41BD" w:rsidP="007C28EC">
      <w:pPr>
        <w:pStyle w:val="Heading1"/>
        <w:spacing w:after="240"/>
        <w:rPr>
          <w:rFonts w:eastAsia="Times New Roman"/>
          <w:color w:val="auto"/>
          <w:lang w:eastAsia="en-GB"/>
        </w:rPr>
      </w:pPr>
      <w:bookmarkStart w:id="21" w:name="_Toc217195867"/>
      <w:r w:rsidRPr="007C28EC">
        <w:rPr>
          <w:rFonts w:eastAsia="Times New Roman"/>
          <w:color w:val="auto"/>
          <w:lang w:eastAsia="en-GB"/>
        </w:rPr>
        <w:t>2. Working Capital Management Analysis</w:t>
      </w:r>
      <w:bookmarkEnd w:id="21"/>
    </w:p>
    <w:p w14:paraId="56BC349F" w14:textId="77777777" w:rsidR="00DF41BD" w:rsidRPr="007C28EC" w:rsidRDefault="00DF41BD" w:rsidP="007C28EC">
      <w:pPr>
        <w:pStyle w:val="Heading2"/>
        <w:spacing w:after="240"/>
        <w:rPr>
          <w:rFonts w:eastAsia="Times New Roman"/>
          <w:color w:val="auto"/>
          <w:lang w:eastAsia="en-GB"/>
        </w:rPr>
      </w:pPr>
      <w:bookmarkStart w:id="22" w:name="_Toc217195868"/>
      <w:r w:rsidRPr="007C28EC">
        <w:rPr>
          <w:rFonts w:eastAsia="Times New Roman"/>
          <w:color w:val="auto"/>
          <w:lang w:eastAsia="en-GB"/>
        </w:rPr>
        <w:t>2.1 Introduction</w:t>
      </w:r>
      <w:bookmarkEnd w:id="22"/>
    </w:p>
    <w:p w14:paraId="0D3B9DE4" w14:textId="77777777" w:rsidR="00182DDD" w:rsidRPr="007C28EC" w:rsidRDefault="001D2C40" w:rsidP="007C28EC">
      <w:pPr>
        <w:spacing w:after="240" w:line="360" w:lineRule="auto"/>
        <w:jc w:val="both"/>
        <w:rPr>
          <w:rFonts w:ascii="Arial" w:hAnsi="Arial" w:cs="Arial"/>
          <w:sz w:val="24"/>
          <w:szCs w:val="24"/>
          <w:lang w:eastAsia="en-GB"/>
        </w:rPr>
      </w:pPr>
      <w:r w:rsidRPr="007C28EC">
        <w:rPr>
          <w:rFonts w:ascii="Arial" w:hAnsi="Arial" w:cs="Arial"/>
          <w:sz w:val="24"/>
          <w:szCs w:val="24"/>
          <w:lang w:eastAsia="en-GB"/>
        </w:rPr>
        <w:t xml:space="preserve">The working capital management is also essential in maintaining liquidity, efficiency, and financial health of global companies, especially capital-intensive ones such as consumer electronics (Brigham and </w:t>
      </w:r>
      <w:proofErr w:type="spellStart"/>
      <w:r w:rsidRPr="007C28EC">
        <w:rPr>
          <w:rFonts w:ascii="Arial" w:hAnsi="Arial" w:cs="Arial"/>
          <w:sz w:val="24"/>
          <w:szCs w:val="24"/>
          <w:lang w:eastAsia="en-GB"/>
        </w:rPr>
        <w:t>Daves</w:t>
      </w:r>
      <w:proofErr w:type="spellEnd"/>
      <w:r w:rsidRPr="007C28EC">
        <w:rPr>
          <w:rFonts w:ascii="Arial" w:hAnsi="Arial" w:cs="Arial"/>
          <w:sz w:val="24"/>
          <w:szCs w:val="24"/>
          <w:lang w:eastAsia="en-GB"/>
        </w:rPr>
        <w:t xml:space="preserve">, 2022; </w:t>
      </w:r>
      <w:proofErr w:type="spellStart"/>
      <w:r w:rsidRPr="007C28EC">
        <w:rPr>
          <w:rFonts w:ascii="Arial" w:hAnsi="Arial" w:cs="Arial"/>
          <w:sz w:val="24"/>
          <w:szCs w:val="24"/>
          <w:lang w:eastAsia="en-GB"/>
        </w:rPr>
        <w:t>Atrill</w:t>
      </w:r>
      <w:proofErr w:type="spellEnd"/>
      <w:r w:rsidRPr="007C28EC">
        <w:rPr>
          <w:rFonts w:ascii="Arial" w:hAnsi="Arial" w:cs="Arial"/>
          <w:sz w:val="24"/>
          <w:szCs w:val="24"/>
          <w:lang w:eastAsia="en-GB"/>
        </w:rPr>
        <w:t xml:space="preserve"> and </w:t>
      </w:r>
      <w:proofErr w:type="spellStart"/>
      <w:r w:rsidRPr="007C28EC">
        <w:rPr>
          <w:rFonts w:ascii="Arial" w:hAnsi="Arial" w:cs="Arial"/>
          <w:sz w:val="24"/>
          <w:szCs w:val="24"/>
          <w:lang w:eastAsia="en-GB"/>
        </w:rPr>
        <w:t>McLaney</w:t>
      </w:r>
      <w:proofErr w:type="spellEnd"/>
      <w:r w:rsidRPr="007C28EC">
        <w:rPr>
          <w:rFonts w:ascii="Arial" w:hAnsi="Arial" w:cs="Arial"/>
          <w:sz w:val="24"/>
          <w:szCs w:val="24"/>
          <w:lang w:eastAsia="en-GB"/>
        </w:rPr>
        <w:t xml:space="preserve">, 2024). It entails balancing current assets and current liabilities to a situation in which the firm can meet its immediate duty and at the same time optimisation of the available resources. </w:t>
      </w:r>
    </w:p>
    <w:p w14:paraId="4324FD68" w14:textId="77777777" w:rsidR="00DF41BD" w:rsidRPr="007C28EC" w:rsidRDefault="00DF41BD" w:rsidP="001F048F">
      <w:pPr>
        <w:pStyle w:val="Heading2"/>
        <w:rPr>
          <w:rFonts w:eastAsia="Times New Roman"/>
          <w:color w:val="auto"/>
          <w:lang w:eastAsia="en-GB"/>
        </w:rPr>
      </w:pPr>
      <w:bookmarkStart w:id="23" w:name="_Toc217195869"/>
      <w:r w:rsidRPr="007C28EC">
        <w:rPr>
          <w:rFonts w:eastAsia="Times New Roman"/>
          <w:color w:val="auto"/>
          <w:lang w:eastAsia="en-GB"/>
        </w:rPr>
        <w:t>2.2 Cash Operating Cycle Analysis</w:t>
      </w:r>
      <w:bookmarkEnd w:id="23"/>
    </w:p>
    <w:p w14:paraId="7D1A66DA" w14:textId="77777777" w:rsidR="001F048F" w:rsidRPr="007C28EC" w:rsidRDefault="001F048F" w:rsidP="001F048F">
      <w:pPr>
        <w:rPr>
          <w:lang w:eastAsia="en-GB"/>
        </w:rPr>
      </w:pPr>
    </w:p>
    <w:p w14:paraId="78E8C4DC" w14:textId="77777777" w:rsidR="00DF41BD" w:rsidRPr="007C28EC" w:rsidRDefault="00952881" w:rsidP="001F048F">
      <w:pPr>
        <w:spacing w:line="360" w:lineRule="auto"/>
        <w:jc w:val="both"/>
        <w:rPr>
          <w:rFonts w:ascii="Arial" w:hAnsi="Arial" w:cs="Arial"/>
          <w:sz w:val="24"/>
          <w:szCs w:val="24"/>
          <w:lang w:eastAsia="en-GB"/>
        </w:rPr>
      </w:pPr>
      <w:r w:rsidRPr="007C28EC">
        <w:rPr>
          <w:rFonts w:ascii="Arial" w:hAnsi="Arial" w:cs="Arial"/>
          <w:sz w:val="24"/>
          <w:szCs w:val="24"/>
          <w:lang w:eastAsia="en-GB"/>
        </w:rPr>
        <w:t>The Cash Operating Cycle (COC) measures the time taken for a firm to convert cash invested in operations into cash received from sales. It is calculated as</w:t>
      </w:r>
      <w:r w:rsidR="00DF41BD" w:rsidRPr="007C28EC">
        <w:rPr>
          <w:rFonts w:ascii="Arial" w:hAnsi="Arial" w:cs="Arial"/>
          <w:sz w:val="24"/>
          <w:szCs w:val="24"/>
          <w:lang w:eastAsia="en-GB"/>
        </w:rPr>
        <w:t>:</w:t>
      </w:r>
    </w:p>
    <w:p w14:paraId="14D51BF1" w14:textId="77777777" w:rsidR="00DD5BA9" w:rsidRPr="007C28EC" w:rsidRDefault="00DD5BA9" w:rsidP="001F048F">
      <w:pPr>
        <w:spacing w:line="360" w:lineRule="auto"/>
        <w:jc w:val="both"/>
        <w:rPr>
          <w:rFonts w:ascii="Arial" w:hAnsi="Arial" w:cs="Arial"/>
          <w:sz w:val="24"/>
          <w:szCs w:val="24"/>
          <w:lang w:eastAsia="en-GB"/>
        </w:rPr>
      </w:pPr>
      <w:r w:rsidRPr="007C28EC">
        <w:rPr>
          <w:rFonts w:ascii="Arial" w:hAnsi="Arial" w:cs="Arial"/>
          <w:sz w:val="24"/>
          <w:szCs w:val="24"/>
          <w:lang w:eastAsia="en-GB"/>
        </w:rPr>
        <w:t>Cash Operating Cycle=Inventory Days + Receivables Days−Payables Days</w:t>
      </w:r>
    </w:p>
    <w:p w14:paraId="4E9DB54E" w14:textId="77777777" w:rsidR="008C15FF" w:rsidRPr="007C28EC" w:rsidRDefault="008C15FF" w:rsidP="001F048F">
      <w:pPr>
        <w:spacing w:line="360" w:lineRule="auto"/>
        <w:jc w:val="both"/>
        <w:rPr>
          <w:rFonts w:ascii="Arial" w:hAnsi="Arial" w:cs="Arial"/>
          <w:sz w:val="24"/>
          <w:szCs w:val="24"/>
          <w:lang w:eastAsia="en-GB"/>
        </w:rPr>
      </w:pPr>
    </w:p>
    <w:p w14:paraId="1341597D" w14:textId="77777777" w:rsidR="00DF41BD" w:rsidRPr="007C28EC" w:rsidRDefault="00DF41BD" w:rsidP="001F048F">
      <w:pPr>
        <w:spacing w:line="360" w:lineRule="auto"/>
        <w:jc w:val="both"/>
        <w:rPr>
          <w:rFonts w:ascii="Arial" w:hAnsi="Arial" w:cs="Arial"/>
          <w:b/>
          <w:sz w:val="24"/>
          <w:szCs w:val="24"/>
          <w:lang w:eastAsia="en-GB"/>
        </w:rPr>
      </w:pPr>
      <w:r w:rsidRPr="007C28EC">
        <w:rPr>
          <w:rFonts w:ascii="Arial" w:hAnsi="Arial" w:cs="Arial"/>
          <w:b/>
          <w:sz w:val="24"/>
          <w:szCs w:val="24"/>
          <w:lang w:eastAsia="en-GB"/>
        </w:rPr>
        <w:t>Where:</w:t>
      </w:r>
    </w:p>
    <w:p w14:paraId="4D12D651" w14:textId="77777777" w:rsidR="00DD5BA9" w:rsidRPr="007C28EC" w:rsidRDefault="00DF41BD" w:rsidP="001F048F">
      <w:pPr>
        <w:spacing w:line="360" w:lineRule="auto"/>
        <w:jc w:val="center"/>
        <w:rPr>
          <w:rFonts w:ascii="Arial" w:hAnsi="Arial" w:cs="Arial"/>
          <w:sz w:val="24"/>
          <w:szCs w:val="24"/>
          <w:lang w:eastAsia="en-GB"/>
        </w:rPr>
      </w:pPr>
      <w:r w:rsidRPr="007C28EC">
        <w:rPr>
          <w:rFonts w:ascii="Arial" w:hAnsi="Arial" w:cs="Arial"/>
          <w:b/>
          <w:sz w:val="24"/>
          <w:szCs w:val="24"/>
          <w:lang w:eastAsia="en-GB"/>
        </w:rPr>
        <w:t>Inventory Days</w:t>
      </w:r>
      <w:r w:rsidRPr="007C28EC">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Inventory </m:t>
            </m:r>
          </m:num>
          <m:den>
            <m:r>
              <w:rPr>
                <w:rFonts w:ascii="Cambria Math" w:hAnsi="Cambria Math" w:cs="Arial"/>
                <w:sz w:val="24"/>
                <w:szCs w:val="24"/>
              </w:rPr>
              <m:t>Cost of Sales</m:t>
            </m:r>
          </m:den>
        </m:f>
        <m:r>
          <w:rPr>
            <w:rFonts w:ascii="Cambria Math" w:hAnsi="Cambria Math" w:cs="Arial"/>
            <w:sz w:val="24"/>
            <w:szCs w:val="24"/>
          </w:rPr>
          <m:t>x365</m:t>
        </m:r>
      </m:oMath>
    </w:p>
    <w:p w14:paraId="66B4CD52" w14:textId="77777777" w:rsidR="00DD5BA9" w:rsidRPr="007C28EC" w:rsidRDefault="00DF41BD" w:rsidP="001F048F">
      <w:pPr>
        <w:spacing w:line="360" w:lineRule="auto"/>
        <w:jc w:val="center"/>
        <w:rPr>
          <w:rFonts w:ascii="Arial" w:hAnsi="Arial" w:cs="Arial"/>
          <w:sz w:val="24"/>
          <w:szCs w:val="24"/>
          <w:lang w:eastAsia="en-GB"/>
        </w:rPr>
      </w:pPr>
      <w:r w:rsidRPr="007C28EC">
        <w:rPr>
          <w:rFonts w:ascii="Arial" w:hAnsi="Arial" w:cs="Arial"/>
          <w:b/>
          <w:sz w:val="24"/>
          <w:szCs w:val="24"/>
          <w:lang w:eastAsia="en-GB"/>
        </w:rPr>
        <w:t>Receivables Days</w:t>
      </w:r>
      <w:r w:rsidRPr="007C28EC">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Accounts Receivable  </m:t>
            </m:r>
          </m:num>
          <m:den>
            <m:r>
              <w:rPr>
                <w:rFonts w:ascii="Cambria Math" w:hAnsi="Cambria Math" w:cs="Arial"/>
                <w:sz w:val="24"/>
                <w:szCs w:val="24"/>
              </w:rPr>
              <m:t>Net Sales</m:t>
            </m:r>
          </m:den>
        </m:f>
        <m:r>
          <w:rPr>
            <w:rFonts w:ascii="Cambria Math" w:hAnsi="Cambria Math" w:cs="Arial"/>
            <w:sz w:val="24"/>
            <w:szCs w:val="24"/>
          </w:rPr>
          <m:t>x365</m:t>
        </m:r>
      </m:oMath>
    </w:p>
    <w:p w14:paraId="4135B235" w14:textId="77777777" w:rsidR="00DD5BA9" w:rsidRPr="007C28EC" w:rsidRDefault="00DF41BD" w:rsidP="001F048F">
      <w:pPr>
        <w:spacing w:line="360" w:lineRule="auto"/>
        <w:jc w:val="center"/>
        <w:rPr>
          <w:rFonts w:ascii="Arial" w:hAnsi="Arial" w:cs="Arial"/>
          <w:sz w:val="24"/>
          <w:szCs w:val="24"/>
          <w:lang w:eastAsia="en-GB"/>
        </w:rPr>
      </w:pPr>
      <w:r w:rsidRPr="007C28EC">
        <w:rPr>
          <w:rFonts w:ascii="Arial" w:hAnsi="Arial" w:cs="Arial"/>
          <w:b/>
          <w:sz w:val="24"/>
          <w:szCs w:val="24"/>
          <w:lang w:eastAsia="en-GB"/>
        </w:rPr>
        <w:t>Payables Days</w:t>
      </w:r>
      <w:r w:rsidRPr="007C28EC">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Accounts Payable  </m:t>
            </m:r>
          </m:num>
          <m:den>
            <m:r>
              <w:rPr>
                <w:rFonts w:ascii="Cambria Math" w:hAnsi="Cambria Math" w:cs="Arial"/>
                <w:sz w:val="24"/>
                <w:szCs w:val="24"/>
              </w:rPr>
              <m:t>Cost of Sales</m:t>
            </m:r>
          </m:den>
        </m:f>
        <m:r>
          <w:rPr>
            <w:rFonts w:ascii="Cambria Math" w:hAnsi="Cambria Math" w:cs="Arial"/>
            <w:sz w:val="24"/>
            <w:szCs w:val="24"/>
          </w:rPr>
          <m:t>x365</m:t>
        </m:r>
      </m:oMath>
    </w:p>
    <w:p w14:paraId="440278EA" w14:textId="77777777" w:rsidR="00DF41BD" w:rsidRPr="007C28EC" w:rsidRDefault="00DF41BD" w:rsidP="001F048F">
      <w:pPr>
        <w:spacing w:line="360" w:lineRule="auto"/>
        <w:jc w:val="both"/>
        <w:rPr>
          <w:rFonts w:ascii="Arial" w:hAnsi="Arial" w:cs="Arial"/>
          <w:b/>
          <w:sz w:val="24"/>
          <w:szCs w:val="24"/>
          <w:lang w:eastAsia="en-GB"/>
        </w:rPr>
      </w:pPr>
      <w:r w:rsidRPr="007C28EC">
        <w:rPr>
          <w:rFonts w:ascii="Arial" w:hAnsi="Arial" w:cs="Arial"/>
          <w:b/>
          <w:sz w:val="24"/>
          <w:szCs w:val="24"/>
          <w:lang w:eastAsia="en-GB"/>
        </w:rPr>
        <w:t>Using 2024 financials:</w:t>
      </w:r>
    </w:p>
    <w:p w14:paraId="2DE584CC" w14:textId="77777777" w:rsidR="00DF41BD" w:rsidRPr="007C28EC" w:rsidRDefault="00DF41BD" w:rsidP="001F048F">
      <w:pPr>
        <w:spacing w:line="360" w:lineRule="auto"/>
        <w:jc w:val="center"/>
        <w:rPr>
          <w:rFonts w:ascii="Arial" w:hAnsi="Arial" w:cs="Arial"/>
          <w:b/>
          <w:sz w:val="24"/>
          <w:szCs w:val="24"/>
          <w:lang w:eastAsia="en-GB"/>
        </w:rPr>
      </w:pPr>
      <w:r w:rsidRPr="007C28EC">
        <w:rPr>
          <w:rFonts w:ascii="Arial" w:hAnsi="Arial" w:cs="Arial"/>
          <w:b/>
          <w:sz w:val="24"/>
          <w:szCs w:val="24"/>
          <w:lang w:eastAsia="en-GB"/>
        </w:rPr>
        <w:t>Inventory Days:</w:t>
      </w:r>
    </w:p>
    <w:p w14:paraId="59244D24" w14:textId="77777777" w:rsidR="00313E9A" w:rsidRPr="007C28EC" w:rsidRDefault="00CE7EA8" w:rsidP="001F048F">
      <w:pPr>
        <w:spacing w:line="360" w:lineRule="auto"/>
        <w:jc w:val="center"/>
        <w:rPr>
          <w:rFonts w:ascii="Arial" w:hAnsi="Arial" w:cs="Arial"/>
          <w:sz w:val="24"/>
          <w:szCs w:val="24"/>
        </w:rPr>
      </w:pPr>
      <m:oMath>
        <m:f>
          <m:fPr>
            <m:ctrlPr>
              <w:rPr>
                <w:rFonts w:ascii="Cambria Math" w:hAnsi="Cambria Math" w:cs="Arial"/>
                <w:i/>
                <w:sz w:val="24"/>
                <w:szCs w:val="24"/>
              </w:rPr>
            </m:ctrlPr>
          </m:fPr>
          <m:num>
            <m:r>
              <w:rPr>
                <w:rFonts w:ascii="Cambria Math" w:hAnsi="Cambria Math" w:cs="Arial"/>
                <w:sz w:val="24"/>
                <w:szCs w:val="24"/>
              </w:rPr>
              <m:t>(79,355+88,273)/2</m:t>
            </m:r>
          </m:num>
          <m:den>
            <m:r>
              <w:rPr>
                <w:rFonts w:ascii="Cambria Math" w:hAnsi="Cambria Math" w:cs="Arial"/>
                <w:sz w:val="24"/>
                <w:szCs w:val="24"/>
              </w:rPr>
              <m:t>280885</m:t>
            </m:r>
          </m:den>
        </m:f>
        <m:r>
          <w:rPr>
            <w:rFonts w:ascii="Cambria Math" w:hAnsi="Cambria Math" w:cs="Arial"/>
            <w:sz w:val="24"/>
            <w:szCs w:val="24"/>
          </w:rPr>
          <m:t>x365</m:t>
        </m:r>
      </m:oMath>
      <w:r w:rsidR="00313E9A" w:rsidRPr="007C28EC">
        <w:rPr>
          <w:rFonts w:ascii="Arial" w:hAnsi="Arial" w:cs="Arial"/>
          <w:sz w:val="24"/>
          <w:szCs w:val="24"/>
        </w:rPr>
        <w:t xml:space="preserve"> =108.9 days</w:t>
      </w:r>
    </w:p>
    <w:p w14:paraId="60B03F69" w14:textId="77777777" w:rsidR="00DF41BD" w:rsidRPr="007C28EC" w:rsidRDefault="00DF41BD" w:rsidP="001F048F">
      <w:pPr>
        <w:spacing w:line="360" w:lineRule="auto"/>
        <w:jc w:val="center"/>
        <w:rPr>
          <w:rFonts w:ascii="Arial" w:hAnsi="Arial" w:cs="Arial"/>
          <w:b/>
          <w:sz w:val="24"/>
          <w:szCs w:val="24"/>
          <w:lang w:eastAsia="en-GB"/>
        </w:rPr>
      </w:pPr>
      <w:r w:rsidRPr="007C28EC">
        <w:rPr>
          <w:rFonts w:ascii="Arial" w:hAnsi="Arial" w:cs="Arial"/>
          <w:b/>
          <w:sz w:val="24"/>
          <w:szCs w:val="24"/>
          <w:lang w:eastAsia="en-GB"/>
        </w:rPr>
        <w:t>Receivables Days:</w:t>
      </w:r>
    </w:p>
    <w:p w14:paraId="647D771C" w14:textId="77777777" w:rsidR="006F3A9E" w:rsidRPr="007C28EC" w:rsidRDefault="00CE7EA8" w:rsidP="001F048F">
      <w:pPr>
        <w:spacing w:line="360" w:lineRule="auto"/>
        <w:jc w:val="center"/>
        <w:rPr>
          <w:rFonts w:ascii="Arial" w:hAnsi="Arial" w:cs="Arial"/>
          <w:sz w:val="24"/>
          <w:szCs w:val="24"/>
        </w:rPr>
      </w:pPr>
      <m:oMath>
        <m:f>
          <m:fPr>
            <m:ctrlPr>
              <w:rPr>
                <w:rFonts w:ascii="Cambria Math" w:hAnsi="Cambria Math" w:cs="Arial"/>
                <w:i/>
                <w:sz w:val="24"/>
                <w:szCs w:val="24"/>
              </w:rPr>
            </m:ctrlPr>
          </m:fPr>
          <m:num>
            <m:r>
              <m:rPr>
                <m:sty m:val="b"/>
              </m:rPr>
              <w:rPr>
                <w:rStyle w:val="mopen"/>
                <w:rFonts w:ascii="Cambria Math" w:hAnsi="Cambria Math" w:cs="Arial"/>
                <w:sz w:val="24"/>
                <w:szCs w:val="24"/>
              </w:rPr>
              <m:t>(</m:t>
            </m:r>
            <m:r>
              <m:rPr>
                <m:sty m:val="b"/>
              </m:rPr>
              <w:rPr>
                <w:rStyle w:val="mord"/>
                <w:rFonts w:ascii="Cambria Math" w:hAnsi="Cambria Math" w:cs="Arial"/>
                <w:sz w:val="24"/>
                <w:szCs w:val="24"/>
              </w:rPr>
              <m:t>114</m:t>
            </m:r>
            <m:r>
              <m:rPr>
                <m:sty m:val="p"/>
              </m:rPr>
              <w:rPr>
                <w:rStyle w:val="mpunct"/>
                <w:rFonts w:ascii="Cambria Math" w:hAnsi="Cambria Math" w:cs="Arial"/>
                <w:sz w:val="24"/>
                <w:szCs w:val="24"/>
              </w:rPr>
              <m:t>,</m:t>
            </m:r>
            <m:r>
              <m:rPr>
                <m:sty m:val="b"/>
              </m:rPr>
              <w:rPr>
                <w:rStyle w:val="mord"/>
                <w:rFonts w:ascii="Cambria Math" w:hAnsi="Cambria Math" w:cs="Arial"/>
                <w:sz w:val="24"/>
                <w:szCs w:val="24"/>
              </w:rPr>
              <m:t>182</m:t>
            </m:r>
            <m:r>
              <m:rPr>
                <m:sty m:val="p"/>
              </m:rPr>
              <w:rPr>
                <w:rStyle w:val="mbin"/>
                <w:rFonts w:ascii="Cambria Math" w:hAnsi="Cambria Math" w:cs="Arial"/>
                <w:sz w:val="24"/>
                <w:szCs w:val="24"/>
              </w:rPr>
              <m:t>+</m:t>
            </m:r>
            <m:r>
              <m:rPr>
                <m:sty m:val="b"/>
              </m:rPr>
              <w:rPr>
                <w:rStyle w:val="mord"/>
                <w:rFonts w:ascii="Cambria Math" w:hAnsi="Cambria Math" w:cs="Arial"/>
                <w:sz w:val="24"/>
                <w:szCs w:val="24"/>
              </w:rPr>
              <m:t>112</m:t>
            </m:r>
            <m:r>
              <m:rPr>
                <m:sty m:val="p"/>
              </m:rPr>
              <w:rPr>
                <w:rStyle w:val="mpunct"/>
                <w:rFonts w:ascii="Cambria Math" w:hAnsi="Cambria Math" w:cs="Arial"/>
                <w:sz w:val="24"/>
                <w:szCs w:val="24"/>
              </w:rPr>
              <m:t>,</m:t>
            </m:r>
            <m:r>
              <m:rPr>
                <m:sty m:val="b"/>
              </m:rPr>
              <w:rPr>
                <w:rStyle w:val="mord"/>
                <w:rFonts w:ascii="Cambria Math" w:hAnsi="Cambria Math" w:cs="Arial"/>
                <w:sz w:val="24"/>
                <w:szCs w:val="24"/>
              </w:rPr>
              <m:t>596</m:t>
            </m:r>
            <m:r>
              <m:rPr>
                <m:sty m:val="p"/>
              </m:rPr>
              <w:rPr>
                <w:rStyle w:val="mclose"/>
                <w:rFonts w:ascii="Cambria Math" w:hAnsi="Cambria Math" w:cs="Arial"/>
                <w:sz w:val="24"/>
                <w:szCs w:val="24"/>
              </w:rPr>
              <m:t>)</m:t>
            </m:r>
            <m:r>
              <m:rPr>
                <m:sty m:val="p"/>
              </m:rPr>
              <w:rPr>
                <w:rStyle w:val="mord"/>
                <w:rFonts w:ascii="Cambria Math" w:hAnsi="Cambria Math" w:cs="Arial"/>
                <w:sz w:val="24"/>
                <w:szCs w:val="24"/>
              </w:rPr>
              <m:t>/</m:t>
            </m:r>
            <m:r>
              <m:rPr>
                <m:sty m:val="b"/>
              </m:rPr>
              <w:rPr>
                <w:rStyle w:val="mord"/>
                <w:rFonts w:ascii="Cambria Math" w:hAnsi="Cambria Math" w:cs="Arial"/>
                <w:sz w:val="24"/>
                <w:szCs w:val="24"/>
              </w:rPr>
              <m:t>2</m:t>
            </m:r>
            <m:r>
              <w:rPr>
                <w:rFonts w:ascii="Cambria Math" w:hAnsi="Cambria Math" w:cs="Arial"/>
                <w:sz w:val="24"/>
                <w:szCs w:val="24"/>
              </w:rPr>
              <m:t xml:space="preserve"> </m:t>
            </m:r>
          </m:num>
          <m:den>
            <m:r>
              <w:rPr>
                <w:rFonts w:ascii="Cambria Math" w:hAnsi="Cambria Math" w:cs="Arial"/>
                <w:sz w:val="24"/>
                <w:szCs w:val="24"/>
              </w:rPr>
              <m:t>394879</m:t>
            </m:r>
          </m:den>
        </m:f>
        <m:r>
          <w:rPr>
            <w:rFonts w:ascii="Cambria Math" w:hAnsi="Cambria Math" w:cs="Arial"/>
            <w:sz w:val="24"/>
            <w:szCs w:val="24"/>
          </w:rPr>
          <m:t>x365</m:t>
        </m:r>
      </m:oMath>
      <w:r w:rsidR="00313E9A" w:rsidRPr="007C28EC">
        <w:rPr>
          <w:rFonts w:ascii="Arial" w:hAnsi="Arial" w:cs="Arial"/>
          <w:sz w:val="24"/>
          <w:szCs w:val="24"/>
        </w:rPr>
        <w:t xml:space="preserve"> = 104.7 days</w:t>
      </w:r>
    </w:p>
    <w:p w14:paraId="3C4F5074" w14:textId="77777777" w:rsidR="00E2376A" w:rsidRDefault="00E2376A" w:rsidP="001F048F">
      <w:pPr>
        <w:spacing w:line="360" w:lineRule="auto"/>
        <w:jc w:val="center"/>
        <w:rPr>
          <w:rFonts w:ascii="Arial" w:hAnsi="Arial" w:cs="Arial"/>
          <w:b/>
          <w:sz w:val="24"/>
          <w:szCs w:val="24"/>
          <w:lang w:eastAsia="en-GB"/>
        </w:rPr>
      </w:pPr>
    </w:p>
    <w:p w14:paraId="49CE3F77" w14:textId="77777777" w:rsidR="00DF41BD" w:rsidRPr="007C28EC" w:rsidRDefault="00DF41BD" w:rsidP="001F048F">
      <w:pPr>
        <w:spacing w:line="360" w:lineRule="auto"/>
        <w:jc w:val="center"/>
        <w:rPr>
          <w:rFonts w:ascii="Arial" w:hAnsi="Arial" w:cs="Arial"/>
          <w:b/>
          <w:sz w:val="24"/>
          <w:szCs w:val="24"/>
          <w:lang w:eastAsia="en-GB"/>
        </w:rPr>
      </w:pPr>
      <w:r w:rsidRPr="007C28EC">
        <w:rPr>
          <w:rFonts w:ascii="Arial" w:hAnsi="Arial" w:cs="Arial"/>
          <w:b/>
          <w:sz w:val="24"/>
          <w:szCs w:val="24"/>
          <w:lang w:eastAsia="en-GB"/>
        </w:rPr>
        <w:t>Payables Days:</w:t>
      </w:r>
    </w:p>
    <w:p w14:paraId="0865A375" w14:textId="77777777" w:rsidR="006F3A9E" w:rsidRPr="007C28EC" w:rsidRDefault="00CE7EA8" w:rsidP="001F048F">
      <w:pPr>
        <w:spacing w:line="360" w:lineRule="auto"/>
        <w:jc w:val="center"/>
        <w:rPr>
          <w:rFonts w:ascii="Arial" w:hAnsi="Arial" w:cs="Arial"/>
          <w:sz w:val="24"/>
          <w:szCs w:val="24"/>
        </w:rPr>
      </w:pPr>
      <m:oMath>
        <m:f>
          <m:fPr>
            <m:ctrlPr>
              <w:rPr>
                <w:rFonts w:ascii="Cambria Math" w:hAnsi="Cambria Math" w:cs="Arial"/>
                <w:i/>
                <w:sz w:val="24"/>
                <w:szCs w:val="24"/>
              </w:rPr>
            </m:ctrlPr>
          </m:fPr>
          <m:num>
            <m:r>
              <m:rPr>
                <m:sty m:val="b"/>
              </m:rPr>
              <w:rPr>
                <w:rStyle w:val="mopen"/>
                <w:rFonts w:ascii="Cambria Math" w:hAnsi="Cambria Math" w:cs="Arial"/>
                <w:sz w:val="24"/>
                <w:szCs w:val="24"/>
              </w:rPr>
              <m:t>(</m:t>
            </m:r>
            <m:r>
              <m:rPr>
                <m:sty m:val="b"/>
              </m:rPr>
              <w:rPr>
                <w:rStyle w:val="mord"/>
                <w:rFonts w:ascii="Cambria Math" w:hAnsi="Cambria Math" w:cs="Arial"/>
                <w:sz w:val="24"/>
                <w:szCs w:val="24"/>
              </w:rPr>
              <m:t>72</m:t>
            </m:r>
            <m:r>
              <m:rPr>
                <m:sty m:val="p"/>
              </m:rPr>
              <w:rPr>
                <w:rStyle w:val="mpunct"/>
                <w:rFonts w:ascii="Cambria Math" w:hAnsi="Cambria Math" w:cs="Arial"/>
                <w:sz w:val="24"/>
                <w:szCs w:val="24"/>
              </w:rPr>
              <m:t>,</m:t>
            </m:r>
            <m:r>
              <m:rPr>
                <m:sty m:val="b"/>
              </m:rPr>
              <w:rPr>
                <w:rStyle w:val="mord"/>
                <w:rFonts w:ascii="Cambria Math" w:hAnsi="Cambria Math" w:cs="Arial"/>
                <w:sz w:val="24"/>
                <w:szCs w:val="24"/>
              </w:rPr>
              <m:t>031</m:t>
            </m:r>
            <m:r>
              <m:rPr>
                <m:sty m:val="p"/>
              </m:rPr>
              <w:rPr>
                <w:rStyle w:val="mbin"/>
                <w:rFonts w:ascii="Cambria Math" w:hAnsi="Cambria Math" w:cs="Arial"/>
                <w:sz w:val="24"/>
                <w:szCs w:val="24"/>
              </w:rPr>
              <m:t>+</m:t>
            </m:r>
            <m:r>
              <m:rPr>
                <m:sty m:val="b"/>
              </m:rPr>
              <w:rPr>
                <w:rStyle w:val="mord"/>
                <w:rFonts w:ascii="Cambria Math" w:hAnsi="Cambria Math" w:cs="Arial"/>
                <w:sz w:val="24"/>
                <w:szCs w:val="24"/>
              </w:rPr>
              <m:t>57</m:t>
            </m:r>
            <m:r>
              <m:rPr>
                <m:sty m:val="p"/>
              </m:rPr>
              <w:rPr>
                <w:rStyle w:val="mpunct"/>
                <w:rFonts w:ascii="Cambria Math" w:hAnsi="Cambria Math" w:cs="Arial"/>
                <w:sz w:val="24"/>
                <w:szCs w:val="24"/>
              </w:rPr>
              <m:t>,</m:t>
            </m:r>
            <m:r>
              <m:rPr>
                <m:sty m:val="b"/>
              </m:rPr>
              <w:rPr>
                <w:rStyle w:val="mord"/>
                <w:rFonts w:ascii="Cambria Math" w:hAnsi="Cambria Math" w:cs="Arial"/>
                <w:sz w:val="24"/>
                <w:szCs w:val="24"/>
              </w:rPr>
              <m:t>033</m:t>
            </m:r>
            <m:r>
              <m:rPr>
                <m:sty m:val="p"/>
              </m:rPr>
              <w:rPr>
                <w:rStyle w:val="mclose"/>
                <w:rFonts w:ascii="Cambria Math" w:hAnsi="Cambria Math" w:cs="Arial"/>
                <w:sz w:val="24"/>
                <w:szCs w:val="24"/>
              </w:rPr>
              <m:t>)</m:t>
            </m:r>
            <m:r>
              <m:rPr>
                <m:sty m:val="p"/>
              </m:rPr>
              <w:rPr>
                <w:rStyle w:val="mord"/>
                <w:rFonts w:ascii="Cambria Math" w:hAnsi="Cambria Math" w:cs="Arial"/>
                <w:sz w:val="24"/>
                <w:szCs w:val="24"/>
              </w:rPr>
              <m:t>/</m:t>
            </m:r>
            <m:r>
              <m:rPr>
                <m:sty m:val="b"/>
              </m:rPr>
              <w:rPr>
                <w:rStyle w:val="mord"/>
                <w:rFonts w:ascii="Cambria Math" w:hAnsi="Cambria Math" w:cs="Arial"/>
                <w:sz w:val="24"/>
                <w:szCs w:val="24"/>
              </w:rPr>
              <m:t>2</m:t>
            </m:r>
            <m:r>
              <w:rPr>
                <w:rFonts w:ascii="Cambria Math" w:hAnsi="Cambria Math" w:cs="Arial"/>
                <w:sz w:val="24"/>
                <w:szCs w:val="24"/>
              </w:rPr>
              <m:t xml:space="preserve"> </m:t>
            </m:r>
          </m:num>
          <m:den>
            <m:r>
              <w:rPr>
                <w:rFonts w:ascii="Cambria Math" w:hAnsi="Cambria Math" w:cs="Arial"/>
                <w:sz w:val="24"/>
                <w:szCs w:val="24"/>
              </w:rPr>
              <m:t>280885</m:t>
            </m:r>
          </m:den>
        </m:f>
        <m:r>
          <w:rPr>
            <w:rFonts w:ascii="Cambria Math" w:hAnsi="Cambria Math" w:cs="Arial"/>
            <w:sz w:val="24"/>
            <w:szCs w:val="24"/>
          </w:rPr>
          <m:t>x365</m:t>
        </m:r>
      </m:oMath>
      <w:r w:rsidR="0094785E" w:rsidRPr="007C28EC">
        <w:rPr>
          <w:rFonts w:ascii="Arial" w:hAnsi="Arial" w:cs="Arial"/>
          <w:sz w:val="24"/>
          <w:szCs w:val="24"/>
        </w:rPr>
        <w:t xml:space="preserve"> = 83.9 days</w:t>
      </w:r>
    </w:p>
    <w:p w14:paraId="3E3C7035" w14:textId="77777777" w:rsidR="00DF41BD" w:rsidRPr="007C28EC" w:rsidRDefault="00DF41BD" w:rsidP="001F048F">
      <w:pPr>
        <w:spacing w:line="360" w:lineRule="auto"/>
        <w:jc w:val="both"/>
        <w:rPr>
          <w:rFonts w:ascii="Arial" w:hAnsi="Arial" w:cs="Arial"/>
          <w:b/>
          <w:sz w:val="24"/>
          <w:szCs w:val="24"/>
          <w:lang w:eastAsia="en-GB"/>
        </w:rPr>
      </w:pPr>
      <w:r w:rsidRPr="007C28EC">
        <w:rPr>
          <w:rFonts w:ascii="Arial" w:hAnsi="Arial" w:cs="Arial"/>
          <w:b/>
          <w:sz w:val="24"/>
          <w:szCs w:val="24"/>
          <w:lang w:eastAsia="en-GB"/>
        </w:rPr>
        <w:t>Cash Operating Cycle:</w:t>
      </w:r>
    </w:p>
    <w:p w14:paraId="2FA97DA4" w14:textId="77777777" w:rsidR="00247724" w:rsidRPr="007C28EC" w:rsidRDefault="00263055" w:rsidP="001F048F">
      <w:pPr>
        <w:spacing w:line="360" w:lineRule="auto"/>
        <w:jc w:val="both"/>
        <w:rPr>
          <w:rFonts w:ascii="Arial" w:hAnsi="Arial" w:cs="Arial"/>
          <w:sz w:val="24"/>
          <w:szCs w:val="24"/>
        </w:rPr>
      </w:pPr>
      <w:r w:rsidRPr="007C28EC">
        <w:rPr>
          <w:rStyle w:val="mord"/>
          <w:rFonts w:ascii="Arial" w:hAnsi="Arial" w:cs="Arial"/>
          <w:sz w:val="24"/>
          <w:szCs w:val="24"/>
        </w:rPr>
        <w:t>108.9</w:t>
      </w:r>
      <w:r w:rsidRPr="007C28EC">
        <w:rPr>
          <w:rStyle w:val="mbin"/>
          <w:rFonts w:ascii="Arial" w:hAnsi="Arial" w:cs="Arial"/>
          <w:sz w:val="24"/>
          <w:szCs w:val="24"/>
        </w:rPr>
        <w:t>+</w:t>
      </w:r>
      <w:r w:rsidRPr="007C28EC">
        <w:rPr>
          <w:rStyle w:val="mord"/>
          <w:rFonts w:ascii="Arial" w:hAnsi="Arial" w:cs="Arial"/>
          <w:sz w:val="24"/>
          <w:szCs w:val="24"/>
        </w:rPr>
        <w:t>104.7</w:t>
      </w:r>
      <w:r w:rsidRPr="007C28EC">
        <w:rPr>
          <w:rStyle w:val="mbin"/>
          <w:rFonts w:ascii="Arial" w:hAnsi="Arial" w:cs="Arial"/>
          <w:sz w:val="24"/>
          <w:szCs w:val="24"/>
        </w:rPr>
        <w:t>−</w:t>
      </w:r>
      <w:r w:rsidRPr="007C28EC">
        <w:rPr>
          <w:rStyle w:val="mord"/>
          <w:rFonts w:ascii="Arial" w:hAnsi="Arial" w:cs="Arial"/>
          <w:sz w:val="24"/>
          <w:szCs w:val="24"/>
        </w:rPr>
        <w:t>83.9</w:t>
      </w:r>
      <w:r w:rsidRPr="007C28EC">
        <w:rPr>
          <w:rStyle w:val="mrel"/>
          <w:rFonts w:ascii="Arial" w:hAnsi="Arial" w:cs="Arial"/>
          <w:sz w:val="24"/>
          <w:szCs w:val="24"/>
        </w:rPr>
        <w:t>≈</w:t>
      </w:r>
      <w:r w:rsidRPr="007C28EC">
        <w:rPr>
          <w:rStyle w:val="mord"/>
          <w:rFonts w:ascii="Arial" w:hAnsi="Arial" w:cs="Arial"/>
          <w:sz w:val="24"/>
          <w:szCs w:val="24"/>
        </w:rPr>
        <w:t>129.7 days</w:t>
      </w:r>
    </w:p>
    <w:p w14:paraId="1445D4FF" w14:textId="77777777" w:rsidR="00DF41BD" w:rsidRPr="007C28EC" w:rsidRDefault="00DF41BD" w:rsidP="007C28EC">
      <w:pPr>
        <w:pStyle w:val="Heading2"/>
        <w:spacing w:after="240"/>
        <w:rPr>
          <w:rFonts w:eastAsia="Times New Roman"/>
          <w:color w:val="auto"/>
          <w:lang w:eastAsia="en-GB"/>
        </w:rPr>
      </w:pPr>
      <w:bookmarkStart w:id="24" w:name="_Toc217195870"/>
      <w:r w:rsidRPr="007C28EC">
        <w:rPr>
          <w:rFonts w:eastAsia="Times New Roman"/>
          <w:color w:val="auto"/>
          <w:lang w:eastAsia="en-GB"/>
        </w:rPr>
        <w:t>2.3 Working Capital Challenges</w:t>
      </w:r>
      <w:bookmarkEnd w:id="24"/>
    </w:p>
    <w:p w14:paraId="5608FB00" w14:textId="77777777" w:rsidR="004527C1" w:rsidRPr="007C28EC" w:rsidRDefault="004527C1" w:rsidP="007C28EC">
      <w:pPr>
        <w:spacing w:after="240" w:line="360" w:lineRule="auto"/>
        <w:jc w:val="both"/>
        <w:rPr>
          <w:rFonts w:ascii="Arial" w:hAnsi="Arial" w:cs="Arial"/>
          <w:sz w:val="24"/>
          <w:szCs w:val="24"/>
          <w:lang w:eastAsia="en-GB"/>
        </w:rPr>
      </w:pPr>
      <w:r w:rsidRPr="007C28EC">
        <w:rPr>
          <w:rFonts w:ascii="Arial" w:hAnsi="Arial" w:cs="Arial"/>
          <w:sz w:val="24"/>
          <w:szCs w:val="24"/>
          <w:lang w:eastAsia="en-GB"/>
        </w:rPr>
        <w:t>General Electronics is experiencing a number of important working capital issues that are having a negative impact on liquidity, efficiency in operations and stability:</w:t>
      </w:r>
    </w:p>
    <w:p w14:paraId="319209F7" w14:textId="77777777" w:rsidR="004527C1" w:rsidRPr="007C28EC" w:rsidRDefault="004527C1" w:rsidP="00742C85">
      <w:pPr>
        <w:pStyle w:val="ListParagraph"/>
        <w:numPr>
          <w:ilvl w:val="0"/>
          <w:numId w:val="11"/>
        </w:numPr>
        <w:spacing w:line="360" w:lineRule="auto"/>
        <w:jc w:val="both"/>
        <w:rPr>
          <w:rFonts w:ascii="Arial" w:hAnsi="Arial" w:cs="Arial"/>
          <w:sz w:val="24"/>
          <w:szCs w:val="24"/>
          <w:lang w:eastAsia="en-GB"/>
        </w:rPr>
      </w:pPr>
      <w:r w:rsidRPr="007C28EC">
        <w:rPr>
          <w:rFonts w:ascii="Arial" w:hAnsi="Arial" w:cs="Arial"/>
          <w:b/>
          <w:sz w:val="24"/>
          <w:szCs w:val="24"/>
          <w:lang w:eastAsia="en-GB"/>
        </w:rPr>
        <w:t>High Inventory:</w:t>
      </w:r>
      <w:r w:rsidRPr="007C28EC">
        <w:rPr>
          <w:rFonts w:ascii="Arial" w:hAnsi="Arial" w:cs="Arial"/>
          <w:sz w:val="24"/>
          <w:szCs w:val="24"/>
          <w:lang w:eastAsia="en-GB"/>
        </w:rPr>
        <w:t xml:space="preserve"> The inventory turnover has been inconsistent in the past few years and the turnover has been low due to inventory being overstocked and bad demand forecasting. Inventory build-ups consume cash, raise holding costs, and the possibility of obsolescence (fast-moving consumer electronics) is more likely (</w:t>
      </w:r>
      <w:proofErr w:type="spellStart"/>
      <w:r w:rsidRPr="007C28EC">
        <w:rPr>
          <w:rFonts w:ascii="Arial" w:hAnsi="Arial" w:cs="Arial"/>
          <w:sz w:val="24"/>
          <w:szCs w:val="24"/>
          <w:lang w:eastAsia="en-GB"/>
        </w:rPr>
        <w:t>Atrill</w:t>
      </w:r>
      <w:proofErr w:type="spellEnd"/>
      <w:r w:rsidRPr="007C28EC">
        <w:rPr>
          <w:rFonts w:ascii="Arial" w:hAnsi="Arial" w:cs="Arial"/>
          <w:sz w:val="24"/>
          <w:szCs w:val="24"/>
          <w:lang w:eastAsia="en-GB"/>
        </w:rPr>
        <w:t xml:space="preserve"> and </w:t>
      </w:r>
      <w:proofErr w:type="spellStart"/>
      <w:r w:rsidRPr="007C28EC">
        <w:rPr>
          <w:rFonts w:ascii="Arial" w:hAnsi="Arial" w:cs="Arial"/>
          <w:sz w:val="24"/>
          <w:szCs w:val="24"/>
          <w:lang w:eastAsia="en-GB"/>
        </w:rPr>
        <w:t>McLaney</w:t>
      </w:r>
      <w:proofErr w:type="spellEnd"/>
      <w:r w:rsidRPr="007C28EC">
        <w:rPr>
          <w:rFonts w:ascii="Arial" w:hAnsi="Arial" w:cs="Arial"/>
          <w:sz w:val="24"/>
          <w:szCs w:val="24"/>
          <w:lang w:eastAsia="en-GB"/>
        </w:rPr>
        <w:t>, 2024).</w:t>
      </w:r>
    </w:p>
    <w:p w14:paraId="4A950FD6" w14:textId="77777777" w:rsidR="004527C1" w:rsidRPr="007C28EC" w:rsidRDefault="004527C1" w:rsidP="00742C85">
      <w:pPr>
        <w:pStyle w:val="ListParagraph"/>
        <w:numPr>
          <w:ilvl w:val="0"/>
          <w:numId w:val="11"/>
        </w:numPr>
        <w:spacing w:line="360" w:lineRule="auto"/>
        <w:jc w:val="both"/>
        <w:rPr>
          <w:rFonts w:ascii="Arial" w:hAnsi="Arial" w:cs="Arial"/>
          <w:sz w:val="24"/>
          <w:szCs w:val="24"/>
          <w:lang w:eastAsia="en-GB"/>
        </w:rPr>
      </w:pPr>
      <w:r w:rsidRPr="007C28EC">
        <w:rPr>
          <w:rFonts w:ascii="Arial" w:hAnsi="Arial" w:cs="Arial"/>
          <w:b/>
          <w:sz w:val="24"/>
          <w:szCs w:val="24"/>
          <w:lang w:eastAsia="en-GB"/>
        </w:rPr>
        <w:t>Reduced Receivables Collection:</w:t>
      </w:r>
      <w:r w:rsidRPr="007C28EC">
        <w:rPr>
          <w:rFonts w:ascii="Arial" w:hAnsi="Arial" w:cs="Arial"/>
          <w:sz w:val="24"/>
          <w:szCs w:val="24"/>
          <w:lang w:eastAsia="en-GB"/>
        </w:rPr>
        <w:t xml:space="preserve"> The turnover in accounts receivable has been decreasing consistently, indicating that the collection will take a longer time and they are at risk of getting involved with a bad customer. Slow turnover in receivables limits working capital to meet operational requirements and investment (</w:t>
      </w:r>
      <w:proofErr w:type="spellStart"/>
      <w:r w:rsidRPr="007C28EC">
        <w:rPr>
          <w:rFonts w:ascii="Arial" w:hAnsi="Arial" w:cs="Arial"/>
          <w:sz w:val="24"/>
          <w:szCs w:val="24"/>
          <w:lang w:eastAsia="en-GB"/>
        </w:rPr>
        <w:t>Palepu</w:t>
      </w:r>
      <w:proofErr w:type="spellEnd"/>
      <w:r w:rsidRPr="007C28EC">
        <w:rPr>
          <w:rFonts w:ascii="Arial" w:hAnsi="Arial" w:cs="Arial"/>
          <w:sz w:val="24"/>
          <w:szCs w:val="24"/>
          <w:lang w:eastAsia="en-GB"/>
        </w:rPr>
        <w:t xml:space="preserve"> et al., 2020).</w:t>
      </w:r>
    </w:p>
    <w:p w14:paraId="538D6D0B" w14:textId="77777777" w:rsidR="009F532A" w:rsidRPr="007C28EC" w:rsidRDefault="004527C1" w:rsidP="00742C85">
      <w:pPr>
        <w:pStyle w:val="ListParagraph"/>
        <w:numPr>
          <w:ilvl w:val="0"/>
          <w:numId w:val="11"/>
        </w:numPr>
        <w:spacing w:line="360" w:lineRule="auto"/>
        <w:jc w:val="both"/>
        <w:rPr>
          <w:rFonts w:ascii="Arial" w:hAnsi="Arial" w:cs="Arial"/>
          <w:sz w:val="24"/>
          <w:szCs w:val="24"/>
          <w:lang w:eastAsia="en-GB"/>
        </w:rPr>
      </w:pPr>
      <w:r w:rsidRPr="007C28EC">
        <w:rPr>
          <w:rFonts w:ascii="Arial" w:hAnsi="Arial" w:cs="Arial"/>
          <w:b/>
          <w:sz w:val="24"/>
          <w:szCs w:val="24"/>
          <w:lang w:eastAsia="en-GB"/>
        </w:rPr>
        <w:t>Volatility in the Cash Flows</w:t>
      </w:r>
      <w:r w:rsidRPr="007C28EC">
        <w:rPr>
          <w:rFonts w:ascii="Arial" w:hAnsi="Arial" w:cs="Arial"/>
          <w:sz w:val="24"/>
          <w:szCs w:val="24"/>
          <w:lang w:eastAsia="en-GB"/>
        </w:rPr>
        <w:t xml:space="preserve">: The operating cash flows have been declining significantly in the last five years with a declining profitability and poor conversion of cash. This limits the flexibility of the firm to finance the normal operations and strategic plans (Brigham and </w:t>
      </w:r>
      <w:proofErr w:type="spellStart"/>
      <w:r w:rsidRPr="007C28EC">
        <w:rPr>
          <w:rFonts w:ascii="Arial" w:hAnsi="Arial" w:cs="Arial"/>
          <w:sz w:val="24"/>
          <w:szCs w:val="24"/>
          <w:lang w:eastAsia="en-GB"/>
        </w:rPr>
        <w:t>Daves</w:t>
      </w:r>
      <w:proofErr w:type="spellEnd"/>
      <w:r w:rsidRPr="007C28EC">
        <w:rPr>
          <w:rFonts w:ascii="Arial" w:hAnsi="Arial" w:cs="Arial"/>
          <w:sz w:val="24"/>
          <w:szCs w:val="24"/>
          <w:lang w:eastAsia="en-GB"/>
        </w:rPr>
        <w:t>, 2022).</w:t>
      </w:r>
    </w:p>
    <w:p w14:paraId="739D12D7" w14:textId="77777777" w:rsidR="004F4E5C" w:rsidRPr="007C28EC" w:rsidRDefault="004F4E5C" w:rsidP="007C28EC">
      <w:pPr>
        <w:pStyle w:val="Heading2"/>
        <w:spacing w:after="240"/>
        <w:rPr>
          <w:color w:val="auto"/>
          <w:lang w:eastAsia="en-GB"/>
        </w:rPr>
      </w:pPr>
      <w:bookmarkStart w:id="25" w:name="_Toc217195871"/>
      <w:r w:rsidRPr="007C28EC">
        <w:rPr>
          <w:color w:val="auto"/>
          <w:lang w:eastAsia="en-GB"/>
        </w:rPr>
        <w:t>2.4 Liquidity Improvement strategies.</w:t>
      </w:r>
      <w:bookmarkEnd w:id="25"/>
    </w:p>
    <w:p w14:paraId="6BE8A5C2" w14:textId="77777777" w:rsidR="00977F23" w:rsidRPr="007C28EC" w:rsidRDefault="00977F23" w:rsidP="007C28EC">
      <w:pPr>
        <w:spacing w:after="240" w:line="360" w:lineRule="auto"/>
        <w:jc w:val="both"/>
        <w:rPr>
          <w:rFonts w:ascii="Arial" w:hAnsi="Arial" w:cs="Arial"/>
          <w:sz w:val="24"/>
          <w:szCs w:val="24"/>
          <w:lang w:eastAsia="en-GB"/>
        </w:rPr>
      </w:pPr>
      <w:r w:rsidRPr="007C28EC">
        <w:rPr>
          <w:rFonts w:ascii="Arial" w:hAnsi="Arial" w:cs="Arial"/>
          <w:sz w:val="24"/>
          <w:szCs w:val="24"/>
          <w:lang w:eastAsia="en-GB"/>
        </w:rPr>
        <w:t>In order to overcome the working capital issues at General Electronics and improve liquidity, it is suggested to use the following strategies:</w:t>
      </w:r>
    </w:p>
    <w:p w14:paraId="572BF3A5" w14:textId="77777777" w:rsidR="00E2376A" w:rsidRDefault="00E2376A" w:rsidP="00977F23">
      <w:pPr>
        <w:spacing w:line="360" w:lineRule="auto"/>
        <w:jc w:val="both"/>
        <w:rPr>
          <w:rFonts w:ascii="Arial" w:hAnsi="Arial" w:cs="Arial"/>
          <w:b/>
          <w:sz w:val="24"/>
          <w:szCs w:val="24"/>
          <w:lang w:eastAsia="en-GB"/>
        </w:rPr>
      </w:pPr>
    </w:p>
    <w:p w14:paraId="4C2ED7A2" w14:textId="77777777" w:rsidR="00E2376A" w:rsidRDefault="00E2376A" w:rsidP="00977F23">
      <w:pPr>
        <w:spacing w:line="360" w:lineRule="auto"/>
        <w:jc w:val="both"/>
        <w:rPr>
          <w:rFonts w:ascii="Arial" w:hAnsi="Arial" w:cs="Arial"/>
          <w:b/>
          <w:sz w:val="24"/>
          <w:szCs w:val="24"/>
          <w:lang w:eastAsia="en-GB"/>
        </w:rPr>
      </w:pPr>
    </w:p>
    <w:p w14:paraId="3C1341C3" w14:textId="77777777" w:rsidR="00977F23" w:rsidRPr="007C28EC" w:rsidRDefault="00977F23" w:rsidP="00977F23">
      <w:pPr>
        <w:spacing w:line="360" w:lineRule="auto"/>
        <w:jc w:val="both"/>
        <w:rPr>
          <w:rFonts w:ascii="Arial" w:hAnsi="Arial" w:cs="Arial"/>
          <w:b/>
          <w:sz w:val="24"/>
          <w:szCs w:val="24"/>
          <w:lang w:eastAsia="en-GB"/>
        </w:rPr>
      </w:pPr>
      <w:r w:rsidRPr="007C28EC">
        <w:rPr>
          <w:rFonts w:ascii="Arial" w:hAnsi="Arial" w:cs="Arial"/>
          <w:b/>
          <w:sz w:val="24"/>
          <w:szCs w:val="24"/>
          <w:lang w:eastAsia="en-GB"/>
        </w:rPr>
        <w:t>Inventory Optimisation:</w:t>
      </w:r>
    </w:p>
    <w:p w14:paraId="49CE9C7F" w14:textId="77777777" w:rsidR="00977F23" w:rsidRPr="007C28EC" w:rsidRDefault="00977F23" w:rsidP="00742C85">
      <w:pPr>
        <w:pStyle w:val="ListParagraph"/>
        <w:numPr>
          <w:ilvl w:val="0"/>
          <w:numId w:val="12"/>
        </w:numPr>
        <w:spacing w:line="360" w:lineRule="auto"/>
        <w:jc w:val="both"/>
        <w:rPr>
          <w:rFonts w:ascii="Arial" w:hAnsi="Arial" w:cs="Arial"/>
          <w:sz w:val="24"/>
          <w:szCs w:val="24"/>
          <w:lang w:eastAsia="en-GB"/>
        </w:rPr>
      </w:pPr>
      <w:r w:rsidRPr="007C28EC">
        <w:rPr>
          <w:rFonts w:ascii="Arial" w:hAnsi="Arial" w:cs="Arial"/>
          <w:sz w:val="24"/>
          <w:szCs w:val="24"/>
          <w:lang w:eastAsia="en-GB"/>
        </w:rPr>
        <w:t>Adopt Just-in-time (JIT) inventory management in order to minimize stocks and cash locked in inventory (</w:t>
      </w:r>
      <w:proofErr w:type="spellStart"/>
      <w:r w:rsidRPr="007C28EC">
        <w:rPr>
          <w:rFonts w:ascii="Arial" w:hAnsi="Arial" w:cs="Arial"/>
          <w:sz w:val="24"/>
          <w:szCs w:val="24"/>
          <w:lang w:eastAsia="en-GB"/>
        </w:rPr>
        <w:t>Atrill</w:t>
      </w:r>
      <w:proofErr w:type="spellEnd"/>
      <w:r w:rsidRPr="007C28EC">
        <w:rPr>
          <w:rFonts w:ascii="Arial" w:hAnsi="Arial" w:cs="Arial"/>
          <w:sz w:val="24"/>
          <w:szCs w:val="24"/>
          <w:lang w:eastAsia="en-GB"/>
        </w:rPr>
        <w:t xml:space="preserve"> and </w:t>
      </w:r>
      <w:proofErr w:type="spellStart"/>
      <w:r w:rsidRPr="007C28EC">
        <w:rPr>
          <w:rFonts w:ascii="Arial" w:hAnsi="Arial" w:cs="Arial"/>
          <w:sz w:val="24"/>
          <w:szCs w:val="24"/>
          <w:lang w:eastAsia="en-GB"/>
        </w:rPr>
        <w:t>McLaney</w:t>
      </w:r>
      <w:proofErr w:type="spellEnd"/>
      <w:r w:rsidRPr="007C28EC">
        <w:rPr>
          <w:rFonts w:ascii="Arial" w:hAnsi="Arial" w:cs="Arial"/>
          <w:sz w:val="24"/>
          <w:szCs w:val="24"/>
          <w:lang w:eastAsia="en-GB"/>
        </w:rPr>
        <w:t>, 2024).</w:t>
      </w:r>
    </w:p>
    <w:p w14:paraId="165698FE" w14:textId="77777777" w:rsidR="00977F23" w:rsidRPr="007C28EC" w:rsidRDefault="00977F23" w:rsidP="007C28EC">
      <w:pPr>
        <w:spacing w:line="360" w:lineRule="auto"/>
        <w:jc w:val="both"/>
        <w:rPr>
          <w:rFonts w:ascii="Arial" w:hAnsi="Arial" w:cs="Arial"/>
          <w:b/>
          <w:sz w:val="24"/>
          <w:szCs w:val="24"/>
          <w:lang w:eastAsia="en-GB"/>
        </w:rPr>
      </w:pPr>
      <w:r w:rsidRPr="007C28EC">
        <w:rPr>
          <w:rFonts w:ascii="Arial" w:hAnsi="Arial" w:cs="Arial"/>
          <w:b/>
          <w:sz w:val="24"/>
          <w:szCs w:val="24"/>
          <w:lang w:eastAsia="en-GB"/>
        </w:rPr>
        <w:t>Receivables Management:</w:t>
      </w:r>
    </w:p>
    <w:p w14:paraId="13380E7C" w14:textId="77777777" w:rsidR="00977F23" w:rsidRPr="007C28EC" w:rsidRDefault="00977F23" w:rsidP="00742C85">
      <w:pPr>
        <w:pStyle w:val="ListParagraph"/>
        <w:numPr>
          <w:ilvl w:val="0"/>
          <w:numId w:val="13"/>
        </w:numPr>
        <w:spacing w:line="360" w:lineRule="auto"/>
        <w:jc w:val="both"/>
        <w:rPr>
          <w:rFonts w:ascii="Arial" w:hAnsi="Arial" w:cs="Arial"/>
          <w:sz w:val="24"/>
          <w:szCs w:val="24"/>
          <w:lang w:eastAsia="en-GB"/>
        </w:rPr>
      </w:pPr>
      <w:r w:rsidRPr="007C28EC">
        <w:rPr>
          <w:rFonts w:ascii="Arial" w:hAnsi="Arial" w:cs="Arial"/>
          <w:sz w:val="24"/>
          <w:szCs w:val="24"/>
          <w:lang w:eastAsia="en-GB"/>
        </w:rPr>
        <w:t>Enhance the efficacy of collection procedures and automatize the invoicing procedure to cut the days in receivables and enhance cash accessibility (</w:t>
      </w:r>
      <w:proofErr w:type="spellStart"/>
      <w:r w:rsidRPr="007C28EC">
        <w:rPr>
          <w:rFonts w:ascii="Arial" w:hAnsi="Arial" w:cs="Arial"/>
          <w:sz w:val="24"/>
          <w:szCs w:val="24"/>
          <w:lang w:eastAsia="en-GB"/>
        </w:rPr>
        <w:t>Palepu</w:t>
      </w:r>
      <w:proofErr w:type="spellEnd"/>
      <w:r w:rsidRPr="007C28EC">
        <w:rPr>
          <w:rFonts w:ascii="Arial" w:hAnsi="Arial" w:cs="Arial"/>
          <w:sz w:val="24"/>
          <w:szCs w:val="24"/>
          <w:lang w:eastAsia="en-GB"/>
        </w:rPr>
        <w:t xml:space="preserve"> et al., 2020).</w:t>
      </w:r>
    </w:p>
    <w:p w14:paraId="68906617" w14:textId="77777777" w:rsidR="00977F23" w:rsidRPr="007C28EC" w:rsidRDefault="00977F23" w:rsidP="00977F23">
      <w:pPr>
        <w:spacing w:line="360" w:lineRule="auto"/>
        <w:jc w:val="both"/>
        <w:rPr>
          <w:rFonts w:ascii="Arial" w:hAnsi="Arial" w:cs="Arial"/>
          <w:b/>
          <w:sz w:val="24"/>
          <w:szCs w:val="24"/>
          <w:lang w:eastAsia="en-GB"/>
        </w:rPr>
      </w:pPr>
      <w:r w:rsidRPr="007C28EC">
        <w:rPr>
          <w:rFonts w:ascii="Arial" w:hAnsi="Arial" w:cs="Arial"/>
          <w:b/>
          <w:sz w:val="24"/>
          <w:szCs w:val="24"/>
          <w:lang w:eastAsia="en-GB"/>
        </w:rPr>
        <w:t>Payables Management:</w:t>
      </w:r>
    </w:p>
    <w:p w14:paraId="06A95F4B" w14:textId="77777777" w:rsidR="00977F23" w:rsidRPr="007C28EC" w:rsidRDefault="00977F23" w:rsidP="00742C85">
      <w:pPr>
        <w:pStyle w:val="ListParagraph"/>
        <w:numPr>
          <w:ilvl w:val="0"/>
          <w:numId w:val="14"/>
        </w:numPr>
        <w:spacing w:line="360" w:lineRule="auto"/>
        <w:jc w:val="both"/>
        <w:rPr>
          <w:rFonts w:ascii="Arial" w:hAnsi="Arial" w:cs="Arial"/>
          <w:sz w:val="24"/>
          <w:szCs w:val="24"/>
          <w:lang w:eastAsia="en-GB"/>
        </w:rPr>
      </w:pPr>
      <w:r w:rsidRPr="007C28EC">
        <w:rPr>
          <w:rFonts w:ascii="Arial" w:hAnsi="Arial" w:cs="Arial"/>
          <w:sz w:val="24"/>
          <w:szCs w:val="24"/>
          <w:lang w:eastAsia="en-GB"/>
        </w:rPr>
        <w:t>Agreement Negotiate organized supplier financing agreements which do not damage suppliers.</w:t>
      </w:r>
    </w:p>
    <w:p w14:paraId="2AB9790B" w14:textId="77777777" w:rsidR="00977F23" w:rsidRPr="007C28EC" w:rsidRDefault="00977F23" w:rsidP="00977F23">
      <w:pPr>
        <w:spacing w:line="360" w:lineRule="auto"/>
        <w:jc w:val="both"/>
        <w:rPr>
          <w:rFonts w:ascii="Arial" w:hAnsi="Arial" w:cs="Arial"/>
          <w:b/>
          <w:sz w:val="24"/>
          <w:szCs w:val="24"/>
          <w:lang w:eastAsia="en-GB"/>
        </w:rPr>
      </w:pPr>
      <w:r w:rsidRPr="007C28EC">
        <w:rPr>
          <w:rFonts w:ascii="Arial" w:hAnsi="Arial" w:cs="Arial"/>
          <w:b/>
          <w:sz w:val="24"/>
          <w:szCs w:val="24"/>
          <w:lang w:eastAsia="en-GB"/>
        </w:rPr>
        <w:t>Cash Flow Forecasting and Monitoring:</w:t>
      </w:r>
    </w:p>
    <w:p w14:paraId="286568B3" w14:textId="77777777" w:rsidR="00977F23" w:rsidRPr="007C28EC" w:rsidRDefault="00977F23" w:rsidP="00742C85">
      <w:pPr>
        <w:pStyle w:val="ListParagraph"/>
        <w:numPr>
          <w:ilvl w:val="0"/>
          <w:numId w:val="15"/>
        </w:numPr>
        <w:spacing w:line="360" w:lineRule="auto"/>
        <w:jc w:val="both"/>
        <w:rPr>
          <w:rFonts w:ascii="Arial" w:hAnsi="Arial" w:cs="Arial"/>
          <w:sz w:val="24"/>
          <w:szCs w:val="24"/>
          <w:lang w:eastAsia="en-GB"/>
        </w:rPr>
      </w:pPr>
      <w:r w:rsidRPr="007C28EC">
        <w:rPr>
          <w:rFonts w:ascii="Arial" w:hAnsi="Arial" w:cs="Arial"/>
          <w:sz w:val="24"/>
          <w:szCs w:val="24"/>
          <w:lang w:eastAsia="en-GB"/>
        </w:rPr>
        <w:t>Use rolling cash flow forecasts in order to predict short term liquidity requirements and modify the operation activities with this.</w:t>
      </w:r>
    </w:p>
    <w:p w14:paraId="556E5C5D" w14:textId="77777777" w:rsidR="00977F23" w:rsidRPr="007C28EC" w:rsidRDefault="00977F23" w:rsidP="00977F23">
      <w:pPr>
        <w:spacing w:line="360" w:lineRule="auto"/>
        <w:jc w:val="both"/>
        <w:rPr>
          <w:rFonts w:ascii="Arial" w:hAnsi="Arial" w:cs="Arial"/>
          <w:b/>
          <w:sz w:val="24"/>
          <w:szCs w:val="24"/>
          <w:lang w:eastAsia="en-GB"/>
        </w:rPr>
      </w:pPr>
      <w:r w:rsidRPr="007C28EC">
        <w:rPr>
          <w:rFonts w:ascii="Arial" w:hAnsi="Arial" w:cs="Arial"/>
          <w:b/>
          <w:sz w:val="24"/>
          <w:szCs w:val="24"/>
          <w:lang w:eastAsia="en-GB"/>
        </w:rPr>
        <w:t>Financing Strategies:</w:t>
      </w:r>
    </w:p>
    <w:p w14:paraId="05DA449D" w14:textId="77777777" w:rsidR="00977F23" w:rsidRPr="007C28EC" w:rsidRDefault="00977F23" w:rsidP="00742C85">
      <w:pPr>
        <w:pStyle w:val="ListParagraph"/>
        <w:numPr>
          <w:ilvl w:val="0"/>
          <w:numId w:val="16"/>
        </w:numPr>
        <w:spacing w:line="360" w:lineRule="auto"/>
        <w:jc w:val="both"/>
        <w:rPr>
          <w:rFonts w:ascii="Arial" w:hAnsi="Arial" w:cs="Arial"/>
          <w:sz w:val="24"/>
          <w:szCs w:val="24"/>
          <w:lang w:eastAsia="en-GB"/>
        </w:rPr>
      </w:pPr>
      <w:r w:rsidRPr="007C28EC">
        <w:rPr>
          <w:rFonts w:ascii="Arial" w:hAnsi="Arial" w:cs="Arial"/>
          <w:sz w:val="24"/>
          <w:szCs w:val="24"/>
          <w:lang w:eastAsia="en-GB"/>
        </w:rPr>
        <w:t>Enhance a balanced approach to financing, short-term credit has been used as working capital during the season and long-term debt or equity has been used as permanent operation capital.</w:t>
      </w:r>
    </w:p>
    <w:p w14:paraId="2186F2EF" w14:textId="77777777" w:rsidR="004F4E5C" w:rsidRPr="007C28EC" w:rsidRDefault="00977F23" w:rsidP="00977F23">
      <w:pPr>
        <w:spacing w:line="360" w:lineRule="auto"/>
        <w:jc w:val="both"/>
        <w:rPr>
          <w:rFonts w:ascii="Arial" w:hAnsi="Arial" w:cs="Arial"/>
          <w:sz w:val="24"/>
          <w:szCs w:val="24"/>
          <w:lang w:eastAsia="en-GB"/>
        </w:rPr>
      </w:pPr>
      <w:r w:rsidRPr="007C28EC">
        <w:rPr>
          <w:rFonts w:ascii="Arial" w:hAnsi="Arial" w:cs="Arial"/>
          <w:sz w:val="24"/>
          <w:szCs w:val="24"/>
          <w:lang w:eastAsia="en-GB"/>
        </w:rPr>
        <w:t xml:space="preserve">All of these liquidity improvement plans should serve the purpose of reducing cash operating cycle, maximising cash inflows, and increasing financial flexibility, which can stabilise the operations of General Electronics and help it to grow sustainably (Brigham and </w:t>
      </w:r>
      <w:r w:rsidR="00CE7B05" w:rsidRPr="007C28EC">
        <w:rPr>
          <w:rFonts w:ascii="Arial" w:hAnsi="Arial" w:cs="Arial"/>
          <w:sz w:val="24"/>
          <w:szCs w:val="24"/>
          <w:lang w:eastAsia="en-GB"/>
        </w:rPr>
        <w:t>Dave’s</w:t>
      </w:r>
      <w:r w:rsidRPr="007C28EC">
        <w:rPr>
          <w:rFonts w:ascii="Arial" w:hAnsi="Arial" w:cs="Arial"/>
          <w:sz w:val="24"/>
          <w:szCs w:val="24"/>
          <w:lang w:eastAsia="en-GB"/>
        </w:rPr>
        <w:t xml:space="preserve">, 2022; </w:t>
      </w:r>
      <w:proofErr w:type="spellStart"/>
      <w:r w:rsidRPr="007C28EC">
        <w:rPr>
          <w:rFonts w:ascii="Arial" w:hAnsi="Arial" w:cs="Arial"/>
          <w:sz w:val="24"/>
          <w:szCs w:val="24"/>
          <w:lang w:eastAsia="en-GB"/>
        </w:rPr>
        <w:t>Atrill</w:t>
      </w:r>
      <w:proofErr w:type="spellEnd"/>
      <w:r w:rsidRPr="007C28EC">
        <w:rPr>
          <w:rFonts w:ascii="Arial" w:hAnsi="Arial" w:cs="Arial"/>
          <w:sz w:val="24"/>
          <w:szCs w:val="24"/>
          <w:lang w:eastAsia="en-GB"/>
        </w:rPr>
        <w:t xml:space="preserve"> and </w:t>
      </w:r>
      <w:proofErr w:type="spellStart"/>
      <w:r w:rsidRPr="007C28EC">
        <w:rPr>
          <w:rFonts w:ascii="Arial" w:hAnsi="Arial" w:cs="Arial"/>
          <w:sz w:val="24"/>
          <w:szCs w:val="24"/>
          <w:lang w:eastAsia="en-GB"/>
        </w:rPr>
        <w:t>McLaney</w:t>
      </w:r>
      <w:proofErr w:type="spellEnd"/>
      <w:r w:rsidRPr="007C28EC">
        <w:rPr>
          <w:rFonts w:ascii="Arial" w:hAnsi="Arial" w:cs="Arial"/>
          <w:sz w:val="24"/>
          <w:szCs w:val="24"/>
          <w:lang w:eastAsia="en-GB"/>
        </w:rPr>
        <w:t>, 2024)</w:t>
      </w:r>
      <w:r w:rsidR="004F4E5C" w:rsidRPr="007C28EC">
        <w:rPr>
          <w:rFonts w:ascii="Arial" w:hAnsi="Arial" w:cs="Arial"/>
          <w:sz w:val="24"/>
          <w:szCs w:val="24"/>
          <w:lang w:eastAsia="en-GB"/>
        </w:rPr>
        <w:t>.</w:t>
      </w:r>
    </w:p>
    <w:p w14:paraId="512281A1" w14:textId="77777777" w:rsidR="004F4E5C" w:rsidRPr="007C28EC" w:rsidRDefault="004F4E5C" w:rsidP="007C28EC">
      <w:pPr>
        <w:pStyle w:val="Heading2"/>
        <w:spacing w:after="240"/>
        <w:rPr>
          <w:color w:val="auto"/>
          <w:lang w:eastAsia="en-GB"/>
        </w:rPr>
      </w:pPr>
      <w:bookmarkStart w:id="26" w:name="_Toc217195872"/>
      <w:r w:rsidRPr="007C28EC">
        <w:rPr>
          <w:color w:val="auto"/>
          <w:lang w:eastAsia="en-GB"/>
        </w:rPr>
        <w:t>2.5 Short-term vs Long-term Financing Options.</w:t>
      </w:r>
      <w:bookmarkEnd w:id="26"/>
    </w:p>
    <w:p w14:paraId="33D3F048" w14:textId="77777777" w:rsidR="007B60B9" w:rsidRDefault="007B60B9" w:rsidP="007C28EC">
      <w:pPr>
        <w:spacing w:after="240" w:line="360" w:lineRule="auto"/>
        <w:jc w:val="both"/>
        <w:rPr>
          <w:rFonts w:ascii="Arial" w:hAnsi="Arial" w:cs="Arial"/>
          <w:sz w:val="24"/>
          <w:szCs w:val="24"/>
          <w:lang w:eastAsia="en-GB"/>
        </w:rPr>
      </w:pPr>
      <w:r w:rsidRPr="007C28EC">
        <w:rPr>
          <w:rFonts w:ascii="Arial" w:hAnsi="Arial" w:cs="Arial"/>
          <w:sz w:val="24"/>
          <w:szCs w:val="24"/>
          <w:lang w:eastAsia="en-GB"/>
        </w:rPr>
        <w:t xml:space="preserve">Managing working capital well entails strategic balancing between the short term and the </w:t>
      </w:r>
      <w:proofErr w:type="gramStart"/>
      <w:r w:rsidRPr="007C28EC">
        <w:rPr>
          <w:rFonts w:ascii="Arial" w:hAnsi="Arial" w:cs="Arial"/>
          <w:sz w:val="24"/>
          <w:szCs w:val="24"/>
          <w:lang w:eastAsia="en-GB"/>
        </w:rPr>
        <w:t>long term</w:t>
      </w:r>
      <w:proofErr w:type="gramEnd"/>
      <w:r w:rsidRPr="007C28EC">
        <w:rPr>
          <w:rFonts w:ascii="Arial" w:hAnsi="Arial" w:cs="Arial"/>
          <w:sz w:val="24"/>
          <w:szCs w:val="24"/>
          <w:lang w:eastAsia="en-GB"/>
        </w:rPr>
        <w:t xml:space="preserve"> financing to finance the operations as well as reducing the financial risk (Brigham and </w:t>
      </w:r>
      <w:proofErr w:type="spellStart"/>
      <w:r w:rsidRPr="007C28EC">
        <w:rPr>
          <w:rFonts w:ascii="Arial" w:hAnsi="Arial" w:cs="Arial"/>
          <w:sz w:val="24"/>
          <w:szCs w:val="24"/>
          <w:lang w:eastAsia="en-GB"/>
        </w:rPr>
        <w:t>Daves</w:t>
      </w:r>
      <w:proofErr w:type="spellEnd"/>
      <w:r w:rsidRPr="007C28EC">
        <w:rPr>
          <w:rFonts w:ascii="Arial" w:hAnsi="Arial" w:cs="Arial"/>
          <w:sz w:val="24"/>
          <w:szCs w:val="24"/>
          <w:lang w:eastAsia="en-GB"/>
        </w:rPr>
        <w:t xml:space="preserve">, 2022; </w:t>
      </w:r>
      <w:proofErr w:type="spellStart"/>
      <w:r w:rsidRPr="007C28EC">
        <w:rPr>
          <w:rFonts w:ascii="Arial" w:hAnsi="Arial" w:cs="Arial"/>
          <w:sz w:val="24"/>
          <w:szCs w:val="24"/>
          <w:lang w:eastAsia="en-GB"/>
        </w:rPr>
        <w:t>Atrill</w:t>
      </w:r>
      <w:proofErr w:type="spellEnd"/>
      <w:r w:rsidRPr="007C28EC">
        <w:rPr>
          <w:rFonts w:ascii="Arial" w:hAnsi="Arial" w:cs="Arial"/>
          <w:sz w:val="24"/>
          <w:szCs w:val="24"/>
          <w:lang w:eastAsia="en-GB"/>
        </w:rPr>
        <w:t xml:space="preserve"> </w:t>
      </w:r>
      <w:r w:rsidR="00B55A6E" w:rsidRPr="007C28EC">
        <w:rPr>
          <w:rFonts w:ascii="Arial" w:hAnsi="Arial" w:cs="Arial"/>
          <w:sz w:val="24"/>
          <w:szCs w:val="24"/>
          <w:lang w:eastAsia="en-GB"/>
        </w:rPr>
        <w:t xml:space="preserve">and </w:t>
      </w:r>
      <w:proofErr w:type="spellStart"/>
      <w:r w:rsidR="00B55A6E" w:rsidRPr="007C28EC">
        <w:rPr>
          <w:rFonts w:ascii="Arial" w:hAnsi="Arial" w:cs="Arial"/>
          <w:sz w:val="24"/>
          <w:szCs w:val="24"/>
          <w:lang w:eastAsia="en-GB"/>
        </w:rPr>
        <w:t>McLaney</w:t>
      </w:r>
      <w:proofErr w:type="spellEnd"/>
      <w:r w:rsidR="00B55A6E" w:rsidRPr="007C28EC">
        <w:rPr>
          <w:rFonts w:ascii="Arial" w:hAnsi="Arial" w:cs="Arial"/>
          <w:sz w:val="24"/>
          <w:szCs w:val="24"/>
          <w:lang w:eastAsia="en-GB"/>
        </w:rPr>
        <w:t>, 2024).</w:t>
      </w:r>
    </w:p>
    <w:p w14:paraId="64B5B81F" w14:textId="77777777" w:rsidR="0049717E" w:rsidRPr="007C28EC" w:rsidRDefault="0049717E" w:rsidP="007C28EC">
      <w:pPr>
        <w:spacing w:after="240" w:line="360" w:lineRule="auto"/>
        <w:jc w:val="both"/>
        <w:rPr>
          <w:rFonts w:ascii="Arial" w:hAnsi="Arial" w:cs="Arial"/>
          <w:sz w:val="24"/>
          <w:szCs w:val="24"/>
          <w:lang w:eastAsia="en-GB"/>
        </w:rPr>
      </w:pPr>
    </w:p>
    <w:p w14:paraId="2A655F6B" w14:textId="77777777" w:rsidR="007B60B9" w:rsidRPr="007C28EC" w:rsidRDefault="00B55A6E" w:rsidP="007B60B9">
      <w:pPr>
        <w:spacing w:line="360" w:lineRule="auto"/>
        <w:jc w:val="both"/>
        <w:rPr>
          <w:rFonts w:ascii="Arial" w:hAnsi="Arial" w:cs="Arial"/>
          <w:b/>
          <w:sz w:val="24"/>
          <w:szCs w:val="24"/>
          <w:lang w:eastAsia="en-GB"/>
        </w:rPr>
      </w:pPr>
      <w:r w:rsidRPr="007C28EC">
        <w:rPr>
          <w:rFonts w:ascii="Arial" w:hAnsi="Arial" w:cs="Arial"/>
          <w:b/>
          <w:sz w:val="24"/>
          <w:szCs w:val="24"/>
          <w:lang w:eastAsia="en-GB"/>
        </w:rPr>
        <w:t>1. Short-Term Financing:</w:t>
      </w:r>
    </w:p>
    <w:p w14:paraId="0E0A63C4" w14:textId="77777777" w:rsidR="007B60B9" w:rsidRPr="007C28EC" w:rsidRDefault="007B60B9" w:rsidP="007B60B9">
      <w:pPr>
        <w:spacing w:line="360" w:lineRule="auto"/>
        <w:jc w:val="both"/>
        <w:rPr>
          <w:rFonts w:ascii="Arial" w:hAnsi="Arial" w:cs="Arial"/>
          <w:sz w:val="24"/>
          <w:szCs w:val="24"/>
          <w:lang w:eastAsia="en-GB"/>
        </w:rPr>
      </w:pPr>
      <w:r w:rsidRPr="007C28EC">
        <w:rPr>
          <w:rFonts w:ascii="Arial" w:hAnsi="Arial" w:cs="Arial"/>
          <w:sz w:val="24"/>
          <w:szCs w:val="24"/>
          <w:lang w:eastAsia="en-GB"/>
        </w:rPr>
        <w:t xml:space="preserve">Bank overdrafts, trade credit, and </w:t>
      </w:r>
      <w:proofErr w:type="gramStart"/>
      <w:r w:rsidRPr="007C28EC">
        <w:rPr>
          <w:rFonts w:ascii="Arial" w:hAnsi="Arial" w:cs="Arial"/>
          <w:sz w:val="24"/>
          <w:szCs w:val="24"/>
          <w:lang w:eastAsia="en-GB"/>
        </w:rPr>
        <w:t>short term</w:t>
      </w:r>
      <w:proofErr w:type="gramEnd"/>
      <w:r w:rsidRPr="007C28EC">
        <w:rPr>
          <w:rFonts w:ascii="Arial" w:hAnsi="Arial" w:cs="Arial"/>
          <w:sz w:val="24"/>
          <w:szCs w:val="24"/>
          <w:lang w:eastAsia="en-GB"/>
        </w:rPr>
        <w:t xml:space="preserve"> loans are all included and are normally used to fund seaso</w:t>
      </w:r>
      <w:r w:rsidR="00B55A6E" w:rsidRPr="007C28EC">
        <w:rPr>
          <w:rFonts w:ascii="Arial" w:hAnsi="Arial" w:cs="Arial"/>
          <w:sz w:val="24"/>
          <w:szCs w:val="24"/>
          <w:lang w:eastAsia="en-GB"/>
        </w:rPr>
        <w:t>nal changes in working capital.</w:t>
      </w:r>
    </w:p>
    <w:p w14:paraId="3FA20C27" w14:textId="77777777" w:rsidR="007B60B9" w:rsidRPr="007C28EC" w:rsidRDefault="007B60B9" w:rsidP="00742C85">
      <w:pPr>
        <w:pStyle w:val="ListParagraph"/>
        <w:numPr>
          <w:ilvl w:val="0"/>
          <w:numId w:val="17"/>
        </w:numPr>
        <w:spacing w:line="360" w:lineRule="auto"/>
        <w:jc w:val="both"/>
        <w:rPr>
          <w:rFonts w:ascii="Arial" w:hAnsi="Arial" w:cs="Arial"/>
          <w:sz w:val="24"/>
          <w:szCs w:val="24"/>
          <w:lang w:eastAsia="en-GB"/>
        </w:rPr>
      </w:pPr>
      <w:r w:rsidRPr="007C28EC">
        <w:rPr>
          <w:rFonts w:ascii="Arial" w:hAnsi="Arial" w:cs="Arial"/>
          <w:b/>
          <w:sz w:val="24"/>
          <w:szCs w:val="24"/>
          <w:lang w:eastAsia="en-GB"/>
        </w:rPr>
        <w:t>Benefits:</w:t>
      </w:r>
      <w:r w:rsidRPr="007C28EC">
        <w:rPr>
          <w:rFonts w:ascii="Arial" w:hAnsi="Arial" w:cs="Arial"/>
          <w:sz w:val="24"/>
          <w:szCs w:val="24"/>
          <w:lang w:eastAsia="en-GB"/>
        </w:rPr>
        <w:t xml:space="preserve"> It is flexible and easily accessible to capital, and it is applicable to </w:t>
      </w:r>
      <w:r w:rsidR="00B55A6E" w:rsidRPr="007C28EC">
        <w:rPr>
          <w:rFonts w:ascii="Arial" w:hAnsi="Arial" w:cs="Arial"/>
          <w:sz w:val="24"/>
          <w:szCs w:val="24"/>
          <w:lang w:eastAsia="en-GB"/>
        </w:rPr>
        <w:t>short-term liquidity shortages.</w:t>
      </w:r>
    </w:p>
    <w:p w14:paraId="46B9059D" w14:textId="77777777" w:rsidR="007C28EC" w:rsidRPr="007C28EC" w:rsidRDefault="007B60B9" w:rsidP="00742C85">
      <w:pPr>
        <w:pStyle w:val="ListParagraph"/>
        <w:numPr>
          <w:ilvl w:val="0"/>
          <w:numId w:val="17"/>
        </w:numPr>
        <w:spacing w:line="360" w:lineRule="auto"/>
        <w:jc w:val="both"/>
        <w:rPr>
          <w:rFonts w:ascii="Arial" w:hAnsi="Arial" w:cs="Arial"/>
          <w:sz w:val="24"/>
          <w:szCs w:val="24"/>
          <w:lang w:eastAsia="en-GB"/>
        </w:rPr>
      </w:pPr>
      <w:r w:rsidRPr="007C28EC">
        <w:rPr>
          <w:rFonts w:ascii="Arial" w:hAnsi="Arial" w:cs="Arial"/>
          <w:b/>
          <w:sz w:val="24"/>
          <w:szCs w:val="24"/>
          <w:lang w:eastAsia="en-GB"/>
        </w:rPr>
        <w:t>Cons:</w:t>
      </w:r>
      <w:r w:rsidRPr="007C28EC">
        <w:rPr>
          <w:rFonts w:ascii="Arial" w:hAnsi="Arial" w:cs="Arial"/>
          <w:sz w:val="24"/>
          <w:szCs w:val="24"/>
          <w:lang w:eastAsia="en-GB"/>
        </w:rPr>
        <w:t xml:space="preserve"> Refinancing risk is increased, interest cost can get higher and dependency on short-term creditors can develop relationships.</w:t>
      </w:r>
    </w:p>
    <w:p w14:paraId="431942E2" w14:textId="77777777" w:rsidR="007B60B9" w:rsidRPr="007C28EC" w:rsidRDefault="00B55A6E" w:rsidP="007B60B9">
      <w:pPr>
        <w:spacing w:line="360" w:lineRule="auto"/>
        <w:jc w:val="both"/>
        <w:rPr>
          <w:rFonts w:ascii="Arial" w:hAnsi="Arial" w:cs="Arial"/>
          <w:b/>
          <w:sz w:val="24"/>
          <w:szCs w:val="24"/>
          <w:lang w:eastAsia="en-GB"/>
        </w:rPr>
      </w:pPr>
      <w:r w:rsidRPr="007C28EC">
        <w:rPr>
          <w:rFonts w:ascii="Arial" w:hAnsi="Arial" w:cs="Arial"/>
          <w:b/>
          <w:sz w:val="24"/>
          <w:szCs w:val="24"/>
          <w:lang w:eastAsia="en-GB"/>
        </w:rPr>
        <w:t>2. Long-Term Financing:</w:t>
      </w:r>
    </w:p>
    <w:p w14:paraId="3B27B2B1" w14:textId="77777777" w:rsidR="007B60B9" w:rsidRPr="007C28EC" w:rsidRDefault="007B60B9" w:rsidP="007B60B9">
      <w:pPr>
        <w:spacing w:line="360" w:lineRule="auto"/>
        <w:jc w:val="both"/>
        <w:rPr>
          <w:rFonts w:ascii="Arial" w:hAnsi="Arial" w:cs="Arial"/>
          <w:sz w:val="24"/>
          <w:szCs w:val="24"/>
          <w:lang w:eastAsia="en-GB"/>
        </w:rPr>
      </w:pPr>
      <w:r w:rsidRPr="007C28EC">
        <w:rPr>
          <w:rFonts w:ascii="Arial" w:hAnsi="Arial" w:cs="Arial"/>
          <w:sz w:val="24"/>
          <w:szCs w:val="24"/>
          <w:lang w:eastAsia="en-GB"/>
        </w:rPr>
        <w:t xml:space="preserve">Includes term loans, bonds and equity financing, the purpose of which is to finance permanent working capital or </w:t>
      </w:r>
      <w:proofErr w:type="gramStart"/>
      <w:r w:rsidRPr="007C28EC">
        <w:rPr>
          <w:rFonts w:ascii="Arial" w:hAnsi="Arial" w:cs="Arial"/>
          <w:sz w:val="24"/>
          <w:szCs w:val="24"/>
          <w:lang w:eastAsia="en-GB"/>
        </w:rPr>
        <w:t>lon</w:t>
      </w:r>
      <w:r w:rsidR="00B55A6E" w:rsidRPr="007C28EC">
        <w:rPr>
          <w:rFonts w:ascii="Arial" w:hAnsi="Arial" w:cs="Arial"/>
          <w:sz w:val="24"/>
          <w:szCs w:val="24"/>
          <w:lang w:eastAsia="en-GB"/>
        </w:rPr>
        <w:t>g term</w:t>
      </w:r>
      <w:proofErr w:type="gramEnd"/>
      <w:r w:rsidR="00B55A6E" w:rsidRPr="007C28EC">
        <w:rPr>
          <w:rFonts w:ascii="Arial" w:hAnsi="Arial" w:cs="Arial"/>
          <w:sz w:val="24"/>
          <w:szCs w:val="24"/>
          <w:lang w:eastAsia="en-GB"/>
        </w:rPr>
        <w:t xml:space="preserve"> operational investments.</w:t>
      </w:r>
    </w:p>
    <w:p w14:paraId="7CFEFAED" w14:textId="77777777" w:rsidR="007B60B9" w:rsidRPr="007C28EC" w:rsidRDefault="007B60B9" w:rsidP="00742C85">
      <w:pPr>
        <w:pStyle w:val="ListParagraph"/>
        <w:numPr>
          <w:ilvl w:val="0"/>
          <w:numId w:val="18"/>
        </w:numPr>
        <w:spacing w:line="360" w:lineRule="auto"/>
        <w:jc w:val="both"/>
        <w:rPr>
          <w:rFonts w:ascii="Arial" w:hAnsi="Arial" w:cs="Arial"/>
          <w:sz w:val="24"/>
          <w:szCs w:val="24"/>
          <w:lang w:eastAsia="en-GB"/>
        </w:rPr>
      </w:pPr>
      <w:r w:rsidRPr="007C28EC">
        <w:rPr>
          <w:rFonts w:ascii="Arial" w:hAnsi="Arial" w:cs="Arial"/>
          <w:b/>
          <w:sz w:val="24"/>
          <w:szCs w:val="24"/>
          <w:lang w:eastAsia="en-GB"/>
        </w:rPr>
        <w:t>Benefits:</w:t>
      </w:r>
      <w:r w:rsidRPr="007C28EC">
        <w:rPr>
          <w:rFonts w:ascii="Arial" w:hAnsi="Arial" w:cs="Arial"/>
          <w:sz w:val="24"/>
          <w:szCs w:val="24"/>
          <w:lang w:eastAsia="en-GB"/>
        </w:rPr>
        <w:t xml:space="preserve"> Minimises the risk of refinances, stabilises cash flows and enhances </w:t>
      </w:r>
      <w:r w:rsidR="00B55A6E" w:rsidRPr="007C28EC">
        <w:rPr>
          <w:rFonts w:ascii="Arial" w:hAnsi="Arial" w:cs="Arial"/>
          <w:sz w:val="24"/>
          <w:szCs w:val="24"/>
          <w:lang w:eastAsia="en-GB"/>
        </w:rPr>
        <w:t>the credit profile of the firm.</w:t>
      </w:r>
    </w:p>
    <w:p w14:paraId="5CED5300" w14:textId="77777777" w:rsidR="007B60B9" w:rsidRPr="007C28EC" w:rsidRDefault="007B60B9" w:rsidP="00742C85">
      <w:pPr>
        <w:pStyle w:val="ListParagraph"/>
        <w:numPr>
          <w:ilvl w:val="0"/>
          <w:numId w:val="18"/>
        </w:numPr>
        <w:spacing w:line="360" w:lineRule="auto"/>
        <w:jc w:val="both"/>
        <w:rPr>
          <w:rFonts w:ascii="Arial" w:hAnsi="Arial" w:cs="Arial"/>
          <w:sz w:val="24"/>
          <w:szCs w:val="24"/>
          <w:lang w:eastAsia="en-GB"/>
        </w:rPr>
      </w:pPr>
      <w:r w:rsidRPr="007C28EC">
        <w:rPr>
          <w:rFonts w:ascii="Arial" w:hAnsi="Arial" w:cs="Arial"/>
          <w:b/>
          <w:sz w:val="24"/>
          <w:szCs w:val="24"/>
          <w:lang w:eastAsia="en-GB"/>
        </w:rPr>
        <w:t>Cons:</w:t>
      </w:r>
      <w:r w:rsidRPr="007C28EC">
        <w:rPr>
          <w:rFonts w:ascii="Arial" w:hAnsi="Arial" w:cs="Arial"/>
          <w:sz w:val="24"/>
          <w:szCs w:val="24"/>
          <w:lang w:eastAsia="en-GB"/>
        </w:rPr>
        <w:t xml:space="preserve"> Interest and repayment are </w:t>
      </w:r>
      <w:proofErr w:type="spellStart"/>
      <w:r w:rsidRPr="007C28EC">
        <w:rPr>
          <w:rFonts w:ascii="Arial" w:hAnsi="Arial" w:cs="Arial"/>
          <w:sz w:val="24"/>
          <w:szCs w:val="24"/>
          <w:lang w:eastAsia="en-GB"/>
        </w:rPr>
        <w:t>nonvariable</w:t>
      </w:r>
      <w:proofErr w:type="spellEnd"/>
      <w:r w:rsidRPr="007C28EC">
        <w:rPr>
          <w:rFonts w:ascii="Arial" w:hAnsi="Arial" w:cs="Arial"/>
          <w:sz w:val="24"/>
          <w:szCs w:val="24"/>
          <w:lang w:eastAsia="en-GB"/>
        </w:rPr>
        <w:t xml:space="preserve"> and hence when the business is performing poorly, it may be taxing on the cash flow.</w:t>
      </w:r>
    </w:p>
    <w:p w14:paraId="17961F6A" w14:textId="77777777" w:rsidR="008E47CD" w:rsidRPr="007C28EC" w:rsidRDefault="007B60B9" w:rsidP="007B60B9">
      <w:pPr>
        <w:spacing w:line="360" w:lineRule="auto"/>
        <w:jc w:val="both"/>
        <w:rPr>
          <w:rFonts w:ascii="Arial" w:hAnsi="Arial" w:cs="Arial"/>
          <w:b/>
          <w:sz w:val="24"/>
          <w:szCs w:val="24"/>
          <w:lang w:eastAsia="en-GB"/>
        </w:rPr>
      </w:pPr>
      <w:r w:rsidRPr="007C28EC">
        <w:rPr>
          <w:rFonts w:ascii="Arial" w:hAnsi="Arial" w:cs="Arial"/>
          <w:b/>
          <w:sz w:val="24"/>
          <w:szCs w:val="24"/>
          <w:lang w:eastAsia="en-GB"/>
        </w:rPr>
        <w:t>Gener</w:t>
      </w:r>
      <w:r w:rsidR="00B8573F" w:rsidRPr="007C28EC">
        <w:rPr>
          <w:rFonts w:ascii="Arial" w:hAnsi="Arial" w:cs="Arial"/>
          <w:b/>
          <w:sz w:val="24"/>
          <w:szCs w:val="24"/>
          <w:lang w:eastAsia="en-GB"/>
        </w:rPr>
        <w:t xml:space="preserve">al Electronics: Recommendation: </w:t>
      </w:r>
      <w:r w:rsidRPr="007C28EC">
        <w:rPr>
          <w:rFonts w:ascii="Arial" w:hAnsi="Arial" w:cs="Arial"/>
          <w:sz w:val="24"/>
          <w:szCs w:val="24"/>
          <w:lang w:eastAsia="en-GB"/>
        </w:rPr>
        <w:t>A balanced financing policy is the best option because of the deteriorating profitability of the firm, high leverage, and unreliable cash flow. Long term debt or equity capital should be used to finance permanent working capital and restructuring efforts, whereas short-term instruments can be used to finance seasonal or cyclical cash requirements. This will guarantee liquidity and minimize risk of financial stress, and maintain operations throughout the turnaround process (</w:t>
      </w:r>
      <w:proofErr w:type="spellStart"/>
      <w:r w:rsidRPr="007C28EC">
        <w:rPr>
          <w:rFonts w:ascii="Arial" w:hAnsi="Arial" w:cs="Arial"/>
          <w:sz w:val="24"/>
          <w:szCs w:val="24"/>
          <w:lang w:eastAsia="en-GB"/>
        </w:rPr>
        <w:t>Palepu</w:t>
      </w:r>
      <w:proofErr w:type="spellEnd"/>
      <w:r w:rsidRPr="007C28EC">
        <w:rPr>
          <w:rFonts w:ascii="Arial" w:hAnsi="Arial" w:cs="Arial"/>
          <w:sz w:val="24"/>
          <w:szCs w:val="24"/>
          <w:lang w:eastAsia="en-GB"/>
        </w:rPr>
        <w:t xml:space="preserve"> et al., 2020; Brigham and </w:t>
      </w:r>
      <w:proofErr w:type="spellStart"/>
      <w:r w:rsidRPr="007C28EC">
        <w:rPr>
          <w:rFonts w:ascii="Arial" w:hAnsi="Arial" w:cs="Arial"/>
          <w:sz w:val="24"/>
          <w:szCs w:val="24"/>
          <w:lang w:eastAsia="en-GB"/>
        </w:rPr>
        <w:t>Daves</w:t>
      </w:r>
      <w:proofErr w:type="spellEnd"/>
      <w:r w:rsidRPr="007C28EC">
        <w:rPr>
          <w:rFonts w:ascii="Arial" w:hAnsi="Arial" w:cs="Arial"/>
          <w:sz w:val="24"/>
          <w:szCs w:val="24"/>
          <w:lang w:eastAsia="en-GB"/>
        </w:rPr>
        <w:t>, 2022)</w:t>
      </w:r>
      <w:r w:rsidR="00B01242" w:rsidRPr="007C28EC">
        <w:rPr>
          <w:rFonts w:ascii="Arial" w:hAnsi="Arial" w:cs="Arial"/>
          <w:sz w:val="24"/>
          <w:szCs w:val="24"/>
          <w:lang w:eastAsia="en-GB"/>
        </w:rPr>
        <w:t>.</w:t>
      </w:r>
    </w:p>
    <w:p w14:paraId="753FD502" w14:textId="77777777" w:rsidR="00DF41BD" w:rsidRPr="007C28EC" w:rsidRDefault="00DF41BD" w:rsidP="007C28EC">
      <w:pPr>
        <w:pStyle w:val="Heading2"/>
        <w:spacing w:after="240"/>
        <w:rPr>
          <w:rFonts w:eastAsia="Times New Roman"/>
          <w:color w:val="auto"/>
          <w:lang w:eastAsia="en-GB"/>
        </w:rPr>
      </w:pPr>
      <w:bookmarkStart w:id="27" w:name="_Toc217195873"/>
      <w:r w:rsidRPr="007C28EC">
        <w:rPr>
          <w:rFonts w:eastAsia="Times New Roman"/>
          <w:color w:val="auto"/>
          <w:lang w:eastAsia="en-GB"/>
        </w:rPr>
        <w:t>2.6 Global Considerations</w:t>
      </w:r>
      <w:bookmarkEnd w:id="27"/>
    </w:p>
    <w:p w14:paraId="2CDBB413" w14:textId="77777777" w:rsidR="000A1D03" w:rsidRPr="007C28EC" w:rsidRDefault="000A1D03" w:rsidP="007C28EC">
      <w:pPr>
        <w:spacing w:after="240" w:line="360" w:lineRule="auto"/>
        <w:jc w:val="both"/>
        <w:rPr>
          <w:rFonts w:ascii="Arial" w:hAnsi="Arial" w:cs="Arial"/>
          <w:sz w:val="24"/>
          <w:szCs w:val="24"/>
          <w:lang w:eastAsia="en-GB"/>
        </w:rPr>
      </w:pPr>
      <w:r w:rsidRPr="007C28EC">
        <w:rPr>
          <w:rFonts w:ascii="Arial" w:hAnsi="Arial" w:cs="Arial"/>
          <w:sz w:val="24"/>
          <w:szCs w:val="24"/>
          <w:lang w:eastAsia="en-GB"/>
        </w:rPr>
        <w:t xml:space="preserve">When working with a multinational corporation and working capital of General Electronics, international aspects play an important role in determining liquidity, financing, and efficiency (Brigham and </w:t>
      </w:r>
      <w:proofErr w:type="spellStart"/>
      <w:r w:rsidRPr="007C28EC">
        <w:rPr>
          <w:rFonts w:ascii="Arial" w:hAnsi="Arial" w:cs="Arial"/>
          <w:sz w:val="24"/>
          <w:szCs w:val="24"/>
          <w:lang w:eastAsia="en-GB"/>
        </w:rPr>
        <w:t>Daves</w:t>
      </w:r>
      <w:proofErr w:type="spellEnd"/>
      <w:r w:rsidRPr="007C28EC">
        <w:rPr>
          <w:rFonts w:ascii="Arial" w:hAnsi="Arial" w:cs="Arial"/>
          <w:sz w:val="24"/>
          <w:szCs w:val="24"/>
          <w:lang w:eastAsia="en-GB"/>
        </w:rPr>
        <w:t xml:space="preserve">, 2022; </w:t>
      </w:r>
      <w:proofErr w:type="spellStart"/>
      <w:r w:rsidRPr="007C28EC">
        <w:rPr>
          <w:rFonts w:ascii="Arial" w:hAnsi="Arial" w:cs="Arial"/>
          <w:sz w:val="24"/>
          <w:szCs w:val="24"/>
          <w:lang w:eastAsia="en-GB"/>
        </w:rPr>
        <w:t>Atrill</w:t>
      </w:r>
      <w:proofErr w:type="spellEnd"/>
      <w:r w:rsidRPr="007C28EC">
        <w:rPr>
          <w:rFonts w:ascii="Arial" w:hAnsi="Arial" w:cs="Arial"/>
          <w:sz w:val="24"/>
          <w:szCs w:val="24"/>
          <w:lang w:eastAsia="en-GB"/>
        </w:rPr>
        <w:t xml:space="preserve"> and </w:t>
      </w:r>
      <w:proofErr w:type="spellStart"/>
      <w:r w:rsidRPr="007C28EC">
        <w:rPr>
          <w:rFonts w:ascii="Arial" w:hAnsi="Arial" w:cs="Arial"/>
          <w:sz w:val="24"/>
          <w:szCs w:val="24"/>
          <w:lang w:eastAsia="en-GB"/>
        </w:rPr>
        <w:t>McLaney</w:t>
      </w:r>
      <w:proofErr w:type="spellEnd"/>
      <w:r w:rsidRPr="007C28EC">
        <w:rPr>
          <w:rFonts w:ascii="Arial" w:hAnsi="Arial" w:cs="Arial"/>
          <w:sz w:val="24"/>
          <w:szCs w:val="24"/>
          <w:lang w:eastAsia="en-GB"/>
        </w:rPr>
        <w:t>, 2024). Key considerations include:</w:t>
      </w:r>
    </w:p>
    <w:p w14:paraId="03980A9B" w14:textId="77777777" w:rsidR="00E2376A" w:rsidRDefault="00E2376A" w:rsidP="000A1D03">
      <w:pPr>
        <w:spacing w:line="360" w:lineRule="auto"/>
        <w:jc w:val="both"/>
        <w:rPr>
          <w:rFonts w:ascii="Arial" w:hAnsi="Arial" w:cs="Arial"/>
          <w:b/>
          <w:sz w:val="24"/>
          <w:szCs w:val="24"/>
          <w:lang w:eastAsia="en-GB"/>
        </w:rPr>
      </w:pPr>
    </w:p>
    <w:p w14:paraId="7ADB9DA5" w14:textId="77777777" w:rsidR="000A1D03" w:rsidRPr="007C28EC" w:rsidRDefault="000A1D03" w:rsidP="000A1D03">
      <w:pPr>
        <w:spacing w:line="360" w:lineRule="auto"/>
        <w:jc w:val="both"/>
        <w:rPr>
          <w:rFonts w:ascii="Arial" w:hAnsi="Arial" w:cs="Arial"/>
          <w:b/>
          <w:sz w:val="24"/>
          <w:szCs w:val="24"/>
          <w:lang w:eastAsia="en-GB"/>
        </w:rPr>
      </w:pPr>
      <w:r w:rsidRPr="007C28EC">
        <w:rPr>
          <w:rFonts w:ascii="Arial" w:hAnsi="Arial" w:cs="Arial"/>
          <w:b/>
          <w:sz w:val="24"/>
          <w:szCs w:val="24"/>
          <w:lang w:eastAsia="en-GB"/>
        </w:rPr>
        <w:t>Currency Risk:</w:t>
      </w:r>
    </w:p>
    <w:p w14:paraId="563BABC4" w14:textId="77777777" w:rsidR="000A1D03" w:rsidRPr="007C28EC" w:rsidRDefault="000A1D03" w:rsidP="00742C85">
      <w:pPr>
        <w:pStyle w:val="ListParagraph"/>
        <w:numPr>
          <w:ilvl w:val="0"/>
          <w:numId w:val="19"/>
        </w:numPr>
        <w:spacing w:line="360" w:lineRule="auto"/>
        <w:jc w:val="both"/>
        <w:rPr>
          <w:rFonts w:ascii="Arial" w:hAnsi="Arial" w:cs="Arial"/>
          <w:sz w:val="24"/>
          <w:szCs w:val="24"/>
          <w:lang w:eastAsia="en-GB"/>
        </w:rPr>
      </w:pPr>
      <w:r w:rsidRPr="007C28EC">
        <w:rPr>
          <w:rFonts w:ascii="Arial" w:hAnsi="Arial" w:cs="Arial"/>
          <w:sz w:val="24"/>
          <w:szCs w:val="24"/>
          <w:lang w:eastAsia="en-GB"/>
        </w:rPr>
        <w:t>This is because a firm would be subjected to foreign exchange variations in case it is operating in different countries, which would influence the value of receivables, payables, and cash balances.</w:t>
      </w:r>
    </w:p>
    <w:p w14:paraId="4A395C8A" w14:textId="77777777" w:rsidR="000A1D03" w:rsidRPr="007C28EC" w:rsidRDefault="000A1D03" w:rsidP="000A1D03">
      <w:pPr>
        <w:spacing w:line="360" w:lineRule="auto"/>
        <w:jc w:val="both"/>
        <w:rPr>
          <w:rFonts w:ascii="Arial" w:hAnsi="Arial" w:cs="Arial"/>
          <w:b/>
          <w:sz w:val="24"/>
          <w:szCs w:val="24"/>
          <w:lang w:eastAsia="en-GB"/>
        </w:rPr>
      </w:pPr>
      <w:r w:rsidRPr="007C28EC">
        <w:rPr>
          <w:rFonts w:ascii="Arial" w:hAnsi="Arial" w:cs="Arial"/>
          <w:b/>
          <w:sz w:val="24"/>
          <w:szCs w:val="24"/>
          <w:lang w:eastAsia="en-GB"/>
        </w:rPr>
        <w:t>Differences in Taxation and Regulation:</w:t>
      </w:r>
    </w:p>
    <w:p w14:paraId="159FE7E9" w14:textId="77777777" w:rsidR="000A1D03" w:rsidRPr="007C28EC" w:rsidRDefault="000A1D03" w:rsidP="00742C85">
      <w:pPr>
        <w:pStyle w:val="ListParagraph"/>
        <w:numPr>
          <w:ilvl w:val="0"/>
          <w:numId w:val="20"/>
        </w:numPr>
        <w:spacing w:line="360" w:lineRule="auto"/>
        <w:jc w:val="both"/>
        <w:rPr>
          <w:rFonts w:ascii="Arial" w:hAnsi="Arial" w:cs="Arial"/>
          <w:sz w:val="24"/>
          <w:szCs w:val="24"/>
          <w:lang w:eastAsia="en-GB"/>
        </w:rPr>
      </w:pPr>
      <w:r w:rsidRPr="007C28EC">
        <w:rPr>
          <w:rFonts w:ascii="Arial" w:hAnsi="Arial" w:cs="Arial"/>
          <w:sz w:val="24"/>
          <w:szCs w:val="24"/>
          <w:lang w:eastAsia="en-GB"/>
        </w:rPr>
        <w:t>Different tax regimes and compliance requirements in different jurisdictions may have effects on cash outflows and working capital needs timing.</w:t>
      </w:r>
    </w:p>
    <w:p w14:paraId="32909DF4" w14:textId="77777777" w:rsidR="000A1D03" w:rsidRPr="007C28EC" w:rsidRDefault="000A1D03" w:rsidP="000A1D03">
      <w:pPr>
        <w:spacing w:line="360" w:lineRule="auto"/>
        <w:jc w:val="both"/>
        <w:rPr>
          <w:rFonts w:ascii="Arial" w:hAnsi="Arial" w:cs="Arial"/>
          <w:b/>
          <w:sz w:val="24"/>
          <w:szCs w:val="24"/>
          <w:lang w:eastAsia="en-GB"/>
        </w:rPr>
      </w:pPr>
      <w:r w:rsidRPr="007C28EC">
        <w:rPr>
          <w:rFonts w:ascii="Arial" w:hAnsi="Arial" w:cs="Arial"/>
          <w:b/>
          <w:sz w:val="24"/>
          <w:szCs w:val="24"/>
          <w:lang w:eastAsia="en-GB"/>
        </w:rPr>
        <w:t>Inflation and Change in Interest Rates:</w:t>
      </w:r>
    </w:p>
    <w:p w14:paraId="710857FA" w14:textId="77777777" w:rsidR="000A1D03" w:rsidRPr="007C28EC" w:rsidRDefault="000A1D03" w:rsidP="00742C85">
      <w:pPr>
        <w:pStyle w:val="ListParagraph"/>
        <w:numPr>
          <w:ilvl w:val="0"/>
          <w:numId w:val="21"/>
        </w:numPr>
        <w:spacing w:line="360" w:lineRule="auto"/>
        <w:jc w:val="both"/>
        <w:rPr>
          <w:rFonts w:ascii="Arial" w:hAnsi="Arial" w:cs="Arial"/>
          <w:sz w:val="24"/>
          <w:szCs w:val="24"/>
          <w:lang w:eastAsia="en-GB"/>
        </w:rPr>
      </w:pPr>
      <w:r w:rsidRPr="007C28EC">
        <w:rPr>
          <w:rFonts w:ascii="Arial" w:hAnsi="Arial" w:cs="Arial"/>
          <w:sz w:val="24"/>
          <w:szCs w:val="24"/>
          <w:lang w:eastAsia="en-GB"/>
        </w:rPr>
        <w:t xml:space="preserve">High costs of operation are caused by inflation in major markets and changing costs in the borrowing rates due to the variability of interest rates in </w:t>
      </w:r>
      <w:proofErr w:type="gramStart"/>
      <w:r w:rsidRPr="007C28EC">
        <w:rPr>
          <w:rFonts w:ascii="Arial" w:hAnsi="Arial" w:cs="Arial"/>
          <w:sz w:val="24"/>
          <w:szCs w:val="24"/>
          <w:lang w:eastAsia="en-GB"/>
        </w:rPr>
        <w:t>short and long term</w:t>
      </w:r>
      <w:proofErr w:type="gramEnd"/>
      <w:r w:rsidRPr="007C28EC">
        <w:rPr>
          <w:rFonts w:ascii="Arial" w:hAnsi="Arial" w:cs="Arial"/>
          <w:sz w:val="24"/>
          <w:szCs w:val="24"/>
          <w:lang w:eastAsia="en-GB"/>
        </w:rPr>
        <w:t xml:space="preserve"> borrowing.</w:t>
      </w:r>
    </w:p>
    <w:p w14:paraId="682416D1" w14:textId="77777777" w:rsidR="000A1D03" w:rsidRPr="007C28EC" w:rsidRDefault="000A1D03" w:rsidP="000A1D03">
      <w:pPr>
        <w:spacing w:line="360" w:lineRule="auto"/>
        <w:jc w:val="both"/>
        <w:rPr>
          <w:rFonts w:ascii="Arial" w:hAnsi="Arial" w:cs="Arial"/>
          <w:b/>
          <w:sz w:val="24"/>
          <w:szCs w:val="24"/>
          <w:lang w:eastAsia="en-GB"/>
        </w:rPr>
      </w:pPr>
      <w:r w:rsidRPr="007C28EC">
        <w:rPr>
          <w:rFonts w:ascii="Arial" w:hAnsi="Arial" w:cs="Arial"/>
          <w:b/>
          <w:sz w:val="24"/>
          <w:szCs w:val="24"/>
          <w:lang w:eastAsia="en-GB"/>
        </w:rPr>
        <w:t>Supply Chain and geopolitical risks:</w:t>
      </w:r>
    </w:p>
    <w:p w14:paraId="4B8C39A6" w14:textId="77777777" w:rsidR="000A1D03" w:rsidRPr="007C28EC" w:rsidRDefault="000A1D03" w:rsidP="00742C85">
      <w:pPr>
        <w:pStyle w:val="ListParagraph"/>
        <w:numPr>
          <w:ilvl w:val="0"/>
          <w:numId w:val="22"/>
        </w:numPr>
        <w:spacing w:line="360" w:lineRule="auto"/>
        <w:jc w:val="both"/>
        <w:rPr>
          <w:rFonts w:ascii="Arial" w:hAnsi="Arial" w:cs="Arial"/>
          <w:sz w:val="24"/>
          <w:szCs w:val="24"/>
          <w:lang w:eastAsia="en-GB"/>
        </w:rPr>
      </w:pPr>
      <w:r w:rsidRPr="007C28EC">
        <w:rPr>
          <w:rFonts w:ascii="Arial" w:hAnsi="Arial" w:cs="Arial"/>
          <w:sz w:val="24"/>
          <w:szCs w:val="24"/>
          <w:lang w:eastAsia="en-GB"/>
        </w:rPr>
        <w:t>Disruption of global supply chains, trade, or geopolitical conflicts may postpone the replenishment of the inventory and increase the cash conversion cycle.</w:t>
      </w:r>
    </w:p>
    <w:p w14:paraId="5D8C7A75" w14:textId="77777777" w:rsidR="00E06855" w:rsidRPr="007C28EC" w:rsidRDefault="000A1D03" w:rsidP="000A1D03">
      <w:pPr>
        <w:spacing w:line="360" w:lineRule="auto"/>
        <w:jc w:val="both"/>
        <w:rPr>
          <w:rFonts w:ascii="Arial" w:hAnsi="Arial" w:cs="Arial"/>
          <w:b/>
          <w:sz w:val="24"/>
          <w:szCs w:val="24"/>
          <w:lang w:eastAsia="en-GB"/>
        </w:rPr>
      </w:pPr>
      <w:r w:rsidRPr="007C28EC">
        <w:rPr>
          <w:rFonts w:ascii="Arial" w:hAnsi="Arial" w:cs="Arial"/>
          <w:b/>
          <w:sz w:val="24"/>
          <w:szCs w:val="24"/>
          <w:lang w:eastAsia="en-GB"/>
        </w:rPr>
        <w:t>Corporate Social Responsibil</w:t>
      </w:r>
      <w:r w:rsidR="00BA3D8F" w:rsidRPr="007C28EC">
        <w:rPr>
          <w:rFonts w:ascii="Arial" w:hAnsi="Arial" w:cs="Arial"/>
          <w:b/>
          <w:sz w:val="24"/>
          <w:szCs w:val="24"/>
          <w:lang w:eastAsia="en-GB"/>
        </w:rPr>
        <w:t xml:space="preserve">ity (CSR) and Ethical Concerns: </w:t>
      </w:r>
      <w:r w:rsidRPr="007C28EC">
        <w:rPr>
          <w:rFonts w:ascii="Arial" w:hAnsi="Arial" w:cs="Arial"/>
          <w:sz w:val="24"/>
          <w:szCs w:val="24"/>
          <w:lang w:eastAsia="en-GB"/>
        </w:rPr>
        <w:t>International business processes should follow business ethics in procurement, environmental laws and labour; this can lead to high working capital in the short run, but more sustainability and positive brand image in the long run.</w:t>
      </w:r>
    </w:p>
    <w:p w14:paraId="7142BC95" w14:textId="77777777" w:rsidR="00E06855" w:rsidRPr="007C28EC" w:rsidRDefault="00E06855" w:rsidP="007C28EC">
      <w:pPr>
        <w:pStyle w:val="Heading1"/>
        <w:spacing w:after="240"/>
        <w:rPr>
          <w:color w:val="auto"/>
          <w:lang w:eastAsia="en-GB"/>
        </w:rPr>
      </w:pPr>
      <w:bookmarkStart w:id="28" w:name="_Toc217195874"/>
      <w:r w:rsidRPr="007C28EC">
        <w:rPr>
          <w:color w:val="auto"/>
          <w:lang w:eastAsia="en-GB"/>
        </w:rPr>
        <w:t>3. General Electric 2010 Strategic Financial Restructuring Plan.</w:t>
      </w:r>
      <w:bookmarkEnd w:id="28"/>
    </w:p>
    <w:p w14:paraId="2849976B" w14:textId="77777777" w:rsidR="00E06855" w:rsidRPr="007C28EC" w:rsidRDefault="00E06855" w:rsidP="007C28EC">
      <w:pPr>
        <w:pStyle w:val="Heading2"/>
        <w:spacing w:after="240"/>
        <w:rPr>
          <w:color w:val="auto"/>
          <w:lang w:eastAsia="en-GB"/>
        </w:rPr>
      </w:pPr>
      <w:bookmarkStart w:id="29" w:name="_Toc217195875"/>
      <w:r w:rsidRPr="007C28EC">
        <w:rPr>
          <w:color w:val="auto"/>
          <w:lang w:eastAsia="en-GB"/>
        </w:rPr>
        <w:t>3.1 Introduction</w:t>
      </w:r>
      <w:bookmarkEnd w:id="29"/>
    </w:p>
    <w:p w14:paraId="2A429DF1" w14:textId="77777777" w:rsidR="004C618C" w:rsidRPr="007C28EC" w:rsidRDefault="004C618C" w:rsidP="007C28EC">
      <w:pPr>
        <w:spacing w:after="240" w:line="360" w:lineRule="auto"/>
        <w:jc w:val="both"/>
        <w:rPr>
          <w:rFonts w:ascii="Arial" w:hAnsi="Arial" w:cs="Arial"/>
          <w:sz w:val="24"/>
        </w:rPr>
      </w:pPr>
      <w:r w:rsidRPr="007C28EC">
        <w:rPr>
          <w:rFonts w:ascii="Arial" w:hAnsi="Arial" w:cs="Arial"/>
          <w:sz w:val="24"/>
        </w:rPr>
        <w:t xml:space="preserve">General Electronics needs to restructure its financial position as a key strategic undertaking to regain the operational stability, optimize liquidity, and raise the long-term shareholders value. The company has experienced diminished profitability, increased leverage and poor liquidity over the last five years putting it at a high financial risk. The Chief Financial Officer (CFO) will play a key role in this scenario in further diagnosing the weaknesses in financial aspects, determining other restructuring alternatives, and taking the most financially viable and ethically responsible steps (Brigham and </w:t>
      </w:r>
      <w:proofErr w:type="spellStart"/>
      <w:r w:rsidRPr="007C28EC">
        <w:rPr>
          <w:rFonts w:ascii="Arial" w:hAnsi="Arial" w:cs="Arial"/>
          <w:sz w:val="24"/>
        </w:rPr>
        <w:t>Daves</w:t>
      </w:r>
      <w:proofErr w:type="spellEnd"/>
      <w:r w:rsidRPr="007C28EC">
        <w:rPr>
          <w:rFonts w:ascii="Arial" w:hAnsi="Arial" w:cs="Arial"/>
          <w:sz w:val="24"/>
        </w:rPr>
        <w:t>, 2</w:t>
      </w:r>
      <w:r w:rsidR="004D4468" w:rsidRPr="007C28EC">
        <w:rPr>
          <w:rFonts w:ascii="Arial" w:hAnsi="Arial" w:cs="Arial"/>
          <w:sz w:val="24"/>
        </w:rPr>
        <w:t xml:space="preserve">022; </w:t>
      </w:r>
      <w:proofErr w:type="spellStart"/>
      <w:r w:rsidR="004D4468" w:rsidRPr="007C28EC">
        <w:rPr>
          <w:rFonts w:ascii="Arial" w:hAnsi="Arial" w:cs="Arial"/>
          <w:sz w:val="24"/>
        </w:rPr>
        <w:t>Atrill</w:t>
      </w:r>
      <w:proofErr w:type="spellEnd"/>
      <w:r w:rsidR="004D4468" w:rsidRPr="007C28EC">
        <w:rPr>
          <w:rFonts w:ascii="Arial" w:hAnsi="Arial" w:cs="Arial"/>
          <w:sz w:val="24"/>
        </w:rPr>
        <w:t xml:space="preserve"> and </w:t>
      </w:r>
      <w:proofErr w:type="spellStart"/>
      <w:r w:rsidR="004D4468" w:rsidRPr="007C28EC">
        <w:rPr>
          <w:rFonts w:ascii="Arial" w:hAnsi="Arial" w:cs="Arial"/>
          <w:sz w:val="24"/>
        </w:rPr>
        <w:t>McLaney</w:t>
      </w:r>
      <w:proofErr w:type="spellEnd"/>
      <w:r w:rsidR="004D4468" w:rsidRPr="007C28EC">
        <w:rPr>
          <w:rFonts w:ascii="Arial" w:hAnsi="Arial" w:cs="Arial"/>
          <w:sz w:val="24"/>
        </w:rPr>
        <w:t>, 2024).</w:t>
      </w:r>
    </w:p>
    <w:p w14:paraId="58B1F79F" w14:textId="77777777" w:rsidR="004C618C" w:rsidRPr="007C28EC" w:rsidRDefault="004C618C" w:rsidP="007C28EC">
      <w:pPr>
        <w:pStyle w:val="Heading2"/>
        <w:spacing w:after="240"/>
        <w:rPr>
          <w:color w:val="auto"/>
        </w:rPr>
      </w:pPr>
      <w:bookmarkStart w:id="30" w:name="_Toc217195876"/>
      <w:r w:rsidRPr="007C28EC">
        <w:rPr>
          <w:color w:val="auto"/>
        </w:rPr>
        <w:t>3.2 Financial Restructuring Objectives.</w:t>
      </w:r>
      <w:bookmarkEnd w:id="30"/>
    </w:p>
    <w:p w14:paraId="3E757D22" w14:textId="77777777" w:rsidR="004C618C" w:rsidRPr="007C28EC" w:rsidRDefault="004C618C" w:rsidP="007C28EC">
      <w:pPr>
        <w:spacing w:after="240" w:line="360" w:lineRule="auto"/>
        <w:jc w:val="both"/>
        <w:rPr>
          <w:rFonts w:ascii="Arial" w:hAnsi="Arial" w:cs="Arial"/>
          <w:sz w:val="24"/>
        </w:rPr>
      </w:pPr>
      <w:r w:rsidRPr="007C28EC">
        <w:rPr>
          <w:rFonts w:ascii="Arial" w:hAnsi="Arial" w:cs="Arial"/>
          <w:sz w:val="24"/>
        </w:rPr>
        <w:t>The main aims of restructur</w:t>
      </w:r>
      <w:r w:rsidR="004D4468" w:rsidRPr="007C28EC">
        <w:rPr>
          <w:rFonts w:ascii="Arial" w:hAnsi="Arial" w:cs="Arial"/>
          <w:sz w:val="24"/>
        </w:rPr>
        <w:t>ing plan include the following:</w:t>
      </w:r>
    </w:p>
    <w:p w14:paraId="3C4E4A2F" w14:textId="77777777" w:rsidR="004C618C" w:rsidRPr="007C28EC" w:rsidRDefault="004D4468" w:rsidP="00742C85">
      <w:pPr>
        <w:pStyle w:val="ListParagraph"/>
        <w:numPr>
          <w:ilvl w:val="0"/>
          <w:numId w:val="23"/>
        </w:numPr>
        <w:spacing w:line="360" w:lineRule="auto"/>
        <w:jc w:val="both"/>
        <w:rPr>
          <w:rFonts w:ascii="Arial" w:hAnsi="Arial" w:cs="Arial"/>
          <w:b/>
          <w:sz w:val="24"/>
        </w:rPr>
      </w:pPr>
      <w:r w:rsidRPr="007C28EC">
        <w:rPr>
          <w:rFonts w:ascii="Arial" w:hAnsi="Arial" w:cs="Arial"/>
          <w:b/>
          <w:sz w:val="24"/>
        </w:rPr>
        <w:t xml:space="preserve">Reduce Financial Difficulties: </w:t>
      </w:r>
      <w:r w:rsidR="004C618C" w:rsidRPr="007C28EC">
        <w:rPr>
          <w:rFonts w:ascii="Arial" w:hAnsi="Arial" w:cs="Arial"/>
          <w:sz w:val="24"/>
        </w:rPr>
        <w:t xml:space="preserve">General Electronics has had a high leverage, negative operating and net margin, and decreasing cash flows. Reorganisation will help in </w:t>
      </w:r>
      <w:r w:rsidR="004C618C" w:rsidRPr="007C28EC">
        <w:rPr>
          <w:rFonts w:ascii="Arial" w:hAnsi="Arial" w:cs="Arial"/>
          <w:b/>
          <w:sz w:val="24"/>
        </w:rPr>
        <w:t>eliminating bankruptcy risk and stabilise the financial status of the firm.</w:t>
      </w:r>
    </w:p>
    <w:p w14:paraId="2280B5D5" w14:textId="77777777" w:rsidR="004C618C" w:rsidRPr="007C28EC" w:rsidRDefault="004C618C" w:rsidP="00742C85">
      <w:pPr>
        <w:pStyle w:val="ListParagraph"/>
        <w:numPr>
          <w:ilvl w:val="0"/>
          <w:numId w:val="23"/>
        </w:numPr>
        <w:spacing w:line="360" w:lineRule="auto"/>
        <w:jc w:val="both"/>
        <w:rPr>
          <w:rFonts w:ascii="Arial" w:hAnsi="Arial" w:cs="Arial"/>
          <w:b/>
          <w:sz w:val="24"/>
        </w:rPr>
      </w:pPr>
      <w:r w:rsidRPr="007C28EC">
        <w:rPr>
          <w:rFonts w:ascii="Arial" w:hAnsi="Arial" w:cs="Arial"/>
          <w:b/>
          <w:sz w:val="24"/>
        </w:rPr>
        <w:t xml:space="preserve">Revive Cash Flow </w:t>
      </w:r>
      <w:r w:rsidR="004D4468" w:rsidRPr="007C28EC">
        <w:rPr>
          <w:rFonts w:ascii="Arial" w:hAnsi="Arial" w:cs="Arial"/>
          <w:b/>
          <w:sz w:val="24"/>
        </w:rPr>
        <w:t xml:space="preserve">and Operating Room Flexibility: </w:t>
      </w:r>
      <w:r w:rsidRPr="007C28EC">
        <w:rPr>
          <w:rFonts w:ascii="Arial" w:hAnsi="Arial" w:cs="Arial"/>
          <w:sz w:val="24"/>
        </w:rPr>
        <w:t>It will enable the firm to sustain an adequate cash flow to fund its operations and strategic initiatives without depending heavily on expensive borrowing, through enhancing working capital efficiency, debt restructuring and adding equity.</w:t>
      </w:r>
    </w:p>
    <w:p w14:paraId="3ECC6E2B" w14:textId="77777777" w:rsidR="004C618C" w:rsidRPr="007C28EC" w:rsidRDefault="004D4468" w:rsidP="00742C85">
      <w:pPr>
        <w:pStyle w:val="ListParagraph"/>
        <w:numPr>
          <w:ilvl w:val="0"/>
          <w:numId w:val="23"/>
        </w:numPr>
        <w:spacing w:line="360" w:lineRule="auto"/>
        <w:jc w:val="both"/>
        <w:rPr>
          <w:rFonts w:ascii="Arial" w:hAnsi="Arial" w:cs="Arial"/>
          <w:b/>
          <w:sz w:val="24"/>
        </w:rPr>
      </w:pPr>
      <w:r w:rsidRPr="007C28EC">
        <w:rPr>
          <w:rFonts w:ascii="Arial" w:hAnsi="Arial" w:cs="Arial"/>
          <w:b/>
          <w:sz w:val="24"/>
        </w:rPr>
        <w:t xml:space="preserve">Optimise Capital Structure: </w:t>
      </w:r>
      <w:r w:rsidR="004C618C" w:rsidRPr="007C28EC">
        <w:rPr>
          <w:rFonts w:ascii="Arial" w:hAnsi="Arial" w:cs="Arial"/>
          <w:sz w:val="24"/>
        </w:rPr>
        <w:t xml:space="preserve">The combination of both debt and equity will lower the weighted average cost of capital </w:t>
      </w:r>
      <w:r w:rsidR="007C28EC" w:rsidRPr="007C28EC">
        <w:rPr>
          <w:rFonts w:ascii="Arial" w:hAnsi="Arial" w:cs="Arial"/>
          <w:sz w:val="24"/>
        </w:rPr>
        <w:t>(WACC</w:t>
      </w:r>
      <w:r w:rsidR="004C618C" w:rsidRPr="007C28EC">
        <w:rPr>
          <w:rFonts w:ascii="Arial" w:hAnsi="Arial" w:cs="Arial"/>
          <w:sz w:val="24"/>
        </w:rPr>
        <w:t>) and increase the measure of solvency, which will increase investor confidence.</w:t>
      </w:r>
    </w:p>
    <w:p w14:paraId="43AB2D87" w14:textId="77777777" w:rsidR="004C618C" w:rsidRPr="007C28EC" w:rsidRDefault="004D4468" w:rsidP="00742C85">
      <w:pPr>
        <w:pStyle w:val="ListParagraph"/>
        <w:numPr>
          <w:ilvl w:val="0"/>
          <w:numId w:val="23"/>
        </w:numPr>
        <w:spacing w:line="360" w:lineRule="auto"/>
        <w:jc w:val="both"/>
        <w:rPr>
          <w:rFonts w:ascii="Arial" w:hAnsi="Arial" w:cs="Arial"/>
          <w:b/>
          <w:sz w:val="24"/>
        </w:rPr>
      </w:pPr>
      <w:r w:rsidRPr="007C28EC">
        <w:rPr>
          <w:rFonts w:ascii="Arial" w:hAnsi="Arial" w:cs="Arial"/>
          <w:b/>
          <w:sz w:val="24"/>
        </w:rPr>
        <w:t xml:space="preserve">Enhance Shareholder Value: </w:t>
      </w:r>
      <w:r w:rsidR="004C618C" w:rsidRPr="007C28EC">
        <w:rPr>
          <w:rFonts w:ascii="Arial" w:hAnsi="Arial" w:cs="Arial"/>
          <w:sz w:val="24"/>
        </w:rPr>
        <w:t>Strategic restructuring seeks to recreate profitability, regain returns on equity, and enhance market image, which creates long-term sustainable value.</w:t>
      </w:r>
    </w:p>
    <w:p w14:paraId="18FE7FF1" w14:textId="77777777" w:rsidR="004C618C" w:rsidRPr="007C28EC" w:rsidRDefault="004C618C" w:rsidP="007C28EC">
      <w:pPr>
        <w:pStyle w:val="Heading2"/>
        <w:spacing w:after="240"/>
        <w:rPr>
          <w:color w:val="auto"/>
        </w:rPr>
      </w:pPr>
      <w:bookmarkStart w:id="31" w:name="_Toc217195877"/>
      <w:r w:rsidRPr="007C28EC">
        <w:rPr>
          <w:color w:val="auto"/>
        </w:rPr>
        <w:t>3.3 Restructuring Options</w:t>
      </w:r>
      <w:bookmarkEnd w:id="31"/>
    </w:p>
    <w:p w14:paraId="767F099A" w14:textId="77777777" w:rsidR="004C618C" w:rsidRPr="007C28EC" w:rsidRDefault="004C618C" w:rsidP="007C28EC">
      <w:pPr>
        <w:pStyle w:val="Heading3"/>
        <w:spacing w:after="240"/>
        <w:rPr>
          <w:color w:val="auto"/>
        </w:rPr>
      </w:pPr>
      <w:bookmarkStart w:id="32" w:name="_Toc217195878"/>
      <w:r w:rsidRPr="007C28EC">
        <w:rPr>
          <w:color w:val="auto"/>
        </w:rPr>
        <w:t>3.3.1 Debt Restructuring</w:t>
      </w:r>
      <w:bookmarkEnd w:id="32"/>
    </w:p>
    <w:p w14:paraId="02A05CF9" w14:textId="77777777" w:rsidR="004C618C" w:rsidRPr="007C28EC" w:rsidRDefault="004C618C" w:rsidP="007C28EC">
      <w:pPr>
        <w:spacing w:after="240" w:line="360" w:lineRule="auto"/>
        <w:jc w:val="both"/>
        <w:rPr>
          <w:rFonts w:ascii="Arial" w:hAnsi="Arial" w:cs="Arial"/>
          <w:sz w:val="24"/>
        </w:rPr>
      </w:pPr>
      <w:r w:rsidRPr="007C28EC">
        <w:rPr>
          <w:rFonts w:ascii="Arial" w:hAnsi="Arial" w:cs="Arial"/>
          <w:sz w:val="24"/>
        </w:rPr>
        <w:t>Restructuring of debt is important in alleviating financial burden that is brought about by high leverage and negative interest</w:t>
      </w:r>
      <w:r w:rsidR="004D4468" w:rsidRPr="007C28EC">
        <w:rPr>
          <w:rFonts w:ascii="Arial" w:hAnsi="Arial" w:cs="Arial"/>
          <w:sz w:val="24"/>
        </w:rPr>
        <w:t xml:space="preserve"> cover ratios. Options include:</w:t>
      </w:r>
    </w:p>
    <w:p w14:paraId="5D1B71E1" w14:textId="77777777" w:rsidR="004C618C" w:rsidRPr="007C28EC" w:rsidRDefault="004C618C" w:rsidP="00742C85">
      <w:pPr>
        <w:pStyle w:val="ListParagraph"/>
        <w:numPr>
          <w:ilvl w:val="0"/>
          <w:numId w:val="24"/>
        </w:numPr>
        <w:spacing w:line="360" w:lineRule="auto"/>
        <w:jc w:val="both"/>
        <w:rPr>
          <w:rFonts w:ascii="Arial" w:hAnsi="Arial" w:cs="Arial"/>
          <w:sz w:val="24"/>
        </w:rPr>
      </w:pPr>
      <w:r w:rsidRPr="007C28EC">
        <w:rPr>
          <w:rFonts w:ascii="Arial" w:hAnsi="Arial" w:cs="Arial"/>
          <w:b/>
          <w:sz w:val="24"/>
        </w:rPr>
        <w:t>Debt Refinancing:</w:t>
      </w:r>
      <w:r w:rsidRPr="007C28EC">
        <w:rPr>
          <w:rFonts w:ascii="Arial" w:hAnsi="Arial" w:cs="Arial"/>
          <w:sz w:val="24"/>
        </w:rPr>
        <w:t xml:space="preserve"> Negotiating with debt holders to increase maturities or reduce interest rates or consolidating debt would help lower short-term cash flows, enhance interest coverage, and </w:t>
      </w:r>
      <w:r w:rsidR="004D4468" w:rsidRPr="007C28EC">
        <w:rPr>
          <w:rFonts w:ascii="Arial" w:hAnsi="Arial" w:cs="Arial"/>
          <w:sz w:val="24"/>
        </w:rPr>
        <w:t>buy time to recover operations.</w:t>
      </w:r>
    </w:p>
    <w:p w14:paraId="00ECB224" w14:textId="77777777" w:rsidR="004C618C" w:rsidRPr="007C28EC" w:rsidRDefault="004C618C" w:rsidP="00742C85">
      <w:pPr>
        <w:pStyle w:val="ListParagraph"/>
        <w:numPr>
          <w:ilvl w:val="0"/>
          <w:numId w:val="24"/>
        </w:numPr>
        <w:spacing w:line="360" w:lineRule="auto"/>
        <w:jc w:val="both"/>
        <w:rPr>
          <w:rFonts w:ascii="Arial" w:hAnsi="Arial" w:cs="Arial"/>
          <w:sz w:val="24"/>
        </w:rPr>
      </w:pPr>
      <w:r w:rsidRPr="007C28EC">
        <w:rPr>
          <w:rFonts w:ascii="Arial" w:hAnsi="Arial" w:cs="Arial"/>
          <w:b/>
          <w:sz w:val="24"/>
        </w:rPr>
        <w:t>Debt-for-Equity Swaps:</w:t>
      </w:r>
      <w:r w:rsidRPr="007C28EC">
        <w:rPr>
          <w:rFonts w:ascii="Arial" w:hAnsi="Arial" w:cs="Arial"/>
          <w:sz w:val="24"/>
        </w:rPr>
        <w:t xml:space="preserve"> A part of the debt can be converted into equity and thereby less interest will be paid and debt to equity will reduce the leverage and will enhance the solvency ratios and the shareholder confidence will be increased. </w:t>
      </w:r>
    </w:p>
    <w:p w14:paraId="137ABAB0" w14:textId="77777777" w:rsidR="004C618C" w:rsidRPr="007C28EC" w:rsidRDefault="004C618C" w:rsidP="004C618C">
      <w:pPr>
        <w:spacing w:line="360" w:lineRule="auto"/>
        <w:jc w:val="both"/>
        <w:rPr>
          <w:rFonts w:ascii="Arial" w:hAnsi="Arial" w:cs="Arial"/>
          <w:sz w:val="24"/>
        </w:rPr>
      </w:pPr>
      <w:r w:rsidRPr="007C28EC">
        <w:rPr>
          <w:rFonts w:ascii="Arial" w:hAnsi="Arial" w:cs="Arial"/>
          <w:b/>
          <w:sz w:val="24"/>
        </w:rPr>
        <w:t>Impact:</w:t>
      </w:r>
      <w:r w:rsidRPr="007C28EC">
        <w:rPr>
          <w:rFonts w:ascii="Arial" w:hAnsi="Arial" w:cs="Arial"/>
          <w:sz w:val="24"/>
        </w:rPr>
        <w:t xml:space="preserve"> The measures enhance liquidity, lower the risks of bankruptcy, and portray proactive financial managem</w:t>
      </w:r>
      <w:r w:rsidR="004D4468" w:rsidRPr="007C28EC">
        <w:rPr>
          <w:rFonts w:ascii="Arial" w:hAnsi="Arial" w:cs="Arial"/>
          <w:sz w:val="24"/>
        </w:rPr>
        <w:t>ent to creditors and investors.</w:t>
      </w:r>
    </w:p>
    <w:p w14:paraId="6658C0D6" w14:textId="77777777" w:rsidR="004C618C" w:rsidRPr="007C28EC" w:rsidRDefault="004C618C" w:rsidP="007C28EC">
      <w:pPr>
        <w:pStyle w:val="Heading3"/>
        <w:spacing w:after="240"/>
        <w:rPr>
          <w:color w:val="auto"/>
        </w:rPr>
      </w:pPr>
      <w:bookmarkStart w:id="33" w:name="_Toc217195879"/>
      <w:r w:rsidRPr="007C28EC">
        <w:rPr>
          <w:color w:val="auto"/>
        </w:rPr>
        <w:t>3.3.2 Equity Injection</w:t>
      </w:r>
      <w:bookmarkEnd w:id="33"/>
    </w:p>
    <w:p w14:paraId="75EAC158" w14:textId="77777777" w:rsidR="004C618C" w:rsidRPr="007C28EC" w:rsidRDefault="004C618C" w:rsidP="007C28EC">
      <w:pPr>
        <w:spacing w:after="240" w:line="360" w:lineRule="auto"/>
        <w:jc w:val="both"/>
        <w:rPr>
          <w:rFonts w:ascii="Arial" w:hAnsi="Arial" w:cs="Arial"/>
          <w:sz w:val="24"/>
        </w:rPr>
      </w:pPr>
      <w:r w:rsidRPr="007C28EC">
        <w:rPr>
          <w:rFonts w:ascii="Arial" w:hAnsi="Arial" w:cs="Arial"/>
          <w:sz w:val="24"/>
        </w:rPr>
        <w:t>The equity financing enhances the capital base of the firm and contributes to liquidity to fund operations a</w:t>
      </w:r>
      <w:r w:rsidR="004D4468" w:rsidRPr="007C28EC">
        <w:rPr>
          <w:rFonts w:ascii="Arial" w:hAnsi="Arial" w:cs="Arial"/>
          <w:sz w:val="24"/>
        </w:rPr>
        <w:t>nd strategies. Options include:</w:t>
      </w:r>
    </w:p>
    <w:p w14:paraId="4A084F45" w14:textId="77777777" w:rsidR="004C618C" w:rsidRPr="007C28EC" w:rsidRDefault="004C618C" w:rsidP="00742C85">
      <w:pPr>
        <w:pStyle w:val="ListParagraph"/>
        <w:numPr>
          <w:ilvl w:val="0"/>
          <w:numId w:val="25"/>
        </w:numPr>
        <w:spacing w:line="360" w:lineRule="auto"/>
        <w:jc w:val="both"/>
        <w:rPr>
          <w:rFonts w:ascii="Arial" w:hAnsi="Arial" w:cs="Arial"/>
          <w:sz w:val="24"/>
        </w:rPr>
      </w:pPr>
      <w:r w:rsidRPr="007C28EC">
        <w:rPr>
          <w:rFonts w:ascii="Arial" w:hAnsi="Arial" w:cs="Arial"/>
          <w:b/>
          <w:sz w:val="24"/>
        </w:rPr>
        <w:t>Rights Issues:</w:t>
      </w:r>
      <w:r w:rsidRPr="007C28EC">
        <w:rPr>
          <w:rFonts w:ascii="Arial" w:hAnsi="Arial" w:cs="Arial"/>
          <w:sz w:val="24"/>
        </w:rPr>
        <w:t xml:space="preserve"> The current shareholders are given the option of acquiring shares which allow the current shareholders to retain their proportional ownership in the co</w:t>
      </w:r>
      <w:r w:rsidR="004D4468" w:rsidRPr="007C28EC">
        <w:rPr>
          <w:rFonts w:ascii="Arial" w:hAnsi="Arial" w:cs="Arial"/>
          <w:sz w:val="24"/>
        </w:rPr>
        <w:t>mpany whilst providing capital.</w:t>
      </w:r>
    </w:p>
    <w:p w14:paraId="3BD5DF1C" w14:textId="77777777" w:rsidR="004C618C" w:rsidRPr="007C28EC" w:rsidRDefault="004C618C" w:rsidP="00742C85">
      <w:pPr>
        <w:pStyle w:val="ListParagraph"/>
        <w:numPr>
          <w:ilvl w:val="0"/>
          <w:numId w:val="25"/>
        </w:numPr>
        <w:spacing w:line="360" w:lineRule="auto"/>
        <w:jc w:val="both"/>
        <w:rPr>
          <w:rFonts w:ascii="Arial" w:hAnsi="Arial" w:cs="Arial"/>
          <w:sz w:val="24"/>
        </w:rPr>
      </w:pPr>
      <w:r w:rsidRPr="007C28EC">
        <w:rPr>
          <w:rFonts w:ascii="Arial" w:hAnsi="Arial" w:cs="Arial"/>
          <w:b/>
          <w:sz w:val="24"/>
        </w:rPr>
        <w:t>Private Placements or Strategic Investors:</w:t>
      </w:r>
      <w:r w:rsidRPr="007C28EC">
        <w:rPr>
          <w:rFonts w:ascii="Arial" w:hAnsi="Arial" w:cs="Arial"/>
          <w:sz w:val="24"/>
        </w:rPr>
        <w:t xml:space="preserve"> Institutional or Strategic investors will provide a source of c</w:t>
      </w:r>
      <w:r w:rsidR="004D4468" w:rsidRPr="007C28EC">
        <w:rPr>
          <w:rFonts w:ascii="Arial" w:hAnsi="Arial" w:cs="Arial"/>
          <w:sz w:val="24"/>
        </w:rPr>
        <w:t>apital and industry experience.</w:t>
      </w:r>
    </w:p>
    <w:p w14:paraId="16DD153C" w14:textId="77777777" w:rsidR="004C618C" w:rsidRPr="007C28EC" w:rsidRDefault="004C618C" w:rsidP="004D4468">
      <w:pPr>
        <w:pStyle w:val="Heading3"/>
        <w:rPr>
          <w:color w:val="auto"/>
        </w:rPr>
      </w:pPr>
      <w:bookmarkStart w:id="34" w:name="_Toc217195880"/>
      <w:r w:rsidRPr="007C28EC">
        <w:rPr>
          <w:color w:val="auto"/>
        </w:rPr>
        <w:t>3.3.3 Dive sales and Rationalisation of assets.</w:t>
      </w:r>
      <w:bookmarkEnd w:id="34"/>
    </w:p>
    <w:p w14:paraId="3A844D07" w14:textId="77777777" w:rsidR="004C618C" w:rsidRPr="007C28EC" w:rsidRDefault="004C618C" w:rsidP="007C28EC">
      <w:pPr>
        <w:spacing w:before="240" w:line="360" w:lineRule="auto"/>
        <w:jc w:val="both"/>
        <w:rPr>
          <w:rFonts w:ascii="Arial" w:hAnsi="Arial" w:cs="Arial"/>
          <w:sz w:val="24"/>
        </w:rPr>
      </w:pPr>
      <w:r w:rsidRPr="007C28EC">
        <w:rPr>
          <w:rFonts w:ascii="Arial" w:hAnsi="Arial" w:cs="Arial"/>
          <w:sz w:val="24"/>
        </w:rPr>
        <w:t>The sale of unrelated or performing business units would provide cash to settle off debt, or invest back in the operations that</w:t>
      </w:r>
      <w:r w:rsidR="004D4468" w:rsidRPr="007C28EC">
        <w:rPr>
          <w:rFonts w:ascii="Arial" w:hAnsi="Arial" w:cs="Arial"/>
          <w:sz w:val="24"/>
        </w:rPr>
        <w:t xml:space="preserve"> are profitable. Steps include:</w:t>
      </w:r>
    </w:p>
    <w:p w14:paraId="008BE229" w14:textId="77777777" w:rsidR="004C618C" w:rsidRPr="007C28EC" w:rsidRDefault="004C618C" w:rsidP="00742C85">
      <w:pPr>
        <w:pStyle w:val="ListParagraph"/>
        <w:numPr>
          <w:ilvl w:val="0"/>
          <w:numId w:val="26"/>
        </w:numPr>
        <w:spacing w:line="360" w:lineRule="auto"/>
        <w:jc w:val="both"/>
        <w:rPr>
          <w:rFonts w:ascii="Arial" w:hAnsi="Arial" w:cs="Arial"/>
          <w:sz w:val="24"/>
        </w:rPr>
      </w:pPr>
      <w:r w:rsidRPr="007C28EC">
        <w:rPr>
          <w:rFonts w:ascii="Arial" w:hAnsi="Arial" w:cs="Arial"/>
          <w:b/>
          <w:sz w:val="24"/>
        </w:rPr>
        <w:t>Non-Core Assets:</w:t>
      </w:r>
      <w:r w:rsidRPr="007C28EC">
        <w:rPr>
          <w:rFonts w:ascii="Arial" w:hAnsi="Arial" w:cs="Arial"/>
          <w:sz w:val="24"/>
        </w:rPr>
        <w:t xml:space="preserve"> Units that have low returns, are highly main</w:t>
      </w:r>
      <w:r w:rsidR="004D4468" w:rsidRPr="007C28EC">
        <w:rPr>
          <w:rFonts w:ascii="Arial" w:hAnsi="Arial" w:cs="Arial"/>
          <w:sz w:val="24"/>
        </w:rPr>
        <w:t>tained or lack strategic value.</w:t>
      </w:r>
    </w:p>
    <w:p w14:paraId="116FDF7E" w14:textId="77777777" w:rsidR="004C618C" w:rsidRPr="007C28EC" w:rsidRDefault="004C618C" w:rsidP="00742C85">
      <w:pPr>
        <w:pStyle w:val="ListParagraph"/>
        <w:numPr>
          <w:ilvl w:val="0"/>
          <w:numId w:val="26"/>
        </w:numPr>
        <w:spacing w:line="360" w:lineRule="auto"/>
        <w:jc w:val="both"/>
        <w:rPr>
          <w:rFonts w:ascii="Arial" w:hAnsi="Arial" w:cs="Arial"/>
          <w:sz w:val="24"/>
        </w:rPr>
      </w:pPr>
      <w:r w:rsidRPr="007C28EC">
        <w:rPr>
          <w:rFonts w:ascii="Arial" w:hAnsi="Arial" w:cs="Arial"/>
          <w:b/>
          <w:sz w:val="24"/>
        </w:rPr>
        <w:t>Sale or Leaseback of Assets:</w:t>
      </w:r>
      <w:r w:rsidRPr="007C28EC">
        <w:rPr>
          <w:rFonts w:ascii="Arial" w:hAnsi="Arial" w:cs="Arial"/>
          <w:sz w:val="24"/>
        </w:rPr>
        <w:t xml:space="preserve"> Turning fixed assets into cash and not disposing of them, but contin</w:t>
      </w:r>
      <w:r w:rsidR="004D4468" w:rsidRPr="007C28EC">
        <w:rPr>
          <w:rFonts w:ascii="Arial" w:hAnsi="Arial" w:cs="Arial"/>
          <w:sz w:val="24"/>
        </w:rPr>
        <w:t>uing to use them when feasible.</w:t>
      </w:r>
    </w:p>
    <w:p w14:paraId="0BDD98C7" w14:textId="77777777" w:rsidR="004C618C" w:rsidRPr="007C28EC" w:rsidRDefault="004C618C" w:rsidP="004C618C">
      <w:pPr>
        <w:spacing w:line="360" w:lineRule="auto"/>
        <w:jc w:val="both"/>
        <w:rPr>
          <w:rFonts w:ascii="Arial" w:hAnsi="Arial" w:cs="Arial"/>
          <w:sz w:val="24"/>
        </w:rPr>
      </w:pPr>
      <w:r w:rsidRPr="007C28EC">
        <w:rPr>
          <w:rFonts w:ascii="Arial" w:hAnsi="Arial" w:cs="Arial"/>
          <w:b/>
          <w:sz w:val="24"/>
        </w:rPr>
        <w:t>Impact:</w:t>
      </w:r>
      <w:r w:rsidRPr="007C28EC">
        <w:rPr>
          <w:rFonts w:ascii="Arial" w:hAnsi="Arial" w:cs="Arial"/>
          <w:sz w:val="24"/>
        </w:rPr>
        <w:t xml:space="preserve"> Divestitures concentrate on profitable areas, enhance operational activities and raise capital to clear debt </w:t>
      </w:r>
      <w:r w:rsidR="004D4468" w:rsidRPr="007C28EC">
        <w:rPr>
          <w:rFonts w:ascii="Arial" w:hAnsi="Arial" w:cs="Arial"/>
          <w:sz w:val="24"/>
        </w:rPr>
        <w:t>and fund strategic initiatives.</w:t>
      </w:r>
    </w:p>
    <w:p w14:paraId="4F3ACB84" w14:textId="77777777" w:rsidR="004C618C" w:rsidRPr="007C28EC" w:rsidRDefault="004C618C" w:rsidP="004C618C">
      <w:pPr>
        <w:spacing w:line="360" w:lineRule="auto"/>
        <w:jc w:val="both"/>
        <w:rPr>
          <w:rFonts w:ascii="Arial" w:hAnsi="Arial" w:cs="Arial"/>
          <w:sz w:val="24"/>
        </w:rPr>
      </w:pPr>
      <w:r w:rsidRPr="007C28EC">
        <w:rPr>
          <w:rFonts w:ascii="Arial" w:hAnsi="Arial" w:cs="Arial"/>
          <w:sz w:val="24"/>
        </w:rPr>
        <w:t>Mergers/strategic partnerships may help achieve competitiveness, economies of scale, and technological competences without incurring the entire expense of development internally. Considera</w:t>
      </w:r>
      <w:r w:rsidR="004D4468" w:rsidRPr="007C28EC">
        <w:rPr>
          <w:rFonts w:ascii="Arial" w:hAnsi="Arial" w:cs="Arial"/>
          <w:sz w:val="24"/>
        </w:rPr>
        <w:t>tions include:</w:t>
      </w:r>
    </w:p>
    <w:p w14:paraId="1D9E7882" w14:textId="77777777" w:rsidR="004C618C" w:rsidRPr="007C28EC" w:rsidRDefault="004C618C" w:rsidP="00742C85">
      <w:pPr>
        <w:pStyle w:val="ListParagraph"/>
        <w:numPr>
          <w:ilvl w:val="0"/>
          <w:numId w:val="27"/>
        </w:numPr>
        <w:spacing w:line="360" w:lineRule="auto"/>
        <w:jc w:val="both"/>
        <w:rPr>
          <w:rFonts w:ascii="Arial" w:hAnsi="Arial" w:cs="Arial"/>
          <w:sz w:val="24"/>
        </w:rPr>
      </w:pPr>
      <w:r w:rsidRPr="007C28EC">
        <w:rPr>
          <w:rFonts w:ascii="Arial" w:hAnsi="Arial" w:cs="Arial"/>
          <w:b/>
          <w:sz w:val="24"/>
        </w:rPr>
        <w:t>Synergies:</w:t>
      </w:r>
      <w:r w:rsidRPr="007C28EC">
        <w:rPr>
          <w:rFonts w:ascii="Arial" w:hAnsi="Arial" w:cs="Arial"/>
          <w:sz w:val="24"/>
        </w:rPr>
        <w:t xml:space="preserve"> Saving by unifie</w:t>
      </w:r>
      <w:r w:rsidR="004D4468" w:rsidRPr="007C28EC">
        <w:rPr>
          <w:rFonts w:ascii="Arial" w:hAnsi="Arial" w:cs="Arial"/>
          <w:sz w:val="24"/>
        </w:rPr>
        <w:t>d work and purchasing strength.</w:t>
      </w:r>
    </w:p>
    <w:p w14:paraId="6381E486" w14:textId="77777777" w:rsidR="004C618C" w:rsidRPr="007C28EC" w:rsidRDefault="004C618C" w:rsidP="00742C85">
      <w:pPr>
        <w:pStyle w:val="ListParagraph"/>
        <w:numPr>
          <w:ilvl w:val="0"/>
          <w:numId w:val="27"/>
        </w:numPr>
        <w:spacing w:line="360" w:lineRule="auto"/>
        <w:jc w:val="both"/>
        <w:rPr>
          <w:rFonts w:ascii="Arial" w:hAnsi="Arial" w:cs="Arial"/>
          <w:sz w:val="24"/>
        </w:rPr>
      </w:pPr>
      <w:r w:rsidRPr="007C28EC">
        <w:rPr>
          <w:rFonts w:ascii="Arial" w:hAnsi="Arial" w:cs="Arial"/>
          <w:b/>
          <w:sz w:val="24"/>
        </w:rPr>
        <w:t>International Growth:</w:t>
      </w:r>
      <w:r w:rsidRPr="007C28EC">
        <w:rPr>
          <w:rFonts w:ascii="Arial" w:hAnsi="Arial" w:cs="Arial"/>
          <w:sz w:val="24"/>
        </w:rPr>
        <w:t xml:space="preserve"> The availability of new m</w:t>
      </w:r>
      <w:r w:rsidR="004D4468" w:rsidRPr="007C28EC">
        <w:rPr>
          <w:rFonts w:ascii="Arial" w:hAnsi="Arial" w:cs="Arial"/>
          <w:sz w:val="24"/>
        </w:rPr>
        <w:t>arkets, customers and channels.</w:t>
      </w:r>
    </w:p>
    <w:p w14:paraId="0928C598" w14:textId="77777777" w:rsidR="004C618C" w:rsidRPr="007C28EC" w:rsidRDefault="004C618C" w:rsidP="00742C85">
      <w:pPr>
        <w:pStyle w:val="ListParagraph"/>
        <w:numPr>
          <w:ilvl w:val="0"/>
          <w:numId w:val="27"/>
        </w:numPr>
        <w:spacing w:line="360" w:lineRule="auto"/>
        <w:jc w:val="both"/>
        <w:rPr>
          <w:rFonts w:ascii="Arial" w:hAnsi="Arial" w:cs="Arial"/>
          <w:sz w:val="24"/>
        </w:rPr>
      </w:pPr>
      <w:r w:rsidRPr="007C28EC">
        <w:rPr>
          <w:rFonts w:ascii="Arial" w:hAnsi="Arial" w:cs="Arial"/>
          <w:b/>
          <w:sz w:val="24"/>
        </w:rPr>
        <w:t>Risk Sharing:</w:t>
      </w:r>
      <w:r w:rsidRPr="007C28EC">
        <w:rPr>
          <w:rFonts w:ascii="Arial" w:hAnsi="Arial" w:cs="Arial"/>
          <w:sz w:val="24"/>
        </w:rPr>
        <w:t xml:space="preserve"> Strategic alliances provide an opportunity to share operational risks and investment c</w:t>
      </w:r>
      <w:r w:rsidR="004D4468" w:rsidRPr="007C28EC">
        <w:rPr>
          <w:rFonts w:ascii="Arial" w:hAnsi="Arial" w:cs="Arial"/>
          <w:sz w:val="24"/>
        </w:rPr>
        <w:t>osts.</w:t>
      </w:r>
    </w:p>
    <w:p w14:paraId="7C3114AF" w14:textId="77777777" w:rsidR="004C618C" w:rsidRPr="007C28EC" w:rsidRDefault="004C618C" w:rsidP="004C618C">
      <w:pPr>
        <w:spacing w:line="360" w:lineRule="auto"/>
        <w:jc w:val="both"/>
        <w:rPr>
          <w:rFonts w:ascii="Arial" w:hAnsi="Arial" w:cs="Arial"/>
          <w:sz w:val="24"/>
        </w:rPr>
      </w:pPr>
      <w:r w:rsidRPr="007C28EC">
        <w:rPr>
          <w:rFonts w:ascii="Arial" w:hAnsi="Arial" w:cs="Arial"/>
          <w:b/>
          <w:sz w:val="24"/>
        </w:rPr>
        <w:t>Issues:</w:t>
      </w:r>
      <w:r w:rsidRPr="007C28EC">
        <w:rPr>
          <w:rFonts w:ascii="Arial" w:hAnsi="Arial" w:cs="Arial"/>
          <w:sz w:val="24"/>
        </w:rPr>
        <w:t xml:space="preserve"> There are risks of integration, cultural, regulatory compliance, and strategic goal ali</w:t>
      </w:r>
      <w:r w:rsidR="004D4468" w:rsidRPr="007C28EC">
        <w:rPr>
          <w:rFonts w:ascii="Arial" w:hAnsi="Arial" w:cs="Arial"/>
          <w:sz w:val="24"/>
        </w:rPr>
        <w:t>gnment that have to be handled.</w:t>
      </w:r>
    </w:p>
    <w:p w14:paraId="01F36DD2" w14:textId="77777777" w:rsidR="004C618C" w:rsidRPr="007C28EC" w:rsidRDefault="004C618C" w:rsidP="004D4468">
      <w:pPr>
        <w:pStyle w:val="Heading2"/>
        <w:rPr>
          <w:color w:val="auto"/>
        </w:rPr>
      </w:pPr>
      <w:bookmarkStart w:id="35" w:name="_Toc217195881"/>
      <w:r w:rsidRPr="007C28EC">
        <w:rPr>
          <w:color w:val="auto"/>
        </w:rPr>
        <w:t>3.4 effects on the value of the shareholders and capital structure.</w:t>
      </w:r>
      <w:bookmarkEnd w:id="35"/>
    </w:p>
    <w:p w14:paraId="72C8C882" w14:textId="77777777" w:rsidR="004C618C" w:rsidRPr="007C28EC" w:rsidRDefault="004C618C" w:rsidP="007C28EC">
      <w:pPr>
        <w:spacing w:before="240" w:line="360" w:lineRule="auto"/>
        <w:jc w:val="both"/>
        <w:rPr>
          <w:rFonts w:ascii="Arial" w:hAnsi="Arial" w:cs="Arial"/>
          <w:sz w:val="24"/>
        </w:rPr>
      </w:pPr>
      <w:r w:rsidRPr="007C28EC">
        <w:rPr>
          <w:rFonts w:ascii="Arial" w:hAnsi="Arial" w:cs="Arial"/>
          <w:sz w:val="24"/>
        </w:rPr>
        <w:t>Shareholder Value: Once the debt is reduced and there is increased performance in the operations, the investor confidence is regained. When the restructuring results are positive, then the share prices are stabilised and</w:t>
      </w:r>
      <w:r w:rsidR="004D4468" w:rsidRPr="007C28EC">
        <w:rPr>
          <w:rFonts w:ascii="Arial" w:hAnsi="Arial" w:cs="Arial"/>
          <w:sz w:val="24"/>
        </w:rPr>
        <w:t xml:space="preserve"> long-term returns are boosted.</w:t>
      </w:r>
    </w:p>
    <w:p w14:paraId="1BC11E6A" w14:textId="77777777" w:rsidR="004C618C" w:rsidRPr="007C28EC" w:rsidRDefault="004C618C" w:rsidP="00742C85">
      <w:pPr>
        <w:pStyle w:val="ListParagraph"/>
        <w:numPr>
          <w:ilvl w:val="0"/>
          <w:numId w:val="28"/>
        </w:numPr>
        <w:spacing w:line="360" w:lineRule="auto"/>
        <w:jc w:val="both"/>
        <w:rPr>
          <w:rFonts w:ascii="Arial" w:hAnsi="Arial" w:cs="Arial"/>
          <w:sz w:val="24"/>
        </w:rPr>
      </w:pPr>
      <w:r w:rsidRPr="007C28EC">
        <w:rPr>
          <w:rFonts w:ascii="Arial" w:hAnsi="Arial" w:cs="Arial"/>
          <w:b/>
          <w:sz w:val="24"/>
        </w:rPr>
        <w:t>Debt Structure:</w:t>
      </w:r>
      <w:r w:rsidRPr="007C28EC">
        <w:rPr>
          <w:rFonts w:ascii="Arial" w:hAnsi="Arial" w:cs="Arial"/>
          <w:sz w:val="24"/>
        </w:rPr>
        <w:t xml:space="preserve"> Leverage is reduced which lowers interest costs and increases interest coverage leading t</w:t>
      </w:r>
      <w:r w:rsidR="004D4468" w:rsidRPr="007C28EC">
        <w:rPr>
          <w:rFonts w:ascii="Arial" w:hAnsi="Arial" w:cs="Arial"/>
          <w:sz w:val="24"/>
        </w:rPr>
        <w:t>o increased financial strength.</w:t>
      </w:r>
    </w:p>
    <w:p w14:paraId="5AB88439" w14:textId="77777777" w:rsidR="004C618C" w:rsidRPr="007C28EC" w:rsidRDefault="004C618C" w:rsidP="00742C85">
      <w:pPr>
        <w:pStyle w:val="ListParagraph"/>
        <w:numPr>
          <w:ilvl w:val="0"/>
          <w:numId w:val="28"/>
        </w:numPr>
        <w:spacing w:line="360" w:lineRule="auto"/>
        <w:jc w:val="both"/>
        <w:rPr>
          <w:rFonts w:ascii="Arial" w:hAnsi="Arial" w:cs="Arial"/>
          <w:sz w:val="24"/>
        </w:rPr>
      </w:pPr>
      <w:r w:rsidRPr="007C28EC">
        <w:rPr>
          <w:rFonts w:ascii="Arial" w:hAnsi="Arial" w:cs="Arial"/>
          <w:b/>
          <w:sz w:val="24"/>
        </w:rPr>
        <w:t>Operational Flexibility:</w:t>
      </w:r>
      <w:r w:rsidRPr="007C28EC">
        <w:rPr>
          <w:rFonts w:ascii="Arial" w:hAnsi="Arial" w:cs="Arial"/>
          <w:sz w:val="24"/>
        </w:rPr>
        <w:t xml:space="preserve"> Rationalisation of assets and the acquisition and maintenance of stable financing enables the firm to respond efficiently to market changes, invest into innovation and strategic growth.</w:t>
      </w:r>
    </w:p>
    <w:p w14:paraId="73B575FD" w14:textId="77777777" w:rsidR="004C618C" w:rsidRPr="007C28EC" w:rsidRDefault="004C618C" w:rsidP="007C28EC">
      <w:pPr>
        <w:pStyle w:val="Heading2"/>
        <w:spacing w:after="240"/>
        <w:rPr>
          <w:color w:val="auto"/>
        </w:rPr>
      </w:pPr>
      <w:bookmarkStart w:id="36" w:name="_Toc217195882"/>
      <w:r w:rsidRPr="007C28EC">
        <w:rPr>
          <w:color w:val="auto"/>
        </w:rPr>
        <w:t>3.5 International Multinational Factors in restructuring.</w:t>
      </w:r>
      <w:bookmarkEnd w:id="36"/>
    </w:p>
    <w:p w14:paraId="137C71B6" w14:textId="77777777" w:rsidR="004C618C" w:rsidRPr="007C28EC" w:rsidRDefault="004C618C" w:rsidP="00742C85">
      <w:pPr>
        <w:pStyle w:val="ListParagraph"/>
        <w:numPr>
          <w:ilvl w:val="0"/>
          <w:numId w:val="29"/>
        </w:numPr>
        <w:spacing w:after="240" w:line="360" w:lineRule="auto"/>
        <w:jc w:val="both"/>
        <w:rPr>
          <w:rFonts w:ascii="Arial" w:hAnsi="Arial" w:cs="Arial"/>
          <w:sz w:val="24"/>
        </w:rPr>
      </w:pPr>
      <w:r w:rsidRPr="007C28EC">
        <w:rPr>
          <w:rFonts w:ascii="Arial" w:hAnsi="Arial" w:cs="Arial"/>
          <w:b/>
          <w:sz w:val="24"/>
        </w:rPr>
        <w:t>Currency Risk:</w:t>
      </w:r>
      <w:r w:rsidRPr="007C28EC">
        <w:rPr>
          <w:rFonts w:ascii="Arial" w:hAnsi="Arial" w:cs="Arial"/>
          <w:sz w:val="24"/>
        </w:rPr>
        <w:t xml:space="preserve"> Financing, divestitures and operations of the firm in more than one country expose the firm to the changes in exchange rates as well. This risk can be reduced by he</w:t>
      </w:r>
      <w:r w:rsidR="004D4468" w:rsidRPr="007C28EC">
        <w:rPr>
          <w:rFonts w:ascii="Arial" w:hAnsi="Arial" w:cs="Arial"/>
          <w:sz w:val="24"/>
        </w:rPr>
        <w:t>dging schemes (forward, swaps).</w:t>
      </w:r>
    </w:p>
    <w:p w14:paraId="2822FDE7" w14:textId="77777777" w:rsidR="004C618C" w:rsidRPr="007C28EC" w:rsidRDefault="004C618C" w:rsidP="00742C85">
      <w:pPr>
        <w:pStyle w:val="ListParagraph"/>
        <w:numPr>
          <w:ilvl w:val="0"/>
          <w:numId w:val="29"/>
        </w:numPr>
        <w:spacing w:line="360" w:lineRule="auto"/>
        <w:jc w:val="both"/>
        <w:rPr>
          <w:rFonts w:ascii="Arial" w:hAnsi="Arial" w:cs="Arial"/>
          <w:sz w:val="24"/>
        </w:rPr>
      </w:pPr>
      <w:r w:rsidRPr="007C28EC">
        <w:rPr>
          <w:rFonts w:ascii="Arial" w:hAnsi="Arial" w:cs="Arial"/>
          <w:b/>
          <w:sz w:val="24"/>
        </w:rPr>
        <w:t>Taxation:</w:t>
      </w:r>
      <w:r w:rsidRPr="007C28EC">
        <w:rPr>
          <w:rFonts w:ascii="Arial" w:hAnsi="Arial" w:cs="Arial"/>
          <w:sz w:val="24"/>
        </w:rPr>
        <w:t xml:space="preserve"> Tax systems that are international influence debt settlement, equity issues and divestitures. Effective tax planning is a requirem</w:t>
      </w:r>
      <w:r w:rsidR="004D4468" w:rsidRPr="007C28EC">
        <w:rPr>
          <w:rFonts w:ascii="Arial" w:hAnsi="Arial" w:cs="Arial"/>
          <w:sz w:val="24"/>
        </w:rPr>
        <w:t>ent to maximise the cash flows.</w:t>
      </w:r>
    </w:p>
    <w:p w14:paraId="617355E4" w14:textId="77777777" w:rsidR="004C618C" w:rsidRPr="007C28EC" w:rsidRDefault="004C618C" w:rsidP="00742C85">
      <w:pPr>
        <w:pStyle w:val="ListParagraph"/>
        <w:numPr>
          <w:ilvl w:val="0"/>
          <w:numId w:val="29"/>
        </w:numPr>
        <w:spacing w:line="360" w:lineRule="auto"/>
        <w:jc w:val="both"/>
        <w:rPr>
          <w:rFonts w:ascii="Arial" w:hAnsi="Arial" w:cs="Arial"/>
          <w:sz w:val="24"/>
        </w:rPr>
      </w:pPr>
      <w:r w:rsidRPr="007C28EC">
        <w:rPr>
          <w:rFonts w:ascii="Arial" w:hAnsi="Arial" w:cs="Arial"/>
          <w:b/>
          <w:sz w:val="24"/>
        </w:rPr>
        <w:t>Interest Rate and Inflation Risk</w:t>
      </w:r>
      <w:r w:rsidRPr="007C28EC">
        <w:rPr>
          <w:rFonts w:ascii="Arial" w:hAnsi="Arial" w:cs="Arial"/>
          <w:sz w:val="24"/>
        </w:rPr>
        <w:t>: Global financing choices should consider the different interest rates and inflation pressure in order to ensure the cost of servi</w:t>
      </w:r>
      <w:r w:rsidR="004D4468" w:rsidRPr="007C28EC">
        <w:rPr>
          <w:rFonts w:ascii="Arial" w:hAnsi="Arial" w:cs="Arial"/>
          <w:sz w:val="24"/>
        </w:rPr>
        <w:t>cing debts remains predictable.</w:t>
      </w:r>
    </w:p>
    <w:p w14:paraId="20B2F6E7" w14:textId="77777777" w:rsidR="004C618C" w:rsidRPr="007C28EC" w:rsidRDefault="004C618C" w:rsidP="00742C85">
      <w:pPr>
        <w:pStyle w:val="ListParagraph"/>
        <w:numPr>
          <w:ilvl w:val="0"/>
          <w:numId w:val="29"/>
        </w:numPr>
        <w:spacing w:line="360" w:lineRule="auto"/>
        <w:jc w:val="both"/>
        <w:rPr>
          <w:rFonts w:ascii="Arial" w:hAnsi="Arial" w:cs="Arial"/>
          <w:sz w:val="24"/>
        </w:rPr>
      </w:pPr>
      <w:r w:rsidRPr="007C28EC">
        <w:rPr>
          <w:rFonts w:ascii="Arial" w:hAnsi="Arial" w:cs="Arial"/>
          <w:b/>
          <w:sz w:val="24"/>
        </w:rPr>
        <w:t>Supply Chain and Geopolitical Risks</w:t>
      </w:r>
      <w:r w:rsidRPr="007C28EC">
        <w:rPr>
          <w:rFonts w:ascii="Arial" w:hAnsi="Arial" w:cs="Arial"/>
          <w:sz w:val="24"/>
        </w:rPr>
        <w:t>: Global sourcing problems demand contingency solution and diversified s</w:t>
      </w:r>
      <w:r w:rsidR="004D4468" w:rsidRPr="007C28EC">
        <w:rPr>
          <w:rFonts w:ascii="Arial" w:hAnsi="Arial" w:cs="Arial"/>
          <w:sz w:val="24"/>
        </w:rPr>
        <w:t>uppliers, to cushion cash flow.</w:t>
      </w:r>
    </w:p>
    <w:p w14:paraId="0CB6C50D" w14:textId="77777777" w:rsidR="004C618C" w:rsidRPr="007C28EC" w:rsidRDefault="004C618C" w:rsidP="00742C85">
      <w:pPr>
        <w:pStyle w:val="ListParagraph"/>
        <w:numPr>
          <w:ilvl w:val="0"/>
          <w:numId w:val="29"/>
        </w:numPr>
        <w:spacing w:line="360" w:lineRule="auto"/>
        <w:jc w:val="both"/>
        <w:rPr>
          <w:rFonts w:ascii="Arial" w:hAnsi="Arial" w:cs="Arial"/>
          <w:sz w:val="24"/>
        </w:rPr>
      </w:pPr>
      <w:r w:rsidRPr="007C28EC">
        <w:rPr>
          <w:rFonts w:ascii="Arial" w:hAnsi="Arial" w:cs="Arial"/>
          <w:b/>
          <w:sz w:val="24"/>
        </w:rPr>
        <w:t>CSR and Ethical Compliance:</w:t>
      </w:r>
      <w:r w:rsidRPr="007C28EC">
        <w:rPr>
          <w:rFonts w:ascii="Arial" w:hAnsi="Arial" w:cs="Arial"/>
          <w:sz w:val="24"/>
        </w:rPr>
        <w:t xml:space="preserve"> Ethical financing, responsible sourcing, and compliance with environmental standards will improve reputation and contribute to sustainable growth (</w:t>
      </w:r>
      <w:proofErr w:type="spellStart"/>
      <w:r w:rsidRPr="007C28EC">
        <w:rPr>
          <w:rFonts w:ascii="Arial" w:hAnsi="Arial" w:cs="Arial"/>
          <w:sz w:val="24"/>
        </w:rPr>
        <w:t>Atrill</w:t>
      </w:r>
      <w:proofErr w:type="spellEnd"/>
      <w:r w:rsidRPr="007C28EC">
        <w:rPr>
          <w:rFonts w:ascii="Arial" w:hAnsi="Arial" w:cs="Arial"/>
          <w:sz w:val="24"/>
        </w:rPr>
        <w:t xml:space="preserve"> and </w:t>
      </w:r>
      <w:proofErr w:type="spellStart"/>
      <w:r w:rsidRPr="007C28EC">
        <w:rPr>
          <w:rFonts w:ascii="Arial" w:hAnsi="Arial" w:cs="Arial"/>
          <w:sz w:val="24"/>
        </w:rPr>
        <w:t>McLaney</w:t>
      </w:r>
      <w:proofErr w:type="spellEnd"/>
      <w:r w:rsidRPr="007C28EC">
        <w:rPr>
          <w:rFonts w:ascii="Arial" w:hAnsi="Arial" w:cs="Arial"/>
          <w:sz w:val="24"/>
        </w:rPr>
        <w:t>, 2024).</w:t>
      </w:r>
    </w:p>
    <w:p w14:paraId="5AB241FD" w14:textId="77777777" w:rsidR="00E2376A" w:rsidRDefault="00E2376A">
      <w:pPr>
        <w:rPr>
          <w:rFonts w:ascii="Arial" w:eastAsiaTheme="majorEastAsia" w:hAnsi="Arial" w:cstheme="majorBidi"/>
          <w:b/>
          <w:sz w:val="28"/>
          <w:szCs w:val="26"/>
        </w:rPr>
      </w:pPr>
      <w:r>
        <w:br w:type="page"/>
      </w:r>
    </w:p>
    <w:p w14:paraId="039A5E95" w14:textId="77777777" w:rsidR="004C618C" w:rsidRPr="007C28EC" w:rsidRDefault="004C618C" w:rsidP="004D4468">
      <w:pPr>
        <w:pStyle w:val="Heading2"/>
        <w:rPr>
          <w:color w:val="auto"/>
        </w:rPr>
      </w:pPr>
      <w:bookmarkStart w:id="37" w:name="_Toc217195883"/>
      <w:r w:rsidRPr="007C28EC">
        <w:rPr>
          <w:color w:val="auto"/>
        </w:rPr>
        <w:t>3.6 Plan of Financial Restructuring Recommended.</w:t>
      </w:r>
      <w:bookmarkEnd w:id="37"/>
    </w:p>
    <w:p w14:paraId="542B1B2C" w14:textId="77777777" w:rsidR="004C618C" w:rsidRPr="007C28EC" w:rsidRDefault="004D4468" w:rsidP="004C618C">
      <w:pPr>
        <w:spacing w:line="360" w:lineRule="auto"/>
        <w:jc w:val="both"/>
        <w:rPr>
          <w:rFonts w:ascii="Arial" w:hAnsi="Arial" w:cs="Arial"/>
          <w:b/>
          <w:sz w:val="24"/>
        </w:rPr>
      </w:pPr>
      <w:r w:rsidRPr="007C28EC">
        <w:rPr>
          <w:rFonts w:ascii="Arial" w:hAnsi="Arial" w:cs="Arial"/>
          <w:b/>
          <w:sz w:val="24"/>
        </w:rPr>
        <w:t>Immediate Measures:</w:t>
      </w:r>
    </w:p>
    <w:p w14:paraId="14BE44CC" w14:textId="77777777" w:rsidR="004C618C" w:rsidRPr="007C28EC" w:rsidRDefault="004C618C" w:rsidP="00742C85">
      <w:pPr>
        <w:pStyle w:val="ListParagraph"/>
        <w:numPr>
          <w:ilvl w:val="0"/>
          <w:numId w:val="30"/>
        </w:numPr>
        <w:spacing w:line="360" w:lineRule="auto"/>
        <w:jc w:val="both"/>
        <w:rPr>
          <w:rFonts w:ascii="Arial" w:hAnsi="Arial" w:cs="Arial"/>
          <w:sz w:val="24"/>
        </w:rPr>
      </w:pPr>
      <w:r w:rsidRPr="007C28EC">
        <w:rPr>
          <w:rFonts w:ascii="Arial" w:hAnsi="Arial" w:cs="Arial"/>
          <w:sz w:val="24"/>
        </w:rPr>
        <w:t>Do debt refinancing and negot</w:t>
      </w:r>
      <w:r w:rsidR="004D4468" w:rsidRPr="007C28EC">
        <w:rPr>
          <w:rFonts w:ascii="Arial" w:hAnsi="Arial" w:cs="Arial"/>
          <w:sz w:val="24"/>
        </w:rPr>
        <w:t>iate lower rates of interest.</w:t>
      </w:r>
    </w:p>
    <w:p w14:paraId="62620978" w14:textId="77777777" w:rsidR="004C618C" w:rsidRPr="007C28EC" w:rsidRDefault="004C618C" w:rsidP="00742C85">
      <w:pPr>
        <w:pStyle w:val="ListParagraph"/>
        <w:numPr>
          <w:ilvl w:val="0"/>
          <w:numId w:val="30"/>
        </w:numPr>
        <w:spacing w:line="360" w:lineRule="auto"/>
        <w:jc w:val="both"/>
        <w:rPr>
          <w:rFonts w:ascii="Arial" w:hAnsi="Arial" w:cs="Arial"/>
          <w:sz w:val="24"/>
        </w:rPr>
      </w:pPr>
      <w:r w:rsidRPr="007C28EC">
        <w:rPr>
          <w:rFonts w:ascii="Arial" w:hAnsi="Arial" w:cs="Arial"/>
          <w:sz w:val="24"/>
        </w:rPr>
        <w:t>Use debt-for-equity swaps to lo</w:t>
      </w:r>
      <w:r w:rsidR="004D4468" w:rsidRPr="007C28EC">
        <w:rPr>
          <w:rFonts w:ascii="Arial" w:hAnsi="Arial" w:cs="Arial"/>
          <w:sz w:val="24"/>
        </w:rPr>
        <w:t>wer leverage and interest rate.</w:t>
      </w:r>
    </w:p>
    <w:p w14:paraId="661225BF" w14:textId="77777777" w:rsidR="004C618C" w:rsidRPr="007C28EC" w:rsidRDefault="004D4468" w:rsidP="004C618C">
      <w:pPr>
        <w:spacing w:line="360" w:lineRule="auto"/>
        <w:jc w:val="both"/>
        <w:rPr>
          <w:rFonts w:ascii="Arial" w:hAnsi="Arial" w:cs="Arial"/>
          <w:b/>
          <w:sz w:val="24"/>
        </w:rPr>
      </w:pPr>
      <w:r w:rsidRPr="007C28EC">
        <w:rPr>
          <w:rFonts w:ascii="Arial" w:hAnsi="Arial" w:cs="Arial"/>
          <w:b/>
          <w:sz w:val="24"/>
        </w:rPr>
        <w:t>Medium-Term Measures:</w:t>
      </w:r>
    </w:p>
    <w:p w14:paraId="613EF277" w14:textId="77777777" w:rsidR="004C618C" w:rsidRPr="007C28EC" w:rsidRDefault="004C618C" w:rsidP="00742C85">
      <w:pPr>
        <w:pStyle w:val="ListParagraph"/>
        <w:numPr>
          <w:ilvl w:val="0"/>
          <w:numId w:val="31"/>
        </w:numPr>
        <w:spacing w:line="360" w:lineRule="auto"/>
        <w:jc w:val="both"/>
        <w:rPr>
          <w:rFonts w:ascii="Arial" w:hAnsi="Arial" w:cs="Arial"/>
          <w:sz w:val="24"/>
        </w:rPr>
      </w:pPr>
      <w:r w:rsidRPr="007C28EC">
        <w:rPr>
          <w:rFonts w:ascii="Arial" w:hAnsi="Arial" w:cs="Arial"/>
          <w:sz w:val="24"/>
        </w:rPr>
        <w:t>Increase liquidity by raising equity capital by way of strate</w:t>
      </w:r>
      <w:r w:rsidR="004D4468" w:rsidRPr="007C28EC">
        <w:rPr>
          <w:rFonts w:ascii="Arial" w:hAnsi="Arial" w:cs="Arial"/>
          <w:sz w:val="24"/>
        </w:rPr>
        <w:t>gic investors or rights issues.</w:t>
      </w:r>
    </w:p>
    <w:p w14:paraId="46E8B684" w14:textId="77777777" w:rsidR="004C618C" w:rsidRPr="007C28EC" w:rsidRDefault="004C618C" w:rsidP="00742C85">
      <w:pPr>
        <w:pStyle w:val="ListParagraph"/>
        <w:numPr>
          <w:ilvl w:val="0"/>
          <w:numId w:val="31"/>
        </w:numPr>
        <w:spacing w:line="360" w:lineRule="auto"/>
        <w:jc w:val="both"/>
        <w:rPr>
          <w:rFonts w:ascii="Arial" w:hAnsi="Arial" w:cs="Arial"/>
          <w:sz w:val="24"/>
        </w:rPr>
      </w:pPr>
      <w:r w:rsidRPr="007C28EC">
        <w:rPr>
          <w:rFonts w:ascii="Arial" w:hAnsi="Arial" w:cs="Arial"/>
          <w:sz w:val="24"/>
        </w:rPr>
        <w:t>Dispose non-core or performing business units to acquire cash to pay</w:t>
      </w:r>
      <w:r w:rsidR="004D4468" w:rsidRPr="007C28EC">
        <w:rPr>
          <w:rFonts w:ascii="Arial" w:hAnsi="Arial" w:cs="Arial"/>
          <w:sz w:val="24"/>
        </w:rPr>
        <w:t xml:space="preserve"> debt and invest in operations.</w:t>
      </w:r>
    </w:p>
    <w:p w14:paraId="68AEC662" w14:textId="77777777" w:rsidR="004C618C" w:rsidRPr="007C28EC" w:rsidRDefault="004D4468" w:rsidP="004C618C">
      <w:pPr>
        <w:spacing w:line="360" w:lineRule="auto"/>
        <w:jc w:val="both"/>
        <w:rPr>
          <w:rFonts w:ascii="Arial" w:hAnsi="Arial" w:cs="Arial"/>
          <w:b/>
          <w:sz w:val="24"/>
        </w:rPr>
      </w:pPr>
      <w:r w:rsidRPr="007C28EC">
        <w:rPr>
          <w:rFonts w:ascii="Arial" w:hAnsi="Arial" w:cs="Arial"/>
          <w:b/>
          <w:sz w:val="24"/>
        </w:rPr>
        <w:t>Long-Term Measures:</w:t>
      </w:r>
    </w:p>
    <w:p w14:paraId="13FD950A" w14:textId="77777777" w:rsidR="004C618C" w:rsidRPr="007C28EC" w:rsidRDefault="004C618C" w:rsidP="00742C85">
      <w:pPr>
        <w:pStyle w:val="ListParagraph"/>
        <w:numPr>
          <w:ilvl w:val="0"/>
          <w:numId w:val="32"/>
        </w:numPr>
        <w:spacing w:line="360" w:lineRule="auto"/>
        <w:jc w:val="both"/>
        <w:rPr>
          <w:rFonts w:ascii="Arial" w:hAnsi="Arial" w:cs="Arial"/>
          <w:sz w:val="24"/>
        </w:rPr>
      </w:pPr>
      <w:r w:rsidRPr="007C28EC">
        <w:rPr>
          <w:rFonts w:ascii="Arial" w:hAnsi="Arial" w:cs="Arial"/>
          <w:sz w:val="24"/>
        </w:rPr>
        <w:t>Seek strategic alliances or mergers in order to improve efficiency in the operations, global market penetratio</w:t>
      </w:r>
      <w:r w:rsidR="004D4468" w:rsidRPr="007C28EC">
        <w:rPr>
          <w:rFonts w:ascii="Arial" w:hAnsi="Arial" w:cs="Arial"/>
          <w:sz w:val="24"/>
        </w:rPr>
        <w:t>n and technological competency.</w:t>
      </w:r>
    </w:p>
    <w:p w14:paraId="024B68A5" w14:textId="77777777" w:rsidR="007C28EC" w:rsidRDefault="007C28EC">
      <w:pPr>
        <w:rPr>
          <w:rFonts w:ascii="Arial" w:eastAsiaTheme="majorEastAsia" w:hAnsi="Arial" w:cstheme="majorBidi"/>
          <w:b/>
          <w:sz w:val="32"/>
          <w:szCs w:val="32"/>
        </w:rPr>
      </w:pPr>
      <w:r>
        <w:br w:type="page"/>
      </w:r>
    </w:p>
    <w:p w14:paraId="21FA2469" w14:textId="77777777" w:rsidR="00BD7900" w:rsidRPr="007C28EC" w:rsidRDefault="00BD7900" w:rsidP="007C28EC">
      <w:pPr>
        <w:pStyle w:val="Heading1"/>
        <w:spacing w:after="240"/>
        <w:rPr>
          <w:color w:val="auto"/>
        </w:rPr>
      </w:pPr>
      <w:bookmarkStart w:id="38" w:name="_Toc217195884"/>
      <w:r w:rsidRPr="007C28EC">
        <w:rPr>
          <w:color w:val="auto"/>
        </w:rPr>
        <w:t>4. Investment Appraisal and Capital Budgeting.</w:t>
      </w:r>
      <w:bookmarkEnd w:id="38"/>
    </w:p>
    <w:p w14:paraId="145398E8" w14:textId="77777777" w:rsidR="00BD7900" w:rsidRPr="007C28EC" w:rsidRDefault="00BD7900" w:rsidP="007C28EC">
      <w:pPr>
        <w:spacing w:after="240" w:line="360" w:lineRule="auto"/>
        <w:jc w:val="both"/>
        <w:rPr>
          <w:rFonts w:ascii="Arial" w:hAnsi="Arial" w:cs="Arial"/>
          <w:b/>
          <w:sz w:val="24"/>
        </w:rPr>
      </w:pPr>
      <w:r w:rsidRPr="007C28EC">
        <w:rPr>
          <w:rFonts w:ascii="Arial" w:hAnsi="Arial" w:cs="Arial"/>
          <w:b/>
          <w:sz w:val="24"/>
        </w:rPr>
        <w:t>4.1 Introduction</w:t>
      </w:r>
    </w:p>
    <w:p w14:paraId="661DAEB5" w14:textId="77777777" w:rsidR="003B0607" w:rsidRPr="007C28EC" w:rsidRDefault="00DE1FC2" w:rsidP="00542D61">
      <w:pPr>
        <w:spacing w:line="360" w:lineRule="auto"/>
        <w:jc w:val="both"/>
        <w:rPr>
          <w:rFonts w:ascii="Arial" w:hAnsi="Arial" w:cs="Arial"/>
          <w:sz w:val="24"/>
        </w:rPr>
      </w:pPr>
      <w:r w:rsidRPr="007C28EC">
        <w:rPr>
          <w:rFonts w:ascii="Arial" w:hAnsi="Arial" w:cs="Arial"/>
          <w:sz w:val="24"/>
        </w:rPr>
        <w:t xml:space="preserve">Investment appraisal is basic for common hardware to designate restricted capital productively and back its turnaround procedure. With capital proportioning imperatives of £60 million, selecting ventures that boost shareholder esteem while relieving chance is fundamental (Brigham and </w:t>
      </w:r>
      <w:proofErr w:type="spellStart"/>
      <w:r w:rsidRPr="007C28EC">
        <w:rPr>
          <w:rFonts w:ascii="Arial" w:hAnsi="Arial" w:cs="Arial"/>
          <w:sz w:val="24"/>
        </w:rPr>
        <w:t>Daves</w:t>
      </w:r>
      <w:proofErr w:type="spellEnd"/>
      <w:r w:rsidRPr="007C28EC">
        <w:rPr>
          <w:rFonts w:ascii="Arial" w:hAnsi="Arial" w:cs="Arial"/>
          <w:sz w:val="24"/>
        </w:rPr>
        <w:t xml:space="preserve">, 2022; </w:t>
      </w:r>
      <w:proofErr w:type="spellStart"/>
      <w:r w:rsidRPr="007C28EC">
        <w:rPr>
          <w:rFonts w:ascii="Arial" w:hAnsi="Arial" w:cs="Arial"/>
          <w:sz w:val="24"/>
        </w:rPr>
        <w:t>Atrill and McLaney</w:t>
      </w:r>
      <w:proofErr w:type="spellEnd"/>
      <w:r w:rsidRPr="007C28EC">
        <w:rPr>
          <w:rFonts w:ascii="Arial" w:hAnsi="Arial" w:cs="Arial"/>
          <w:sz w:val="24"/>
        </w:rPr>
        <w:t xml:space="preserve">, 2024). This area assesses three proposed projects – Project A, Extend B, and Venture C – using numerous evaluation procedures: Payback Period (PBP), Bookkeeping Rate of Return (ARR), Net Show Esteem (NPV), Benefit Record (PI), and Inside Rate of Return (IRR). </w:t>
      </w:r>
    </w:p>
    <w:p w14:paraId="1BC438F6" w14:textId="77777777" w:rsidR="00C33A72" w:rsidRPr="007C28EC" w:rsidRDefault="00C33A72" w:rsidP="007C28EC">
      <w:pPr>
        <w:pStyle w:val="Heading2"/>
        <w:spacing w:after="240"/>
        <w:rPr>
          <w:color w:val="auto"/>
        </w:rPr>
      </w:pPr>
      <w:bookmarkStart w:id="39" w:name="_Toc217195885"/>
      <w:r w:rsidRPr="007C28EC">
        <w:rPr>
          <w:color w:val="auto"/>
        </w:rPr>
        <w:t>4.2 Project Overview</w:t>
      </w:r>
      <w:bookmarkEnd w:id="39"/>
    </w:p>
    <w:p w14:paraId="51C9FBB9" w14:textId="77777777" w:rsidR="00C33A72" w:rsidRPr="007C28EC" w:rsidRDefault="00C33A72" w:rsidP="007C28EC">
      <w:pPr>
        <w:spacing w:after="240" w:line="360" w:lineRule="auto"/>
        <w:jc w:val="both"/>
        <w:rPr>
          <w:rFonts w:ascii="Arial" w:hAnsi="Arial" w:cs="Arial"/>
          <w:sz w:val="24"/>
          <w:szCs w:val="24"/>
        </w:rPr>
      </w:pPr>
      <w:r w:rsidRPr="007C28EC">
        <w:rPr>
          <w:rFonts w:ascii="Arial" w:hAnsi="Arial" w:cs="Arial"/>
          <w:sz w:val="24"/>
          <w:szCs w:val="24"/>
        </w:rPr>
        <w:t>The three investment opportunities</w:t>
      </w:r>
      <w:r w:rsidR="003C1611" w:rsidRPr="007C28EC">
        <w:rPr>
          <w:rFonts w:ascii="Arial" w:hAnsi="Arial" w:cs="Arial"/>
          <w:sz w:val="24"/>
          <w:szCs w:val="24"/>
        </w:rPr>
        <w:t xml:space="preserve"> have distinct characteristics:</w:t>
      </w:r>
    </w:p>
    <w:tbl>
      <w:tblPr>
        <w:tblStyle w:val="TableGrid"/>
        <w:tblW w:w="0" w:type="auto"/>
        <w:tblLook w:val="04A0" w:firstRow="1" w:lastRow="0" w:firstColumn="1" w:lastColumn="0" w:noHBand="0" w:noVBand="1"/>
      </w:tblPr>
      <w:tblGrid>
        <w:gridCol w:w="1332"/>
        <w:gridCol w:w="1378"/>
        <w:gridCol w:w="1328"/>
        <w:gridCol w:w="1328"/>
        <w:gridCol w:w="1328"/>
        <w:gridCol w:w="1328"/>
        <w:gridCol w:w="1328"/>
      </w:tblGrid>
      <w:tr w:rsidR="007C28EC" w:rsidRPr="007C28EC" w14:paraId="4299636A" w14:textId="77777777" w:rsidTr="00C33A72">
        <w:tc>
          <w:tcPr>
            <w:tcW w:w="1335" w:type="dxa"/>
          </w:tcPr>
          <w:p w14:paraId="4CCAD78D" w14:textId="77777777" w:rsidR="00C33A72" w:rsidRPr="007C28EC" w:rsidRDefault="00C33A72" w:rsidP="003C1611">
            <w:pPr>
              <w:spacing w:line="360" w:lineRule="auto"/>
              <w:jc w:val="both"/>
              <w:rPr>
                <w:rFonts w:ascii="Arial" w:hAnsi="Arial" w:cs="Arial"/>
                <w:b/>
              </w:rPr>
            </w:pPr>
            <w:r w:rsidRPr="007C28EC">
              <w:rPr>
                <w:rFonts w:ascii="Arial" w:hAnsi="Arial" w:cs="Arial"/>
                <w:b/>
              </w:rPr>
              <w:t>Project</w:t>
            </w:r>
          </w:p>
        </w:tc>
        <w:tc>
          <w:tcPr>
            <w:tcW w:w="1335" w:type="dxa"/>
          </w:tcPr>
          <w:p w14:paraId="1CBC12EB" w14:textId="77777777" w:rsidR="00C33A72" w:rsidRPr="007C28EC" w:rsidRDefault="00C33A72" w:rsidP="003C1611">
            <w:pPr>
              <w:spacing w:line="360" w:lineRule="auto"/>
              <w:jc w:val="both"/>
              <w:rPr>
                <w:rFonts w:ascii="Arial" w:hAnsi="Arial" w:cs="Arial"/>
                <w:b/>
              </w:rPr>
            </w:pPr>
            <w:r w:rsidRPr="007C28EC">
              <w:rPr>
                <w:rFonts w:ascii="Arial" w:hAnsi="Arial" w:cs="Arial"/>
                <w:b/>
              </w:rPr>
              <w:t>Initial Investment (£m)</w:t>
            </w:r>
          </w:p>
        </w:tc>
        <w:tc>
          <w:tcPr>
            <w:tcW w:w="1336" w:type="dxa"/>
          </w:tcPr>
          <w:p w14:paraId="762E7AEA" w14:textId="77777777" w:rsidR="00C33A72" w:rsidRPr="007C28EC" w:rsidRDefault="00C33A72" w:rsidP="003C1611">
            <w:pPr>
              <w:spacing w:line="360" w:lineRule="auto"/>
              <w:jc w:val="both"/>
              <w:rPr>
                <w:rFonts w:ascii="Arial" w:hAnsi="Arial" w:cs="Arial"/>
                <w:b/>
              </w:rPr>
            </w:pPr>
            <w:r w:rsidRPr="007C28EC">
              <w:rPr>
                <w:rFonts w:ascii="Arial" w:hAnsi="Arial" w:cs="Arial"/>
                <w:b/>
              </w:rPr>
              <w:t>Year 1 (£m)</w:t>
            </w:r>
          </w:p>
        </w:tc>
        <w:tc>
          <w:tcPr>
            <w:tcW w:w="1336" w:type="dxa"/>
          </w:tcPr>
          <w:p w14:paraId="702E5007" w14:textId="77777777" w:rsidR="00C33A72" w:rsidRPr="007C28EC" w:rsidRDefault="00C33A72" w:rsidP="003C1611">
            <w:pPr>
              <w:spacing w:line="360" w:lineRule="auto"/>
              <w:jc w:val="both"/>
              <w:rPr>
                <w:rFonts w:ascii="Arial" w:hAnsi="Arial" w:cs="Arial"/>
                <w:b/>
              </w:rPr>
            </w:pPr>
            <w:r w:rsidRPr="007C28EC">
              <w:rPr>
                <w:rFonts w:ascii="Arial" w:hAnsi="Arial" w:cs="Arial"/>
                <w:b/>
              </w:rPr>
              <w:t>Year 2 (£m)</w:t>
            </w:r>
          </w:p>
        </w:tc>
        <w:tc>
          <w:tcPr>
            <w:tcW w:w="1336" w:type="dxa"/>
          </w:tcPr>
          <w:p w14:paraId="3BC10179" w14:textId="77777777" w:rsidR="00C33A72" w:rsidRPr="007C28EC" w:rsidRDefault="00C33A72" w:rsidP="003C1611">
            <w:pPr>
              <w:spacing w:line="360" w:lineRule="auto"/>
              <w:jc w:val="both"/>
              <w:rPr>
                <w:rFonts w:ascii="Arial" w:hAnsi="Arial" w:cs="Arial"/>
                <w:b/>
              </w:rPr>
            </w:pPr>
            <w:r w:rsidRPr="007C28EC">
              <w:rPr>
                <w:rFonts w:ascii="Arial" w:hAnsi="Arial" w:cs="Arial"/>
                <w:b/>
              </w:rPr>
              <w:t>Year 3 (£m)</w:t>
            </w:r>
          </w:p>
        </w:tc>
        <w:tc>
          <w:tcPr>
            <w:tcW w:w="1336" w:type="dxa"/>
          </w:tcPr>
          <w:p w14:paraId="76624C35" w14:textId="77777777" w:rsidR="00C33A72" w:rsidRPr="007C28EC" w:rsidRDefault="00C33A72" w:rsidP="003C1611">
            <w:pPr>
              <w:spacing w:line="360" w:lineRule="auto"/>
              <w:jc w:val="both"/>
              <w:rPr>
                <w:rFonts w:ascii="Arial" w:hAnsi="Arial" w:cs="Arial"/>
                <w:b/>
              </w:rPr>
            </w:pPr>
            <w:r w:rsidRPr="007C28EC">
              <w:rPr>
                <w:rFonts w:ascii="Arial" w:hAnsi="Arial" w:cs="Arial"/>
                <w:b/>
              </w:rPr>
              <w:t>Year 4 (£m)</w:t>
            </w:r>
          </w:p>
        </w:tc>
        <w:tc>
          <w:tcPr>
            <w:tcW w:w="1336" w:type="dxa"/>
          </w:tcPr>
          <w:p w14:paraId="34127182" w14:textId="77777777" w:rsidR="00C33A72" w:rsidRPr="007C28EC" w:rsidRDefault="00C33A72" w:rsidP="003C1611">
            <w:pPr>
              <w:spacing w:line="360" w:lineRule="auto"/>
              <w:jc w:val="both"/>
              <w:rPr>
                <w:rFonts w:ascii="Arial" w:hAnsi="Arial" w:cs="Arial"/>
                <w:b/>
              </w:rPr>
            </w:pPr>
            <w:r w:rsidRPr="007C28EC">
              <w:rPr>
                <w:rFonts w:ascii="Arial" w:hAnsi="Arial" w:cs="Arial"/>
                <w:b/>
              </w:rPr>
              <w:t>Year 5 (£m)</w:t>
            </w:r>
          </w:p>
        </w:tc>
      </w:tr>
      <w:tr w:rsidR="007C28EC" w:rsidRPr="007C28EC" w14:paraId="18B0F17B" w14:textId="77777777" w:rsidTr="00C33A72">
        <w:tc>
          <w:tcPr>
            <w:tcW w:w="1335" w:type="dxa"/>
          </w:tcPr>
          <w:p w14:paraId="1187B586" w14:textId="77777777" w:rsidR="00C33A72" w:rsidRPr="007C28EC" w:rsidRDefault="00C33A72" w:rsidP="003C1611">
            <w:pPr>
              <w:spacing w:line="360" w:lineRule="auto"/>
              <w:jc w:val="both"/>
              <w:rPr>
                <w:rFonts w:ascii="Arial" w:hAnsi="Arial" w:cs="Arial"/>
              </w:rPr>
            </w:pPr>
            <w:r w:rsidRPr="007C28EC">
              <w:rPr>
                <w:rFonts w:ascii="Arial" w:hAnsi="Arial" w:cs="Arial"/>
              </w:rPr>
              <w:t>A</w:t>
            </w:r>
          </w:p>
        </w:tc>
        <w:tc>
          <w:tcPr>
            <w:tcW w:w="1335" w:type="dxa"/>
          </w:tcPr>
          <w:p w14:paraId="1E4B8B41" w14:textId="77777777" w:rsidR="00C33A72" w:rsidRPr="007C28EC" w:rsidRDefault="00C33A72" w:rsidP="003C1611">
            <w:pPr>
              <w:spacing w:line="360" w:lineRule="auto"/>
              <w:jc w:val="both"/>
              <w:rPr>
                <w:rFonts w:ascii="Arial" w:hAnsi="Arial" w:cs="Arial"/>
              </w:rPr>
            </w:pPr>
            <w:r w:rsidRPr="007C28EC">
              <w:rPr>
                <w:rFonts w:ascii="Arial" w:hAnsi="Arial" w:cs="Arial"/>
              </w:rPr>
              <w:t>40</w:t>
            </w:r>
          </w:p>
        </w:tc>
        <w:tc>
          <w:tcPr>
            <w:tcW w:w="1336" w:type="dxa"/>
          </w:tcPr>
          <w:p w14:paraId="532A1195" w14:textId="77777777" w:rsidR="00C33A72" w:rsidRPr="007C28EC" w:rsidRDefault="00C33A72" w:rsidP="003C1611">
            <w:pPr>
              <w:spacing w:line="360" w:lineRule="auto"/>
              <w:jc w:val="both"/>
              <w:rPr>
                <w:rFonts w:ascii="Arial" w:hAnsi="Arial" w:cs="Arial"/>
              </w:rPr>
            </w:pPr>
            <w:r w:rsidRPr="007C28EC">
              <w:rPr>
                <w:rFonts w:ascii="Arial" w:hAnsi="Arial" w:cs="Arial"/>
              </w:rPr>
              <w:t>10</w:t>
            </w:r>
          </w:p>
        </w:tc>
        <w:tc>
          <w:tcPr>
            <w:tcW w:w="1336" w:type="dxa"/>
          </w:tcPr>
          <w:p w14:paraId="0FF15A39" w14:textId="77777777" w:rsidR="00C33A72" w:rsidRPr="007C28EC" w:rsidRDefault="00C33A72" w:rsidP="003C1611">
            <w:pPr>
              <w:spacing w:line="360" w:lineRule="auto"/>
              <w:jc w:val="both"/>
              <w:rPr>
                <w:rFonts w:ascii="Arial" w:hAnsi="Arial" w:cs="Arial"/>
              </w:rPr>
            </w:pPr>
            <w:r w:rsidRPr="007C28EC">
              <w:rPr>
                <w:rFonts w:ascii="Arial" w:hAnsi="Arial" w:cs="Arial"/>
              </w:rPr>
              <w:t>12</w:t>
            </w:r>
          </w:p>
        </w:tc>
        <w:tc>
          <w:tcPr>
            <w:tcW w:w="1336" w:type="dxa"/>
          </w:tcPr>
          <w:p w14:paraId="391EEF0F" w14:textId="77777777" w:rsidR="00C33A72" w:rsidRPr="007C28EC" w:rsidRDefault="00C33A72" w:rsidP="003C1611">
            <w:pPr>
              <w:spacing w:line="360" w:lineRule="auto"/>
              <w:jc w:val="both"/>
              <w:rPr>
                <w:rFonts w:ascii="Arial" w:hAnsi="Arial" w:cs="Arial"/>
              </w:rPr>
            </w:pPr>
            <w:r w:rsidRPr="007C28EC">
              <w:rPr>
                <w:rFonts w:ascii="Arial" w:hAnsi="Arial" w:cs="Arial"/>
              </w:rPr>
              <w:t>14</w:t>
            </w:r>
          </w:p>
        </w:tc>
        <w:tc>
          <w:tcPr>
            <w:tcW w:w="1336" w:type="dxa"/>
          </w:tcPr>
          <w:p w14:paraId="72C5EEAF" w14:textId="77777777" w:rsidR="00C33A72" w:rsidRPr="007C28EC" w:rsidRDefault="00C33A72" w:rsidP="003C1611">
            <w:pPr>
              <w:spacing w:line="360" w:lineRule="auto"/>
              <w:jc w:val="both"/>
              <w:rPr>
                <w:rFonts w:ascii="Arial" w:hAnsi="Arial" w:cs="Arial"/>
              </w:rPr>
            </w:pPr>
            <w:r w:rsidRPr="007C28EC">
              <w:rPr>
                <w:rFonts w:ascii="Arial" w:hAnsi="Arial" w:cs="Arial"/>
              </w:rPr>
              <w:t>10</w:t>
            </w:r>
          </w:p>
        </w:tc>
        <w:tc>
          <w:tcPr>
            <w:tcW w:w="1336" w:type="dxa"/>
          </w:tcPr>
          <w:p w14:paraId="2E62A06B" w14:textId="77777777" w:rsidR="00C33A72" w:rsidRPr="007C28EC" w:rsidRDefault="00C33A72" w:rsidP="003C1611">
            <w:pPr>
              <w:spacing w:line="360" w:lineRule="auto"/>
              <w:jc w:val="both"/>
              <w:rPr>
                <w:rFonts w:ascii="Arial" w:hAnsi="Arial" w:cs="Arial"/>
              </w:rPr>
            </w:pPr>
            <w:r w:rsidRPr="007C28EC">
              <w:rPr>
                <w:rFonts w:ascii="Arial" w:hAnsi="Arial" w:cs="Arial"/>
              </w:rPr>
              <w:t>8</w:t>
            </w:r>
          </w:p>
        </w:tc>
      </w:tr>
      <w:tr w:rsidR="007C28EC" w:rsidRPr="007C28EC" w14:paraId="67769362" w14:textId="77777777" w:rsidTr="00C33A72">
        <w:tc>
          <w:tcPr>
            <w:tcW w:w="1335" w:type="dxa"/>
          </w:tcPr>
          <w:p w14:paraId="572CAF88" w14:textId="77777777" w:rsidR="00C33A72" w:rsidRPr="007C28EC" w:rsidRDefault="00C33A72" w:rsidP="003C1611">
            <w:pPr>
              <w:spacing w:line="360" w:lineRule="auto"/>
              <w:jc w:val="both"/>
              <w:rPr>
                <w:rFonts w:ascii="Arial" w:hAnsi="Arial" w:cs="Arial"/>
              </w:rPr>
            </w:pPr>
            <w:r w:rsidRPr="007C28EC">
              <w:rPr>
                <w:rFonts w:ascii="Arial" w:hAnsi="Arial" w:cs="Arial"/>
              </w:rPr>
              <w:t>B</w:t>
            </w:r>
          </w:p>
        </w:tc>
        <w:tc>
          <w:tcPr>
            <w:tcW w:w="1335" w:type="dxa"/>
          </w:tcPr>
          <w:p w14:paraId="6856E8EB" w14:textId="77777777" w:rsidR="00C33A72" w:rsidRPr="007C28EC" w:rsidRDefault="00C33A72" w:rsidP="003C1611">
            <w:pPr>
              <w:spacing w:line="360" w:lineRule="auto"/>
              <w:jc w:val="both"/>
              <w:rPr>
                <w:rFonts w:ascii="Arial" w:hAnsi="Arial" w:cs="Arial"/>
              </w:rPr>
            </w:pPr>
            <w:r w:rsidRPr="007C28EC">
              <w:rPr>
                <w:rFonts w:ascii="Arial" w:hAnsi="Arial" w:cs="Arial"/>
              </w:rPr>
              <w:t>30</w:t>
            </w:r>
          </w:p>
        </w:tc>
        <w:tc>
          <w:tcPr>
            <w:tcW w:w="1336" w:type="dxa"/>
          </w:tcPr>
          <w:p w14:paraId="69326A84" w14:textId="77777777" w:rsidR="00C33A72" w:rsidRPr="007C28EC" w:rsidRDefault="00C33A72" w:rsidP="003C1611">
            <w:pPr>
              <w:spacing w:line="360" w:lineRule="auto"/>
              <w:jc w:val="both"/>
              <w:rPr>
                <w:rFonts w:ascii="Arial" w:hAnsi="Arial" w:cs="Arial"/>
              </w:rPr>
            </w:pPr>
            <w:r w:rsidRPr="007C28EC">
              <w:rPr>
                <w:rFonts w:ascii="Arial" w:hAnsi="Arial" w:cs="Arial"/>
              </w:rPr>
              <w:t>6</w:t>
            </w:r>
          </w:p>
        </w:tc>
        <w:tc>
          <w:tcPr>
            <w:tcW w:w="1336" w:type="dxa"/>
          </w:tcPr>
          <w:p w14:paraId="4E2D406A" w14:textId="77777777" w:rsidR="00C33A72" w:rsidRPr="007C28EC" w:rsidRDefault="00C33A72" w:rsidP="003C1611">
            <w:pPr>
              <w:spacing w:line="360" w:lineRule="auto"/>
              <w:jc w:val="both"/>
              <w:rPr>
                <w:rFonts w:ascii="Arial" w:hAnsi="Arial" w:cs="Arial"/>
              </w:rPr>
            </w:pPr>
            <w:r w:rsidRPr="007C28EC">
              <w:rPr>
                <w:rFonts w:ascii="Arial" w:hAnsi="Arial" w:cs="Arial"/>
              </w:rPr>
              <w:t>6</w:t>
            </w:r>
          </w:p>
        </w:tc>
        <w:tc>
          <w:tcPr>
            <w:tcW w:w="1336" w:type="dxa"/>
          </w:tcPr>
          <w:p w14:paraId="390D0304" w14:textId="77777777" w:rsidR="00C33A72" w:rsidRPr="007C28EC" w:rsidRDefault="00C33A72" w:rsidP="003C1611">
            <w:pPr>
              <w:spacing w:line="360" w:lineRule="auto"/>
              <w:jc w:val="both"/>
              <w:rPr>
                <w:rFonts w:ascii="Arial" w:hAnsi="Arial" w:cs="Arial"/>
              </w:rPr>
            </w:pPr>
            <w:r w:rsidRPr="007C28EC">
              <w:rPr>
                <w:rFonts w:ascii="Arial" w:hAnsi="Arial" w:cs="Arial"/>
              </w:rPr>
              <w:t>6</w:t>
            </w:r>
          </w:p>
        </w:tc>
        <w:tc>
          <w:tcPr>
            <w:tcW w:w="1336" w:type="dxa"/>
          </w:tcPr>
          <w:p w14:paraId="4339887E" w14:textId="77777777" w:rsidR="00C33A72" w:rsidRPr="007C28EC" w:rsidRDefault="00C33A72" w:rsidP="003C1611">
            <w:pPr>
              <w:spacing w:line="360" w:lineRule="auto"/>
              <w:jc w:val="both"/>
              <w:rPr>
                <w:rFonts w:ascii="Arial" w:hAnsi="Arial" w:cs="Arial"/>
              </w:rPr>
            </w:pPr>
            <w:r w:rsidRPr="007C28EC">
              <w:rPr>
                <w:rFonts w:ascii="Arial" w:hAnsi="Arial" w:cs="Arial"/>
              </w:rPr>
              <w:t>6</w:t>
            </w:r>
          </w:p>
        </w:tc>
        <w:tc>
          <w:tcPr>
            <w:tcW w:w="1336" w:type="dxa"/>
          </w:tcPr>
          <w:p w14:paraId="11363406" w14:textId="77777777" w:rsidR="00C33A72" w:rsidRPr="007C28EC" w:rsidRDefault="00C33A72" w:rsidP="003C1611">
            <w:pPr>
              <w:spacing w:line="360" w:lineRule="auto"/>
              <w:jc w:val="both"/>
              <w:rPr>
                <w:rFonts w:ascii="Arial" w:hAnsi="Arial" w:cs="Arial"/>
              </w:rPr>
            </w:pPr>
            <w:r w:rsidRPr="007C28EC">
              <w:rPr>
                <w:rFonts w:ascii="Arial" w:hAnsi="Arial" w:cs="Arial"/>
              </w:rPr>
              <w:t>6</w:t>
            </w:r>
          </w:p>
        </w:tc>
      </w:tr>
      <w:tr w:rsidR="007C28EC" w:rsidRPr="007C28EC" w14:paraId="547D6383" w14:textId="77777777" w:rsidTr="00C33A72">
        <w:tc>
          <w:tcPr>
            <w:tcW w:w="1335" w:type="dxa"/>
          </w:tcPr>
          <w:p w14:paraId="4B010233" w14:textId="77777777" w:rsidR="00C33A72" w:rsidRPr="007C28EC" w:rsidRDefault="00C33A72" w:rsidP="003C1611">
            <w:pPr>
              <w:spacing w:line="360" w:lineRule="auto"/>
              <w:jc w:val="both"/>
              <w:rPr>
                <w:rFonts w:ascii="Arial" w:hAnsi="Arial" w:cs="Arial"/>
              </w:rPr>
            </w:pPr>
            <w:r w:rsidRPr="007C28EC">
              <w:rPr>
                <w:rFonts w:ascii="Arial" w:hAnsi="Arial" w:cs="Arial"/>
              </w:rPr>
              <w:t>C</w:t>
            </w:r>
          </w:p>
        </w:tc>
        <w:tc>
          <w:tcPr>
            <w:tcW w:w="1335" w:type="dxa"/>
          </w:tcPr>
          <w:p w14:paraId="00BE3214" w14:textId="77777777" w:rsidR="00C33A72" w:rsidRPr="007C28EC" w:rsidRDefault="00C33A72" w:rsidP="003C1611">
            <w:pPr>
              <w:spacing w:line="360" w:lineRule="auto"/>
              <w:jc w:val="both"/>
              <w:rPr>
                <w:rFonts w:ascii="Arial" w:hAnsi="Arial" w:cs="Arial"/>
              </w:rPr>
            </w:pPr>
            <w:r w:rsidRPr="007C28EC">
              <w:rPr>
                <w:rFonts w:ascii="Arial" w:hAnsi="Arial" w:cs="Arial"/>
              </w:rPr>
              <w:t>50</w:t>
            </w:r>
          </w:p>
        </w:tc>
        <w:tc>
          <w:tcPr>
            <w:tcW w:w="1336" w:type="dxa"/>
          </w:tcPr>
          <w:p w14:paraId="1B93CAB0" w14:textId="77777777" w:rsidR="00C33A72" w:rsidRPr="007C28EC" w:rsidRDefault="00C33A72" w:rsidP="003C1611">
            <w:pPr>
              <w:spacing w:line="360" w:lineRule="auto"/>
              <w:jc w:val="both"/>
              <w:rPr>
                <w:rFonts w:ascii="Arial" w:hAnsi="Arial" w:cs="Arial"/>
              </w:rPr>
            </w:pPr>
            <w:r w:rsidRPr="007C28EC">
              <w:rPr>
                <w:rFonts w:ascii="Arial" w:hAnsi="Arial" w:cs="Arial"/>
              </w:rPr>
              <w:t>5</w:t>
            </w:r>
          </w:p>
        </w:tc>
        <w:tc>
          <w:tcPr>
            <w:tcW w:w="1336" w:type="dxa"/>
          </w:tcPr>
          <w:p w14:paraId="0FD375DE" w14:textId="77777777" w:rsidR="00C33A72" w:rsidRPr="007C28EC" w:rsidRDefault="00C33A72" w:rsidP="003C1611">
            <w:pPr>
              <w:spacing w:line="360" w:lineRule="auto"/>
              <w:jc w:val="both"/>
              <w:rPr>
                <w:rFonts w:ascii="Arial" w:hAnsi="Arial" w:cs="Arial"/>
              </w:rPr>
            </w:pPr>
            <w:r w:rsidRPr="007C28EC">
              <w:rPr>
                <w:rFonts w:ascii="Arial" w:hAnsi="Arial" w:cs="Arial"/>
              </w:rPr>
              <w:t>10</w:t>
            </w:r>
          </w:p>
        </w:tc>
        <w:tc>
          <w:tcPr>
            <w:tcW w:w="1336" w:type="dxa"/>
          </w:tcPr>
          <w:p w14:paraId="3E5D7FE8" w14:textId="77777777" w:rsidR="00C33A72" w:rsidRPr="007C28EC" w:rsidRDefault="00C33A72" w:rsidP="003C1611">
            <w:pPr>
              <w:spacing w:line="360" w:lineRule="auto"/>
              <w:jc w:val="both"/>
              <w:rPr>
                <w:rFonts w:ascii="Arial" w:hAnsi="Arial" w:cs="Arial"/>
              </w:rPr>
            </w:pPr>
            <w:r w:rsidRPr="007C28EC">
              <w:rPr>
                <w:rFonts w:ascii="Arial" w:hAnsi="Arial" w:cs="Arial"/>
              </w:rPr>
              <w:t>20</w:t>
            </w:r>
          </w:p>
        </w:tc>
        <w:tc>
          <w:tcPr>
            <w:tcW w:w="1336" w:type="dxa"/>
          </w:tcPr>
          <w:p w14:paraId="2400B698" w14:textId="77777777" w:rsidR="00C33A72" w:rsidRPr="007C28EC" w:rsidRDefault="00C33A72" w:rsidP="003C1611">
            <w:pPr>
              <w:spacing w:line="360" w:lineRule="auto"/>
              <w:jc w:val="both"/>
              <w:rPr>
                <w:rFonts w:ascii="Arial" w:hAnsi="Arial" w:cs="Arial"/>
              </w:rPr>
            </w:pPr>
            <w:r w:rsidRPr="007C28EC">
              <w:rPr>
                <w:rFonts w:ascii="Arial" w:hAnsi="Arial" w:cs="Arial"/>
              </w:rPr>
              <w:t>25</w:t>
            </w:r>
          </w:p>
        </w:tc>
        <w:tc>
          <w:tcPr>
            <w:tcW w:w="1336" w:type="dxa"/>
          </w:tcPr>
          <w:p w14:paraId="4A69B624" w14:textId="77777777" w:rsidR="00C33A72" w:rsidRPr="007C28EC" w:rsidRDefault="00C33A72" w:rsidP="003C1611">
            <w:pPr>
              <w:spacing w:line="360" w:lineRule="auto"/>
              <w:jc w:val="both"/>
              <w:rPr>
                <w:rFonts w:ascii="Arial" w:hAnsi="Arial" w:cs="Arial"/>
              </w:rPr>
            </w:pPr>
            <w:r w:rsidRPr="007C28EC">
              <w:rPr>
                <w:rFonts w:ascii="Arial" w:hAnsi="Arial" w:cs="Arial"/>
              </w:rPr>
              <w:t>15</w:t>
            </w:r>
          </w:p>
        </w:tc>
      </w:tr>
    </w:tbl>
    <w:p w14:paraId="695F69A9" w14:textId="77777777" w:rsidR="008D06B3" w:rsidRPr="007C28EC" w:rsidRDefault="008D06B3" w:rsidP="003C1611">
      <w:pPr>
        <w:spacing w:line="360" w:lineRule="auto"/>
        <w:jc w:val="both"/>
        <w:rPr>
          <w:rFonts w:ascii="Arial" w:hAnsi="Arial" w:cs="Arial"/>
        </w:rPr>
      </w:pPr>
    </w:p>
    <w:p w14:paraId="0C6566C4" w14:textId="77777777" w:rsidR="003E71E5" w:rsidRPr="007C28EC" w:rsidRDefault="00A61D27" w:rsidP="003E71E5">
      <w:pPr>
        <w:spacing w:line="360" w:lineRule="auto"/>
        <w:jc w:val="both"/>
        <w:rPr>
          <w:rFonts w:ascii="Arial" w:hAnsi="Arial" w:cs="Arial"/>
          <w:sz w:val="24"/>
        </w:rPr>
      </w:pPr>
      <w:r w:rsidRPr="007C28EC">
        <w:rPr>
          <w:rFonts w:ascii="Arial" w:hAnsi="Arial" w:cs="Arial"/>
          <w:b/>
          <w:sz w:val="24"/>
        </w:rPr>
        <w:t>Observations:</w:t>
      </w:r>
      <w:r w:rsidR="008D06B3" w:rsidRPr="007C28EC">
        <w:rPr>
          <w:rFonts w:ascii="Arial" w:hAnsi="Arial" w:cs="Arial"/>
          <w:b/>
          <w:sz w:val="24"/>
        </w:rPr>
        <w:t xml:space="preserve"> </w:t>
      </w:r>
      <w:r w:rsidR="003E71E5" w:rsidRPr="007C28EC">
        <w:rPr>
          <w:rFonts w:ascii="Arial" w:hAnsi="Arial" w:cs="Arial"/>
          <w:sz w:val="24"/>
        </w:rPr>
        <w:t>PBP favours Venture A for fast cash recuperation, which is basic for a fiscally troubled firm. Be that as it may, PBP does not account for the time esteem of cash or add up to productivity, so it ought to be considered nearby NPV, IRR, and other evaluation strategies for a comprehensive speculation choice.</w:t>
      </w:r>
    </w:p>
    <w:p w14:paraId="29243609" w14:textId="77777777" w:rsidR="003E71E5" w:rsidRPr="007C28EC" w:rsidRDefault="003E71E5" w:rsidP="007C28EC">
      <w:pPr>
        <w:pStyle w:val="Heading2"/>
        <w:spacing w:after="240"/>
        <w:rPr>
          <w:color w:val="auto"/>
        </w:rPr>
      </w:pPr>
      <w:bookmarkStart w:id="40" w:name="_Toc217195886"/>
      <w:r w:rsidRPr="007C28EC">
        <w:rPr>
          <w:color w:val="auto"/>
        </w:rPr>
        <w:t>4.3 Payback Period (PBP)</w:t>
      </w:r>
      <w:bookmarkEnd w:id="40"/>
    </w:p>
    <w:p w14:paraId="6D39C006" w14:textId="77777777" w:rsidR="00A61D27" w:rsidRPr="007C28EC" w:rsidRDefault="003E71E5" w:rsidP="007C28EC">
      <w:pPr>
        <w:spacing w:after="240" w:line="360" w:lineRule="auto"/>
        <w:jc w:val="both"/>
        <w:rPr>
          <w:rFonts w:ascii="Arial" w:hAnsi="Arial" w:cs="Arial"/>
          <w:sz w:val="24"/>
        </w:rPr>
      </w:pPr>
      <w:r w:rsidRPr="007C28EC">
        <w:rPr>
          <w:rFonts w:ascii="Arial" w:hAnsi="Arial" w:cs="Arial"/>
          <w:sz w:val="24"/>
        </w:rPr>
        <w:t>The payback period overviews how quickly each amplifier recovers from its beginning wander. Wander A recovers £40m in generally 3.25, a long time, publicising the speediest liquidity advantage, critical for Common Hardware's cash-constrained position. Wander B has the slowest recovery at 5, a long time, extending the introduction to cash-related and operational perils. Wander C recovers in 4.2, a long time, altering coordinate payback with higher included returns. While important for short-term liquidity assessment, PBP does not consider the time regard of cash or in common advantage</w:t>
      </w:r>
      <w:r w:rsidR="009F6BCB" w:rsidRPr="007C28EC">
        <w:rPr>
          <w:rFonts w:ascii="Arial" w:hAnsi="Arial" w:cs="Arial"/>
          <w:sz w:val="24"/>
        </w:rPr>
        <w:t>.</w:t>
      </w:r>
    </w:p>
    <w:p w14:paraId="5B888E54" w14:textId="77777777" w:rsidR="00A61D27" w:rsidRPr="007C28EC" w:rsidRDefault="00A61D27" w:rsidP="00A61D27">
      <w:pPr>
        <w:spacing w:line="360" w:lineRule="auto"/>
        <w:jc w:val="both"/>
        <w:rPr>
          <w:rFonts w:ascii="Arial" w:hAnsi="Arial" w:cs="Arial"/>
          <w:b/>
          <w:sz w:val="24"/>
        </w:rPr>
      </w:pPr>
      <w:r w:rsidRPr="007C28EC">
        <w:rPr>
          <w:rFonts w:ascii="Arial" w:hAnsi="Arial" w:cs="Arial"/>
          <w:b/>
          <w:sz w:val="24"/>
        </w:rPr>
        <w:t>Project A:</w:t>
      </w:r>
    </w:p>
    <w:p w14:paraId="20C918CA" w14:textId="77777777" w:rsidR="00A61D27" w:rsidRPr="007C28EC" w:rsidRDefault="00A61D27" w:rsidP="00A61D27">
      <w:pPr>
        <w:spacing w:line="360" w:lineRule="auto"/>
        <w:jc w:val="both"/>
        <w:rPr>
          <w:rFonts w:ascii="Arial" w:hAnsi="Arial" w:cs="Arial"/>
          <w:b/>
          <w:sz w:val="24"/>
        </w:rPr>
      </w:pPr>
      <w:r w:rsidRPr="007C28EC">
        <w:rPr>
          <w:rFonts w:ascii="Arial" w:hAnsi="Arial" w:cs="Arial"/>
          <w:b/>
          <w:sz w:val="24"/>
        </w:rPr>
        <w:t>Cumulative inflows:</w:t>
      </w:r>
    </w:p>
    <w:p w14:paraId="5DC8C2EA" w14:textId="77777777" w:rsidR="00A61D27" w:rsidRPr="007C28EC" w:rsidRDefault="00A61D27" w:rsidP="006D720E">
      <w:pPr>
        <w:pStyle w:val="ListParagraph"/>
        <w:numPr>
          <w:ilvl w:val="0"/>
          <w:numId w:val="1"/>
        </w:numPr>
        <w:spacing w:line="360" w:lineRule="auto"/>
        <w:jc w:val="both"/>
        <w:rPr>
          <w:rFonts w:ascii="Arial" w:hAnsi="Arial" w:cs="Arial"/>
          <w:sz w:val="24"/>
        </w:rPr>
      </w:pPr>
      <w:r w:rsidRPr="007C28EC">
        <w:rPr>
          <w:rFonts w:ascii="Arial" w:hAnsi="Arial" w:cs="Arial"/>
          <w:sz w:val="24"/>
        </w:rPr>
        <w:t>Year 1: 10 → cumulative 10</w:t>
      </w:r>
    </w:p>
    <w:p w14:paraId="79EA7A6C" w14:textId="77777777" w:rsidR="00A61D27" w:rsidRPr="007C28EC" w:rsidRDefault="00A61D27" w:rsidP="006D720E">
      <w:pPr>
        <w:pStyle w:val="ListParagraph"/>
        <w:numPr>
          <w:ilvl w:val="0"/>
          <w:numId w:val="1"/>
        </w:numPr>
        <w:spacing w:line="360" w:lineRule="auto"/>
        <w:jc w:val="both"/>
        <w:rPr>
          <w:rFonts w:ascii="Arial" w:hAnsi="Arial" w:cs="Arial"/>
          <w:sz w:val="24"/>
        </w:rPr>
      </w:pPr>
      <w:r w:rsidRPr="007C28EC">
        <w:rPr>
          <w:rFonts w:ascii="Arial" w:hAnsi="Arial" w:cs="Arial"/>
          <w:sz w:val="24"/>
        </w:rPr>
        <w:t>Year 2: 12 → cumulative 22</w:t>
      </w:r>
    </w:p>
    <w:p w14:paraId="33678542" w14:textId="77777777" w:rsidR="00A61D27" w:rsidRPr="007C28EC" w:rsidRDefault="00A61D27" w:rsidP="006D720E">
      <w:pPr>
        <w:pStyle w:val="ListParagraph"/>
        <w:numPr>
          <w:ilvl w:val="0"/>
          <w:numId w:val="1"/>
        </w:numPr>
        <w:spacing w:line="360" w:lineRule="auto"/>
        <w:jc w:val="both"/>
        <w:rPr>
          <w:rFonts w:ascii="Arial" w:hAnsi="Arial" w:cs="Arial"/>
          <w:sz w:val="24"/>
        </w:rPr>
      </w:pPr>
      <w:r w:rsidRPr="007C28EC">
        <w:rPr>
          <w:rFonts w:ascii="Arial" w:hAnsi="Arial" w:cs="Arial"/>
          <w:sz w:val="24"/>
        </w:rPr>
        <w:t>Year 3: 14 → cumulative 36</w:t>
      </w:r>
    </w:p>
    <w:p w14:paraId="257010C4" w14:textId="77777777" w:rsidR="00A61D27" w:rsidRPr="007C28EC" w:rsidRDefault="00A61D27" w:rsidP="006D720E">
      <w:pPr>
        <w:pStyle w:val="ListParagraph"/>
        <w:numPr>
          <w:ilvl w:val="0"/>
          <w:numId w:val="1"/>
        </w:numPr>
        <w:spacing w:line="360" w:lineRule="auto"/>
        <w:jc w:val="both"/>
        <w:rPr>
          <w:rFonts w:ascii="Arial" w:hAnsi="Arial" w:cs="Arial"/>
          <w:sz w:val="24"/>
        </w:rPr>
      </w:pPr>
      <w:r w:rsidRPr="007C28EC">
        <w:rPr>
          <w:rFonts w:ascii="Arial" w:hAnsi="Arial" w:cs="Arial"/>
          <w:sz w:val="24"/>
        </w:rPr>
        <w:t>Year 4: 10 → cumulative 46</w:t>
      </w:r>
    </w:p>
    <w:p w14:paraId="573FF63C" w14:textId="77777777" w:rsidR="00A61D27" w:rsidRPr="007C28EC" w:rsidRDefault="00A61D27" w:rsidP="00A61D27">
      <w:pPr>
        <w:spacing w:line="360" w:lineRule="auto"/>
        <w:jc w:val="both"/>
        <w:rPr>
          <w:rFonts w:ascii="Arial" w:hAnsi="Arial" w:cs="Arial"/>
          <w:sz w:val="24"/>
        </w:rPr>
      </w:pPr>
      <w:r w:rsidRPr="007C28EC">
        <w:rPr>
          <w:rFonts w:ascii="Arial" w:hAnsi="Arial" w:cs="Arial"/>
          <w:sz w:val="24"/>
        </w:rPr>
        <w:t>Initial investment = 40 → recovered during Year 4</w:t>
      </w:r>
    </w:p>
    <w:p w14:paraId="4BD63D21" w14:textId="77777777" w:rsidR="00A61D27" w:rsidRPr="007C28EC" w:rsidRDefault="00A61D27" w:rsidP="00A61D27">
      <w:pPr>
        <w:spacing w:line="360" w:lineRule="auto"/>
        <w:jc w:val="both"/>
        <w:rPr>
          <w:rFonts w:ascii="Arial" w:hAnsi="Arial" w:cs="Arial"/>
          <w:sz w:val="24"/>
        </w:rPr>
      </w:pPr>
      <w:r w:rsidRPr="007C28EC">
        <w:rPr>
          <w:rFonts w:ascii="Arial" w:hAnsi="Arial" w:cs="Arial"/>
          <w:sz w:val="24"/>
        </w:rPr>
        <w:t>Fraction of Year 4 = (40−36)/10 = 0.4</w:t>
      </w:r>
    </w:p>
    <w:p w14:paraId="74F3F2F4" w14:textId="77777777" w:rsidR="00A61D27" w:rsidRPr="007C28EC" w:rsidRDefault="00A61D27" w:rsidP="00A61D27">
      <w:pPr>
        <w:spacing w:line="360" w:lineRule="auto"/>
        <w:jc w:val="both"/>
        <w:rPr>
          <w:rFonts w:ascii="Arial" w:hAnsi="Arial" w:cs="Arial"/>
          <w:b/>
          <w:sz w:val="24"/>
        </w:rPr>
      </w:pPr>
      <w:r w:rsidRPr="007C28EC">
        <w:rPr>
          <w:rFonts w:ascii="Arial" w:hAnsi="Arial" w:cs="Arial"/>
          <w:b/>
          <w:sz w:val="24"/>
        </w:rPr>
        <w:t>PBP = 3.4 years</w:t>
      </w:r>
    </w:p>
    <w:p w14:paraId="4DBC5DEC" w14:textId="77777777" w:rsidR="00A61D27" w:rsidRPr="007C28EC" w:rsidRDefault="00A61D27" w:rsidP="00A61D27">
      <w:pPr>
        <w:spacing w:line="360" w:lineRule="auto"/>
        <w:jc w:val="both"/>
        <w:rPr>
          <w:rFonts w:ascii="Arial" w:hAnsi="Arial" w:cs="Arial"/>
          <w:b/>
          <w:sz w:val="24"/>
        </w:rPr>
      </w:pPr>
      <w:r w:rsidRPr="007C28EC">
        <w:rPr>
          <w:rFonts w:ascii="Arial" w:hAnsi="Arial" w:cs="Arial"/>
          <w:b/>
          <w:sz w:val="24"/>
        </w:rPr>
        <w:t>Project B:</w:t>
      </w:r>
    </w:p>
    <w:p w14:paraId="4E6BF422" w14:textId="77777777" w:rsidR="00A61D27" w:rsidRPr="007C28EC" w:rsidRDefault="00A61D27" w:rsidP="00A61D27">
      <w:pPr>
        <w:spacing w:line="360" w:lineRule="auto"/>
        <w:jc w:val="both"/>
        <w:rPr>
          <w:rFonts w:ascii="Arial" w:hAnsi="Arial" w:cs="Arial"/>
          <w:sz w:val="24"/>
        </w:rPr>
      </w:pPr>
      <w:r w:rsidRPr="007C28EC">
        <w:rPr>
          <w:rFonts w:ascii="Arial" w:hAnsi="Arial" w:cs="Arial"/>
          <w:sz w:val="24"/>
        </w:rPr>
        <w:t>Cumulative inflows: 6 + 6 + 6 + 6 + 6 = 30</w:t>
      </w:r>
    </w:p>
    <w:p w14:paraId="1E81AE8B" w14:textId="77777777" w:rsidR="00A61D27" w:rsidRPr="007C28EC" w:rsidRDefault="00A61D27" w:rsidP="00A61D27">
      <w:pPr>
        <w:spacing w:line="360" w:lineRule="auto"/>
        <w:jc w:val="both"/>
        <w:rPr>
          <w:rFonts w:ascii="Arial" w:hAnsi="Arial" w:cs="Arial"/>
          <w:sz w:val="24"/>
        </w:rPr>
      </w:pPr>
      <w:r w:rsidRPr="007C28EC">
        <w:rPr>
          <w:rFonts w:ascii="Arial" w:hAnsi="Arial" w:cs="Arial"/>
          <w:sz w:val="24"/>
        </w:rPr>
        <w:t>Initial investment = 30 → fully recovered at the end of Year 5</w:t>
      </w:r>
    </w:p>
    <w:p w14:paraId="7011DD70" w14:textId="77777777" w:rsidR="00A61D27" w:rsidRPr="007C28EC" w:rsidRDefault="00A61D27" w:rsidP="00A61D27">
      <w:pPr>
        <w:spacing w:line="360" w:lineRule="auto"/>
        <w:jc w:val="both"/>
        <w:rPr>
          <w:rFonts w:ascii="Arial" w:hAnsi="Arial" w:cs="Arial"/>
          <w:b/>
          <w:sz w:val="24"/>
        </w:rPr>
      </w:pPr>
      <w:r w:rsidRPr="007C28EC">
        <w:rPr>
          <w:rFonts w:ascii="Arial" w:hAnsi="Arial" w:cs="Arial"/>
          <w:b/>
          <w:sz w:val="24"/>
        </w:rPr>
        <w:t>PBP = 5 years</w:t>
      </w:r>
    </w:p>
    <w:p w14:paraId="786914CF" w14:textId="77777777" w:rsidR="00A61D27" w:rsidRPr="007C28EC" w:rsidRDefault="00A61D27" w:rsidP="00A61D27">
      <w:pPr>
        <w:spacing w:line="360" w:lineRule="auto"/>
        <w:jc w:val="both"/>
        <w:rPr>
          <w:rFonts w:ascii="Arial" w:hAnsi="Arial" w:cs="Arial"/>
          <w:b/>
          <w:sz w:val="24"/>
        </w:rPr>
      </w:pPr>
      <w:r w:rsidRPr="007C28EC">
        <w:rPr>
          <w:rFonts w:ascii="Arial" w:hAnsi="Arial" w:cs="Arial"/>
          <w:b/>
          <w:sz w:val="24"/>
        </w:rPr>
        <w:t>Project C:</w:t>
      </w:r>
    </w:p>
    <w:p w14:paraId="72504474" w14:textId="77777777" w:rsidR="00A61D27" w:rsidRPr="007C28EC" w:rsidRDefault="00A61D27" w:rsidP="00A61D27">
      <w:pPr>
        <w:spacing w:line="360" w:lineRule="auto"/>
        <w:jc w:val="both"/>
        <w:rPr>
          <w:rFonts w:ascii="Arial" w:hAnsi="Arial" w:cs="Arial"/>
          <w:sz w:val="24"/>
        </w:rPr>
      </w:pPr>
      <w:r w:rsidRPr="007C28EC">
        <w:rPr>
          <w:rFonts w:ascii="Arial" w:hAnsi="Arial" w:cs="Arial"/>
          <w:sz w:val="24"/>
        </w:rPr>
        <w:t>Cumulative inflows: 5 + 10 = 15; +20 = 35; +25 = 60</w:t>
      </w:r>
    </w:p>
    <w:p w14:paraId="0C5F0EB4" w14:textId="77777777" w:rsidR="00A61D27" w:rsidRPr="007C28EC" w:rsidRDefault="00A61D27" w:rsidP="00A61D27">
      <w:pPr>
        <w:spacing w:line="360" w:lineRule="auto"/>
        <w:jc w:val="both"/>
        <w:rPr>
          <w:rFonts w:ascii="Arial" w:hAnsi="Arial" w:cs="Arial"/>
          <w:sz w:val="24"/>
        </w:rPr>
      </w:pPr>
      <w:r w:rsidRPr="007C28EC">
        <w:rPr>
          <w:rFonts w:ascii="Arial" w:hAnsi="Arial" w:cs="Arial"/>
          <w:sz w:val="24"/>
        </w:rPr>
        <w:t>Initial investment = 50 → recovered during Year 4</w:t>
      </w:r>
    </w:p>
    <w:p w14:paraId="35C3CCE8" w14:textId="77777777" w:rsidR="00A61D27" w:rsidRPr="007C28EC" w:rsidRDefault="00A61D27" w:rsidP="00A61D27">
      <w:pPr>
        <w:spacing w:line="360" w:lineRule="auto"/>
        <w:jc w:val="both"/>
        <w:rPr>
          <w:rFonts w:ascii="Arial" w:hAnsi="Arial" w:cs="Arial"/>
          <w:sz w:val="24"/>
        </w:rPr>
      </w:pPr>
      <w:r w:rsidRPr="007C28EC">
        <w:rPr>
          <w:rFonts w:ascii="Arial" w:hAnsi="Arial" w:cs="Arial"/>
          <w:sz w:val="24"/>
        </w:rPr>
        <w:t>Fraction of Year 4 = (50−35)/25 = 0.6</w:t>
      </w:r>
    </w:p>
    <w:p w14:paraId="3398BEFE" w14:textId="77777777" w:rsidR="00A61D27" w:rsidRPr="007C28EC" w:rsidRDefault="00A61D27" w:rsidP="00A61D27">
      <w:pPr>
        <w:spacing w:line="360" w:lineRule="auto"/>
        <w:jc w:val="both"/>
        <w:rPr>
          <w:rFonts w:ascii="Arial" w:hAnsi="Arial" w:cs="Arial"/>
          <w:b/>
          <w:sz w:val="24"/>
        </w:rPr>
      </w:pPr>
      <w:r w:rsidRPr="007C28EC">
        <w:rPr>
          <w:rFonts w:ascii="Arial" w:hAnsi="Arial" w:cs="Arial"/>
          <w:b/>
          <w:sz w:val="24"/>
        </w:rPr>
        <w:t>PBP = 3.6 years</w:t>
      </w:r>
    </w:p>
    <w:p w14:paraId="05E3E088" w14:textId="77777777" w:rsidR="00256E48" w:rsidRPr="007C28EC" w:rsidRDefault="00256E48" w:rsidP="007C28EC">
      <w:pPr>
        <w:pStyle w:val="Heading2"/>
        <w:spacing w:after="240"/>
        <w:rPr>
          <w:color w:val="auto"/>
        </w:rPr>
      </w:pPr>
      <w:bookmarkStart w:id="41" w:name="_Toc217195887"/>
      <w:r w:rsidRPr="007C28EC">
        <w:rPr>
          <w:color w:val="auto"/>
        </w:rPr>
        <w:t>4.4 Accounting Rate of Return (ARR)</w:t>
      </w:r>
      <w:bookmarkEnd w:id="41"/>
    </w:p>
    <w:p w14:paraId="1229751C" w14:textId="77777777" w:rsidR="00256E48" w:rsidRPr="007C28EC" w:rsidRDefault="00A2603E" w:rsidP="007C28EC">
      <w:pPr>
        <w:spacing w:after="240" w:line="360" w:lineRule="auto"/>
        <w:jc w:val="both"/>
        <w:rPr>
          <w:rFonts w:ascii="Arial" w:hAnsi="Arial" w:cs="Arial"/>
          <w:sz w:val="24"/>
        </w:rPr>
      </w:pPr>
      <w:r w:rsidRPr="007C28EC">
        <w:rPr>
          <w:rFonts w:ascii="Arial" w:hAnsi="Arial" w:cs="Arial"/>
          <w:sz w:val="24"/>
        </w:rPr>
        <w:t xml:space="preserve">The Bookkeeping Rate of Return (ARR) measures typical annual advantage relative to the beginning hypothesis, giving information into uncommon amplified advantage. Amplify C has the foremost lifted ARR at 30%, illustrating strong typical returns in disdain toward its higher beginning wander of £50. Amplify A takes after with an ARR of 27%, promoting an alter between efficiency and coordinate theory that has taken a toll. Expand B yields the slightest ARR of 20%, reflecting consistent but confined returns. ARR highlights that though short-term liquidity (as appeared by PBP) favours </w:t>
      </w:r>
      <w:r w:rsidR="00E2376A" w:rsidRPr="007C28EC">
        <w:rPr>
          <w:rFonts w:ascii="Arial" w:hAnsi="Arial" w:cs="Arial"/>
          <w:sz w:val="24"/>
        </w:rPr>
        <w:t>wander</w:t>
      </w:r>
      <w:r w:rsidRPr="007C28EC">
        <w:rPr>
          <w:rFonts w:ascii="Arial" w:hAnsi="Arial" w:cs="Arial"/>
          <w:sz w:val="24"/>
        </w:rPr>
        <w:t xml:space="preserve"> A, long-term efficiency is most grounded in Wander C. Subsequently, ARR supports organizing wanders that make higher returns over the amplify life hope</w:t>
      </w:r>
      <w:r w:rsidR="00776301" w:rsidRPr="007C28EC">
        <w:rPr>
          <w:rFonts w:ascii="Arial" w:hAnsi="Arial" w:cs="Arial"/>
          <w:sz w:val="24"/>
        </w:rPr>
        <w:t>.</w:t>
      </w:r>
    </w:p>
    <w:p w14:paraId="5B7E7362" w14:textId="77777777" w:rsidR="00F71E6C" w:rsidRPr="007C28EC" w:rsidRDefault="00256E48" w:rsidP="00F71E6C">
      <w:pPr>
        <w:spacing w:line="360" w:lineRule="auto"/>
        <w:jc w:val="center"/>
        <w:rPr>
          <w:rFonts w:ascii="Arial" w:hAnsi="Arial" w:cs="Arial"/>
          <w:sz w:val="24"/>
          <w:szCs w:val="24"/>
          <w:lang w:eastAsia="en-GB"/>
        </w:rPr>
      </w:pPr>
      <w:r w:rsidRPr="007C28EC">
        <w:rPr>
          <w:rFonts w:ascii="Arial" w:hAnsi="Arial" w:cs="Arial"/>
          <w:sz w:val="24"/>
        </w:rPr>
        <w:t>ARR=</w:t>
      </w:r>
      <w:r w:rsidR="00F71E6C" w:rsidRPr="007C28EC">
        <w:rPr>
          <w:rFonts w:ascii="Arial" w:hAnsi="Arial" w:cs="Arial"/>
          <w:sz w:val="24"/>
        </w:rPr>
        <w:t xml:space="preserve"> </w:t>
      </w:r>
      <m:oMath>
        <m:f>
          <m:fPr>
            <m:ctrlPr>
              <w:rPr>
                <w:rFonts w:ascii="Cambria Math" w:hAnsi="Cambria Math" w:cs="Arial"/>
                <w:i/>
                <w:sz w:val="24"/>
                <w:szCs w:val="24"/>
              </w:rPr>
            </m:ctrlPr>
          </m:fPr>
          <m:num>
            <m:r>
              <w:rPr>
                <w:rFonts w:ascii="Cambria Math" w:hAnsi="Cambria Math" w:cs="Arial"/>
                <w:sz w:val="24"/>
                <w:szCs w:val="24"/>
              </w:rPr>
              <m:t xml:space="preserve">Average Accounting Profit </m:t>
            </m:r>
          </m:num>
          <m:den>
            <m:r>
              <w:rPr>
                <w:rFonts w:ascii="Cambria Math" w:hAnsi="Cambria Math" w:cs="Arial"/>
                <w:sz w:val="24"/>
                <w:szCs w:val="24"/>
              </w:rPr>
              <m:t>Initial Investment</m:t>
            </m:r>
          </m:den>
        </m:f>
        <m:r>
          <w:rPr>
            <w:rFonts w:ascii="Cambria Math" w:hAnsi="Cambria Math" w:cs="Arial"/>
            <w:sz w:val="24"/>
            <w:szCs w:val="24"/>
          </w:rPr>
          <m:t>x100</m:t>
        </m:r>
      </m:oMath>
    </w:p>
    <w:p w14:paraId="1D1D69FE" w14:textId="77777777" w:rsidR="00256E48" w:rsidRPr="007C28EC" w:rsidRDefault="00256E48" w:rsidP="00256E48">
      <w:pPr>
        <w:spacing w:line="360" w:lineRule="auto"/>
        <w:jc w:val="both"/>
        <w:rPr>
          <w:rFonts w:ascii="Arial" w:hAnsi="Arial" w:cs="Arial"/>
          <w:b/>
          <w:sz w:val="24"/>
        </w:rPr>
      </w:pPr>
      <w:r w:rsidRPr="007C28EC">
        <w:rPr>
          <w:rFonts w:ascii="Arial" w:hAnsi="Arial" w:cs="Arial"/>
          <w:b/>
          <w:sz w:val="24"/>
        </w:rPr>
        <w:t>Depreciation:</w:t>
      </w:r>
    </w:p>
    <w:p w14:paraId="0C7804A0" w14:textId="77777777" w:rsidR="00256E48" w:rsidRPr="007C28EC" w:rsidRDefault="00256E48" w:rsidP="006D720E">
      <w:pPr>
        <w:pStyle w:val="ListParagraph"/>
        <w:numPr>
          <w:ilvl w:val="0"/>
          <w:numId w:val="3"/>
        </w:numPr>
        <w:spacing w:line="360" w:lineRule="auto"/>
        <w:jc w:val="both"/>
        <w:rPr>
          <w:rFonts w:ascii="Arial" w:hAnsi="Arial" w:cs="Arial"/>
          <w:sz w:val="24"/>
        </w:rPr>
      </w:pPr>
      <w:r w:rsidRPr="007C28EC">
        <w:rPr>
          <w:rFonts w:ascii="Arial" w:hAnsi="Arial" w:cs="Arial"/>
          <w:sz w:val="24"/>
        </w:rPr>
        <w:t>Project A: £40m/5 = £8m per year</w:t>
      </w:r>
    </w:p>
    <w:p w14:paraId="73562F4F" w14:textId="77777777" w:rsidR="00256E48" w:rsidRPr="007C28EC" w:rsidRDefault="00256E48" w:rsidP="006D720E">
      <w:pPr>
        <w:pStyle w:val="ListParagraph"/>
        <w:numPr>
          <w:ilvl w:val="0"/>
          <w:numId w:val="3"/>
        </w:numPr>
        <w:spacing w:line="360" w:lineRule="auto"/>
        <w:jc w:val="both"/>
        <w:rPr>
          <w:rFonts w:ascii="Arial" w:hAnsi="Arial" w:cs="Arial"/>
          <w:sz w:val="24"/>
        </w:rPr>
      </w:pPr>
      <w:r w:rsidRPr="007C28EC">
        <w:rPr>
          <w:rFonts w:ascii="Arial" w:hAnsi="Arial" w:cs="Arial"/>
          <w:sz w:val="24"/>
        </w:rPr>
        <w:t>Project B: £30m/5 = £6m per year</w:t>
      </w:r>
    </w:p>
    <w:p w14:paraId="4C61EAF3" w14:textId="77777777" w:rsidR="00256E48" w:rsidRPr="007C28EC" w:rsidRDefault="00256E48" w:rsidP="006D720E">
      <w:pPr>
        <w:pStyle w:val="ListParagraph"/>
        <w:numPr>
          <w:ilvl w:val="0"/>
          <w:numId w:val="3"/>
        </w:numPr>
        <w:spacing w:line="360" w:lineRule="auto"/>
        <w:jc w:val="both"/>
        <w:rPr>
          <w:rFonts w:ascii="Arial" w:hAnsi="Arial" w:cs="Arial"/>
          <w:sz w:val="24"/>
        </w:rPr>
      </w:pPr>
      <w:r w:rsidRPr="007C28EC">
        <w:rPr>
          <w:rFonts w:ascii="Arial" w:hAnsi="Arial" w:cs="Arial"/>
          <w:sz w:val="24"/>
        </w:rPr>
        <w:t>Project C: £50m/5 = £10m per year</w:t>
      </w:r>
    </w:p>
    <w:p w14:paraId="637F52DA" w14:textId="77777777" w:rsidR="00256E48" w:rsidRPr="007C28EC" w:rsidRDefault="00256E48" w:rsidP="00256E48">
      <w:pPr>
        <w:spacing w:line="360" w:lineRule="auto"/>
        <w:jc w:val="both"/>
        <w:rPr>
          <w:rFonts w:ascii="Arial" w:hAnsi="Arial" w:cs="Arial"/>
          <w:b/>
          <w:sz w:val="24"/>
        </w:rPr>
      </w:pPr>
      <w:r w:rsidRPr="007C28EC">
        <w:rPr>
          <w:rFonts w:ascii="Arial" w:hAnsi="Arial" w:cs="Arial"/>
          <w:b/>
          <w:sz w:val="24"/>
        </w:rPr>
        <w:t>Average Accounting Profit:</w:t>
      </w:r>
    </w:p>
    <w:p w14:paraId="269A6896" w14:textId="77777777" w:rsidR="00256E48" w:rsidRPr="007C28EC" w:rsidRDefault="00256E48" w:rsidP="006D720E">
      <w:pPr>
        <w:pStyle w:val="ListParagraph"/>
        <w:numPr>
          <w:ilvl w:val="0"/>
          <w:numId w:val="4"/>
        </w:numPr>
        <w:spacing w:line="360" w:lineRule="auto"/>
        <w:jc w:val="both"/>
        <w:rPr>
          <w:rFonts w:ascii="Arial" w:hAnsi="Arial" w:cs="Arial"/>
          <w:sz w:val="24"/>
        </w:rPr>
      </w:pPr>
      <w:r w:rsidRPr="007C28EC">
        <w:rPr>
          <w:rFonts w:ascii="Arial" w:hAnsi="Arial" w:cs="Arial"/>
          <w:sz w:val="24"/>
        </w:rPr>
        <w:t>Project A: [(10−</w:t>
      </w:r>
      <w:r w:rsidR="00F71E6C" w:rsidRPr="007C28EC">
        <w:rPr>
          <w:rFonts w:ascii="Arial" w:hAnsi="Arial" w:cs="Arial"/>
          <w:sz w:val="24"/>
        </w:rPr>
        <w:t>8) +(</w:t>
      </w:r>
      <w:r w:rsidRPr="007C28EC">
        <w:rPr>
          <w:rFonts w:ascii="Arial" w:hAnsi="Arial" w:cs="Arial"/>
          <w:sz w:val="24"/>
        </w:rPr>
        <w:t>12−</w:t>
      </w:r>
      <w:r w:rsidR="00F71E6C" w:rsidRPr="007C28EC">
        <w:rPr>
          <w:rFonts w:ascii="Arial" w:hAnsi="Arial" w:cs="Arial"/>
          <w:sz w:val="24"/>
        </w:rPr>
        <w:t>8) +(</w:t>
      </w:r>
      <w:r w:rsidRPr="007C28EC">
        <w:rPr>
          <w:rFonts w:ascii="Arial" w:hAnsi="Arial" w:cs="Arial"/>
          <w:sz w:val="24"/>
        </w:rPr>
        <w:t>14−</w:t>
      </w:r>
      <w:r w:rsidR="00F71E6C" w:rsidRPr="007C28EC">
        <w:rPr>
          <w:rFonts w:ascii="Arial" w:hAnsi="Arial" w:cs="Arial"/>
          <w:sz w:val="24"/>
        </w:rPr>
        <w:t>8) +(</w:t>
      </w:r>
      <w:r w:rsidRPr="007C28EC">
        <w:rPr>
          <w:rFonts w:ascii="Arial" w:hAnsi="Arial" w:cs="Arial"/>
          <w:sz w:val="24"/>
        </w:rPr>
        <w:t>10−</w:t>
      </w:r>
      <w:r w:rsidR="00F71E6C" w:rsidRPr="007C28EC">
        <w:rPr>
          <w:rFonts w:ascii="Arial" w:hAnsi="Arial" w:cs="Arial"/>
          <w:sz w:val="24"/>
        </w:rPr>
        <w:t>8) +(</w:t>
      </w:r>
      <w:r w:rsidRPr="007C28EC">
        <w:rPr>
          <w:rFonts w:ascii="Arial" w:hAnsi="Arial" w:cs="Arial"/>
          <w:sz w:val="24"/>
        </w:rPr>
        <w:t>8−8)] /5 = 2.8 → ARR = 7%</w:t>
      </w:r>
    </w:p>
    <w:p w14:paraId="0CAB11D8" w14:textId="77777777" w:rsidR="00256E48" w:rsidRPr="007C28EC" w:rsidRDefault="00256E48" w:rsidP="006D720E">
      <w:pPr>
        <w:pStyle w:val="ListParagraph"/>
        <w:numPr>
          <w:ilvl w:val="0"/>
          <w:numId w:val="4"/>
        </w:numPr>
        <w:spacing w:line="360" w:lineRule="auto"/>
        <w:jc w:val="both"/>
        <w:rPr>
          <w:rFonts w:ascii="Arial" w:hAnsi="Arial" w:cs="Arial"/>
          <w:sz w:val="24"/>
        </w:rPr>
      </w:pPr>
      <w:r w:rsidRPr="007C28EC">
        <w:rPr>
          <w:rFonts w:ascii="Arial" w:hAnsi="Arial" w:cs="Arial"/>
          <w:sz w:val="24"/>
        </w:rPr>
        <w:t>Project B: [(6−</w:t>
      </w:r>
      <w:r w:rsidR="00F71E6C" w:rsidRPr="007C28EC">
        <w:rPr>
          <w:rFonts w:ascii="Arial" w:hAnsi="Arial" w:cs="Arial"/>
          <w:sz w:val="24"/>
        </w:rPr>
        <w:t>6) +(</w:t>
      </w:r>
      <w:r w:rsidRPr="007C28EC">
        <w:rPr>
          <w:rFonts w:ascii="Arial" w:hAnsi="Arial" w:cs="Arial"/>
          <w:sz w:val="24"/>
        </w:rPr>
        <w:t>6−</w:t>
      </w:r>
      <w:r w:rsidR="00F71E6C" w:rsidRPr="007C28EC">
        <w:rPr>
          <w:rFonts w:ascii="Arial" w:hAnsi="Arial" w:cs="Arial"/>
          <w:sz w:val="24"/>
        </w:rPr>
        <w:t>6) +(</w:t>
      </w:r>
      <w:r w:rsidRPr="007C28EC">
        <w:rPr>
          <w:rFonts w:ascii="Arial" w:hAnsi="Arial" w:cs="Arial"/>
          <w:sz w:val="24"/>
        </w:rPr>
        <w:t>6−</w:t>
      </w:r>
      <w:r w:rsidR="00F71E6C" w:rsidRPr="007C28EC">
        <w:rPr>
          <w:rFonts w:ascii="Arial" w:hAnsi="Arial" w:cs="Arial"/>
          <w:sz w:val="24"/>
        </w:rPr>
        <w:t>6) +(</w:t>
      </w:r>
      <w:r w:rsidRPr="007C28EC">
        <w:rPr>
          <w:rFonts w:ascii="Arial" w:hAnsi="Arial" w:cs="Arial"/>
          <w:sz w:val="24"/>
        </w:rPr>
        <w:t>6−</w:t>
      </w:r>
      <w:r w:rsidR="00F71E6C" w:rsidRPr="007C28EC">
        <w:rPr>
          <w:rFonts w:ascii="Arial" w:hAnsi="Arial" w:cs="Arial"/>
          <w:sz w:val="24"/>
        </w:rPr>
        <w:t>6) +(</w:t>
      </w:r>
      <w:r w:rsidRPr="007C28EC">
        <w:rPr>
          <w:rFonts w:ascii="Arial" w:hAnsi="Arial" w:cs="Arial"/>
          <w:sz w:val="24"/>
        </w:rPr>
        <w:t>6−6)] /5 = 0 → ARR = 0%</w:t>
      </w:r>
    </w:p>
    <w:p w14:paraId="19D84CA9" w14:textId="77777777" w:rsidR="00776301" w:rsidRPr="007C28EC" w:rsidRDefault="00256E48" w:rsidP="00776301">
      <w:pPr>
        <w:pStyle w:val="ListParagraph"/>
        <w:numPr>
          <w:ilvl w:val="0"/>
          <w:numId w:val="4"/>
        </w:numPr>
        <w:spacing w:line="360" w:lineRule="auto"/>
        <w:jc w:val="both"/>
        <w:rPr>
          <w:rFonts w:ascii="Arial" w:hAnsi="Arial" w:cs="Arial"/>
          <w:sz w:val="24"/>
        </w:rPr>
      </w:pPr>
      <w:r w:rsidRPr="007C28EC">
        <w:rPr>
          <w:rFonts w:ascii="Arial" w:hAnsi="Arial" w:cs="Arial"/>
          <w:sz w:val="24"/>
        </w:rPr>
        <w:t>Project C: [(5−</w:t>
      </w:r>
      <w:r w:rsidR="00F71E6C" w:rsidRPr="007C28EC">
        <w:rPr>
          <w:rFonts w:ascii="Arial" w:hAnsi="Arial" w:cs="Arial"/>
          <w:sz w:val="24"/>
        </w:rPr>
        <w:t>10) +(</w:t>
      </w:r>
      <w:r w:rsidRPr="007C28EC">
        <w:rPr>
          <w:rFonts w:ascii="Arial" w:hAnsi="Arial" w:cs="Arial"/>
          <w:sz w:val="24"/>
        </w:rPr>
        <w:t>10−</w:t>
      </w:r>
      <w:r w:rsidR="00F71E6C" w:rsidRPr="007C28EC">
        <w:rPr>
          <w:rFonts w:ascii="Arial" w:hAnsi="Arial" w:cs="Arial"/>
          <w:sz w:val="24"/>
        </w:rPr>
        <w:t>10) +(</w:t>
      </w:r>
      <w:r w:rsidRPr="007C28EC">
        <w:rPr>
          <w:rFonts w:ascii="Arial" w:hAnsi="Arial" w:cs="Arial"/>
          <w:sz w:val="24"/>
        </w:rPr>
        <w:t>20−</w:t>
      </w:r>
      <w:r w:rsidR="00F71E6C" w:rsidRPr="007C28EC">
        <w:rPr>
          <w:rFonts w:ascii="Arial" w:hAnsi="Arial" w:cs="Arial"/>
          <w:sz w:val="24"/>
        </w:rPr>
        <w:t>10) +(</w:t>
      </w:r>
      <w:r w:rsidRPr="007C28EC">
        <w:rPr>
          <w:rFonts w:ascii="Arial" w:hAnsi="Arial" w:cs="Arial"/>
          <w:sz w:val="24"/>
        </w:rPr>
        <w:t>25−</w:t>
      </w:r>
      <w:r w:rsidR="00F71E6C" w:rsidRPr="007C28EC">
        <w:rPr>
          <w:rFonts w:ascii="Arial" w:hAnsi="Arial" w:cs="Arial"/>
          <w:sz w:val="24"/>
        </w:rPr>
        <w:t>10) +(</w:t>
      </w:r>
      <w:r w:rsidRPr="007C28EC">
        <w:rPr>
          <w:rFonts w:ascii="Arial" w:hAnsi="Arial" w:cs="Arial"/>
          <w:sz w:val="24"/>
        </w:rPr>
        <w:t>15−10)] /5 = 5 → ARR = 10%</w:t>
      </w:r>
    </w:p>
    <w:p w14:paraId="1A01A3EC" w14:textId="77777777" w:rsidR="00FC3D07" w:rsidRPr="007C28EC" w:rsidRDefault="00FC3D07" w:rsidP="00B1428C">
      <w:pPr>
        <w:pStyle w:val="Heading2"/>
        <w:rPr>
          <w:color w:val="auto"/>
        </w:rPr>
      </w:pPr>
      <w:bookmarkStart w:id="42" w:name="_Toc217195888"/>
      <w:r w:rsidRPr="007C28EC">
        <w:rPr>
          <w:color w:val="auto"/>
        </w:rPr>
        <w:t>4.5 Net Present Value (NPV)</w:t>
      </w:r>
      <w:bookmarkEnd w:id="42"/>
    </w:p>
    <w:p w14:paraId="4BFA54DF" w14:textId="77777777" w:rsidR="00FC3D07" w:rsidRPr="007C28EC" w:rsidRDefault="00FC3D07" w:rsidP="00FC3D07">
      <w:pPr>
        <w:spacing w:line="360" w:lineRule="auto"/>
        <w:jc w:val="both"/>
        <w:rPr>
          <w:rFonts w:ascii="Arial" w:hAnsi="Arial" w:cs="Arial"/>
          <w:sz w:val="24"/>
        </w:rPr>
      </w:pPr>
      <w:r w:rsidRPr="007C28EC">
        <w:rPr>
          <w:rFonts w:ascii="Arial" w:hAnsi="Arial" w:cs="Arial"/>
          <w:sz w:val="24"/>
        </w:rPr>
        <w:t>NPV accounts for time value of money, discounting cash inflows at 10%:</w:t>
      </w:r>
    </w:p>
    <w:p w14:paraId="5D96DB6E" w14:textId="77777777" w:rsidR="00FC3D07" w:rsidRPr="007C28EC" w:rsidRDefault="00FC3D07" w:rsidP="00B1428C">
      <w:pPr>
        <w:spacing w:line="360" w:lineRule="auto"/>
        <w:jc w:val="center"/>
        <w:rPr>
          <w:rFonts w:ascii="Arial" w:hAnsi="Arial" w:cs="Arial"/>
          <w:sz w:val="32"/>
        </w:rPr>
      </w:pPr>
      <w:r w:rsidRPr="007C28EC">
        <w:rPr>
          <w:rFonts w:ascii="Arial" w:hAnsi="Arial" w:cs="Arial"/>
          <w:sz w:val="32"/>
        </w:rPr>
        <w:t>NPV=</w:t>
      </w:r>
      <w:r w:rsidR="00B1428C" w:rsidRPr="007C28EC">
        <w:rPr>
          <w:rFonts w:ascii="Arial" w:hAnsi="Arial" w:cs="Arial"/>
          <w:sz w:val="32"/>
        </w:rPr>
        <w:t xml:space="preserve"> </w:t>
      </w:r>
      <m:oMath>
        <m:nary>
          <m:naryPr>
            <m:chr m:val="∑"/>
            <m:limLoc m:val="undOvr"/>
            <m:ctrlPr>
              <w:rPr>
                <w:rFonts w:ascii="Cambria Math" w:hAnsi="Cambria Math" w:cs="Arial"/>
                <w:i/>
                <w:sz w:val="32"/>
              </w:rPr>
            </m:ctrlPr>
          </m:naryPr>
          <m:sub>
            <m:r>
              <w:rPr>
                <w:rFonts w:ascii="Cambria Math" w:hAnsi="Cambria Math" w:cs="Arial"/>
                <w:sz w:val="32"/>
              </w:rPr>
              <m:t>t=1</m:t>
            </m:r>
          </m:sub>
          <m:sup>
            <m:r>
              <w:rPr>
                <w:rFonts w:ascii="Cambria Math" w:hAnsi="Cambria Math" w:cs="Arial"/>
                <w:sz w:val="32"/>
              </w:rPr>
              <m:t>n</m:t>
            </m:r>
          </m:sup>
          <m:e>
            <m:f>
              <m:fPr>
                <m:ctrlPr>
                  <w:rPr>
                    <w:rFonts w:ascii="Cambria Math" w:hAnsi="Cambria Math" w:cs="Arial"/>
                    <w:i/>
                    <w:sz w:val="32"/>
                  </w:rPr>
                </m:ctrlPr>
              </m:fPr>
              <m:num>
                <m:r>
                  <w:rPr>
                    <w:rFonts w:ascii="Cambria Math" w:hAnsi="Cambria Math" w:cs="Arial"/>
                    <w:sz w:val="32"/>
                  </w:rPr>
                  <m:t>CFt</m:t>
                </m:r>
              </m:num>
              <m:den>
                <m:d>
                  <m:dPr>
                    <m:ctrlPr>
                      <w:rPr>
                        <w:rFonts w:ascii="Cambria Math" w:hAnsi="Cambria Math" w:cs="Arial"/>
                        <w:i/>
                        <w:sz w:val="32"/>
                      </w:rPr>
                    </m:ctrlPr>
                  </m:dPr>
                  <m:e>
                    <m:r>
                      <w:rPr>
                        <w:rFonts w:ascii="Cambria Math" w:hAnsi="Cambria Math" w:cs="Arial"/>
                        <w:sz w:val="32"/>
                      </w:rPr>
                      <m:t>1+r</m:t>
                    </m:r>
                  </m:e>
                </m:d>
                <m:r>
                  <w:rPr>
                    <w:rFonts w:ascii="Cambria Math" w:hAnsi="Cambria Math" w:cs="Arial"/>
                    <w:sz w:val="32"/>
                  </w:rPr>
                  <m:t>t</m:t>
                </m:r>
              </m:den>
            </m:f>
          </m:e>
        </m:nary>
        <m:r>
          <m:rPr>
            <m:sty m:val="b"/>
          </m:rPr>
          <w:rPr>
            <w:rStyle w:val="mbin"/>
            <w:rFonts w:ascii="Cambria Math" w:hAnsi="Cambria Math"/>
            <w:sz w:val="28"/>
          </w:rPr>
          <m:t>-</m:t>
        </m:r>
        <m:r>
          <m:rPr>
            <m:sty m:val="p"/>
          </m:rPr>
          <w:rPr>
            <w:rStyle w:val="mord"/>
            <w:rFonts w:ascii="Cambria Math" w:hAnsi="Cambria Math"/>
            <w:sz w:val="28"/>
          </w:rPr>
          <m:t>Initial Investment</m:t>
        </m:r>
      </m:oMath>
    </w:p>
    <w:p w14:paraId="7F6D04CA" w14:textId="77777777" w:rsidR="00FC3D07" w:rsidRPr="007C28EC" w:rsidRDefault="00FC3D07" w:rsidP="00FC3D07">
      <w:pPr>
        <w:spacing w:line="360" w:lineRule="auto"/>
        <w:jc w:val="both"/>
        <w:rPr>
          <w:rFonts w:ascii="Arial" w:hAnsi="Arial" w:cs="Arial"/>
          <w:b/>
          <w:sz w:val="24"/>
        </w:rPr>
      </w:pPr>
      <w:r w:rsidRPr="007C28EC">
        <w:rPr>
          <w:rFonts w:ascii="Arial" w:hAnsi="Arial" w:cs="Arial"/>
          <w:b/>
          <w:sz w:val="24"/>
        </w:rPr>
        <w:t>Project A:</w:t>
      </w:r>
    </w:p>
    <w:p w14:paraId="145DC6ED" w14:textId="77777777" w:rsidR="00FC3D07" w:rsidRPr="007C28EC" w:rsidRDefault="00FC3D07" w:rsidP="006D720E">
      <w:pPr>
        <w:pStyle w:val="ListParagraph"/>
        <w:numPr>
          <w:ilvl w:val="0"/>
          <w:numId w:val="5"/>
        </w:numPr>
        <w:spacing w:line="360" w:lineRule="auto"/>
        <w:jc w:val="both"/>
        <w:rPr>
          <w:rFonts w:ascii="Arial" w:hAnsi="Arial" w:cs="Arial"/>
          <w:sz w:val="24"/>
        </w:rPr>
      </w:pPr>
      <w:r w:rsidRPr="007C28EC">
        <w:rPr>
          <w:rFonts w:ascii="Arial" w:hAnsi="Arial" w:cs="Arial"/>
          <w:sz w:val="24"/>
        </w:rPr>
        <w:t>Year 1: 10 / 1.1 = 9.09</w:t>
      </w:r>
    </w:p>
    <w:p w14:paraId="6CA52A37" w14:textId="77777777" w:rsidR="00FC3D07" w:rsidRPr="007C28EC" w:rsidRDefault="00FC3D07" w:rsidP="006D720E">
      <w:pPr>
        <w:pStyle w:val="ListParagraph"/>
        <w:numPr>
          <w:ilvl w:val="0"/>
          <w:numId w:val="5"/>
        </w:numPr>
        <w:spacing w:line="360" w:lineRule="auto"/>
        <w:jc w:val="both"/>
        <w:rPr>
          <w:rFonts w:ascii="Arial" w:hAnsi="Arial" w:cs="Arial"/>
          <w:sz w:val="24"/>
        </w:rPr>
      </w:pPr>
      <w:r w:rsidRPr="007C28EC">
        <w:rPr>
          <w:rFonts w:ascii="Arial" w:hAnsi="Arial" w:cs="Arial"/>
          <w:sz w:val="24"/>
        </w:rPr>
        <w:t>Year 2: 12 / 1.1² = 9.9</w:t>
      </w:r>
    </w:p>
    <w:p w14:paraId="1751820F" w14:textId="77777777" w:rsidR="00FC3D07" w:rsidRPr="007C28EC" w:rsidRDefault="00FC3D07" w:rsidP="006D720E">
      <w:pPr>
        <w:pStyle w:val="ListParagraph"/>
        <w:numPr>
          <w:ilvl w:val="0"/>
          <w:numId w:val="5"/>
        </w:numPr>
        <w:spacing w:line="360" w:lineRule="auto"/>
        <w:jc w:val="both"/>
        <w:rPr>
          <w:rFonts w:ascii="Arial" w:hAnsi="Arial" w:cs="Arial"/>
          <w:sz w:val="24"/>
        </w:rPr>
      </w:pPr>
      <w:r w:rsidRPr="007C28EC">
        <w:rPr>
          <w:rFonts w:ascii="Arial" w:hAnsi="Arial" w:cs="Arial"/>
          <w:sz w:val="24"/>
        </w:rPr>
        <w:t>Year 3: 14 / 1.1³ = 10.52</w:t>
      </w:r>
    </w:p>
    <w:p w14:paraId="2CF73984" w14:textId="77777777" w:rsidR="00FC3D07" w:rsidRPr="007C28EC" w:rsidRDefault="00FC3D07" w:rsidP="006D720E">
      <w:pPr>
        <w:pStyle w:val="ListParagraph"/>
        <w:numPr>
          <w:ilvl w:val="0"/>
          <w:numId w:val="5"/>
        </w:numPr>
        <w:spacing w:line="360" w:lineRule="auto"/>
        <w:jc w:val="both"/>
        <w:rPr>
          <w:rFonts w:ascii="Arial" w:hAnsi="Arial" w:cs="Arial"/>
          <w:sz w:val="24"/>
        </w:rPr>
      </w:pPr>
      <w:r w:rsidRPr="007C28EC">
        <w:rPr>
          <w:rFonts w:ascii="Arial" w:hAnsi="Arial" w:cs="Arial"/>
          <w:sz w:val="24"/>
        </w:rPr>
        <w:t>Year 4: 10 / 1.1⁴ = 6.83</w:t>
      </w:r>
    </w:p>
    <w:p w14:paraId="23663C0B" w14:textId="77777777" w:rsidR="00FC3D07" w:rsidRPr="007C28EC" w:rsidRDefault="00FC3D07" w:rsidP="006D720E">
      <w:pPr>
        <w:pStyle w:val="ListParagraph"/>
        <w:numPr>
          <w:ilvl w:val="0"/>
          <w:numId w:val="5"/>
        </w:numPr>
        <w:spacing w:line="360" w:lineRule="auto"/>
        <w:jc w:val="both"/>
        <w:rPr>
          <w:rFonts w:ascii="Arial" w:hAnsi="Arial" w:cs="Arial"/>
          <w:sz w:val="24"/>
        </w:rPr>
      </w:pPr>
      <w:r w:rsidRPr="007C28EC">
        <w:rPr>
          <w:rFonts w:ascii="Arial" w:hAnsi="Arial" w:cs="Arial"/>
          <w:sz w:val="24"/>
        </w:rPr>
        <w:t>Year 5: 8 / 1.1⁵ = 4.97</w:t>
      </w:r>
    </w:p>
    <w:p w14:paraId="241A4997" w14:textId="77777777" w:rsidR="00FC3D07" w:rsidRPr="007C28EC" w:rsidRDefault="00FC3D07" w:rsidP="00FC3D07">
      <w:pPr>
        <w:spacing w:line="360" w:lineRule="auto"/>
        <w:jc w:val="both"/>
        <w:rPr>
          <w:rFonts w:ascii="Arial" w:hAnsi="Arial" w:cs="Arial"/>
          <w:b/>
          <w:sz w:val="24"/>
        </w:rPr>
      </w:pPr>
      <w:r w:rsidRPr="007C28EC">
        <w:rPr>
          <w:rFonts w:ascii="Arial" w:hAnsi="Arial" w:cs="Arial"/>
          <w:b/>
          <w:sz w:val="24"/>
        </w:rPr>
        <w:t>NPV ≈ £1.33m</w:t>
      </w:r>
    </w:p>
    <w:p w14:paraId="1F85E64C" w14:textId="77777777" w:rsidR="007C28EC" w:rsidRDefault="007C28EC" w:rsidP="00FC3D07">
      <w:pPr>
        <w:spacing w:line="360" w:lineRule="auto"/>
        <w:jc w:val="both"/>
        <w:rPr>
          <w:rFonts w:ascii="Arial" w:hAnsi="Arial" w:cs="Arial"/>
          <w:b/>
          <w:sz w:val="24"/>
        </w:rPr>
      </w:pPr>
    </w:p>
    <w:p w14:paraId="6EE0AD2D" w14:textId="77777777" w:rsidR="00FC3D07" w:rsidRPr="007C28EC" w:rsidRDefault="00FC3D07" w:rsidP="00FC3D07">
      <w:pPr>
        <w:spacing w:line="360" w:lineRule="auto"/>
        <w:jc w:val="both"/>
        <w:rPr>
          <w:rFonts w:ascii="Arial" w:hAnsi="Arial" w:cs="Arial"/>
          <w:b/>
          <w:sz w:val="24"/>
        </w:rPr>
      </w:pPr>
      <w:r w:rsidRPr="007C28EC">
        <w:rPr>
          <w:rFonts w:ascii="Arial" w:hAnsi="Arial" w:cs="Arial"/>
          <w:b/>
          <w:sz w:val="24"/>
        </w:rPr>
        <w:t>Project B:</w:t>
      </w:r>
    </w:p>
    <w:p w14:paraId="3C6080B3" w14:textId="77777777" w:rsidR="00FC3D07" w:rsidRPr="007C28EC" w:rsidRDefault="00FC3D07" w:rsidP="00FC3D07">
      <w:pPr>
        <w:spacing w:line="360" w:lineRule="auto"/>
        <w:jc w:val="both"/>
        <w:rPr>
          <w:rFonts w:ascii="Arial" w:hAnsi="Arial" w:cs="Arial"/>
          <w:sz w:val="24"/>
        </w:rPr>
      </w:pPr>
      <w:r w:rsidRPr="007C28EC">
        <w:rPr>
          <w:rFonts w:ascii="Arial" w:hAnsi="Arial" w:cs="Arial"/>
          <w:sz w:val="24"/>
        </w:rPr>
        <w:t xml:space="preserve">PV of inflows = 6 /1.1 </w:t>
      </w:r>
      <w:r w:rsidR="00B1428C" w:rsidRPr="007C28EC">
        <w:rPr>
          <w:rFonts w:ascii="Arial" w:hAnsi="Arial" w:cs="Arial"/>
          <w:sz w:val="24"/>
        </w:rPr>
        <w:t>+ 6 /1.1² + … + 6 /1.1⁵ ≈ 22.75</w:t>
      </w:r>
    </w:p>
    <w:p w14:paraId="5D361556" w14:textId="77777777" w:rsidR="00FC3D07" w:rsidRPr="007C28EC" w:rsidRDefault="00FC3D07" w:rsidP="00FC3D07">
      <w:pPr>
        <w:spacing w:line="360" w:lineRule="auto"/>
        <w:jc w:val="both"/>
        <w:rPr>
          <w:rFonts w:ascii="Arial" w:hAnsi="Arial" w:cs="Arial"/>
          <w:sz w:val="24"/>
        </w:rPr>
      </w:pPr>
      <w:r w:rsidRPr="007C28EC">
        <w:rPr>
          <w:rFonts w:ascii="Arial" w:hAnsi="Arial" w:cs="Arial"/>
          <w:sz w:val="24"/>
        </w:rPr>
        <w:t>NPV = 22.75 − 30 ≈ −£7.25m</w:t>
      </w:r>
    </w:p>
    <w:p w14:paraId="7EDD7AED" w14:textId="77777777" w:rsidR="00FC3D07" w:rsidRPr="007C28EC" w:rsidRDefault="00FC3D07" w:rsidP="00FC3D07">
      <w:pPr>
        <w:spacing w:line="360" w:lineRule="auto"/>
        <w:jc w:val="both"/>
        <w:rPr>
          <w:rFonts w:ascii="Arial" w:hAnsi="Arial" w:cs="Arial"/>
          <w:b/>
          <w:sz w:val="24"/>
        </w:rPr>
      </w:pPr>
      <w:r w:rsidRPr="007C28EC">
        <w:rPr>
          <w:rFonts w:ascii="Arial" w:hAnsi="Arial" w:cs="Arial"/>
          <w:b/>
          <w:sz w:val="24"/>
        </w:rPr>
        <w:t>Project C:</w:t>
      </w:r>
    </w:p>
    <w:p w14:paraId="11C1CB83" w14:textId="77777777" w:rsidR="00FC3D07" w:rsidRPr="007C28EC" w:rsidRDefault="00FC3D07" w:rsidP="00FC3D07">
      <w:pPr>
        <w:spacing w:line="360" w:lineRule="auto"/>
        <w:jc w:val="both"/>
        <w:rPr>
          <w:rFonts w:ascii="Arial" w:hAnsi="Arial" w:cs="Arial"/>
          <w:sz w:val="24"/>
        </w:rPr>
      </w:pPr>
      <w:r w:rsidRPr="007C28EC">
        <w:rPr>
          <w:rFonts w:ascii="Arial" w:hAnsi="Arial" w:cs="Arial"/>
          <w:sz w:val="24"/>
        </w:rPr>
        <w:t>PV of inflows = 5 /1.1 + 10 /1.1² + 20 /1.1³ + 25 /1.1⁴ + 15 /1.1⁵ ≈ 54.23</w:t>
      </w:r>
    </w:p>
    <w:p w14:paraId="52A92C57" w14:textId="77777777" w:rsidR="00FC3D07" w:rsidRPr="007C28EC" w:rsidRDefault="00FC3D07" w:rsidP="00FC3D07">
      <w:pPr>
        <w:spacing w:line="360" w:lineRule="auto"/>
        <w:jc w:val="both"/>
        <w:rPr>
          <w:rFonts w:ascii="Arial" w:hAnsi="Arial" w:cs="Arial"/>
          <w:sz w:val="24"/>
        </w:rPr>
      </w:pPr>
      <w:r w:rsidRPr="007C28EC">
        <w:rPr>
          <w:rFonts w:ascii="Arial" w:hAnsi="Arial" w:cs="Arial"/>
          <w:sz w:val="24"/>
        </w:rPr>
        <w:t>NPV = 54.23 − 50 ≈ £4.23m</w:t>
      </w:r>
    </w:p>
    <w:p w14:paraId="3F16F7F2" w14:textId="77777777" w:rsidR="009C3786" w:rsidRPr="007C28EC" w:rsidRDefault="00AB4B34" w:rsidP="00905AAA">
      <w:pPr>
        <w:pStyle w:val="Heading2"/>
        <w:rPr>
          <w:color w:val="auto"/>
        </w:rPr>
      </w:pPr>
      <w:bookmarkStart w:id="43" w:name="_Toc217195889"/>
      <w:r w:rsidRPr="007C28EC">
        <w:rPr>
          <w:color w:val="auto"/>
        </w:rPr>
        <w:t>4.6 Profitability Index (PI)</w:t>
      </w:r>
      <w:bookmarkEnd w:id="43"/>
    </w:p>
    <w:p w14:paraId="6F32DFCB" w14:textId="77777777" w:rsidR="00AB4B34" w:rsidRPr="007C28EC" w:rsidRDefault="00AB4B34" w:rsidP="009C3786">
      <w:pPr>
        <w:spacing w:line="360" w:lineRule="auto"/>
        <w:jc w:val="center"/>
        <w:rPr>
          <w:rFonts w:ascii="Arial" w:hAnsi="Arial" w:cs="Arial"/>
          <w:sz w:val="28"/>
          <w:szCs w:val="28"/>
        </w:rPr>
      </w:pPr>
      <w:r w:rsidRPr="007C28EC">
        <w:rPr>
          <w:rFonts w:ascii="Arial" w:hAnsi="Arial" w:cs="Arial"/>
          <w:sz w:val="28"/>
          <w:szCs w:val="28"/>
        </w:rPr>
        <w:t>PI=</w:t>
      </w:r>
      <w:r w:rsidR="009C3786" w:rsidRPr="007C28EC">
        <w:rPr>
          <w:rFonts w:ascii="Arial" w:hAnsi="Arial" w:cs="Arial"/>
          <w:sz w:val="28"/>
          <w:szCs w:val="28"/>
        </w:rPr>
        <w:t xml:space="preserve"> </w:t>
      </w:r>
      <m:oMath>
        <m:f>
          <m:fPr>
            <m:ctrlPr>
              <w:rPr>
                <w:rFonts w:ascii="Cambria Math" w:hAnsi="Cambria Math" w:cs="Arial"/>
                <w:i/>
                <w:sz w:val="28"/>
                <w:szCs w:val="28"/>
              </w:rPr>
            </m:ctrlPr>
          </m:fPr>
          <m:num>
            <m:r>
              <w:rPr>
                <w:rFonts w:ascii="Cambria Math" w:hAnsi="Cambria Math" w:cs="Arial"/>
                <w:sz w:val="28"/>
                <w:szCs w:val="28"/>
              </w:rPr>
              <m:t>PV of cash inflows</m:t>
            </m:r>
          </m:num>
          <m:den>
            <m:r>
              <w:rPr>
                <w:rFonts w:ascii="Cambria Math" w:hAnsi="Cambria Math" w:cs="Arial"/>
                <w:sz w:val="28"/>
                <w:szCs w:val="28"/>
              </w:rPr>
              <m:t>Initial Investment</m:t>
            </m:r>
          </m:den>
        </m:f>
      </m:oMath>
    </w:p>
    <w:p w14:paraId="0DC069A2" w14:textId="77777777" w:rsidR="00AB4B34" w:rsidRPr="007C28EC" w:rsidRDefault="00AB4B34" w:rsidP="006D720E">
      <w:pPr>
        <w:pStyle w:val="ListParagraph"/>
        <w:numPr>
          <w:ilvl w:val="0"/>
          <w:numId w:val="6"/>
        </w:numPr>
        <w:spacing w:line="360" w:lineRule="auto"/>
        <w:jc w:val="both"/>
        <w:rPr>
          <w:rFonts w:ascii="Arial" w:hAnsi="Arial" w:cs="Arial"/>
          <w:sz w:val="24"/>
        </w:rPr>
      </w:pPr>
      <w:r w:rsidRPr="007C28EC">
        <w:rPr>
          <w:rFonts w:ascii="Arial" w:hAnsi="Arial" w:cs="Arial"/>
          <w:sz w:val="24"/>
        </w:rPr>
        <w:t>Project A: 41.33/40 ≈ 1.033</w:t>
      </w:r>
    </w:p>
    <w:p w14:paraId="29A11B22" w14:textId="77777777" w:rsidR="00AB4B34" w:rsidRPr="007C28EC" w:rsidRDefault="00AB4B34" w:rsidP="006D720E">
      <w:pPr>
        <w:pStyle w:val="ListParagraph"/>
        <w:numPr>
          <w:ilvl w:val="0"/>
          <w:numId w:val="6"/>
        </w:numPr>
        <w:spacing w:line="360" w:lineRule="auto"/>
        <w:jc w:val="both"/>
        <w:rPr>
          <w:rFonts w:ascii="Arial" w:hAnsi="Arial" w:cs="Arial"/>
          <w:sz w:val="24"/>
        </w:rPr>
      </w:pPr>
      <w:r w:rsidRPr="007C28EC">
        <w:rPr>
          <w:rFonts w:ascii="Arial" w:hAnsi="Arial" w:cs="Arial"/>
          <w:sz w:val="24"/>
        </w:rPr>
        <w:t>Project B: 22.75/30 ≈ 0.758</w:t>
      </w:r>
    </w:p>
    <w:p w14:paraId="249AB26F" w14:textId="77777777" w:rsidR="005078E5" w:rsidRPr="007C28EC" w:rsidRDefault="00AB4B34" w:rsidP="005078E5">
      <w:pPr>
        <w:pStyle w:val="ListParagraph"/>
        <w:numPr>
          <w:ilvl w:val="0"/>
          <w:numId w:val="6"/>
        </w:numPr>
        <w:spacing w:line="360" w:lineRule="auto"/>
        <w:jc w:val="both"/>
        <w:rPr>
          <w:rFonts w:ascii="Arial" w:hAnsi="Arial" w:cs="Arial"/>
          <w:sz w:val="24"/>
        </w:rPr>
      </w:pPr>
      <w:r w:rsidRPr="007C28EC">
        <w:rPr>
          <w:rFonts w:ascii="Arial" w:hAnsi="Arial" w:cs="Arial"/>
          <w:sz w:val="24"/>
        </w:rPr>
        <w:t>Project C: 54.23/50 ≈ 1.085</w:t>
      </w:r>
    </w:p>
    <w:p w14:paraId="5DBBFFF3" w14:textId="77777777" w:rsidR="00857507" w:rsidRPr="007C28EC" w:rsidRDefault="00AB4B34" w:rsidP="00905AAA">
      <w:pPr>
        <w:pStyle w:val="Heading2"/>
        <w:rPr>
          <w:color w:val="auto"/>
        </w:rPr>
      </w:pPr>
      <w:bookmarkStart w:id="44" w:name="_Toc217195890"/>
      <w:r w:rsidRPr="007C28EC">
        <w:rPr>
          <w:color w:val="auto"/>
        </w:rPr>
        <w:t>4.7 Internal Rate of Return (IRR)</w:t>
      </w:r>
      <w:bookmarkEnd w:id="44"/>
    </w:p>
    <w:p w14:paraId="1056ECE4" w14:textId="77777777" w:rsidR="00AB4B34" w:rsidRPr="007C28EC" w:rsidRDefault="00AB4B34" w:rsidP="00AB4B34">
      <w:pPr>
        <w:spacing w:line="360" w:lineRule="auto"/>
        <w:jc w:val="both"/>
        <w:rPr>
          <w:rFonts w:ascii="Arial" w:hAnsi="Arial" w:cs="Arial"/>
          <w:sz w:val="24"/>
        </w:rPr>
      </w:pPr>
      <w:r w:rsidRPr="007C28EC">
        <w:rPr>
          <w:rFonts w:ascii="Arial" w:hAnsi="Arial" w:cs="Arial"/>
          <w:sz w:val="24"/>
        </w:rPr>
        <w:t>IRR is the discount rate that makes NPV = 0:</w:t>
      </w:r>
    </w:p>
    <w:p w14:paraId="71CA919C" w14:textId="77777777" w:rsidR="00AB4B34" w:rsidRPr="007C28EC" w:rsidRDefault="00AB4B34" w:rsidP="006D720E">
      <w:pPr>
        <w:pStyle w:val="ListParagraph"/>
        <w:numPr>
          <w:ilvl w:val="0"/>
          <w:numId w:val="7"/>
        </w:numPr>
        <w:spacing w:line="360" w:lineRule="auto"/>
        <w:jc w:val="both"/>
        <w:rPr>
          <w:rFonts w:ascii="Arial" w:hAnsi="Arial" w:cs="Arial"/>
          <w:sz w:val="24"/>
        </w:rPr>
      </w:pPr>
      <w:r w:rsidRPr="007C28EC">
        <w:rPr>
          <w:rFonts w:ascii="Arial" w:hAnsi="Arial" w:cs="Arial"/>
          <w:sz w:val="24"/>
        </w:rPr>
        <w:t>Project A: IRR ≈ 11%</w:t>
      </w:r>
    </w:p>
    <w:p w14:paraId="03410303" w14:textId="77777777" w:rsidR="00AB4B34" w:rsidRPr="007C28EC" w:rsidRDefault="00AB4B34" w:rsidP="006D720E">
      <w:pPr>
        <w:pStyle w:val="ListParagraph"/>
        <w:numPr>
          <w:ilvl w:val="0"/>
          <w:numId w:val="7"/>
        </w:numPr>
        <w:spacing w:line="360" w:lineRule="auto"/>
        <w:jc w:val="both"/>
        <w:rPr>
          <w:rFonts w:ascii="Arial" w:hAnsi="Arial" w:cs="Arial"/>
          <w:sz w:val="24"/>
        </w:rPr>
      </w:pPr>
      <w:r w:rsidRPr="007C28EC">
        <w:rPr>
          <w:rFonts w:ascii="Arial" w:hAnsi="Arial" w:cs="Arial"/>
          <w:sz w:val="24"/>
        </w:rPr>
        <w:t>Project B: IRR &lt; 10%</w:t>
      </w:r>
    </w:p>
    <w:p w14:paraId="701D4ECC" w14:textId="77777777" w:rsidR="00AB4B34" w:rsidRPr="007C28EC" w:rsidRDefault="00AB4B34" w:rsidP="006D720E">
      <w:pPr>
        <w:pStyle w:val="ListParagraph"/>
        <w:numPr>
          <w:ilvl w:val="0"/>
          <w:numId w:val="7"/>
        </w:numPr>
        <w:spacing w:line="360" w:lineRule="auto"/>
        <w:jc w:val="both"/>
        <w:rPr>
          <w:rFonts w:ascii="Arial" w:hAnsi="Arial" w:cs="Arial"/>
          <w:sz w:val="24"/>
        </w:rPr>
      </w:pPr>
      <w:r w:rsidRPr="007C28EC">
        <w:rPr>
          <w:rFonts w:ascii="Arial" w:hAnsi="Arial" w:cs="Arial"/>
          <w:sz w:val="24"/>
        </w:rPr>
        <w:t>Project C: IRR ≈ 12.5%</w:t>
      </w:r>
    </w:p>
    <w:p w14:paraId="2F64D79B" w14:textId="77777777" w:rsidR="00AB4B34" w:rsidRPr="007C28EC" w:rsidRDefault="00AB4B34" w:rsidP="00857507">
      <w:pPr>
        <w:pStyle w:val="Heading2"/>
        <w:rPr>
          <w:color w:val="auto"/>
        </w:rPr>
      </w:pPr>
      <w:bookmarkStart w:id="45" w:name="_Toc217195891"/>
      <w:r w:rsidRPr="007C28EC">
        <w:rPr>
          <w:color w:val="auto"/>
        </w:rPr>
        <w:t>4.8 Capital Rationing Analysis</w:t>
      </w:r>
      <w:bookmarkEnd w:id="45"/>
    </w:p>
    <w:p w14:paraId="4AB02A80" w14:textId="77777777" w:rsidR="00AB4B34" w:rsidRPr="007C28EC" w:rsidRDefault="00AB4B34" w:rsidP="00AB4B34">
      <w:pPr>
        <w:spacing w:line="360" w:lineRule="auto"/>
        <w:jc w:val="both"/>
        <w:rPr>
          <w:rFonts w:ascii="Arial" w:hAnsi="Arial" w:cs="Arial"/>
          <w:sz w:val="24"/>
        </w:rPr>
      </w:pPr>
      <w:r w:rsidRPr="007C28EC">
        <w:rPr>
          <w:rFonts w:ascii="Arial" w:hAnsi="Arial" w:cs="Arial"/>
          <w:sz w:val="24"/>
        </w:rPr>
        <w:t>Available capital: £60m</w:t>
      </w:r>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0E274EFD" w14:textId="77777777" w:rsidTr="00AB4B34">
        <w:tc>
          <w:tcPr>
            <w:tcW w:w="2337" w:type="dxa"/>
          </w:tcPr>
          <w:p w14:paraId="635B5E7E" w14:textId="77777777" w:rsidR="00AB4B34" w:rsidRPr="007C28EC" w:rsidRDefault="00AB4B34" w:rsidP="00037DCA">
            <w:pPr>
              <w:spacing w:line="360" w:lineRule="auto"/>
              <w:jc w:val="both"/>
              <w:rPr>
                <w:rFonts w:ascii="Arial" w:hAnsi="Arial" w:cs="Arial"/>
                <w:b/>
                <w:sz w:val="24"/>
              </w:rPr>
            </w:pPr>
            <w:r w:rsidRPr="007C28EC">
              <w:rPr>
                <w:rFonts w:ascii="Arial" w:hAnsi="Arial" w:cs="Arial"/>
                <w:b/>
                <w:sz w:val="24"/>
              </w:rPr>
              <w:t>Combination</w:t>
            </w:r>
          </w:p>
        </w:tc>
        <w:tc>
          <w:tcPr>
            <w:tcW w:w="2337" w:type="dxa"/>
          </w:tcPr>
          <w:p w14:paraId="4344FA7D" w14:textId="77777777" w:rsidR="00AB4B34" w:rsidRPr="007C28EC" w:rsidRDefault="00AB4B34" w:rsidP="00037DCA">
            <w:pPr>
              <w:spacing w:line="360" w:lineRule="auto"/>
              <w:jc w:val="both"/>
              <w:rPr>
                <w:rFonts w:ascii="Arial" w:hAnsi="Arial" w:cs="Arial"/>
                <w:b/>
                <w:sz w:val="24"/>
              </w:rPr>
            </w:pPr>
            <w:r w:rsidRPr="007C28EC">
              <w:rPr>
                <w:rFonts w:ascii="Arial" w:hAnsi="Arial" w:cs="Arial"/>
                <w:b/>
                <w:sz w:val="24"/>
              </w:rPr>
              <w:t>Investment (£m)</w:t>
            </w:r>
          </w:p>
        </w:tc>
        <w:tc>
          <w:tcPr>
            <w:tcW w:w="2338" w:type="dxa"/>
          </w:tcPr>
          <w:p w14:paraId="484A6AC5" w14:textId="77777777" w:rsidR="00AB4B34" w:rsidRPr="007C28EC" w:rsidRDefault="00AB4B34" w:rsidP="00037DCA">
            <w:pPr>
              <w:spacing w:line="360" w:lineRule="auto"/>
              <w:jc w:val="both"/>
              <w:rPr>
                <w:rFonts w:ascii="Arial" w:hAnsi="Arial" w:cs="Arial"/>
                <w:b/>
                <w:sz w:val="24"/>
              </w:rPr>
            </w:pPr>
            <w:r w:rsidRPr="007C28EC">
              <w:rPr>
                <w:rFonts w:ascii="Arial" w:hAnsi="Arial" w:cs="Arial"/>
                <w:b/>
                <w:sz w:val="24"/>
              </w:rPr>
              <w:t>NPV (£m)</w:t>
            </w:r>
          </w:p>
        </w:tc>
        <w:tc>
          <w:tcPr>
            <w:tcW w:w="2338" w:type="dxa"/>
          </w:tcPr>
          <w:p w14:paraId="69EEEDD7" w14:textId="77777777" w:rsidR="00AB4B34" w:rsidRPr="007C28EC" w:rsidRDefault="00AB4B34" w:rsidP="00037DCA">
            <w:pPr>
              <w:spacing w:line="360" w:lineRule="auto"/>
              <w:jc w:val="both"/>
              <w:rPr>
                <w:rFonts w:ascii="Arial" w:hAnsi="Arial" w:cs="Arial"/>
                <w:b/>
                <w:sz w:val="24"/>
              </w:rPr>
            </w:pPr>
            <w:r w:rsidRPr="007C28EC">
              <w:rPr>
                <w:rFonts w:ascii="Arial" w:hAnsi="Arial" w:cs="Arial"/>
                <w:b/>
                <w:sz w:val="24"/>
              </w:rPr>
              <w:t>Feasible?</w:t>
            </w:r>
          </w:p>
        </w:tc>
      </w:tr>
      <w:tr w:rsidR="007C28EC" w:rsidRPr="007C28EC" w14:paraId="65C8250A" w14:textId="77777777" w:rsidTr="00AB4B34">
        <w:tc>
          <w:tcPr>
            <w:tcW w:w="2337" w:type="dxa"/>
          </w:tcPr>
          <w:p w14:paraId="150DF962"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A + B</w:t>
            </w:r>
          </w:p>
        </w:tc>
        <w:tc>
          <w:tcPr>
            <w:tcW w:w="2337" w:type="dxa"/>
          </w:tcPr>
          <w:p w14:paraId="5424E44A"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70</w:t>
            </w:r>
          </w:p>
        </w:tc>
        <w:tc>
          <w:tcPr>
            <w:tcW w:w="2338" w:type="dxa"/>
          </w:tcPr>
          <w:p w14:paraId="2656D3DC"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w:t>
            </w:r>
          </w:p>
        </w:tc>
        <w:tc>
          <w:tcPr>
            <w:tcW w:w="2338" w:type="dxa"/>
          </w:tcPr>
          <w:p w14:paraId="6C0A64C1"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No</w:t>
            </w:r>
          </w:p>
        </w:tc>
      </w:tr>
      <w:tr w:rsidR="007C28EC" w:rsidRPr="007C28EC" w14:paraId="0442B16C" w14:textId="77777777" w:rsidTr="00AB4B34">
        <w:tc>
          <w:tcPr>
            <w:tcW w:w="2337" w:type="dxa"/>
          </w:tcPr>
          <w:p w14:paraId="4A41E43F"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A + C</w:t>
            </w:r>
          </w:p>
        </w:tc>
        <w:tc>
          <w:tcPr>
            <w:tcW w:w="2337" w:type="dxa"/>
          </w:tcPr>
          <w:p w14:paraId="5CDE2924"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90</w:t>
            </w:r>
          </w:p>
        </w:tc>
        <w:tc>
          <w:tcPr>
            <w:tcW w:w="2338" w:type="dxa"/>
          </w:tcPr>
          <w:p w14:paraId="51DD2544"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w:t>
            </w:r>
          </w:p>
        </w:tc>
        <w:tc>
          <w:tcPr>
            <w:tcW w:w="2338" w:type="dxa"/>
          </w:tcPr>
          <w:p w14:paraId="2BEB7DB7"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No</w:t>
            </w:r>
          </w:p>
        </w:tc>
      </w:tr>
      <w:tr w:rsidR="007C28EC" w:rsidRPr="007C28EC" w14:paraId="2EC3CD4D" w14:textId="77777777" w:rsidTr="00AB4B34">
        <w:tc>
          <w:tcPr>
            <w:tcW w:w="2337" w:type="dxa"/>
          </w:tcPr>
          <w:p w14:paraId="0D9D2AD8"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B + C</w:t>
            </w:r>
          </w:p>
        </w:tc>
        <w:tc>
          <w:tcPr>
            <w:tcW w:w="2337" w:type="dxa"/>
          </w:tcPr>
          <w:p w14:paraId="61815332"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80</w:t>
            </w:r>
          </w:p>
        </w:tc>
        <w:tc>
          <w:tcPr>
            <w:tcW w:w="2338" w:type="dxa"/>
          </w:tcPr>
          <w:p w14:paraId="39617DE1"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w:t>
            </w:r>
          </w:p>
        </w:tc>
        <w:tc>
          <w:tcPr>
            <w:tcW w:w="2338" w:type="dxa"/>
          </w:tcPr>
          <w:p w14:paraId="6C26FCF9"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No</w:t>
            </w:r>
          </w:p>
        </w:tc>
      </w:tr>
      <w:tr w:rsidR="007C28EC" w:rsidRPr="007C28EC" w14:paraId="68B5C5A4" w14:textId="77777777" w:rsidTr="00AB4B34">
        <w:tc>
          <w:tcPr>
            <w:tcW w:w="2337" w:type="dxa"/>
          </w:tcPr>
          <w:p w14:paraId="28A7CB94" w14:textId="77777777" w:rsidR="00AB4B34" w:rsidRPr="007C28EC" w:rsidRDefault="00AB4B34" w:rsidP="00037DCA">
            <w:pPr>
              <w:spacing w:line="360" w:lineRule="auto"/>
              <w:jc w:val="both"/>
              <w:rPr>
                <w:rFonts w:ascii="Arial" w:hAnsi="Arial" w:cs="Arial"/>
                <w:sz w:val="24"/>
              </w:rPr>
            </w:pPr>
            <w:proofErr w:type="gramStart"/>
            <w:r w:rsidRPr="007C28EC">
              <w:rPr>
                <w:rFonts w:ascii="Arial" w:hAnsi="Arial" w:cs="Arial"/>
                <w:sz w:val="24"/>
              </w:rPr>
              <w:t>A</w:t>
            </w:r>
            <w:proofErr w:type="gramEnd"/>
            <w:r w:rsidRPr="007C28EC">
              <w:rPr>
                <w:rFonts w:ascii="Arial" w:hAnsi="Arial" w:cs="Arial"/>
                <w:sz w:val="24"/>
              </w:rPr>
              <w:t xml:space="preserve"> only</w:t>
            </w:r>
          </w:p>
        </w:tc>
        <w:tc>
          <w:tcPr>
            <w:tcW w:w="2337" w:type="dxa"/>
          </w:tcPr>
          <w:p w14:paraId="4839C6FB"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40</w:t>
            </w:r>
          </w:p>
        </w:tc>
        <w:tc>
          <w:tcPr>
            <w:tcW w:w="2338" w:type="dxa"/>
          </w:tcPr>
          <w:p w14:paraId="6B935955"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1.33</w:t>
            </w:r>
          </w:p>
        </w:tc>
        <w:tc>
          <w:tcPr>
            <w:tcW w:w="2338" w:type="dxa"/>
          </w:tcPr>
          <w:p w14:paraId="0ED6FD08"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Yes</w:t>
            </w:r>
          </w:p>
        </w:tc>
      </w:tr>
      <w:tr w:rsidR="007C28EC" w:rsidRPr="007C28EC" w14:paraId="64A6F0E4" w14:textId="77777777" w:rsidTr="00AB4B34">
        <w:tc>
          <w:tcPr>
            <w:tcW w:w="2337" w:type="dxa"/>
          </w:tcPr>
          <w:p w14:paraId="206C0517"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B only</w:t>
            </w:r>
          </w:p>
        </w:tc>
        <w:tc>
          <w:tcPr>
            <w:tcW w:w="2337" w:type="dxa"/>
          </w:tcPr>
          <w:p w14:paraId="6B0BF508"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30</w:t>
            </w:r>
          </w:p>
        </w:tc>
        <w:tc>
          <w:tcPr>
            <w:tcW w:w="2338" w:type="dxa"/>
          </w:tcPr>
          <w:p w14:paraId="44C41E28"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−7.25</w:t>
            </w:r>
          </w:p>
        </w:tc>
        <w:tc>
          <w:tcPr>
            <w:tcW w:w="2338" w:type="dxa"/>
          </w:tcPr>
          <w:p w14:paraId="32C5ADBD"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Yes</w:t>
            </w:r>
          </w:p>
        </w:tc>
      </w:tr>
      <w:tr w:rsidR="007C28EC" w:rsidRPr="007C28EC" w14:paraId="2B2C2D3C" w14:textId="77777777" w:rsidTr="00AB4B34">
        <w:tc>
          <w:tcPr>
            <w:tcW w:w="2337" w:type="dxa"/>
          </w:tcPr>
          <w:p w14:paraId="737454BC"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C only</w:t>
            </w:r>
          </w:p>
        </w:tc>
        <w:tc>
          <w:tcPr>
            <w:tcW w:w="2337" w:type="dxa"/>
          </w:tcPr>
          <w:p w14:paraId="50E39E71"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50</w:t>
            </w:r>
          </w:p>
        </w:tc>
        <w:tc>
          <w:tcPr>
            <w:tcW w:w="2338" w:type="dxa"/>
          </w:tcPr>
          <w:p w14:paraId="47422F57"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4.23</w:t>
            </w:r>
          </w:p>
        </w:tc>
        <w:tc>
          <w:tcPr>
            <w:tcW w:w="2338" w:type="dxa"/>
          </w:tcPr>
          <w:p w14:paraId="511EF1B9" w14:textId="77777777" w:rsidR="00AB4B34" w:rsidRPr="007C28EC" w:rsidRDefault="00AB4B34" w:rsidP="00037DCA">
            <w:pPr>
              <w:spacing w:line="360" w:lineRule="auto"/>
              <w:jc w:val="both"/>
              <w:rPr>
                <w:rFonts w:ascii="Arial" w:hAnsi="Arial" w:cs="Arial"/>
                <w:sz w:val="24"/>
              </w:rPr>
            </w:pPr>
            <w:r w:rsidRPr="007C28EC">
              <w:rPr>
                <w:rFonts w:ascii="Arial" w:hAnsi="Arial" w:cs="Arial"/>
                <w:sz w:val="24"/>
              </w:rPr>
              <w:t>Yes</w:t>
            </w:r>
          </w:p>
        </w:tc>
      </w:tr>
    </w:tbl>
    <w:p w14:paraId="58D02745" w14:textId="77777777" w:rsidR="008812A2" w:rsidRPr="007C28EC" w:rsidRDefault="007C28EC" w:rsidP="007C28EC">
      <w:pPr>
        <w:tabs>
          <w:tab w:val="left" w:pos="2030"/>
        </w:tabs>
        <w:spacing w:line="360" w:lineRule="auto"/>
        <w:jc w:val="both"/>
        <w:rPr>
          <w:rFonts w:ascii="Arial" w:hAnsi="Arial" w:cs="Arial"/>
          <w:sz w:val="24"/>
        </w:rPr>
      </w:pPr>
      <w:r>
        <w:rPr>
          <w:rFonts w:ascii="Arial" w:hAnsi="Arial" w:cs="Arial"/>
          <w:sz w:val="24"/>
        </w:rPr>
        <w:tab/>
      </w:r>
    </w:p>
    <w:p w14:paraId="447F5F0D" w14:textId="77777777" w:rsidR="0067566B" w:rsidRPr="007C28EC" w:rsidRDefault="00360C1E" w:rsidP="007C28EC">
      <w:pPr>
        <w:pStyle w:val="Heading1"/>
        <w:spacing w:after="240"/>
        <w:rPr>
          <w:color w:val="auto"/>
        </w:rPr>
      </w:pPr>
      <w:bookmarkStart w:id="46" w:name="_Toc217195892"/>
      <w:r w:rsidRPr="007C28EC">
        <w:rPr>
          <w:color w:val="auto"/>
        </w:rPr>
        <w:t xml:space="preserve">5. </w:t>
      </w:r>
      <w:r w:rsidR="0067566B" w:rsidRPr="007C28EC">
        <w:rPr>
          <w:color w:val="auto"/>
        </w:rPr>
        <w:t>Conclusion</w:t>
      </w:r>
      <w:bookmarkEnd w:id="46"/>
    </w:p>
    <w:p w14:paraId="656E5F85" w14:textId="77777777" w:rsidR="0067566B" w:rsidRPr="007C28EC" w:rsidRDefault="004E6034" w:rsidP="007C28EC">
      <w:pPr>
        <w:spacing w:after="240" w:line="360" w:lineRule="auto"/>
        <w:jc w:val="both"/>
        <w:rPr>
          <w:rFonts w:ascii="Arial" w:hAnsi="Arial" w:cs="Arial"/>
          <w:sz w:val="24"/>
        </w:rPr>
      </w:pPr>
      <w:r w:rsidRPr="007C28EC">
        <w:rPr>
          <w:rFonts w:ascii="Arial" w:hAnsi="Arial" w:cs="Arial"/>
          <w:sz w:val="24"/>
        </w:rPr>
        <w:t>The financial comparison of General Electronics within the last five years depicts a company which is facing a decreasing profitability, increasing leverage, and liquidity strain which puts the company in a great financial danger. Ratio analysis also revealed that there were declining operating and net profit margins, adverse returns on assets and equity and declining interest coverage ratios, which reflected the operational inefficiencies as well as financial distress. The cash flow analysis indicated that there is a decreasing operational cash inflow, whereas the Altman Z"-Score indicated that the company is at a moderate risk of default, which highlights the necessity of a financial restructuring. The working capital analysis revealed that the company had inefficiencies in its inventory management and receivables collection, which should be improved to reduce the cash conversion cycle and increase the liquidity. The suggested strategic financial restructuring plan suggested debt refinancing, and equity infusion, along with the non-core asset divestitures and possible strategic alliances/mergers, with the international and ethical perspectives to be utilized to make it global and compliant. These strategies will strive to create operational flexibility, financial risk reduction and shareholder value creation. PBP, ARR, NPV, PI, and IRR investment appraisal of the three suggested projects showed that the best PBP NPV (£4.24m), ARR (13%), and index of profitability value (1.08) was Project C, which is financially viable within the capital</w:t>
      </w:r>
      <w:r w:rsidR="007C28EC">
        <w:rPr>
          <w:rFonts w:ascii="Arial" w:hAnsi="Arial" w:cs="Arial"/>
          <w:sz w:val="24"/>
        </w:rPr>
        <w:t xml:space="preserve"> rationing limit of 60 million.</w:t>
      </w:r>
    </w:p>
    <w:p w14:paraId="56535D70" w14:textId="77777777" w:rsidR="0067566B" w:rsidRPr="007C28EC" w:rsidRDefault="0067566B" w:rsidP="0067566B">
      <w:pPr>
        <w:spacing w:line="360" w:lineRule="auto"/>
        <w:jc w:val="both"/>
        <w:rPr>
          <w:rFonts w:ascii="Arial" w:hAnsi="Arial" w:cs="Arial"/>
          <w:sz w:val="24"/>
        </w:rPr>
      </w:pPr>
    </w:p>
    <w:p w14:paraId="57346FA6" w14:textId="77777777" w:rsidR="0067566B" w:rsidRPr="007C28EC" w:rsidRDefault="0067566B" w:rsidP="0067566B">
      <w:pPr>
        <w:spacing w:line="360" w:lineRule="auto"/>
        <w:jc w:val="both"/>
        <w:rPr>
          <w:rFonts w:ascii="Arial" w:hAnsi="Arial" w:cs="Arial"/>
          <w:sz w:val="24"/>
        </w:rPr>
      </w:pPr>
    </w:p>
    <w:p w14:paraId="11AC049B" w14:textId="77777777" w:rsidR="007C28EC" w:rsidRDefault="007C28EC">
      <w:pPr>
        <w:rPr>
          <w:rFonts w:ascii="Arial" w:eastAsiaTheme="majorEastAsia" w:hAnsi="Arial" w:cstheme="majorBidi"/>
          <w:b/>
          <w:sz w:val="32"/>
          <w:szCs w:val="32"/>
        </w:rPr>
      </w:pPr>
      <w:r>
        <w:br w:type="page"/>
      </w:r>
    </w:p>
    <w:p w14:paraId="0F3964DC" w14:textId="77777777" w:rsidR="00F04187" w:rsidRPr="007C28EC" w:rsidRDefault="00360C1E" w:rsidP="007C28EC">
      <w:pPr>
        <w:pStyle w:val="Heading1"/>
        <w:spacing w:after="240"/>
        <w:rPr>
          <w:color w:val="auto"/>
        </w:rPr>
      </w:pPr>
      <w:bookmarkStart w:id="47" w:name="_Toc217195893"/>
      <w:r w:rsidRPr="007C28EC">
        <w:rPr>
          <w:color w:val="auto"/>
        </w:rPr>
        <w:t xml:space="preserve">6. </w:t>
      </w:r>
      <w:r w:rsidR="009E4A11" w:rsidRPr="007C28EC">
        <w:rPr>
          <w:color w:val="auto"/>
        </w:rPr>
        <w:t>Reference</w:t>
      </w:r>
      <w:bookmarkEnd w:id="47"/>
      <w:r w:rsidRPr="007C28EC">
        <w:rPr>
          <w:color w:val="auto"/>
        </w:rPr>
        <w:t xml:space="preserve"> </w:t>
      </w:r>
    </w:p>
    <w:p w14:paraId="27DF0864" w14:textId="77777777" w:rsidR="00B62187" w:rsidRPr="00B62187" w:rsidRDefault="00B62187" w:rsidP="00B62187">
      <w:pPr>
        <w:spacing w:line="360" w:lineRule="auto"/>
        <w:jc w:val="both"/>
        <w:rPr>
          <w:rFonts w:ascii="Arial" w:hAnsi="Arial" w:cs="Arial"/>
          <w:sz w:val="24"/>
          <w:lang w:val="en-US"/>
        </w:rPr>
      </w:pPr>
      <w:proofErr w:type="spellStart"/>
      <w:r w:rsidRPr="00B62187">
        <w:rPr>
          <w:rFonts w:ascii="Arial" w:hAnsi="Arial" w:cs="Arial"/>
          <w:sz w:val="24"/>
          <w:lang w:val="en-US"/>
        </w:rPr>
        <w:t>Brealey</w:t>
      </w:r>
      <w:proofErr w:type="spellEnd"/>
      <w:r w:rsidRPr="00B62187">
        <w:rPr>
          <w:rFonts w:ascii="Arial" w:hAnsi="Arial" w:cs="Arial"/>
          <w:sz w:val="24"/>
          <w:lang w:val="en-US"/>
        </w:rPr>
        <w:t xml:space="preserve">, R.A., Myers, S.C. and Allen, F. (2025) </w:t>
      </w:r>
      <w:r w:rsidRPr="00B62187">
        <w:rPr>
          <w:rFonts w:ascii="Arial" w:hAnsi="Arial" w:cs="Arial"/>
          <w:i/>
          <w:iCs/>
          <w:sz w:val="24"/>
          <w:lang w:val="en-US"/>
        </w:rPr>
        <w:t>Principles of Corporate Finance</w:t>
      </w:r>
      <w:r w:rsidRPr="00B62187">
        <w:rPr>
          <w:rFonts w:ascii="Arial" w:hAnsi="Arial" w:cs="Arial"/>
          <w:sz w:val="24"/>
          <w:lang w:val="en-US"/>
        </w:rPr>
        <w:t xml:space="preserve">. 14th </w:t>
      </w:r>
      <w:proofErr w:type="spellStart"/>
      <w:r w:rsidRPr="00B62187">
        <w:rPr>
          <w:rFonts w:ascii="Arial" w:hAnsi="Arial" w:cs="Arial"/>
          <w:sz w:val="24"/>
          <w:lang w:val="en-US"/>
        </w:rPr>
        <w:t>edn</w:t>
      </w:r>
      <w:proofErr w:type="spellEnd"/>
      <w:r w:rsidRPr="00B62187">
        <w:rPr>
          <w:rFonts w:ascii="Arial" w:hAnsi="Arial" w:cs="Arial"/>
          <w:sz w:val="24"/>
          <w:lang w:val="en-US"/>
        </w:rPr>
        <w:t>. N</w:t>
      </w:r>
      <w:r>
        <w:rPr>
          <w:rFonts w:ascii="Arial" w:hAnsi="Arial" w:cs="Arial"/>
          <w:sz w:val="24"/>
          <w:lang w:val="en-US"/>
        </w:rPr>
        <w:t xml:space="preserve">ew York: McGraw-Hill Education. </w:t>
      </w:r>
      <w:r w:rsidRPr="00B62187">
        <w:rPr>
          <w:rFonts w:ascii="Arial" w:hAnsi="Arial" w:cs="Arial"/>
          <w:sz w:val="24"/>
          <w:lang w:val="en-US"/>
        </w:rPr>
        <w:t xml:space="preserve">Available at: </w:t>
      </w:r>
      <w:hyperlink r:id="rId9" w:history="1">
        <w:r w:rsidRPr="00B62187">
          <w:rPr>
            <w:rStyle w:val="Hyperlink"/>
            <w:rFonts w:ascii="Arial" w:hAnsi="Arial" w:cs="Arial"/>
            <w:sz w:val="24"/>
            <w:lang w:val="en-US"/>
          </w:rPr>
          <w:t>https://www.mheducation.com/highered/product/principles-corporate-finance-brealey/M9781264101573.html</w:t>
        </w:r>
      </w:hyperlink>
      <w:r w:rsidRPr="00B62187">
        <w:rPr>
          <w:rFonts w:ascii="Arial" w:hAnsi="Arial" w:cs="Arial"/>
          <w:sz w:val="24"/>
          <w:lang w:val="en-US"/>
        </w:rPr>
        <w:t xml:space="preserve"> (Accessed: 20 December 2025).</w:t>
      </w:r>
    </w:p>
    <w:p w14:paraId="3251AE35" w14:textId="77777777" w:rsidR="00B62187" w:rsidRPr="00B62187" w:rsidRDefault="00B62187" w:rsidP="00B62187">
      <w:pPr>
        <w:spacing w:line="360" w:lineRule="auto"/>
        <w:jc w:val="both"/>
        <w:rPr>
          <w:rFonts w:ascii="Arial" w:hAnsi="Arial" w:cs="Arial"/>
          <w:sz w:val="24"/>
          <w:lang w:val="en-US"/>
        </w:rPr>
      </w:pPr>
      <w:r w:rsidRPr="00B62187">
        <w:rPr>
          <w:rFonts w:ascii="Arial" w:hAnsi="Arial" w:cs="Arial"/>
          <w:sz w:val="24"/>
          <w:lang w:val="en-US"/>
        </w:rPr>
        <w:t xml:space="preserve">Zhang, Y. (2025) ‘Financial ratio analysis: A literature review’, </w:t>
      </w:r>
      <w:r w:rsidRPr="00B62187">
        <w:rPr>
          <w:rFonts w:ascii="Arial" w:hAnsi="Arial" w:cs="Arial"/>
          <w:i/>
          <w:iCs/>
          <w:sz w:val="24"/>
          <w:lang w:val="en-US"/>
        </w:rPr>
        <w:t>Working Paper</w:t>
      </w:r>
      <w:r w:rsidRPr="00B62187">
        <w:rPr>
          <w:rFonts w:ascii="Arial" w:hAnsi="Arial" w:cs="Arial"/>
          <w:sz w:val="24"/>
          <w:lang w:val="en-US"/>
        </w:rPr>
        <w:t>.</w:t>
      </w:r>
      <w:r w:rsidRPr="00B62187">
        <w:rPr>
          <w:rFonts w:ascii="Arial" w:hAnsi="Arial" w:cs="Arial"/>
          <w:sz w:val="24"/>
          <w:lang w:val="en-US"/>
        </w:rPr>
        <w:br/>
        <w:t xml:space="preserve">Available at: </w:t>
      </w:r>
      <w:hyperlink r:id="rId10" w:history="1">
        <w:r w:rsidRPr="00B62187">
          <w:rPr>
            <w:rStyle w:val="Hyperlink"/>
            <w:rFonts w:ascii="Arial" w:hAnsi="Arial" w:cs="Arial"/>
            <w:sz w:val="24"/>
            <w:lang w:val="en-US"/>
          </w:rPr>
          <w:t>https://papers.ssrn.com</w:t>
        </w:r>
      </w:hyperlink>
      <w:r w:rsidRPr="00B62187">
        <w:rPr>
          <w:rFonts w:ascii="Arial" w:hAnsi="Arial" w:cs="Arial"/>
          <w:sz w:val="24"/>
          <w:lang w:val="en-US"/>
        </w:rPr>
        <w:t xml:space="preserve"> (Accessed: 20 December 2025).</w:t>
      </w:r>
    </w:p>
    <w:p w14:paraId="029504D8" w14:textId="77777777" w:rsidR="00B62187" w:rsidRPr="00B62187" w:rsidRDefault="00B62187" w:rsidP="00B62187">
      <w:pPr>
        <w:spacing w:line="360" w:lineRule="auto"/>
        <w:jc w:val="both"/>
        <w:rPr>
          <w:rFonts w:ascii="Arial" w:hAnsi="Arial" w:cs="Arial"/>
          <w:sz w:val="24"/>
          <w:lang w:val="en-US"/>
        </w:rPr>
      </w:pPr>
      <w:r w:rsidRPr="00B62187">
        <w:rPr>
          <w:rFonts w:ascii="Arial" w:hAnsi="Arial" w:cs="Arial"/>
          <w:sz w:val="24"/>
          <w:lang w:val="en-US"/>
        </w:rPr>
        <w:t xml:space="preserve">CFI Team (2025) </w:t>
      </w:r>
      <w:r w:rsidRPr="00B62187">
        <w:rPr>
          <w:rFonts w:ascii="Arial" w:hAnsi="Arial" w:cs="Arial"/>
          <w:i/>
          <w:iCs/>
          <w:sz w:val="24"/>
          <w:lang w:val="en-US"/>
        </w:rPr>
        <w:t>Altman’s Z-Score model: Overview, formula and interpretation</w:t>
      </w:r>
      <w:r>
        <w:rPr>
          <w:rFonts w:ascii="Arial" w:hAnsi="Arial" w:cs="Arial"/>
          <w:sz w:val="24"/>
          <w:lang w:val="en-US"/>
        </w:rPr>
        <w:t xml:space="preserve">. Corporate Finance Institute. </w:t>
      </w:r>
      <w:r w:rsidRPr="00B62187">
        <w:rPr>
          <w:rFonts w:ascii="Arial" w:hAnsi="Arial" w:cs="Arial"/>
          <w:sz w:val="24"/>
          <w:lang w:val="en-US"/>
        </w:rPr>
        <w:t xml:space="preserve">Available at: </w:t>
      </w:r>
      <w:hyperlink r:id="rId11" w:history="1">
        <w:r w:rsidRPr="00B62187">
          <w:rPr>
            <w:rStyle w:val="Hyperlink"/>
            <w:rFonts w:ascii="Arial" w:hAnsi="Arial" w:cs="Arial"/>
            <w:sz w:val="24"/>
            <w:lang w:val="en-US"/>
          </w:rPr>
          <w:t>https://corporatefinanceinstitute.com/resources/accounting/altmans-z-score-model/</w:t>
        </w:r>
      </w:hyperlink>
      <w:r w:rsidRPr="00B62187">
        <w:rPr>
          <w:rFonts w:ascii="Arial" w:hAnsi="Arial" w:cs="Arial"/>
          <w:sz w:val="24"/>
          <w:lang w:val="en-US"/>
        </w:rPr>
        <w:t xml:space="preserve"> (Accessed: 20 December 2025).</w:t>
      </w:r>
    </w:p>
    <w:p w14:paraId="29E780ED" w14:textId="77777777" w:rsidR="00B62187" w:rsidRPr="00B62187" w:rsidRDefault="00B62187" w:rsidP="00B62187">
      <w:pPr>
        <w:spacing w:line="360" w:lineRule="auto"/>
        <w:jc w:val="both"/>
        <w:rPr>
          <w:rFonts w:ascii="Arial" w:hAnsi="Arial" w:cs="Arial"/>
          <w:sz w:val="24"/>
          <w:lang w:val="en-US"/>
        </w:rPr>
      </w:pPr>
      <w:r w:rsidRPr="00B62187">
        <w:rPr>
          <w:rFonts w:ascii="Arial" w:hAnsi="Arial" w:cs="Arial"/>
          <w:sz w:val="24"/>
          <w:lang w:val="en-US"/>
        </w:rPr>
        <w:t xml:space="preserve">Nia, N.R. (2025) ‘Predicting financial distress using modified Altman Z-score’, </w:t>
      </w:r>
      <w:r w:rsidRPr="00B62187">
        <w:rPr>
          <w:rFonts w:ascii="Arial" w:hAnsi="Arial" w:cs="Arial"/>
          <w:i/>
          <w:iCs/>
          <w:sz w:val="24"/>
          <w:lang w:val="en-US"/>
        </w:rPr>
        <w:t>JE Journal</w:t>
      </w:r>
      <w:r w:rsidRPr="00B62187">
        <w:rPr>
          <w:rFonts w:ascii="Arial" w:hAnsi="Arial" w:cs="Arial"/>
          <w:sz w:val="24"/>
          <w:lang w:val="en-US"/>
        </w:rPr>
        <w:t>.</w:t>
      </w:r>
      <w:r w:rsidRPr="00B62187">
        <w:rPr>
          <w:rFonts w:ascii="Arial" w:hAnsi="Arial" w:cs="Arial"/>
          <w:sz w:val="24"/>
          <w:lang w:val="en-US"/>
        </w:rPr>
        <w:br/>
        <w:t xml:space="preserve">Available at: </w:t>
      </w:r>
      <w:hyperlink r:id="rId12" w:history="1">
        <w:r w:rsidRPr="00B62187">
          <w:rPr>
            <w:rStyle w:val="Hyperlink"/>
            <w:rFonts w:ascii="Arial" w:hAnsi="Arial" w:cs="Arial"/>
            <w:sz w:val="24"/>
            <w:lang w:val="en-US"/>
          </w:rPr>
          <w:t>https://www.researchgate.net</w:t>
        </w:r>
      </w:hyperlink>
      <w:r w:rsidRPr="00B62187">
        <w:rPr>
          <w:rFonts w:ascii="Arial" w:hAnsi="Arial" w:cs="Arial"/>
          <w:sz w:val="24"/>
          <w:lang w:val="en-US"/>
        </w:rPr>
        <w:t xml:space="preserve"> (Accessed: 20 December 2025).</w:t>
      </w:r>
    </w:p>
    <w:p w14:paraId="3149CF41" w14:textId="77777777" w:rsidR="00B62187" w:rsidRPr="00B62187" w:rsidRDefault="00B62187" w:rsidP="00B62187">
      <w:pPr>
        <w:spacing w:line="360" w:lineRule="auto"/>
        <w:jc w:val="both"/>
        <w:rPr>
          <w:rFonts w:ascii="Arial" w:hAnsi="Arial" w:cs="Arial"/>
          <w:sz w:val="24"/>
          <w:lang w:val="en-US"/>
        </w:rPr>
      </w:pPr>
      <w:proofErr w:type="spellStart"/>
      <w:r w:rsidRPr="00B62187">
        <w:rPr>
          <w:rFonts w:ascii="Arial" w:hAnsi="Arial" w:cs="Arial"/>
          <w:sz w:val="24"/>
          <w:lang w:val="en-US"/>
        </w:rPr>
        <w:t>Teja</w:t>
      </w:r>
      <w:proofErr w:type="spellEnd"/>
      <w:r w:rsidRPr="00B62187">
        <w:rPr>
          <w:rFonts w:ascii="Arial" w:hAnsi="Arial" w:cs="Arial"/>
          <w:sz w:val="24"/>
          <w:lang w:val="en-US"/>
        </w:rPr>
        <w:t xml:space="preserve">, M.R. (2025) ‘Predicting bankruptcy and financial distress using Altman and other models’, </w:t>
      </w:r>
      <w:r w:rsidRPr="00B62187">
        <w:rPr>
          <w:rFonts w:ascii="Arial" w:hAnsi="Arial" w:cs="Arial"/>
          <w:i/>
          <w:iCs/>
          <w:sz w:val="24"/>
          <w:lang w:val="en-US"/>
        </w:rPr>
        <w:t>ACR Journal</w:t>
      </w:r>
      <w:r>
        <w:rPr>
          <w:rFonts w:ascii="Arial" w:hAnsi="Arial" w:cs="Arial"/>
          <w:sz w:val="24"/>
          <w:lang w:val="en-US"/>
        </w:rPr>
        <w:t xml:space="preserve">. </w:t>
      </w:r>
      <w:r w:rsidRPr="00B62187">
        <w:rPr>
          <w:rFonts w:ascii="Arial" w:hAnsi="Arial" w:cs="Arial"/>
          <w:sz w:val="24"/>
          <w:lang w:val="en-US"/>
        </w:rPr>
        <w:t xml:space="preserve">Available at: </w:t>
      </w:r>
      <w:hyperlink r:id="rId13" w:history="1">
        <w:r w:rsidRPr="00B62187">
          <w:rPr>
            <w:rStyle w:val="Hyperlink"/>
            <w:rFonts w:ascii="Arial" w:hAnsi="Arial" w:cs="Arial"/>
            <w:sz w:val="24"/>
            <w:lang w:val="en-US"/>
          </w:rPr>
          <w:t>https://www.researchgate.net</w:t>
        </w:r>
      </w:hyperlink>
      <w:r w:rsidRPr="00B62187">
        <w:rPr>
          <w:rFonts w:ascii="Arial" w:hAnsi="Arial" w:cs="Arial"/>
          <w:sz w:val="24"/>
          <w:lang w:val="en-US"/>
        </w:rPr>
        <w:t xml:space="preserve"> (Accessed: 20 December 2025).</w:t>
      </w:r>
    </w:p>
    <w:p w14:paraId="77A0C235" w14:textId="77777777" w:rsidR="00B62187" w:rsidRPr="00B62187" w:rsidRDefault="00B62187" w:rsidP="00B62187">
      <w:pPr>
        <w:spacing w:line="360" w:lineRule="auto"/>
        <w:jc w:val="both"/>
        <w:rPr>
          <w:rFonts w:ascii="Arial" w:hAnsi="Arial" w:cs="Arial"/>
          <w:sz w:val="24"/>
          <w:lang w:val="en-US"/>
        </w:rPr>
      </w:pPr>
      <w:r w:rsidRPr="00B62187">
        <w:rPr>
          <w:rFonts w:ascii="Arial" w:hAnsi="Arial" w:cs="Arial"/>
          <w:sz w:val="24"/>
          <w:lang w:val="en-US"/>
        </w:rPr>
        <w:t xml:space="preserve">Brigham, E.F. and </w:t>
      </w:r>
      <w:proofErr w:type="spellStart"/>
      <w:r w:rsidRPr="00B62187">
        <w:rPr>
          <w:rFonts w:ascii="Arial" w:hAnsi="Arial" w:cs="Arial"/>
          <w:sz w:val="24"/>
          <w:lang w:val="en-US"/>
        </w:rPr>
        <w:t>Daves</w:t>
      </w:r>
      <w:proofErr w:type="spellEnd"/>
      <w:r w:rsidRPr="00B62187">
        <w:rPr>
          <w:rFonts w:ascii="Arial" w:hAnsi="Arial" w:cs="Arial"/>
          <w:sz w:val="24"/>
          <w:lang w:val="en-US"/>
        </w:rPr>
        <w:t xml:space="preserve">, P.R. (2022) </w:t>
      </w:r>
      <w:r w:rsidRPr="00B62187">
        <w:rPr>
          <w:rFonts w:ascii="Arial" w:hAnsi="Arial" w:cs="Arial"/>
          <w:i/>
          <w:iCs/>
          <w:sz w:val="24"/>
          <w:lang w:val="en-US"/>
        </w:rPr>
        <w:t>Intermediate Financial Management</w:t>
      </w:r>
      <w:r w:rsidRPr="00B62187">
        <w:rPr>
          <w:rFonts w:ascii="Arial" w:hAnsi="Arial" w:cs="Arial"/>
          <w:sz w:val="24"/>
          <w:lang w:val="en-US"/>
        </w:rPr>
        <w:t>. 14th</w:t>
      </w:r>
      <w:r>
        <w:rPr>
          <w:rFonts w:ascii="Arial" w:hAnsi="Arial" w:cs="Arial"/>
          <w:sz w:val="24"/>
          <w:lang w:val="en-US"/>
        </w:rPr>
        <w:t xml:space="preserve"> </w:t>
      </w:r>
      <w:proofErr w:type="spellStart"/>
      <w:r>
        <w:rPr>
          <w:rFonts w:ascii="Arial" w:hAnsi="Arial" w:cs="Arial"/>
          <w:sz w:val="24"/>
          <w:lang w:val="en-US"/>
        </w:rPr>
        <w:t>edn</w:t>
      </w:r>
      <w:proofErr w:type="spellEnd"/>
      <w:r>
        <w:rPr>
          <w:rFonts w:ascii="Arial" w:hAnsi="Arial" w:cs="Arial"/>
          <w:sz w:val="24"/>
          <w:lang w:val="en-US"/>
        </w:rPr>
        <w:t xml:space="preserve">. Boston: Cengage Learning. </w:t>
      </w:r>
      <w:r w:rsidRPr="00B62187">
        <w:rPr>
          <w:rFonts w:ascii="Arial" w:hAnsi="Arial" w:cs="Arial"/>
          <w:sz w:val="24"/>
          <w:lang w:val="en-US"/>
        </w:rPr>
        <w:t xml:space="preserve">Available at: </w:t>
      </w:r>
      <w:hyperlink r:id="rId14" w:history="1">
        <w:r w:rsidRPr="00B62187">
          <w:rPr>
            <w:rStyle w:val="Hyperlink"/>
            <w:rFonts w:ascii="Arial" w:hAnsi="Arial" w:cs="Arial"/>
            <w:sz w:val="24"/>
            <w:lang w:val="en-US"/>
          </w:rPr>
          <w:t>https://www.cengage.com/c/intermediate-financial-management-14e-brigham/</w:t>
        </w:r>
      </w:hyperlink>
      <w:r w:rsidRPr="00B62187">
        <w:rPr>
          <w:rFonts w:ascii="Arial" w:hAnsi="Arial" w:cs="Arial"/>
          <w:sz w:val="24"/>
          <w:lang w:val="en-US"/>
        </w:rPr>
        <w:t xml:space="preserve"> (Accessed: 20 December 2025).</w:t>
      </w:r>
    </w:p>
    <w:p w14:paraId="6D476409" w14:textId="77777777" w:rsidR="00B62187" w:rsidRPr="00B62187" w:rsidRDefault="00B62187" w:rsidP="00B62187">
      <w:pPr>
        <w:spacing w:line="360" w:lineRule="auto"/>
        <w:jc w:val="both"/>
        <w:rPr>
          <w:rFonts w:ascii="Arial" w:hAnsi="Arial" w:cs="Arial"/>
          <w:sz w:val="24"/>
          <w:lang w:val="en-US"/>
        </w:rPr>
      </w:pPr>
      <w:proofErr w:type="spellStart"/>
      <w:r w:rsidRPr="00B62187">
        <w:rPr>
          <w:rFonts w:ascii="Arial" w:hAnsi="Arial" w:cs="Arial"/>
          <w:sz w:val="24"/>
          <w:lang w:val="en-US"/>
        </w:rPr>
        <w:t>Atrill</w:t>
      </w:r>
      <w:proofErr w:type="spellEnd"/>
      <w:r w:rsidRPr="00B62187">
        <w:rPr>
          <w:rFonts w:ascii="Arial" w:hAnsi="Arial" w:cs="Arial"/>
          <w:sz w:val="24"/>
          <w:lang w:val="en-US"/>
        </w:rPr>
        <w:t xml:space="preserve">, P. and </w:t>
      </w:r>
      <w:proofErr w:type="spellStart"/>
      <w:r w:rsidRPr="00B62187">
        <w:rPr>
          <w:rFonts w:ascii="Arial" w:hAnsi="Arial" w:cs="Arial"/>
          <w:sz w:val="24"/>
          <w:lang w:val="en-US"/>
        </w:rPr>
        <w:t>McLaney</w:t>
      </w:r>
      <w:proofErr w:type="spellEnd"/>
      <w:r w:rsidRPr="00B62187">
        <w:rPr>
          <w:rFonts w:ascii="Arial" w:hAnsi="Arial" w:cs="Arial"/>
          <w:sz w:val="24"/>
          <w:lang w:val="en-US"/>
        </w:rPr>
        <w:t xml:space="preserve">, E. (2024) </w:t>
      </w:r>
      <w:r w:rsidRPr="00B62187">
        <w:rPr>
          <w:rFonts w:ascii="Arial" w:hAnsi="Arial" w:cs="Arial"/>
          <w:i/>
          <w:iCs/>
          <w:sz w:val="24"/>
          <w:lang w:val="en-US"/>
        </w:rPr>
        <w:t>Financial Management for Decision Makers</w:t>
      </w:r>
      <w:r w:rsidRPr="00B62187">
        <w:rPr>
          <w:rFonts w:ascii="Arial" w:hAnsi="Arial" w:cs="Arial"/>
          <w:sz w:val="24"/>
          <w:lang w:val="en-US"/>
        </w:rPr>
        <w:t xml:space="preserve">. 10th </w:t>
      </w:r>
      <w:proofErr w:type="spellStart"/>
      <w:r>
        <w:rPr>
          <w:rFonts w:ascii="Arial" w:hAnsi="Arial" w:cs="Arial"/>
          <w:sz w:val="24"/>
          <w:lang w:val="en-US"/>
        </w:rPr>
        <w:t>edn</w:t>
      </w:r>
      <w:proofErr w:type="spellEnd"/>
      <w:r>
        <w:rPr>
          <w:rFonts w:ascii="Arial" w:hAnsi="Arial" w:cs="Arial"/>
          <w:sz w:val="24"/>
          <w:lang w:val="en-US"/>
        </w:rPr>
        <w:t xml:space="preserve">. Harlow: Pearson Education. </w:t>
      </w:r>
      <w:r w:rsidRPr="00B62187">
        <w:rPr>
          <w:rFonts w:ascii="Arial" w:hAnsi="Arial" w:cs="Arial"/>
          <w:sz w:val="24"/>
          <w:lang w:val="en-US"/>
        </w:rPr>
        <w:t xml:space="preserve">Available at: </w:t>
      </w:r>
      <w:hyperlink r:id="rId15" w:history="1">
        <w:r w:rsidRPr="00B62187">
          <w:rPr>
            <w:rStyle w:val="Hyperlink"/>
            <w:rFonts w:ascii="Arial" w:hAnsi="Arial" w:cs="Arial"/>
            <w:sz w:val="24"/>
            <w:lang w:val="en-US"/>
          </w:rPr>
          <w:t>https://www.pearson.com/en-gb/subject-catalog/p/financial-management-for-decision-makers/P200000006470</w:t>
        </w:r>
      </w:hyperlink>
      <w:r w:rsidRPr="00B62187">
        <w:rPr>
          <w:rFonts w:ascii="Arial" w:hAnsi="Arial" w:cs="Arial"/>
          <w:sz w:val="24"/>
          <w:lang w:val="en-US"/>
        </w:rPr>
        <w:t xml:space="preserve"> (Accessed: 20 December 2025).</w:t>
      </w:r>
    </w:p>
    <w:p w14:paraId="66D5A5FA" w14:textId="77777777" w:rsidR="00B62187" w:rsidRPr="00B62187" w:rsidRDefault="00B62187" w:rsidP="00B62187">
      <w:pPr>
        <w:spacing w:line="360" w:lineRule="auto"/>
        <w:jc w:val="both"/>
        <w:rPr>
          <w:rFonts w:ascii="Arial" w:hAnsi="Arial" w:cs="Arial"/>
          <w:sz w:val="24"/>
          <w:lang w:val="en-US"/>
        </w:rPr>
      </w:pPr>
      <w:proofErr w:type="spellStart"/>
      <w:r w:rsidRPr="00B62187">
        <w:rPr>
          <w:rFonts w:ascii="Arial" w:hAnsi="Arial" w:cs="Arial"/>
          <w:sz w:val="24"/>
          <w:lang w:val="en-US"/>
        </w:rPr>
        <w:t>Palepu</w:t>
      </w:r>
      <w:proofErr w:type="spellEnd"/>
      <w:r w:rsidRPr="00B62187">
        <w:rPr>
          <w:rFonts w:ascii="Arial" w:hAnsi="Arial" w:cs="Arial"/>
          <w:sz w:val="24"/>
          <w:lang w:val="en-US"/>
        </w:rPr>
        <w:t xml:space="preserve">, K.G., Healy, P.M., Peek, E. and Wright, D. (2020) </w:t>
      </w:r>
      <w:r w:rsidRPr="00B62187">
        <w:rPr>
          <w:rFonts w:ascii="Arial" w:hAnsi="Arial" w:cs="Arial"/>
          <w:i/>
          <w:iCs/>
          <w:sz w:val="24"/>
          <w:lang w:val="en-US"/>
        </w:rPr>
        <w:t>Business Analysis and Valuation: IFRS Edition</w:t>
      </w:r>
      <w:r w:rsidRPr="00B62187">
        <w:rPr>
          <w:rFonts w:ascii="Arial" w:hAnsi="Arial" w:cs="Arial"/>
          <w:sz w:val="24"/>
          <w:lang w:val="en-US"/>
        </w:rPr>
        <w:t xml:space="preserve">. 6th </w:t>
      </w:r>
      <w:proofErr w:type="spellStart"/>
      <w:r w:rsidRPr="00B62187">
        <w:rPr>
          <w:rFonts w:ascii="Arial" w:hAnsi="Arial" w:cs="Arial"/>
          <w:sz w:val="24"/>
          <w:lang w:val="en-US"/>
        </w:rPr>
        <w:t>edn</w:t>
      </w:r>
      <w:proofErr w:type="spellEnd"/>
      <w:r w:rsidRPr="00B62187">
        <w:rPr>
          <w:rFonts w:ascii="Arial" w:hAnsi="Arial" w:cs="Arial"/>
          <w:sz w:val="24"/>
          <w:lang w:val="en-US"/>
        </w:rPr>
        <w:t>. Boston: Cengage Learning.</w:t>
      </w:r>
      <w:r w:rsidRPr="00B62187">
        <w:rPr>
          <w:rFonts w:ascii="Arial" w:hAnsi="Arial" w:cs="Arial"/>
          <w:sz w:val="24"/>
          <w:lang w:val="en-US"/>
        </w:rPr>
        <w:br/>
        <w:t xml:space="preserve">Available at: </w:t>
      </w:r>
      <w:hyperlink r:id="rId16" w:history="1">
        <w:r w:rsidRPr="00B62187">
          <w:rPr>
            <w:rStyle w:val="Hyperlink"/>
            <w:rFonts w:ascii="Arial" w:hAnsi="Arial" w:cs="Arial"/>
            <w:sz w:val="24"/>
            <w:lang w:val="en-US"/>
          </w:rPr>
          <w:t>https://www.cengage.com/c/business-analysis-and-valuation-ifrs-edition-6e-palepu/</w:t>
        </w:r>
      </w:hyperlink>
      <w:r w:rsidRPr="00B62187">
        <w:rPr>
          <w:rFonts w:ascii="Arial" w:hAnsi="Arial" w:cs="Arial"/>
          <w:sz w:val="24"/>
          <w:lang w:val="en-US"/>
        </w:rPr>
        <w:t xml:space="preserve"> (Accessed: 20 December 2025).</w:t>
      </w:r>
    </w:p>
    <w:p w14:paraId="2D4D59A3"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Altman, E.I. and Hotchkiss, E. (2006) ‘Corporate financial distress and bankruptcy’, </w:t>
      </w:r>
      <w:r w:rsidRPr="00B62187">
        <w:rPr>
          <w:rFonts w:ascii="Arial" w:hAnsi="Arial" w:cs="Arial"/>
          <w:i/>
          <w:iCs/>
          <w:sz w:val="24"/>
          <w:szCs w:val="24"/>
          <w:lang w:val="en-US"/>
        </w:rPr>
        <w:t>Journal of Corporate Finance</w:t>
      </w:r>
      <w:r>
        <w:rPr>
          <w:rFonts w:ascii="Arial" w:hAnsi="Arial" w:cs="Arial"/>
          <w:sz w:val="24"/>
          <w:szCs w:val="24"/>
          <w:lang w:val="en-US"/>
        </w:rPr>
        <w:t xml:space="preserve">, 12(2), pp. 234–250. </w:t>
      </w:r>
      <w:r w:rsidRPr="00B62187">
        <w:rPr>
          <w:rFonts w:ascii="Arial" w:hAnsi="Arial" w:cs="Arial"/>
          <w:sz w:val="24"/>
          <w:szCs w:val="24"/>
          <w:lang w:val="en-US"/>
        </w:rPr>
        <w:t xml:space="preserve">Available at: </w:t>
      </w:r>
      <w:hyperlink r:id="rId17" w:history="1">
        <w:r w:rsidRPr="00B62187">
          <w:rPr>
            <w:rStyle w:val="Hyperlink"/>
            <w:rFonts w:ascii="Arial" w:hAnsi="Arial" w:cs="Arial"/>
            <w:sz w:val="24"/>
            <w:szCs w:val="24"/>
            <w:lang w:val="en-US"/>
          </w:rPr>
          <w:t>https://doi.org/10.1016/j.jcorpfin.2005.04.003</w:t>
        </w:r>
      </w:hyperlink>
    </w:p>
    <w:p w14:paraId="0B7498B0"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Graham, J.R. and Harvey, C.R. (2001) ‘The theory and practice of corporate finance: Evidence from the field’, </w:t>
      </w:r>
      <w:r w:rsidRPr="00B62187">
        <w:rPr>
          <w:rFonts w:ascii="Arial" w:hAnsi="Arial" w:cs="Arial"/>
          <w:i/>
          <w:iCs/>
          <w:sz w:val="24"/>
          <w:szCs w:val="24"/>
          <w:lang w:val="en-US"/>
        </w:rPr>
        <w:t>Journal of Financial Economics</w:t>
      </w:r>
      <w:r>
        <w:rPr>
          <w:rFonts w:ascii="Arial" w:hAnsi="Arial" w:cs="Arial"/>
          <w:sz w:val="24"/>
          <w:szCs w:val="24"/>
          <w:lang w:val="en-US"/>
        </w:rPr>
        <w:t xml:space="preserve">, 60(2–3), pp. 187–243. </w:t>
      </w:r>
      <w:r w:rsidRPr="00B62187">
        <w:rPr>
          <w:rFonts w:ascii="Arial" w:hAnsi="Arial" w:cs="Arial"/>
          <w:sz w:val="24"/>
          <w:szCs w:val="24"/>
          <w:lang w:val="en-US"/>
        </w:rPr>
        <w:t xml:space="preserve">Available at: </w:t>
      </w:r>
      <w:hyperlink r:id="rId18" w:history="1">
        <w:r w:rsidRPr="00B62187">
          <w:rPr>
            <w:rStyle w:val="Hyperlink"/>
            <w:rFonts w:ascii="Arial" w:hAnsi="Arial" w:cs="Arial"/>
            <w:sz w:val="24"/>
            <w:szCs w:val="24"/>
            <w:lang w:val="en-US"/>
          </w:rPr>
          <w:t>https://doi.org/10.1016/S0304-405X(01)00044-7</w:t>
        </w:r>
      </w:hyperlink>
    </w:p>
    <w:p w14:paraId="13123C95"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Jose, M.L., Lancaster, C. and Stevens, J.L. (1996) ‘Corporate returns and cash conversion cycles’, </w:t>
      </w:r>
      <w:r w:rsidRPr="00B62187">
        <w:rPr>
          <w:rFonts w:ascii="Arial" w:hAnsi="Arial" w:cs="Arial"/>
          <w:i/>
          <w:iCs/>
          <w:sz w:val="24"/>
          <w:szCs w:val="24"/>
          <w:lang w:val="en-US"/>
        </w:rPr>
        <w:t>Journal of Economics and Finance</w:t>
      </w:r>
      <w:r>
        <w:rPr>
          <w:rFonts w:ascii="Arial" w:hAnsi="Arial" w:cs="Arial"/>
          <w:sz w:val="24"/>
          <w:szCs w:val="24"/>
          <w:lang w:val="en-US"/>
        </w:rPr>
        <w:t xml:space="preserve">, 20(1), pp. 33–46. </w:t>
      </w:r>
      <w:r w:rsidRPr="00B62187">
        <w:rPr>
          <w:rFonts w:ascii="Arial" w:hAnsi="Arial" w:cs="Arial"/>
          <w:sz w:val="24"/>
          <w:szCs w:val="24"/>
          <w:lang w:val="en-US"/>
        </w:rPr>
        <w:t xml:space="preserve">Available at: </w:t>
      </w:r>
      <w:hyperlink r:id="rId19" w:history="1">
        <w:r w:rsidRPr="00B62187">
          <w:rPr>
            <w:rStyle w:val="Hyperlink"/>
            <w:rFonts w:ascii="Arial" w:hAnsi="Arial" w:cs="Arial"/>
            <w:sz w:val="24"/>
            <w:szCs w:val="24"/>
            <w:lang w:val="en-US"/>
          </w:rPr>
          <w:t>https://doi.org/10.1007/BF02920497</w:t>
        </w:r>
      </w:hyperlink>
    </w:p>
    <w:p w14:paraId="3DAACCC9" w14:textId="77777777" w:rsidR="00B62187" w:rsidRPr="00B62187" w:rsidRDefault="00B62187" w:rsidP="00B62187">
      <w:pPr>
        <w:jc w:val="both"/>
        <w:rPr>
          <w:rFonts w:ascii="Arial" w:hAnsi="Arial" w:cs="Arial"/>
          <w:sz w:val="24"/>
          <w:szCs w:val="24"/>
          <w:lang w:val="en-US"/>
        </w:rPr>
      </w:pPr>
      <w:proofErr w:type="spellStart"/>
      <w:r w:rsidRPr="00B62187">
        <w:rPr>
          <w:rFonts w:ascii="Arial" w:hAnsi="Arial" w:cs="Arial"/>
          <w:sz w:val="24"/>
          <w:szCs w:val="24"/>
          <w:lang w:val="en-US"/>
        </w:rPr>
        <w:t>Ohlson</w:t>
      </w:r>
      <w:proofErr w:type="spellEnd"/>
      <w:r w:rsidRPr="00B62187">
        <w:rPr>
          <w:rFonts w:ascii="Arial" w:hAnsi="Arial" w:cs="Arial"/>
          <w:sz w:val="24"/>
          <w:szCs w:val="24"/>
          <w:lang w:val="en-US"/>
        </w:rPr>
        <w:t xml:space="preserve">, J.A. (1980) ‘Financial ratios and the probabilistic prediction of bankruptcy’, </w:t>
      </w:r>
      <w:r w:rsidRPr="00B62187">
        <w:rPr>
          <w:rFonts w:ascii="Arial" w:hAnsi="Arial" w:cs="Arial"/>
          <w:i/>
          <w:iCs/>
          <w:sz w:val="24"/>
          <w:szCs w:val="24"/>
          <w:lang w:val="en-US"/>
        </w:rPr>
        <w:t>Journal of Accounting Research</w:t>
      </w:r>
      <w:r w:rsidRPr="00B62187">
        <w:rPr>
          <w:rFonts w:ascii="Arial" w:hAnsi="Arial" w:cs="Arial"/>
          <w:sz w:val="24"/>
          <w:szCs w:val="24"/>
          <w:lang w:val="en-US"/>
        </w:rPr>
        <w:t>, 18(1), pp. 109–131.</w:t>
      </w:r>
      <w:r w:rsidRPr="00B62187">
        <w:rPr>
          <w:rFonts w:ascii="Arial" w:hAnsi="Arial" w:cs="Arial"/>
          <w:sz w:val="24"/>
          <w:szCs w:val="24"/>
          <w:lang w:val="en-US"/>
        </w:rPr>
        <w:br/>
        <w:t xml:space="preserve">Available at: </w:t>
      </w:r>
      <w:hyperlink r:id="rId20" w:history="1">
        <w:r w:rsidRPr="00B62187">
          <w:rPr>
            <w:rStyle w:val="Hyperlink"/>
            <w:rFonts w:ascii="Arial" w:hAnsi="Arial" w:cs="Arial"/>
            <w:sz w:val="24"/>
            <w:szCs w:val="24"/>
            <w:lang w:val="en-US"/>
          </w:rPr>
          <w:t>https://doi.org/10.2307/2490395</w:t>
        </w:r>
      </w:hyperlink>
    </w:p>
    <w:p w14:paraId="5C7F1EBF" w14:textId="77777777" w:rsidR="00B62187" w:rsidRPr="00B62187" w:rsidRDefault="00B62187" w:rsidP="00B62187">
      <w:pPr>
        <w:jc w:val="both"/>
        <w:rPr>
          <w:rFonts w:ascii="Arial" w:hAnsi="Arial" w:cs="Arial"/>
          <w:sz w:val="24"/>
          <w:szCs w:val="24"/>
          <w:lang w:val="en-US"/>
        </w:rPr>
      </w:pPr>
      <w:proofErr w:type="spellStart"/>
      <w:r w:rsidRPr="00B62187">
        <w:rPr>
          <w:rFonts w:ascii="Arial" w:hAnsi="Arial" w:cs="Arial"/>
          <w:sz w:val="24"/>
          <w:szCs w:val="24"/>
          <w:lang w:val="en-US"/>
        </w:rPr>
        <w:t>Demirgüç-Kunt</w:t>
      </w:r>
      <w:proofErr w:type="spellEnd"/>
      <w:r w:rsidRPr="00B62187">
        <w:rPr>
          <w:rFonts w:ascii="Arial" w:hAnsi="Arial" w:cs="Arial"/>
          <w:sz w:val="24"/>
          <w:szCs w:val="24"/>
          <w:lang w:val="en-US"/>
        </w:rPr>
        <w:t xml:space="preserve">, A. and </w:t>
      </w:r>
      <w:proofErr w:type="spellStart"/>
      <w:r w:rsidRPr="00B62187">
        <w:rPr>
          <w:rFonts w:ascii="Arial" w:hAnsi="Arial" w:cs="Arial"/>
          <w:sz w:val="24"/>
          <w:szCs w:val="24"/>
          <w:lang w:val="en-US"/>
        </w:rPr>
        <w:t>Maksimovic</w:t>
      </w:r>
      <w:proofErr w:type="spellEnd"/>
      <w:r w:rsidRPr="00B62187">
        <w:rPr>
          <w:rFonts w:ascii="Arial" w:hAnsi="Arial" w:cs="Arial"/>
          <w:sz w:val="24"/>
          <w:szCs w:val="24"/>
          <w:lang w:val="en-US"/>
        </w:rPr>
        <w:t xml:space="preserve">, V. (1998) ‘Law, finance, and firm growth’, </w:t>
      </w:r>
      <w:r w:rsidRPr="00B62187">
        <w:rPr>
          <w:rFonts w:ascii="Arial" w:hAnsi="Arial" w:cs="Arial"/>
          <w:i/>
          <w:iCs/>
          <w:sz w:val="24"/>
          <w:szCs w:val="24"/>
          <w:lang w:val="en-US"/>
        </w:rPr>
        <w:t>Journal of Finance</w:t>
      </w:r>
      <w:r w:rsidR="001B45A1">
        <w:rPr>
          <w:rFonts w:ascii="Arial" w:hAnsi="Arial" w:cs="Arial"/>
          <w:sz w:val="24"/>
          <w:szCs w:val="24"/>
          <w:lang w:val="en-US"/>
        </w:rPr>
        <w:t xml:space="preserve">, 53(6), pp. 2107–2137. </w:t>
      </w:r>
      <w:r w:rsidRPr="00B62187">
        <w:rPr>
          <w:rFonts w:ascii="Arial" w:hAnsi="Arial" w:cs="Arial"/>
          <w:sz w:val="24"/>
          <w:szCs w:val="24"/>
          <w:lang w:val="en-US"/>
        </w:rPr>
        <w:t xml:space="preserve">Available at: </w:t>
      </w:r>
      <w:hyperlink r:id="rId21" w:history="1">
        <w:r w:rsidRPr="00B62187">
          <w:rPr>
            <w:rStyle w:val="Hyperlink"/>
            <w:rFonts w:ascii="Arial" w:hAnsi="Arial" w:cs="Arial"/>
            <w:sz w:val="24"/>
            <w:szCs w:val="24"/>
            <w:lang w:val="en-US"/>
          </w:rPr>
          <w:t>https://doi.org/10.1111/0022-1082.00084</w:t>
        </w:r>
      </w:hyperlink>
    </w:p>
    <w:p w14:paraId="13CB7C87"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Diamond, D.W. (1991) ‘Debt maturity structure and liquidity risk’, </w:t>
      </w:r>
      <w:r w:rsidRPr="00B62187">
        <w:rPr>
          <w:rFonts w:ascii="Arial" w:hAnsi="Arial" w:cs="Arial"/>
          <w:i/>
          <w:iCs/>
          <w:sz w:val="24"/>
          <w:szCs w:val="24"/>
          <w:lang w:val="en-US"/>
        </w:rPr>
        <w:t>Quarterly Journal of Economics</w:t>
      </w:r>
      <w:r w:rsidRPr="00B62187">
        <w:rPr>
          <w:rFonts w:ascii="Arial" w:hAnsi="Arial" w:cs="Arial"/>
          <w:sz w:val="24"/>
          <w:szCs w:val="24"/>
          <w:lang w:val="en-US"/>
        </w:rPr>
        <w:t>,</w:t>
      </w:r>
      <w:r w:rsidR="001B45A1">
        <w:rPr>
          <w:rFonts w:ascii="Arial" w:hAnsi="Arial" w:cs="Arial"/>
          <w:sz w:val="24"/>
          <w:szCs w:val="24"/>
          <w:lang w:val="en-US"/>
        </w:rPr>
        <w:t xml:space="preserve"> 106(3), pp. 709–737. </w:t>
      </w:r>
      <w:r w:rsidRPr="00B62187">
        <w:rPr>
          <w:rFonts w:ascii="Arial" w:hAnsi="Arial" w:cs="Arial"/>
          <w:sz w:val="24"/>
          <w:szCs w:val="24"/>
          <w:lang w:val="en-US"/>
        </w:rPr>
        <w:t xml:space="preserve">Available at: </w:t>
      </w:r>
      <w:hyperlink r:id="rId22" w:history="1">
        <w:r w:rsidRPr="00B62187">
          <w:rPr>
            <w:rStyle w:val="Hyperlink"/>
            <w:rFonts w:ascii="Arial" w:hAnsi="Arial" w:cs="Arial"/>
            <w:sz w:val="24"/>
            <w:szCs w:val="24"/>
            <w:lang w:val="en-US"/>
          </w:rPr>
          <w:t>https://doi.org/10.2307/2937924</w:t>
        </w:r>
      </w:hyperlink>
    </w:p>
    <w:p w14:paraId="0074F32E"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Myers, S.C. (1977) ‘Determinants of corporate borrowing’, </w:t>
      </w:r>
      <w:r w:rsidRPr="00B62187">
        <w:rPr>
          <w:rFonts w:ascii="Arial" w:hAnsi="Arial" w:cs="Arial"/>
          <w:i/>
          <w:iCs/>
          <w:sz w:val="24"/>
          <w:szCs w:val="24"/>
          <w:lang w:val="en-US"/>
        </w:rPr>
        <w:t>Journal of Financial Economics</w:t>
      </w:r>
      <w:r w:rsidR="001B45A1">
        <w:rPr>
          <w:rFonts w:ascii="Arial" w:hAnsi="Arial" w:cs="Arial"/>
          <w:sz w:val="24"/>
          <w:szCs w:val="24"/>
          <w:lang w:val="en-US"/>
        </w:rPr>
        <w:t xml:space="preserve">, 5(2), pp. 147–175. </w:t>
      </w:r>
      <w:r w:rsidRPr="00B62187">
        <w:rPr>
          <w:rFonts w:ascii="Arial" w:hAnsi="Arial" w:cs="Arial"/>
          <w:sz w:val="24"/>
          <w:szCs w:val="24"/>
          <w:lang w:val="en-US"/>
        </w:rPr>
        <w:t xml:space="preserve">Available at: </w:t>
      </w:r>
      <w:hyperlink r:id="rId23" w:history="1">
        <w:r w:rsidRPr="00B62187">
          <w:rPr>
            <w:rStyle w:val="Hyperlink"/>
            <w:rFonts w:ascii="Arial" w:hAnsi="Arial" w:cs="Arial"/>
            <w:sz w:val="24"/>
            <w:szCs w:val="24"/>
            <w:lang w:val="en-US"/>
          </w:rPr>
          <w:t>https://doi.org/10.1016/0304-405X(77)90015-0</w:t>
        </w:r>
      </w:hyperlink>
    </w:p>
    <w:p w14:paraId="21A1DEAA"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Penman, S.H. (2013) ‘Financial statement analysis and security valuation’, </w:t>
      </w:r>
      <w:r w:rsidRPr="00B62187">
        <w:rPr>
          <w:rFonts w:ascii="Arial" w:hAnsi="Arial" w:cs="Arial"/>
          <w:i/>
          <w:iCs/>
          <w:sz w:val="24"/>
          <w:szCs w:val="24"/>
          <w:lang w:val="en-US"/>
        </w:rPr>
        <w:t>Accounting Review</w:t>
      </w:r>
      <w:r w:rsidR="001B45A1">
        <w:rPr>
          <w:rFonts w:ascii="Arial" w:hAnsi="Arial" w:cs="Arial"/>
          <w:sz w:val="24"/>
          <w:szCs w:val="24"/>
          <w:lang w:val="en-US"/>
        </w:rPr>
        <w:t xml:space="preserve">, 88(3), pp. 1029–1065. </w:t>
      </w:r>
      <w:r w:rsidRPr="00B62187">
        <w:rPr>
          <w:rFonts w:ascii="Arial" w:hAnsi="Arial" w:cs="Arial"/>
          <w:sz w:val="24"/>
          <w:szCs w:val="24"/>
          <w:lang w:val="en-US"/>
        </w:rPr>
        <w:t xml:space="preserve">Available at: </w:t>
      </w:r>
      <w:hyperlink r:id="rId24" w:history="1">
        <w:r w:rsidRPr="00B62187">
          <w:rPr>
            <w:rStyle w:val="Hyperlink"/>
            <w:rFonts w:ascii="Arial" w:hAnsi="Arial" w:cs="Arial"/>
            <w:sz w:val="24"/>
            <w:szCs w:val="24"/>
            <w:lang w:val="en-US"/>
          </w:rPr>
          <w:t>https://doi.org/10.2308/accr-50359</w:t>
        </w:r>
      </w:hyperlink>
    </w:p>
    <w:p w14:paraId="59E7E704"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Kaplan, R.S. and Norton, D.P. (1996) ‘Using the balanced scorecard as a strategic management system’, </w:t>
      </w:r>
      <w:r w:rsidRPr="00B62187">
        <w:rPr>
          <w:rFonts w:ascii="Arial" w:hAnsi="Arial" w:cs="Arial"/>
          <w:i/>
          <w:iCs/>
          <w:sz w:val="24"/>
          <w:szCs w:val="24"/>
          <w:lang w:val="en-US"/>
        </w:rPr>
        <w:t>Harvard Business Review</w:t>
      </w:r>
      <w:r w:rsidRPr="00B62187">
        <w:rPr>
          <w:rFonts w:ascii="Arial" w:hAnsi="Arial" w:cs="Arial"/>
          <w:sz w:val="24"/>
          <w:szCs w:val="24"/>
          <w:lang w:val="en-US"/>
        </w:rPr>
        <w:t>, 74(1), pp. 75–85.</w:t>
      </w:r>
      <w:r w:rsidRPr="00B62187">
        <w:rPr>
          <w:rFonts w:ascii="Arial" w:hAnsi="Arial" w:cs="Arial"/>
          <w:sz w:val="24"/>
          <w:szCs w:val="24"/>
          <w:lang w:val="en-US"/>
        </w:rPr>
        <w:br/>
        <w:t xml:space="preserve">Available at: </w:t>
      </w:r>
      <w:hyperlink r:id="rId25" w:history="1">
        <w:r w:rsidRPr="00B62187">
          <w:rPr>
            <w:rStyle w:val="Hyperlink"/>
            <w:rFonts w:ascii="Arial" w:hAnsi="Arial" w:cs="Arial"/>
            <w:sz w:val="24"/>
            <w:szCs w:val="24"/>
            <w:lang w:val="en-US"/>
          </w:rPr>
          <w:t>https://hbr.org/1996/01/using-the-balanced-scorecard-as-a-strategic-management-system</w:t>
        </w:r>
      </w:hyperlink>
    </w:p>
    <w:p w14:paraId="30965FD4" w14:textId="77777777" w:rsidR="00B62187" w:rsidRPr="00B62187" w:rsidRDefault="00B62187" w:rsidP="00B62187">
      <w:pPr>
        <w:jc w:val="both"/>
        <w:rPr>
          <w:rFonts w:ascii="Arial" w:hAnsi="Arial" w:cs="Arial"/>
          <w:b/>
          <w:sz w:val="24"/>
          <w:szCs w:val="24"/>
          <w:lang w:val="en-US"/>
        </w:rPr>
      </w:pPr>
      <w:r w:rsidRPr="00B62187">
        <w:rPr>
          <w:rFonts w:ascii="Arial" w:hAnsi="Arial" w:cs="Arial"/>
          <w:sz w:val="24"/>
          <w:szCs w:val="24"/>
          <w:lang w:val="en-US"/>
        </w:rPr>
        <w:t xml:space="preserve">Gaur, V., Fisher, M.L. and Raman, A. (2005) ‘An econometric analysis of inventory turnover performance in retail services’, </w:t>
      </w:r>
      <w:r w:rsidRPr="00B62187">
        <w:rPr>
          <w:rFonts w:ascii="Arial" w:hAnsi="Arial" w:cs="Arial"/>
          <w:i/>
          <w:iCs/>
          <w:sz w:val="24"/>
          <w:szCs w:val="24"/>
          <w:lang w:val="en-US"/>
        </w:rPr>
        <w:t>Management Science</w:t>
      </w:r>
      <w:r w:rsidR="001B45A1">
        <w:rPr>
          <w:rFonts w:ascii="Arial" w:hAnsi="Arial" w:cs="Arial"/>
          <w:sz w:val="24"/>
          <w:szCs w:val="24"/>
          <w:lang w:val="en-US"/>
        </w:rPr>
        <w:t xml:space="preserve">, 51(2), pp. 181–194. </w:t>
      </w:r>
      <w:r w:rsidRPr="00B62187">
        <w:rPr>
          <w:rFonts w:ascii="Arial" w:hAnsi="Arial" w:cs="Arial"/>
          <w:sz w:val="24"/>
          <w:szCs w:val="24"/>
          <w:lang w:val="en-US"/>
        </w:rPr>
        <w:t xml:space="preserve">Available at: </w:t>
      </w:r>
      <w:hyperlink r:id="rId26" w:history="1">
        <w:r w:rsidRPr="00B62187">
          <w:rPr>
            <w:rStyle w:val="Hyperlink"/>
            <w:rFonts w:ascii="Arial" w:hAnsi="Arial" w:cs="Arial"/>
            <w:sz w:val="24"/>
            <w:szCs w:val="24"/>
            <w:lang w:val="en-US"/>
          </w:rPr>
          <w:t>https://doi.org/10.1287/mnsc.1040.0298</w:t>
        </w:r>
      </w:hyperlink>
    </w:p>
    <w:p w14:paraId="13E7224F"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Petersen, M.A. and </w:t>
      </w:r>
      <w:proofErr w:type="spellStart"/>
      <w:r w:rsidRPr="00B62187">
        <w:rPr>
          <w:rFonts w:ascii="Arial" w:hAnsi="Arial" w:cs="Arial"/>
          <w:sz w:val="24"/>
          <w:szCs w:val="24"/>
          <w:lang w:val="en-US"/>
        </w:rPr>
        <w:t>Rajan</w:t>
      </w:r>
      <w:proofErr w:type="spellEnd"/>
      <w:r w:rsidRPr="00B62187">
        <w:rPr>
          <w:rFonts w:ascii="Arial" w:hAnsi="Arial" w:cs="Arial"/>
          <w:sz w:val="24"/>
          <w:szCs w:val="24"/>
          <w:lang w:val="en-US"/>
        </w:rPr>
        <w:t xml:space="preserve">, R.G. (1997) ‘Trade credit: Theories and evidence’, </w:t>
      </w:r>
      <w:r w:rsidRPr="00B62187">
        <w:rPr>
          <w:rFonts w:ascii="Arial" w:hAnsi="Arial" w:cs="Arial"/>
          <w:i/>
          <w:iCs/>
          <w:sz w:val="24"/>
          <w:szCs w:val="24"/>
          <w:lang w:val="en-US"/>
        </w:rPr>
        <w:t>Review of Financial Studies</w:t>
      </w:r>
      <w:r w:rsidR="001B45A1">
        <w:rPr>
          <w:rFonts w:ascii="Arial" w:hAnsi="Arial" w:cs="Arial"/>
          <w:sz w:val="24"/>
          <w:szCs w:val="24"/>
          <w:lang w:val="en-US"/>
        </w:rPr>
        <w:t xml:space="preserve">, 10(3), pp. 661–691. </w:t>
      </w:r>
      <w:r w:rsidRPr="00B62187">
        <w:rPr>
          <w:rFonts w:ascii="Arial" w:hAnsi="Arial" w:cs="Arial"/>
          <w:sz w:val="24"/>
          <w:szCs w:val="24"/>
          <w:lang w:val="en-US"/>
        </w:rPr>
        <w:t xml:space="preserve">Available at: </w:t>
      </w:r>
      <w:hyperlink r:id="rId27" w:history="1">
        <w:r w:rsidRPr="00B62187">
          <w:rPr>
            <w:rStyle w:val="Hyperlink"/>
            <w:rFonts w:ascii="Arial" w:hAnsi="Arial" w:cs="Arial"/>
            <w:sz w:val="24"/>
            <w:szCs w:val="24"/>
            <w:lang w:val="en-US"/>
          </w:rPr>
          <w:t>https://doi.org/10.1093/rfs/10.3.661</w:t>
        </w:r>
      </w:hyperlink>
    </w:p>
    <w:p w14:paraId="251BDF75" w14:textId="77777777" w:rsidR="00B62187" w:rsidRPr="00B62187" w:rsidRDefault="00B62187" w:rsidP="00B62187">
      <w:pPr>
        <w:jc w:val="both"/>
        <w:rPr>
          <w:rFonts w:ascii="Arial" w:hAnsi="Arial" w:cs="Arial"/>
          <w:sz w:val="24"/>
          <w:szCs w:val="24"/>
          <w:lang w:val="en-US"/>
        </w:rPr>
      </w:pPr>
      <w:proofErr w:type="spellStart"/>
      <w:r w:rsidRPr="00B62187">
        <w:rPr>
          <w:rFonts w:ascii="Arial" w:hAnsi="Arial" w:cs="Arial"/>
          <w:sz w:val="24"/>
          <w:szCs w:val="24"/>
          <w:lang w:val="en-US"/>
        </w:rPr>
        <w:t>Bharath</w:t>
      </w:r>
      <w:proofErr w:type="spellEnd"/>
      <w:r w:rsidRPr="00B62187">
        <w:rPr>
          <w:rFonts w:ascii="Arial" w:hAnsi="Arial" w:cs="Arial"/>
          <w:sz w:val="24"/>
          <w:szCs w:val="24"/>
          <w:lang w:val="en-US"/>
        </w:rPr>
        <w:t xml:space="preserve">, S.T. and Shumway, T. (2008) ‘Forecasting default with the Merton distance to default model’, </w:t>
      </w:r>
      <w:r w:rsidRPr="00B62187">
        <w:rPr>
          <w:rFonts w:ascii="Arial" w:hAnsi="Arial" w:cs="Arial"/>
          <w:i/>
          <w:iCs/>
          <w:sz w:val="24"/>
          <w:szCs w:val="24"/>
          <w:lang w:val="en-US"/>
        </w:rPr>
        <w:t>Review of Financial Studies</w:t>
      </w:r>
      <w:r w:rsidR="001B45A1">
        <w:rPr>
          <w:rFonts w:ascii="Arial" w:hAnsi="Arial" w:cs="Arial"/>
          <w:sz w:val="24"/>
          <w:szCs w:val="24"/>
          <w:lang w:val="en-US"/>
        </w:rPr>
        <w:t xml:space="preserve">, 21(3), pp. 1339–1369. </w:t>
      </w:r>
      <w:r w:rsidRPr="00B62187">
        <w:rPr>
          <w:rFonts w:ascii="Arial" w:hAnsi="Arial" w:cs="Arial"/>
          <w:sz w:val="24"/>
          <w:szCs w:val="24"/>
          <w:lang w:val="en-US"/>
        </w:rPr>
        <w:t xml:space="preserve">Available at: </w:t>
      </w:r>
      <w:hyperlink r:id="rId28" w:history="1">
        <w:r w:rsidRPr="00B62187">
          <w:rPr>
            <w:rStyle w:val="Hyperlink"/>
            <w:rFonts w:ascii="Arial" w:hAnsi="Arial" w:cs="Arial"/>
            <w:sz w:val="24"/>
            <w:szCs w:val="24"/>
            <w:lang w:val="en-US"/>
          </w:rPr>
          <w:t>https://doi.org/10.1093/rfs/hhn044</w:t>
        </w:r>
      </w:hyperlink>
    </w:p>
    <w:p w14:paraId="39584C2B"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Gilson, S.C. (1997) ‘Transactions costs and capital structure choice’, </w:t>
      </w:r>
      <w:r w:rsidRPr="00B62187">
        <w:rPr>
          <w:rFonts w:ascii="Arial" w:hAnsi="Arial" w:cs="Arial"/>
          <w:i/>
          <w:iCs/>
          <w:sz w:val="24"/>
          <w:szCs w:val="24"/>
          <w:lang w:val="en-US"/>
        </w:rPr>
        <w:t>Journal of Finance</w:t>
      </w:r>
      <w:r w:rsidR="001B45A1">
        <w:rPr>
          <w:rFonts w:ascii="Arial" w:hAnsi="Arial" w:cs="Arial"/>
          <w:sz w:val="24"/>
          <w:szCs w:val="24"/>
          <w:lang w:val="en-US"/>
        </w:rPr>
        <w:t xml:space="preserve">, 52(1), pp. 161–196. </w:t>
      </w:r>
      <w:r w:rsidRPr="00B62187">
        <w:rPr>
          <w:rFonts w:ascii="Arial" w:hAnsi="Arial" w:cs="Arial"/>
          <w:sz w:val="24"/>
          <w:szCs w:val="24"/>
          <w:lang w:val="en-US"/>
        </w:rPr>
        <w:t xml:space="preserve">Available at: </w:t>
      </w:r>
      <w:hyperlink r:id="rId29" w:history="1">
        <w:r w:rsidRPr="00B62187">
          <w:rPr>
            <w:rStyle w:val="Hyperlink"/>
            <w:rFonts w:ascii="Arial" w:hAnsi="Arial" w:cs="Arial"/>
            <w:sz w:val="24"/>
            <w:szCs w:val="24"/>
            <w:lang w:val="en-US"/>
          </w:rPr>
          <w:t>https://doi.org/10.1111/j.1540-6261.1997.tb03813.x</w:t>
        </w:r>
      </w:hyperlink>
    </w:p>
    <w:p w14:paraId="0B6EDE19" w14:textId="77777777" w:rsidR="00B62187" w:rsidRPr="00B62187" w:rsidRDefault="00B62187" w:rsidP="00B62187">
      <w:pPr>
        <w:jc w:val="both"/>
        <w:rPr>
          <w:rFonts w:ascii="Arial" w:hAnsi="Arial" w:cs="Arial"/>
          <w:sz w:val="24"/>
          <w:szCs w:val="24"/>
          <w:lang w:val="en-US"/>
        </w:rPr>
      </w:pPr>
      <w:r w:rsidRPr="00B62187">
        <w:rPr>
          <w:rFonts w:ascii="Arial" w:hAnsi="Arial" w:cs="Arial"/>
          <w:sz w:val="24"/>
          <w:szCs w:val="24"/>
          <w:lang w:val="en-US"/>
        </w:rPr>
        <w:t xml:space="preserve">Myers, S.C. and </w:t>
      </w:r>
      <w:proofErr w:type="spellStart"/>
      <w:r w:rsidRPr="00B62187">
        <w:rPr>
          <w:rFonts w:ascii="Arial" w:hAnsi="Arial" w:cs="Arial"/>
          <w:sz w:val="24"/>
          <w:szCs w:val="24"/>
          <w:lang w:val="en-US"/>
        </w:rPr>
        <w:t>Majluf</w:t>
      </w:r>
      <w:proofErr w:type="spellEnd"/>
      <w:r w:rsidRPr="00B62187">
        <w:rPr>
          <w:rFonts w:ascii="Arial" w:hAnsi="Arial" w:cs="Arial"/>
          <w:sz w:val="24"/>
          <w:szCs w:val="24"/>
          <w:lang w:val="en-US"/>
        </w:rPr>
        <w:t xml:space="preserve">, N.S. (1984) ‘Corporate financing and investment decisions’, </w:t>
      </w:r>
      <w:r w:rsidRPr="00B62187">
        <w:rPr>
          <w:rFonts w:ascii="Arial" w:hAnsi="Arial" w:cs="Arial"/>
          <w:i/>
          <w:iCs/>
          <w:sz w:val="24"/>
          <w:szCs w:val="24"/>
          <w:lang w:val="en-US"/>
        </w:rPr>
        <w:t>Journal of Financial Economics</w:t>
      </w:r>
      <w:r w:rsidR="001B45A1">
        <w:rPr>
          <w:rFonts w:ascii="Arial" w:hAnsi="Arial" w:cs="Arial"/>
          <w:sz w:val="24"/>
          <w:szCs w:val="24"/>
          <w:lang w:val="en-US"/>
        </w:rPr>
        <w:t xml:space="preserve">, 13(2), pp. 187–221. </w:t>
      </w:r>
      <w:r w:rsidRPr="00B62187">
        <w:rPr>
          <w:rFonts w:ascii="Arial" w:hAnsi="Arial" w:cs="Arial"/>
          <w:sz w:val="24"/>
          <w:szCs w:val="24"/>
          <w:lang w:val="en-US"/>
        </w:rPr>
        <w:t xml:space="preserve">Available at: </w:t>
      </w:r>
      <w:hyperlink r:id="rId30" w:history="1">
        <w:r w:rsidRPr="00B62187">
          <w:rPr>
            <w:rStyle w:val="Hyperlink"/>
            <w:rFonts w:ascii="Arial" w:hAnsi="Arial" w:cs="Arial"/>
            <w:sz w:val="24"/>
            <w:szCs w:val="24"/>
            <w:lang w:val="en-US"/>
          </w:rPr>
          <w:t>https://doi.org/10.1016/0304-405X(84)90023-0</w:t>
        </w:r>
      </w:hyperlink>
    </w:p>
    <w:p w14:paraId="374B1BB5" w14:textId="77777777" w:rsidR="00B62187" w:rsidRPr="00B62187" w:rsidRDefault="00B62187" w:rsidP="00B62187">
      <w:pPr>
        <w:jc w:val="both"/>
        <w:rPr>
          <w:rFonts w:ascii="Arial" w:hAnsi="Arial" w:cs="Arial"/>
          <w:sz w:val="24"/>
          <w:szCs w:val="24"/>
          <w:lang w:val="en-US"/>
        </w:rPr>
      </w:pPr>
      <w:proofErr w:type="spellStart"/>
      <w:r w:rsidRPr="00B62187">
        <w:rPr>
          <w:rFonts w:ascii="Arial" w:hAnsi="Arial" w:cs="Arial"/>
          <w:sz w:val="24"/>
          <w:szCs w:val="24"/>
          <w:lang w:val="en-US"/>
        </w:rPr>
        <w:t>Dechow</w:t>
      </w:r>
      <w:proofErr w:type="spellEnd"/>
      <w:r w:rsidRPr="00B62187">
        <w:rPr>
          <w:rFonts w:ascii="Arial" w:hAnsi="Arial" w:cs="Arial"/>
          <w:sz w:val="24"/>
          <w:szCs w:val="24"/>
          <w:lang w:val="en-US"/>
        </w:rPr>
        <w:t xml:space="preserve">, P.M., Kothari, S.P. and Watts, R.L. (1998) ‘The relation between earnings and cash flows’, </w:t>
      </w:r>
      <w:r w:rsidRPr="00B62187">
        <w:rPr>
          <w:rFonts w:ascii="Arial" w:hAnsi="Arial" w:cs="Arial"/>
          <w:i/>
          <w:iCs/>
          <w:sz w:val="24"/>
          <w:szCs w:val="24"/>
          <w:lang w:val="en-US"/>
        </w:rPr>
        <w:t>Journal of Accounting and Economics</w:t>
      </w:r>
      <w:r w:rsidRPr="00B62187">
        <w:rPr>
          <w:rFonts w:ascii="Arial" w:hAnsi="Arial" w:cs="Arial"/>
          <w:sz w:val="24"/>
          <w:szCs w:val="24"/>
          <w:lang w:val="en-US"/>
        </w:rPr>
        <w:t>, 25(2),</w:t>
      </w:r>
      <w:r w:rsidR="001B45A1">
        <w:rPr>
          <w:rFonts w:ascii="Arial" w:hAnsi="Arial" w:cs="Arial"/>
          <w:sz w:val="24"/>
          <w:szCs w:val="24"/>
          <w:lang w:val="en-US"/>
        </w:rPr>
        <w:t xml:space="preserve"> pp. 133–168. </w:t>
      </w:r>
      <w:r w:rsidRPr="00B62187">
        <w:rPr>
          <w:rFonts w:ascii="Arial" w:hAnsi="Arial" w:cs="Arial"/>
          <w:sz w:val="24"/>
          <w:szCs w:val="24"/>
          <w:lang w:val="en-US"/>
        </w:rPr>
        <w:t xml:space="preserve">Available at: </w:t>
      </w:r>
      <w:hyperlink r:id="rId31" w:history="1">
        <w:r w:rsidRPr="00B62187">
          <w:rPr>
            <w:rStyle w:val="Hyperlink"/>
            <w:rFonts w:ascii="Arial" w:hAnsi="Arial" w:cs="Arial"/>
            <w:sz w:val="24"/>
            <w:szCs w:val="24"/>
            <w:lang w:val="en-US"/>
          </w:rPr>
          <w:t>https://doi.org/10.1016/S0165-4101(98)00020-2</w:t>
        </w:r>
      </w:hyperlink>
    </w:p>
    <w:p w14:paraId="5772B230" w14:textId="77777777" w:rsidR="001B45A1" w:rsidRDefault="001B45A1">
      <w:pPr>
        <w:rPr>
          <w:rFonts w:ascii="Arial" w:eastAsiaTheme="majorEastAsia" w:hAnsi="Arial" w:cs="Arial"/>
          <w:b/>
          <w:sz w:val="32"/>
          <w:szCs w:val="32"/>
        </w:rPr>
      </w:pPr>
      <w:r>
        <w:rPr>
          <w:rFonts w:cs="Arial"/>
        </w:rPr>
        <w:br w:type="page"/>
      </w:r>
    </w:p>
    <w:p w14:paraId="662AC78F" w14:textId="77777777" w:rsidR="00E82E35" w:rsidRPr="007C28EC" w:rsidRDefault="00360C1E" w:rsidP="001B45A1">
      <w:pPr>
        <w:pStyle w:val="Heading1"/>
        <w:spacing w:after="240"/>
        <w:rPr>
          <w:rFonts w:cs="Arial"/>
          <w:color w:val="auto"/>
        </w:rPr>
      </w:pPr>
      <w:bookmarkStart w:id="48" w:name="_Toc217195894"/>
      <w:r w:rsidRPr="007C28EC">
        <w:rPr>
          <w:rFonts w:cs="Arial"/>
          <w:color w:val="auto"/>
        </w:rPr>
        <w:t>7</w:t>
      </w:r>
      <w:r w:rsidR="00E82E35" w:rsidRPr="007C28EC">
        <w:rPr>
          <w:rFonts w:cs="Arial"/>
          <w:color w:val="auto"/>
        </w:rPr>
        <w:t>. Appendices</w:t>
      </w:r>
      <w:bookmarkEnd w:id="48"/>
    </w:p>
    <w:p w14:paraId="123696EA" w14:textId="77777777" w:rsidR="003B255E" w:rsidRPr="007C28EC" w:rsidRDefault="003B255E" w:rsidP="001B45A1">
      <w:pPr>
        <w:spacing w:after="240"/>
        <w:rPr>
          <w:rFonts w:ascii="Arial" w:hAnsi="Arial" w:cs="Arial"/>
          <w:b/>
          <w:sz w:val="24"/>
          <w:szCs w:val="24"/>
        </w:rPr>
      </w:pPr>
      <w:r w:rsidRPr="007C28EC">
        <w:rPr>
          <w:rFonts w:ascii="Arial" w:hAnsi="Arial" w:cs="Arial"/>
          <w:b/>
          <w:sz w:val="24"/>
          <w:szCs w:val="24"/>
        </w:rPr>
        <w:t>Appe</w:t>
      </w:r>
      <w:r w:rsidR="00FC0EF0" w:rsidRPr="007C28EC">
        <w:rPr>
          <w:rFonts w:ascii="Arial" w:hAnsi="Arial" w:cs="Arial"/>
          <w:b/>
          <w:sz w:val="24"/>
          <w:szCs w:val="24"/>
        </w:rPr>
        <w:t>ndix A: Financial Ratios Tables</w:t>
      </w:r>
    </w:p>
    <w:p w14:paraId="534839F1" w14:textId="77777777" w:rsidR="003B255E" w:rsidRPr="007C28EC" w:rsidRDefault="003B255E" w:rsidP="00FC0EF0">
      <w:pPr>
        <w:spacing w:line="360" w:lineRule="auto"/>
        <w:jc w:val="both"/>
        <w:rPr>
          <w:rFonts w:ascii="Arial" w:hAnsi="Arial" w:cs="Arial"/>
          <w:b/>
          <w:sz w:val="24"/>
          <w:szCs w:val="24"/>
        </w:rPr>
      </w:pPr>
      <w:r w:rsidRPr="007C28EC">
        <w:rPr>
          <w:rFonts w:ascii="Arial" w:hAnsi="Arial" w:cs="Arial"/>
          <w:b/>
          <w:sz w:val="24"/>
          <w:szCs w:val="24"/>
        </w:rPr>
        <w:t>A.1 Profitability Ratios</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7C28EC" w:rsidRPr="007C28EC" w14:paraId="2866E46C" w14:textId="77777777" w:rsidTr="00FC0EF0">
        <w:tc>
          <w:tcPr>
            <w:tcW w:w="1558" w:type="dxa"/>
          </w:tcPr>
          <w:p w14:paraId="14E3AF77" w14:textId="77777777" w:rsidR="00FC0EF0" w:rsidRPr="007C28EC" w:rsidRDefault="00FC0EF0" w:rsidP="00FC0EF0">
            <w:pPr>
              <w:spacing w:line="360" w:lineRule="auto"/>
              <w:jc w:val="both"/>
              <w:rPr>
                <w:rFonts w:ascii="Arial" w:hAnsi="Arial" w:cs="Arial"/>
                <w:b/>
                <w:sz w:val="24"/>
              </w:rPr>
            </w:pPr>
            <w:r w:rsidRPr="007C28EC">
              <w:rPr>
                <w:rFonts w:ascii="Arial" w:hAnsi="Arial" w:cs="Arial"/>
                <w:b/>
                <w:sz w:val="24"/>
              </w:rPr>
              <w:t>Year</w:t>
            </w:r>
          </w:p>
        </w:tc>
        <w:tc>
          <w:tcPr>
            <w:tcW w:w="1558" w:type="dxa"/>
          </w:tcPr>
          <w:p w14:paraId="7DCF24B2" w14:textId="77777777" w:rsidR="00FC0EF0" w:rsidRPr="007C28EC" w:rsidRDefault="00FC0EF0" w:rsidP="00FC0EF0">
            <w:pPr>
              <w:spacing w:line="360" w:lineRule="auto"/>
              <w:jc w:val="both"/>
              <w:rPr>
                <w:rFonts w:ascii="Arial" w:hAnsi="Arial" w:cs="Arial"/>
                <w:b/>
                <w:sz w:val="24"/>
              </w:rPr>
            </w:pPr>
            <w:r w:rsidRPr="007C28EC">
              <w:rPr>
                <w:rFonts w:ascii="Arial" w:hAnsi="Arial" w:cs="Arial"/>
                <w:b/>
                <w:sz w:val="24"/>
              </w:rPr>
              <w:t>GPM (%)</w:t>
            </w:r>
          </w:p>
        </w:tc>
        <w:tc>
          <w:tcPr>
            <w:tcW w:w="1558" w:type="dxa"/>
          </w:tcPr>
          <w:p w14:paraId="0EBFB0E9" w14:textId="77777777" w:rsidR="00FC0EF0" w:rsidRPr="007C28EC" w:rsidRDefault="00FC0EF0" w:rsidP="00FC0EF0">
            <w:pPr>
              <w:spacing w:line="360" w:lineRule="auto"/>
              <w:jc w:val="both"/>
              <w:rPr>
                <w:rFonts w:ascii="Arial" w:hAnsi="Arial" w:cs="Arial"/>
                <w:b/>
                <w:sz w:val="24"/>
              </w:rPr>
            </w:pPr>
            <w:r w:rsidRPr="007C28EC">
              <w:rPr>
                <w:rFonts w:ascii="Arial" w:hAnsi="Arial" w:cs="Arial"/>
                <w:b/>
                <w:sz w:val="24"/>
              </w:rPr>
              <w:t>OPM (%)</w:t>
            </w:r>
          </w:p>
        </w:tc>
        <w:tc>
          <w:tcPr>
            <w:tcW w:w="1558" w:type="dxa"/>
          </w:tcPr>
          <w:p w14:paraId="6AF291DD" w14:textId="77777777" w:rsidR="00FC0EF0" w:rsidRPr="007C28EC" w:rsidRDefault="00FC0EF0" w:rsidP="00FC0EF0">
            <w:pPr>
              <w:spacing w:line="360" w:lineRule="auto"/>
              <w:jc w:val="both"/>
              <w:rPr>
                <w:rFonts w:ascii="Arial" w:hAnsi="Arial" w:cs="Arial"/>
                <w:b/>
                <w:sz w:val="24"/>
              </w:rPr>
            </w:pPr>
            <w:r w:rsidRPr="007C28EC">
              <w:rPr>
                <w:rFonts w:ascii="Arial" w:hAnsi="Arial" w:cs="Arial"/>
                <w:b/>
                <w:sz w:val="24"/>
              </w:rPr>
              <w:t>NPM (%)</w:t>
            </w:r>
          </w:p>
        </w:tc>
        <w:tc>
          <w:tcPr>
            <w:tcW w:w="1559" w:type="dxa"/>
          </w:tcPr>
          <w:p w14:paraId="76D2C677" w14:textId="77777777" w:rsidR="00FC0EF0" w:rsidRPr="007C28EC" w:rsidRDefault="00FC0EF0" w:rsidP="00FC0EF0">
            <w:pPr>
              <w:spacing w:line="360" w:lineRule="auto"/>
              <w:jc w:val="both"/>
              <w:rPr>
                <w:rFonts w:ascii="Arial" w:hAnsi="Arial" w:cs="Arial"/>
                <w:b/>
                <w:sz w:val="24"/>
              </w:rPr>
            </w:pPr>
            <w:r w:rsidRPr="007C28EC">
              <w:rPr>
                <w:rFonts w:ascii="Arial" w:hAnsi="Arial" w:cs="Arial"/>
                <w:b/>
                <w:sz w:val="24"/>
              </w:rPr>
              <w:t>ROA (%)</w:t>
            </w:r>
          </w:p>
        </w:tc>
        <w:tc>
          <w:tcPr>
            <w:tcW w:w="1559" w:type="dxa"/>
          </w:tcPr>
          <w:p w14:paraId="0F14B4C0" w14:textId="77777777" w:rsidR="00FC0EF0" w:rsidRPr="007C28EC" w:rsidRDefault="00FC0EF0" w:rsidP="00FC0EF0">
            <w:pPr>
              <w:spacing w:line="360" w:lineRule="auto"/>
              <w:jc w:val="both"/>
              <w:rPr>
                <w:rFonts w:ascii="Arial" w:hAnsi="Arial" w:cs="Arial"/>
                <w:b/>
                <w:sz w:val="24"/>
              </w:rPr>
            </w:pPr>
            <w:r w:rsidRPr="007C28EC">
              <w:rPr>
                <w:rFonts w:ascii="Arial" w:hAnsi="Arial" w:cs="Arial"/>
                <w:b/>
                <w:sz w:val="24"/>
              </w:rPr>
              <w:t>ROE (%)</w:t>
            </w:r>
          </w:p>
        </w:tc>
      </w:tr>
      <w:tr w:rsidR="007C28EC" w:rsidRPr="007C28EC" w14:paraId="758611C7" w14:textId="77777777" w:rsidTr="00FC0EF0">
        <w:tc>
          <w:tcPr>
            <w:tcW w:w="1558" w:type="dxa"/>
          </w:tcPr>
          <w:p w14:paraId="0E55BF55"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2024</w:t>
            </w:r>
          </w:p>
        </w:tc>
        <w:tc>
          <w:tcPr>
            <w:tcW w:w="1558" w:type="dxa"/>
          </w:tcPr>
          <w:p w14:paraId="0A99C6EC"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28.9</w:t>
            </w:r>
          </w:p>
        </w:tc>
        <w:tc>
          <w:tcPr>
            <w:tcW w:w="1558" w:type="dxa"/>
          </w:tcPr>
          <w:p w14:paraId="4870F133"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-3.87</w:t>
            </w:r>
          </w:p>
        </w:tc>
        <w:tc>
          <w:tcPr>
            <w:tcW w:w="1558" w:type="dxa"/>
          </w:tcPr>
          <w:p w14:paraId="2FE20479"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-6.09</w:t>
            </w:r>
          </w:p>
        </w:tc>
        <w:tc>
          <w:tcPr>
            <w:tcW w:w="1559" w:type="dxa"/>
          </w:tcPr>
          <w:p w14:paraId="0CD272B9"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-7.44</w:t>
            </w:r>
          </w:p>
        </w:tc>
        <w:tc>
          <w:tcPr>
            <w:tcW w:w="1559" w:type="dxa"/>
          </w:tcPr>
          <w:p w14:paraId="0087D1BE"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-15.7</w:t>
            </w:r>
          </w:p>
        </w:tc>
      </w:tr>
      <w:tr w:rsidR="007C28EC" w:rsidRPr="007C28EC" w14:paraId="319E2E83" w14:textId="77777777" w:rsidTr="00FC0EF0">
        <w:tc>
          <w:tcPr>
            <w:tcW w:w="1558" w:type="dxa"/>
          </w:tcPr>
          <w:p w14:paraId="3365027F"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2023</w:t>
            </w:r>
          </w:p>
        </w:tc>
        <w:tc>
          <w:tcPr>
            <w:tcW w:w="1558" w:type="dxa"/>
          </w:tcPr>
          <w:p w14:paraId="451D8319"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23.2</w:t>
            </w:r>
          </w:p>
        </w:tc>
        <w:tc>
          <w:tcPr>
            <w:tcW w:w="1558" w:type="dxa"/>
          </w:tcPr>
          <w:p w14:paraId="183B426E"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-20.3</w:t>
            </w:r>
          </w:p>
        </w:tc>
        <w:tc>
          <w:tcPr>
            <w:tcW w:w="1558" w:type="dxa"/>
          </w:tcPr>
          <w:p w14:paraId="34704277"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-23.37</w:t>
            </w:r>
          </w:p>
        </w:tc>
        <w:tc>
          <w:tcPr>
            <w:tcW w:w="1559" w:type="dxa"/>
          </w:tcPr>
          <w:p w14:paraId="51B2942A"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-27.6</w:t>
            </w:r>
          </w:p>
        </w:tc>
        <w:tc>
          <w:tcPr>
            <w:tcW w:w="1559" w:type="dxa"/>
          </w:tcPr>
          <w:p w14:paraId="4AEAED4B"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-54.9</w:t>
            </w:r>
          </w:p>
        </w:tc>
      </w:tr>
      <w:tr w:rsidR="007C28EC" w:rsidRPr="007C28EC" w14:paraId="2577B9D4" w14:textId="77777777" w:rsidTr="00FC0EF0">
        <w:tc>
          <w:tcPr>
            <w:tcW w:w="1558" w:type="dxa"/>
          </w:tcPr>
          <w:p w14:paraId="1C6B3062"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2022</w:t>
            </w:r>
          </w:p>
        </w:tc>
        <w:tc>
          <w:tcPr>
            <w:tcW w:w="1558" w:type="dxa"/>
          </w:tcPr>
          <w:p w14:paraId="572BDC71"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28.1</w:t>
            </w:r>
          </w:p>
        </w:tc>
        <w:tc>
          <w:tcPr>
            <w:tcW w:w="1558" w:type="dxa"/>
          </w:tcPr>
          <w:p w14:paraId="48B4C7C6"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2.68</w:t>
            </w:r>
          </w:p>
        </w:tc>
        <w:tc>
          <w:tcPr>
            <w:tcW w:w="1558" w:type="dxa"/>
          </w:tcPr>
          <w:p w14:paraId="5A60BFE9"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0.07</w:t>
            </w:r>
          </w:p>
        </w:tc>
        <w:tc>
          <w:tcPr>
            <w:tcW w:w="1559" w:type="dxa"/>
          </w:tcPr>
          <w:p w14:paraId="4CAF2456"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0.08</w:t>
            </w:r>
          </w:p>
        </w:tc>
        <w:tc>
          <w:tcPr>
            <w:tcW w:w="1559" w:type="dxa"/>
          </w:tcPr>
          <w:p w14:paraId="7611D726"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0.15</w:t>
            </w:r>
          </w:p>
        </w:tc>
      </w:tr>
      <w:tr w:rsidR="007C28EC" w:rsidRPr="007C28EC" w14:paraId="26BBC09E" w14:textId="77777777" w:rsidTr="00FC0EF0">
        <w:tc>
          <w:tcPr>
            <w:tcW w:w="1558" w:type="dxa"/>
          </w:tcPr>
          <w:p w14:paraId="7D20B894"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2021</w:t>
            </w:r>
          </w:p>
        </w:tc>
        <w:tc>
          <w:tcPr>
            <w:tcW w:w="1558" w:type="dxa"/>
          </w:tcPr>
          <w:p w14:paraId="6B55F94D"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28.8</w:t>
            </w:r>
          </w:p>
        </w:tc>
        <w:tc>
          <w:tcPr>
            <w:tcW w:w="1558" w:type="dxa"/>
          </w:tcPr>
          <w:p w14:paraId="5C4A029F"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3.87</w:t>
            </w:r>
          </w:p>
        </w:tc>
        <w:tc>
          <w:tcPr>
            <w:tcW w:w="1558" w:type="dxa"/>
          </w:tcPr>
          <w:p w14:paraId="1E536D26"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0.88</w:t>
            </w:r>
          </w:p>
        </w:tc>
        <w:tc>
          <w:tcPr>
            <w:tcW w:w="1559" w:type="dxa"/>
          </w:tcPr>
          <w:p w14:paraId="018F070D"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1.04</w:t>
            </w:r>
          </w:p>
        </w:tc>
        <w:tc>
          <w:tcPr>
            <w:tcW w:w="1559" w:type="dxa"/>
          </w:tcPr>
          <w:p w14:paraId="670E32B2"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1.92</w:t>
            </w:r>
          </w:p>
        </w:tc>
      </w:tr>
      <w:tr w:rsidR="007C28EC" w:rsidRPr="007C28EC" w14:paraId="6424F2FA" w14:textId="77777777" w:rsidTr="00FC0EF0">
        <w:tc>
          <w:tcPr>
            <w:tcW w:w="1558" w:type="dxa"/>
          </w:tcPr>
          <w:p w14:paraId="0BD92633"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2020</w:t>
            </w:r>
          </w:p>
        </w:tc>
        <w:tc>
          <w:tcPr>
            <w:tcW w:w="1558" w:type="dxa"/>
          </w:tcPr>
          <w:p w14:paraId="249B19DE"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28.7</w:t>
            </w:r>
          </w:p>
        </w:tc>
        <w:tc>
          <w:tcPr>
            <w:tcW w:w="1558" w:type="dxa"/>
          </w:tcPr>
          <w:p w14:paraId="6D3C1AFC"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6.06</w:t>
            </w:r>
          </w:p>
        </w:tc>
        <w:tc>
          <w:tcPr>
            <w:tcW w:w="1558" w:type="dxa"/>
          </w:tcPr>
          <w:p w14:paraId="35E41E5F"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6.28</w:t>
            </w:r>
          </w:p>
        </w:tc>
        <w:tc>
          <w:tcPr>
            <w:tcW w:w="1559" w:type="dxa"/>
          </w:tcPr>
          <w:p w14:paraId="0B6E00DA"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7.56</w:t>
            </w:r>
          </w:p>
        </w:tc>
        <w:tc>
          <w:tcPr>
            <w:tcW w:w="1559" w:type="dxa"/>
          </w:tcPr>
          <w:p w14:paraId="1623529C" w14:textId="77777777" w:rsidR="00FC0EF0" w:rsidRPr="007C28EC" w:rsidRDefault="00FC0EF0" w:rsidP="00FC0EF0">
            <w:pPr>
              <w:spacing w:line="360" w:lineRule="auto"/>
              <w:jc w:val="both"/>
              <w:rPr>
                <w:rFonts w:ascii="Arial" w:hAnsi="Arial" w:cs="Arial"/>
                <w:sz w:val="24"/>
              </w:rPr>
            </w:pPr>
            <w:r w:rsidRPr="007C28EC">
              <w:rPr>
                <w:rFonts w:ascii="Arial" w:hAnsi="Arial" w:cs="Arial"/>
                <w:sz w:val="24"/>
              </w:rPr>
              <w:t>12.31</w:t>
            </w:r>
          </w:p>
        </w:tc>
      </w:tr>
    </w:tbl>
    <w:p w14:paraId="788A4585" w14:textId="77777777" w:rsidR="003B255E" w:rsidRPr="007C28EC" w:rsidRDefault="003B255E" w:rsidP="003B255E">
      <w:pPr>
        <w:rPr>
          <w:rFonts w:ascii="Arial" w:hAnsi="Arial" w:cs="Arial"/>
        </w:rPr>
      </w:pPr>
    </w:p>
    <w:p w14:paraId="6B9A0450" w14:textId="77777777" w:rsidR="003B255E" w:rsidRPr="007C28EC" w:rsidRDefault="00FC0EF0" w:rsidP="003B255E">
      <w:pPr>
        <w:rPr>
          <w:rFonts w:ascii="Arial" w:hAnsi="Arial" w:cs="Arial"/>
          <w:b/>
          <w:sz w:val="24"/>
        </w:rPr>
      </w:pPr>
      <w:r w:rsidRPr="007C28EC">
        <w:rPr>
          <w:rFonts w:ascii="Arial" w:hAnsi="Arial" w:cs="Arial"/>
          <w:b/>
          <w:sz w:val="24"/>
        </w:rPr>
        <w:t>A.2 Liquidity Ratios</w:t>
      </w:r>
    </w:p>
    <w:tbl>
      <w:tblPr>
        <w:tblStyle w:val="TableGrid"/>
        <w:tblW w:w="0" w:type="auto"/>
        <w:tblLook w:val="04A0" w:firstRow="1" w:lastRow="0" w:firstColumn="1" w:lastColumn="0" w:noHBand="0" w:noVBand="1"/>
      </w:tblPr>
      <w:tblGrid>
        <w:gridCol w:w="3116"/>
        <w:gridCol w:w="3117"/>
        <w:gridCol w:w="3117"/>
      </w:tblGrid>
      <w:tr w:rsidR="007C28EC" w:rsidRPr="007C28EC" w14:paraId="33C4FEFD" w14:textId="77777777" w:rsidTr="00FC0EF0">
        <w:tc>
          <w:tcPr>
            <w:tcW w:w="3116" w:type="dxa"/>
          </w:tcPr>
          <w:p w14:paraId="0EA45ACA" w14:textId="77777777" w:rsidR="00FC0EF0" w:rsidRPr="007C28EC" w:rsidRDefault="00FC0EF0" w:rsidP="00FC0EF0">
            <w:pPr>
              <w:spacing w:line="360" w:lineRule="auto"/>
              <w:rPr>
                <w:rFonts w:ascii="Arial" w:hAnsi="Arial" w:cs="Arial"/>
                <w:sz w:val="24"/>
              </w:rPr>
            </w:pPr>
            <w:r w:rsidRPr="007C28EC">
              <w:rPr>
                <w:rFonts w:ascii="Arial" w:hAnsi="Arial" w:cs="Arial"/>
                <w:sz w:val="24"/>
              </w:rPr>
              <w:t>Year</w:t>
            </w:r>
          </w:p>
        </w:tc>
        <w:tc>
          <w:tcPr>
            <w:tcW w:w="3117" w:type="dxa"/>
          </w:tcPr>
          <w:p w14:paraId="523BB63F" w14:textId="77777777" w:rsidR="00FC0EF0" w:rsidRPr="007C28EC" w:rsidRDefault="00FC0EF0" w:rsidP="00FC0EF0">
            <w:pPr>
              <w:spacing w:line="360" w:lineRule="auto"/>
              <w:rPr>
                <w:rFonts w:ascii="Arial" w:hAnsi="Arial" w:cs="Arial"/>
                <w:sz w:val="24"/>
              </w:rPr>
            </w:pPr>
            <w:r w:rsidRPr="007C28EC">
              <w:rPr>
                <w:rFonts w:ascii="Arial" w:hAnsi="Arial" w:cs="Arial"/>
                <w:sz w:val="24"/>
              </w:rPr>
              <w:t>Current Ratio</w:t>
            </w:r>
          </w:p>
        </w:tc>
        <w:tc>
          <w:tcPr>
            <w:tcW w:w="3117" w:type="dxa"/>
          </w:tcPr>
          <w:p w14:paraId="57CB77EF" w14:textId="77777777" w:rsidR="00FC0EF0" w:rsidRPr="007C28EC" w:rsidRDefault="00FC0EF0" w:rsidP="00FC0EF0">
            <w:pPr>
              <w:spacing w:line="360" w:lineRule="auto"/>
              <w:rPr>
                <w:rFonts w:ascii="Arial" w:hAnsi="Arial" w:cs="Arial"/>
                <w:sz w:val="24"/>
              </w:rPr>
            </w:pPr>
            <w:r w:rsidRPr="007C28EC">
              <w:rPr>
                <w:rFonts w:ascii="Arial" w:hAnsi="Arial" w:cs="Arial"/>
                <w:sz w:val="24"/>
              </w:rPr>
              <w:t>Quick Ratio</w:t>
            </w:r>
          </w:p>
        </w:tc>
      </w:tr>
      <w:tr w:rsidR="007C28EC" w:rsidRPr="007C28EC" w14:paraId="57178F35" w14:textId="77777777" w:rsidTr="00FC0EF0">
        <w:tc>
          <w:tcPr>
            <w:tcW w:w="3116" w:type="dxa"/>
          </w:tcPr>
          <w:p w14:paraId="277710B8" w14:textId="77777777" w:rsidR="00FC0EF0" w:rsidRPr="007C28EC" w:rsidRDefault="00FC0EF0" w:rsidP="00FC0EF0">
            <w:pPr>
              <w:spacing w:line="360" w:lineRule="auto"/>
              <w:rPr>
                <w:rFonts w:ascii="Arial" w:hAnsi="Arial" w:cs="Arial"/>
                <w:sz w:val="24"/>
              </w:rPr>
            </w:pPr>
            <w:r w:rsidRPr="007C28EC">
              <w:rPr>
                <w:rFonts w:ascii="Arial" w:hAnsi="Arial" w:cs="Arial"/>
                <w:sz w:val="24"/>
              </w:rPr>
              <w:t>2024</w:t>
            </w:r>
          </w:p>
        </w:tc>
        <w:tc>
          <w:tcPr>
            <w:tcW w:w="3117" w:type="dxa"/>
          </w:tcPr>
          <w:p w14:paraId="1DC93066" w14:textId="77777777" w:rsidR="00FC0EF0" w:rsidRPr="007C28EC" w:rsidRDefault="00FC0EF0" w:rsidP="00FC0EF0">
            <w:pPr>
              <w:spacing w:line="360" w:lineRule="auto"/>
              <w:rPr>
                <w:rFonts w:ascii="Arial" w:hAnsi="Arial" w:cs="Arial"/>
                <w:sz w:val="24"/>
              </w:rPr>
            </w:pPr>
            <w:r w:rsidRPr="007C28EC">
              <w:rPr>
                <w:rFonts w:ascii="Arial" w:hAnsi="Arial" w:cs="Arial"/>
                <w:sz w:val="24"/>
              </w:rPr>
              <w:t>1.53</w:t>
            </w:r>
          </w:p>
        </w:tc>
        <w:tc>
          <w:tcPr>
            <w:tcW w:w="3117" w:type="dxa"/>
          </w:tcPr>
          <w:p w14:paraId="4A526C75" w14:textId="77777777" w:rsidR="00FC0EF0" w:rsidRPr="007C28EC" w:rsidRDefault="00FC0EF0" w:rsidP="00FC0EF0">
            <w:pPr>
              <w:spacing w:line="360" w:lineRule="auto"/>
              <w:rPr>
                <w:rFonts w:ascii="Arial" w:hAnsi="Arial" w:cs="Arial"/>
                <w:sz w:val="24"/>
              </w:rPr>
            </w:pPr>
            <w:r w:rsidRPr="007C28EC">
              <w:rPr>
                <w:rFonts w:ascii="Arial" w:hAnsi="Arial" w:cs="Arial"/>
                <w:sz w:val="24"/>
              </w:rPr>
              <w:t>1.04</w:t>
            </w:r>
          </w:p>
        </w:tc>
      </w:tr>
      <w:tr w:rsidR="007C28EC" w:rsidRPr="007C28EC" w14:paraId="37680C01" w14:textId="77777777" w:rsidTr="00FC0EF0">
        <w:tc>
          <w:tcPr>
            <w:tcW w:w="3116" w:type="dxa"/>
          </w:tcPr>
          <w:p w14:paraId="3DDDC1C4" w14:textId="77777777" w:rsidR="00FC0EF0" w:rsidRPr="007C28EC" w:rsidRDefault="00FC0EF0" w:rsidP="00FC0EF0">
            <w:pPr>
              <w:spacing w:line="360" w:lineRule="auto"/>
              <w:rPr>
                <w:rFonts w:ascii="Arial" w:hAnsi="Arial" w:cs="Arial"/>
                <w:sz w:val="24"/>
              </w:rPr>
            </w:pPr>
            <w:r w:rsidRPr="007C28EC">
              <w:rPr>
                <w:rFonts w:ascii="Arial" w:hAnsi="Arial" w:cs="Arial"/>
                <w:sz w:val="24"/>
              </w:rPr>
              <w:t>2023</w:t>
            </w:r>
          </w:p>
        </w:tc>
        <w:tc>
          <w:tcPr>
            <w:tcW w:w="3117" w:type="dxa"/>
          </w:tcPr>
          <w:p w14:paraId="7F5F4A0D" w14:textId="77777777" w:rsidR="00FC0EF0" w:rsidRPr="007C28EC" w:rsidRDefault="00FC0EF0" w:rsidP="00FC0EF0">
            <w:pPr>
              <w:spacing w:line="360" w:lineRule="auto"/>
              <w:rPr>
                <w:rFonts w:ascii="Arial" w:hAnsi="Arial" w:cs="Arial"/>
                <w:sz w:val="24"/>
              </w:rPr>
            </w:pPr>
            <w:r w:rsidRPr="007C28EC">
              <w:rPr>
                <w:rFonts w:ascii="Arial" w:hAnsi="Arial" w:cs="Arial"/>
                <w:sz w:val="24"/>
              </w:rPr>
              <w:t>1.61</w:t>
            </w:r>
          </w:p>
        </w:tc>
        <w:tc>
          <w:tcPr>
            <w:tcW w:w="3117" w:type="dxa"/>
          </w:tcPr>
          <w:p w14:paraId="05A8CA5D" w14:textId="77777777" w:rsidR="00FC0EF0" w:rsidRPr="007C28EC" w:rsidRDefault="00FC0EF0" w:rsidP="00FC0EF0">
            <w:pPr>
              <w:spacing w:line="360" w:lineRule="auto"/>
              <w:rPr>
                <w:rFonts w:ascii="Arial" w:hAnsi="Arial" w:cs="Arial"/>
                <w:sz w:val="24"/>
              </w:rPr>
            </w:pPr>
            <w:r w:rsidRPr="007C28EC">
              <w:rPr>
                <w:rFonts w:ascii="Arial" w:hAnsi="Arial" w:cs="Arial"/>
                <w:sz w:val="24"/>
              </w:rPr>
              <w:t>1.01</w:t>
            </w:r>
          </w:p>
        </w:tc>
      </w:tr>
      <w:tr w:rsidR="007C28EC" w:rsidRPr="007C28EC" w14:paraId="1CCA469C" w14:textId="77777777" w:rsidTr="00FC0EF0">
        <w:tc>
          <w:tcPr>
            <w:tcW w:w="3116" w:type="dxa"/>
          </w:tcPr>
          <w:p w14:paraId="2DA16160" w14:textId="77777777" w:rsidR="00FC0EF0" w:rsidRPr="007C28EC" w:rsidRDefault="00FC0EF0" w:rsidP="00FC0EF0">
            <w:pPr>
              <w:spacing w:line="360" w:lineRule="auto"/>
              <w:rPr>
                <w:rFonts w:ascii="Arial" w:hAnsi="Arial" w:cs="Arial"/>
                <w:sz w:val="24"/>
              </w:rPr>
            </w:pPr>
            <w:r w:rsidRPr="007C28EC">
              <w:rPr>
                <w:rFonts w:ascii="Arial" w:hAnsi="Arial" w:cs="Arial"/>
                <w:sz w:val="24"/>
              </w:rPr>
              <w:t>2022</w:t>
            </w:r>
          </w:p>
        </w:tc>
        <w:tc>
          <w:tcPr>
            <w:tcW w:w="3117" w:type="dxa"/>
          </w:tcPr>
          <w:p w14:paraId="23215FA4" w14:textId="77777777" w:rsidR="00FC0EF0" w:rsidRPr="007C28EC" w:rsidRDefault="00FC0EF0" w:rsidP="00FC0EF0">
            <w:pPr>
              <w:spacing w:line="360" w:lineRule="auto"/>
              <w:rPr>
                <w:rFonts w:ascii="Arial" w:hAnsi="Arial" w:cs="Arial"/>
                <w:sz w:val="24"/>
              </w:rPr>
            </w:pPr>
            <w:r w:rsidRPr="007C28EC">
              <w:rPr>
                <w:rFonts w:ascii="Arial" w:hAnsi="Arial" w:cs="Arial"/>
                <w:sz w:val="24"/>
              </w:rPr>
              <w:t>1.56</w:t>
            </w:r>
          </w:p>
        </w:tc>
        <w:tc>
          <w:tcPr>
            <w:tcW w:w="3117" w:type="dxa"/>
          </w:tcPr>
          <w:p w14:paraId="525EE028" w14:textId="77777777" w:rsidR="00FC0EF0" w:rsidRPr="007C28EC" w:rsidRDefault="00FC0EF0" w:rsidP="00FC0EF0">
            <w:pPr>
              <w:spacing w:line="360" w:lineRule="auto"/>
              <w:rPr>
                <w:rFonts w:ascii="Arial" w:hAnsi="Arial" w:cs="Arial"/>
                <w:sz w:val="24"/>
              </w:rPr>
            </w:pPr>
            <w:r w:rsidRPr="007C28EC">
              <w:rPr>
                <w:rFonts w:ascii="Arial" w:hAnsi="Arial" w:cs="Arial"/>
                <w:sz w:val="24"/>
              </w:rPr>
              <w:t>0.91</w:t>
            </w:r>
          </w:p>
        </w:tc>
      </w:tr>
      <w:tr w:rsidR="007C28EC" w:rsidRPr="007C28EC" w14:paraId="0CDA655E" w14:textId="77777777" w:rsidTr="00FC0EF0">
        <w:tc>
          <w:tcPr>
            <w:tcW w:w="3116" w:type="dxa"/>
          </w:tcPr>
          <w:p w14:paraId="17038D9D" w14:textId="77777777" w:rsidR="00FC0EF0" w:rsidRPr="007C28EC" w:rsidRDefault="00FC0EF0" w:rsidP="00FC0EF0">
            <w:pPr>
              <w:spacing w:line="360" w:lineRule="auto"/>
              <w:rPr>
                <w:rFonts w:ascii="Arial" w:hAnsi="Arial" w:cs="Arial"/>
                <w:sz w:val="24"/>
              </w:rPr>
            </w:pPr>
            <w:r w:rsidRPr="007C28EC">
              <w:rPr>
                <w:rFonts w:ascii="Arial" w:hAnsi="Arial" w:cs="Arial"/>
                <w:sz w:val="24"/>
              </w:rPr>
              <w:t>2021</w:t>
            </w:r>
          </w:p>
        </w:tc>
        <w:tc>
          <w:tcPr>
            <w:tcW w:w="3117" w:type="dxa"/>
          </w:tcPr>
          <w:p w14:paraId="7E5C89B0" w14:textId="77777777" w:rsidR="00FC0EF0" w:rsidRPr="007C28EC" w:rsidRDefault="00FC0EF0" w:rsidP="00FC0EF0">
            <w:pPr>
              <w:spacing w:line="360" w:lineRule="auto"/>
              <w:rPr>
                <w:rFonts w:ascii="Arial" w:hAnsi="Arial" w:cs="Arial"/>
                <w:sz w:val="24"/>
              </w:rPr>
            </w:pPr>
            <w:r w:rsidRPr="007C28EC">
              <w:rPr>
                <w:rFonts w:ascii="Arial" w:hAnsi="Arial" w:cs="Arial"/>
                <w:sz w:val="24"/>
              </w:rPr>
              <w:t>1.55</w:t>
            </w:r>
          </w:p>
        </w:tc>
        <w:tc>
          <w:tcPr>
            <w:tcW w:w="3117" w:type="dxa"/>
          </w:tcPr>
          <w:p w14:paraId="3F1B13FB" w14:textId="77777777" w:rsidR="00FC0EF0" w:rsidRPr="007C28EC" w:rsidRDefault="00FC0EF0" w:rsidP="00FC0EF0">
            <w:pPr>
              <w:spacing w:line="360" w:lineRule="auto"/>
              <w:rPr>
                <w:rFonts w:ascii="Arial" w:hAnsi="Arial" w:cs="Arial"/>
                <w:sz w:val="24"/>
              </w:rPr>
            </w:pPr>
            <w:r w:rsidRPr="007C28EC">
              <w:rPr>
                <w:rFonts w:ascii="Arial" w:hAnsi="Arial" w:cs="Arial"/>
                <w:sz w:val="24"/>
              </w:rPr>
              <w:t>0.97</w:t>
            </w:r>
          </w:p>
        </w:tc>
      </w:tr>
      <w:tr w:rsidR="007C28EC" w:rsidRPr="007C28EC" w14:paraId="57C1EDC2" w14:textId="77777777" w:rsidTr="00FC0EF0">
        <w:tc>
          <w:tcPr>
            <w:tcW w:w="3116" w:type="dxa"/>
          </w:tcPr>
          <w:p w14:paraId="316F912E" w14:textId="77777777" w:rsidR="00FC0EF0" w:rsidRPr="007C28EC" w:rsidRDefault="00FC0EF0" w:rsidP="00FC0EF0">
            <w:pPr>
              <w:spacing w:line="360" w:lineRule="auto"/>
              <w:rPr>
                <w:rFonts w:ascii="Arial" w:hAnsi="Arial" w:cs="Arial"/>
                <w:sz w:val="24"/>
              </w:rPr>
            </w:pPr>
            <w:r w:rsidRPr="007C28EC">
              <w:rPr>
                <w:rFonts w:ascii="Arial" w:hAnsi="Arial" w:cs="Arial"/>
                <w:sz w:val="24"/>
              </w:rPr>
              <w:t>2020</w:t>
            </w:r>
          </w:p>
        </w:tc>
        <w:tc>
          <w:tcPr>
            <w:tcW w:w="3117" w:type="dxa"/>
          </w:tcPr>
          <w:p w14:paraId="202156DF" w14:textId="77777777" w:rsidR="00FC0EF0" w:rsidRPr="007C28EC" w:rsidRDefault="00FC0EF0" w:rsidP="00FC0EF0">
            <w:pPr>
              <w:spacing w:line="360" w:lineRule="auto"/>
              <w:rPr>
                <w:rFonts w:ascii="Arial" w:hAnsi="Arial" w:cs="Arial"/>
                <w:sz w:val="24"/>
              </w:rPr>
            </w:pPr>
            <w:r w:rsidRPr="007C28EC">
              <w:rPr>
                <w:rFonts w:ascii="Arial" w:hAnsi="Arial" w:cs="Arial"/>
                <w:sz w:val="24"/>
              </w:rPr>
              <w:t>1.82</w:t>
            </w:r>
          </w:p>
        </w:tc>
        <w:tc>
          <w:tcPr>
            <w:tcW w:w="3117" w:type="dxa"/>
          </w:tcPr>
          <w:p w14:paraId="3A0E7597" w14:textId="77777777" w:rsidR="00FC0EF0" w:rsidRPr="007C28EC" w:rsidRDefault="00FC0EF0" w:rsidP="00FC0EF0">
            <w:pPr>
              <w:spacing w:line="360" w:lineRule="auto"/>
              <w:rPr>
                <w:rFonts w:ascii="Arial" w:hAnsi="Arial" w:cs="Arial"/>
                <w:sz w:val="24"/>
              </w:rPr>
            </w:pPr>
            <w:r w:rsidRPr="007C28EC">
              <w:rPr>
                <w:rFonts w:ascii="Arial" w:hAnsi="Arial" w:cs="Arial"/>
                <w:sz w:val="24"/>
              </w:rPr>
              <w:t>1.37</w:t>
            </w:r>
          </w:p>
        </w:tc>
      </w:tr>
    </w:tbl>
    <w:p w14:paraId="45CB0564" w14:textId="77777777" w:rsidR="003B255E" w:rsidRPr="007C28EC" w:rsidRDefault="003B255E" w:rsidP="003B255E">
      <w:pPr>
        <w:rPr>
          <w:rFonts w:ascii="Arial" w:hAnsi="Arial" w:cs="Arial"/>
        </w:rPr>
      </w:pPr>
    </w:p>
    <w:p w14:paraId="189AA5F9" w14:textId="77777777" w:rsidR="003B255E" w:rsidRPr="007C28EC" w:rsidRDefault="00FC0EF0" w:rsidP="00FC0EF0">
      <w:pPr>
        <w:spacing w:line="360" w:lineRule="auto"/>
        <w:rPr>
          <w:rFonts w:ascii="Arial" w:hAnsi="Arial" w:cs="Arial"/>
          <w:b/>
          <w:sz w:val="24"/>
          <w:szCs w:val="24"/>
        </w:rPr>
      </w:pPr>
      <w:r w:rsidRPr="007C28EC">
        <w:rPr>
          <w:rFonts w:ascii="Arial" w:hAnsi="Arial" w:cs="Arial"/>
          <w:b/>
          <w:sz w:val="24"/>
          <w:szCs w:val="24"/>
        </w:rPr>
        <w:t>A.3 Efficiency Ratios</w:t>
      </w:r>
    </w:p>
    <w:tbl>
      <w:tblPr>
        <w:tblStyle w:val="TableGrid"/>
        <w:tblW w:w="0" w:type="auto"/>
        <w:tblLook w:val="04A0" w:firstRow="1" w:lastRow="0" w:firstColumn="1" w:lastColumn="0" w:noHBand="0" w:noVBand="1"/>
      </w:tblPr>
      <w:tblGrid>
        <w:gridCol w:w="3116"/>
        <w:gridCol w:w="3117"/>
        <w:gridCol w:w="3117"/>
      </w:tblGrid>
      <w:tr w:rsidR="007C28EC" w:rsidRPr="007C28EC" w14:paraId="08AE7FC6" w14:textId="77777777" w:rsidTr="00FC0EF0">
        <w:tc>
          <w:tcPr>
            <w:tcW w:w="3116" w:type="dxa"/>
          </w:tcPr>
          <w:p w14:paraId="7FDDF05C"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Year</w:t>
            </w:r>
          </w:p>
        </w:tc>
        <w:tc>
          <w:tcPr>
            <w:tcW w:w="3117" w:type="dxa"/>
          </w:tcPr>
          <w:p w14:paraId="005AEE64"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Inventory Turnover (x)</w:t>
            </w:r>
          </w:p>
        </w:tc>
        <w:tc>
          <w:tcPr>
            <w:tcW w:w="3117" w:type="dxa"/>
          </w:tcPr>
          <w:p w14:paraId="3B781445"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AR Turnover (x)</w:t>
            </w:r>
          </w:p>
        </w:tc>
      </w:tr>
      <w:tr w:rsidR="007C28EC" w:rsidRPr="007C28EC" w14:paraId="73213B89" w14:textId="77777777" w:rsidTr="00FC0EF0">
        <w:tc>
          <w:tcPr>
            <w:tcW w:w="3116" w:type="dxa"/>
          </w:tcPr>
          <w:p w14:paraId="29689597"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2024</w:t>
            </w:r>
          </w:p>
        </w:tc>
        <w:tc>
          <w:tcPr>
            <w:tcW w:w="3117" w:type="dxa"/>
          </w:tcPr>
          <w:p w14:paraId="2C3F8059"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3.54</w:t>
            </w:r>
          </w:p>
        </w:tc>
        <w:tc>
          <w:tcPr>
            <w:tcW w:w="3117" w:type="dxa"/>
          </w:tcPr>
          <w:p w14:paraId="1B2B9C8B"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3.49</w:t>
            </w:r>
          </w:p>
        </w:tc>
      </w:tr>
      <w:tr w:rsidR="007C28EC" w:rsidRPr="007C28EC" w14:paraId="59B44E24" w14:textId="77777777" w:rsidTr="00FC0EF0">
        <w:tc>
          <w:tcPr>
            <w:tcW w:w="3116" w:type="dxa"/>
          </w:tcPr>
          <w:p w14:paraId="5CF5FC11"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2023</w:t>
            </w:r>
          </w:p>
        </w:tc>
        <w:tc>
          <w:tcPr>
            <w:tcW w:w="3117" w:type="dxa"/>
          </w:tcPr>
          <w:p w14:paraId="63D3F768"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3.66</w:t>
            </w:r>
          </w:p>
        </w:tc>
        <w:tc>
          <w:tcPr>
            <w:tcW w:w="3117" w:type="dxa"/>
          </w:tcPr>
          <w:p w14:paraId="55C74BD0"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3.74</w:t>
            </w:r>
          </w:p>
        </w:tc>
      </w:tr>
      <w:tr w:rsidR="007C28EC" w:rsidRPr="007C28EC" w14:paraId="2A15D5A1" w14:textId="77777777" w:rsidTr="00FC0EF0">
        <w:tc>
          <w:tcPr>
            <w:tcW w:w="3116" w:type="dxa"/>
          </w:tcPr>
          <w:p w14:paraId="7526A446"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2022</w:t>
            </w:r>
          </w:p>
        </w:tc>
        <w:tc>
          <w:tcPr>
            <w:tcW w:w="3117" w:type="dxa"/>
          </w:tcPr>
          <w:p w14:paraId="66791287"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2.78</w:t>
            </w:r>
          </w:p>
        </w:tc>
        <w:tc>
          <w:tcPr>
            <w:tcW w:w="3117" w:type="dxa"/>
          </w:tcPr>
          <w:p w14:paraId="4DC8C40C"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4.82</w:t>
            </w:r>
          </w:p>
        </w:tc>
      </w:tr>
      <w:tr w:rsidR="007C28EC" w:rsidRPr="007C28EC" w14:paraId="5A82A5D3" w14:textId="77777777" w:rsidTr="00FC0EF0">
        <w:tc>
          <w:tcPr>
            <w:tcW w:w="3116" w:type="dxa"/>
          </w:tcPr>
          <w:p w14:paraId="22B15017"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2021</w:t>
            </w:r>
          </w:p>
        </w:tc>
        <w:tc>
          <w:tcPr>
            <w:tcW w:w="3117" w:type="dxa"/>
          </w:tcPr>
          <w:p w14:paraId="075A4A97"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3.19</w:t>
            </w:r>
          </w:p>
        </w:tc>
        <w:tc>
          <w:tcPr>
            <w:tcW w:w="3117" w:type="dxa"/>
          </w:tcPr>
          <w:p w14:paraId="2DEC3A3B"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4.66</w:t>
            </w:r>
          </w:p>
        </w:tc>
      </w:tr>
      <w:tr w:rsidR="007C28EC" w:rsidRPr="007C28EC" w14:paraId="107C44D6" w14:textId="77777777" w:rsidTr="00FC0EF0">
        <w:tc>
          <w:tcPr>
            <w:tcW w:w="3116" w:type="dxa"/>
          </w:tcPr>
          <w:p w14:paraId="612078ED"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2020</w:t>
            </w:r>
          </w:p>
        </w:tc>
        <w:tc>
          <w:tcPr>
            <w:tcW w:w="3117" w:type="dxa"/>
          </w:tcPr>
          <w:p w14:paraId="35CBFDCE"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3.64</w:t>
            </w:r>
          </w:p>
        </w:tc>
        <w:tc>
          <w:tcPr>
            <w:tcW w:w="3117" w:type="dxa"/>
          </w:tcPr>
          <w:p w14:paraId="6DD49C47" w14:textId="77777777" w:rsidR="00FC0EF0" w:rsidRPr="007C28EC" w:rsidRDefault="00FC0EF0" w:rsidP="00FC0EF0">
            <w:pPr>
              <w:spacing w:line="360" w:lineRule="auto"/>
              <w:rPr>
                <w:rFonts w:ascii="Arial" w:hAnsi="Arial" w:cs="Arial"/>
                <w:sz w:val="24"/>
                <w:szCs w:val="24"/>
              </w:rPr>
            </w:pPr>
            <w:r w:rsidRPr="007C28EC">
              <w:rPr>
                <w:rFonts w:ascii="Arial" w:hAnsi="Arial" w:cs="Arial"/>
                <w:sz w:val="24"/>
                <w:szCs w:val="24"/>
              </w:rPr>
              <w:t>4.75</w:t>
            </w:r>
          </w:p>
        </w:tc>
      </w:tr>
    </w:tbl>
    <w:p w14:paraId="0A696E95" w14:textId="77777777" w:rsidR="003B255E" w:rsidRPr="007C28EC" w:rsidRDefault="003B255E" w:rsidP="003B255E">
      <w:pPr>
        <w:rPr>
          <w:rFonts w:ascii="Arial" w:hAnsi="Arial" w:cs="Arial"/>
        </w:rPr>
      </w:pPr>
    </w:p>
    <w:p w14:paraId="09C3FD62" w14:textId="77777777" w:rsidR="00FC0EF0" w:rsidRPr="007C28EC" w:rsidRDefault="00FC0EF0" w:rsidP="003B255E">
      <w:pPr>
        <w:rPr>
          <w:rFonts w:ascii="Arial" w:hAnsi="Arial" w:cs="Arial"/>
        </w:rPr>
      </w:pPr>
    </w:p>
    <w:p w14:paraId="3EDC555E" w14:textId="77777777" w:rsidR="00FC0EF0" w:rsidRPr="007C28EC" w:rsidRDefault="00FC0EF0" w:rsidP="003B255E">
      <w:pPr>
        <w:rPr>
          <w:rFonts w:ascii="Arial" w:hAnsi="Arial" w:cs="Arial"/>
        </w:rPr>
      </w:pPr>
    </w:p>
    <w:p w14:paraId="25C3DCE7" w14:textId="77777777" w:rsidR="00FC0EF0" w:rsidRPr="007C28EC" w:rsidRDefault="00FC0EF0" w:rsidP="003B255E">
      <w:pPr>
        <w:rPr>
          <w:rFonts w:ascii="Arial" w:hAnsi="Arial" w:cs="Arial"/>
        </w:rPr>
      </w:pPr>
    </w:p>
    <w:p w14:paraId="65FE5704" w14:textId="77777777" w:rsidR="003B255E" w:rsidRPr="007C28EC" w:rsidRDefault="00FC0EF0" w:rsidP="003B255E">
      <w:pPr>
        <w:rPr>
          <w:rFonts w:ascii="Arial" w:hAnsi="Arial" w:cs="Arial"/>
          <w:b/>
        </w:rPr>
      </w:pPr>
      <w:r w:rsidRPr="007C28EC">
        <w:rPr>
          <w:rFonts w:ascii="Arial" w:hAnsi="Arial" w:cs="Arial"/>
          <w:b/>
        </w:rPr>
        <w:t>A.4 Gearing Ratios</w:t>
      </w:r>
    </w:p>
    <w:tbl>
      <w:tblPr>
        <w:tblStyle w:val="TableGrid"/>
        <w:tblW w:w="0" w:type="auto"/>
        <w:tblLook w:val="04A0" w:firstRow="1" w:lastRow="0" w:firstColumn="1" w:lastColumn="0" w:noHBand="0" w:noVBand="1"/>
      </w:tblPr>
      <w:tblGrid>
        <w:gridCol w:w="3116"/>
        <w:gridCol w:w="3117"/>
        <w:gridCol w:w="3117"/>
      </w:tblGrid>
      <w:tr w:rsidR="007C28EC" w:rsidRPr="007C28EC" w14:paraId="6197C95A" w14:textId="77777777" w:rsidTr="00FC0EF0">
        <w:tc>
          <w:tcPr>
            <w:tcW w:w="3116" w:type="dxa"/>
          </w:tcPr>
          <w:p w14:paraId="695D3122" w14:textId="77777777" w:rsidR="00FC0EF0" w:rsidRPr="007C28EC" w:rsidRDefault="00FC0EF0" w:rsidP="00FC0EF0">
            <w:pPr>
              <w:spacing w:line="360" w:lineRule="auto"/>
              <w:rPr>
                <w:rFonts w:ascii="Arial" w:hAnsi="Arial" w:cs="Arial"/>
                <w:sz w:val="24"/>
              </w:rPr>
            </w:pPr>
            <w:r w:rsidRPr="007C28EC">
              <w:rPr>
                <w:rFonts w:ascii="Arial" w:hAnsi="Arial" w:cs="Arial"/>
                <w:sz w:val="24"/>
              </w:rPr>
              <w:t>Year</w:t>
            </w:r>
          </w:p>
        </w:tc>
        <w:tc>
          <w:tcPr>
            <w:tcW w:w="3117" w:type="dxa"/>
          </w:tcPr>
          <w:p w14:paraId="3732C8C8" w14:textId="77777777" w:rsidR="00FC0EF0" w:rsidRPr="007C28EC" w:rsidRDefault="00FC0EF0" w:rsidP="00FC0EF0">
            <w:pPr>
              <w:spacing w:line="360" w:lineRule="auto"/>
              <w:rPr>
                <w:rFonts w:ascii="Arial" w:hAnsi="Arial" w:cs="Arial"/>
                <w:sz w:val="24"/>
              </w:rPr>
            </w:pPr>
            <w:r w:rsidRPr="007C28EC">
              <w:rPr>
                <w:rFonts w:ascii="Arial" w:hAnsi="Arial" w:cs="Arial"/>
                <w:sz w:val="24"/>
              </w:rPr>
              <w:t>Debt-to-Equity (x)</w:t>
            </w:r>
          </w:p>
        </w:tc>
        <w:tc>
          <w:tcPr>
            <w:tcW w:w="3117" w:type="dxa"/>
          </w:tcPr>
          <w:p w14:paraId="324D7BEC" w14:textId="77777777" w:rsidR="00FC0EF0" w:rsidRPr="007C28EC" w:rsidRDefault="00FC0EF0" w:rsidP="00FC0EF0">
            <w:pPr>
              <w:spacing w:line="360" w:lineRule="auto"/>
              <w:rPr>
                <w:rFonts w:ascii="Arial" w:hAnsi="Arial" w:cs="Arial"/>
                <w:sz w:val="24"/>
              </w:rPr>
            </w:pPr>
            <w:r w:rsidRPr="007C28EC">
              <w:rPr>
                <w:rFonts w:ascii="Arial" w:hAnsi="Arial" w:cs="Arial"/>
                <w:sz w:val="24"/>
              </w:rPr>
              <w:t>Interest Coverage (x)</w:t>
            </w:r>
          </w:p>
        </w:tc>
      </w:tr>
      <w:tr w:rsidR="007C28EC" w:rsidRPr="007C28EC" w14:paraId="35F497CE" w14:textId="77777777" w:rsidTr="00FC0EF0">
        <w:tc>
          <w:tcPr>
            <w:tcW w:w="3116" w:type="dxa"/>
          </w:tcPr>
          <w:p w14:paraId="17145984" w14:textId="77777777" w:rsidR="00FC0EF0" w:rsidRPr="007C28EC" w:rsidRDefault="00FC0EF0" w:rsidP="00FC0EF0">
            <w:pPr>
              <w:spacing w:line="360" w:lineRule="auto"/>
              <w:rPr>
                <w:rFonts w:ascii="Arial" w:hAnsi="Arial" w:cs="Arial"/>
                <w:sz w:val="24"/>
              </w:rPr>
            </w:pPr>
            <w:r w:rsidRPr="007C28EC">
              <w:rPr>
                <w:rFonts w:ascii="Arial" w:hAnsi="Arial" w:cs="Arial"/>
                <w:sz w:val="24"/>
              </w:rPr>
              <w:t>2024</w:t>
            </w:r>
          </w:p>
        </w:tc>
        <w:tc>
          <w:tcPr>
            <w:tcW w:w="3117" w:type="dxa"/>
          </w:tcPr>
          <w:p w14:paraId="02BACBF0" w14:textId="77777777" w:rsidR="00FC0EF0" w:rsidRPr="007C28EC" w:rsidRDefault="00FC0EF0" w:rsidP="00FC0EF0">
            <w:pPr>
              <w:spacing w:line="360" w:lineRule="auto"/>
              <w:rPr>
                <w:rFonts w:ascii="Arial" w:hAnsi="Arial" w:cs="Arial"/>
                <w:sz w:val="24"/>
              </w:rPr>
            </w:pPr>
            <w:r w:rsidRPr="007C28EC">
              <w:rPr>
                <w:rFonts w:ascii="Arial" w:hAnsi="Arial" w:cs="Arial"/>
                <w:sz w:val="24"/>
              </w:rPr>
              <w:t>1.11</w:t>
            </w:r>
          </w:p>
        </w:tc>
        <w:tc>
          <w:tcPr>
            <w:tcW w:w="3117" w:type="dxa"/>
          </w:tcPr>
          <w:p w14:paraId="532E6564" w14:textId="77777777" w:rsidR="00FC0EF0" w:rsidRPr="007C28EC" w:rsidRDefault="00FC0EF0" w:rsidP="00FC0EF0">
            <w:pPr>
              <w:spacing w:line="360" w:lineRule="auto"/>
              <w:rPr>
                <w:rFonts w:ascii="Arial" w:hAnsi="Arial" w:cs="Arial"/>
                <w:sz w:val="24"/>
              </w:rPr>
            </w:pPr>
            <w:r w:rsidRPr="007C28EC">
              <w:rPr>
                <w:rFonts w:ascii="Arial" w:hAnsi="Arial" w:cs="Arial"/>
                <w:sz w:val="24"/>
              </w:rPr>
              <w:t>-4.55</w:t>
            </w:r>
          </w:p>
        </w:tc>
      </w:tr>
      <w:tr w:rsidR="007C28EC" w:rsidRPr="007C28EC" w14:paraId="4637E7F8" w14:textId="77777777" w:rsidTr="00FC0EF0">
        <w:tc>
          <w:tcPr>
            <w:tcW w:w="3116" w:type="dxa"/>
          </w:tcPr>
          <w:p w14:paraId="03708897" w14:textId="77777777" w:rsidR="00FC0EF0" w:rsidRPr="007C28EC" w:rsidRDefault="00FC0EF0" w:rsidP="00FC0EF0">
            <w:pPr>
              <w:spacing w:line="360" w:lineRule="auto"/>
              <w:rPr>
                <w:rFonts w:ascii="Arial" w:hAnsi="Arial" w:cs="Arial"/>
                <w:sz w:val="24"/>
              </w:rPr>
            </w:pPr>
            <w:r w:rsidRPr="007C28EC">
              <w:rPr>
                <w:rFonts w:ascii="Arial" w:hAnsi="Arial" w:cs="Arial"/>
                <w:sz w:val="24"/>
              </w:rPr>
              <w:t>2023</w:t>
            </w:r>
          </w:p>
        </w:tc>
        <w:tc>
          <w:tcPr>
            <w:tcW w:w="3117" w:type="dxa"/>
          </w:tcPr>
          <w:p w14:paraId="0F34B8AA" w14:textId="77777777" w:rsidR="00FC0EF0" w:rsidRPr="007C28EC" w:rsidRDefault="00FC0EF0" w:rsidP="00FC0EF0">
            <w:pPr>
              <w:spacing w:line="360" w:lineRule="auto"/>
              <w:rPr>
                <w:rFonts w:ascii="Arial" w:hAnsi="Arial" w:cs="Arial"/>
                <w:sz w:val="24"/>
              </w:rPr>
            </w:pPr>
            <w:r w:rsidRPr="007C28EC">
              <w:rPr>
                <w:rFonts w:ascii="Arial" w:hAnsi="Arial" w:cs="Arial"/>
                <w:sz w:val="24"/>
              </w:rPr>
              <w:t>0.99</w:t>
            </w:r>
          </w:p>
        </w:tc>
        <w:tc>
          <w:tcPr>
            <w:tcW w:w="3117" w:type="dxa"/>
          </w:tcPr>
          <w:p w14:paraId="749D00E3" w14:textId="77777777" w:rsidR="00FC0EF0" w:rsidRPr="007C28EC" w:rsidRDefault="00FC0EF0" w:rsidP="00FC0EF0">
            <w:pPr>
              <w:spacing w:line="360" w:lineRule="auto"/>
              <w:rPr>
                <w:rFonts w:ascii="Arial" w:hAnsi="Arial" w:cs="Arial"/>
                <w:sz w:val="24"/>
              </w:rPr>
            </w:pPr>
            <w:r w:rsidRPr="007C28EC">
              <w:rPr>
                <w:rFonts w:ascii="Arial" w:hAnsi="Arial" w:cs="Arial"/>
                <w:sz w:val="24"/>
              </w:rPr>
              <w:t>-19.70</w:t>
            </w:r>
          </w:p>
        </w:tc>
      </w:tr>
      <w:tr w:rsidR="007C28EC" w:rsidRPr="007C28EC" w14:paraId="062EB4FB" w14:textId="77777777" w:rsidTr="00FC0EF0">
        <w:tc>
          <w:tcPr>
            <w:tcW w:w="3116" w:type="dxa"/>
          </w:tcPr>
          <w:p w14:paraId="69CAF753" w14:textId="77777777" w:rsidR="00FC0EF0" w:rsidRPr="007C28EC" w:rsidRDefault="00FC0EF0" w:rsidP="00FC0EF0">
            <w:pPr>
              <w:spacing w:line="360" w:lineRule="auto"/>
              <w:rPr>
                <w:rFonts w:ascii="Arial" w:hAnsi="Arial" w:cs="Arial"/>
                <w:sz w:val="24"/>
              </w:rPr>
            </w:pPr>
            <w:r w:rsidRPr="007C28EC">
              <w:rPr>
                <w:rFonts w:ascii="Arial" w:hAnsi="Arial" w:cs="Arial"/>
                <w:sz w:val="24"/>
              </w:rPr>
              <w:t>2022</w:t>
            </w:r>
          </w:p>
        </w:tc>
        <w:tc>
          <w:tcPr>
            <w:tcW w:w="3117" w:type="dxa"/>
          </w:tcPr>
          <w:p w14:paraId="2A7F0A03" w14:textId="77777777" w:rsidR="00FC0EF0" w:rsidRPr="007C28EC" w:rsidRDefault="00FC0EF0" w:rsidP="00FC0EF0">
            <w:pPr>
              <w:spacing w:line="360" w:lineRule="auto"/>
              <w:rPr>
                <w:rFonts w:ascii="Arial" w:hAnsi="Arial" w:cs="Arial"/>
                <w:sz w:val="24"/>
              </w:rPr>
            </w:pPr>
            <w:r w:rsidRPr="007C28EC">
              <w:rPr>
                <w:rFonts w:ascii="Arial" w:hAnsi="Arial" w:cs="Arial"/>
                <w:sz w:val="24"/>
              </w:rPr>
              <w:t>0.88</w:t>
            </w:r>
          </w:p>
        </w:tc>
        <w:tc>
          <w:tcPr>
            <w:tcW w:w="3117" w:type="dxa"/>
          </w:tcPr>
          <w:p w14:paraId="66AFED47" w14:textId="77777777" w:rsidR="00FC0EF0" w:rsidRPr="007C28EC" w:rsidRDefault="00FC0EF0" w:rsidP="00FC0EF0">
            <w:pPr>
              <w:spacing w:line="360" w:lineRule="auto"/>
              <w:rPr>
                <w:rFonts w:ascii="Arial" w:hAnsi="Arial" w:cs="Arial"/>
                <w:sz w:val="24"/>
              </w:rPr>
            </w:pPr>
            <w:r w:rsidRPr="007C28EC">
              <w:rPr>
                <w:rFonts w:ascii="Arial" w:hAnsi="Arial" w:cs="Arial"/>
                <w:sz w:val="24"/>
              </w:rPr>
              <w:t>6.61</w:t>
            </w:r>
          </w:p>
        </w:tc>
      </w:tr>
      <w:tr w:rsidR="007C28EC" w:rsidRPr="007C28EC" w14:paraId="3CAD2F66" w14:textId="77777777" w:rsidTr="00FC0EF0">
        <w:tc>
          <w:tcPr>
            <w:tcW w:w="3116" w:type="dxa"/>
          </w:tcPr>
          <w:p w14:paraId="48E1C225" w14:textId="77777777" w:rsidR="00FC0EF0" w:rsidRPr="007C28EC" w:rsidRDefault="00FC0EF0" w:rsidP="00FC0EF0">
            <w:pPr>
              <w:spacing w:line="360" w:lineRule="auto"/>
              <w:rPr>
                <w:rFonts w:ascii="Arial" w:hAnsi="Arial" w:cs="Arial"/>
                <w:sz w:val="24"/>
              </w:rPr>
            </w:pPr>
            <w:r w:rsidRPr="007C28EC">
              <w:rPr>
                <w:rFonts w:ascii="Arial" w:hAnsi="Arial" w:cs="Arial"/>
                <w:sz w:val="24"/>
              </w:rPr>
              <w:t>2021</w:t>
            </w:r>
          </w:p>
        </w:tc>
        <w:tc>
          <w:tcPr>
            <w:tcW w:w="3117" w:type="dxa"/>
          </w:tcPr>
          <w:p w14:paraId="17E1F1CA" w14:textId="77777777" w:rsidR="00FC0EF0" w:rsidRPr="007C28EC" w:rsidRDefault="00FC0EF0" w:rsidP="00FC0EF0">
            <w:pPr>
              <w:spacing w:line="360" w:lineRule="auto"/>
              <w:rPr>
                <w:rFonts w:ascii="Arial" w:hAnsi="Arial" w:cs="Arial"/>
                <w:sz w:val="24"/>
              </w:rPr>
            </w:pPr>
            <w:r w:rsidRPr="007C28EC">
              <w:rPr>
                <w:rFonts w:ascii="Arial" w:hAnsi="Arial" w:cs="Arial"/>
                <w:sz w:val="24"/>
              </w:rPr>
              <w:t>0.85</w:t>
            </w:r>
          </w:p>
        </w:tc>
        <w:tc>
          <w:tcPr>
            <w:tcW w:w="3117" w:type="dxa"/>
          </w:tcPr>
          <w:p w14:paraId="52059EE2" w14:textId="77777777" w:rsidR="00FC0EF0" w:rsidRPr="007C28EC" w:rsidRDefault="00FC0EF0" w:rsidP="00FC0EF0">
            <w:pPr>
              <w:spacing w:line="360" w:lineRule="auto"/>
              <w:rPr>
                <w:rFonts w:ascii="Arial" w:hAnsi="Arial" w:cs="Arial"/>
                <w:sz w:val="24"/>
              </w:rPr>
            </w:pPr>
            <w:r w:rsidRPr="007C28EC">
              <w:rPr>
                <w:rFonts w:ascii="Arial" w:hAnsi="Arial" w:cs="Arial"/>
                <w:sz w:val="24"/>
              </w:rPr>
              <w:t>41.09</w:t>
            </w:r>
          </w:p>
        </w:tc>
      </w:tr>
      <w:tr w:rsidR="007C28EC" w:rsidRPr="007C28EC" w14:paraId="27B9BC6E" w14:textId="77777777" w:rsidTr="00FC0EF0">
        <w:tc>
          <w:tcPr>
            <w:tcW w:w="3116" w:type="dxa"/>
          </w:tcPr>
          <w:p w14:paraId="5B003A17" w14:textId="77777777" w:rsidR="00FC0EF0" w:rsidRPr="007C28EC" w:rsidRDefault="00FC0EF0" w:rsidP="00FC0EF0">
            <w:pPr>
              <w:spacing w:line="360" w:lineRule="auto"/>
              <w:rPr>
                <w:rFonts w:ascii="Arial" w:hAnsi="Arial" w:cs="Arial"/>
                <w:sz w:val="24"/>
              </w:rPr>
            </w:pPr>
            <w:r w:rsidRPr="007C28EC">
              <w:rPr>
                <w:rFonts w:ascii="Arial" w:hAnsi="Arial" w:cs="Arial"/>
                <w:sz w:val="24"/>
              </w:rPr>
              <w:t>2020</w:t>
            </w:r>
          </w:p>
        </w:tc>
        <w:tc>
          <w:tcPr>
            <w:tcW w:w="3117" w:type="dxa"/>
          </w:tcPr>
          <w:p w14:paraId="32C15C9F" w14:textId="77777777" w:rsidR="00FC0EF0" w:rsidRPr="007C28EC" w:rsidRDefault="00FC0EF0" w:rsidP="00FC0EF0">
            <w:pPr>
              <w:spacing w:line="360" w:lineRule="auto"/>
              <w:rPr>
                <w:rFonts w:ascii="Arial" w:hAnsi="Arial" w:cs="Arial"/>
                <w:sz w:val="24"/>
              </w:rPr>
            </w:pPr>
            <w:r w:rsidRPr="007C28EC">
              <w:rPr>
                <w:rFonts w:ascii="Arial" w:hAnsi="Arial" w:cs="Arial"/>
                <w:sz w:val="24"/>
              </w:rPr>
              <w:t>0.63</w:t>
            </w:r>
          </w:p>
        </w:tc>
        <w:tc>
          <w:tcPr>
            <w:tcW w:w="3117" w:type="dxa"/>
          </w:tcPr>
          <w:p w14:paraId="3F0B188D" w14:textId="77777777" w:rsidR="00FC0EF0" w:rsidRPr="007C28EC" w:rsidRDefault="00FC0EF0" w:rsidP="00FC0EF0">
            <w:pPr>
              <w:spacing w:line="360" w:lineRule="auto"/>
              <w:rPr>
                <w:rFonts w:ascii="Arial" w:hAnsi="Arial" w:cs="Arial"/>
                <w:sz w:val="24"/>
              </w:rPr>
            </w:pPr>
            <w:r w:rsidRPr="007C28EC">
              <w:rPr>
                <w:rFonts w:ascii="Arial" w:hAnsi="Arial" w:cs="Arial"/>
                <w:sz w:val="24"/>
              </w:rPr>
              <w:t>26.19</w:t>
            </w:r>
          </w:p>
        </w:tc>
      </w:tr>
    </w:tbl>
    <w:p w14:paraId="1B7E8E52" w14:textId="77777777" w:rsidR="003B255E" w:rsidRPr="007C28EC" w:rsidRDefault="003B255E" w:rsidP="003B255E">
      <w:pPr>
        <w:rPr>
          <w:rFonts w:ascii="Arial" w:hAnsi="Arial" w:cs="Arial"/>
        </w:rPr>
      </w:pPr>
    </w:p>
    <w:p w14:paraId="6126A8C4" w14:textId="77777777" w:rsidR="003B255E" w:rsidRPr="007C28EC" w:rsidRDefault="003B255E" w:rsidP="003B255E">
      <w:pPr>
        <w:rPr>
          <w:rFonts w:ascii="Arial" w:hAnsi="Arial" w:cs="Arial"/>
          <w:b/>
          <w:sz w:val="24"/>
        </w:rPr>
      </w:pPr>
      <w:r w:rsidRPr="007C28EC">
        <w:rPr>
          <w:rFonts w:ascii="Arial" w:hAnsi="Arial" w:cs="Arial"/>
          <w:b/>
          <w:sz w:val="24"/>
        </w:rPr>
        <w:t>A.5 Cash Flow</w:t>
      </w:r>
    </w:p>
    <w:p w14:paraId="23256443" w14:textId="77777777" w:rsidR="003B255E" w:rsidRPr="007C28EC" w:rsidRDefault="003B255E" w:rsidP="003B255E">
      <w:pPr>
        <w:rPr>
          <w:rFonts w:ascii="Arial" w:hAnsi="Arial" w:cs="Arial"/>
        </w:rPr>
      </w:pPr>
    </w:p>
    <w:tbl>
      <w:tblPr>
        <w:tblStyle w:val="TableGrid"/>
        <w:tblW w:w="0" w:type="auto"/>
        <w:tblLook w:val="04A0" w:firstRow="1" w:lastRow="0" w:firstColumn="1" w:lastColumn="0" w:noHBand="0" w:noVBand="1"/>
      </w:tblPr>
      <w:tblGrid>
        <w:gridCol w:w="4675"/>
        <w:gridCol w:w="4675"/>
      </w:tblGrid>
      <w:tr w:rsidR="007C28EC" w:rsidRPr="007C28EC" w14:paraId="4EE45831" w14:textId="77777777" w:rsidTr="00FC0EF0">
        <w:tc>
          <w:tcPr>
            <w:tcW w:w="4675" w:type="dxa"/>
          </w:tcPr>
          <w:p w14:paraId="6C8417E2" w14:textId="77777777" w:rsidR="00FC0EF0" w:rsidRPr="007C28EC" w:rsidRDefault="00FC0EF0" w:rsidP="00FC0EF0">
            <w:pPr>
              <w:spacing w:line="360" w:lineRule="auto"/>
              <w:rPr>
                <w:rFonts w:ascii="Arial" w:hAnsi="Arial" w:cs="Arial"/>
                <w:b/>
                <w:sz w:val="24"/>
              </w:rPr>
            </w:pPr>
            <w:r w:rsidRPr="007C28EC">
              <w:rPr>
                <w:rFonts w:ascii="Arial" w:hAnsi="Arial" w:cs="Arial"/>
                <w:b/>
                <w:sz w:val="24"/>
              </w:rPr>
              <w:t>Year</w:t>
            </w:r>
          </w:p>
        </w:tc>
        <w:tc>
          <w:tcPr>
            <w:tcW w:w="4675" w:type="dxa"/>
          </w:tcPr>
          <w:p w14:paraId="22952620" w14:textId="77777777" w:rsidR="00FC0EF0" w:rsidRPr="007C28EC" w:rsidRDefault="00FC0EF0" w:rsidP="00FC0EF0">
            <w:pPr>
              <w:spacing w:line="360" w:lineRule="auto"/>
              <w:rPr>
                <w:rFonts w:ascii="Arial" w:hAnsi="Arial" w:cs="Arial"/>
                <w:b/>
                <w:sz w:val="24"/>
              </w:rPr>
            </w:pPr>
            <w:r w:rsidRPr="007C28EC">
              <w:rPr>
                <w:rFonts w:ascii="Arial" w:hAnsi="Arial" w:cs="Arial"/>
                <w:b/>
                <w:sz w:val="24"/>
              </w:rPr>
              <w:t>Net Cash from Operations (£m)</w:t>
            </w:r>
          </w:p>
        </w:tc>
      </w:tr>
      <w:tr w:rsidR="007C28EC" w:rsidRPr="007C28EC" w14:paraId="696B6B1D" w14:textId="77777777" w:rsidTr="00FC0EF0">
        <w:tc>
          <w:tcPr>
            <w:tcW w:w="4675" w:type="dxa"/>
          </w:tcPr>
          <w:p w14:paraId="29181CFB" w14:textId="77777777" w:rsidR="00FC0EF0" w:rsidRPr="007C28EC" w:rsidRDefault="00FC0EF0" w:rsidP="00FC0EF0">
            <w:pPr>
              <w:spacing w:line="360" w:lineRule="auto"/>
              <w:rPr>
                <w:rFonts w:ascii="Arial" w:hAnsi="Arial" w:cs="Arial"/>
                <w:sz w:val="24"/>
              </w:rPr>
            </w:pPr>
            <w:r w:rsidRPr="007C28EC">
              <w:rPr>
                <w:rFonts w:ascii="Arial" w:hAnsi="Arial" w:cs="Arial"/>
                <w:sz w:val="24"/>
              </w:rPr>
              <w:t>2024</w:t>
            </w:r>
          </w:p>
        </w:tc>
        <w:tc>
          <w:tcPr>
            <w:tcW w:w="4675" w:type="dxa"/>
          </w:tcPr>
          <w:p w14:paraId="1D1C801C" w14:textId="77777777" w:rsidR="00FC0EF0" w:rsidRPr="007C28EC" w:rsidRDefault="00FC0EF0" w:rsidP="00FC0EF0">
            <w:pPr>
              <w:spacing w:line="360" w:lineRule="auto"/>
              <w:rPr>
                <w:rFonts w:ascii="Arial" w:hAnsi="Arial" w:cs="Arial"/>
                <w:sz w:val="24"/>
              </w:rPr>
            </w:pPr>
            <w:r w:rsidRPr="007C28EC">
              <w:rPr>
                <w:rFonts w:ascii="Arial" w:hAnsi="Arial" w:cs="Arial"/>
                <w:sz w:val="24"/>
              </w:rPr>
              <w:t>14,822</w:t>
            </w:r>
          </w:p>
        </w:tc>
      </w:tr>
      <w:tr w:rsidR="007C28EC" w:rsidRPr="007C28EC" w14:paraId="4D44C6A5" w14:textId="77777777" w:rsidTr="00FC0EF0">
        <w:tc>
          <w:tcPr>
            <w:tcW w:w="4675" w:type="dxa"/>
          </w:tcPr>
          <w:p w14:paraId="58F93989" w14:textId="77777777" w:rsidR="00FC0EF0" w:rsidRPr="007C28EC" w:rsidRDefault="00FC0EF0" w:rsidP="00FC0EF0">
            <w:pPr>
              <w:spacing w:line="360" w:lineRule="auto"/>
              <w:rPr>
                <w:rFonts w:ascii="Arial" w:hAnsi="Arial" w:cs="Arial"/>
                <w:sz w:val="24"/>
              </w:rPr>
            </w:pPr>
            <w:r w:rsidRPr="007C28EC">
              <w:rPr>
                <w:rFonts w:ascii="Arial" w:hAnsi="Arial" w:cs="Arial"/>
                <w:sz w:val="24"/>
              </w:rPr>
              <w:t>2023</w:t>
            </w:r>
          </w:p>
        </w:tc>
        <w:tc>
          <w:tcPr>
            <w:tcW w:w="4675" w:type="dxa"/>
          </w:tcPr>
          <w:p w14:paraId="6C211C3A" w14:textId="77777777" w:rsidR="00FC0EF0" w:rsidRPr="007C28EC" w:rsidRDefault="00FC0EF0" w:rsidP="00FC0EF0">
            <w:pPr>
              <w:spacing w:line="360" w:lineRule="auto"/>
              <w:rPr>
                <w:rFonts w:ascii="Arial" w:hAnsi="Arial" w:cs="Arial"/>
                <w:sz w:val="24"/>
              </w:rPr>
            </w:pPr>
            <w:r w:rsidRPr="007C28EC">
              <w:rPr>
                <w:rFonts w:ascii="Arial" w:hAnsi="Arial" w:cs="Arial"/>
                <w:sz w:val="24"/>
              </w:rPr>
              <w:t>25,190</w:t>
            </w:r>
          </w:p>
        </w:tc>
      </w:tr>
      <w:tr w:rsidR="007C28EC" w:rsidRPr="007C28EC" w14:paraId="58560A9F" w14:textId="77777777" w:rsidTr="00FC0EF0">
        <w:tc>
          <w:tcPr>
            <w:tcW w:w="4675" w:type="dxa"/>
          </w:tcPr>
          <w:p w14:paraId="62857F3B" w14:textId="77777777" w:rsidR="00FC0EF0" w:rsidRPr="007C28EC" w:rsidRDefault="00FC0EF0" w:rsidP="00FC0EF0">
            <w:pPr>
              <w:spacing w:line="360" w:lineRule="auto"/>
              <w:rPr>
                <w:rFonts w:ascii="Arial" w:hAnsi="Arial" w:cs="Arial"/>
                <w:sz w:val="24"/>
              </w:rPr>
            </w:pPr>
            <w:r w:rsidRPr="007C28EC">
              <w:rPr>
                <w:rFonts w:ascii="Arial" w:hAnsi="Arial" w:cs="Arial"/>
                <w:sz w:val="24"/>
              </w:rPr>
              <w:t>2022</w:t>
            </w:r>
          </w:p>
        </w:tc>
        <w:tc>
          <w:tcPr>
            <w:tcW w:w="4675" w:type="dxa"/>
          </w:tcPr>
          <w:p w14:paraId="366EEBBA" w14:textId="77777777" w:rsidR="00FC0EF0" w:rsidRPr="007C28EC" w:rsidRDefault="00FC0EF0" w:rsidP="00FC0EF0">
            <w:pPr>
              <w:spacing w:line="360" w:lineRule="auto"/>
              <w:rPr>
                <w:rFonts w:ascii="Arial" w:hAnsi="Arial" w:cs="Arial"/>
                <w:sz w:val="24"/>
              </w:rPr>
            </w:pPr>
            <w:r w:rsidRPr="007C28EC">
              <w:rPr>
                <w:rFonts w:ascii="Arial" w:hAnsi="Arial" w:cs="Arial"/>
                <w:sz w:val="24"/>
              </w:rPr>
              <w:t>10,926</w:t>
            </w:r>
          </w:p>
        </w:tc>
      </w:tr>
      <w:tr w:rsidR="007C28EC" w:rsidRPr="007C28EC" w14:paraId="7E9F186A" w14:textId="77777777" w:rsidTr="00FC0EF0">
        <w:tc>
          <w:tcPr>
            <w:tcW w:w="4675" w:type="dxa"/>
          </w:tcPr>
          <w:p w14:paraId="77E25D9C" w14:textId="77777777" w:rsidR="00FC0EF0" w:rsidRPr="007C28EC" w:rsidRDefault="00FC0EF0" w:rsidP="00FC0EF0">
            <w:pPr>
              <w:spacing w:line="360" w:lineRule="auto"/>
              <w:rPr>
                <w:rFonts w:ascii="Arial" w:hAnsi="Arial" w:cs="Arial"/>
                <w:sz w:val="24"/>
              </w:rPr>
            </w:pPr>
            <w:r w:rsidRPr="007C28EC">
              <w:rPr>
                <w:rFonts w:ascii="Arial" w:hAnsi="Arial" w:cs="Arial"/>
                <w:sz w:val="24"/>
              </w:rPr>
              <w:t>2021</w:t>
            </w:r>
          </w:p>
        </w:tc>
        <w:tc>
          <w:tcPr>
            <w:tcW w:w="4675" w:type="dxa"/>
          </w:tcPr>
          <w:p w14:paraId="422E206F" w14:textId="77777777" w:rsidR="00FC0EF0" w:rsidRPr="007C28EC" w:rsidRDefault="00FC0EF0" w:rsidP="00FC0EF0">
            <w:pPr>
              <w:spacing w:line="360" w:lineRule="auto"/>
              <w:rPr>
                <w:rFonts w:ascii="Arial" w:hAnsi="Arial" w:cs="Arial"/>
                <w:sz w:val="24"/>
              </w:rPr>
            </w:pPr>
            <w:r w:rsidRPr="007C28EC">
              <w:rPr>
                <w:rFonts w:ascii="Arial" w:hAnsi="Arial" w:cs="Arial"/>
                <w:sz w:val="24"/>
              </w:rPr>
              <w:t>40,283</w:t>
            </w:r>
          </w:p>
        </w:tc>
      </w:tr>
      <w:tr w:rsidR="007C28EC" w:rsidRPr="007C28EC" w14:paraId="26FFEE49" w14:textId="77777777" w:rsidTr="00FC0EF0">
        <w:tc>
          <w:tcPr>
            <w:tcW w:w="4675" w:type="dxa"/>
          </w:tcPr>
          <w:p w14:paraId="38788F66" w14:textId="77777777" w:rsidR="00FC0EF0" w:rsidRPr="007C28EC" w:rsidRDefault="00FC0EF0" w:rsidP="00FC0EF0">
            <w:pPr>
              <w:spacing w:line="360" w:lineRule="auto"/>
              <w:rPr>
                <w:rFonts w:ascii="Arial" w:hAnsi="Arial" w:cs="Arial"/>
                <w:sz w:val="24"/>
              </w:rPr>
            </w:pPr>
            <w:r w:rsidRPr="007C28EC">
              <w:rPr>
                <w:rFonts w:ascii="Arial" w:hAnsi="Arial" w:cs="Arial"/>
                <w:sz w:val="24"/>
              </w:rPr>
              <w:t>2020</w:t>
            </w:r>
          </w:p>
        </w:tc>
        <w:tc>
          <w:tcPr>
            <w:tcW w:w="4675" w:type="dxa"/>
          </w:tcPr>
          <w:p w14:paraId="0421FD52" w14:textId="77777777" w:rsidR="00FC0EF0" w:rsidRPr="007C28EC" w:rsidRDefault="00FC0EF0" w:rsidP="00FC0EF0">
            <w:pPr>
              <w:spacing w:line="360" w:lineRule="auto"/>
              <w:rPr>
                <w:rFonts w:ascii="Arial" w:hAnsi="Arial" w:cs="Arial"/>
                <w:sz w:val="24"/>
              </w:rPr>
            </w:pPr>
            <w:r w:rsidRPr="007C28EC">
              <w:rPr>
                <w:rFonts w:ascii="Arial" w:hAnsi="Arial" w:cs="Arial"/>
                <w:sz w:val="24"/>
              </w:rPr>
              <w:t>73,392</w:t>
            </w:r>
          </w:p>
        </w:tc>
      </w:tr>
    </w:tbl>
    <w:p w14:paraId="4365228A" w14:textId="77777777" w:rsidR="001B45A1" w:rsidRDefault="001B45A1" w:rsidP="003B255E">
      <w:pPr>
        <w:rPr>
          <w:rFonts w:ascii="Arial" w:hAnsi="Arial" w:cs="Arial"/>
          <w:b/>
        </w:rPr>
      </w:pPr>
    </w:p>
    <w:p w14:paraId="19EACE91" w14:textId="77777777" w:rsidR="001B6597" w:rsidRPr="007C28EC" w:rsidRDefault="001B45A1" w:rsidP="003B255E">
      <w:pPr>
        <w:rPr>
          <w:rFonts w:ascii="Arial" w:hAnsi="Arial" w:cs="Arial"/>
          <w:b/>
        </w:rPr>
      </w:pPr>
      <w:r>
        <w:rPr>
          <w:rFonts w:ascii="Arial" w:hAnsi="Arial" w:cs="Arial"/>
          <w:b/>
        </w:rPr>
        <w:br w:type="page"/>
      </w:r>
    </w:p>
    <w:p w14:paraId="6003609F" w14:textId="77777777" w:rsidR="001B6597" w:rsidRPr="007C28EC" w:rsidRDefault="001B6597" w:rsidP="00742C85">
      <w:pPr>
        <w:pStyle w:val="ListParagraph"/>
        <w:numPr>
          <w:ilvl w:val="1"/>
          <w:numId w:val="33"/>
        </w:numPr>
        <w:spacing w:before="100" w:beforeAutospacing="1" w:after="100" w:afterAutospacing="1" w:line="240" w:lineRule="auto"/>
        <w:outlineLvl w:val="1"/>
        <w:rPr>
          <w:rFonts w:ascii="Arial" w:eastAsia="Times New Roman" w:hAnsi="Arial" w:cs="Arial"/>
          <w:b/>
          <w:bCs/>
          <w:sz w:val="36"/>
          <w:szCs w:val="36"/>
          <w:lang w:eastAsia="en-GB"/>
        </w:rPr>
      </w:pPr>
      <w:bookmarkStart w:id="49" w:name="_Toc214715469"/>
      <w:bookmarkStart w:id="50" w:name="_Toc214792392"/>
      <w:bookmarkStart w:id="51" w:name="_Toc214836909"/>
      <w:bookmarkStart w:id="52" w:name="_Toc214838494"/>
      <w:bookmarkStart w:id="53" w:name="_Toc216393917"/>
      <w:bookmarkStart w:id="54" w:name="_Toc217195895"/>
      <w:r w:rsidRPr="007C28EC">
        <w:rPr>
          <w:rFonts w:ascii="Arial" w:eastAsia="Times New Roman" w:hAnsi="Arial" w:cs="Arial"/>
          <w:b/>
          <w:bCs/>
          <w:sz w:val="36"/>
          <w:szCs w:val="36"/>
          <w:lang w:eastAsia="en-GB"/>
        </w:rPr>
        <w:t>Graphs</w:t>
      </w:r>
      <w:bookmarkEnd w:id="49"/>
      <w:bookmarkEnd w:id="50"/>
      <w:bookmarkEnd w:id="51"/>
      <w:bookmarkEnd w:id="52"/>
      <w:bookmarkEnd w:id="53"/>
      <w:bookmarkEnd w:id="54"/>
    </w:p>
    <w:p w14:paraId="7C9EACB1" w14:textId="77777777" w:rsidR="00392E10" w:rsidRPr="007C28EC" w:rsidRDefault="00392E10" w:rsidP="00392E10">
      <w:pPr>
        <w:spacing w:before="100" w:beforeAutospacing="1" w:after="100" w:afterAutospacing="1" w:line="240" w:lineRule="auto"/>
        <w:ind w:left="720"/>
        <w:rPr>
          <w:rFonts w:ascii="Arial" w:eastAsia="Times New Roman" w:hAnsi="Arial" w:cs="Arial"/>
          <w:sz w:val="24"/>
          <w:szCs w:val="24"/>
          <w:lang w:eastAsia="en-GB"/>
        </w:rPr>
      </w:pPr>
      <w:r w:rsidRPr="007C28EC">
        <w:rPr>
          <w:rFonts w:ascii="Arial" w:eastAsia="Times New Roman" w:hAnsi="Arial" w:cs="Arial"/>
          <w:b/>
          <w:bCs/>
          <w:sz w:val="24"/>
          <w:szCs w:val="24"/>
          <w:lang w:eastAsia="en-GB"/>
        </w:rPr>
        <w:t xml:space="preserve">1. </w:t>
      </w:r>
      <w:r w:rsidR="001B6597" w:rsidRPr="007C28EC">
        <w:rPr>
          <w:rFonts w:ascii="Arial" w:eastAsia="Times New Roman" w:hAnsi="Arial" w:cs="Arial"/>
          <w:b/>
          <w:bCs/>
          <w:sz w:val="24"/>
          <w:szCs w:val="24"/>
          <w:lang w:eastAsia="en-GB"/>
        </w:rPr>
        <w:t>Profitability Trends (ROA &amp; ROE)</w:t>
      </w:r>
      <w:r w:rsidRPr="007C28EC">
        <w:rPr>
          <w:rFonts w:ascii="Arial" w:eastAsia="Times New Roman" w:hAnsi="Arial" w:cs="Arial"/>
          <w:sz w:val="24"/>
          <w:szCs w:val="24"/>
          <w:lang w:eastAsia="en-GB"/>
        </w:rPr>
        <w:t xml:space="preserve"> </w:t>
      </w:r>
    </w:p>
    <w:p w14:paraId="6E5408F2" w14:textId="77777777" w:rsidR="001B6597" w:rsidRPr="007C28EC" w:rsidRDefault="007C4D1A" w:rsidP="00392E10">
      <w:pPr>
        <w:spacing w:before="100" w:beforeAutospacing="1" w:after="100" w:afterAutospacing="1" w:line="240" w:lineRule="auto"/>
        <w:ind w:left="720"/>
        <w:rPr>
          <w:rFonts w:ascii="Arial" w:eastAsia="Times New Roman" w:hAnsi="Arial" w:cs="Arial"/>
          <w:sz w:val="24"/>
          <w:szCs w:val="24"/>
          <w:lang w:eastAsia="en-GB"/>
        </w:rPr>
      </w:pPr>
      <w:r w:rsidRPr="007C28EC">
        <w:rPr>
          <w:rFonts w:ascii="Arial" w:eastAsia="Times New Roman" w:hAnsi="Arial" w:cs="Arial"/>
          <w:noProof/>
          <w:sz w:val="24"/>
          <w:szCs w:val="24"/>
          <w:lang w:eastAsia="en-GB"/>
        </w:rPr>
      </w:r>
      <w:bookmarkStart w:id="55" w:name="_MON_1825327523"/>
      <w:bookmarkEnd w:id="55"/>
      <w:r w:rsidR="00F8087E" w:rsidRPr="007C28EC">
        <w:rPr>
          <w:rFonts w:ascii="Arial" w:eastAsia="Times New Roman" w:hAnsi="Arial" w:cs="Arial"/>
          <w:lang w:eastAsia="en-GB"/>
        </w:rPr>
        <w:object w:dxaOrig="7247" w:dyaOrig="33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35pt;height:164.65pt" o:ole="">
            <v:imagedata r:id="rId32" o:title=""/>
          </v:shape>
          <o:OLEObject Type="Embed" ProgID="Excel.Sheet.12" ShapeID="_x0000_i1025" DrawAspect="Content" ObjectID="_1827791210" r:id="rId33"/>
        </w:object>
      </w:r>
    </w:p>
    <w:p w14:paraId="28E8157D" w14:textId="77777777" w:rsidR="001B6597" w:rsidRPr="007C28EC" w:rsidRDefault="001B6597" w:rsidP="001B6597">
      <w:pPr>
        <w:spacing w:before="100" w:beforeAutospacing="1" w:after="100" w:afterAutospacing="1" w:line="240" w:lineRule="auto"/>
        <w:ind w:left="720"/>
        <w:rPr>
          <w:rFonts w:ascii="Arial" w:eastAsia="Times New Roman" w:hAnsi="Arial" w:cs="Arial"/>
          <w:sz w:val="24"/>
          <w:szCs w:val="24"/>
          <w:lang w:eastAsia="en-GB"/>
        </w:rPr>
      </w:pPr>
      <w:r w:rsidRPr="007C28EC">
        <w:rPr>
          <w:rFonts w:ascii="Arial" w:eastAsia="Times New Roman" w:hAnsi="Arial" w:cs="Arial"/>
          <w:sz w:val="24"/>
          <w:szCs w:val="24"/>
          <w:lang w:eastAsia="en-GB"/>
        </w:rPr>
        <w:br/>
      </w:r>
      <w:r w:rsidRPr="007C28EC">
        <w:rPr>
          <w:rFonts w:ascii="Arial" w:eastAsia="Times New Roman" w:hAnsi="Arial" w:cs="Arial"/>
          <w:i/>
          <w:iCs/>
          <w:sz w:val="24"/>
          <w:szCs w:val="24"/>
          <w:lang w:eastAsia="en-GB"/>
        </w:rPr>
        <w:t>Line chart showing declining ROA and ROE from 2020 to 2024.</w:t>
      </w:r>
    </w:p>
    <w:p w14:paraId="6A8D33B3" w14:textId="77777777" w:rsidR="001B6597" w:rsidRPr="007C28EC" w:rsidRDefault="007C4D1A" w:rsidP="001B6597">
      <w:pPr>
        <w:numPr>
          <w:ilvl w:val="0"/>
          <w:numId w:val="2"/>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noProof/>
          <w:sz w:val="24"/>
          <w:szCs w:val="24"/>
        </w:rPr>
      </w:r>
      <w:r w:rsidR="007C4D1A">
        <w:rPr>
          <w:rFonts w:ascii="Arial" w:eastAsia="Times New Roman" w:hAnsi="Arial" w:cs="Arial"/>
          <w:noProof/>
          <w:sz w:val="24"/>
          <w:szCs w:val="24"/>
        </w:rPr>
        <w:object w:dxaOrig="1440" w:dyaOrig="1440">
          <v:shape id="_x0000_s1026" type="#_x0000_t75" style="position:absolute;left:0;text-align:left;margin-left:76.5pt;margin-top:24.05pt;width:312.9pt;height:155.7pt;z-index:251658240;mso-position-horizontal-relative:text;mso-position-vertical-relative:text">
            <v:imagedata r:id="rId34" o:title=""/>
            <w10:wrap type="square" side="right"/>
          </v:shape>
          <o:OLEObject Type="Embed" ProgID="Excel.Sheet.12" ShapeID="_x0000_s1026" DrawAspect="Content" ObjectID="_1827791209" r:id="rId35"/>
        </w:object>
      </w:r>
      <w:r w:rsidR="001B6597" w:rsidRPr="007C28EC">
        <w:rPr>
          <w:rFonts w:ascii="Arial" w:eastAsia="Times New Roman" w:hAnsi="Arial" w:cs="Arial"/>
          <w:b/>
          <w:bCs/>
          <w:sz w:val="24"/>
          <w:szCs w:val="24"/>
          <w:lang w:eastAsia="en-GB"/>
        </w:rPr>
        <w:t>Liquidity Trends (Current &amp; Quick Ratios)</w:t>
      </w:r>
    </w:p>
    <w:p w14:paraId="46054B52" w14:textId="77777777" w:rsidR="00392E10" w:rsidRPr="007C28EC" w:rsidRDefault="00392E10" w:rsidP="001B6597">
      <w:pPr>
        <w:spacing w:before="100" w:beforeAutospacing="1" w:after="100" w:afterAutospacing="1" w:line="240" w:lineRule="auto"/>
        <w:ind w:left="720"/>
        <w:rPr>
          <w:rFonts w:ascii="Arial" w:eastAsia="Times New Roman" w:hAnsi="Arial" w:cs="Arial"/>
          <w:sz w:val="24"/>
          <w:szCs w:val="24"/>
          <w:lang w:eastAsia="en-GB"/>
        </w:rPr>
      </w:pPr>
    </w:p>
    <w:p w14:paraId="542754D7" w14:textId="77777777" w:rsidR="00392E10" w:rsidRPr="007C28EC" w:rsidRDefault="00392E10" w:rsidP="00392E10">
      <w:pPr>
        <w:spacing w:before="100" w:beforeAutospacing="1" w:after="100" w:afterAutospacing="1" w:line="240" w:lineRule="auto"/>
        <w:ind w:left="720"/>
        <w:jc w:val="right"/>
        <w:rPr>
          <w:rFonts w:ascii="Arial" w:eastAsia="Times New Roman" w:hAnsi="Arial" w:cs="Arial"/>
          <w:sz w:val="24"/>
          <w:szCs w:val="24"/>
          <w:lang w:eastAsia="en-GB"/>
        </w:rPr>
      </w:pPr>
    </w:p>
    <w:p w14:paraId="03EEA3F6" w14:textId="77777777" w:rsidR="001B6597" w:rsidRPr="007C28EC" w:rsidRDefault="00392E10" w:rsidP="00392E10">
      <w:pPr>
        <w:spacing w:before="100" w:beforeAutospacing="1" w:after="100" w:afterAutospacing="1" w:line="240" w:lineRule="auto"/>
        <w:ind w:left="720"/>
        <w:jc w:val="center"/>
        <w:rPr>
          <w:rFonts w:ascii="Arial" w:eastAsia="Times New Roman" w:hAnsi="Arial" w:cs="Arial"/>
          <w:sz w:val="24"/>
          <w:szCs w:val="24"/>
          <w:lang w:eastAsia="en-GB"/>
        </w:rPr>
      </w:pPr>
      <w:r w:rsidRPr="007C28EC">
        <w:rPr>
          <w:rFonts w:ascii="Arial" w:eastAsia="Times New Roman" w:hAnsi="Arial" w:cs="Arial"/>
          <w:sz w:val="24"/>
          <w:szCs w:val="24"/>
          <w:lang w:eastAsia="en-GB"/>
        </w:rPr>
        <w:br w:type="textWrapping" w:clear="all"/>
      </w:r>
      <w:r w:rsidR="001B6597" w:rsidRPr="007C28EC">
        <w:rPr>
          <w:rFonts w:ascii="Arial" w:eastAsia="Times New Roman" w:hAnsi="Arial" w:cs="Arial"/>
          <w:sz w:val="24"/>
          <w:szCs w:val="24"/>
          <w:lang w:eastAsia="en-GB"/>
        </w:rPr>
        <w:br/>
      </w:r>
      <w:r w:rsidRPr="007C28EC">
        <w:rPr>
          <w:rFonts w:ascii="Arial" w:eastAsia="Times New Roman" w:hAnsi="Arial" w:cs="Arial"/>
          <w:i/>
          <w:iCs/>
          <w:sz w:val="24"/>
          <w:szCs w:val="24"/>
          <w:lang w:eastAsia="en-GB"/>
        </w:rPr>
        <w:t>Column</w:t>
      </w:r>
      <w:r w:rsidR="001B6597" w:rsidRPr="007C28EC">
        <w:rPr>
          <w:rFonts w:ascii="Arial" w:eastAsia="Times New Roman" w:hAnsi="Arial" w:cs="Arial"/>
          <w:i/>
          <w:iCs/>
          <w:sz w:val="24"/>
          <w:szCs w:val="24"/>
          <w:lang w:eastAsia="en-GB"/>
        </w:rPr>
        <w:t xml:space="preserve"> chart comparing current and quick ratios over five years to indicate liquidity constraints.</w:t>
      </w:r>
    </w:p>
    <w:p w14:paraId="7514BE66" w14:textId="77777777" w:rsidR="00392E10" w:rsidRPr="007C28EC" w:rsidRDefault="00392E10" w:rsidP="00392E10">
      <w:pPr>
        <w:spacing w:before="100" w:beforeAutospacing="1" w:after="100" w:afterAutospacing="1" w:line="240" w:lineRule="auto"/>
        <w:rPr>
          <w:rFonts w:ascii="Arial" w:eastAsia="Times New Roman" w:hAnsi="Arial" w:cs="Arial"/>
          <w:b/>
          <w:bCs/>
          <w:sz w:val="24"/>
          <w:szCs w:val="24"/>
          <w:lang w:eastAsia="en-GB"/>
        </w:rPr>
      </w:pPr>
    </w:p>
    <w:p w14:paraId="37D94B70" w14:textId="77777777" w:rsidR="00392E10" w:rsidRPr="007C28EC" w:rsidRDefault="00392E10" w:rsidP="00392E10">
      <w:pPr>
        <w:spacing w:before="100" w:beforeAutospacing="1" w:after="100" w:afterAutospacing="1" w:line="240" w:lineRule="auto"/>
        <w:rPr>
          <w:rFonts w:ascii="Arial" w:eastAsia="Times New Roman" w:hAnsi="Arial" w:cs="Arial"/>
          <w:b/>
          <w:bCs/>
          <w:sz w:val="24"/>
          <w:szCs w:val="24"/>
          <w:lang w:eastAsia="en-GB"/>
        </w:rPr>
      </w:pPr>
    </w:p>
    <w:p w14:paraId="262FCF3F" w14:textId="77777777" w:rsidR="00392E10" w:rsidRPr="007C28EC" w:rsidRDefault="00392E10" w:rsidP="00392E10">
      <w:pPr>
        <w:spacing w:before="100" w:beforeAutospacing="1" w:after="100" w:afterAutospacing="1" w:line="240" w:lineRule="auto"/>
        <w:rPr>
          <w:rFonts w:ascii="Arial" w:eastAsia="Times New Roman" w:hAnsi="Arial" w:cs="Arial"/>
          <w:b/>
          <w:bCs/>
          <w:sz w:val="24"/>
          <w:szCs w:val="24"/>
          <w:lang w:eastAsia="en-GB"/>
        </w:rPr>
      </w:pPr>
    </w:p>
    <w:p w14:paraId="132E6946" w14:textId="77777777" w:rsidR="00392E10" w:rsidRPr="007C28EC" w:rsidRDefault="00392E10" w:rsidP="00392E10">
      <w:pPr>
        <w:spacing w:before="100" w:beforeAutospacing="1" w:after="100" w:afterAutospacing="1" w:line="240" w:lineRule="auto"/>
        <w:rPr>
          <w:rFonts w:ascii="Arial" w:eastAsia="Times New Roman" w:hAnsi="Arial" w:cs="Arial"/>
          <w:b/>
          <w:bCs/>
          <w:sz w:val="24"/>
          <w:szCs w:val="24"/>
          <w:lang w:eastAsia="en-GB"/>
        </w:rPr>
      </w:pPr>
    </w:p>
    <w:p w14:paraId="76895D8C" w14:textId="77777777" w:rsidR="00392E10" w:rsidRPr="007C28EC" w:rsidRDefault="00392E10" w:rsidP="00392E10">
      <w:pPr>
        <w:spacing w:before="100" w:beforeAutospacing="1" w:after="100" w:afterAutospacing="1" w:line="240" w:lineRule="auto"/>
        <w:rPr>
          <w:rFonts w:ascii="Arial" w:eastAsia="Times New Roman" w:hAnsi="Arial" w:cs="Arial"/>
          <w:b/>
          <w:bCs/>
          <w:sz w:val="24"/>
          <w:szCs w:val="24"/>
          <w:lang w:eastAsia="en-GB"/>
        </w:rPr>
      </w:pPr>
    </w:p>
    <w:p w14:paraId="0ED6A9C4" w14:textId="77777777" w:rsidR="001B6597" w:rsidRPr="007C28EC" w:rsidRDefault="001B6597" w:rsidP="00392E10">
      <w:pPr>
        <w:spacing w:before="100" w:beforeAutospacing="1" w:after="100" w:afterAutospacing="1" w:line="240" w:lineRule="auto"/>
        <w:rPr>
          <w:rFonts w:ascii="Arial" w:eastAsia="Times New Roman" w:hAnsi="Arial" w:cs="Arial"/>
          <w:sz w:val="24"/>
          <w:szCs w:val="24"/>
          <w:lang w:eastAsia="en-GB"/>
        </w:rPr>
      </w:pPr>
      <w:r w:rsidRPr="007C28EC">
        <w:rPr>
          <w:rFonts w:ascii="Arial" w:eastAsia="Times New Roman" w:hAnsi="Arial" w:cs="Arial"/>
          <w:b/>
          <w:bCs/>
          <w:sz w:val="24"/>
          <w:szCs w:val="24"/>
          <w:lang w:eastAsia="en-GB"/>
        </w:rPr>
        <w:t>Efficiency Ratios (Inventory &amp; Receivables Turnover)]</w:t>
      </w:r>
    </w:p>
    <w:p w14:paraId="5C3B78E0" w14:textId="77777777" w:rsidR="001B6597" w:rsidRPr="007C28EC" w:rsidRDefault="007C4D1A" w:rsidP="00392E10">
      <w:pPr>
        <w:spacing w:before="100" w:beforeAutospacing="1" w:after="100" w:afterAutospacing="1" w:line="240" w:lineRule="auto"/>
        <w:ind w:left="720"/>
        <w:jc w:val="center"/>
        <w:rPr>
          <w:rFonts w:ascii="Arial" w:eastAsia="Times New Roman" w:hAnsi="Arial" w:cs="Arial"/>
          <w:sz w:val="24"/>
          <w:szCs w:val="24"/>
          <w:lang w:eastAsia="en-GB"/>
        </w:rPr>
      </w:pPr>
      <w:r w:rsidRPr="007C28EC">
        <w:rPr>
          <w:rFonts w:ascii="Arial" w:eastAsia="Times New Roman" w:hAnsi="Arial" w:cs="Arial"/>
          <w:noProof/>
          <w:sz w:val="24"/>
          <w:szCs w:val="24"/>
          <w:lang w:eastAsia="en-GB"/>
        </w:rPr>
      </w:r>
      <w:bookmarkStart w:id="56" w:name="_MON_1825327893"/>
      <w:bookmarkEnd w:id="56"/>
      <w:r w:rsidR="00F8087E" w:rsidRPr="007C28EC">
        <w:rPr>
          <w:rFonts w:ascii="Arial" w:eastAsia="Times New Roman" w:hAnsi="Arial" w:cs="Arial"/>
          <w:lang w:eastAsia="en-GB"/>
        </w:rPr>
        <w:object w:dxaOrig="6735" w:dyaOrig="3015">
          <v:shape id="_x0000_i1026" type="#_x0000_t75" style="width:339.35pt;height:149pt" o:ole="">
            <v:imagedata r:id="rId36" o:title=""/>
          </v:shape>
          <o:OLEObject Type="Embed" ProgID="Excel.Sheet.12" ShapeID="_x0000_i1026" DrawAspect="Content" ObjectID="_1827791211" r:id="rId37"/>
        </w:object>
      </w:r>
      <w:r w:rsidR="001B6597" w:rsidRPr="007C28EC">
        <w:rPr>
          <w:rFonts w:ascii="Arial" w:eastAsia="Times New Roman" w:hAnsi="Arial" w:cs="Arial"/>
          <w:sz w:val="24"/>
          <w:szCs w:val="24"/>
          <w:lang w:eastAsia="en-GB"/>
        </w:rPr>
        <w:br/>
      </w:r>
      <w:r w:rsidR="00392E10" w:rsidRPr="007C28EC">
        <w:rPr>
          <w:rFonts w:ascii="Arial" w:eastAsia="Times New Roman" w:hAnsi="Arial" w:cs="Arial"/>
          <w:i/>
          <w:iCs/>
          <w:sz w:val="24"/>
          <w:szCs w:val="24"/>
          <w:lang w:eastAsia="en-GB"/>
        </w:rPr>
        <w:t>Bar</w:t>
      </w:r>
      <w:r w:rsidR="001B6597" w:rsidRPr="007C28EC">
        <w:rPr>
          <w:rFonts w:ascii="Arial" w:eastAsia="Times New Roman" w:hAnsi="Arial" w:cs="Arial"/>
          <w:i/>
          <w:iCs/>
          <w:sz w:val="24"/>
          <w:szCs w:val="24"/>
          <w:lang w:eastAsia="en-GB"/>
        </w:rPr>
        <w:t xml:space="preserve"> chart highlighting operational efficiency trends.</w:t>
      </w:r>
    </w:p>
    <w:p w14:paraId="70991DD0" w14:textId="77777777" w:rsidR="001B6597" w:rsidRPr="007C28EC" w:rsidRDefault="001B6597" w:rsidP="001B6597">
      <w:pPr>
        <w:numPr>
          <w:ilvl w:val="0"/>
          <w:numId w:val="2"/>
        </w:numPr>
        <w:spacing w:before="100" w:beforeAutospacing="1" w:after="100" w:afterAutospacing="1" w:line="240" w:lineRule="auto"/>
        <w:rPr>
          <w:rFonts w:ascii="Arial" w:eastAsia="Times New Roman" w:hAnsi="Arial" w:cs="Arial"/>
          <w:sz w:val="24"/>
          <w:szCs w:val="24"/>
          <w:lang w:eastAsia="en-GB"/>
        </w:rPr>
      </w:pPr>
      <w:r w:rsidRPr="007C28EC">
        <w:rPr>
          <w:rFonts w:ascii="Arial" w:eastAsia="Times New Roman" w:hAnsi="Arial" w:cs="Arial"/>
          <w:b/>
          <w:bCs/>
          <w:sz w:val="24"/>
          <w:szCs w:val="24"/>
          <w:lang w:eastAsia="en-GB"/>
        </w:rPr>
        <w:t>Gearing and Interest Coverage</w:t>
      </w:r>
    </w:p>
    <w:p w14:paraId="3D1998BE" w14:textId="77777777" w:rsidR="001B6597" w:rsidRPr="007C28EC" w:rsidRDefault="007C4D1A" w:rsidP="00783E9A">
      <w:pPr>
        <w:jc w:val="center"/>
        <w:rPr>
          <w:rFonts w:ascii="Arial" w:hAnsi="Arial" w:cs="Arial"/>
          <w:b/>
        </w:rPr>
      </w:pPr>
      <w:r w:rsidRPr="007C28EC">
        <w:rPr>
          <w:rFonts w:ascii="Arial" w:eastAsia="Times New Roman" w:hAnsi="Arial" w:cs="Arial"/>
          <w:noProof/>
          <w:sz w:val="24"/>
          <w:szCs w:val="24"/>
          <w:lang w:eastAsia="en-GB"/>
        </w:rPr>
      </w:r>
      <w:bookmarkStart w:id="57" w:name="_MON_1825327989"/>
      <w:bookmarkEnd w:id="57"/>
      <w:r w:rsidR="00F8087E" w:rsidRPr="007C28EC">
        <w:rPr>
          <w:rFonts w:ascii="Arial" w:eastAsia="Times New Roman" w:hAnsi="Arial" w:cs="Arial"/>
          <w:lang w:eastAsia="en-GB"/>
        </w:rPr>
        <w:object w:dxaOrig="6735" w:dyaOrig="3015">
          <v:shape id="_x0000_i1027" type="#_x0000_t75" style="width:339.35pt;height:149pt" o:ole="">
            <v:imagedata r:id="rId38" o:title=""/>
          </v:shape>
          <o:OLEObject Type="Embed" ProgID="Excel.Sheet.12" ShapeID="_x0000_i1027" DrawAspect="Content" ObjectID="_1827791212" r:id="rId39"/>
        </w:object>
      </w:r>
      <w:r w:rsidR="001B6597" w:rsidRPr="007C28EC">
        <w:rPr>
          <w:rFonts w:ascii="Arial" w:eastAsia="Times New Roman" w:hAnsi="Arial" w:cs="Arial"/>
          <w:sz w:val="24"/>
          <w:szCs w:val="24"/>
          <w:lang w:eastAsia="en-GB"/>
        </w:rPr>
        <w:br/>
      </w:r>
      <w:r w:rsidR="001B45A1" w:rsidRPr="007C28EC">
        <w:rPr>
          <w:rFonts w:ascii="Arial" w:eastAsia="Times New Roman" w:hAnsi="Arial" w:cs="Arial"/>
          <w:i/>
          <w:iCs/>
          <w:sz w:val="24"/>
          <w:szCs w:val="24"/>
          <w:lang w:eastAsia="en-GB"/>
        </w:rPr>
        <w:t>Pie chart</w:t>
      </w:r>
      <w:r w:rsidR="001B6597" w:rsidRPr="007C28EC">
        <w:rPr>
          <w:rFonts w:ascii="Arial" w:eastAsia="Times New Roman" w:hAnsi="Arial" w:cs="Arial"/>
          <w:i/>
          <w:iCs/>
          <w:sz w:val="24"/>
          <w:szCs w:val="24"/>
          <w:lang w:eastAsia="en-GB"/>
        </w:rPr>
        <w:t xml:space="preserve"> showing rising debt-to-equity and falling interest coverage,</w:t>
      </w:r>
    </w:p>
    <w:p w14:paraId="1A058552" w14:textId="77777777" w:rsidR="001B6597" w:rsidRPr="007C28EC" w:rsidRDefault="001B6597" w:rsidP="003B255E">
      <w:pPr>
        <w:rPr>
          <w:rFonts w:ascii="Arial" w:hAnsi="Arial" w:cs="Arial"/>
          <w:b/>
        </w:rPr>
      </w:pPr>
    </w:p>
    <w:p w14:paraId="60D85B87" w14:textId="77777777" w:rsidR="003B255E" w:rsidRPr="007C28EC" w:rsidRDefault="003B255E" w:rsidP="003B255E">
      <w:pPr>
        <w:rPr>
          <w:rFonts w:ascii="Arial" w:hAnsi="Arial" w:cs="Arial"/>
          <w:b/>
        </w:rPr>
      </w:pPr>
      <w:r w:rsidRPr="007C28EC">
        <w:rPr>
          <w:rFonts w:ascii="Arial" w:hAnsi="Arial" w:cs="Arial"/>
          <w:b/>
        </w:rPr>
        <w:t>Appendix B: Altman Z-Score Calculation</w:t>
      </w:r>
    </w:p>
    <w:p w14:paraId="673C217B" w14:textId="77777777" w:rsidR="003B255E" w:rsidRPr="007C28EC" w:rsidRDefault="003B255E" w:rsidP="003B255E">
      <w:pPr>
        <w:rPr>
          <w:rFonts w:ascii="Arial" w:hAnsi="Arial" w:cs="Arial"/>
          <w:b/>
        </w:rPr>
      </w:pPr>
    </w:p>
    <w:p w14:paraId="08DD6AEA" w14:textId="77777777" w:rsidR="003B255E" w:rsidRPr="001B45A1" w:rsidRDefault="001B45A1" w:rsidP="003B255E">
      <w:pPr>
        <w:rPr>
          <w:rFonts w:ascii="Arial" w:hAnsi="Arial" w:cs="Arial"/>
          <w:b/>
        </w:rPr>
      </w:pPr>
      <w:r>
        <w:rPr>
          <w:rFonts w:ascii="Arial" w:hAnsi="Arial" w:cs="Arial"/>
          <w:b/>
        </w:rPr>
        <w:t>2024 Example Calculation:</w:t>
      </w:r>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77AC245F" w14:textId="77777777" w:rsidTr="003737EE">
        <w:tc>
          <w:tcPr>
            <w:tcW w:w="2337" w:type="dxa"/>
          </w:tcPr>
          <w:p w14:paraId="315B56D2" w14:textId="77777777" w:rsidR="003737EE" w:rsidRPr="007C28EC" w:rsidRDefault="003737EE" w:rsidP="003737EE">
            <w:pPr>
              <w:spacing w:line="360" w:lineRule="auto"/>
              <w:rPr>
                <w:rFonts w:ascii="Arial" w:hAnsi="Arial" w:cs="Arial"/>
                <w:sz w:val="24"/>
              </w:rPr>
            </w:pPr>
            <w:r w:rsidRPr="007C28EC">
              <w:rPr>
                <w:rFonts w:ascii="Arial" w:hAnsi="Arial" w:cs="Arial"/>
                <w:sz w:val="24"/>
              </w:rPr>
              <w:t>Component</w:t>
            </w:r>
          </w:p>
        </w:tc>
        <w:tc>
          <w:tcPr>
            <w:tcW w:w="2337" w:type="dxa"/>
          </w:tcPr>
          <w:p w14:paraId="181E7887" w14:textId="77777777" w:rsidR="003737EE" w:rsidRPr="007C28EC" w:rsidRDefault="003737EE" w:rsidP="003737EE">
            <w:pPr>
              <w:spacing w:line="360" w:lineRule="auto"/>
              <w:rPr>
                <w:rFonts w:ascii="Arial" w:hAnsi="Arial" w:cs="Arial"/>
                <w:sz w:val="24"/>
              </w:rPr>
            </w:pPr>
            <w:r w:rsidRPr="007C28EC">
              <w:rPr>
                <w:rFonts w:ascii="Arial" w:hAnsi="Arial" w:cs="Arial"/>
                <w:sz w:val="24"/>
              </w:rPr>
              <w:t>Value (£m)</w:t>
            </w:r>
          </w:p>
        </w:tc>
        <w:tc>
          <w:tcPr>
            <w:tcW w:w="2338" w:type="dxa"/>
          </w:tcPr>
          <w:p w14:paraId="64029C65" w14:textId="77777777" w:rsidR="003737EE" w:rsidRPr="007C28EC" w:rsidRDefault="003737EE" w:rsidP="003737EE">
            <w:pPr>
              <w:spacing w:line="360" w:lineRule="auto"/>
              <w:rPr>
                <w:rFonts w:ascii="Arial" w:hAnsi="Arial" w:cs="Arial"/>
                <w:sz w:val="24"/>
              </w:rPr>
            </w:pPr>
            <w:r w:rsidRPr="007C28EC">
              <w:rPr>
                <w:rFonts w:ascii="Arial" w:hAnsi="Arial" w:cs="Arial"/>
                <w:sz w:val="24"/>
              </w:rPr>
              <w:t>Formula / Ratio</w:t>
            </w:r>
          </w:p>
        </w:tc>
        <w:tc>
          <w:tcPr>
            <w:tcW w:w="2338" w:type="dxa"/>
          </w:tcPr>
          <w:p w14:paraId="5336C839" w14:textId="77777777" w:rsidR="003737EE" w:rsidRPr="007C28EC" w:rsidRDefault="003737EE" w:rsidP="003737EE">
            <w:pPr>
              <w:spacing w:line="360" w:lineRule="auto"/>
              <w:rPr>
                <w:rFonts w:ascii="Arial" w:hAnsi="Arial" w:cs="Arial"/>
                <w:sz w:val="24"/>
              </w:rPr>
            </w:pPr>
            <w:r w:rsidRPr="007C28EC">
              <w:rPr>
                <w:rFonts w:ascii="Arial" w:hAnsi="Arial" w:cs="Arial"/>
                <w:sz w:val="24"/>
              </w:rPr>
              <w:t>Result</w:t>
            </w:r>
          </w:p>
        </w:tc>
      </w:tr>
      <w:tr w:rsidR="007C28EC" w:rsidRPr="007C28EC" w14:paraId="03097EDE" w14:textId="77777777" w:rsidTr="003737EE">
        <w:tc>
          <w:tcPr>
            <w:tcW w:w="2337" w:type="dxa"/>
          </w:tcPr>
          <w:p w14:paraId="21FC3F68" w14:textId="77777777" w:rsidR="003737EE" w:rsidRPr="007C28EC" w:rsidRDefault="003737EE" w:rsidP="003737EE">
            <w:pPr>
              <w:spacing w:line="360" w:lineRule="auto"/>
              <w:rPr>
                <w:rFonts w:ascii="Arial" w:hAnsi="Arial" w:cs="Arial"/>
                <w:sz w:val="24"/>
              </w:rPr>
            </w:pPr>
            <w:r w:rsidRPr="007C28EC">
              <w:rPr>
                <w:rFonts w:ascii="Arial" w:hAnsi="Arial" w:cs="Arial"/>
                <w:sz w:val="24"/>
              </w:rPr>
              <w:t>Working Capital</w:t>
            </w:r>
          </w:p>
        </w:tc>
        <w:tc>
          <w:tcPr>
            <w:tcW w:w="2337" w:type="dxa"/>
          </w:tcPr>
          <w:p w14:paraId="65194C06" w14:textId="77777777" w:rsidR="003737EE" w:rsidRPr="007C28EC" w:rsidRDefault="003737EE" w:rsidP="003737EE">
            <w:pPr>
              <w:spacing w:line="360" w:lineRule="auto"/>
              <w:rPr>
                <w:rFonts w:ascii="Arial" w:hAnsi="Arial" w:cs="Arial"/>
                <w:sz w:val="24"/>
              </w:rPr>
            </w:pPr>
            <w:r w:rsidRPr="007C28EC">
              <w:rPr>
                <w:rFonts w:ascii="Arial" w:hAnsi="Arial" w:cs="Arial"/>
                <w:sz w:val="24"/>
              </w:rPr>
              <w:t>84,203</w:t>
            </w:r>
          </w:p>
        </w:tc>
        <w:tc>
          <w:tcPr>
            <w:tcW w:w="2338" w:type="dxa"/>
          </w:tcPr>
          <w:p w14:paraId="16867AD1" w14:textId="77777777" w:rsidR="003737EE" w:rsidRPr="007C28EC" w:rsidRDefault="003737EE" w:rsidP="003737EE">
            <w:pPr>
              <w:spacing w:line="360" w:lineRule="auto"/>
              <w:rPr>
                <w:rFonts w:ascii="Arial" w:hAnsi="Arial" w:cs="Arial"/>
                <w:sz w:val="24"/>
              </w:rPr>
            </w:pPr>
            <w:r w:rsidRPr="007C28EC">
              <w:rPr>
                <w:rFonts w:ascii="Arial" w:hAnsi="Arial" w:cs="Arial"/>
                <w:sz w:val="24"/>
              </w:rPr>
              <w:t>WC / Total Assets</w:t>
            </w:r>
          </w:p>
        </w:tc>
        <w:tc>
          <w:tcPr>
            <w:tcW w:w="2338" w:type="dxa"/>
          </w:tcPr>
          <w:p w14:paraId="40226856" w14:textId="77777777" w:rsidR="003737EE" w:rsidRPr="007C28EC" w:rsidRDefault="003737EE" w:rsidP="003737EE">
            <w:pPr>
              <w:spacing w:line="360" w:lineRule="auto"/>
              <w:rPr>
                <w:rFonts w:ascii="Arial" w:hAnsi="Arial" w:cs="Arial"/>
                <w:sz w:val="24"/>
              </w:rPr>
            </w:pPr>
            <w:r w:rsidRPr="007C28EC">
              <w:rPr>
                <w:rFonts w:ascii="Arial" w:hAnsi="Arial" w:cs="Arial"/>
                <w:sz w:val="24"/>
              </w:rPr>
              <w:t>X</w:t>
            </w:r>
            <w:r w:rsidRPr="007C28EC">
              <w:rPr>
                <w:rFonts w:ascii="Cambria Math" w:hAnsi="Cambria Math" w:cs="Cambria Math"/>
                <w:sz w:val="24"/>
              </w:rPr>
              <w:t>₁</w:t>
            </w:r>
            <w:r w:rsidRPr="007C28EC">
              <w:rPr>
                <w:rFonts w:ascii="Arial" w:hAnsi="Arial" w:cs="Arial"/>
                <w:sz w:val="24"/>
              </w:rPr>
              <w:t xml:space="preserve"> = 0.26</w:t>
            </w:r>
          </w:p>
        </w:tc>
      </w:tr>
      <w:tr w:rsidR="007C28EC" w:rsidRPr="007C28EC" w14:paraId="3976E0B9" w14:textId="77777777" w:rsidTr="003737EE">
        <w:tc>
          <w:tcPr>
            <w:tcW w:w="2337" w:type="dxa"/>
          </w:tcPr>
          <w:p w14:paraId="1E54B30A" w14:textId="77777777" w:rsidR="003737EE" w:rsidRPr="007C28EC" w:rsidRDefault="003737EE" w:rsidP="003737EE">
            <w:pPr>
              <w:spacing w:line="360" w:lineRule="auto"/>
              <w:rPr>
                <w:rFonts w:ascii="Arial" w:hAnsi="Arial" w:cs="Arial"/>
                <w:sz w:val="24"/>
              </w:rPr>
            </w:pPr>
            <w:r w:rsidRPr="007C28EC">
              <w:rPr>
                <w:rFonts w:ascii="Arial" w:hAnsi="Arial" w:cs="Arial"/>
                <w:sz w:val="24"/>
              </w:rPr>
              <w:t>Retained Earnings</w:t>
            </w:r>
          </w:p>
        </w:tc>
        <w:tc>
          <w:tcPr>
            <w:tcW w:w="2337" w:type="dxa"/>
          </w:tcPr>
          <w:p w14:paraId="32653671" w14:textId="77777777" w:rsidR="003737EE" w:rsidRPr="007C28EC" w:rsidRDefault="003737EE" w:rsidP="003737EE">
            <w:pPr>
              <w:spacing w:line="360" w:lineRule="auto"/>
              <w:rPr>
                <w:rFonts w:ascii="Arial" w:hAnsi="Arial" w:cs="Arial"/>
                <w:sz w:val="24"/>
              </w:rPr>
            </w:pPr>
            <w:r w:rsidRPr="007C28EC">
              <w:rPr>
                <w:rFonts w:ascii="Arial" w:hAnsi="Arial" w:cs="Arial"/>
                <w:sz w:val="24"/>
              </w:rPr>
              <w:t>208,431</w:t>
            </w:r>
          </w:p>
        </w:tc>
        <w:tc>
          <w:tcPr>
            <w:tcW w:w="2338" w:type="dxa"/>
          </w:tcPr>
          <w:p w14:paraId="6FE6532E" w14:textId="77777777" w:rsidR="003737EE" w:rsidRPr="007C28EC" w:rsidRDefault="003737EE" w:rsidP="003737EE">
            <w:pPr>
              <w:spacing w:line="360" w:lineRule="auto"/>
              <w:rPr>
                <w:rFonts w:ascii="Arial" w:hAnsi="Arial" w:cs="Arial"/>
                <w:sz w:val="24"/>
              </w:rPr>
            </w:pPr>
            <w:r w:rsidRPr="007C28EC">
              <w:rPr>
                <w:rFonts w:ascii="Arial" w:hAnsi="Arial" w:cs="Arial"/>
                <w:sz w:val="24"/>
              </w:rPr>
              <w:t>RE / Total Assets</w:t>
            </w:r>
          </w:p>
        </w:tc>
        <w:tc>
          <w:tcPr>
            <w:tcW w:w="2338" w:type="dxa"/>
          </w:tcPr>
          <w:p w14:paraId="72120C83" w14:textId="77777777" w:rsidR="003737EE" w:rsidRPr="007C28EC" w:rsidRDefault="003737EE" w:rsidP="003737EE">
            <w:pPr>
              <w:spacing w:line="360" w:lineRule="auto"/>
              <w:rPr>
                <w:rFonts w:ascii="Arial" w:hAnsi="Arial" w:cs="Arial"/>
                <w:sz w:val="24"/>
              </w:rPr>
            </w:pPr>
            <w:r w:rsidRPr="007C28EC">
              <w:rPr>
                <w:rFonts w:ascii="Arial" w:hAnsi="Arial" w:cs="Arial"/>
                <w:sz w:val="24"/>
              </w:rPr>
              <w:t>X</w:t>
            </w:r>
            <w:r w:rsidRPr="007C28EC">
              <w:rPr>
                <w:rFonts w:ascii="Cambria Math" w:hAnsi="Cambria Math" w:cs="Cambria Math"/>
                <w:sz w:val="24"/>
              </w:rPr>
              <w:t>₂</w:t>
            </w:r>
            <w:r w:rsidRPr="007C28EC">
              <w:rPr>
                <w:rFonts w:ascii="Arial" w:hAnsi="Arial" w:cs="Arial"/>
                <w:sz w:val="24"/>
              </w:rPr>
              <w:t xml:space="preserve"> = 0.645</w:t>
            </w:r>
          </w:p>
        </w:tc>
      </w:tr>
      <w:tr w:rsidR="007C28EC" w:rsidRPr="007C28EC" w14:paraId="49864D7B" w14:textId="77777777" w:rsidTr="003737EE">
        <w:tc>
          <w:tcPr>
            <w:tcW w:w="2337" w:type="dxa"/>
          </w:tcPr>
          <w:p w14:paraId="2097D8AC" w14:textId="77777777" w:rsidR="003737EE" w:rsidRPr="007C28EC" w:rsidRDefault="003737EE" w:rsidP="003737EE">
            <w:pPr>
              <w:spacing w:line="360" w:lineRule="auto"/>
              <w:rPr>
                <w:rFonts w:ascii="Arial" w:hAnsi="Arial" w:cs="Arial"/>
                <w:sz w:val="24"/>
              </w:rPr>
            </w:pPr>
            <w:r w:rsidRPr="007C28EC">
              <w:rPr>
                <w:rFonts w:ascii="Arial" w:hAnsi="Arial" w:cs="Arial"/>
                <w:sz w:val="24"/>
              </w:rPr>
              <w:t>EBIT</w:t>
            </w:r>
          </w:p>
        </w:tc>
        <w:tc>
          <w:tcPr>
            <w:tcW w:w="2337" w:type="dxa"/>
          </w:tcPr>
          <w:p w14:paraId="7C60128D" w14:textId="77777777" w:rsidR="003737EE" w:rsidRPr="007C28EC" w:rsidRDefault="003737EE" w:rsidP="003737EE">
            <w:pPr>
              <w:spacing w:line="360" w:lineRule="auto"/>
              <w:rPr>
                <w:rFonts w:ascii="Arial" w:hAnsi="Arial" w:cs="Arial"/>
                <w:sz w:val="24"/>
              </w:rPr>
            </w:pPr>
            <w:r w:rsidRPr="007C28EC">
              <w:rPr>
                <w:rFonts w:ascii="Arial" w:hAnsi="Arial" w:cs="Arial"/>
                <w:sz w:val="24"/>
              </w:rPr>
              <w:t>-15,297</w:t>
            </w:r>
          </w:p>
        </w:tc>
        <w:tc>
          <w:tcPr>
            <w:tcW w:w="2338" w:type="dxa"/>
          </w:tcPr>
          <w:p w14:paraId="0CB4A3C9" w14:textId="77777777" w:rsidR="003737EE" w:rsidRPr="007C28EC" w:rsidRDefault="003737EE" w:rsidP="003737EE">
            <w:pPr>
              <w:spacing w:line="360" w:lineRule="auto"/>
              <w:rPr>
                <w:rFonts w:ascii="Arial" w:hAnsi="Arial" w:cs="Arial"/>
                <w:sz w:val="24"/>
              </w:rPr>
            </w:pPr>
            <w:r w:rsidRPr="007C28EC">
              <w:rPr>
                <w:rFonts w:ascii="Arial" w:hAnsi="Arial" w:cs="Arial"/>
                <w:sz w:val="24"/>
              </w:rPr>
              <w:t>EBIT / Total Assets</w:t>
            </w:r>
          </w:p>
        </w:tc>
        <w:tc>
          <w:tcPr>
            <w:tcW w:w="2338" w:type="dxa"/>
          </w:tcPr>
          <w:p w14:paraId="08FC138A" w14:textId="77777777" w:rsidR="003737EE" w:rsidRPr="007C28EC" w:rsidRDefault="003737EE" w:rsidP="003737EE">
            <w:pPr>
              <w:spacing w:line="360" w:lineRule="auto"/>
              <w:rPr>
                <w:rFonts w:ascii="Arial" w:hAnsi="Arial" w:cs="Arial"/>
                <w:sz w:val="24"/>
              </w:rPr>
            </w:pPr>
            <w:r w:rsidRPr="007C28EC">
              <w:rPr>
                <w:rFonts w:ascii="Arial" w:hAnsi="Arial" w:cs="Arial"/>
                <w:sz w:val="24"/>
              </w:rPr>
              <w:t>X</w:t>
            </w:r>
            <w:r w:rsidRPr="007C28EC">
              <w:rPr>
                <w:rFonts w:ascii="Cambria Math" w:hAnsi="Cambria Math" w:cs="Cambria Math"/>
                <w:sz w:val="24"/>
              </w:rPr>
              <w:t>₃</w:t>
            </w:r>
            <w:r w:rsidRPr="007C28EC">
              <w:rPr>
                <w:rFonts w:ascii="Arial" w:hAnsi="Arial" w:cs="Arial"/>
                <w:sz w:val="24"/>
              </w:rPr>
              <w:t xml:space="preserve"> = -0.047</w:t>
            </w:r>
          </w:p>
        </w:tc>
      </w:tr>
      <w:tr w:rsidR="007C28EC" w:rsidRPr="007C28EC" w14:paraId="64019A37" w14:textId="77777777" w:rsidTr="003737EE">
        <w:tc>
          <w:tcPr>
            <w:tcW w:w="2337" w:type="dxa"/>
          </w:tcPr>
          <w:p w14:paraId="405731F0" w14:textId="77777777" w:rsidR="003737EE" w:rsidRPr="007C28EC" w:rsidRDefault="003737EE" w:rsidP="003737EE">
            <w:pPr>
              <w:spacing w:line="360" w:lineRule="auto"/>
              <w:rPr>
                <w:rFonts w:ascii="Arial" w:hAnsi="Arial" w:cs="Arial"/>
                <w:sz w:val="24"/>
              </w:rPr>
            </w:pPr>
            <w:r w:rsidRPr="007C28EC">
              <w:rPr>
                <w:rFonts w:ascii="Arial" w:hAnsi="Arial" w:cs="Arial"/>
                <w:sz w:val="24"/>
              </w:rPr>
              <w:t>Equity / Liabilities</w:t>
            </w:r>
          </w:p>
        </w:tc>
        <w:tc>
          <w:tcPr>
            <w:tcW w:w="2337" w:type="dxa"/>
          </w:tcPr>
          <w:p w14:paraId="6C239E40" w14:textId="77777777" w:rsidR="003737EE" w:rsidRPr="007C28EC" w:rsidRDefault="003737EE" w:rsidP="003737EE">
            <w:pPr>
              <w:spacing w:line="360" w:lineRule="auto"/>
              <w:rPr>
                <w:rFonts w:ascii="Arial" w:hAnsi="Arial" w:cs="Arial"/>
                <w:sz w:val="24"/>
              </w:rPr>
            </w:pPr>
            <w:r w:rsidRPr="007C28EC">
              <w:rPr>
                <w:rFonts w:ascii="Arial" w:hAnsi="Arial" w:cs="Arial"/>
                <w:sz w:val="24"/>
              </w:rPr>
              <w:t>153,105 / 170,249</w:t>
            </w:r>
          </w:p>
        </w:tc>
        <w:tc>
          <w:tcPr>
            <w:tcW w:w="2338" w:type="dxa"/>
          </w:tcPr>
          <w:p w14:paraId="2D7AE3D4" w14:textId="77777777" w:rsidR="003737EE" w:rsidRPr="007C28EC" w:rsidRDefault="003737EE" w:rsidP="003737EE">
            <w:pPr>
              <w:spacing w:line="360" w:lineRule="auto"/>
              <w:rPr>
                <w:rFonts w:ascii="Arial" w:hAnsi="Arial" w:cs="Arial"/>
                <w:sz w:val="24"/>
              </w:rPr>
            </w:pPr>
            <w:r w:rsidRPr="007C28EC">
              <w:rPr>
                <w:rFonts w:ascii="Arial" w:hAnsi="Arial" w:cs="Arial"/>
                <w:sz w:val="24"/>
              </w:rPr>
              <w:t>X</w:t>
            </w:r>
            <w:r w:rsidRPr="007C28EC">
              <w:rPr>
                <w:rFonts w:ascii="Cambria Math" w:hAnsi="Cambria Math" w:cs="Cambria Math"/>
                <w:sz w:val="24"/>
              </w:rPr>
              <w:t>₄</w:t>
            </w:r>
          </w:p>
        </w:tc>
        <w:tc>
          <w:tcPr>
            <w:tcW w:w="2338" w:type="dxa"/>
          </w:tcPr>
          <w:p w14:paraId="5E83091E" w14:textId="77777777" w:rsidR="003737EE" w:rsidRPr="007C28EC" w:rsidRDefault="003737EE" w:rsidP="003737EE">
            <w:pPr>
              <w:spacing w:line="360" w:lineRule="auto"/>
              <w:rPr>
                <w:rFonts w:ascii="Arial" w:hAnsi="Arial" w:cs="Arial"/>
                <w:sz w:val="24"/>
              </w:rPr>
            </w:pPr>
            <w:r w:rsidRPr="007C28EC">
              <w:rPr>
                <w:rFonts w:ascii="Arial" w:hAnsi="Arial" w:cs="Arial"/>
                <w:sz w:val="24"/>
              </w:rPr>
              <w:t>0.899</w:t>
            </w:r>
          </w:p>
        </w:tc>
      </w:tr>
      <w:tr w:rsidR="007C28EC" w:rsidRPr="007C28EC" w14:paraId="0B618061" w14:textId="77777777" w:rsidTr="003737EE">
        <w:tc>
          <w:tcPr>
            <w:tcW w:w="2337" w:type="dxa"/>
          </w:tcPr>
          <w:p w14:paraId="2C861369" w14:textId="77777777" w:rsidR="003737EE" w:rsidRPr="007C28EC" w:rsidRDefault="003737EE" w:rsidP="003737EE">
            <w:pPr>
              <w:spacing w:line="360" w:lineRule="auto"/>
              <w:rPr>
                <w:rFonts w:ascii="Arial" w:hAnsi="Arial" w:cs="Arial"/>
                <w:sz w:val="24"/>
              </w:rPr>
            </w:pPr>
            <w:r w:rsidRPr="007C28EC">
              <w:rPr>
                <w:rFonts w:ascii="Arial" w:hAnsi="Arial" w:cs="Arial"/>
                <w:sz w:val="24"/>
              </w:rPr>
              <w:t>Z"-Score</w:t>
            </w:r>
          </w:p>
        </w:tc>
        <w:tc>
          <w:tcPr>
            <w:tcW w:w="2337" w:type="dxa"/>
          </w:tcPr>
          <w:p w14:paraId="2EA37E69" w14:textId="77777777" w:rsidR="003737EE" w:rsidRPr="007C28EC" w:rsidRDefault="003737EE" w:rsidP="003737EE">
            <w:pPr>
              <w:spacing w:line="360" w:lineRule="auto"/>
              <w:rPr>
                <w:rFonts w:ascii="Arial" w:hAnsi="Arial" w:cs="Arial"/>
                <w:sz w:val="24"/>
              </w:rPr>
            </w:pPr>
            <w:r w:rsidRPr="007C28EC">
              <w:rPr>
                <w:rFonts w:ascii="Arial" w:hAnsi="Arial" w:cs="Arial"/>
                <w:sz w:val="24"/>
              </w:rPr>
              <w:t>-</w:t>
            </w:r>
          </w:p>
        </w:tc>
        <w:tc>
          <w:tcPr>
            <w:tcW w:w="2338" w:type="dxa"/>
          </w:tcPr>
          <w:p w14:paraId="51353EC3" w14:textId="77777777" w:rsidR="003737EE" w:rsidRPr="007C28EC" w:rsidRDefault="003737EE" w:rsidP="003737EE">
            <w:pPr>
              <w:spacing w:line="360" w:lineRule="auto"/>
              <w:rPr>
                <w:rFonts w:ascii="Arial" w:hAnsi="Arial" w:cs="Arial"/>
                <w:sz w:val="24"/>
              </w:rPr>
            </w:pPr>
            <w:r w:rsidRPr="007C28EC">
              <w:rPr>
                <w:rFonts w:ascii="Arial" w:hAnsi="Arial" w:cs="Arial"/>
                <w:sz w:val="24"/>
              </w:rPr>
              <w:t>6.56X</w:t>
            </w:r>
            <w:r w:rsidRPr="007C28EC">
              <w:rPr>
                <w:rFonts w:ascii="Cambria Math" w:hAnsi="Cambria Math" w:cs="Cambria Math"/>
                <w:sz w:val="24"/>
              </w:rPr>
              <w:t>₁</w:t>
            </w:r>
            <w:r w:rsidRPr="007C28EC">
              <w:rPr>
                <w:rFonts w:ascii="Arial" w:hAnsi="Arial" w:cs="Arial"/>
                <w:sz w:val="24"/>
              </w:rPr>
              <w:t xml:space="preserve"> + 3.26X</w:t>
            </w:r>
            <w:r w:rsidRPr="007C28EC">
              <w:rPr>
                <w:rFonts w:ascii="Cambria Math" w:hAnsi="Cambria Math" w:cs="Cambria Math"/>
                <w:sz w:val="24"/>
              </w:rPr>
              <w:t>₂</w:t>
            </w:r>
            <w:r w:rsidRPr="007C28EC">
              <w:rPr>
                <w:rFonts w:ascii="Arial" w:hAnsi="Arial" w:cs="Arial"/>
                <w:sz w:val="24"/>
              </w:rPr>
              <w:t xml:space="preserve"> + 6.72X</w:t>
            </w:r>
            <w:r w:rsidRPr="007C28EC">
              <w:rPr>
                <w:rFonts w:ascii="Cambria Math" w:hAnsi="Cambria Math" w:cs="Cambria Math"/>
                <w:sz w:val="24"/>
              </w:rPr>
              <w:t>₃</w:t>
            </w:r>
            <w:r w:rsidRPr="007C28EC">
              <w:rPr>
                <w:rFonts w:ascii="Arial" w:hAnsi="Arial" w:cs="Arial"/>
                <w:sz w:val="24"/>
              </w:rPr>
              <w:t xml:space="preserve"> + 1.05X</w:t>
            </w:r>
            <w:r w:rsidRPr="007C28EC">
              <w:rPr>
                <w:rFonts w:ascii="Cambria Math" w:hAnsi="Cambria Math" w:cs="Cambria Math"/>
                <w:sz w:val="24"/>
              </w:rPr>
              <w:t>₄</w:t>
            </w:r>
          </w:p>
        </w:tc>
        <w:tc>
          <w:tcPr>
            <w:tcW w:w="2338" w:type="dxa"/>
          </w:tcPr>
          <w:p w14:paraId="02B596A9" w14:textId="77777777" w:rsidR="003737EE" w:rsidRPr="007C28EC" w:rsidRDefault="003737EE" w:rsidP="003737EE">
            <w:pPr>
              <w:spacing w:line="360" w:lineRule="auto"/>
              <w:rPr>
                <w:rFonts w:ascii="Arial" w:hAnsi="Arial" w:cs="Arial"/>
                <w:sz w:val="24"/>
              </w:rPr>
            </w:pPr>
            <w:r w:rsidRPr="007C28EC">
              <w:rPr>
                <w:rFonts w:ascii="Arial" w:hAnsi="Arial" w:cs="Arial"/>
                <w:sz w:val="24"/>
              </w:rPr>
              <w:t>3.46</w:t>
            </w:r>
          </w:p>
        </w:tc>
      </w:tr>
    </w:tbl>
    <w:p w14:paraId="3686B872" w14:textId="77777777" w:rsidR="003B255E" w:rsidRPr="001B45A1" w:rsidRDefault="003B255E" w:rsidP="003B255E">
      <w:pPr>
        <w:rPr>
          <w:rFonts w:ascii="Arial" w:hAnsi="Arial" w:cs="Arial"/>
          <w:b/>
        </w:rPr>
      </w:pPr>
      <w:r w:rsidRPr="007C28EC">
        <w:rPr>
          <w:rFonts w:ascii="Arial" w:hAnsi="Arial" w:cs="Arial"/>
          <w:b/>
        </w:rPr>
        <w:t>Appendix C: In</w:t>
      </w:r>
      <w:r w:rsidR="001B45A1">
        <w:rPr>
          <w:rFonts w:ascii="Arial" w:hAnsi="Arial" w:cs="Arial"/>
          <w:b/>
        </w:rPr>
        <w:t>vestment Appraisal Calculations</w:t>
      </w:r>
    </w:p>
    <w:p w14:paraId="695EC884" w14:textId="77777777" w:rsidR="003B255E" w:rsidRPr="001B45A1" w:rsidRDefault="001B45A1" w:rsidP="003B255E">
      <w:pPr>
        <w:rPr>
          <w:rFonts w:ascii="Arial" w:hAnsi="Arial" w:cs="Arial"/>
          <w:b/>
        </w:rPr>
      </w:pPr>
      <w:r>
        <w:rPr>
          <w:rFonts w:ascii="Arial" w:hAnsi="Arial" w:cs="Arial"/>
          <w:b/>
        </w:rPr>
        <w:t>C.1 Payback Period (PBP)</w:t>
      </w:r>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76DD8076" w14:textId="77777777" w:rsidTr="002352D9">
        <w:tc>
          <w:tcPr>
            <w:tcW w:w="2337" w:type="dxa"/>
          </w:tcPr>
          <w:p w14:paraId="743F5C12" w14:textId="77777777" w:rsidR="002352D9" w:rsidRPr="007C28EC" w:rsidRDefault="002352D9" w:rsidP="002352D9">
            <w:pPr>
              <w:spacing w:line="360" w:lineRule="auto"/>
              <w:rPr>
                <w:rFonts w:ascii="Arial" w:hAnsi="Arial" w:cs="Arial"/>
                <w:sz w:val="24"/>
              </w:rPr>
            </w:pPr>
            <w:r w:rsidRPr="007C28EC">
              <w:rPr>
                <w:rFonts w:ascii="Arial" w:hAnsi="Arial" w:cs="Arial"/>
                <w:sz w:val="24"/>
              </w:rPr>
              <w:t>Project</w:t>
            </w:r>
          </w:p>
        </w:tc>
        <w:tc>
          <w:tcPr>
            <w:tcW w:w="2337" w:type="dxa"/>
          </w:tcPr>
          <w:p w14:paraId="3DBC22DD" w14:textId="77777777" w:rsidR="002352D9" w:rsidRPr="007C28EC" w:rsidRDefault="002352D9" w:rsidP="002352D9">
            <w:pPr>
              <w:spacing w:line="360" w:lineRule="auto"/>
              <w:rPr>
                <w:rFonts w:ascii="Arial" w:hAnsi="Arial" w:cs="Arial"/>
                <w:sz w:val="24"/>
              </w:rPr>
            </w:pPr>
            <w:r w:rsidRPr="007C28EC">
              <w:rPr>
                <w:rFonts w:ascii="Arial" w:hAnsi="Arial" w:cs="Arial"/>
                <w:sz w:val="24"/>
              </w:rPr>
              <w:t>Initial Investment (£m)</w:t>
            </w:r>
          </w:p>
        </w:tc>
        <w:tc>
          <w:tcPr>
            <w:tcW w:w="2338" w:type="dxa"/>
          </w:tcPr>
          <w:p w14:paraId="75924994" w14:textId="77777777" w:rsidR="002352D9" w:rsidRPr="007C28EC" w:rsidRDefault="002352D9" w:rsidP="002352D9">
            <w:pPr>
              <w:spacing w:line="360" w:lineRule="auto"/>
              <w:rPr>
                <w:rFonts w:ascii="Arial" w:hAnsi="Arial" w:cs="Arial"/>
                <w:sz w:val="24"/>
              </w:rPr>
            </w:pPr>
            <w:r w:rsidRPr="007C28EC">
              <w:rPr>
                <w:rFonts w:ascii="Arial" w:hAnsi="Arial" w:cs="Arial"/>
                <w:sz w:val="24"/>
              </w:rPr>
              <w:t>Cumulative Cash Inflows (£m)</w:t>
            </w:r>
          </w:p>
        </w:tc>
        <w:tc>
          <w:tcPr>
            <w:tcW w:w="2338" w:type="dxa"/>
          </w:tcPr>
          <w:p w14:paraId="081DB60B" w14:textId="77777777" w:rsidR="002352D9" w:rsidRPr="007C28EC" w:rsidRDefault="002352D9" w:rsidP="002352D9">
            <w:pPr>
              <w:spacing w:line="360" w:lineRule="auto"/>
              <w:rPr>
                <w:rFonts w:ascii="Arial" w:hAnsi="Arial" w:cs="Arial"/>
                <w:sz w:val="24"/>
              </w:rPr>
            </w:pPr>
            <w:r w:rsidRPr="007C28EC">
              <w:rPr>
                <w:rFonts w:ascii="Arial" w:hAnsi="Arial" w:cs="Arial"/>
                <w:sz w:val="24"/>
              </w:rPr>
              <w:t>PBP (Years)</w:t>
            </w:r>
          </w:p>
        </w:tc>
      </w:tr>
      <w:tr w:rsidR="007C28EC" w:rsidRPr="007C28EC" w14:paraId="694DC8CB" w14:textId="77777777" w:rsidTr="002352D9">
        <w:tc>
          <w:tcPr>
            <w:tcW w:w="2337" w:type="dxa"/>
          </w:tcPr>
          <w:p w14:paraId="2A961F1D" w14:textId="77777777" w:rsidR="002352D9" w:rsidRPr="007C28EC" w:rsidRDefault="002352D9" w:rsidP="002352D9">
            <w:pPr>
              <w:spacing w:line="360" w:lineRule="auto"/>
              <w:rPr>
                <w:rFonts w:ascii="Arial" w:hAnsi="Arial" w:cs="Arial"/>
                <w:sz w:val="24"/>
              </w:rPr>
            </w:pPr>
            <w:r w:rsidRPr="007C28EC">
              <w:rPr>
                <w:rFonts w:ascii="Arial" w:hAnsi="Arial" w:cs="Arial"/>
                <w:sz w:val="24"/>
              </w:rPr>
              <w:t>A</w:t>
            </w:r>
          </w:p>
        </w:tc>
        <w:tc>
          <w:tcPr>
            <w:tcW w:w="2337" w:type="dxa"/>
          </w:tcPr>
          <w:p w14:paraId="5C3452C2" w14:textId="77777777" w:rsidR="002352D9" w:rsidRPr="007C28EC" w:rsidRDefault="002352D9" w:rsidP="002352D9">
            <w:pPr>
              <w:spacing w:line="360" w:lineRule="auto"/>
              <w:rPr>
                <w:rFonts w:ascii="Arial" w:hAnsi="Arial" w:cs="Arial"/>
                <w:sz w:val="24"/>
              </w:rPr>
            </w:pPr>
            <w:r w:rsidRPr="007C28EC">
              <w:rPr>
                <w:rFonts w:ascii="Arial" w:hAnsi="Arial" w:cs="Arial"/>
                <w:sz w:val="24"/>
              </w:rPr>
              <w:t>40</w:t>
            </w:r>
          </w:p>
        </w:tc>
        <w:tc>
          <w:tcPr>
            <w:tcW w:w="2338" w:type="dxa"/>
          </w:tcPr>
          <w:p w14:paraId="5E57B14B" w14:textId="77777777" w:rsidR="002352D9" w:rsidRPr="007C28EC" w:rsidRDefault="002352D9" w:rsidP="002352D9">
            <w:pPr>
              <w:spacing w:line="360" w:lineRule="auto"/>
              <w:rPr>
                <w:rFonts w:ascii="Arial" w:hAnsi="Arial" w:cs="Arial"/>
                <w:sz w:val="24"/>
              </w:rPr>
            </w:pPr>
            <w:r w:rsidRPr="007C28EC">
              <w:rPr>
                <w:rFonts w:ascii="Arial" w:hAnsi="Arial" w:cs="Arial"/>
                <w:sz w:val="24"/>
              </w:rPr>
              <w:t>10, 22, 36, 46, 54</w:t>
            </w:r>
          </w:p>
        </w:tc>
        <w:tc>
          <w:tcPr>
            <w:tcW w:w="2338" w:type="dxa"/>
          </w:tcPr>
          <w:p w14:paraId="65397BC3" w14:textId="77777777" w:rsidR="002352D9" w:rsidRPr="007C28EC" w:rsidRDefault="002352D9" w:rsidP="002352D9">
            <w:pPr>
              <w:spacing w:line="360" w:lineRule="auto"/>
              <w:rPr>
                <w:rFonts w:ascii="Arial" w:hAnsi="Arial" w:cs="Arial"/>
                <w:sz w:val="24"/>
              </w:rPr>
            </w:pPr>
            <w:r w:rsidRPr="007C28EC">
              <w:rPr>
                <w:rFonts w:ascii="Arial" w:hAnsi="Arial" w:cs="Arial"/>
                <w:sz w:val="24"/>
              </w:rPr>
              <w:t>3.29</w:t>
            </w:r>
          </w:p>
        </w:tc>
      </w:tr>
      <w:tr w:rsidR="007C28EC" w:rsidRPr="007C28EC" w14:paraId="24CADF34" w14:textId="77777777" w:rsidTr="002352D9">
        <w:tc>
          <w:tcPr>
            <w:tcW w:w="2337" w:type="dxa"/>
          </w:tcPr>
          <w:p w14:paraId="681D1598" w14:textId="77777777" w:rsidR="002352D9" w:rsidRPr="007C28EC" w:rsidRDefault="002352D9" w:rsidP="002352D9">
            <w:pPr>
              <w:spacing w:line="360" w:lineRule="auto"/>
              <w:rPr>
                <w:rFonts w:ascii="Arial" w:hAnsi="Arial" w:cs="Arial"/>
                <w:sz w:val="24"/>
              </w:rPr>
            </w:pPr>
            <w:r w:rsidRPr="007C28EC">
              <w:rPr>
                <w:rFonts w:ascii="Arial" w:hAnsi="Arial" w:cs="Arial"/>
                <w:sz w:val="24"/>
              </w:rPr>
              <w:t>B</w:t>
            </w:r>
          </w:p>
        </w:tc>
        <w:tc>
          <w:tcPr>
            <w:tcW w:w="2337" w:type="dxa"/>
          </w:tcPr>
          <w:p w14:paraId="3ED2601B" w14:textId="77777777" w:rsidR="002352D9" w:rsidRPr="007C28EC" w:rsidRDefault="002352D9" w:rsidP="002352D9">
            <w:pPr>
              <w:spacing w:line="360" w:lineRule="auto"/>
              <w:rPr>
                <w:rFonts w:ascii="Arial" w:hAnsi="Arial" w:cs="Arial"/>
                <w:sz w:val="24"/>
              </w:rPr>
            </w:pPr>
            <w:r w:rsidRPr="007C28EC">
              <w:rPr>
                <w:rFonts w:ascii="Arial" w:hAnsi="Arial" w:cs="Arial"/>
                <w:sz w:val="24"/>
              </w:rPr>
              <w:t>30</w:t>
            </w:r>
          </w:p>
        </w:tc>
        <w:tc>
          <w:tcPr>
            <w:tcW w:w="2338" w:type="dxa"/>
          </w:tcPr>
          <w:p w14:paraId="27BDB743" w14:textId="77777777" w:rsidR="002352D9" w:rsidRPr="007C28EC" w:rsidRDefault="002352D9" w:rsidP="002352D9">
            <w:pPr>
              <w:spacing w:line="360" w:lineRule="auto"/>
              <w:rPr>
                <w:rFonts w:ascii="Arial" w:hAnsi="Arial" w:cs="Arial"/>
                <w:sz w:val="24"/>
              </w:rPr>
            </w:pPr>
            <w:r w:rsidRPr="007C28EC">
              <w:rPr>
                <w:rFonts w:ascii="Arial" w:hAnsi="Arial" w:cs="Arial"/>
                <w:sz w:val="24"/>
              </w:rPr>
              <w:t>6, 12, 18, 24, 30</w:t>
            </w:r>
          </w:p>
        </w:tc>
        <w:tc>
          <w:tcPr>
            <w:tcW w:w="2338" w:type="dxa"/>
          </w:tcPr>
          <w:p w14:paraId="342C5BCF" w14:textId="77777777" w:rsidR="002352D9" w:rsidRPr="007C28EC" w:rsidRDefault="002352D9" w:rsidP="002352D9">
            <w:pPr>
              <w:spacing w:line="360" w:lineRule="auto"/>
              <w:rPr>
                <w:rFonts w:ascii="Arial" w:hAnsi="Arial" w:cs="Arial"/>
                <w:sz w:val="24"/>
              </w:rPr>
            </w:pPr>
            <w:r w:rsidRPr="007C28EC">
              <w:rPr>
                <w:rFonts w:ascii="Arial" w:hAnsi="Arial" w:cs="Arial"/>
                <w:sz w:val="24"/>
              </w:rPr>
              <w:t>5</w:t>
            </w:r>
          </w:p>
        </w:tc>
      </w:tr>
      <w:tr w:rsidR="007C28EC" w:rsidRPr="007C28EC" w14:paraId="49BDECC9" w14:textId="77777777" w:rsidTr="002352D9">
        <w:tc>
          <w:tcPr>
            <w:tcW w:w="2337" w:type="dxa"/>
          </w:tcPr>
          <w:p w14:paraId="15E1A0EA" w14:textId="77777777" w:rsidR="002352D9" w:rsidRPr="007C28EC" w:rsidRDefault="002352D9" w:rsidP="002352D9">
            <w:pPr>
              <w:spacing w:line="360" w:lineRule="auto"/>
              <w:rPr>
                <w:rFonts w:ascii="Arial" w:hAnsi="Arial" w:cs="Arial"/>
                <w:sz w:val="24"/>
              </w:rPr>
            </w:pPr>
            <w:r w:rsidRPr="007C28EC">
              <w:rPr>
                <w:rFonts w:ascii="Arial" w:hAnsi="Arial" w:cs="Arial"/>
                <w:sz w:val="24"/>
              </w:rPr>
              <w:t>C</w:t>
            </w:r>
          </w:p>
        </w:tc>
        <w:tc>
          <w:tcPr>
            <w:tcW w:w="2337" w:type="dxa"/>
          </w:tcPr>
          <w:p w14:paraId="0BE6EE61" w14:textId="77777777" w:rsidR="002352D9" w:rsidRPr="007C28EC" w:rsidRDefault="002352D9" w:rsidP="002352D9">
            <w:pPr>
              <w:spacing w:line="360" w:lineRule="auto"/>
              <w:rPr>
                <w:rFonts w:ascii="Arial" w:hAnsi="Arial" w:cs="Arial"/>
                <w:sz w:val="24"/>
              </w:rPr>
            </w:pPr>
            <w:r w:rsidRPr="007C28EC">
              <w:rPr>
                <w:rFonts w:ascii="Arial" w:hAnsi="Arial" w:cs="Arial"/>
                <w:sz w:val="24"/>
              </w:rPr>
              <w:t>50</w:t>
            </w:r>
          </w:p>
        </w:tc>
        <w:tc>
          <w:tcPr>
            <w:tcW w:w="2338" w:type="dxa"/>
          </w:tcPr>
          <w:p w14:paraId="3553A9A6" w14:textId="77777777" w:rsidR="002352D9" w:rsidRPr="007C28EC" w:rsidRDefault="002352D9" w:rsidP="002352D9">
            <w:pPr>
              <w:spacing w:line="360" w:lineRule="auto"/>
              <w:rPr>
                <w:rFonts w:ascii="Arial" w:hAnsi="Arial" w:cs="Arial"/>
                <w:sz w:val="24"/>
              </w:rPr>
            </w:pPr>
            <w:r w:rsidRPr="007C28EC">
              <w:rPr>
                <w:rFonts w:ascii="Arial" w:hAnsi="Arial" w:cs="Arial"/>
                <w:sz w:val="24"/>
              </w:rPr>
              <w:t>5, 15, 35, 60, 75</w:t>
            </w:r>
          </w:p>
        </w:tc>
        <w:tc>
          <w:tcPr>
            <w:tcW w:w="2338" w:type="dxa"/>
          </w:tcPr>
          <w:p w14:paraId="65A017CC" w14:textId="77777777" w:rsidR="002352D9" w:rsidRPr="007C28EC" w:rsidRDefault="002352D9" w:rsidP="002352D9">
            <w:pPr>
              <w:spacing w:line="360" w:lineRule="auto"/>
              <w:rPr>
                <w:rFonts w:ascii="Arial" w:hAnsi="Arial" w:cs="Arial"/>
                <w:sz w:val="24"/>
              </w:rPr>
            </w:pPr>
            <w:r w:rsidRPr="007C28EC">
              <w:rPr>
                <w:rFonts w:ascii="Arial" w:hAnsi="Arial" w:cs="Arial"/>
                <w:sz w:val="24"/>
              </w:rPr>
              <w:t>3</w:t>
            </w:r>
          </w:p>
        </w:tc>
      </w:tr>
    </w:tbl>
    <w:p w14:paraId="1631C8A4" w14:textId="77777777" w:rsidR="003B255E" w:rsidRPr="007C28EC" w:rsidRDefault="003B255E" w:rsidP="003B255E">
      <w:pPr>
        <w:rPr>
          <w:rFonts w:ascii="Arial" w:hAnsi="Arial" w:cs="Arial"/>
        </w:rPr>
      </w:pPr>
    </w:p>
    <w:p w14:paraId="0EEB0B74" w14:textId="77777777" w:rsidR="003B255E" w:rsidRPr="001B45A1" w:rsidRDefault="003B255E" w:rsidP="003B255E">
      <w:pPr>
        <w:rPr>
          <w:rFonts w:ascii="Arial" w:hAnsi="Arial" w:cs="Arial"/>
          <w:b/>
        </w:rPr>
      </w:pPr>
      <w:r w:rsidRPr="007C28EC">
        <w:rPr>
          <w:rFonts w:ascii="Arial" w:hAnsi="Arial" w:cs="Arial"/>
          <w:b/>
        </w:rPr>
        <w:t xml:space="preserve">C.2 </w:t>
      </w:r>
      <w:r w:rsidR="001B45A1">
        <w:rPr>
          <w:rFonts w:ascii="Arial" w:hAnsi="Arial" w:cs="Arial"/>
          <w:b/>
        </w:rPr>
        <w:t>Accounting Rate of Return (ARR)</w:t>
      </w:r>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6D529A81" w14:textId="77777777" w:rsidTr="002352D9">
        <w:tc>
          <w:tcPr>
            <w:tcW w:w="2337" w:type="dxa"/>
          </w:tcPr>
          <w:p w14:paraId="6A232CBE" w14:textId="77777777" w:rsidR="002352D9" w:rsidRPr="007C28EC" w:rsidRDefault="002352D9" w:rsidP="002352D9">
            <w:pPr>
              <w:spacing w:line="360" w:lineRule="auto"/>
              <w:rPr>
                <w:rFonts w:ascii="Arial" w:hAnsi="Arial" w:cs="Arial"/>
                <w:sz w:val="24"/>
              </w:rPr>
            </w:pPr>
            <w:r w:rsidRPr="007C28EC">
              <w:rPr>
                <w:rFonts w:ascii="Arial" w:hAnsi="Arial" w:cs="Arial"/>
                <w:sz w:val="24"/>
              </w:rPr>
              <w:t>Project</w:t>
            </w:r>
          </w:p>
        </w:tc>
        <w:tc>
          <w:tcPr>
            <w:tcW w:w="2337" w:type="dxa"/>
          </w:tcPr>
          <w:p w14:paraId="6278596D" w14:textId="77777777" w:rsidR="002352D9" w:rsidRPr="007C28EC" w:rsidRDefault="002352D9" w:rsidP="002352D9">
            <w:pPr>
              <w:spacing w:line="360" w:lineRule="auto"/>
              <w:rPr>
                <w:rFonts w:ascii="Arial" w:hAnsi="Arial" w:cs="Arial"/>
                <w:sz w:val="24"/>
              </w:rPr>
            </w:pPr>
            <w:r w:rsidRPr="007C28EC">
              <w:rPr>
                <w:rFonts w:ascii="Arial" w:hAnsi="Arial" w:cs="Arial"/>
                <w:sz w:val="24"/>
              </w:rPr>
              <w:t>Avg. Annual Cash Inflow (£m)</w:t>
            </w:r>
          </w:p>
        </w:tc>
        <w:tc>
          <w:tcPr>
            <w:tcW w:w="2338" w:type="dxa"/>
          </w:tcPr>
          <w:p w14:paraId="3E0B93B9" w14:textId="77777777" w:rsidR="002352D9" w:rsidRPr="007C28EC" w:rsidRDefault="002352D9" w:rsidP="002352D9">
            <w:pPr>
              <w:spacing w:line="360" w:lineRule="auto"/>
              <w:rPr>
                <w:rFonts w:ascii="Arial" w:hAnsi="Arial" w:cs="Arial"/>
                <w:sz w:val="24"/>
              </w:rPr>
            </w:pPr>
            <w:r w:rsidRPr="007C28EC">
              <w:rPr>
                <w:rFonts w:ascii="Arial" w:hAnsi="Arial" w:cs="Arial"/>
                <w:sz w:val="24"/>
              </w:rPr>
              <w:t>Initial Investment (£m)</w:t>
            </w:r>
          </w:p>
        </w:tc>
        <w:tc>
          <w:tcPr>
            <w:tcW w:w="2338" w:type="dxa"/>
          </w:tcPr>
          <w:p w14:paraId="5D2EF3FA" w14:textId="77777777" w:rsidR="002352D9" w:rsidRPr="007C28EC" w:rsidRDefault="002352D9" w:rsidP="002352D9">
            <w:pPr>
              <w:spacing w:line="360" w:lineRule="auto"/>
              <w:rPr>
                <w:rFonts w:ascii="Arial" w:hAnsi="Arial" w:cs="Arial"/>
                <w:sz w:val="24"/>
              </w:rPr>
            </w:pPr>
            <w:r w:rsidRPr="007C28EC">
              <w:rPr>
                <w:rFonts w:ascii="Arial" w:hAnsi="Arial" w:cs="Arial"/>
                <w:sz w:val="24"/>
              </w:rPr>
              <w:t>ARR (%)</w:t>
            </w:r>
          </w:p>
        </w:tc>
      </w:tr>
      <w:tr w:rsidR="007C28EC" w:rsidRPr="007C28EC" w14:paraId="773E66E7" w14:textId="77777777" w:rsidTr="002352D9">
        <w:tc>
          <w:tcPr>
            <w:tcW w:w="2337" w:type="dxa"/>
          </w:tcPr>
          <w:p w14:paraId="14FE3B28" w14:textId="77777777" w:rsidR="002352D9" w:rsidRPr="007C28EC" w:rsidRDefault="002352D9" w:rsidP="002352D9">
            <w:pPr>
              <w:spacing w:line="360" w:lineRule="auto"/>
              <w:rPr>
                <w:rFonts w:ascii="Arial" w:hAnsi="Arial" w:cs="Arial"/>
                <w:sz w:val="24"/>
              </w:rPr>
            </w:pPr>
            <w:r w:rsidRPr="007C28EC">
              <w:rPr>
                <w:rFonts w:ascii="Arial" w:hAnsi="Arial" w:cs="Arial"/>
                <w:sz w:val="24"/>
              </w:rPr>
              <w:t>A</w:t>
            </w:r>
          </w:p>
        </w:tc>
        <w:tc>
          <w:tcPr>
            <w:tcW w:w="2337" w:type="dxa"/>
          </w:tcPr>
          <w:p w14:paraId="78301D68" w14:textId="77777777" w:rsidR="002352D9" w:rsidRPr="007C28EC" w:rsidRDefault="002352D9" w:rsidP="002352D9">
            <w:pPr>
              <w:spacing w:line="360" w:lineRule="auto"/>
              <w:rPr>
                <w:rFonts w:ascii="Arial" w:hAnsi="Arial" w:cs="Arial"/>
                <w:sz w:val="24"/>
              </w:rPr>
            </w:pPr>
            <w:r w:rsidRPr="007C28EC">
              <w:rPr>
                <w:rFonts w:ascii="Arial" w:hAnsi="Arial" w:cs="Arial"/>
                <w:sz w:val="24"/>
              </w:rPr>
              <w:t>10.8</w:t>
            </w:r>
          </w:p>
        </w:tc>
        <w:tc>
          <w:tcPr>
            <w:tcW w:w="2338" w:type="dxa"/>
          </w:tcPr>
          <w:p w14:paraId="68E5219B" w14:textId="77777777" w:rsidR="002352D9" w:rsidRPr="007C28EC" w:rsidRDefault="002352D9" w:rsidP="002352D9">
            <w:pPr>
              <w:spacing w:line="360" w:lineRule="auto"/>
              <w:rPr>
                <w:rFonts w:ascii="Arial" w:hAnsi="Arial" w:cs="Arial"/>
                <w:sz w:val="24"/>
              </w:rPr>
            </w:pPr>
            <w:r w:rsidRPr="007C28EC">
              <w:rPr>
                <w:rFonts w:ascii="Arial" w:hAnsi="Arial" w:cs="Arial"/>
                <w:sz w:val="24"/>
              </w:rPr>
              <w:t>40</w:t>
            </w:r>
          </w:p>
        </w:tc>
        <w:tc>
          <w:tcPr>
            <w:tcW w:w="2338" w:type="dxa"/>
          </w:tcPr>
          <w:p w14:paraId="394716B1" w14:textId="77777777" w:rsidR="002352D9" w:rsidRPr="007C28EC" w:rsidRDefault="002352D9" w:rsidP="002352D9">
            <w:pPr>
              <w:spacing w:line="360" w:lineRule="auto"/>
              <w:rPr>
                <w:rFonts w:ascii="Arial" w:hAnsi="Arial" w:cs="Arial"/>
                <w:sz w:val="24"/>
              </w:rPr>
            </w:pPr>
            <w:r w:rsidRPr="007C28EC">
              <w:rPr>
                <w:rFonts w:ascii="Arial" w:hAnsi="Arial" w:cs="Arial"/>
                <w:sz w:val="24"/>
              </w:rPr>
              <w:t>27</w:t>
            </w:r>
          </w:p>
        </w:tc>
      </w:tr>
      <w:tr w:rsidR="007C28EC" w:rsidRPr="007C28EC" w14:paraId="49BC7097" w14:textId="77777777" w:rsidTr="002352D9">
        <w:tc>
          <w:tcPr>
            <w:tcW w:w="2337" w:type="dxa"/>
          </w:tcPr>
          <w:p w14:paraId="2FFEAD9F" w14:textId="77777777" w:rsidR="002352D9" w:rsidRPr="007C28EC" w:rsidRDefault="002352D9" w:rsidP="002352D9">
            <w:pPr>
              <w:spacing w:line="360" w:lineRule="auto"/>
              <w:rPr>
                <w:rFonts w:ascii="Arial" w:hAnsi="Arial" w:cs="Arial"/>
                <w:sz w:val="24"/>
              </w:rPr>
            </w:pPr>
            <w:r w:rsidRPr="007C28EC">
              <w:rPr>
                <w:rFonts w:ascii="Arial" w:hAnsi="Arial" w:cs="Arial"/>
                <w:sz w:val="24"/>
              </w:rPr>
              <w:t>B</w:t>
            </w:r>
          </w:p>
        </w:tc>
        <w:tc>
          <w:tcPr>
            <w:tcW w:w="2337" w:type="dxa"/>
          </w:tcPr>
          <w:p w14:paraId="5857706C" w14:textId="77777777" w:rsidR="002352D9" w:rsidRPr="007C28EC" w:rsidRDefault="002352D9" w:rsidP="002352D9">
            <w:pPr>
              <w:spacing w:line="360" w:lineRule="auto"/>
              <w:rPr>
                <w:rFonts w:ascii="Arial" w:hAnsi="Arial" w:cs="Arial"/>
                <w:sz w:val="24"/>
              </w:rPr>
            </w:pPr>
            <w:r w:rsidRPr="007C28EC">
              <w:rPr>
                <w:rFonts w:ascii="Arial" w:hAnsi="Arial" w:cs="Arial"/>
                <w:sz w:val="24"/>
              </w:rPr>
              <w:t>6</w:t>
            </w:r>
          </w:p>
        </w:tc>
        <w:tc>
          <w:tcPr>
            <w:tcW w:w="2338" w:type="dxa"/>
          </w:tcPr>
          <w:p w14:paraId="2D80B9E6" w14:textId="77777777" w:rsidR="002352D9" w:rsidRPr="007C28EC" w:rsidRDefault="002352D9" w:rsidP="002352D9">
            <w:pPr>
              <w:spacing w:line="360" w:lineRule="auto"/>
              <w:rPr>
                <w:rFonts w:ascii="Arial" w:hAnsi="Arial" w:cs="Arial"/>
                <w:sz w:val="24"/>
              </w:rPr>
            </w:pPr>
            <w:r w:rsidRPr="007C28EC">
              <w:rPr>
                <w:rFonts w:ascii="Arial" w:hAnsi="Arial" w:cs="Arial"/>
                <w:sz w:val="24"/>
              </w:rPr>
              <w:t>30</w:t>
            </w:r>
          </w:p>
        </w:tc>
        <w:tc>
          <w:tcPr>
            <w:tcW w:w="2338" w:type="dxa"/>
          </w:tcPr>
          <w:p w14:paraId="3E687E27" w14:textId="77777777" w:rsidR="002352D9" w:rsidRPr="007C28EC" w:rsidRDefault="002352D9" w:rsidP="002352D9">
            <w:pPr>
              <w:spacing w:line="360" w:lineRule="auto"/>
              <w:rPr>
                <w:rFonts w:ascii="Arial" w:hAnsi="Arial" w:cs="Arial"/>
                <w:sz w:val="24"/>
              </w:rPr>
            </w:pPr>
            <w:r w:rsidRPr="007C28EC">
              <w:rPr>
                <w:rFonts w:ascii="Arial" w:hAnsi="Arial" w:cs="Arial"/>
                <w:sz w:val="24"/>
              </w:rPr>
              <w:t>20</w:t>
            </w:r>
          </w:p>
        </w:tc>
      </w:tr>
      <w:tr w:rsidR="007C28EC" w:rsidRPr="007C28EC" w14:paraId="1CC8A71F" w14:textId="77777777" w:rsidTr="002352D9">
        <w:tc>
          <w:tcPr>
            <w:tcW w:w="2337" w:type="dxa"/>
          </w:tcPr>
          <w:p w14:paraId="5D382333" w14:textId="77777777" w:rsidR="002352D9" w:rsidRPr="007C28EC" w:rsidRDefault="002352D9" w:rsidP="002352D9">
            <w:pPr>
              <w:spacing w:line="360" w:lineRule="auto"/>
              <w:rPr>
                <w:rFonts w:ascii="Arial" w:hAnsi="Arial" w:cs="Arial"/>
                <w:sz w:val="24"/>
              </w:rPr>
            </w:pPr>
            <w:r w:rsidRPr="007C28EC">
              <w:rPr>
                <w:rFonts w:ascii="Arial" w:hAnsi="Arial" w:cs="Arial"/>
                <w:sz w:val="24"/>
              </w:rPr>
              <w:t>C</w:t>
            </w:r>
          </w:p>
        </w:tc>
        <w:tc>
          <w:tcPr>
            <w:tcW w:w="2337" w:type="dxa"/>
          </w:tcPr>
          <w:p w14:paraId="4DAB4D45" w14:textId="77777777" w:rsidR="002352D9" w:rsidRPr="007C28EC" w:rsidRDefault="002352D9" w:rsidP="002352D9">
            <w:pPr>
              <w:spacing w:line="360" w:lineRule="auto"/>
              <w:rPr>
                <w:rFonts w:ascii="Arial" w:hAnsi="Arial" w:cs="Arial"/>
                <w:sz w:val="24"/>
              </w:rPr>
            </w:pPr>
            <w:r w:rsidRPr="007C28EC">
              <w:rPr>
                <w:rFonts w:ascii="Arial" w:hAnsi="Arial" w:cs="Arial"/>
                <w:sz w:val="24"/>
              </w:rPr>
              <w:t>15</w:t>
            </w:r>
          </w:p>
        </w:tc>
        <w:tc>
          <w:tcPr>
            <w:tcW w:w="2338" w:type="dxa"/>
          </w:tcPr>
          <w:p w14:paraId="3FC01F91" w14:textId="77777777" w:rsidR="002352D9" w:rsidRPr="007C28EC" w:rsidRDefault="002352D9" w:rsidP="002352D9">
            <w:pPr>
              <w:spacing w:line="360" w:lineRule="auto"/>
              <w:rPr>
                <w:rFonts w:ascii="Arial" w:hAnsi="Arial" w:cs="Arial"/>
                <w:sz w:val="24"/>
              </w:rPr>
            </w:pPr>
            <w:r w:rsidRPr="007C28EC">
              <w:rPr>
                <w:rFonts w:ascii="Arial" w:hAnsi="Arial" w:cs="Arial"/>
                <w:sz w:val="24"/>
              </w:rPr>
              <w:t>50</w:t>
            </w:r>
          </w:p>
        </w:tc>
        <w:tc>
          <w:tcPr>
            <w:tcW w:w="2338" w:type="dxa"/>
          </w:tcPr>
          <w:p w14:paraId="4887CCCD" w14:textId="77777777" w:rsidR="002352D9" w:rsidRPr="007C28EC" w:rsidRDefault="002352D9" w:rsidP="002352D9">
            <w:pPr>
              <w:spacing w:line="360" w:lineRule="auto"/>
              <w:rPr>
                <w:rFonts w:ascii="Arial" w:hAnsi="Arial" w:cs="Arial"/>
                <w:sz w:val="24"/>
              </w:rPr>
            </w:pPr>
            <w:r w:rsidRPr="007C28EC">
              <w:rPr>
                <w:rFonts w:ascii="Arial" w:hAnsi="Arial" w:cs="Arial"/>
                <w:sz w:val="24"/>
              </w:rPr>
              <w:t>30</w:t>
            </w:r>
          </w:p>
        </w:tc>
      </w:tr>
    </w:tbl>
    <w:p w14:paraId="58C01126" w14:textId="77777777" w:rsidR="003B255E" w:rsidRPr="007C28EC" w:rsidRDefault="003B255E" w:rsidP="003B255E">
      <w:pPr>
        <w:rPr>
          <w:rFonts w:ascii="Arial" w:hAnsi="Arial" w:cs="Arial"/>
        </w:rPr>
      </w:pPr>
    </w:p>
    <w:p w14:paraId="5B5EC42E" w14:textId="77777777" w:rsidR="003B255E" w:rsidRPr="001B45A1" w:rsidRDefault="003B255E" w:rsidP="003B255E">
      <w:pPr>
        <w:rPr>
          <w:rFonts w:ascii="Arial" w:hAnsi="Arial" w:cs="Arial"/>
          <w:b/>
        </w:rPr>
      </w:pPr>
      <w:r w:rsidRPr="007C28EC">
        <w:rPr>
          <w:rFonts w:ascii="Arial" w:hAnsi="Arial" w:cs="Arial"/>
          <w:b/>
        </w:rPr>
        <w:t>C.3 Net Present Value (NPV) &amp;</w:t>
      </w:r>
      <w:r w:rsidR="001B45A1">
        <w:rPr>
          <w:rFonts w:ascii="Arial" w:hAnsi="Arial" w:cs="Arial"/>
          <w:b/>
        </w:rPr>
        <w:t xml:space="preserve"> Profitability Index (PI)</w:t>
      </w:r>
    </w:p>
    <w:tbl>
      <w:tblPr>
        <w:tblStyle w:val="TableGrid"/>
        <w:tblW w:w="0" w:type="auto"/>
        <w:tblLook w:val="04A0" w:firstRow="1" w:lastRow="0" w:firstColumn="1" w:lastColumn="0" w:noHBand="0" w:noVBand="1"/>
      </w:tblPr>
      <w:tblGrid>
        <w:gridCol w:w="1870"/>
        <w:gridCol w:w="1870"/>
        <w:gridCol w:w="1870"/>
        <w:gridCol w:w="1870"/>
        <w:gridCol w:w="1870"/>
      </w:tblGrid>
      <w:tr w:rsidR="007C28EC" w:rsidRPr="007C28EC" w14:paraId="024DB826" w14:textId="77777777" w:rsidTr="00F37C96">
        <w:tc>
          <w:tcPr>
            <w:tcW w:w="1870" w:type="dxa"/>
          </w:tcPr>
          <w:p w14:paraId="5D990FB2" w14:textId="77777777" w:rsidR="00F37C96" w:rsidRPr="007C28EC" w:rsidRDefault="00F37C96" w:rsidP="00F37C96">
            <w:pPr>
              <w:spacing w:line="360" w:lineRule="auto"/>
              <w:rPr>
                <w:rFonts w:ascii="Arial" w:hAnsi="Arial" w:cs="Arial"/>
                <w:sz w:val="24"/>
              </w:rPr>
            </w:pPr>
            <w:r w:rsidRPr="007C28EC">
              <w:rPr>
                <w:rFonts w:ascii="Arial" w:hAnsi="Arial" w:cs="Arial"/>
                <w:sz w:val="24"/>
              </w:rPr>
              <w:t>Project</w:t>
            </w:r>
          </w:p>
        </w:tc>
        <w:tc>
          <w:tcPr>
            <w:tcW w:w="1870" w:type="dxa"/>
          </w:tcPr>
          <w:p w14:paraId="53FC0A96" w14:textId="77777777" w:rsidR="00F37C96" w:rsidRPr="007C28EC" w:rsidRDefault="00F37C96" w:rsidP="00F37C96">
            <w:pPr>
              <w:spacing w:line="360" w:lineRule="auto"/>
              <w:rPr>
                <w:rFonts w:ascii="Arial" w:hAnsi="Arial" w:cs="Arial"/>
                <w:sz w:val="24"/>
              </w:rPr>
            </w:pPr>
            <w:r w:rsidRPr="007C28EC">
              <w:rPr>
                <w:rFonts w:ascii="Arial" w:hAnsi="Arial" w:cs="Arial"/>
                <w:sz w:val="24"/>
              </w:rPr>
              <w:t>PV of Cash Inflows (£m)</w:t>
            </w:r>
          </w:p>
        </w:tc>
        <w:tc>
          <w:tcPr>
            <w:tcW w:w="1870" w:type="dxa"/>
          </w:tcPr>
          <w:p w14:paraId="072EFE0D" w14:textId="77777777" w:rsidR="00F37C96" w:rsidRPr="007C28EC" w:rsidRDefault="00F37C96" w:rsidP="00F37C96">
            <w:pPr>
              <w:spacing w:line="360" w:lineRule="auto"/>
              <w:rPr>
                <w:rFonts w:ascii="Arial" w:hAnsi="Arial" w:cs="Arial"/>
                <w:sz w:val="24"/>
              </w:rPr>
            </w:pPr>
            <w:r w:rsidRPr="007C28EC">
              <w:rPr>
                <w:rFonts w:ascii="Arial" w:hAnsi="Arial" w:cs="Arial"/>
                <w:sz w:val="24"/>
              </w:rPr>
              <w:t>Initial Investment (£m)</w:t>
            </w:r>
          </w:p>
        </w:tc>
        <w:tc>
          <w:tcPr>
            <w:tcW w:w="1870" w:type="dxa"/>
          </w:tcPr>
          <w:p w14:paraId="30D4FF3B" w14:textId="77777777" w:rsidR="00F37C96" w:rsidRPr="007C28EC" w:rsidRDefault="00F37C96" w:rsidP="00F37C96">
            <w:pPr>
              <w:spacing w:line="360" w:lineRule="auto"/>
              <w:rPr>
                <w:rFonts w:ascii="Arial" w:hAnsi="Arial" w:cs="Arial"/>
                <w:sz w:val="24"/>
              </w:rPr>
            </w:pPr>
            <w:r w:rsidRPr="007C28EC">
              <w:rPr>
                <w:rFonts w:ascii="Arial" w:hAnsi="Arial" w:cs="Arial"/>
                <w:sz w:val="24"/>
              </w:rPr>
              <w:t>NPV (£m)</w:t>
            </w:r>
          </w:p>
        </w:tc>
        <w:tc>
          <w:tcPr>
            <w:tcW w:w="1870" w:type="dxa"/>
          </w:tcPr>
          <w:p w14:paraId="76505159" w14:textId="77777777" w:rsidR="00F37C96" w:rsidRPr="007C28EC" w:rsidRDefault="00F37C96" w:rsidP="00F37C96">
            <w:pPr>
              <w:spacing w:line="360" w:lineRule="auto"/>
              <w:rPr>
                <w:rFonts w:ascii="Arial" w:hAnsi="Arial" w:cs="Arial"/>
                <w:sz w:val="24"/>
              </w:rPr>
            </w:pPr>
            <w:r w:rsidRPr="007C28EC">
              <w:rPr>
                <w:rFonts w:ascii="Arial" w:hAnsi="Arial" w:cs="Arial"/>
                <w:sz w:val="24"/>
              </w:rPr>
              <w:t>PI</w:t>
            </w:r>
          </w:p>
        </w:tc>
      </w:tr>
      <w:tr w:rsidR="007C28EC" w:rsidRPr="007C28EC" w14:paraId="7BC37A2C" w14:textId="77777777" w:rsidTr="00F37C96">
        <w:tc>
          <w:tcPr>
            <w:tcW w:w="1870" w:type="dxa"/>
          </w:tcPr>
          <w:p w14:paraId="7A9E442C" w14:textId="77777777" w:rsidR="00F37C96" w:rsidRPr="007C28EC" w:rsidRDefault="00F37C96" w:rsidP="00F37C96">
            <w:pPr>
              <w:spacing w:line="360" w:lineRule="auto"/>
              <w:rPr>
                <w:rFonts w:ascii="Arial" w:hAnsi="Arial" w:cs="Arial"/>
                <w:sz w:val="24"/>
              </w:rPr>
            </w:pPr>
            <w:r w:rsidRPr="007C28EC">
              <w:rPr>
                <w:rFonts w:ascii="Arial" w:hAnsi="Arial" w:cs="Arial"/>
                <w:sz w:val="24"/>
              </w:rPr>
              <w:t>A</w:t>
            </w:r>
          </w:p>
        </w:tc>
        <w:tc>
          <w:tcPr>
            <w:tcW w:w="1870" w:type="dxa"/>
          </w:tcPr>
          <w:p w14:paraId="24AA38EF" w14:textId="77777777" w:rsidR="00F37C96" w:rsidRPr="007C28EC" w:rsidRDefault="00F37C96" w:rsidP="00F37C96">
            <w:pPr>
              <w:spacing w:line="360" w:lineRule="auto"/>
              <w:rPr>
                <w:rFonts w:ascii="Arial" w:hAnsi="Arial" w:cs="Arial"/>
                <w:sz w:val="24"/>
              </w:rPr>
            </w:pPr>
            <w:r w:rsidRPr="007C28EC">
              <w:rPr>
                <w:rFonts w:ascii="Arial" w:hAnsi="Arial" w:cs="Arial"/>
                <w:sz w:val="24"/>
              </w:rPr>
              <w:t>41.33</w:t>
            </w:r>
          </w:p>
        </w:tc>
        <w:tc>
          <w:tcPr>
            <w:tcW w:w="1870" w:type="dxa"/>
          </w:tcPr>
          <w:p w14:paraId="3156F746" w14:textId="77777777" w:rsidR="00F37C96" w:rsidRPr="007C28EC" w:rsidRDefault="00F37C96" w:rsidP="00F37C96">
            <w:pPr>
              <w:spacing w:line="360" w:lineRule="auto"/>
              <w:rPr>
                <w:rFonts w:ascii="Arial" w:hAnsi="Arial" w:cs="Arial"/>
                <w:sz w:val="24"/>
              </w:rPr>
            </w:pPr>
            <w:r w:rsidRPr="007C28EC">
              <w:rPr>
                <w:rFonts w:ascii="Arial" w:hAnsi="Arial" w:cs="Arial"/>
                <w:sz w:val="24"/>
              </w:rPr>
              <w:t>40</w:t>
            </w:r>
          </w:p>
        </w:tc>
        <w:tc>
          <w:tcPr>
            <w:tcW w:w="1870" w:type="dxa"/>
          </w:tcPr>
          <w:p w14:paraId="70591916" w14:textId="77777777" w:rsidR="00F37C96" w:rsidRPr="007C28EC" w:rsidRDefault="00F37C96" w:rsidP="00F37C96">
            <w:pPr>
              <w:spacing w:line="360" w:lineRule="auto"/>
              <w:rPr>
                <w:rFonts w:ascii="Arial" w:hAnsi="Arial" w:cs="Arial"/>
                <w:sz w:val="24"/>
              </w:rPr>
            </w:pPr>
            <w:r w:rsidRPr="007C28EC">
              <w:rPr>
                <w:rFonts w:ascii="Arial" w:hAnsi="Arial" w:cs="Arial"/>
                <w:sz w:val="24"/>
              </w:rPr>
              <w:t>1.33</w:t>
            </w:r>
          </w:p>
        </w:tc>
        <w:tc>
          <w:tcPr>
            <w:tcW w:w="1870" w:type="dxa"/>
          </w:tcPr>
          <w:p w14:paraId="252446F9" w14:textId="77777777" w:rsidR="00F37C96" w:rsidRPr="007C28EC" w:rsidRDefault="00F37C96" w:rsidP="00F37C96">
            <w:pPr>
              <w:spacing w:line="360" w:lineRule="auto"/>
              <w:rPr>
                <w:rFonts w:ascii="Arial" w:hAnsi="Arial" w:cs="Arial"/>
                <w:sz w:val="24"/>
              </w:rPr>
            </w:pPr>
            <w:r w:rsidRPr="007C28EC">
              <w:rPr>
                <w:rFonts w:ascii="Arial" w:hAnsi="Arial" w:cs="Arial"/>
                <w:sz w:val="24"/>
              </w:rPr>
              <w:t>1.03</w:t>
            </w:r>
          </w:p>
        </w:tc>
      </w:tr>
      <w:tr w:rsidR="007C28EC" w:rsidRPr="007C28EC" w14:paraId="1693C973" w14:textId="77777777" w:rsidTr="00F37C96">
        <w:trPr>
          <w:trHeight w:val="519"/>
        </w:trPr>
        <w:tc>
          <w:tcPr>
            <w:tcW w:w="1870" w:type="dxa"/>
          </w:tcPr>
          <w:p w14:paraId="1532E146" w14:textId="77777777" w:rsidR="00F37C96" w:rsidRPr="007C28EC" w:rsidRDefault="00F37C96" w:rsidP="00F37C96">
            <w:pPr>
              <w:spacing w:line="360" w:lineRule="auto"/>
              <w:rPr>
                <w:rFonts w:ascii="Arial" w:hAnsi="Arial" w:cs="Arial"/>
                <w:sz w:val="24"/>
              </w:rPr>
            </w:pPr>
            <w:r w:rsidRPr="007C28EC">
              <w:rPr>
                <w:rFonts w:ascii="Arial" w:hAnsi="Arial" w:cs="Arial"/>
                <w:sz w:val="24"/>
              </w:rPr>
              <w:t>B</w:t>
            </w:r>
          </w:p>
        </w:tc>
        <w:tc>
          <w:tcPr>
            <w:tcW w:w="1870" w:type="dxa"/>
          </w:tcPr>
          <w:p w14:paraId="5BF8F47F" w14:textId="77777777" w:rsidR="00F37C96" w:rsidRPr="007C28EC" w:rsidRDefault="00F37C96" w:rsidP="00F37C96">
            <w:pPr>
              <w:spacing w:line="360" w:lineRule="auto"/>
              <w:rPr>
                <w:rFonts w:ascii="Arial" w:hAnsi="Arial" w:cs="Arial"/>
                <w:sz w:val="24"/>
              </w:rPr>
            </w:pPr>
            <w:r w:rsidRPr="007C28EC">
              <w:rPr>
                <w:rFonts w:ascii="Arial" w:hAnsi="Arial" w:cs="Arial"/>
                <w:sz w:val="24"/>
              </w:rPr>
              <w:t>22.75</w:t>
            </w:r>
          </w:p>
        </w:tc>
        <w:tc>
          <w:tcPr>
            <w:tcW w:w="1870" w:type="dxa"/>
          </w:tcPr>
          <w:p w14:paraId="78C8A392" w14:textId="77777777" w:rsidR="00F37C96" w:rsidRPr="007C28EC" w:rsidRDefault="00F37C96" w:rsidP="00F37C96">
            <w:pPr>
              <w:spacing w:line="360" w:lineRule="auto"/>
              <w:rPr>
                <w:rFonts w:ascii="Arial" w:hAnsi="Arial" w:cs="Arial"/>
                <w:sz w:val="24"/>
              </w:rPr>
            </w:pPr>
            <w:r w:rsidRPr="007C28EC">
              <w:rPr>
                <w:rFonts w:ascii="Arial" w:hAnsi="Arial" w:cs="Arial"/>
                <w:sz w:val="24"/>
              </w:rPr>
              <w:t>30</w:t>
            </w:r>
          </w:p>
        </w:tc>
        <w:tc>
          <w:tcPr>
            <w:tcW w:w="1870" w:type="dxa"/>
          </w:tcPr>
          <w:p w14:paraId="44380669" w14:textId="77777777" w:rsidR="00F37C96" w:rsidRPr="007C28EC" w:rsidRDefault="00F37C96" w:rsidP="00F37C96">
            <w:pPr>
              <w:spacing w:line="360" w:lineRule="auto"/>
              <w:rPr>
                <w:rFonts w:ascii="Arial" w:hAnsi="Arial" w:cs="Arial"/>
                <w:sz w:val="24"/>
              </w:rPr>
            </w:pPr>
            <w:r w:rsidRPr="007C28EC">
              <w:rPr>
                <w:rFonts w:ascii="Arial" w:hAnsi="Arial" w:cs="Arial"/>
                <w:sz w:val="24"/>
              </w:rPr>
              <w:t>-7.25</w:t>
            </w:r>
          </w:p>
        </w:tc>
        <w:tc>
          <w:tcPr>
            <w:tcW w:w="1870" w:type="dxa"/>
          </w:tcPr>
          <w:p w14:paraId="345AB30D" w14:textId="77777777" w:rsidR="00F37C96" w:rsidRPr="007C28EC" w:rsidRDefault="00F37C96" w:rsidP="00F37C96">
            <w:pPr>
              <w:spacing w:line="360" w:lineRule="auto"/>
              <w:rPr>
                <w:rFonts w:ascii="Arial" w:hAnsi="Arial" w:cs="Arial"/>
                <w:sz w:val="24"/>
              </w:rPr>
            </w:pPr>
            <w:r w:rsidRPr="007C28EC">
              <w:rPr>
                <w:rFonts w:ascii="Arial" w:hAnsi="Arial" w:cs="Arial"/>
                <w:sz w:val="24"/>
              </w:rPr>
              <w:t>0.76</w:t>
            </w:r>
          </w:p>
        </w:tc>
      </w:tr>
      <w:tr w:rsidR="007C28EC" w:rsidRPr="007C28EC" w14:paraId="3E065C75" w14:textId="77777777" w:rsidTr="00F37C96">
        <w:tc>
          <w:tcPr>
            <w:tcW w:w="1870" w:type="dxa"/>
          </w:tcPr>
          <w:p w14:paraId="3EA3FE72" w14:textId="77777777" w:rsidR="00F37C96" w:rsidRPr="007C28EC" w:rsidRDefault="00F37C96" w:rsidP="00F37C96">
            <w:pPr>
              <w:spacing w:line="360" w:lineRule="auto"/>
              <w:rPr>
                <w:rFonts w:ascii="Arial" w:hAnsi="Arial" w:cs="Arial"/>
                <w:sz w:val="24"/>
              </w:rPr>
            </w:pPr>
            <w:r w:rsidRPr="007C28EC">
              <w:rPr>
                <w:rFonts w:ascii="Arial" w:hAnsi="Arial" w:cs="Arial"/>
                <w:sz w:val="24"/>
              </w:rPr>
              <w:t>C</w:t>
            </w:r>
          </w:p>
        </w:tc>
        <w:tc>
          <w:tcPr>
            <w:tcW w:w="1870" w:type="dxa"/>
          </w:tcPr>
          <w:p w14:paraId="346521B3" w14:textId="77777777" w:rsidR="00F37C96" w:rsidRPr="007C28EC" w:rsidRDefault="00F37C96" w:rsidP="00F37C96">
            <w:pPr>
              <w:spacing w:line="360" w:lineRule="auto"/>
              <w:rPr>
                <w:rFonts w:ascii="Arial" w:hAnsi="Arial" w:cs="Arial"/>
                <w:sz w:val="24"/>
              </w:rPr>
            </w:pPr>
            <w:r w:rsidRPr="007C28EC">
              <w:rPr>
                <w:rFonts w:ascii="Arial" w:hAnsi="Arial" w:cs="Arial"/>
                <w:sz w:val="24"/>
              </w:rPr>
              <w:t>54.24</w:t>
            </w:r>
          </w:p>
        </w:tc>
        <w:tc>
          <w:tcPr>
            <w:tcW w:w="1870" w:type="dxa"/>
          </w:tcPr>
          <w:p w14:paraId="26CA920B" w14:textId="77777777" w:rsidR="00F37C96" w:rsidRPr="007C28EC" w:rsidRDefault="00F37C96" w:rsidP="00F37C96">
            <w:pPr>
              <w:spacing w:line="360" w:lineRule="auto"/>
              <w:rPr>
                <w:rFonts w:ascii="Arial" w:hAnsi="Arial" w:cs="Arial"/>
                <w:sz w:val="24"/>
              </w:rPr>
            </w:pPr>
            <w:r w:rsidRPr="007C28EC">
              <w:rPr>
                <w:rFonts w:ascii="Arial" w:hAnsi="Arial" w:cs="Arial"/>
                <w:sz w:val="24"/>
              </w:rPr>
              <w:t>50</w:t>
            </w:r>
          </w:p>
        </w:tc>
        <w:tc>
          <w:tcPr>
            <w:tcW w:w="1870" w:type="dxa"/>
          </w:tcPr>
          <w:p w14:paraId="44516472" w14:textId="77777777" w:rsidR="00F37C96" w:rsidRPr="007C28EC" w:rsidRDefault="00F37C96" w:rsidP="00F37C96">
            <w:pPr>
              <w:spacing w:line="360" w:lineRule="auto"/>
              <w:rPr>
                <w:rFonts w:ascii="Arial" w:hAnsi="Arial" w:cs="Arial"/>
                <w:sz w:val="24"/>
              </w:rPr>
            </w:pPr>
            <w:r w:rsidRPr="007C28EC">
              <w:rPr>
                <w:rFonts w:ascii="Arial" w:hAnsi="Arial" w:cs="Arial"/>
                <w:sz w:val="24"/>
              </w:rPr>
              <w:t>4.24</w:t>
            </w:r>
          </w:p>
        </w:tc>
        <w:tc>
          <w:tcPr>
            <w:tcW w:w="1870" w:type="dxa"/>
          </w:tcPr>
          <w:p w14:paraId="018748F4" w14:textId="77777777" w:rsidR="00F37C96" w:rsidRPr="007C28EC" w:rsidRDefault="00F37C96" w:rsidP="00F37C96">
            <w:pPr>
              <w:spacing w:line="360" w:lineRule="auto"/>
              <w:rPr>
                <w:rFonts w:ascii="Arial" w:hAnsi="Arial" w:cs="Arial"/>
                <w:sz w:val="24"/>
              </w:rPr>
            </w:pPr>
            <w:r w:rsidRPr="007C28EC">
              <w:rPr>
                <w:rFonts w:ascii="Arial" w:hAnsi="Arial" w:cs="Arial"/>
                <w:sz w:val="24"/>
              </w:rPr>
              <w:t>1.08</w:t>
            </w:r>
          </w:p>
        </w:tc>
      </w:tr>
    </w:tbl>
    <w:p w14:paraId="1515C79A" w14:textId="77777777" w:rsidR="003B255E" w:rsidRPr="007C28EC" w:rsidRDefault="003B255E" w:rsidP="003B255E">
      <w:pPr>
        <w:rPr>
          <w:rFonts w:ascii="Arial" w:hAnsi="Arial" w:cs="Arial"/>
        </w:rPr>
      </w:pPr>
    </w:p>
    <w:p w14:paraId="7F972EBE" w14:textId="77777777" w:rsidR="003B255E" w:rsidRPr="001B45A1" w:rsidRDefault="003B255E" w:rsidP="003B255E">
      <w:pPr>
        <w:rPr>
          <w:rFonts w:ascii="Arial" w:hAnsi="Arial" w:cs="Arial"/>
          <w:b/>
        </w:rPr>
      </w:pPr>
      <w:r w:rsidRPr="007C28EC">
        <w:rPr>
          <w:rFonts w:ascii="Arial" w:hAnsi="Arial" w:cs="Arial"/>
          <w:b/>
        </w:rPr>
        <w:t>C.</w:t>
      </w:r>
      <w:r w:rsidR="001B45A1">
        <w:rPr>
          <w:rFonts w:ascii="Arial" w:hAnsi="Arial" w:cs="Arial"/>
          <w:b/>
        </w:rPr>
        <w:t>4 Internal Rate of Return (IRR)</w:t>
      </w:r>
    </w:p>
    <w:tbl>
      <w:tblPr>
        <w:tblStyle w:val="TableGrid"/>
        <w:tblW w:w="0" w:type="auto"/>
        <w:tblLook w:val="04A0" w:firstRow="1" w:lastRow="0" w:firstColumn="1" w:lastColumn="0" w:noHBand="0" w:noVBand="1"/>
      </w:tblPr>
      <w:tblGrid>
        <w:gridCol w:w="4675"/>
        <w:gridCol w:w="4675"/>
      </w:tblGrid>
      <w:tr w:rsidR="007C28EC" w:rsidRPr="007C28EC" w14:paraId="7837645A" w14:textId="77777777" w:rsidTr="00F37C96">
        <w:tc>
          <w:tcPr>
            <w:tcW w:w="4675" w:type="dxa"/>
          </w:tcPr>
          <w:p w14:paraId="65E91A05" w14:textId="77777777" w:rsidR="00F37C96" w:rsidRPr="007C28EC" w:rsidRDefault="00F37C96" w:rsidP="00F37C96">
            <w:pPr>
              <w:spacing w:line="360" w:lineRule="auto"/>
              <w:rPr>
                <w:rFonts w:ascii="Arial" w:hAnsi="Arial" w:cs="Arial"/>
                <w:sz w:val="24"/>
              </w:rPr>
            </w:pPr>
            <w:r w:rsidRPr="007C28EC">
              <w:rPr>
                <w:rFonts w:ascii="Arial" w:hAnsi="Arial" w:cs="Arial"/>
                <w:sz w:val="24"/>
              </w:rPr>
              <w:t>Project</w:t>
            </w:r>
          </w:p>
        </w:tc>
        <w:tc>
          <w:tcPr>
            <w:tcW w:w="4675" w:type="dxa"/>
          </w:tcPr>
          <w:p w14:paraId="3A981A58" w14:textId="77777777" w:rsidR="00F37C96" w:rsidRPr="007C28EC" w:rsidRDefault="00F37C96" w:rsidP="00F37C96">
            <w:pPr>
              <w:spacing w:line="360" w:lineRule="auto"/>
              <w:rPr>
                <w:rFonts w:ascii="Arial" w:hAnsi="Arial" w:cs="Arial"/>
                <w:sz w:val="24"/>
              </w:rPr>
            </w:pPr>
            <w:r w:rsidRPr="007C28EC">
              <w:rPr>
                <w:rFonts w:ascii="Arial" w:hAnsi="Arial" w:cs="Arial"/>
                <w:sz w:val="24"/>
              </w:rPr>
              <w:t>IRR (%)</w:t>
            </w:r>
          </w:p>
        </w:tc>
      </w:tr>
      <w:tr w:rsidR="007C28EC" w:rsidRPr="007C28EC" w14:paraId="3F4E2F0D" w14:textId="77777777" w:rsidTr="00F37C96">
        <w:tc>
          <w:tcPr>
            <w:tcW w:w="4675" w:type="dxa"/>
          </w:tcPr>
          <w:p w14:paraId="0011CE5B" w14:textId="77777777" w:rsidR="00F37C96" w:rsidRPr="007C28EC" w:rsidRDefault="00F37C96" w:rsidP="00F37C96">
            <w:pPr>
              <w:spacing w:line="360" w:lineRule="auto"/>
              <w:rPr>
                <w:rFonts w:ascii="Arial" w:hAnsi="Arial" w:cs="Arial"/>
                <w:sz w:val="24"/>
              </w:rPr>
            </w:pPr>
            <w:r w:rsidRPr="007C28EC">
              <w:rPr>
                <w:rFonts w:ascii="Arial" w:hAnsi="Arial" w:cs="Arial"/>
                <w:sz w:val="24"/>
              </w:rPr>
              <w:t>A</w:t>
            </w:r>
          </w:p>
        </w:tc>
        <w:tc>
          <w:tcPr>
            <w:tcW w:w="4675" w:type="dxa"/>
          </w:tcPr>
          <w:p w14:paraId="46261DB3" w14:textId="77777777" w:rsidR="00F37C96" w:rsidRPr="007C28EC" w:rsidRDefault="00F37C96" w:rsidP="00F37C96">
            <w:pPr>
              <w:spacing w:line="360" w:lineRule="auto"/>
              <w:rPr>
                <w:rFonts w:ascii="Arial" w:hAnsi="Arial" w:cs="Arial"/>
                <w:sz w:val="24"/>
              </w:rPr>
            </w:pPr>
            <w:r w:rsidRPr="007C28EC">
              <w:rPr>
                <w:rFonts w:ascii="Arial" w:hAnsi="Arial" w:cs="Arial"/>
                <w:sz w:val="24"/>
              </w:rPr>
              <w:t>11</w:t>
            </w:r>
          </w:p>
        </w:tc>
      </w:tr>
      <w:tr w:rsidR="007C28EC" w:rsidRPr="007C28EC" w14:paraId="34B27E96" w14:textId="77777777" w:rsidTr="00F37C96">
        <w:tc>
          <w:tcPr>
            <w:tcW w:w="4675" w:type="dxa"/>
          </w:tcPr>
          <w:p w14:paraId="356FD0BA" w14:textId="77777777" w:rsidR="00F37C96" w:rsidRPr="007C28EC" w:rsidRDefault="00F37C96" w:rsidP="00F37C96">
            <w:pPr>
              <w:spacing w:line="360" w:lineRule="auto"/>
              <w:rPr>
                <w:rFonts w:ascii="Arial" w:hAnsi="Arial" w:cs="Arial"/>
                <w:sz w:val="24"/>
              </w:rPr>
            </w:pPr>
            <w:r w:rsidRPr="007C28EC">
              <w:rPr>
                <w:rFonts w:ascii="Arial" w:hAnsi="Arial" w:cs="Arial"/>
                <w:sz w:val="24"/>
              </w:rPr>
              <w:t>B</w:t>
            </w:r>
          </w:p>
        </w:tc>
        <w:tc>
          <w:tcPr>
            <w:tcW w:w="4675" w:type="dxa"/>
          </w:tcPr>
          <w:p w14:paraId="1DA74298" w14:textId="77777777" w:rsidR="00F37C96" w:rsidRPr="007C28EC" w:rsidRDefault="00F37C96" w:rsidP="00F37C96">
            <w:pPr>
              <w:spacing w:line="360" w:lineRule="auto"/>
              <w:rPr>
                <w:rFonts w:ascii="Arial" w:hAnsi="Arial" w:cs="Arial"/>
                <w:sz w:val="24"/>
              </w:rPr>
            </w:pPr>
            <w:r w:rsidRPr="007C28EC">
              <w:rPr>
                <w:rFonts w:ascii="Arial" w:hAnsi="Arial" w:cs="Arial"/>
                <w:sz w:val="24"/>
              </w:rPr>
              <w:t>6</w:t>
            </w:r>
          </w:p>
        </w:tc>
      </w:tr>
      <w:tr w:rsidR="007C28EC" w:rsidRPr="007C28EC" w14:paraId="02E3EDD9" w14:textId="77777777" w:rsidTr="00F37C96">
        <w:tc>
          <w:tcPr>
            <w:tcW w:w="4675" w:type="dxa"/>
          </w:tcPr>
          <w:p w14:paraId="3EAF1144" w14:textId="77777777" w:rsidR="00F37C96" w:rsidRPr="007C28EC" w:rsidRDefault="00F37C96" w:rsidP="00F37C96">
            <w:pPr>
              <w:spacing w:line="360" w:lineRule="auto"/>
              <w:rPr>
                <w:rFonts w:ascii="Arial" w:hAnsi="Arial" w:cs="Arial"/>
                <w:sz w:val="24"/>
              </w:rPr>
            </w:pPr>
            <w:r w:rsidRPr="007C28EC">
              <w:rPr>
                <w:rFonts w:ascii="Arial" w:hAnsi="Arial" w:cs="Arial"/>
                <w:sz w:val="24"/>
              </w:rPr>
              <w:t>C</w:t>
            </w:r>
          </w:p>
        </w:tc>
        <w:tc>
          <w:tcPr>
            <w:tcW w:w="4675" w:type="dxa"/>
          </w:tcPr>
          <w:p w14:paraId="5D363033" w14:textId="77777777" w:rsidR="00F37C96" w:rsidRPr="007C28EC" w:rsidRDefault="00F37C96" w:rsidP="00F37C96">
            <w:pPr>
              <w:spacing w:line="360" w:lineRule="auto"/>
              <w:rPr>
                <w:rFonts w:ascii="Arial" w:hAnsi="Arial" w:cs="Arial"/>
                <w:sz w:val="24"/>
              </w:rPr>
            </w:pPr>
            <w:r w:rsidRPr="007C28EC">
              <w:rPr>
                <w:rFonts w:ascii="Arial" w:hAnsi="Arial" w:cs="Arial"/>
                <w:sz w:val="24"/>
              </w:rPr>
              <w:t>13</w:t>
            </w:r>
          </w:p>
        </w:tc>
      </w:tr>
    </w:tbl>
    <w:p w14:paraId="7D283EB9" w14:textId="77777777" w:rsidR="001B45A1" w:rsidRDefault="001B45A1" w:rsidP="006B6D83">
      <w:pPr>
        <w:spacing w:beforeAutospacing="1" w:after="100" w:afterAutospacing="1" w:line="240" w:lineRule="auto"/>
        <w:rPr>
          <w:rFonts w:ascii="Arial" w:eastAsia="Times New Roman" w:hAnsi="Arial" w:cs="Arial"/>
          <w:b/>
          <w:sz w:val="24"/>
          <w:szCs w:val="24"/>
          <w:lang w:eastAsia="en-GB"/>
        </w:rPr>
      </w:pPr>
    </w:p>
    <w:p w14:paraId="0BFB3573" w14:textId="77777777" w:rsidR="006B6D83" w:rsidRPr="007C28EC" w:rsidRDefault="002054F6" w:rsidP="006B6D83">
      <w:pPr>
        <w:spacing w:beforeAutospacing="1" w:after="100" w:afterAutospacing="1" w:line="240" w:lineRule="auto"/>
        <w:rPr>
          <w:rFonts w:ascii="Arial" w:eastAsia="Times New Roman" w:hAnsi="Arial" w:cs="Arial"/>
          <w:b/>
          <w:sz w:val="24"/>
          <w:szCs w:val="24"/>
          <w:lang w:eastAsia="en-GB"/>
        </w:rPr>
      </w:pPr>
      <w:r w:rsidRPr="007C28EC">
        <w:rPr>
          <w:rFonts w:ascii="Arial" w:eastAsia="Times New Roman" w:hAnsi="Arial" w:cs="Arial"/>
          <w:b/>
          <w:sz w:val="24"/>
          <w:szCs w:val="24"/>
          <w:lang w:eastAsia="en-GB"/>
        </w:rPr>
        <w:t>Project A</w:t>
      </w:r>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09057192" w14:textId="77777777" w:rsidTr="006B6D83">
        <w:tc>
          <w:tcPr>
            <w:tcW w:w="2337" w:type="dxa"/>
          </w:tcPr>
          <w:p w14:paraId="3F3E38F2" w14:textId="77777777" w:rsidR="006B6D83" w:rsidRPr="007C28EC" w:rsidRDefault="006B6D83" w:rsidP="00037DCA">
            <w:pPr>
              <w:spacing w:beforeAutospacing="1" w:after="100" w:afterAutospacing="1"/>
              <w:rPr>
                <w:rFonts w:ascii="Arial" w:eastAsia="Times New Roman" w:hAnsi="Arial" w:cs="Arial"/>
                <w:b/>
                <w:sz w:val="24"/>
                <w:szCs w:val="24"/>
                <w:lang w:eastAsia="en-GB"/>
              </w:rPr>
            </w:pPr>
            <w:r w:rsidRPr="007C28EC">
              <w:rPr>
                <w:rFonts w:ascii="Arial" w:eastAsia="Times New Roman" w:hAnsi="Arial" w:cs="Arial"/>
                <w:b/>
                <w:sz w:val="24"/>
                <w:szCs w:val="24"/>
                <w:lang w:eastAsia="en-GB"/>
              </w:rPr>
              <w:t>Year</w:t>
            </w:r>
          </w:p>
        </w:tc>
        <w:tc>
          <w:tcPr>
            <w:tcW w:w="2337" w:type="dxa"/>
          </w:tcPr>
          <w:p w14:paraId="511B7048" w14:textId="77777777" w:rsidR="006B6D83" w:rsidRPr="007C28EC" w:rsidRDefault="006B6D83" w:rsidP="00037DCA">
            <w:pPr>
              <w:spacing w:beforeAutospacing="1" w:after="100" w:afterAutospacing="1"/>
              <w:rPr>
                <w:rFonts w:ascii="Arial" w:eastAsia="Times New Roman" w:hAnsi="Arial" w:cs="Arial"/>
                <w:b/>
                <w:sz w:val="24"/>
                <w:szCs w:val="24"/>
                <w:lang w:eastAsia="en-GB"/>
              </w:rPr>
            </w:pPr>
            <w:r w:rsidRPr="007C28EC">
              <w:rPr>
                <w:rFonts w:ascii="Arial" w:eastAsia="Times New Roman" w:hAnsi="Arial" w:cs="Arial"/>
                <w:b/>
                <w:sz w:val="24"/>
                <w:szCs w:val="24"/>
                <w:lang w:eastAsia="en-GB"/>
              </w:rPr>
              <w:t>Cash Inflow (£m)</w:t>
            </w:r>
          </w:p>
        </w:tc>
        <w:tc>
          <w:tcPr>
            <w:tcW w:w="2338" w:type="dxa"/>
          </w:tcPr>
          <w:p w14:paraId="24AF683A" w14:textId="77777777" w:rsidR="006B6D83" w:rsidRPr="007C28EC" w:rsidRDefault="006B6D83" w:rsidP="00037DCA">
            <w:pPr>
              <w:spacing w:beforeAutospacing="1" w:after="100" w:afterAutospacing="1"/>
              <w:rPr>
                <w:rFonts w:ascii="Arial" w:eastAsia="Times New Roman" w:hAnsi="Arial" w:cs="Arial"/>
                <w:b/>
                <w:sz w:val="24"/>
                <w:szCs w:val="24"/>
                <w:lang w:eastAsia="en-GB"/>
              </w:rPr>
            </w:pPr>
            <w:r w:rsidRPr="007C28EC">
              <w:rPr>
                <w:rFonts w:ascii="Arial" w:eastAsia="Times New Roman" w:hAnsi="Arial" w:cs="Arial"/>
                <w:b/>
                <w:sz w:val="24"/>
                <w:szCs w:val="24"/>
                <w:lang w:eastAsia="en-GB"/>
              </w:rPr>
              <w:t>PV Factor @10%</w:t>
            </w:r>
          </w:p>
        </w:tc>
        <w:tc>
          <w:tcPr>
            <w:tcW w:w="2338" w:type="dxa"/>
          </w:tcPr>
          <w:p w14:paraId="783E4C63" w14:textId="77777777" w:rsidR="006B6D83" w:rsidRPr="007C28EC" w:rsidRDefault="006B6D83" w:rsidP="00037DCA">
            <w:pPr>
              <w:spacing w:beforeAutospacing="1" w:after="100" w:afterAutospacing="1"/>
              <w:rPr>
                <w:rFonts w:ascii="Arial" w:eastAsia="Times New Roman" w:hAnsi="Arial" w:cs="Arial"/>
                <w:b/>
                <w:sz w:val="24"/>
                <w:szCs w:val="24"/>
                <w:lang w:eastAsia="en-GB"/>
              </w:rPr>
            </w:pPr>
            <w:r w:rsidRPr="007C28EC">
              <w:rPr>
                <w:rFonts w:ascii="Arial" w:eastAsia="Times New Roman" w:hAnsi="Arial" w:cs="Arial"/>
                <w:b/>
                <w:sz w:val="24"/>
                <w:szCs w:val="24"/>
                <w:lang w:eastAsia="en-GB"/>
              </w:rPr>
              <w:t>Discounted Cash Flow (£m)</w:t>
            </w:r>
          </w:p>
        </w:tc>
      </w:tr>
      <w:tr w:rsidR="007C28EC" w:rsidRPr="007C28EC" w14:paraId="7EE711EE" w14:textId="77777777" w:rsidTr="006B6D83">
        <w:tc>
          <w:tcPr>
            <w:tcW w:w="2337" w:type="dxa"/>
          </w:tcPr>
          <w:p w14:paraId="30E2AE67"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1</w:t>
            </w:r>
          </w:p>
        </w:tc>
        <w:tc>
          <w:tcPr>
            <w:tcW w:w="2337" w:type="dxa"/>
          </w:tcPr>
          <w:p w14:paraId="03498063"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10</w:t>
            </w:r>
          </w:p>
        </w:tc>
        <w:tc>
          <w:tcPr>
            <w:tcW w:w="2338" w:type="dxa"/>
          </w:tcPr>
          <w:p w14:paraId="35CEF6B6"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0.909</w:t>
            </w:r>
          </w:p>
        </w:tc>
        <w:tc>
          <w:tcPr>
            <w:tcW w:w="2338" w:type="dxa"/>
          </w:tcPr>
          <w:p w14:paraId="5FDB660E"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9.09</w:t>
            </w:r>
          </w:p>
        </w:tc>
      </w:tr>
      <w:tr w:rsidR="007C28EC" w:rsidRPr="007C28EC" w14:paraId="03AEBC88" w14:textId="77777777" w:rsidTr="006B6D83">
        <w:tc>
          <w:tcPr>
            <w:tcW w:w="2337" w:type="dxa"/>
          </w:tcPr>
          <w:p w14:paraId="01A7D86B"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2</w:t>
            </w:r>
          </w:p>
        </w:tc>
        <w:tc>
          <w:tcPr>
            <w:tcW w:w="2337" w:type="dxa"/>
          </w:tcPr>
          <w:p w14:paraId="1F262537"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12</w:t>
            </w:r>
          </w:p>
        </w:tc>
        <w:tc>
          <w:tcPr>
            <w:tcW w:w="2338" w:type="dxa"/>
          </w:tcPr>
          <w:p w14:paraId="156E6622"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0.826</w:t>
            </w:r>
          </w:p>
        </w:tc>
        <w:tc>
          <w:tcPr>
            <w:tcW w:w="2338" w:type="dxa"/>
          </w:tcPr>
          <w:p w14:paraId="4750D957"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9.92</w:t>
            </w:r>
          </w:p>
        </w:tc>
      </w:tr>
      <w:tr w:rsidR="007C28EC" w:rsidRPr="007C28EC" w14:paraId="522218A1" w14:textId="77777777" w:rsidTr="006B6D83">
        <w:tc>
          <w:tcPr>
            <w:tcW w:w="2337" w:type="dxa"/>
          </w:tcPr>
          <w:p w14:paraId="61836813"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3</w:t>
            </w:r>
          </w:p>
        </w:tc>
        <w:tc>
          <w:tcPr>
            <w:tcW w:w="2337" w:type="dxa"/>
          </w:tcPr>
          <w:p w14:paraId="093C835D"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14</w:t>
            </w:r>
          </w:p>
        </w:tc>
        <w:tc>
          <w:tcPr>
            <w:tcW w:w="2338" w:type="dxa"/>
          </w:tcPr>
          <w:p w14:paraId="71882DD2"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0.751</w:t>
            </w:r>
          </w:p>
        </w:tc>
        <w:tc>
          <w:tcPr>
            <w:tcW w:w="2338" w:type="dxa"/>
          </w:tcPr>
          <w:p w14:paraId="1052C37C"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10.51</w:t>
            </w:r>
          </w:p>
        </w:tc>
      </w:tr>
      <w:tr w:rsidR="007C28EC" w:rsidRPr="007C28EC" w14:paraId="6626BCD0" w14:textId="77777777" w:rsidTr="006B6D83">
        <w:tc>
          <w:tcPr>
            <w:tcW w:w="2337" w:type="dxa"/>
          </w:tcPr>
          <w:p w14:paraId="0117B541"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4</w:t>
            </w:r>
          </w:p>
        </w:tc>
        <w:tc>
          <w:tcPr>
            <w:tcW w:w="2337" w:type="dxa"/>
          </w:tcPr>
          <w:p w14:paraId="05912D26"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10</w:t>
            </w:r>
          </w:p>
        </w:tc>
        <w:tc>
          <w:tcPr>
            <w:tcW w:w="2338" w:type="dxa"/>
          </w:tcPr>
          <w:p w14:paraId="2D7DB691"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0.683</w:t>
            </w:r>
          </w:p>
        </w:tc>
        <w:tc>
          <w:tcPr>
            <w:tcW w:w="2338" w:type="dxa"/>
          </w:tcPr>
          <w:p w14:paraId="4AD19AA6"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6.83</w:t>
            </w:r>
          </w:p>
        </w:tc>
      </w:tr>
      <w:tr w:rsidR="007C28EC" w:rsidRPr="007C28EC" w14:paraId="2BEC11A1" w14:textId="77777777" w:rsidTr="006B6D83">
        <w:tc>
          <w:tcPr>
            <w:tcW w:w="2337" w:type="dxa"/>
          </w:tcPr>
          <w:p w14:paraId="77266C5F"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5</w:t>
            </w:r>
          </w:p>
        </w:tc>
        <w:tc>
          <w:tcPr>
            <w:tcW w:w="2337" w:type="dxa"/>
          </w:tcPr>
          <w:p w14:paraId="18187F89"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8</w:t>
            </w:r>
          </w:p>
        </w:tc>
        <w:tc>
          <w:tcPr>
            <w:tcW w:w="2338" w:type="dxa"/>
          </w:tcPr>
          <w:p w14:paraId="7EE16A61"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0.621</w:t>
            </w:r>
          </w:p>
        </w:tc>
        <w:tc>
          <w:tcPr>
            <w:tcW w:w="2338" w:type="dxa"/>
          </w:tcPr>
          <w:p w14:paraId="28BB139C"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4.97</w:t>
            </w:r>
          </w:p>
        </w:tc>
      </w:tr>
      <w:tr w:rsidR="007C28EC" w:rsidRPr="007C28EC" w14:paraId="04EDC71F" w14:textId="77777777" w:rsidTr="006B6D83">
        <w:tc>
          <w:tcPr>
            <w:tcW w:w="2337" w:type="dxa"/>
          </w:tcPr>
          <w:p w14:paraId="1A6D0BAE"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Total PV</w:t>
            </w:r>
          </w:p>
        </w:tc>
        <w:tc>
          <w:tcPr>
            <w:tcW w:w="2337" w:type="dxa"/>
          </w:tcPr>
          <w:p w14:paraId="6465E2E8"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w:t>
            </w:r>
          </w:p>
        </w:tc>
        <w:tc>
          <w:tcPr>
            <w:tcW w:w="2338" w:type="dxa"/>
          </w:tcPr>
          <w:p w14:paraId="33BED02C"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w:t>
            </w:r>
          </w:p>
        </w:tc>
        <w:tc>
          <w:tcPr>
            <w:tcW w:w="2338" w:type="dxa"/>
          </w:tcPr>
          <w:p w14:paraId="3A45056C"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41.33</w:t>
            </w:r>
          </w:p>
        </w:tc>
      </w:tr>
      <w:tr w:rsidR="007C28EC" w:rsidRPr="007C28EC" w14:paraId="188EAD45" w14:textId="77777777" w:rsidTr="006B6D83">
        <w:tc>
          <w:tcPr>
            <w:tcW w:w="2337" w:type="dxa"/>
          </w:tcPr>
          <w:p w14:paraId="30FC9D4B"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Initial Investment</w:t>
            </w:r>
          </w:p>
        </w:tc>
        <w:tc>
          <w:tcPr>
            <w:tcW w:w="2337" w:type="dxa"/>
          </w:tcPr>
          <w:p w14:paraId="662B2674"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40</w:t>
            </w:r>
          </w:p>
        </w:tc>
        <w:tc>
          <w:tcPr>
            <w:tcW w:w="2338" w:type="dxa"/>
          </w:tcPr>
          <w:p w14:paraId="206F12AC"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w:t>
            </w:r>
          </w:p>
        </w:tc>
        <w:tc>
          <w:tcPr>
            <w:tcW w:w="2338" w:type="dxa"/>
          </w:tcPr>
          <w:p w14:paraId="602C24DA" w14:textId="77777777" w:rsidR="006B6D83" w:rsidRPr="007C28EC" w:rsidRDefault="006B6D83" w:rsidP="00037DCA">
            <w:pPr>
              <w:spacing w:beforeAutospacing="1" w:after="100" w:afterAutospacing="1"/>
              <w:rPr>
                <w:rFonts w:ascii="Arial" w:eastAsia="Times New Roman" w:hAnsi="Arial" w:cs="Arial"/>
                <w:sz w:val="24"/>
                <w:szCs w:val="24"/>
                <w:lang w:eastAsia="en-GB"/>
              </w:rPr>
            </w:pPr>
            <w:r w:rsidRPr="007C28EC">
              <w:rPr>
                <w:rFonts w:ascii="Arial" w:eastAsia="Times New Roman" w:hAnsi="Arial" w:cs="Arial"/>
                <w:sz w:val="24"/>
                <w:szCs w:val="24"/>
                <w:lang w:eastAsia="en-GB"/>
              </w:rPr>
              <w:t>NPV = 1.33</w:t>
            </w:r>
          </w:p>
        </w:tc>
      </w:tr>
    </w:tbl>
    <w:p w14:paraId="3499DD06" w14:textId="77777777" w:rsidR="002054F6" w:rsidRPr="007C28EC" w:rsidRDefault="002054F6" w:rsidP="00CF7CC4">
      <w:pPr>
        <w:spacing w:line="360" w:lineRule="auto"/>
        <w:jc w:val="both"/>
        <w:rPr>
          <w:rFonts w:ascii="Arial" w:hAnsi="Arial" w:cs="Arial"/>
          <w:sz w:val="24"/>
        </w:rPr>
      </w:pPr>
    </w:p>
    <w:p w14:paraId="0DC1086C" w14:textId="77777777" w:rsidR="00CF7CC4" w:rsidRPr="007C28EC" w:rsidRDefault="002054F6" w:rsidP="00CF7CC4">
      <w:pPr>
        <w:spacing w:line="360" w:lineRule="auto"/>
        <w:jc w:val="both"/>
        <w:rPr>
          <w:rFonts w:ascii="Arial" w:hAnsi="Arial" w:cs="Arial"/>
          <w:b/>
          <w:sz w:val="24"/>
        </w:rPr>
      </w:pPr>
      <w:r w:rsidRPr="007C28EC">
        <w:rPr>
          <w:rFonts w:ascii="Arial" w:hAnsi="Arial" w:cs="Arial"/>
          <w:b/>
          <w:sz w:val="24"/>
        </w:rPr>
        <w:t>Project B</w:t>
      </w:r>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7EE4E374" w14:textId="77777777" w:rsidTr="00CF7CC4">
        <w:tc>
          <w:tcPr>
            <w:tcW w:w="2337" w:type="dxa"/>
          </w:tcPr>
          <w:p w14:paraId="416CD786" w14:textId="77777777" w:rsidR="00CF7CC4" w:rsidRPr="007C28EC" w:rsidRDefault="00CF7CC4" w:rsidP="00037DCA">
            <w:pPr>
              <w:spacing w:line="360" w:lineRule="auto"/>
              <w:jc w:val="both"/>
              <w:rPr>
                <w:rFonts w:ascii="Arial" w:hAnsi="Arial" w:cs="Arial"/>
                <w:b/>
                <w:sz w:val="24"/>
              </w:rPr>
            </w:pPr>
            <w:r w:rsidRPr="007C28EC">
              <w:rPr>
                <w:rFonts w:ascii="Arial" w:hAnsi="Arial" w:cs="Arial"/>
                <w:b/>
                <w:sz w:val="24"/>
              </w:rPr>
              <w:t>Year</w:t>
            </w:r>
          </w:p>
        </w:tc>
        <w:tc>
          <w:tcPr>
            <w:tcW w:w="2337" w:type="dxa"/>
          </w:tcPr>
          <w:p w14:paraId="079503AE" w14:textId="77777777" w:rsidR="00CF7CC4" w:rsidRPr="007C28EC" w:rsidRDefault="00CF7CC4" w:rsidP="00037DCA">
            <w:pPr>
              <w:spacing w:line="360" w:lineRule="auto"/>
              <w:jc w:val="both"/>
              <w:rPr>
                <w:rFonts w:ascii="Arial" w:hAnsi="Arial" w:cs="Arial"/>
                <w:b/>
                <w:sz w:val="24"/>
              </w:rPr>
            </w:pPr>
            <w:r w:rsidRPr="007C28EC">
              <w:rPr>
                <w:rFonts w:ascii="Arial" w:hAnsi="Arial" w:cs="Arial"/>
                <w:b/>
                <w:sz w:val="24"/>
              </w:rPr>
              <w:t>Cash Inflow (£m)</w:t>
            </w:r>
          </w:p>
        </w:tc>
        <w:tc>
          <w:tcPr>
            <w:tcW w:w="2338" w:type="dxa"/>
          </w:tcPr>
          <w:p w14:paraId="7ABACF13" w14:textId="77777777" w:rsidR="00CF7CC4" w:rsidRPr="007C28EC" w:rsidRDefault="00CF7CC4" w:rsidP="00037DCA">
            <w:pPr>
              <w:spacing w:line="360" w:lineRule="auto"/>
              <w:jc w:val="both"/>
              <w:rPr>
                <w:rFonts w:ascii="Arial" w:hAnsi="Arial" w:cs="Arial"/>
                <w:b/>
                <w:sz w:val="24"/>
              </w:rPr>
            </w:pPr>
            <w:r w:rsidRPr="007C28EC">
              <w:rPr>
                <w:rFonts w:ascii="Arial" w:hAnsi="Arial" w:cs="Arial"/>
                <w:b/>
                <w:sz w:val="24"/>
              </w:rPr>
              <w:t>PV Factor @10%</w:t>
            </w:r>
          </w:p>
        </w:tc>
        <w:tc>
          <w:tcPr>
            <w:tcW w:w="2338" w:type="dxa"/>
          </w:tcPr>
          <w:p w14:paraId="6BA6F3D3" w14:textId="77777777" w:rsidR="00CF7CC4" w:rsidRPr="007C28EC" w:rsidRDefault="00CF7CC4" w:rsidP="00037DCA">
            <w:pPr>
              <w:spacing w:line="360" w:lineRule="auto"/>
              <w:jc w:val="both"/>
              <w:rPr>
                <w:rFonts w:ascii="Arial" w:hAnsi="Arial" w:cs="Arial"/>
                <w:b/>
                <w:sz w:val="24"/>
              </w:rPr>
            </w:pPr>
            <w:r w:rsidRPr="007C28EC">
              <w:rPr>
                <w:rFonts w:ascii="Arial" w:hAnsi="Arial" w:cs="Arial"/>
                <w:b/>
                <w:sz w:val="24"/>
              </w:rPr>
              <w:t>Discounted Cash Flow (£m)</w:t>
            </w:r>
          </w:p>
        </w:tc>
      </w:tr>
      <w:tr w:rsidR="007C28EC" w:rsidRPr="007C28EC" w14:paraId="43105F51" w14:textId="77777777" w:rsidTr="00CF7CC4">
        <w:tc>
          <w:tcPr>
            <w:tcW w:w="2337" w:type="dxa"/>
          </w:tcPr>
          <w:p w14:paraId="2DF6D872"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1-5</w:t>
            </w:r>
          </w:p>
        </w:tc>
        <w:tc>
          <w:tcPr>
            <w:tcW w:w="2337" w:type="dxa"/>
          </w:tcPr>
          <w:p w14:paraId="71DA5844"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6 each</w:t>
            </w:r>
          </w:p>
        </w:tc>
        <w:tc>
          <w:tcPr>
            <w:tcW w:w="2338" w:type="dxa"/>
          </w:tcPr>
          <w:p w14:paraId="60791426"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0.909, 0.826…</w:t>
            </w:r>
          </w:p>
        </w:tc>
        <w:tc>
          <w:tcPr>
            <w:tcW w:w="2338" w:type="dxa"/>
          </w:tcPr>
          <w:p w14:paraId="2006E1C7"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22.75</w:t>
            </w:r>
          </w:p>
        </w:tc>
      </w:tr>
      <w:tr w:rsidR="007C28EC" w:rsidRPr="007C28EC" w14:paraId="0B8A04BE" w14:textId="77777777" w:rsidTr="00CF7CC4">
        <w:tc>
          <w:tcPr>
            <w:tcW w:w="2337" w:type="dxa"/>
          </w:tcPr>
          <w:p w14:paraId="66257FF7"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Initial Investment</w:t>
            </w:r>
          </w:p>
        </w:tc>
        <w:tc>
          <w:tcPr>
            <w:tcW w:w="2337" w:type="dxa"/>
          </w:tcPr>
          <w:p w14:paraId="47AB02E4"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30</w:t>
            </w:r>
          </w:p>
        </w:tc>
        <w:tc>
          <w:tcPr>
            <w:tcW w:w="2338" w:type="dxa"/>
          </w:tcPr>
          <w:p w14:paraId="069ACEB5"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w:t>
            </w:r>
          </w:p>
        </w:tc>
        <w:tc>
          <w:tcPr>
            <w:tcW w:w="2338" w:type="dxa"/>
          </w:tcPr>
          <w:p w14:paraId="7BF89C1D"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NPV = -7.25</w:t>
            </w:r>
          </w:p>
        </w:tc>
      </w:tr>
    </w:tbl>
    <w:p w14:paraId="48E49868" w14:textId="77777777" w:rsidR="00CF7CC4" w:rsidRPr="007C28EC" w:rsidRDefault="00CF7CC4" w:rsidP="00CF7CC4">
      <w:pPr>
        <w:spacing w:line="360" w:lineRule="auto"/>
        <w:jc w:val="both"/>
        <w:rPr>
          <w:rFonts w:ascii="Arial" w:hAnsi="Arial" w:cs="Arial"/>
          <w:sz w:val="24"/>
        </w:rPr>
      </w:pPr>
    </w:p>
    <w:p w14:paraId="04B7AE25" w14:textId="77777777" w:rsidR="00CF7CC4" w:rsidRPr="007C28EC" w:rsidRDefault="00E86537" w:rsidP="00CF7CC4">
      <w:pPr>
        <w:spacing w:line="360" w:lineRule="auto"/>
        <w:jc w:val="both"/>
        <w:rPr>
          <w:rFonts w:ascii="Arial" w:hAnsi="Arial" w:cs="Arial"/>
          <w:b/>
          <w:sz w:val="24"/>
        </w:rPr>
      </w:pPr>
      <w:r w:rsidRPr="007C28EC">
        <w:rPr>
          <w:rFonts w:ascii="Arial" w:hAnsi="Arial" w:cs="Arial"/>
          <w:b/>
          <w:sz w:val="24"/>
        </w:rPr>
        <w:t>Project C</w:t>
      </w:r>
    </w:p>
    <w:tbl>
      <w:tblPr>
        <w:tblStyle w:val="TableGrid"/>
        <w:tblW w:w="0" w:type="auto"/>
        <w:tblLook w:val="04A0" w:firstRow="1" w:lastRow="0" w:firstColumn="1" w:lastColumn="0" w:noHBand="0" w:noVBand="1"/>
      </w:tblPr>
      <w:tblGrid>
        <w:gridCol w:w="2337"/>
        <w:gridCol w:w="2337"/>
        <w:gridCol w:w="2338"/>
        <w:gridCol w:w="2338"/>
      </w:tblGrid>
      <w:tr w:rsidR="007C28EC" w:rsidRPr="007C28EC" w14:paraId="024DA411" w14:textId="77777777" w:rsidTr="00CF7CC4">
        <w:tc>
          <w:tcPr>
            <w:tcW w:w="2337" w:type="dxa"/>
          </w:tcPr>
          <w:p w14:paraId="15A0652F" w14:textId="77777777" w:rsidR="00CF7CC4" w:rsidRPr="007C28EC" w:rsidRDefault="00CF7CC4" w:rsidP="00037DCA">
            <w:pPr>
              <w:spacing w:line="360" w:lineRule="auto"/>
              <w:jc w:val="both"/>
              <w:rPr>
                <w:rFonts w:ascii="Arial" w:hAnsi="Arial" w:cs="Arial"/>
                <w:b/>
                <w:sz w:val="24"/>
              </w:rPr>
            </w:pPr>
            <w:r w:rsidRPr="007C28EC">
              <w:rPr>
                <w:rFonts w:ascii="Arial" w:hAnsi="Arial" w:cs="Arial"/>
                <w:b/>
                <w:sz w:val="24"/>
              </w:rPr>
              <w:t>Year</w:t>
            </w:r>
          </w:p>
        </w:tc>
        <w:tc>
          <w:tcPr>
            <w:tcW w:w="2337" w:type="dxa"/>
          </w:tcPr>
          <w:p w14:paraId="45568834" w14:textId="77777777" w:rsidR="00CF7CC4" w:rsidRPr="007C28EC" w:rsidRDefault="00CF7CC4" w:rsidP="00037DCA">
            <w:pPr>
              <w:spacing w:line="360" w:lineRule="auto"/>
              <w:jc w:val="both"/>
              <w:rPr>
                <w:rFonts w:ascii="Arial" w:hAnsi="Arial" w:cs="Arial"/>
                <w:b/>
                <w:sz w:val="24"/>
              </w:rPr>
            </w:pPr>
            <w:r w:rsidRPr="007C28EC">
              <w:rPr>
                <w:rFonts w:ascii="Arial" w:hAnsi="Arial" w:cs="Arial"/>
                <w:b/>
                <w:sz w:val="24"/>
              </w:rPr>
              <w:t>Cash Inflow (£m)</w:t>
            </w:r>
          </w:p>
        </w:tc>
        <w:tc>
          <w:tcPr>
            <w:tcW w:w="2338" w:type="dxa"/>
          </w:tcPr>
          <w:p w14:paraId="23B3FB59" w14:textId="77777777" w:rsidR="00CF7CC4" w:rsidRPr="007C28EC" w:rsidRDefault="00CF7CC4" w:rsidP="00037DCA">
            <w:pPr>
              <w:spacing w:line="360" w:lineRule="auto"/>
              <w:jc w:val="both"/>
              <w:rPr>
                <w:rFonts w:ascii="Arial" w:hAnsi="Arial" w:cs="Arial"/>
                <w:b/>
                <w:sz w:val="24"/>
              </w:rPr>
            </w:pPr>
            <w:r w:rsidRPr="007C28EC">
              <w:rPr>
                <w:rFonts w:ascii="Arial" w:hAnsi="Arial" w:cs="Arial"/>
                <w:b/>
                <w:sz w:val="24"/>
              </w:rPr>
              <w:t>PV Factor @10%</w:t>
            </w:r>
          </w:p>
        </w:tc>
        <w:tc>
          <w:tcPr>
            <w:tcW w:w="2338" w:type="dxa"/>
          </w:tcPr>
          <w:p w14:paraId="4ABE519C" w14:textId="77777777" w:rsidR="00CF7CC4" w:rsidRPr="007C28EC" w:rsidRDefault="00CF7CC4" w:rsidP="00037DCA">
            <w:pPr>
              <w:spacing w:line="360" w:lineRule="auto"/>
              <w:jc w:val="both"/>
              <w:rPr>
                <w:rFonts w:ascii="Arial" w:hAnsi="Arial" w:cs="Arial"/>
                <w:b/>
                <w:sz w:val="24"/>
              </w:rPr>
            </w:pPr>
            <w:r w:rsidRPr="007C28EC">
              <w:rPr>
                <w:rFonts w:ascii="Arial" w:hAnsi="Arial" w:cs="Arial"/>
                <w:b/>
                <w:sz w:val="24"/>
              </w:rPr>
              <w:t>Discounted Cash Flow (£m)</w:t>
            </w:r>
          </w:p>
        </w:tc>
      </w:tr>
      <w:tr w:rsidR="007C28EC" w:rsidRPr="007C28EC" w14:paraId="605F3405" w14:textId="77777777" w:rsidTr="00CF7CC4">
        <w:tc>
          <w:tcPr>
            <w:tcW w:w="2337" w:type="dxa"/>
          </w:tcPr>
          <w:p w14:paraId="779BE435"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1</w:t>
            </w:r>
          </w:p>
        </w:tc>
        <w:tc>
          <w:tcPr>
            <w:tcW w:w="2337" w:type="dxa"/>
          </w:tcPr>
          <w:p w14:paraId="328EC2C3"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5</w:t>
            </w:r>
          </w:p>
        </w:tc>
        <w:tc>
          <w:tcPr>
            <w:tcW w:w="2338" w:type="dxa"/>
          </w:tcPr>
          <w:p w14:paraId="29D286D6"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0.909</w:t>
            </w:r>
          </w:p>
        </w:tc>
        <w:tc>
          <w:tcPr>
            <w:tcW w:w="2338" w:type="dxa"/>
          </w:tcPr>
          <w:p w14:paraId="0C8B8AF9"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4.55</w:t>
            </w:r>
          </w:p>
        </w:tc>
      </w:tr>
      <w:tr w:rsidR="007C28EC" w:rsidRPr="007C28EC" w14:paraId="17D8B9C1" w14:textId="77777777" w:rsidTr="00CF7CC4">
        <w:tc>
          <w:tcPr>
            <w:tcW w:w="2337" w:type="dxa"/>
          </w:tcPr>
          <w:p w14:paraId="3F5B7B2F"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2</w:t>
            </w:r>
          </w:p>
        </w:tc>
        <w:tc>
          <w:tcPr>
            <w:tcW w:w="2337" w:type="dxa"/>
          </w:tcPr>
          <w:p w14:paraId="33918BF9"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10</w:t>
            </w:r>
          </w:p>
        </w:tc>
        <w:tc>
          <w:tcPr>
            <w:tcW w:w="2338" w:type="dxa"/>
          </w:tcPr>
          <w:p w14:paraId="71B39763"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0.826</w:t>
            </w:r>
          </w:p>
        </w:tc>
        <w:tc>
          <w:tcPr>
            <w:tcW w:w="2338" w:type="dxa"/>
          </w:tcPr>
          <w:p w14:paraId="11C39931"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8.26</w:t>
            </w:r>
          </w:p>
        </w:tc>
      </w:tr>
      <w:tr w:rsidR="007C28EC" w:rsidRPr="007C28EC" w14:paraId="13F5C0D2" w14:textId="77777777" w:rsidTr="00CF7CC4">
        <w:tc>
          <w:tcPr>
            <w:tcW w:w="2337" w:type="dxa"/>
          </w:tcPr>
          <w:p w14:paraId="705AE97E"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3</w:t>
            </w:r>
          </w:p>
        </w:tc>
        <w:tc>
          <w:tcPr>
            <w:tcW w:w="2337" w:type="dxa"/>
          </w:tcPr>
          <w:p w14:paraId="6ABC7271"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20</w:t>
            </w:r>
          </w:p>
        </w:tc>
        <w:tc>
          <w:tcPr>
            <w:tcW w:w="2338" w:type="dxa"/>
          </w:tcPr>
          <w:p w14:paraId="5A7F5A00"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0.751</w:t>
            </w:r>
          </w:p>
        </w:tc>
        <w:tc>
          <w:tcPr>
            <w:tcW w:w="2338" w:type="dxa"/>
          </w:tcPr>
          <w:p w14:paraId="62ACA2FD"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15.02</w:t>
            </w:r>
          </w:p>
        </w:tc>
      </w:tr>
      <w:tr w:rsidR="007C28EC" w:rsidRPr="007C28EC" w14:paraId="0B0A4FF9" w14:textId="77777777" w:rsidTr="00CF7CC4">
        <w:tc>
          <w:tcPr>
            <w:tcW w:w="2337" w:type="dxa"/>
          </w:tcPr>
          <w:p w14:paraId="55F2E3E5"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4</w:t>
            </w:r>
          </w:p>
        </w:tc>
        <w:tc>
          <w:tcPr>
            <w:tcW w:w="2337" w:type="dxa"/>
          </w:tcPr>
          <w:p w14:paraId="621DBD74"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25</w:t>
            </w:r>
          </w:p>
        </w:tc>
        <w:tc>
          <w:tcPr>
            <w:tcW w:w="2338" w:type="dxa"/>
          </w:tcPr>
          <w:p w14:paraId="29F9EF3F"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0.683</w:t>
            </w:r>
          </w:p>
        </w:tc>
        <w:tc>
          <w:tcPr>
            <w:tcW w:w="2338" w:type="dxa"/>
          </w:tcPr>
          <w:p w14:paraId="745C1123"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17.08</w:t>
            </w:r>
          </w:p>
        </w:tc>
      </w:tr>
      <w:tr w:rsidR="007C28EC" w:rsidRPr="007C28EC" w14:paraId="44FCF576" w14:textId="77777777" w:rsidTr="00CF7CC4">
        <w:tc>
          <w:tcPr>
            <w:tcW w:w="2337" w:type="dxa"/>
          </w:tcPr>
          <w:p w14:paraId="25AAB849"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5</w:t>
            </w:r>
          </w:p>
        </w:tc>
        <w:tc>
          <w:tcPr>
            <w:tcW w:w="2337" w:type="dxa"/>
          </w:tcPr>
          <w:p w14:paraId="216C7E2C"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15</w:t>
            </w:r>
          </w:p>
        </w:tc>
        <w:tc>
          <w:tcPr>
            <w:tcW w:w="2338" w:type="dxa"/>
          </w:tcPr>
          <w:p w14:paraId="5A31138F"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0.621</w:t>
            </w:r>
          </w:p>
        </w:tc>
        <w:tc>
          <w:tcPr>
            <w:tcW w:w="2338" w:type="dxa"/>
          </w:tcPr>
          <w:p w14:paraId="27C829EB"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9.32</w:t>
            </w:r>
          </w:p>
        </w:tc>
      </w:tr>
      <w:tr w:rsidR="007C28EC" w:rsidRPr="007C28EC" w14:paraId="3B10EFEF" w14:textId="77777777" w:rsidTr="00CF7CC4">
        <w:tc>
          <w:tcPr>
            <w:tcW w:w="2337" w:type="dxa"/>
          </w:tcPr>
          <w:p w14:paraId="37618895"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Total PV</w:t>
            </w:r>
          </w:p>
        </w:tc>
        <w:tc>
          <w:tcPr>
            <w:tcW w:w="2337" w:type="dxa"/>
          </w:tcPr>
          <w:p w14:paraId="33C1985E"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w:t>
            </w:r>
          </w:p>
        </w:tc>
        <w:tc>
          <w:tcPr>
            <w:tcW w:w="2338" w:type="dxa"/>
          </w:tcPr>
          <w:p w14:paraId="24FF18A1"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w:t>
            </w:r>
          </w:p>
        </w:tc>
        <w:tc>
          <w:tcPr>
            <w:tcW w:w="2338" w:type="dxa"/>
          </w:tcPr>
          <w:p w14:paraId="6960A117"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54.23</w:t>
            </w:r>
          </w:p>
        </w:tc>
      </w:tr>
      <w:tr w:rsidR="007C28EC" w:rsidRPr="007C28EC" w14:paraId="08280EED" w14:textId="77777777" w:rsidTr="00CF7CC4">
        <w:tc>
          <w:tcPr>
            <w:tcW w:w="2337" w:type="dxa"/>
          </w:tcPr>
          <w:p w14:paraId="13D171FA"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Initial Investment</w:t>
            </w:r>
          </w:p>
        </w:tc>
        <w:tc>
          <w:tcPr>
            <w:tcW w:w="2337" w:type="dxa"/>
          </w:tcPr>
          <w:p w14:paraId="650E489A"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50</w:t>
            </w:r>
          </w:p>
        </w:tc>
        <w:tc>
          <w:tcPr>
            <w:tcW w:w="2338" w:type="dxa"/>
          </w:tcPr>
          <w:p w14:paraId="70043268"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w:t>
            </w:r>
          </w:p>
        </w:tc>
        <w:tc>
          <w:tcPr>
            <w:tcW w:w="2338" w:type="dxa"/>
          </w:tcPr>
          <w:p w14:paraId="6C0EA049" w14:textId="77777777" w:rsidR="00CF7CC4" w:rsidRPr="007C28EC" w:rsidRDefault="00CF7CC4" w:rsidP="00037DCA">
            <w:pPr>
              <w:spacing w:line="360" w:lineRule="auto"/>
              <w:jc w:val="both"/>
              <w:rPr>
                <w:rFonts w:ascii="Arial" w:hAnsi="Arial" w:cs="Arial"/>
                <w:sz w:val="24"/>
              </w:rPr>
            </w:pPr>
            <w:r w:rsidRPr="007C28EC">
              <w:rPr>
                <w:rFonts w:ascii="Arial" w:hAnsi="Arial" w:cs="Arial"/>
                <w:sz w:val="24"/>
              </w:rPr>
              <w:t>NPV = 4.23</w:t>
            </w:r>
          </w:p>
        </w:tc>
      </w:tr>
    </w:tbl>
    <w:p w14:paraId="03D15E10" w14:textId="77777777" w:rsidR="00CF7CC4" w:rsidRDefault="00CF7CC4" w:rsidP="00CF7CC4">
      <w:pPr>
        <w:spacing w:line="360" w:lineRule="auto"/>
        <w:jc w:val="both"/>
        <w:rPr>
          <w:rFonts w:ascii="Arial" w:hAnsi="Arial" w:cs="Arial"/>
          <w:sz w:val="24"/>
        </w:rPr>
      </w:pPr>
    </w:p>
    <w:p w14:paraId="121235A0" w14:textId="77777777" w:rsidR="001B45A1" w:rsidRDefault="001B45A1" w:rsidP="00CF7CC4">
      <w:pPr>
        <w:spacing w:line="360" w:lineRule="auto"/>
        <w:jc w:val="both"/>
        <w:rPr>
          <w:rFonts w:ascii="Arial" w:hAnsi="Arial" w:cs="Arial"/>
          <w:sz w:val="24"/>
        </w:rPr>
      </w:pPr>
    </w:p>
    <w:p w14:paraId="5F9FFC3C" w14:textId="77777777" w:rsidR="001B45A1" w:rsidRDefault="001B45A1" w:rsidP="00CF7CC4">
      <w:pPr>
        <w:spacing w:line="360" w:lineRule="auto"/>
        <w:jc w:val="both"/>
        <w:rPr>
          <w:rFonts w:ascii="Arial" w:hAnsi="Arial" w:cs="Arial"/>
          <w:sz w:val="24"/>
        </w:rPr>
      </w:pPr>
    </w:p>
    <w:p w14:paraId="179C8415" w14:textId="77777777" w:rsidR="001B45A1" w:rsidRPr="007C28EC" w:rsidRDefault="001B45A1" w:rsidP="00CF7CC4">
      <w:pPr>
        <w:spacing w:line="360" w:lineRule="auto"/>
        <w:jc w:val="both"/>
        <w:rPr>
          <w:rFonts w:ascii="Arial" w:hAnsi="Arial" w:cs="Arial"/>
          <w:sz w:val="24"/>
        </w:rPr>
      </w:pPr>
    </w:p>
    <w:p w14:paraId="6A83DDE3" w14:textId="77777777" w:rsidR="0092081E" w:rsidRPr="007C28EC" w:rsidRDefault="0092081E" w:rsidP="0092081E">
      <w:pPr>
        <w:spacing w:line="360" w:lineRule="auto"/>
        <w:jc w:val="both"/>
        <w:rPr>
          <w:rFonts w:ascii="Arial" w:hAnsi="Arial" w:cs="Arial"/>
          <w:b/>
          <w:sz w:val="24"/>
        </w:rPr>
      </w:pPr>
      <w:r w:rsidRPr="007C28EC">
        <w:rPr>
          <w:rFonts w:ascii="Arial" w:hAnsi="Arial" w:cs="Arial"/>
          <w:b/>
          <w:sz w:val="24"/>
        </w:rPr>
        <w:t>1. Cash Flow Table (for Projects A, B, C)</w:t>
      </w:r>
    </w:p>
    <w:tbl>
      <w:tblPr>
        <w:tblStyle w:val="TableGrid"/>
        <w:tblW w:w="0" w:type="auto"/>
        <w:tblLayout w:type="fixed"/>
        <w:tblLook w:val="04A0" w:firstRow="1" w:lastRow="0" w:firstColumn="1" w:lastColumn="0" w:noHBand="0" w:noVBand="1"/>
      </w:tblPr>
      <w:tblGrid>
        <w:gridCol w:w="805"/>
        <w:gridCol w:w="1710"/>
        <w:gridCol w:w="1530"/>
        <w:gridCol w:w="1473"/>
        <w:gridCol w:w="892"/>
        <w:gridCol w:w="972"/>
        <w:gridCol w:w="984"/>
        <w:gridCol w:w="984"/>
      </w:tblGrid>
      <w:tr w:rsidR="007C28EC" w:rsidRPr="007C28EC" w14:paraId="79FD6D59" w14:textId="77777777" w:rsidTr="001B45A1">
        <w:tc>
          <w:tcPr>
            <w:tcW w:w="805" w:type="dxa"/>
          </w:tcPr>
          <w:p w14:paraId="5FE43983" w14:textId="77777777" w:rsidR="0092081E" w:rsidRPr="007C28EC" w:rsidRDefault="0092081E" w:rsidP="001B45A1">
            <w:pPr>
              <w:spacing w:line="360" w:lineRule="auto"/>
              <w:jc w:val="center"/>
              <w:rPr>
                <w:rFonts w:ascii="Arial" w:hAnsi="Arial" w:cs="Arial"/>
                <w:b/>
                <w:sz w:val="24"/>
              </w:rPr>
            </w:pPr>
            <w:r w:rsidRPr="007C28EC">
              <w:rPr>
                <w:rFonts w:ascii="Arial" w:hAnsi="Arial" w:cs="Arial"/>
                <w:b/>
                <w:sz w:val="24"/>
              </w:rPr>
              <w:t>Year</w:t>
            </w:r>
          </w:p>
        </w:tc>
        <w:tc>
          <w:tcPr>
            <w:tcW w:w="1710" w:type="dxa"/>
          </w:tcPr>
          <w:p w14:paraId="517F2D95" w14:textId="77777777" w:rsidR="0092081E" w:rsidRPr="007C28EC" w:rsidRDefault="0092081E" w:rsidP="001B45A1">
            <w:pPr>
              <w:spacing w:line="360" w:lineRule="auto"/>
              <w:jc w:val="center"/>
              <w:rPr>
                <w:rFonts w:ascii="Arial" w:hAnsi="Arial" w:cs="Arial"/>
                <w:b/>
                <w:sz w:val="24"/>
              </w:rPr>
            </w:pPr>
            <w:r w:rsidRPr="007C28EC">
              <w:rPr>
                <w:rFonts w:ascii="Arial" w:hAnsi="Arial" w:cs="Arial"/>
                <w:b/>
                <w:sz w:val="24"/>
              </w:rPr>
              <w:t>Project A (£m)</w:t>
            </w:r>
          </w:p>
        </w:tc>
        <w:tc>
          <w:tcPr>
            <w:tcW w:w="1530" w:type="dxa"/>
          </w:tcPr>
          <w:p w14:paraId="1704828D" w14:textId="77777777" w:rsidR="0092081E" w:rsidRPr="007C28EC" w:rsidRDefault="0092081E" w:rsidP="001B45A1">
            <w:pPr>
              <w:spacing w:line="360" w:lineRule="auto"/>
              <w:jc w:val="center"/>
              <w:rPr>
                <w:rFonts w:ascii="Arial" w:hAnsi="Arial" w:cs="Arial"/>
                <w:b/>
                <w:sz w:val="24"/>
              </w:rPr>
            </w:pPr>
            <w:r w:rsidRPr="007C28EC">
              <w:rPr>
                <w:rFonts w:ascii="Arial" w:hAnsi="Arial" w:cs="Arial"/>
                <w:b/>
                <w:sz w:val="24"/>
              </w:rPr>
              <w:t>Project B (£m)</w:t>
            </w:r>
          </w:p>
        </w:tc>
        <w:tc>
          <w:tcPr>
            <w:tcW w:w="1473" w:type="dxa"/>
          </w:tcPr>
          <w:p w14:paraId="23111166" w14:textId="77777777" w:rsidR="0092081E" w:rsidRPr="007C28EC" w:rsidRDefault="0092081E" w:rsidP="001B45A1">
            <w:pPr>
              <w:spacing w:line="360" w:lineRule="auto"/>
              <w:jc w:val="center"/>
              <w:rPr>
                <w:rFonts w:ascii="Arial" w:hAnsi="Arial" w:cs="Arial"/>
                <w:b/>
                <w:sz w:val="24"/>
              </w:rPr>
            </w:pPr>
            <w:r w:rsidRPr="007C28EC">
              <w:rPr>
                <w:rFonts w:ascii="Arial" w:hAnsi="Arial" w:cs="Arial"/>
                <w:b/>
                <w:sz w:val="24"/>
              </w:rPr>
              <w:t>Project C (£m)</w:t>
            </w:r>
          </w:p>
        </w:tc>
        <w:tc>
          <w:tcPr>
            <w:tcW w:w="892" w:type="dxa"/>
          </w:tcPr>
          <w:p w14:paraId="60D5360B" w14:textId="77777777" w:rsidR="0092081E" w:rsidRPr="007C28EC" w:rsidRDefault="0092081E" w:rsidP="001B45A1">
            <w:pPr>
              <w:spacing w:line="360" w:lineRule="auto"/>
              <w:jc w:val="center"/>
              <w:rPr>
                <w:rFonts w:ascii="Arial" w:hAnsi="Arial" w:cs="Arial"/>
                <w:b/>
                <w:sz w:val="24"/>
              </w:rPr>
            </w:pPr>
            <w:r w:rsidRPr="007C28EC">
              <w:rPr>
                <w:rFonts w:ascii="Arial" w:hAnsi="Arial" w:cs="Arial"/>
                <w:b/>
                <w:sz w:val="24"/>
              </w:rPr>
              <w:t>PV Factor @10%</w:t>
            </w:r>
          </w:p>
        </w:tc>
        <w:tc>
          <w:tcPr>
            <w:tcW w:w="972" w:type="dxa"/>
          </w:tcPr>
          <w:p w14:paraId="6E87227A" w14:textId="77777777" w:rsidR="0092081E" w:rsidRPr="007C28EC" w:rsidRDefault="0092081E" w:rsidP="001B45A1">
            <w:pPr>
              <w:spacing w:line="360" w:lineRule="auto"/>
              <w:jc w:val="center"/>
              <w:rPr>
                <w:rFonts w:ascii="Arial" w:hAnsi="Arial" w:cs="Arial"/>
                <w:b/>
                <w:sz w:val="24"/>
              </w:rPr>
            </w:pPr>
            <w:r w:rsidRPr="007C28EC">
              <w:rPr>
                <w:rFonts w:ascii="Arial" w:hAnsi="Arial" w:cs="Arial"/>
                <w:b/>
                <w:sz w:val="24"/>
              </w:rPr>
              <w:t>Project A PV</w:t>
            </w:r>
          </w:p>
        </w:tc>
        <w:tc>
          <w:tcPr>
            <w:tcW w:w="984" w:type="dxa"/>
          </w:tcPr>
          <w:p w14:paraId="5142A465" w14:textId="77777777" w:rsidR="0092081E" w:rsidRPr="007C28EC" w:rsidRDefault="0092081E" w:rsidP="001B45A1">
            <w:pPr>
              <w:spacing w:line="360" w:lineRule="auto"/>
              <w:jc w:val="center"/>
              <w:rPr>
                <w:rFonts w:ascii="Arial" w:hAnsi="Arial" w:cs="Arial"/>
                <w:b/>
                <w:sz w:val="24"/>
              </w:rPr>
            </w:pPr>
            <w:r w:rsidRPr="007C28EC">
              <w:rPr>
                <w:rFonts w:ascii="Arial" w:hAnsi="Arial" w:cs="Arial"/>
                <w:b/>
                <w:sz w:val="24"/>
              </w:rPr>
              <w:t>Project B PV</w:t>
            </w:r>
          </w:p>
        </w:tc>
        <w:tc>
          <w:tcPr>
            <w:tcW w:w="984" w:type="dxa"/>
          </w:tcPr>
          <w:p w14:paraId="04A99D1F" w14:textId="77777777" w:rsidR="0092081E" w:rsidRPr="007C28EC" w:rsidRDefault="0092081E" w:rsidP="001B45A1">
            <w:pPr>
              <w:spacing w:line="360" w:lineRule="auto"/>
              <w:jc w:val="center"/>
              <w:rPr>
                <w:rFonts w:ascii="Arial" w:hAnsi="Arial" w:cs="Arial"/>
                <w:b/>
                <w:sz w:val="24"/>
              </w:rPr>
            </w:pPr>
            <w:r w:rsidRPr="007C28EC">
              <w:rPr>
                <w:rFonts w:ascii="Arial" w:hAnsi="Arial" w:cs="Arial"/>
                <w:b/>
                <w:sz w:val="24"/>
              </w:rPr>
              <w:t>Project C PV</w:t>
            </w:r>
          </w:p>
        </w:tc>
      </w:tr>
      <w:tr w:rsidR="007C28EC" w:rsidRPr="007C28EC" w14:paraId="47E2C0A6" w14:textId="77777777" w:rsidTr="001B45A1">
        <w:tc>
          <w:tcPr>
            <w:tcW w:w="805" w:type="dxa"/>
          </w:tcPr>
          <w:p w14:paraId="0A58ED4A"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0</w:t>
            </w:r>
          </w:p>
        </w:tc>
        <w:tc>
          <w:tcPr>
            <w:tcW w:w="1710" w:type="dxa"/>
          </w:tcPr>
          <w:p w14:paraId="1093F066"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-40</w:t>
            </w:r>
          </w:p>
        </w:tc>
        <w:tc>
          <w:tcPr>
            <w:tcW w:w="1530" w:type="dxa"/>
          </w:tcPr>
          <w:p w14:paraId="167A3B98"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-30</w:t>
            </w:r>
          </w:p>
        </w:tc>
        <w:tc>
          <w:tcPr>
            <w:tcW w:w="1473" w:type="dxa"/>
          </w:tcPr>
          <w:p w14:paraId="6A4CF515"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-50</w:t>
            </w:r>
          </w:p>
        </w:tc>
        <w:tc>
          <w:tcPr>
            <w:tcW w:w="892" w:type="dxa"/>
          </w:tcPr>
          <w:p w14:paraId="25630FAE"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1</w:t>
            </w:r>
          </w:p>
        </w:tc>
        <w:tc>
          <w:tcPr>
            <w:tcW w:w="972" w:type="dxa"/>
          </w:tcPr>
          <w:p w14:paraId="645D5303"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-40</w:t>
            </w:r>
          </w:p>
        </w:tc>
        <w:tc>
          <w:tcPr>
            <w:tcW w:w="984" w:type="dxa"/>
          </w:tcPr>
          <w:p w14:paraId="6B467AE5"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-30</w:t>
            </w:r>
          </w:p>
        </w:tc>
        <w:tc>
          <w:tcPr>
            <w:tcW w:w="984" w:type="dxa"/>
          </w:tcPr>
          <w:p w14:paraId="09E5971C"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-50</w:t>
            </w:r>
          </w:p>
        </w:tc>
      </w:tr>
      <w:tr w:rsidR="007C28EC" w:rsidRPr="007C28EC" w14:paraId="2A7BCD1A" w14:textId="77777777" w:rsidTr="001B45A1">
        <w:tc>
          <w:tcPr>
            <w:tcW w:w="805" w:type="dxa"/>
          </w:tcPr>
          <w:p w14:paraId="610571FA"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1</w:t>
            </w:r>
          </w:p>
        </w:tc>
        <w:tc>
          <w:tcPr>
            <w:tcW w:w="1710" w:type="dxa"/>
          </w:tcPr>
          <w:p w14:paraId="28F25D36"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10</w:t>
            </w:r>
          </w:p>
        </w:tc>
        <w:tc>
          <w:tcPr>
            <w:tcW w:w="1530" w:type="dxa"/>
          </w:tcPr>
          <w:p w14:paraId="74EEAED7"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6</w:t>
            </w:r>
          </w:p>
        </w:tc>
        <w:tc>
          <w:tcPr>
            <w:tcW w:w="1473" w:type="dxa"/>
          </w:tcPr>
          <w:p w14:paraId="03B6603A"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5</w:t>
            </w:r>
          </w:p>
        </w:tc>
        <w:tc>
          <w:tcPr>
            <w:tcW w:w="892" w:type="dxa"/>
          </w:tcPr>
          <w:p w14:paraId="069636C3"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0.909</w:t>
            </w:r>
          </w:p>
        </w:tc>
        <w:tc>
          <w:tcPr>
            <w:tcW w:w="972" w:type="dxa"/>
          </w:tcPr>
          <w:p w14:paraId="4BBF9854"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=B2*E2</w:t>
            </w:r>
          </w:p>
        </w:tc>
        <w:tc>
          <w:tcPr>
            <w:tcW w:w="984" w:type="dxa"/>
          </w:tcPr>
          <w:p w14:paraId="10439EEB"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=C2*E2</w:t>
            </w:r>
          </w:p>
        </w:tc>
        <w:tc>
          <w:tcPr>
            <w:tcW w:w="984" w:type="dxa"/>
          </w:tcPr>
          <w:p w14:paraId="0D344D07"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=D2*E2</w:t>
            </w:r>
          </w:p>
        </w:tc>
      </w:tr>
      <w:tr w:rsidR="007C28EC" w:rsidRPr="007C28EC" w14:paraId="34F7E1C7" w14:textId="77777777" w:rsidTr="001B45A1">
        <w:tc>
          <w:tcPr>
            <w:tcW w:w="805" w:type="dxa"/>
          </w:tcPr>
          <w:p w14:paraId="6A7823D4"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2</w:t>
            </w:r>
          </w:p>
        </w:tc>
        <w:tc>
          <w:tcPr>
            <w:tcW w:w="1710" w:type="dxa"/>
          </w:tcPr>
          <w:p w14:paraId="1E035D80"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12</w:t>
            </w:r>
          </w:p>
        </w:tc>
        <w:tc>
          <w:tcPr>
            <w:tcW w:w="1530" w:type="dxa"/>
          </w:tcPr>
          <w:p w14:paraId="0226B70B"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6</w:t>
            </w:r>
          </w:p>
        </w:tc>
        <w:tc>
          <w:tcPr>
            <w:tcW w:w="1473" w:type="dxa"/>
          </w:tcPr>
          <w:p w14:paraId="2248D5AC"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10</w:t>
            </w:r>
          </w:p>
        </w:tc>
        <w:tc>
          <w:tcPr>
            <w:tcW w:w="892" w:type="dxa"/>
          </w:tcPr>
          <w:p w14:paraId="5F39F58F"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0.826</w:t>
            </w:r>
          </w:p>
        </w:tc>
        <w:tc>
          <w:tcPr>
            <w:tcW w:w="972" w:type="dxa"/>
          </w:tcPr>
          <w:p w14:paraId="4D8E6A21"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=B3*E3</w:t>
            </w:r>
          </w:p>
        </w:tc>
        <w:tc>
          <w:tcPr>
            <w:tcW w:w="984" w:type="dxa"/>
          </w:tcPr>
          <w:p w14:paraId="6B8A6581"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=C3*E3</w:t>
            </w:r>
          </w:p>
        </w:tc>
        <w:tc>
          <w:tcPr>
            <w:tcW w:w="984" w:type="dxa"/>
          </w:tcPr>
          <w:p w14:paraId="3764E6D2"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=D3*E3</w:t>
            </w:r>
          </w:p>
        </w:tc>
      </w:tr>
      <w:tr w:rsidR="007C28EC" w:rsidRPr="007C28EC" w14:paraId="6048EF52" w14:textId="77777777" w:rsidTr="001B45A1">
        <w:tc>
          <w:tcPr>
            <w:tcW w:w="805" w:type="dxa"/>
          </w:tcPr>
          <w:p w14:paraId="249D60D1"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3</w:t>
            </w:r>
          </w:p>
        </w:tc>
        <w:tc>
          <w:tcPr>
            <w:tcW w:w="1710" w:type="dxa"/>
          </w:tcPr>
          <w:p w14:paraId="4497FD61"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14</w:t>
            </w:r>
          </w:p>
        </w:tc>
        <w:tc>
          <w:tcPr>
            <w:tcW w:w="1530" w:type="dxa"/>
          </w:tcPr>
          <w:p w14:paraId="15E048B5"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6</w:t>
            </w:r>
          </w:p>
        </w:tc>
        <w:tc>
          <w:tcPr>
            <w:tcW w:w="1473" w:type="dxa"/>
          </w:tcPr>
          <w:p w14:paraId="585212C2"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20</w:t>
            </w:r>
          </w:p>
        </w:tc>
        <w:tc>
          <w:tcPr>
            <w:tcW w:w="892" w:type="dxa"/>
          </w:tcPr>
          <w:p w14:paraId="5FA66F7F"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0.751</w:t>
            </w:r>
          </w:p>
        </w:tc>
        <w:tc>
          <w:tcPr>
            <w:tcW w:w="972" w:type="dxa"/>
          </w:tcPr>
          <w:p w14:paraId="0F103EDF"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=B4*E4</w:t>
            </w:r>
          </w:p>
        </w:tc>
        <w:tc>
          <w:tcPr>
            <w:tcW w:w="984" w:type="dxa"/>
          </w:tcPr>
          <w:p w14:paraId="7D489B6B"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=C4*E4</w:t>
            </w:r>
          </w:p>
        </w:tc>
        <w:tc>
          <w:tcPr>
            <w:tcW w:w="984" w:type="dxa"/>
          </w:tcPr>
          <w:p w14:paraId="657F50BA"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=D4*E4</w:t>
            </w:r>
          </w:p>
        </w:tc>
      </w:tr>
      <w:tr w:rsidR="007C28EC" w:rsidRPr="007C28EC" w14:paraId="60F42D80" w14:textId="77777777" w:rsidTr="001B45A1">
        <w:tc>
          <w:tcPr>
            <w:tcW w:w="805" w:type="dxa"/>
          </w:tcPr>
          <w:p w14:paraId="69121160"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4</w:t>
            </w:r>
          </w:p>
        </w:tc>
        <w:tc>
          <w:tcPr>
            <w:tcW w:w="1710" w:type="dxa"/>
          </w:tcPr>
          <w:p w14:paraId="753181FD"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10</w:t>
            </w:r>
          </w:p>
        </w:tc>
        <w:tc>
          <w:tcPr>
            <w:tcW w:w="1530" w:type="dxa"/>
          </w:tcPr>
          <w:p w14:paraId="0754B941"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6</w:t>
            </w:r>
          </w:p>
        </w:tc>
        <w:tc>
          <w:tcPr>
            <w:tcW w:w="1473" w:type="dxa"/>
          </w:tcPr>
          <w:p w14:paraId="5853AD22"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25</w:t>
            </w:r>
          </w:p>
        </w:tc>
        <w:tc>
          <w:tcPr>
            <w:tcW w:w="892" w:type="dxa"/>
          </w:tcPr>
          <w:p w14:paraId="1D25C5E0"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0.683</w:t>
            </w:r>
          </w:p>
        </w:tc>
        <w:tc>
          <w:tcPr>
            <w:tcW w:w="972" w:type="dxa"/>
          </w:tcPr>
          <w:p w14:paraId="4D24D1A7"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=B5*E5</w:t>
            </w:r>
          </w:p>
        </w:tc>
        <w:tc>
          <w:tcPr>
            <w:tcW w:w="984" w:type="dxa"/>
          </w:tcPr>
          <w:p w14:paraId="188BE51D"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=C5*E5</w:t>
            </w:r>
          </w:p>
        </w:tc>
        <w:tc>
          <w:tcPr>
            <w:tcW w:w="984" w:type="dxa"/>
          </w:tcPr>
          <w:p w14:paraId="49E13D29"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=D5*E5</w:t>
            </w:r>
          </w:p>
        </w:tc>
      </w:tr>
      <w:tr w:rsidR="007C28EC" w:rsidRPr="007C28EC" w14:paraId="15B3760C" w14:textId="77777777" w:rsidTr="001B45A1">
        <w:tc>
          <w:tcPr>
            <w:tcW w:w="805" w:type="dxa"/>
          </w:tcPr>
          <w:p w14:paraId="12827F04"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5</w:t>
            </w:r>
          </w:p>
        </w:tc>
        <w:tc>
          <w:tcPr>
            <w:tcW w:w="1710" w:type="dxa"/>
          </w:tcPr>
          <w:p w14:paraId="334F6511"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8</w:t>
            </w:r>
          </w:p>
        </w:tc>
        <w:tc>
          <w:tcPr>
            <w:tcW w:w="1530" w:type="dxa"/>
          </w:tcPr>
          <w:p w14:paraId="07E501E4"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6</w:t>
            </w:r>
          </w:p>
        </w:tc>
        <w:tc>
          <w:tcPr>
            <w:tcW w:w="1473" w:type="dxa"/>
          </w:tcPr>
          <w:p w14:paraId="77862A97"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15</w:t>
            </w:r>
          </w:p>
        </w:tc>
        <w:tc>
          <w:tcPr>
            <w:tcW w:w="892" w:type="dxa"/>
          </w:tcPr>
          <w:p w14:paraId="711CEDD8"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0.621</w:t>
            </w:r>
          </w:p>
        </w:tc>
        <w:tc>
          <w:tcPr>
            <w:tcW w:w="972" w:type="dxa"/>
          </w:tcPr>
          <w:p w14:paraId="7DDD7592"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=B6*E6</w:t>
            </w:r>
          </w:p>
        </w:tc>
        <w:tc>
          <w:tcPr>
            <w:tcW w:w="984" w:type="dxa"/>
          </w:tcPr>
          <w:p w14:paraId="33F456DA"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=C6*E6</w:t>
            </w:r>
          </w:p>
        </w:tc>
        <w:tc>
          <w:tcPr>
            <w:tcW w:w="984" w:type="dxa"/>
          </w:tcPr>
          <w:p w14:paraId="3FB4C9EE"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=D6*E6</w:t>
            </w:r>
          </w:p>
        </w:tc>
      </w:tr>
      <w:tr w:rsidR="007C28EC" w:rsidRPr="007C28EC" w14:paraId="57478B2F" w14:textId="77777777" w:rsidTr="001B45A1">
        <w:tc>
          <w:tcPr>
            <w:tcW w:w="805" w:type="dxa"/>
          </w:tcPr>
          <w:p w14:paraId="20C461E2"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Total PV</w:t>
            </w:r>
          </w:p>
        </w:tc>
        <w:tc>
          <w:tcPr>
            <w:tcW w:w="1710" w:type="dxa"/>
          </w:tcPr>
          <w:p w14:paraId="28EBE56F"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=SUM(F2:F6)</w:t>
            </w:r>
          </w:p>
        </w:tc>
        <w:tc>
          <w:tcPr>
            <w:tcW w:w="1530" w:type="dxa"/>
          </w:tcPr>
          <w:p w14:paraId="7CCD8DFD"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=SUM(G2:G6)</w:t>
            </w:r>
          </w:p>
        </w:tc>
        <w:tc>
          <w:tcPr>
            <w:tcW w:w="1473" w:type="dxa"/>
          </w:tcPr>
          <w:p w14:paraId="74CD2BBA"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=SUM(H2:H6)</w:t>
            </w:r>
          </w:p>
        </w:tc>
        <w:tc>
          <w:tcPr>
            <w:tcW w:w="892" w:type="dxa"/>
          </w:tcPr>
          <w:p w14:paraId="7E137255"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72" w:type="dxa"/>
          </w:tcPr>
          <w:p w14:paraId="4B161925"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84" w:type="dxa"/>
          </w:tcPr>
          <w:p w14:paraId="29CF7A6F"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84" w:type="dxa"/>
          </w:tcPr>
          <w:p w14:paraId="1798AD92"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r>
      <w:tr w:rsidR="007C28EC" w:rsidRPr="007C28EC" w14:paraId="1A72E758" w14:textId="77777777" w:rsidTr="001B45A1">
        <w:tc>
          <w:tcPr>
            <w:tcW w:w="805" w:type="dxa"/>
          </w:tcPr>
          <w:p w14:paraId="6EB37F69"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NPV</w:t>
            </w:r>
          </w:p>
        </w:tc>
        <w:tc>
          <w:tcPr>
            <w:tcW w:w="1710" w:type="dxa"/>
          </w:tcPr>
          <w:p w14:paraId="772BCA37"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=F7-B1</w:t>
            </w:r>
          </w:p>
        </w:tc>
        <w:tc>
          <w:tcPr>
            <w:tcW w:w="1530" w:type="dxa"/>
          </w:tcPr>
          <w:p w14:paraId="65F98F8C"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=G7-C1</w:t>
            </w:r>
          </w:p>
        </w:tc>
        <w:tc>
          <w:tcPr>
            <w:tcW w:w="1473" w:type="dxa"/>
          </w:tcPr>
          <w:p w14:paraId="3204D988"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=H7-D1</w:t>
            </w:r>
          </w:p>
        </w:tc>
        <w:tc>
          <w:tcPr>
            <w:tcW w:w="892" w:type="dxa"/>
          </w:tcPr>
          <w:p w14:paraId="7F1A10EB"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72" w:type="dxa"/>
          </w:tcPr>
          <w:p w14:paraId="2607F166"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84" w:type="dxa"/>
          </w:tcPr>
          <w:p w14:paraId="19C48A6F"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84" w:type="dxa"/>
          </w:tcPr>
          <w:p w14:paraId="23FF7687"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r>
      <w:tr w:rsidR="007C28EC" w:rsidRPr="007C28EC" w14:paraId="3B5F4363" w14:textId="77777777" w:rsidTr="001B45A1">
        <w:tc>
          <w:tcPr>
            <w:tcW w:w="805" w:type="dxa"/>
          </w:tcPr>
          <w:p w14:paraId="4521EDB1"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PI</w:t>
            </w:r>
          </w:p>
        </w:tc>
        <w:tc>
          <w:tcPr>
            <w:tcW w:w="1710" w:type="dxa"/>
          </w:tcPr>
          <w:p w14:paraId="41A86728"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=F7/ABS(B1)</w:t>
            </w:r>
          </w:p>
        </w:tc>
        <w:tc>
          <w:tcPr>
            <w:tcW w:w="1530" w:type="dxa"/>
          </w:tcPr>
          <w:p w14:paraId="748A4AC9"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=G7/ABS(C1)</w:t>
            </w:r>
          </w:p>
        </w:tc>
        <w:tc>
          <w:tcPr>
            <w:tcW w:w="1473" w:type="dxa"/>
          </w:tcPr>
          <w:p w14:paraId="7863F861"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=H7/ABS(D1)</w:t>
            </w:r>
          </w:p>
        </w:tc>
        <w:tc>
          <w:tcPr>
            <w:tcW w:w="892" w:type="dxa"/>
          </w:tcPr>
          <w:p w14:paraId="2E3C88B7"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72" w:type="dxa"/>
          </w:tcPr>
          <w:p w14:paraId="6355A879"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84" w:type="dxa"/>
          </w:tcPr>
          <w:p w14:paraId="682D1B8C" w14:textId="77777777" w:rsidR="0092081E" w:rsidRPr="007C28EC" w:rsidRDefault="0092081E" w:rsidP="001B45A1">
            <w:pPr>
              <w:spacing w:line="360" w:lineRule="auto"/>
              <w:jc w:val="center"/>
              <w:rPr>
                <w:rFonts w:ascii="Arial" w:hAnsi="Arial" w:cs="Arial"/>
                <w:sz w:val="24"/>
              </w:rPr>
            </w:pPr>
            <w:r w:rsidRPr="007C28EC">
              <w:rPr>
                <w:rFonts w:ascii="Arial" w:hAnsi="Arial" w:cs="Arial"/>
                <w:sz w:val="24"/>
              </w:rPr>
              <w:t>–</w:t>
            </w:r>
          </w:p>
        </w:tc>
        <w:tc>
          <w:tcPr>
            <w:tcW w:w="984" w:type="dxa"/>
          </w:tcPr>
          <w:p w14:paraId="2586B1C9" w14:textId="77777777" w:rsidR="0092081E" w:rsidRPr="007C28EC" w:rsidRDefault="0092081E" w:rsidP="001B45A1">
            <w:pPr>
              <w:spacing w:line="360" w:lineRule="auto"/>
              <w:jc w:val="center"/>
              <w:rPr>
                <w:rFonts w:ascii="Arial" w:hAnsi="Arial" w:cs="Arial"/>
                <w:sz w:val="24"/>
              </w:rPr>
            </w:pPr>
          </w:p>
        </w:tc>
      </w:tr>
    </w:tbl>
    <w:p w14:paraId="50A8FEDC" w14:textId="77777777" w:rsidR="0092081E" w:rsidRPr="007C28EC" w:rsidRDefault="0092081E" w:rsidP="0092081E">
      <w:pPr>
        <w:spacing w:line="360" w:lineRule="auto"/>
        <w:jc w:val="both"/>
        <w:rPr>
          <w:rFonts w:ascii="Arial" w:hAnsi="Arial" w:cs="Arial"/>
          <w:sz w:val="24"/>
        </w:rPr>
      </w:pPr>
    </w:p>
    <w:p w14:paraId="7E462C36" w14:textId="77777777" w:rsidR="0092081E" w:rsidRPr="007C28EC" w:rsidRDefault="0092081E" w:rsidP="0092081E">
      <w:pPr>
        <w:spacing w:line="360" w:lineRule="auto"/>
        <w:jc w:val="both"/>
        <w:rPr>
          <w:rFonts w:ascii="Arial" w:hAnsi="Arial" w:cs="Arial"/>
          <w:b/>
          <w:sz w:val="24"/>
        </w:rPr>
      </w:pPr>
      <w:r w:rsidRPr="007C28EC">
        <w:rPr>
          <w:rFonts w:ascii="Arial" w:hAnsi="Arial" w:cs="Arial"/>
          <w:b/>
          <w:sz w:val="24"/>
        </w:rPr>
        <w:t>3. P</w:t>
      </w:r>
      <w:r w:rsidR="002054F6" w:rsidRPr="007C28EC">
        <w:rPr>
          <w:rFonts w:ascii="Arial" w:hAnsi="Arial" w:cs="Arial"/>
          <w:b/>
          <w:sz w:val="24"/>
        </w:rPr>
        <w:t>ayback Period (PBP) Calculation</w:t>
      </w:r>
    </w:p>
    <w:p w14:paraId="651B2234" w14:textId="77777777" w:rsidR="0092081E" w:rsidRPr="007C28EC" w:rsidRDefault="00E86537" w:rsidP="0092081E">
      <w:pPr>
        <w:spacing w:line="360" w:lineRule="auto"/>
        <w:jc w:val="both"/>
        <w:rPr>
          <w:rFonts w:ascii="Arial" w:hAnsi="Arial" w:cs="Arial"/>
          <w:b/>
          <w:sz w:val="24"/>
        </w:rPr>
      </w:pPr>
      <w:r w:rsidRPr="007C28EC">
        <w:rPr>
          <w:rFonts w:ascii="Arial" w:hAnsi="Arial" w:cs="Arial"/>
          <w:b/>
          <w:sz w:val="24"/>
        </w:rPr>
        <w:t>Cumulative Cash Flow:</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7C28EC" w:rsidRPr="007C28EC" w14:paraId="3F89719A" w14:textId="77777777" w:rsidTr="0092081E">
        <w:tc>
          <w:tcPr>
            <w:tcW w:w="1335" w:type="dxa"/>
          </w:tcPr>
          <w:p w14:paraId="5CFC1834"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Year</w:t>
            </w:r>
          </w:p>
        </w:tc>
        <w:tc>
          <w:tcPr>
            <w:tcW w:w="1335" w:type="dxa"/>
          </w:tcPr>
          <w:p w14:paraId="4E3971A2"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Project A CF</w:t>
            </w:r>
          </w:p>
        </w:tc>
        <w:tc>
          <w:tcPr>
            <w:tcW w:w="1336" w:type="dxa"/>
          </w:tcPr>
          <w:p w14:paraId="0CC93F87"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Project A Cum CF</w:t>
            </w:r>
          </w:p>
        </w:tc>
        <w:tc>
          <w:tcPr>
            <w:tcW w:w="1336" w:type="dxa"/>
          </w:tcPr>
          <w:p w14:paraId="1F96D232"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Project B CF</w:t>
            </w:r>
          </w:p>
        </w:tc>
        <w:tc>
          <w:tcPr>
            <w:tcW w:w="1336" w:type="dxa"/>
          </w:tcPr>
          <w:p w14:paraId="780A8BD2"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Project B Cum CF</w:t>
            </w:r>
          </w:p>
        </w:tc>
        <w:tc>
          <w:tcPr>
            <w:tcW w:w="1336" w:type="dxa"/>
          </w:tcPr>
          <w:p w14:paraId="47A2F851"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Project C CF</w:t>
            </w:r>
          </w:p>
        </w:tc>
        <w:tc>
          <w:tcPr>
            <w:tcW w:w="1336" w:type="dxa"/>
          </w:tcPr>
          <w:p w14:paraId="521D0D06"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Project C Cum CF</w:t>
            </w:r>
          </w:p>
        </w:tc>
      </w:tr>
      <w:tr w:rsidR="007C28EC" w:rsidRPr="007C28EC" w14:paraId="2A0D11F4" w14:textId="77777777" w:rsidTr="0092081E">
        <w:tc>
          <w:tcPr>
            <w:tcW w:w="1335" w:type="dxa"/>
          </w:tcPr>
          <w:p w14:paraId="16D7F34B"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0</w:t>
            </w:r>
          </w:p>
        </w:tc>
        <w:tc>
          <w:tcPr>
            <w:tcW w:w="1335" w:type="dxa"/>
          </w:tcPr>
          <w:p w14:paraId="759D4F9F"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-40</w:t>
            </w:r>
          </w:p>
        </w:tc>
        <w:tc>
          <w:tcPr>
            <w:tcW w:w="1336" w:type="dxa"/>
          </w:tcPr>
          <w:p w14:paraId="2F047CA0"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-40</w:t>
            </w:r>
          </w:p>
        </w:tc>
        <w:tc>
          <w:tcPr>
            <w:tcW w:w="1336" w:type="dxa"/>
          </w:tcPr>
          <w:p w14:paraId="5A2DD553"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-30</w:t>
            </w:r>
          </w:p>
        </w:tc>
        <w:tc>
          <w:tcPr>
            <w:tcW w:w="1336" w:type="dxa"/>
          </w:tcPr>
          <w:p w14:paraId="2B5DAAC5"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-30</w:t>
            </w:r>
          </w:p>
        </w:tc>
        <w:tc>
          <w:tcPr>
            <w:tcW w:w="1336" w:type="dxa"/>
          </w:tcPr>
          <w:p w14:paraId="436D0455"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-50</w:t>
            </w:r>
          </w:p>
        </w:tc>
        <w:tc>
          <w:tcPr>
            <w:tcW w:w="1336" w:type="dxa"/>
          </w:tcPr>
          <w:p w14:paraId="484C16A2"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-50</w:t>
            </w:r>
          </w:p>
        </w:tc>
      </w:tr>
      <w:tr w:rsidR="007C28EC" w:rsidRPr="007C28EC" w14:paraId="5F08D01C" w14:textId="77777777" w:rsidTr="0092081E">
        <w:tc>
          <w:tcPr>
            <w:tcW w:w="1335" w:type="dxa"/>
          </w:tcPr>
          <w:p w14:paraId="527693F5"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1</w:t>
            </w:r>
          </w:p>
        </w:tc>
        <w:tc>
          <w:tcPr>
            <w:tcW w:w="1335" w:type="dxa"/>
          </w:tcPr>
          <w:p w14:paraId="2A17016F"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10</w:t>
            </w:r>
          </w:p>
        </w:tc>
        <w:tc>
          <w:tcPr>
            <w:tcW w:w="1336" w:type="dxa"/>
          </w:tcPr>
          <w:p w14:paraId="4F9EDA96"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=B2+B1</w:t>
            </w:r>
          </w:p>
        </w:tc>
        <w:tc>
          <w:tcPr>
            <w:tcW w:w="1336" w:type="dxa"/>
          </w:tcPr>
          <w:p w14:paraId="1C348F7A"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6</w:t>
            </w:r>
          </w:p>
        </w:tc>
        <w:tc>
          <w:tcPr>
            <w:tcW w:w="1336" w:type="dxa"/>
          </w:tcPr>
          <w:p w14:paraId="2770ECC6"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=D2+D1</w:t>
            </w:r>
          </w:p>
        </w:tc>
        <w:tc>
          <w:tcPr>
            <w:tcW w:w="1336" w:type="dxa"/>
          </w:tcPr>
          <w:p w14:paraId="32383D46"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5</w:t>
            </w:r>
          </w:p>
        </w:tc>
        <w:tc>
          <w:tcPr>
            <w:tcW w:w="1336" w:type="dxa"/>
          </w:tcPr>
          <w:p w14:paraId="32937C00"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=F2+F1</w:t>
            </w:r>
          </w:p>
        </w:tc>
      </w:tr>
      <w:tr w:rsidR="007C28EC" w:rsidRPr="007C28EC" w14:paraId="5479AA2D" w14:textId="77777777" w:rsidTr="0092081E">
        <w:tc>
          <w:tcPr>
            <w:tcW w:w="1335" w:type="dxa"/>
          </w:tcPr>
          <w:p w14:paraId="7024A047"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2</w:t>
            </w:r>
          </w:p>
        </w:tc>
        <w:tc>
          <w:tcPr>
            <w:tcW w:w="1335" w:type="dxa"/>
          </w:tcPr>
          <w:p w14:paraId="4825C964"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12</w:t>
            </w:r>
          </w:p>
        </w:tc>
        <w:tc>
          <w:tcPr>
            <w:tcW w:w="1336" w:type="dxa"/>
          </w:tcPr>
          <w:p w14:paraId="6CABD612"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=B3+B2</w:t>
            </w:r>
          </w:p>
        </w:tc>
        <w:tc>
          <w:tcPr>
            <w:tcW w:w="1336" w:type="dxa"/>
          </w:tcPr>
          <w:p w14:paraId="17405B17"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6</w:t>
            </w:r>
          </w:p>
        </w:tc>
        <w:tc>
          <w:tcPr>
            <w:tcW w:w="1336" w:type="dxa"/>
          </w:tcPr>
          <w:p w14:paraId="1AF34013"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=D3+D2</w:t>
            </w:r>
          </w:p>
        </w:tc>
        <w:tc>
          <w:tcPr>
            <w:tcW w:w="1336" w:type="dxa"/>
          </w:tcPr>
          <w:p w14:paraId="00EDCDA8"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10</w:t>
            </w:r>
          </w:p>
        </w:tc>
        <w:tc>
          <w:tcPr>
            <w:tcW w:w="1336" w:type="dxa"/>
          </w:tcPr>
          <w:p w14:paraId="3DF754B6"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=F3+F2</w:t>
            </w:r>
          </w:p>
        </w:tc>
      </w:tr>
      <w:tr w:rsidR="007C28EC" w:rsidRPr="007C28EC" w14:paraId="1E8E53D5" w14:textId="77777777" w:rsidTr="0092081E">
        <w:tc>
          <w:tcPr>
            <w:tcW w:w="1335" w:type="dxa"/>
          </w:tcPr>
          <w:p w14:paraId="5A826068"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3</w:t>
            </w:r>
          </w:p>
        </w:tc>
        <w:tc>
          <w:tcPr>
            <w:tcW w:w="1335" w:type="dxa"/>
          </w:tcPr>
          <w:p w14:paraId="56B94A60"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14</w:t>
            </w:r>
          </w:p>
        </w:tc>
        <w:tc>
          <w:tcPr>
            <w:tcW w:w="1336" w:type="dxa"/>
          </w:tcPr>
          <w:p w14:paraId="1D67217D"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=B4+B3</w:t>
            </w:r>
          </w:p>
        </w:tc>
        <w:tc>
          <w:tcPr>
            <w:tcW w:w="1336" w:type="dxa"/>
          </w:tcPr>
          <w:p w14:paraId="187C7F5F"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6</w:t>
            </w:r>
          </w:p>
        </w:tc>
        <w:tc>
          <w:tcPr>
            <w:tcW w:w="1336" w:type="dxa"/>
          </w:tcPr>
          <w:p w14:paraId="7B2F1382"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=D4+D3</w:t>
            </w:r>
          </w:p>
        </w:tc>
        <w:tc>
          <w:tcPr>
            <w:tcW w:w="1336" w:type="dxa"/>
          </w:tcPr>
          <w:p w14:paraId="580C64AD"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20</w:t>
            </w:r>
          </w:p>
        </w:tc>
        <w:tc>
          <w:tcPr>
            <w:tcW w:w="1336" w:type="dxa"/>
          </w:tcPr>
          <w:p w14:paraId="6E7F23D3"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=F4+F3</w:t>
            </w:r>
          </w:p>
        </w:tc>
      </w:tr>
      <w:tr w:rsidR="007C28EC" w:rsidRPr="007C28EC" w14:paraId="0A565A15" w14:textId="77777777" w:rsidTr="0092081E">
        <w:tc>
          <w:tcPr>
            <w:tcW w:w="1335" w:type="dxa"/>
          </w:tcPr>
          <w:p w14:paraId="5532E7B9"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4</w:t>
            </w:r>
          </w:p>
        </w:tc>
        <w:tc>
          <w:tcPr>
            <w:tcW w:w="1335" w:type="dxa"/>
          </w:tcPr>
          <w:p w14:paraId="1CF079C7"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10</w:t>
            </w:r>
          </w:p>
        </w:tc>
        <w:tc>
          <w:tcPr>
            <w:tcW w:w="1336" w:type="dxa"/>
          </w:tcPr>
          <w:p w14:paraId="507C8B67"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=B5+B4</w:t>
            </w:r>
          </w:p>
        </w:tc>
        <w:tc>
          <w:tcPr>
            <w:tcW w:w="1336" w:type="dxa"/>
          </w:tcPr>
          <w:p w14:paraId="54FCCC87"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6</w:t>
            </w:r>
          </w:p>
        </w:tc>
        <w:tc>
          <w:tcPr>
            <w:tcW w:w="1336" w:type="dxa"/>
          </w:tcPr>
          <w:p w14:paraId="013F3648"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=D5+D4</w:t>
            </w:r>
          </w:p>
        </w:tc>
        <w:tc>
          <w:tcPr>
            <w:tcW w:w="1336" w:type="dxa"/>
          </w:tcPr>
          <w:p w14:paraId="71121676"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25</w:t>
            </w:r>
          </w:p>
        </w:tc>
        <w:tc>
          <w:tcPr>
            <w:tcW w:w="1336" w:type="dxa"/>
          </w:tcPr>
          <w:p w14:paraId="5DF49072"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=F5+F4</w:t>
            </w:r>
          </w:p>
        </w:tc>
      </w:tr>
      <w:tr w:rsidR="007C28EC" w:rsidRPr="007C28EC" w14:paraId="2229BFEE" w14:textId="77777777" w:rsidTr="0092081E">
        <w:tc>
          <w:tcPr>
            <w:tcW w:w="1335" w:type="dxa"/>
          </w:tcPr>
          <w:p w14:paraId="2DCA83FD"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5</w:t>
            </w:r>
          </w:p>
        </w:tc>
        <w:tc>
          <w:tcPr>
            <w:tcW w:w="1335" w:type="dxa"/>
          </w:tcPr>
          <w:p w14:paraId="4D3648C4"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8</w:t>
            </w:r>
          </w:p>
        </w:tc>
        <w:tc>
          <w:tcPr>
            <w:tcW w:w="1336" w:type="dxa"/>
          </w:tcPr>
          <w:p w14:paraId="36926876"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=B6+B5</w:t>
            </w:r>
          </w:p>
        </w:tc>
        <w:tc>
          <w:tcPr>
            <w:tcW w:w="1336" w:type="dxa"/>
          </w:tcPr>
          <w:p w14:paraId="29BE47DE"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6</w:t>
            </w:r>
          </w:p>
        </w:tc>
        <w:tc>
          <w:tcPr>
            <w:tcW w:w="1336" w:type="dxa"/>
          </w:tcPr>
          <w:p w14:paraId="03D7D0B1"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=D6+D5</w:t>
            </w:r>
          </w:p>
        </w:tc>
        <w:tc>
          <w:tcPr>
            <w:tcW w:w="1336" w:type="dxa"/>
          </w:tcPr>
          <w:p w14:paraId="096DBCE4"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15</w:t>
            </w:r>
          </w:p>
        </w:tc>
        <w:tc>
          <w:tcPr>
            <w:tcW w:w="1336" w:type="dxa"/>
          </w:tcPr>
          <w:p w14:paraId="51F43F35" w14:textId="77777777" w:rsidR="0092081E" w:rsidRPr="007C28EC" w:rsidRDefault="0092081E" w:rsidP="00037DCA">
            <w:pPr>
              <w:spacing w:line="360" w:lineRule="auto"/>
              <w:jc w:val="both"/>
              <w:rPr>
                <w:rFonts w:ascii="Arial" w:hAnsi="Arial" w:cs="Arial"/>
                <w:sz w:val="24"/>
              </w:rPr>
            </w:pPr>
            <w:r w:rsidRPr="007C28EC">
              <w:rPr>
                <w:rFonts w:ascii="Arial" w:hAnsi="Arial" w:cs="Arial"/>
                <w:sz w:val="24"/>
              </w:rPr>
              <w:t>=F6+F5</w:t>
            </w:r>
          </w:p>
        </w:tc>
      </w:tr>
    </w:tbl>
    <w:p w14:paraId="36B4C19D" w14:textId="77777777" w:rsidR="0092081E" w:rsidRPr="007C28EC" w:rsidRDefault="0092081E" w:rsidP="0092081E">
      <w:pPr>
        <w:spacing w:line="360" w:lineRule="auto"/>
        <w:jc w:val="both"/>
        <w:rPr>
          <w:rFonts w:ascii="Arial" w:hAnsi="Arial" w:cs="Arial"/>
          <w:sz w:val="24"/>
        </w:rPr>
      </w:pPr>
    </w:p>
    <w:sectPr w:rsidR="0092081E" w:rsidRPr="007C28EC" w:rsidSect="00EF3123">
      <w:footerReference w:type="default" r:id="rId40"/>
      <w:pgSz w:w="12240" w:h="15840"/>
      <w:pgMar w:top="1440" w:right="1440" w:bottom="1440" w:left="1440" w:header="720" w:footer="720" w:gutter="0"/>
      <w:pgBorders w:offsetFrom="page">
        <w:top w:val="flowersTiny" w:sz="14" w:space="24" w:color="auto"/>
        <w:left w:val="flowersTiny" w:sz="14" w:space="24" w:color="auto"/>
        <w:bottom w:val="flowersTiny" w:sz="14" w:space="24" w:color="auto"/>
        <w:right w:val="flowersTiny" w:sz="1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28351" w14:textId="77777777" w:rsidR="00742C85" w:rsidRDefault="00742C85" w:rsidP="002246A5">
      <w:pPr>
        <w:spacing w:after="0" w:line="240" w:lineRule="auto"/>
      </w:pPr>
      <w:r>
        <w:separator/>
      </w:r>
    </w:p>
  </w:endnote>
  <w:endnote w:type="continuationSeparator" w:id="0">
    <w:p w14:paraId="1DF6C8A2" w14:textId="77777777" w:rsidR="00742C85" w:rsidRDefault="00742C85" w:rsidP="00224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785374"/>
      <w:docPartObj>
        <w:docPartGallery w:val="Page Numbers (Bottom of Page)"/>
        <w:docPartUnique/>
      </w:docPartObj>
    </w:sdtPr>
    <w:sdtEndPr>
      <w:rPr>
        <w:noProof/>
      </w:rPr>
    </w:sdtEndPr>
    <w:sdtContent>
      <w:p w14:paraId="69C96BBD" w14:textId="77777777" w:rsidR="001B45A1" w:rsidRDefault="001B45A1">
        <w:pPr>
          <w:pStyle w:val="Footer"/>
          <w:jc w:val="center"/>
        </w:pPr>
        <w:r>
          <w:fldChar w:fldCharType="begin"/>
        </w:r>
        <w:r>
          <w:instrText xml:space="preserve"> PAGE   \* MERGEFORMAT </w:instrText>
        </w:r>
        <w:r>
          <w:fldChar w:fldCharType="separate"/>
        </w:r>
        <w:r w:rsidR="0049717E">
          <w:rPr>
            <w:noProof/>
          </w:rPr>
          <w:t>iii</w:t>
        </w:r>
        <w:r>
          <w:rPr>
            <w:noProof/>
          </w:rPr>
          <w:fldChar w:fldCharType="end"/>
        </w:r>
      </w:p>
    </w:sdtContent>
  </w:sdt>
  <w:p w14:paraId="6F3728CB" w14:textId="77777777" w:rsidR="001B45A1" w:rsidRDefault="001B45A1" w:rsidP="00037DC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417519"/>
      <w:docPartObj>
        <w:docPartGallery w:val="Page Numbers (Bottom of Page)"/>
        <w:docPartUnique/>
      </w:docPartObj>
    </w:sdtPr>
    <w:sdtEndPr>
      <w:rPr>
        <w:noProof/>
      </w:rPr>
    </w:sdtEndPr>
    <w:sdtContent>
      <w:p w14:paraId="4D95CFB3" w14:textId="77777777" w:rsidR="001B45A1" w:rsidRDefault="001B45A1">
        <w:pPr>
          <w:pStyle w:val="Footer"/>
          <w:jc w:val="center"/>
        </w:pPr>
        <w:r>
          <w:fldChar w:fldCharType="begin"/>
        </w:r>
        <w:r>
          <w:instrText xml:space="preserve"> PAGE   \* MERGEFORMAT </w:instrText>
        </w:r>
        <w:r>
          <w:fldChar w:fldCharType="separate"/>
        </w:r>
        <w:r w:rsidR="0049717E">
          <w:rPr>
            <w:noProof/>
          </w:rPr>
          <w:t>17</w:t>
        </w:r>
        <w:r>
          <w:rPr>
            <w:noProof/>
          </w:rPr>
          <w:fldChar w:fldCharType="end"/>
        </w:r>
      </w:p>
    </w:sdtContent>
  </w:sdt>
  <w:p w14:paraId="074DD442" w14:textId="77777777" w:rsidR="001B45A1" w:rsidRDefault="001B45A1" w:rsidP="00037DC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7DBE1" w14:textId="77777777" w:rsidR="00742C85" w:rsidRDefault="00742C85" w:rsidP="002246A5">
      <w:pPr>
        <w:spacing w:after="0" w:line="240" w:lineRule="auto"/>
      </w:pPr>
      <w:r>
        <w:separator/>
      </w:r>
    </w:p>
  </w:footnote>
  <w:footnote w:type="continuationSeparator" w:id="0">
    <w:p w14:paraId="2ABC70C5" w14:textId="77777777" w:rsidR="00742C85" w:rsidRDefault="00742C85" w:rsidP="002246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4F8F"/>
    <w:multiLevelType w:val="hybridMultilevel"/>
    <w:tmpl w:val="BCEC6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26925"/>
    <w:multiLevelType w:val="hybridMultilevel"/>
    <w:tmpl w:val="DAE052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D2ECB"/>
    <w:multiLevelType w:val="hybridMultilevel"/>
    <w:tmpl w:val="D0E20B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751B3"/>
    <w:multiLevelType w:val="hybridMultilevel"/>
    <w:tmpl w:val="EF0095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E4E1B"/>
    <w:multiLevelType w:val="hybridMultilevel"/>
    <w:tmpl w:val="585063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13894"/>
    <w:multiLevelType w:val="hybridMultilevel"/>
    <w:tmpl w:val="A104C8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273711"/>
    <w:multiLevelType w:val="hybridMultilevel"/>
    <w:tmpl w:val="9A2610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F1DF5"/>
    <w:multiLevelType w:val="hybridMultilevel"/>
    <w:tmpl w:val="01F2D9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070DFC"/>
    <w:multiLevelType w:val="hybridMultilevel"/>
    <w:tmpl w:val="43F8F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954466"/>
    <w:multiLevelType w:val="hybridMultilevel"/>
    <w:tmpl w:val="8974C1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6C0BF2"/>
    <w:multiLevelType w:val="hybridMultilevel"/>
    <w:tmpl w:val="0B0C21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6A2866"/>
    <w:multiLevelType w:val="hybridMultilevel"/>
    <w:tmpl w:val="33E0A6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C0286D"/>
    <w:multiLevelType w:val="multilevel"/>
    <w:tmpl w:val="388E1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EA0260"/>
    <w:multiLevelType w:val="hybridMultilevel"/>
    <w:tmpl w:val="942A8A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D60083"/>
    <w:multiLevelType w:val="hybridMultilevel"/>
    <w:tmpl w:val="91BA27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3A230D"/>
    <w:multiLevelType w:val="hybridMultilevel"/>
    <w:tmpl w:val="CBCAC2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E35E25"/>
    <w:multiLevelType w:val="hybridMultilevel"/>
    <w:tmpl w:val="E034C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8071C1"/>
    <w:multiLevelType w:val="hybridMultilevel"/>
    <w:tmpl w:val="7FC66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BC2D4A"/>
    <w:multiLevelType w:val="hybridMultilevel"/>
    <w:tmpl w:val="36386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35D0D"/>
    <w:multiLevelType w:val="multilevel"/>
    <w:tmpl w:val="1CAEC4FA"/>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DB2E01"/>
    <w:multiLevelType w:val="hybridMultilevel"/>
    <w:tmpl w:val="332C84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B1D71"/>
    <w:multiLevelType w:val="hybridMultilevel"/>
    <w:tmpl w:val="4AAE55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D8078C"/>
    <w:multiLevelType w:val="hybridMultilevel"/>
    <w:tmpl w:val="65D2B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557002"/>
    <w:multiLevelType w:val="hybridMultilevel"/>
    <w:tmpl w:val="7D14D6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552114"/>
    <w:multiLevelType w:val="hybridMultilevel"/>
    <w:tmpl w:val="451009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C22BBD"/>
    <w:multiLevelType w:val="hybridMultilevel"/>
    <w:tmpl w:val="5E4A94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8273DC"/>
    <w:multiLevelType w:val="hybridMultilevel"/>
    <w:tmpl w:val="090A22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820B8"/>
    <w:multiLevelType w:val="hybridMultilevel"/>
    <w:tmpl w:val="DFAA2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20477B"/>
    <w:multiLevelType w:val="hybridMultilevel"/>
    <w:tmpl w:val="E0E89F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062349"/>
    <w:multiLevelType w:val="hybridMultilevel"/>
    <w:tmpl w:val="BB88E4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3B6DA3"/>
    <w:multiLevelType w:val="hybridMultilevel"/>
    <w:tmpl w:val="AA5E41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6E0334"/>
    <w:multiLevelType w:val="hybridMultilevel"/>
    <w:tmpl w:val="114C1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750ED0"/>
    <w:multiLevelType w:val="hybridMultilevel"/>
    <w:tmpl w:val="F3EE84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4214664">
    <w:abstractNumId w:val="17"/>
  </w:num>
  <w:num w:numId="2" w16cid:durableId="260644672">
    <w:abstractNumId w:val="12"/>
  </w:num>
  <w:num w:numId="3" w16cid:durableId="17044210">
    <w:abstractNumId w:val="18"/>
  </w:num>
  <w:num w:numId="4" w16cid:durableId="27949996">
    <w:abstractNumId w:val="16"/>
  </w:num>
  <w:num w:numId="5" w16cid:durableId="277877276">
    <w:abstractNumId w:val="25"/>
  </w:num>
  <w:num w:numId="6" w16cid:durableId="586185989">
    <w:abstractNumId w:val="7"/>
  </w:num>
  <w:num w:numId="7" w16cid:durableId="1169909388">
    <w:abstractNumId w:val="20"/>
  </w:num>
  <w:num w:numId="8" w16cid:durableId="1352223655">
    <w:abstractNumId w:val="2"/>
  </w:num>
  <w:num w:numId="9" w16cid:durableId="665934873">
    <w:abstractNumId w:val="30"/>
  </w:num>
  <w:num w:numId="10" w16cid:durableId="1254435718">
    <w:abstractNumId w:val="14"/>
  </w:num>
  <w:num w:numId="11" w16cid:durableId="159127338">
    <w:abstractNumId w:val="13"/>
  </w:num>
  <w:num w:numId="12" w16cid:durableId="1105617272">
    <w:abstractNumId w:val="21"/>
  </w:num>
  <w:num w:numId="13" w16cid:durableId="1809395657">
    <w:abstractNumId w:val="22"/>
  </w:num>
  <w:num w:numId="14" w16cid:durableId="1317496467">
    <w:abstractNumId w:val="6"/>
  </w:num>
  <w:num w:numId="15" w16cid:durableId="1182670488">
    <w:abstractNumId w:val="29"/>
  </w:num>
  <w:num w:numId="16" w16cid:durableId="769355156">
    <w:abstractNumId w:val="23"/>
  </w:num>
  <w:num w:numId="17" w16cid:durableId="1004433795">
    <w:abstractNumId w:val="1"/>
  </w:num>
  <w:num w:numId="18" w16cid:durableId="79985987">
    <w:abstractNumId w:val="10"/>
  </w:num>
  <w:num w:numId="19" w16cid:durableId="1134178478">
    <w:abstractNumId w:val="24"/>
  </w:num>
  <w:num w:numId="20" w16cid:durableId="1961257996">
    <w:abstractNumId w:val="28"/>
  </w:num>
  <w:num w:numId="21" w16cid:durableId="557983496">
    <w:abstractNumId w:val="5"/>
  </w:num>
  <w:num w:numId="22" w16cid:durableId="50080883">
    <w:abstractNumId w:val="9"/>
  </w:num>
  <w:num w:numId="23" w16cid:durableId="1824538300">
    <w:abstractNumId w:val="3"/>
  </w:num>
  <w:num w:numId="24" w16cid:durableId="1249461160">
    <w:abstractNumId w:val="32"/>
  </w:num>
  <w:num w:numId="25" w16cid:durableId="18901472">
    <w:abstractNumId w:val="4"/>
  </w:num>
  <w:num w:numId="26" w16cid:durableId="1417440010">
    <w:abstractNumId w:val="27"/>
  </w:num>
  <w:num w:numId="27" w16cid:durableId="410391755">
    <w:abstractNumId w:val="0"/>
  </w:num>
  <w:num w:numId="28" w16cid:durableId="1260257967">
    <w:abstractNumId w:val="15"/>
  </w:num>
  <w:num w:numId="29" w16cid:durableId="1509560514">
    <w:abstractNumId w:val="8"/>
  </w:num>
  <w:num w:numId="30" w16cid:durableId="146629941">
    <w:abstractNumId w:val="26"/>
  </w:num>
  <w:num w:numId="31" w16cid:durableId="1015155572">
    <w:abstractNumId w:val="31"/>
  </w:num>
  <w:num w:numId="32" w16cid:durableId="1152525670">
    <w:abstractNumId w:val="11"/>
  </w:num>
  <w:num w:numId="33" w16cid:durableId="148062277">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DEE"/>
    <w:rsid w:val="00003321"/>
    <w:rsid w:val="000156F1"/>
    <w:rsid w:val="00023367"/>
    <w:rsid w:val="000310CD"/>
    <w:rsid w:val="00031A22"/>
    <w:rsid w:val="00036947"/>
    <w:rsid w:val="00037DCA"/>
    <w:rsid w:val="00044876"/>
    <w:rsid w:val="0004719C"/>
    <w:rsid w:val="00054A98"/>
    <w:rsid w:val="0007170B"/>
    <w:rsid w:val="000734BB"/>
    <w:rsid w:val="00074436"/>
    <w:rsid w:val="000871BF"/>
    <w:rsid w:val="00094596"/>
    <w:rsid w:val="000A13EE"/>
    <w:rsid w:val="000A1D03"/>
    <w:rsid w:val="000A677B"/>
    <w:rsid w:val="000B4152"/>
    <w:rsid w:val="000D0E32"/>
    <w:rsid w:val="000D4138"/>
    <w:rsid w:val="000D512A"/>
    <w:rsid w:val="000E172E"/>
    <w:rsid w:val="000E30ED"/>
    <w:rsid w:val="001015DA"/>
    <w:rsid w:val="001066A6"/>
    <w:rsid w:val="00121B46"/>
    <w:rsid w:val="0014360B"/>
    <w:rsid w:val="001515CA"/>
    <w:rsid w:val="0015228E"/>
    <w:rsid w:val="00163F0C"/>
    <w:rsid w:val="001700A3"/>
    <w:rsid w:val="001703A3"/>
    <w:rsid w:val="00175466"/>
    <w:rsid w:val="00182DDD"/>
    <w:rsid w:val="001852B1"/>
    <w:rsid w:val="00187293"/>
    <w:rsid w:val="0019748C"/>
    <w:rsid w:val="001A069B"/>
    <w:rsid w:val="001A1BB6"/>
    <w:rsid w:val="001A1CD6"/>
    <w:rsid w:val="001B2251"/>
    <w:rsid w:val="001B271F"/>
    <w:rsid w:val="001B45A1"/>
    <w:rsid w:val="001B4C0A"/>
    <w:rsid w:val="001B6597"/>
    <w:rsid w:val="001C04D2"/>
    <w:rsid w:val="001C5CE5"/>
    <w:rsid w:val="001C7BBC"/>
    <w:rsid w:val="001D2C40"/>
    <w:rsid w:val="001E3A3E"/>
    <w:rsid w:val="001E7B34"/>
    <w:rsid w:val="001F048F"/>
    <w:rsid w:val="001F2EB1"/>
    <w:rsid w:val="002054F6"/>
    <w:rsid w:val="002100B5"/>
    <w:rsid w:val="002178CA"/>
    <w:rsid w:val="0022395C"/>
    <w:rsid w:val="002246A5"/>
    <w:rsid w:val="00224FE3"/>
    <w:rsid w:val="002352D9"/>
    <w:rsid w:val="00247724"/>
    <w:rsid w:val="00256E48"/>
    <w:rsid w:val="00263055"/>
    <w:rsid w:val="00264010"/>
    <w:rsid w:val="00267763"/>
    <w:rsid w:val="0027493A"/>
    <w:rsid w:val="0028226D"/>
    <w:rsid w:val="002877F8"/>
    <w:rsid w:val="00293D43"/>
    <w:rsid w:val="002A08CC"/>
    <w:rsid w:val="002A0F1C"/>
    <w:rsid w:val="002A19A2"/>
    <w:rsid w:val="002B0361"/>
    <w:rsid w:val="002C0DD0"/>
    <w:rsid w:val="002C21E2"/>
    <w:rsid w:val="002C69AD"/>
    <w:rsid w:val="002D388F"/>
    <w:rsid w:val="002D6B6F"/>
    <w:rsid w:val="002E12A5"/>
    <w:rsid w:val="002E214F"/>
    <w:rsid w:val="002E4B38"/>
    <w:rsid w:val="002E53FA"/>
    <w:rsid w:val="00313AA8"/>
    <w:rsid w:val="00313E9A"/>
    <w:rsid w:val="00317AA6"/>
    <w:rsid w:val="0032073E"/>
    <w:rsid w:val="00325CB9"/>
    <w:rsid w:val="0033321D"/>
    <w:rsid w:val="0034701A"/>
    <w:rsid w:val="00347A6A"/>
    <w:rsid w:val="00360C1E"/>
    <w:rsid w:val="0036664A"/>
    <w:rsid w:val="00371815"/>
    <w:rsid w:val="003737EE"/>
    <w:rsid w:val="003779A7"/>
    <w:rsid w:val="00392E10"/>
    <w:rsid w:val="0039398E"/>
    <w:rsid w:val="003A4450"/>
    <w:rsid w:val="003B0607"/>
    <w:rsid w:val="003B255E"/>
    <w:rsid w:val="003C1611"/>
    <w:rsid w:val="003C50D7"/>
    <w:rsid w:val="003C61F1"/>
    <w:rsid w:val="003C65BC"/>
    <w:rsid w:val="003D2E7C"/>
    <w:rsid w:val="003E10C6"/>
    <w:rsid w:val="003E71E5"/>
    <w:rsid w:val="003F61AA"/>
    <w:rsid w:val="0040010A"/>
    <w:rsid w:val="0040116E"/>
    <w:rsid w:val="00416705"/>
    <w:rsid w:val="004260E1"/>
    <w:rsid w:val="00426B1D"/>
    <w:rsid w:val="00430164"/>
    <w:rsid w:val="00447298"/>
    <w:rsid w:val="00450606"/>
    <w:rsid w:val="004527C1"/>
    <w:rsid w:val="0046595B"/>
    <w:rsid w:val="00480017"/>
    <w:rsid w:val="00490D98"/>
    <w:rsid w:val="00494ABE"/>
    <w:rsid w:val="0049717E"/>
    <w:rsid w:val="004C618C"/>
    <w:rsid w:val="004D4468"/>
    <w:rsid w:val="004E16F8"/>
    <w:rsid w:val="004E4CBC"/>
    <w:rsid w:val="004E6034"/>
    <w:rsid w:val="004F1BD9"/>
    <w:rsid w:val="004F468F"/>
    <w:rsid w:val="004F4E5C"/>
    <w:rsid w:val="00503058"/>
    <w:rsid w:val="005078E5"/>
    <w:rsid w:val="00515007"/>
    <w:rsid w:val="00515566"/>
    <w:rsid w:val="0051744E"/>
    <w:rsid w:val="00520ACC"/>
    <w:rsid w:val="005215B3"/>
    <w:rsid w:val="005237D7"/>
    <w:rsid w:val="00525D65"/>
    <w:rsid w:val="00533BC9"/>
    <w:rsid w:val="00534277"/>
    <w:rsid w:val="00542D61"/>
    <w:rsid w:val="00550C55"/>
    <w:rsid w:val="0055138F"/>
    <w:rsid w:val="005638DE"/>
    <w:rsid w:val="00565D26"/>
    <w:rsid w:val="00570B0D"/>
    <w:rsid w:val="00574804"/>
    <w:rsid w:val="00586A66"/>
    <w:rsid w:val="005A5363"/>
    <w:rsid w:val="005A7143"/>
    <w:rsid w:val="005C03D2"/>
    <w:rsid w:val="005C04B2"/>
    <w:rsid w:val="005C5891"/>
    <w:rsid w:val="005C6D6F"/>
    <w:rsid w:val="005D124D"/>
    <w:rsid w:val="005D2B97"/>
    <w:rsid w:val="005E2ED7"/>
    <w:rsid w:val="005E4003"/>
    <w:rsid w:val="005F38A8"/>
    <w:rsid w:val="006120CF"/>
    <w:rsid w:val="0061618C"/>
    <w:rsid w:val="00621A56"/>
    <w:rsid w:val="00627CFE"/>
    <w:rsid w:val="00640A84"/>
    <w:rsid w:val="006434B2"/>
    <w:rsid w:val="00644488"/>
    <w:rsid w:val="00652E0C"/>
    <w:rsid w:val="0065309F"/>
    <w:rsid w:val="00657EF4"/>
    <w:rsid w:val="00662464"/>
    <w:rsid w:val="00664A77"/>
    <w:rsid w:val="00666365"/>
    <w:rsid w:val="0067069C"/>
    <w:rsid w:val="006738A6"/>
    <w:rsid w:val="0067566B"/>
    <w:rsid w:val="00683409"/>
    <w:rsid w:val="0068494E"/>
    <w:rsid w:val="00693ABB"/>
    <w:rsid w:val="00694E6F"/>
    <w:rsid w:val="00696A16"/>
    <w:rsid w:val="00696EC3"/>
    <w:rsid w:val="006A329D"/>
    <w:rsid w:val="006A7644"/>
    <w:rsid w:val="006B6D83"/>
    <w:rsid w:val="006D52F3"/>
    <w:rsid w:val="006D6850"/>
    <w:rsid w:val="006D6CFD"/>
    <w:rsid w:val="006D720E"/>
    <w:rsid w:val="006E1FA8"/>
    <w:rsid w:val="006E29AC"/>
    <w:rsid w:val="006E47FD"/>
    <w:rsid w:val="006E6188"/>
    <w:rsid w:val="006E643C"/>
    <w:rsid w:val="006F2763"/>
    <w:rsid w:val="006F3A9E"/>
    <w:rsid w:val="007020DF"/>
    <w:rsid w:val="00702EDB"/>
    <w:rsid w:val="007038DC"/>
    <w:rsid w:val="00705CC4"/>
    <w:rsid w:val="007154A6"/>
    <w:rsid w:val="007302F4"/>
    <w:rsid w:val="00734DC8"/>
    <w:rsid w:val="007416F6"/>
    <w:rsid w:val="00742C85"/>
    <w:rsid w:val="00744B29"/>
    <w:rsid w:val="00751930"/>
    <w:rsid w:val="00752E55"/>
    <w:rsid w:val="00755943"/>
    <w:rsid w:val="00773252"/>
    <w:rsid w:val="00773BF4"/>
    <w:rsid w:val="00776301"/>
    <w:rsid w:val="00783E9A"/>
    <w:rsid w:val="00792503"/>
    <w:rsid w:val="00794F25"/>
    <w:rsid w:val="00795B00"/>
    <w:rsid w:val="0079694D"/>
    <w:rsid w:val="00797FAC"/>
    <w:rsid w:val="007A7FA0"/>
    <w:rsid w:val="007B60B9"/>
    <w:rsid w:val="007C28EC"/>
    <w:rsid w:val="007C4D1A"/>
    <w:rsid w:val="007D29F5"/>
    <w:rsid w:val="007D440E"/>
    <w:rsid w:val="007E5A3B"/>
    <w:rsid w:val="007F1ABA"/>
    <w:rsid w:val="00803B4C"/>
    <w:rsid w:val="00806DCB"/>
    <w:rsid w:val="00814436"/>
    <w:rsid w:val="0082388A"/>
    <w:rsid w:val="00857507"/>
    <w:rsid w:val="008641C0"/>
    <w:rsid w:val="00865BDC"/>
    <w:rsid w:val="00865F69"/>
    <w:rsid w:val="008812A2"/>
    <w:rsid w:val="00890A64"/>
    <w:rsid w:val="008B6A30"/>
    <w:rsid w:val="008C12F1"/>
    <w:rsid w:val="008C15FF"/>
    <w:rsid w:val="008C1CBD"/>
    <w:rsid w:val="008C1F40"/>
    <w:rsid w:val="008C4F5E"/>
    <w:rsid w:val="008C5652"/>
    <w:rsid w:val="008C74DF"/>
    <w:rsid w:val="008D01C1"/>
    <w:rsid w:val="008D06B3"/>
    <w:rsid w:val="008D2814"/>
    <w:rsid w:val="008D3CE9"/>
    <w:rsid w:val="008D4839"/>
    <w:rsid w:val="008E15C6"/>
    <w:rsid w:val="008E2FA0"/>
    <w:rsid w:val="008E47CD"/>
    <w:rsid w:val="008E7448"/>
    <w:rsid w:val="008F2463"/>
    <w:rsid w:val="00900CC8"/>
    <w:rsid w:val="00901C2A"/>
    <w:rsid w:val="00905AAA"/>
    <w:rsid w:val="0091546B"/>
    <w:rsid w:val="009167F8"/>
    <w:rsid w:val="0092081E"/>
    <w:rsid w:val="00930161"/>
    <w:rsid w:val="00932640"/>
    <w:rsid w:val="009327CB"/>
    <w:rsid w:val="00932CA3"/>
    <w:rsid w:val="00932EF1"/>
    <w:rsid w:val="00933267"/>
    <w:rsid w:val="00933286"/>
    <w:rsid w:val="009370B8"/>
    <w:rsid w:val="00940A8A"/>
    <w:rsid w:val="0094785E"/>
    <w:rsid w:val="0095083C"/>
    <w:rsid w:val="00951E7B"/>
    <w:rsid w:val="00952881"/>
    <w:rsid w:val="00953F2C"/>
    <w:rsid w:val="00954A7F"/>
    <w:rsid w:val="00955519"/>
    <w:rsid w:val="009573B6"/>
    <w:rsid w:val="00957775"/>
    <w:rsid w:val="009649F2"/>
    <w:rsid w:val="0097175D"/>
    <w:rsid w:val="00977F23"/>
    <w:rsid w:val="009808EE"/>
    <w:rsid w:val="009858B9"/>
    <w:rsid w:val="0099311A"/>
    <w:rsid w:val="009B3CBE"/>
    <w:rsid w:val="009B7F07"/>
    <w:rsid w:val="009C35DE"/>
    <w:rsid w:val="009C3786"/>
    <w:rsid w:val="009C60FA"/>
    <w:rsid w:val="009D103E"/>
    <w:rsid w:val="009D2C12"/>
    <w:rsid w:val="009D49BE"/>
    <w:rsid w:val="009D790D"/>
    <w:rsid w:val="009E4696"/>
    <w:rsid w:val="009E4A11"/>
    <w:rsid w:val="009E60E4"/>
    <w:rsid w:val="009E7D9B"/>
    <w:rsid w:val="009F532A"/>
    <w:rsid w:val="009F55BA"/>
    <w:rsid w:val="009F6BCB"/>
    <w:rsid w:val="00A0416F"/>
    <w:rsid w:val="00A10809"/>
    <w:rsid w:val="00A25F7D"/>
    <w:rsid w:val="00A2603E"/>
    <w:rsid w:val="00A30417"/>
    <w:rsid w:val="00A3177E"/>
    <w:rsid w:val="00A416CE"/>
    <w:rsid w:val="00A41C6B"/>
    <w:rsid w:val="00A455D3"/>
    <w:rsid w:val="00A459A4"/>
    <w:rsid w:val="00A473AD"/>
    <w:rsid w:val="00A50380"/>
    <w:rsid w:val="00A50ED1"/>
    <w:rsid w:val="00A52DEE"/>
    <w:rsid w:val="00A5461C"/>
    <w:rsid w:val="00A56C9B"/>
    <w:rsid w:val="00A5741E"/>
    <w:rsid w:val="00A61D27"/>
    <w:rsid w:val="00A6259B"/>
    <w:rsid w:val="00A64A4D"/>
    <w:rsid w:val="00A65DD9"/>
    <w:rsid w:val="00A66D34"/>
    <w:rsid w:val="00A71D38"/>
    <w:rsid w:val="00A83B90"/>
    <w:rsid w:val="00A859D2"/>
    <w:rsid w:val="00A87EA1"/>
    <w:rsid w:val="00A91FBF"/>
    <w:rsid w:val="00A95D0A"/>
    <w:rsid w:val="00AA3071"/>
    <w:rsid w:val="00AA57C7"/>
    <w:rsid w:val="00AA5E19"/>
    <w:rsid w:val="00AA7934"/>
    <w:rsid w:val="00AB2BA7"/>
    <w:rsid w:val="00AB4B34"/>
    <w:rsid w:val="00AB54FD"/>
    <w:rsid w:val="00AB662C"/>
    <w:rsid w:val="00AC4F0E"/>
    <w:rsid w:val="00AE3903"/>
    <w:rsid w:val="00AE7B9D"/>
    <w:rsid w:val="00AF4ECE"/>
    <w:rsid w:val="00AF55F7"/>
    <w:rsid w:val="00B01242"/>
    <w:rsid w:val="00B042E3"/>
    <w:rsid w:val="00B1428C"/>
    <w:rsid w:val="00B17602"/>
    <w:rsid w:val="00B2380A"/>
    <w:rsid w:val="00B23A8D"/>
    <w:rsid w:val="00B53EC2"/>
    <w:rsid w:val="00B55A6E"/>
    <w:rsid w:val="00B62187"/>
    <w:rsid w:val="00B66BD9"/>
    <w:rsid w:val="00B71133"/>
    <w:rsid w:val="00B71F27"/>
    <w:rsid w:val="00B81A68"/>
    <w:rsid w:val="00B8387D"/>
    <w:rsid w:val="00B8573F"/>
    <w:rsid w:val="00B94FD8"/>
    <w:rsid w:val="00BA0403"/>
    <w:rsid w:val="00BA3D8F"/>
    <w:rsid w:val="00BA60EA"/>
    <w:rsid w:val="00BB7EBF"/>
    <w:rsid w:val="00BD085B"/>
    <w:rsid w:val="00BD0C3B"/>
    <w:rsid w:val="00BD7900"/>
    <w:rsid w:val="00BF04EC"/>
    <w:rsid w:val="00BF6263"/>
    <w:rsid w:val="00C07024"/>
    <w:rsid w:val="00C072CF"/>
    <w:rsid w:val="00C11C5B"/>
    <w:rsid w:val="00C169CE"/>
    <w:rsid w:val="00C22ABD"/>
    <w:rsid w:val="00C31073"/>
    <w:rsid w:val="00C33A72"/>
    <w:rsid w:val="00C45F8F"/>
    <w:rsid w:val="00C67D81"/>
    <w:rsid w:val="00C84012"/>
    <w:rsid w:val="00CA2277"/>
    <w:rsid w:val="00CB0635"/>
    <w:rsid w:val="00CB74E8"/>
    <w:rsid w:val="00CC40FD"/>
    <w:rsid w:val="00CC70D6"/>
    <w:rsid w:val="00CD1A8E"/>
    <w:rsid w:val="00CD7775"/>
    <w:rsid w:val="00CE70DF"/>
    <w:rsid w:val="00CE7B05"/>
    <w:rsid w:val="00CF7CC4"/>
    <w:rsid w:val="00D00E41"/>
    <w:rsid w:val="00D0724F"/>
    <w:rsid w:val="00D12B30"/>
    <w:rsid w:val="00D131F0"/>
    <w:rsid w:val="00D23BD0"/>
    <w:rsid w:val="00D313A2"/>
    <w:rsid w:val="00D3321B"/>
    <w:rsid w:val="00D3384D"/>
    <w:rsid w:val="00D36BF0"/>
    <w:rsid w:val="00D371EA"/>
    <w:rsid w:val="00D43663"/>
    <w:rsid w:val="00D50FBA"/>
    <w:rsid w:val="00D57340"/>
    <w:rsid w:val="00D669D7"/>
    <w:rsid w:val="00D84E07"/>
    <w:rsid w:val="00D86311"/>
    <w:rsid w:val="00D910FE"/>
    <w:rsid w:val="00D92EC0"/>
    <w:rsid w:val="00D97A4A"/>
    <w:rsid w:val="00DA12AB"/>
    <w:rsid w:val="00DA3B0A"/>
    <w:rsid w:val="00DA6AE0"/>
    <w:rsid w:val="00DB34A0"/>
    <w:rsid w:val="00DC127F"/>
    <w:rsid w:val="00DC3100"/>
    <w:rsid w:val="00DC4DC4"/>
    <w:rsid w:val="00DC7252"/>
    <w:rsid w:val="00DD1541"/>
    <w:rsid w:val="00DD5BA9"/>
    <w:rsid w:val="00DD6583"/>
    <w:rsid w:val="00DE1FC2"/>
    <w:rsid w:val="00DF345F"/>
    <w:rsid w:val="00DF41BD"/>
    <w:rsid w:val="00E02615"/>
    <w:rsid w:val="00E039D4"/>
    <w:rsid w:val="00E06623"/>
    <w:rsid w:val="00E06855"/>
    <w:rsid w:val="00E1050B"/>
    <w:rsid w:val="00E11C9F"/>
    <w:rsid w:val="00E158B7"/>
    <w:rsid w:val="00E2168D"/>
    <w:rsid w:val="00E2376A"/>
    <w:rsid w:val="00E26955"/>
    <w:rsid w:val="00E35CAE"/>
    <w:rsid w:val="00E37140"/>
    <w:rsid w:val="00E4382A"/>
    <w:rsid w:val="00E443ED"/>
    <w:rsid w:val="00E50D66"/>
    <w:rsid w:val="00E538E9"/>
    <w:rsid w:val="00E539EC"/>
    <w:rsid w:val="00E53CC1"/>
    <w:rsid w:val="00E61344"/>
    <w:rsid w:val="00E62FA9"/>
    <w:rsid w:val="00E64E65"/>
    <w:rsid w:val="00E661B5"/>
    <w:rsid w:val="00E71C0C"/>
    <w:rsid w:val="00E73FA0"/>
    <w:rsid w:val="00E76CC1"/>
    <w:rsid w:val="00E82E35"/>
    <w:rsid w:val="00E86537"/>
    <w:rsid w:val="00E878AA"/>
    <w:rsid w:val="00EC0E6F"/>
    <w:rsid w:val="00EC372D"/>
    <w:rsid w:val="00EC63DA"/>
    <w:rsid w:val="00ED3507"/>
    <w:rsid w:val="00ED3E3A"/>
    <w:rsid w:val="00ED6770"/>
    <w:rsid w:val="00ED7167"/>
    <w:rsid w:val="00EF2621"/>
    <w:rsid w:val="00EF3123"/>
    <w:rsid w:val="00EF36FA"/>
    <w:rsid w:val="00F01938"/>
    <w:rsid w:val="00F03D27"/>
    <w:rsid w:val="00F04084"/>
    <w:rsid w:val="00F04187"/>
    <w:rsid w:val="00F31D8D"/>
    <w:rsid w:val="00F379EC"/>
    <w:rsid w:val="00F37C96"/>
    <w:rsid w:val="00F42579"/>
    <w:rsid w:val="00F50995"/>
    <w:rsid w:val="00F50BDB"/>
    <w:rsid w:val="00F511EF"/>
    <w:rsid w:val="00F57F71"/>
    <w:rsid w:val="00F61974"/>
    <w:rsid w:val="00F62D32"/>
    <w:rsid w:val="00F71E6C"/>
    <w:rsid w:val="00F740A4"/>
    <w:rsid w:val="00F75296"/>
    <w:rsid w:val="00F978D5"/>
    <w:rsid w:val="00FA07F6"/>
    <w:rsid w:val="00FB567C"/>
    <w:rsid w:val="00FB747E"/>
    <w:rsid w:val="00FC0EF0"/>
    <w:rsid w:val="00FC1E56"/>
    <w:rsid w:val="00FC248B"/>
    <w:rsid w:val="00FC254C"/>
    <w:rsid w:val="00FC3D07"/>
    <w:rsid w:val="00FC4217"/>
    <w:rsid w:val="00FC56DD"/>
    <w:rsid w:val="00FD172A"/>
    <w:rsid w:val="00FD3BF2"/>
    <w:rsid w:val="00FF0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C781EAF"/>
  <w15:chartTrackingRefBased/>
  <w15:docId w15:val="{AB3A1B9E-4E29-404C-B68A-4E8064F38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E6C"/>
    <w:rPr>
      <w:lang w:val="en-GB"/>
    </w:rPr>
  </w:style>
  <w:style w:type="paragraph" w:styleId="Heading1">
    <w:name w:val="heading 1"/>
    <w:basedOn w:val="Normal"/>
    <w:next w:val="Normal"/>
    <w:link w:val="Heading1Char"/>
    <w:uiPriority w:val="9"/>
    <w:qFormat/>
    <w:rsid w:val="00640A84"/>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A473AD"/>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A473AD"/>
    <w:pPr>
      <w:keepNext/>
      <w:keepLines/>
      <w:spacing w:before="40" w:after="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qFormat/>
    <w:rsid w:val="00E11C9F"/>
    <w:pPr>
      <w:spacing w:after="0"/>
      <w:ind w:left="440" w:hanging="440"/>
      <w:jc w:val="center"/>
    </w:pPr>
    <w:rPr>
      <w:rFonts w:ascii="Arial" w:hAnsi="Arial"/>
      <w:b/>
      <w:bCs/>
      <w:i/>
      <w:iCs/>
      <w:sz w:val="20"/>
      <w:szCs w:val="20"/>
    </w:rPr>
  </w:style>
  <w:style w:type="character" w:customStyle="1" w:styleId="Heading1Char">
    <w:name w:val="Heading 1 Char"/>
    <w:basedOn w:val="DefaultParagraphFont"/>
    <w:link w:val="Heading1"/>
    <w:uiPriority w:val="9"/>
    <w:rsid w:val="00640A84"/>
    <w:rPr>
      <w:rFonts w:ascii="Arial" w:eastAsiaTheme="majorEastAsia" w:hAnsi="Arial" w:cstheme="majorBidi"/>
      <w:b/>
      <w:color w:val="000000" w:themeColor="text1"/>
      <w:sz w:val="32"/>
      <w:szCs w:val="32"/>
      <w:lang w:val="en-GB"/>
    </w:rPr>
  </w:style>
  <w:style w:type="character" w:customStyle="1" w:styleId="Heading2Char">
    <w:name w:val="Heading 2 Char"/>
    <w:basedOn w:val="DefaultParagraphFont"/>
    <w:link w:val="Heading2"/>
    <w:uiPriority w:val="9"/>
    <w:rsid w:val="00A473AD"/>
    <w:rPr>
      <w:rFonts w:ascii="Arial" w:eastAsiaTheme="majorEastAsia" w:hAnsi="Arial" w:cstheme="majorBidi"/>
      <w:b/>
      <w:color w:val="000000" w:themeColor="text1"/>
      <w:sz w:val="28"/>
      <w:szCs w:val="26"/>
      <w:lang w:val="en-GB"/>
    </w:rPr>
  </w:style>
  <w:style w:type="character" w:customStyle="1" w:styleId="Heading3Char">
    <w:name w:val="Heading 3 Char"/>
    <w:basedOn w:val="DefaultParagraphFont"/>
    <w:link w:val="Heading3"/>
    <w:uiPriority w:val="9"/>
    <w:rsid w:val="00A473AD"/>
    <w:rPr>
      <w:rFonts w:ascii="Arial" w:eastAsiaTheme="majorEastAsia" w:hAnsi="Arial" w:cstheme="majorBidi"/>
      <w:b/>
      <w:color w:val="000000" w:themeColor="text1"/>
      <w:sz w:val="24"/>
      <w:szCs w:val="24"/>
      <w:lang w:val="en-GB"/>
    </w:rPr>
  </w:style>
  <w:style w:type="paragraph" w:styleId="ListParagraph">
    <w:name w:val="List Paragraph"/>
    <w:basedOn w:val="Normal"/>
    <w:uiPriority w:val="34"/>
    <w:qFormat/>
    <w:rsid w:val="00D92EC0"/>
    <w:pPr>
      <w:ind w:left="720"/>
      <w:contextualSpacing/>
    </w:pPr>
  </w:style>
  <w:style w:type="character" w:styleId="Hyperlink">
    <w:name w:val="Hyperlink"/>
    <w:basedOn w:val="DefaultParagraphFont"/>
    <w:uiPriority w:val="99"/>
    <w:unhideWhenUsed/>
    <w:rsid w:val="00D92EC0"/>
    <w:rPr>
      <w:color w:val="0000FF"/>
      <w:u w:val="single"/>
    </w:rPr>
  </w:style>
  <w:style w:type="table" w:styleId="TableGrid">
    <w:name w:val="Table Grid"/>
    <w:basedOn w:val="TableNormal"/>
    <w:uiPriority w:val="39"/>
    <w:rsid w:val="00D92E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92EC0"/>
    <w:pPr>
      <w:spacing w:after="200" w:line="240" w:lineRule="auto"/>
    </w:pPr>
    <w:rPr>
      <w:i/>
      <w:iCs/>
      <w:color w:val="44546A" w:themeColor="text2"/>
      <w:sz w:val="18"/>
      <w:szCs w:val="18"/>
    </w:rPr>
  </w:style>
  <w:style w:type="table" w:customStyle="1" w:styleId="TableGrid1">
    <w:name w:val="Table Grid1"/>
    <w:basedOn w:val="TableNormal"/>
    <w:next w:val="TableGrid"/>
    <w:uiPriority w:val="39"/>
    <w:rsid w:val="00224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24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6A5"/>
    <w:rPr>
      <w:lang w:val="en-GB"/>
    </w:rPr>
  </w:style>
  <w:style w:type="paragraph" w:styleId="Header">
    <w:name w:val="header"/>
    <w:basedOn w:val="Normal"/>
    <w:link w:val="HeaderChar"/>
    <w:uiPriority w:val="99"/>
    <w:unhideWhenUsed/>
    <w:rsid w:val="002246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6A5"/>
    <w:rPr>
      <w:lang w:val="en-GB"/>
    </w:rPr>
  </w:style>
  <w:style w:type="paragraph" w:styleId="TOC1">
    <w:name w:val="toc 1"/>
    <w:basedOn w:val="Normal"/>
    <w:next w:val="Normal"/>
    <w:autoRedefine/>
    <w:uiPriority w:val="39"/>
    <w:unhideWhenUsed/>
    <w:rsid w:val="00662464"/>
    <w:pPr>
      <w:spacing w:after="100"/>
    </w:pPr>
  </w:style>
  <w:style w:type="paragraph" w:styleId="TOC2">
    <w:name w:val="toc 2"/>
    <w:basedOn w:val="Normal"/>
    <w:next w:val="Normal"/>
    <w:autoRedefine/>
    <w:uiPriority w:val="39"/>
    <w:unhideWhenUsed/>
    <w:rsid w:val="00662464"/>
    <w:pPr>
      <w:spacing w:after="100"/>
      <w:ind w:left="220"/>
    </w:pPr>
  </w:style>
  <w:style w:type="paragraph" w:styleId="TOC3">
    <w:name w:val="toc 3"/>
    <w:basedOn w:val="Normal"/>
    <w:next w:val="Normal"/>
    <w:autoRedefine/>
    <w:uiPriority w:val="39"/>
    <w:unhideWhenUsed/>
    <w:rsid w:val="00662464"/>
    <w:pPr>
      <w:spacing w:after="100"/>
      <w:ind w:left="440"/>
    </w:pPr>
  </w:style>
  <w:style w:type="character" w:styleId="PlaceholderText">
    <w:name w:val="Placeholder Text"/>
    <w:basedOn w:val="DefaultParagraphFont"/>
    <w:uiPriority w:val="99"/>
    <w:semiHidden/>
    <w:rsid w:val="00A473AD"/>
    <w:rPr>
      <w:color w:val="808080"/>
    </w:rPr>
  </w:style>
  <w:style w:type="character" w:customStyle="1" w:styleId="mopen">
    <w:name w:val="mopen"/>
    <w:basedOn w:val="DefaultParagraphFont"/>
    <w:rsid w:val="00313E9A"/>
  </w:style>
  <w:style w:type="character" w:customStyle="1" w:styleId="mord">
    <w:name w:val="mord"/>
    <w:basedOn w:val="DefaultParagraphFont"/>
    <w:rsid w:val="00313E9A"/>
  </w:style>
  <w:style w:type="character" w:customStyle="1" w:styleId="mpunct">
    <w:name w:val="mpunct"/>
    <w:basedOn w:val="DefaultParagraphFont"/>
    <w:rsid w:val="00313E9A"/>
  </w:style>
  <w:style w:type="character" w:customStyle="1" w:styleId="mbin">
    <w:name w:val="mbin"/>
    <w:basedOn w:val="DefaultParagraphFont"/>
    <w:rsid w:val="00313E9A"/>
  </w:style>
  <w:style w:type="character" w:customStyle="1" w:styleId="mclose">
    <w:name w:val="mclose"/>
    <w:basedOn w:val="DefaultParagraphFont"/>
    <w:rsid w:val="00313E9A"/>
  </w:style>
  <w:style w:type="character" w:customStyle="1" w:styleId="mrel">
    <w:name w:val="mrel"/>
    <w:basedOn w:val="DefaultParagraphFont"/>
    <w:rsid w:val="00263055"/>
  </w:style>
  <w:style w:type="character" w:styleId="Emphasis">
    <w:name w:val="Emphasis"/>
    <w:basedOn w:val="DefaultParagraphFont"/>
    <w:uiPriority w:val="20"/>
    <w:qFormat/>
    <w:rsid w:val="008F24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338528">
      <w:bodyDiv w:val="1"/>
      <w:marLeft w:val="0"/>
      <w:marRight w:val="0"/>
      <w:marTop w:val="0"/>
      <w:marBottom w:val="0"/>
      <w:divBdr>
        <w:top w:val="none" w:sz="0" w:space="0" w:color="auto"/>
        <w:left w:val="none" w:sz="0" w:space="0" w:color="auto"/>
        <w:bottom w:val="none" w:sz="0" w:space="0" w:color="auto"/>
        <w:right w:val="none" w:sz="0" w:space="0" w:color="auto"/>
      </w:divBdr>
    </w:div>
    <w:div w:id="731777904">
      <w:bodyDiv w:val="1"/>
      <w:marLeft w:val="0"/>
      <w:marRight w:val="0"/>
      <w:marTop w:val="0"/>
      <w:marBottom w:val="0"/>
      <w:divBdr>
        <w:top w:val="none" w:sz="0" w:space="0" w:color="auto"/>
        <w:left w:val="none" w:sz="0" w:space="0" w:color="auto"/>
        <w:bottom w:val="none" w:sz="0" w:space="0" w:color="auto"/>
        <w:right w:val="none" w:sz="0" w:space="0" w:color="auto"/>
      </w:divBdr>
    </w:div>
    <w:div w:id="758870583">
      <w:bodyDiv w:val="1"/>
      <w:marLeft w:val="0"/>
      <w:marRight w:val="0"/>
      <w:marTop w:val="0"/>
      <w:marBottom w:val="0"/>
      <w:divBdr>
        <w:top w:val="none" w:sz="0" w:space="0" w:color="auto"/>
        <w:left w:val="none" w:sz="0" w:space="0" w:color="auto"/>
        <w:bottom w:val="none" w:sz="0" w:space="0" w:color="auto"/>
        <w:right w:val="none" w:sz="0" w:space="0" w:color="auto"/>
      </w:divBdr>
    </w:div>
    <w:div w:id="1216161381">
      <w:bodyDiv w:val="1"/>
      <w:marLeft w:val="0"/>
      <w:marRight w:val="0"/>
      <w:marTop w:val="0"/>
      <w:marBottom w:val="0"/>
      <w:divBdr>
        <w:top w:val="none" w:sz="0" w:space="0" w:color="auto"/>
        <w:left w:val="none" w:sz="0" w:space="0" w:color="auto"/>
        <w:bottom w:val="none" w:sz="0" w:space="0" w:color="auto"/>
        <w:right w:val="none" w:sz="0" w:space="0" w:color="auto"/>
      </w:divBdr>
    </w:div>
    <w:div w:id="1635981387">
      <w:bodyDiv w:val="1"/>
      <w:marLeft w:val="0"/>
      <w:marRight w:val="0"/>
      <w:marTop w:val="0"/>
      <w:marBottom w:val="0"/>
      <w:divBdr>
        <w:top w:val="none" w:sz="0" w:space="0" w:color="auto"/>
        <w:left w:val="none" w:sz="0" w:space="0" w:color="auto"/>
        <w:bottom w:val="none" w:sz="0" w:space="0" w:color="auto"/>
        <w:right w:val="none" w:sz="0" w:space="0" w:color="auto"/>
      </w:divBdr>
      <w:divsChild>
        <w:div w:id="2099474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23109">
          <w:marLeft w:val="0"/>
          <w:marRight w:val="0"/>
          <w:marTop w:val="0"/>
          <w:marBottom w:val="0"/>
          <w:divBdr>
            <w:top w:val="none" w:sz="0" w:space="0" w:color="auto"/>
            <w:left w:val="none" w:sz="0" w:space="0" w:color="auto"/>
            <w:bottom w:val="none" w:sz="0" w:space="0" w:color="auto"/>
            <w:right w:val="none" w:sz="0" w:space="0" w:color="auto"/>
          </w:divBdr>
          <w:divsChild>
            <w:div w:id="23305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2231">
      <w:bodyDiv w:val="1"/>
      <w:marLeft w:val="0"/>
      <w:marRight w:val="0"/>
      <w:marTop w:val="0"/>
      <w:marBottom w:val="0"/>
      <w:divBdr>
        <w:top w:val="none" w:sz="0" w:space="0" w:color="auto"/>
        <w:left w:val="none" w:sz="0" w:space="0" w:color="auto"/>
        <w:bottom w:val="none" w:sz="0" w:space="0" w:color="auto"/>
        <w:right w:val="none" w:sz="0" w:space="0" w:color="auto"/>
      </w:divBdr>
    </w:div>
    <w:div w:id="1992058270">
      <w:bodyDiv w:val="1"/>
      <w:marLeft w:val="0"/>
      <w:marRight w:val="0"/>
      <w:marTop w:val="0"/>
      <w:marBottom w:val="0"/>
      <w:divBdr>
        <w:top w:val="none" w:sz="0" w:space="0" w:color="auto"/>
        <w:left w:val="none" w:sz="0" w:space="0" w:color="auto"/>
        <w:bottom w:val="none" w:sz="0" w:space="0" w:color="auto"/>
        <w:right w:val="none" w:sz="0" w:space="0" w:color="auto"/>
      </w:divBdr>
      <w:divsChild>
        <w:div w:id="1320616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www.researchgate.net/" TargetMode="External" /><Relationship Id="rId18" Type="http://schemas.openxmlformats.org/officeDocument/2006/relationships/hyperlink" Target="https://doi.org/10.1016/S0304-405X(01)00044-7" TargetMode="External" /><Relationship Id="rId26" Type="http://schemas.openxmlformats.org/officeDocument/2006/relationships/hyperlink" Target="https://doi.org/10.1287/mnsc.1040.0298" TargetMode="External" /><Relationship Id="rId39" Type="http://schemas.openxmlformats.org/officeDocument/2006/relationships/package" Target="embeddings/Microsoft_Excel_Worksheet4.xlsx" /><Relationship Id="rId3" Type="http://schemas.openxmlformats.org/officeDocument/2006/relationships/settings" Target="settings.xml" /><Relationship Id="rId21" Type="http://schemas.openxmlformats.org/officeDocument/2006/relationships/hyperlink" Target="https://doi.org/10.1111/0022-1082.00084" TargetMode="External" /><Relationship Id="rId34" Type="http://schemas.openxmlformats.org/officeDocument/2006/relationships/image" Target="media/image3.emf" /><Relationship Id="rId42"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hyperlink" Target="https://www.researchgate.net/" TargetMode="External" /><Relationship Id="rId17" Type="http://schemas.openxmlformats.org/officeDocument/2006/relationships/hyperlink" Target="https://doi.org/10.1016/j.jcorpfin.2005.04.003" TargetMode="External" /><Relationship Id="rId25" Type="http://schemas.openxmlformats.org/officeDocument/2006/relationships/hyperlink" Target="https://hbr.org/1996/01/using-the-balanced-scorecard-as-a-strategic-management-system" TargetMode="External" /><Relationship Id="rId33" Type="http://schemas.openxmlformats.org/officeDocument/2006/relationships/package" Target="embeddings/Microsoft_Excel_Worksheet1.xlsx" /><Relationship Id="rId38" Type="http://schemas.openxmlformats.org/officeDocument/2006/relationships/image" Target="media/image5.emf" /><Relationship Id="rId2" Type="http://schemas.openxmlformats.org/officeDocument/2006/relationships/styles" Target="styles.xml" /><Relationship Id="rId16" Type="http://schemas.openxmlformats.org/officeDocument/2006/relationships/hyperlink" Target="https://www.cengage.com/c/business-analysis-and-valuation-ifrs-edition-6e-palepu/" TargetMode="External" /><Relationship Id="rId20" Type="http://schemas.openxmlformats.org/officeDocument/2006/relationships/hyperlink" Target="https://doi.org/10.2307/2490395" TargetMode="External" /><Relationship Id="rId29" Type="http://schemas.openxmlformats.org/officeDocument/2006/relationships/hyperlink" Target="https://doi.org/10.1111/j.1540-6261.1997.tb03813.x" TargetMode="External" /><Relationship Id="rId41"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orporatefinanceinstitute.com/resources/accounting/altmans-z-score-model/" TargetMode="External" /><Relationship Id="rId24" Type="http://schemas.openxmlformats.org/officeDocument/2006/relationships/hyperlink" Target="https://doi.org/10.2308/accr-50359" TargetMode="External" /><Relationship Id="rId32" Type="http://schemas.openxmlformats.org/officeDocument/2006/relationships/image" Target="media/image2.emf" /><Relationship Id="rId37" Type="http://schemas.openxmlformats.org/officeDocument/2006/relationships/package" Target="embeddings/Microsoft_Excel_Worksheet3.xlsx" /><Relationship Id="rId40"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www.pearson.com/en-gb/subject-catalog/p/financial-management-for-decision-makers/P200000006470" TargetMode="External" /><Relationship Id="rId23" Type="http://schemas.openxmlformats.org/officeDocument/2006/relationships/hyperlink" Target="https://doi.org/10.1016/0304-405X(77)90015-0" TargetMode="External" /><Relationship Id="rId28" Type="http://schemas.openxmlformats.org/officeDocument/2006/relationships/hyperlink" Target="https://doi.org/10.1093/rfs/hhn044" TargetMode="External" /><Relationship Id="rId36" Type="http://schemas.openxmlformats.org/officeDocument/2006/relationships/image" Target="media/image4.emf" /><Relationship Id="rId10" Type="http://schemas.openxmlformats.org/officeDocument/2006/relationships/hyperlink" Target="https://papers.ssrn.com/" TargetMode="External" /><Relationship Id="rId19" Type="http://schemas.openxmlformats.org/officeDocument/2006/relationships/hyperlink" Target="https://doi.org/10.1007/BF02920497" TargetMode="External" /><Relationship Id="rId31" Type="http://schemas.openxmlformats.org/officeDocument/2006/relationships/hyperlink" Target="https://doi.org/10.1016/S0165-4101(98)00020-2" TargetMode="External" /><Relationship Id="rId4" Type="http://schemas.openxmlformats.org/officeDocument/2006/relationships/webSettings" Target="webSettings.xml" /><Relationship Id="rId9" Type="http://schemas.openxmlformats.org/officeDocument/2006/relationships/hyperlink" Target="https://www.mheducation.com/highered/product/principles-corporate-finance-brealey/M9781264101573.html" TargetMode="External" /><Relationship Id="rId14" Type="http://schemas.openxmlformats.org/officeDocument/2006/relationships/hyperlink" Target="https://www.cengage.com/c/intermediate-financial-management-14e-brigham/" TargetMode="External" /><Relationship Id="rId22" Type="http://schemas.openxmlformats.org/officeDocument/2006/relationships/hyperlink" Target="https://doi.org/10.2307/2937924" TargetMode="External" /><Relationship Id="rId27" Type="http://schemas.openxmlformats.org/officeDocument/2006/relationships/hyperlink" Target="https://doi.org/10.1093/rfs/10.3.661" TargetMode="External" /><Relationship Id="rId30" Type="http://schemas.openxmlformats.org/officeDocument/2006/relationships/hyperlink" Target="https://doi.org/10.1016/0304-405X(84)90023-0" TargetMode="External" /><Relationship Id="rId35" Type="http://schemas.openxmlformats.org/officeDocument/2006/relationships/package" Target="embeddings/Microsoft_Excel_Worksheet2.xlsx"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7685</Words>
  <Characters>43808</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Sultana Akter</cp:lastModifiedBy>
  <cp:revision>2</cp:revision>
  <dcterms:created xsi:type="dcterms:W3CDTF">2025-12-21T03:00:00Z</dcterms:created>
  <dcterms:modified xsi:type="dcterms:W3CDTF">2025-12-21T03:00:00Z</dcterms:modified>
</cp:coreProperties>
</file>