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FBE855D" w14:textId="77777777" w:rsidR="002D7DFF" w:rsidRPr="00FA587F" w:rsidRDefault="002D7DFF" w:rsidP="00FA587F">
      <w:pPr>
        <w:spacing w:line="360" w:lineRule="auto"/>
        <w:rPr>
          <w:rFonts w:cs="Segoe UI"/>
          <w:color w:val="414042"/>
        </w:rPr>
      </w:pPr>
      <w:bookmarkStart w:id="0" w:name="_GoBack"/>
      <w:bookmarkEnd w:id="0"/>
      <w:r w:rsidRPr="00FA587F">
        <w:t>Supportive paper for discussion</w:t>
      </w:r>
      <w:r w:rsidRPr="00FA587F">
        <w:br/>
      </w:r>
      <w:r w:rsidRPr="00FA587F">
        <w:br/>
        <w:t xml:space="preserve">Dementia is rapidly increasing and there are currently 850,000 people living with dementia within the United Kingdom (UK), Dementia Org (2019). </w:t>
      </w:r>
      <w:r w:rsidRPr="00FA587F">
        <w:br/>
        <w:t xml:space="preserve">This supportive paper will reflect upon the issues of dementia and how it affects people suffering or people who are near diagnosis of dementia and how early diagnosis benefits individuals.  It will also discuss how it affects family, medical professionals and the community around those who suffer as well as how it can affect the individual. </w:t>
      </w:r>
      <w:r w:rsidRPr="00FA587F">
        <w:br/>
        <w:t xml:space="preserve">     </w:t>
      </w:r>
      <w:proofErr w:type="spellStart"/>
      <w:proofErr w:type="gramStart"/>
      <w:r w:rsidRPr="00FA587F">
        <w:t>Nhs</w:t>
      </w:r>
      <w:proofErr w:type="spellEnd"/>
      <w:proofErr w:type="gramEnd"/>
      <w:r w:rsidRPr="00FA587F">
        <w:t xml:space="preserve"> UK (2019) describe living with dementia as having a big emotional, social, practical and psychological impact. Dementia UK (2019) continue this and state that an individuals who suffers with dementia feel that these impacts have a series of losses and having to adjust to these changes are challenging. Relatives living or having a loved one suffer dementia can go through these same challenges Ray (2016) explains. Gove et al (2016) states that relatives can go through many different feelings such as guilt, grief and loss and also anger. </w:t>
      </w:r>
      <w:proofErr w:type="spellStart"/>
      <w:r w:rsidRPr="00FA587F">
        <w:t>Mapes</w:t>
      </w:r>
      <w:proofErr w:type="spellEnd"/>
      <w:r w:rsidRPr="00FA587F">
        <w:t xml:space="preserve"> (2018) explains that the guilt comes from the way they might have treated the person before they were diagnosed with dementia, the person can feel embarrassed for losing tempers or feeling that they don’t want the responsibility of caring for their relative before diagnosis. Bartlett (2014) says that a relative can also feel grief as this is a resp</w:t>
      </w:r>
      <w:r w:rsidR="00BD17C6" w:rsidRPr="00FA587F">
        <w:t xml:space="preserve">onse to a loss, this loss comes. </w:t>
      </w:r>
      <w:r w:rsidR="00BD17C6" w:rsidRPr="00FA587F">
        <w:br/>
        <w:t xml:space="preserve">      In 2016 Gove et al (2017) conducted a study in order to find out if early diagnosis can affected the way in which general practitioners perceive dementia. His findings showed that General practitioners often find there is a stigma with dementia but believe that it is slowly becoming overcome but admit that there should be more information and guidance in order to help diagnose patients earlier as it has a big impact on a way a dementia patient suffers as well as the facilities needed and is more cost effective. </w:t>
      </w:r>
      <w:proofErr w:type="spellStart"/>
      <w:r w:rsidR="00BD17C6" w:rsidRPr="00FA587F">
        <w:t>Mapes</w:t>
      </w:r>
      <w:proofErr w:type="spellEnd"/>
      <w:r w:rsidR="00BD17C6" w:rsidRPr="00FA587F">
        <w:t xml:space="preserve"> (2018) furthers this and explains that he thinks General </w:t>
      </w:r>
      <w:proofErr w:type="spellStart"/>
      <w:proofErr w:type="gramStart"/>
      <w:r w:rsidR="00BD17C6" w:rsidRPr="00FA587F">
        <w:t>practioners</w:t>
      </w:r>
      <w:proofErr w:type="spellEnd"/>
      <w:proofErr w:type="gramEnd"/>
      <w:r w:rsidR="00BD17C6" w:rsidRPr="00FA587F">
        <w:t xml:space="preserve"> should undertake their own training and explore their own perception of dementia to help with becoming aware of early signs, symptoms and making that first move that could lead to early diagnosis. </w:t>
      </w:r>
      <w:r w:rsidR="00BD17C6" w:rsidRPr="00FA587F">
        <w:br/>
        <w:t xml:space="preserve">Routledge (2018), believes that early diagnosis can also be the responsibility of friends and family of the individual. He states that with the increasing awareness of dementia campaigns friends and family who notice any changes in behaviour of the individual should seek medical attention for that individual. This can leave to early treatment and a change in lifestyle in order to slow the onset of dementia. </w:t>
      </w:r>
      <w:r w:rsidR="00BD17C6" w:rsidRPr="00FA587F">
        <w:br/>
      </w:r>
      <w:proofErr w:type="spellStart"/>
      <w:r w:rsidR="00BD17C6" w:rsidRPr="00FA587F">
        <w:t>Gov</w:t>
      </w:r>
      <w:proofErr w:type="spellEnd"/>
      <w:r w:rsidR="00BD17C6" w:rsidRPr="00FA587F">
        <w:t xml:space="preserve">, UK (2019) believe we should become a dementia friendly nation and that we should recognise that not one organisation alone can do this. The Welsh government believe that by working together </w:t>
      </w:r>
      <w:r w:rsidR="00BD17C6" w:rsidRPr="00FA587F">
        <w:lastRenderedPageBreak/>
        <w:t>through multi-</w:t>
      </w:r>
      <w:proofErr w:type="spellStart"/>
      <w:r w:rsidR="00BD17C6" w:rsidRPr="00FA587F">
        <w:t>agencys</w:t>
      </w:r>
      <w:proofErr w:type="spellEnd"/>
      <w:r w:rsidR="00BD17C6" w:rsidRPr="00FA587F">
        <w:t xml:space="preserve"> will have greater potential and can promote a dementia centred service. </w:t>
      </w:r>
      <w:r w:rsidR="00BD17C6" w:rsidRPr="00FA587F">
        <w:br/>
        <w:t xml:space="preserve">     Recent discussions debated on whether or not a person suffering with dementia should have surgery. Dr Hermann (2017) states that there have been many studies over the years that have attempted to answer the question. He reveals that the results of these studies have often been conflicting because some studies have shown there to be an increased risk of dementia or cognitive impairment following surgery, whilst others have suggested there to be no risks to surgery at all. </w:t>
      </w:r>
      <w:proofErr w:type="spellStart"/>
      <w:r w:rsidR="00BD17C6" w:rsidRPr="00FA587F">
        <w:t>Gajdos</w:t>
      </w:r>
      <w:proofErr w:type="spellEnd"/>
      <w:r w:rsidR="00BD17C6" w:rsidRPr="00FA587F">
        <w:t xml:space="preserve"> (2015) explains that these discrepancies are that the results will depend on a multitude of factors which include, the patient’s age, medical conditions and pre-existing cognitive impairment.</w:t>
      </w:r>
      <w:r w:rsidR="00BD17C6" w:rsidRPr="00FA587F">
        <w:br/>
      </w:r>
      <w:proofErr w:type="spellStart"/>
      <w:r w:rsidR="00BD17C6" w:rsidRPr="00FA587F">
        <w:t>Bellelli</w:t>
      </w:r>
      <w:proofErr w:type="spellEnd"/>
      <w:r w:rsidR="00BD17C6" w:rsidRPr="00FA587F">
        <w:t xml:space="preserve"> et al (2016) continues this and says that with the conflicting results of the many studies carried out, we should be concerned at the findings that surgical procedures can affect cognitions which lead to inflammation and immunological responses that can negatively affect the brain. </w:t>
      </w:r>
      <w:r w:rsidR="00BD17C6" w:rsidRPr="00FA587F">
        <w:br/>
      </w:r>
      <w:proofErr w:type="spellStart"/>
      <w:r w:rsidR="00BD17C6" w:rsidRPr="00FA587F">
        <w:t>Gajdos</w:t>
      </w:r>
      <w:proofErr w:type="spellEnd"/>
      <w:r w:rsidR="00BD17C6" w:rsidRPr="00FA587F">
        <w:t xml:space="preserve"> (2015) explains that during surgery the blood flow to the brain can become impaired because of the changing fluid level or potential blood loss. Baker et al (2017) furthers this and states that some surgical procedures can directly increase the risk of the individual having a small stroke and also the anaesthetic drugs can have a potential to impair memory and cognitive function. </w:t>
      </w:r>
      <w:proofErr w:type="spellStart"/>
      <w:r w:rsidR="00BD17C6" w:rsidRPr="00FA587F">
        <w:t>Bellelli</w:t>
      </w:r>
      <w:proofErr w:type="spellEnd"/>
      <w:r w:rsidR="00BD17C6" w:rsidRPr="00FA587F">
        <w:t xml:space="preserve"> et al (2016) similarly states that the pain and medication given to an individual after surgery to treat pain and other complication could also have an impact or impair cognition. </w:t>
      </w:r>
      <w:r w:rsidR="00BD17C6" w:rsidRPr="00FA587F">
        <w:br/>
        <w:t xml:space="preserve">Kumar (2017) explains that it’s not just the risks that are posed on a dementia suffering having surgery, it’s getting them to the surgery. He continues and states that consent is very important and that patients with early dementia are often able to participate I their decision making process related to their care. However, there are many patients who have a significant decline in their cognitive function who have limited decision making capacity to make informed choice on their care. </w:t>
      </w:r>
      <w:r w:rsidR="00BD17C6" w:rsidRPr="00FA587F">
        <w:br/>
        <w:t>Alzheimer’s Org (2018) states that under the Mental Capacity Act 2005, decisions should ultimately be made by clinicians on the patient’s behalf with their best interests at the centre of every decision.</w:t>
      </w:r>
      <w:r w:rsidR="00BD17C6" w:rsidRPr="00FA587F">
        <w:br/>
      </w:r>
      <w:r w:rsidR="00BD17C6" w:rsidRPr="00FA587F">
        <w:br/>
        <w:t xml:space="preserve">In conclusion, this supportive paper has revealed the prevalence of dementia and discussed issues revolving around dementia and how it not only affects the individual but how it can affect family, friends and the community around them. It has discussed early diagnosis and whether or not early diagnosis is essential in helping a person who has onset dementia. It has also discussed surgery and whether or not dementia patients should have surgery. Whilst there were many studies revealing the conflicting interest of dementia patients having surgery, today there are still conflicting interest and there is not indefinite answer. However, due to the </w:t>
      </w:r>
      <w:proofErr w:type="gramStart"/>
      <w:r w:rsidR="00BD17C6" w:rsidRPr="00FA587F">
        <w:t>Mental</w:t>
      </w:r>
      <w:proofErr w:type="gramEnd"/>
      <w:r w:rsidR="00BD17C6" w:rsidRPr="00FA587F">
        <w:t xml:space="preserve"> capacity act 2005, these conflict of interest are at the discrepancy of the patient with mental capacity or the clinician for those who lack capacity. </w:t>
      </w:r>
      <w:r w:rsidR="00BD17C6" w:rsidRPr="00FA587F">
        <w:br/>
      </w:r>
      <w:r w:rsidRPr="00FA587F">
        <w:lastRenderedPageBreak/>
        <w:br/>
      </w:r>
    </w:p>
    <w:p w14:paraId="3B0F1EBF" w14:textId="77777777" w:rsidR="00BD17C6" w:rsidRPr="00BD17C6" w:rsidRDefault="00BD17C6" w:rsidP="00FA587F">
      <w:pPr>
        <w:shd w:val="clear" w:color="auto" w:fill="FFFFFF"/>
        <w:spacing w:after="450" w:line="360" w:lineRule="auto"/>
        <w:textAlignment w:val="baseline"/>
        <w:rPr>
          <w:rFonts w:eastAsia="Times New Roman" w:cs="Times New Roman"/>
          <w:color w:val="444444"/>
          <w:lang w:eastAsia="en-GB"/>
        </w:rPr>
      </w:pPr>
      <w:proofErr w:type="spellStart"/>
      <w:r w:rsidRPr="00FA587F">
        <w:rPr>
          <w:color w:val="000000"/>
        </w:rPr>
        <w:t>Alzehimers</w:t>
      </w:r>
      <w:proofErr w:type="spellEnd"/>
      <w:r w:rsidRPr="00FA587F">
        <w:rPr>
          <w:color w:val="000000"/>
        </w:rPr>
        <w:t xml:space="preserve"> Society. (2019). </w:t>
      </w:r>
      <w:r w:rsidRPr="00FA587F">
        <w:rPr>
          <w:i/>
          <w:iCs/>
          <w:color w:val="000000"/>
        </w:rPr>
        <w:t>Understanding and supporting a person with dementia.</w:t>
      </w:r>
      <w:r w:rsidRPr="00FA587F">
        <w:rPr>
          <w:color w:val="000000"/>
        </w:rPr>
        <w:t> Available: Understanding and supporting a person with dementia. Last accessed 16/03/2019.</w:t>
      </w:r>
      <w:r w:rsidRPr="00FA587F">
        <w:rPr>
          <w:rStyle w:val="element-citation"/>
          <w:color w:val="000000"/>
          <w:shd w:val="clear" w:color="auto" w:fill="FFFFFF"/>
        </w:rPr>
        <w:t xml:space="preserve"> B</w:t>
      </w:r>
      <w:r w:rsidRPr="00FA587F">
        <w:rPr>
          <w:rStyle w:val="element-citation"/>
          <w:color w:val="000000"/>
          <w:shd w:val="clear" w:color="auto" w:fill="FFFFFF"/>
        </w:rPr>
        <w:br/>
      </w:r>
      <w:r w:rsidRPr="00FA587F">
        <w:rPr>
          <w:rStyle w:val="element-citation"/>
          <w:color w:val="000000"/>
          <w:shd w:val="clear" w:color="auto" w:fill="FFFFFF"/>
        </w:rPr>
        <w:br/>
        <w:t xml:space="preserve">Baker , Cook MN, </w:t>
      </w:r>
      <w:proofErr w:type="spellStart"/>
      <w:r w:rsidRPr="00FA587F">
        <w:rPr>
          <w:rStyle w:val="element-citation"/>
          <w:color w:val="000000"/>
          <w:shd w:val="clear" w:color="auto" w:fill="FFFFFF"/>
        </w:rPr>
        <w:t>Arrighi</w:t>
      </w:r>
      <w:proofErr w:type="spellEnd"/>
      <w:r w:rsidRPr="00FA587F">
        <w:rPr>
          <w:rStyle w:val="element-citation"/>
          <w:color w:val="000000"/>
          <w:shd w:val="clear" w:color="auto" w:fill="FFFFFF"/>
        </w:rPr>
        <w:t xml:space="preserve"> HM, Bullock R. ( 2017) Hip fracture risk and subsequent mortality among Alzheimer's disease patients in the United Kingdom, 1988-2007. </w:t>
      </w:r>
      <w:r w:rsidRPr="00FA587F">
        <w:rPr>
          <w:rStyle w:val="ref-journal"/>
          <w:color w:val="000000"/>
          <w:shd w:val="clear" w:color="auto" w:fill="FFFFFF"/>
        </w:rPr>
        <w:t>Age Ageing. </w:t>
      </w:r>
      <w:r w:rsidRPr="00FA587F">
        <w:rPr>
          <w:rStyle w:val="ref-vol"/>
          <w:color w:val="000000"/>
          <w:shd w:val="clear" w:color="auto" w:fill="FFFFFF"/>
        </w:rPr>
        <w:t xml:space="preserve"> </w:t>
      </w:r>
      <w:r w:rsidRPr="00FA587F">
        <w:rPr>
          <w:rStyle w:val="element-citation"/>
          <w:color w:val="000000"/>
          <w:shd w:val="clear" w:color="auto" w:fill="FFFFFF"/>
        </w:rPr>
        <w:t>49–54</w:t>
      </w:r>
      <w:proofErr w:type="gramStart"/>
      <w:r w:rsidRPr="00FA587F">
        <w:rPr>
          <w:rStyle w:val="element-citation"/>
          <w:color w:val="000000"/>
          <w:shd w:val="clear" w:color="auto" w:fill="FFFFFF"/>
        </w:rPr>
        <w:t>:.</w:t>
      </w:r>
      <w:proofErr w:type="gramEnd"/>
      <w:r w:rsidRPr="00FA587F">
        <w:rPr>
          <w:rStyle w:val="element-citation"/>
          <w:color w:val="000000"/>
          <w:shd w:val="clear" w:color="auto" w:fill="FFFFFF"/>
        </w:rPr>
        <w:t> </w:t>
      </w:r>
      <w:r w:rsidRPr="00FA587F">
        <w:rPr>
          <w:rStyle w:val="element-citation"/>
          <w:color w:val="000000"/>
          <w:shd w:val="clear" w:color="auto" w:fill="FFFFFF"/>
        </w:rPr>
        <w:br/>
      </w:r>
      <w:r w:rsidRPr="00FA587F">
        <w:rPr>
          <w:rStyle w:val="nowrap"/>
          <w:color w:val="000000"/>
        </w:rPr>
        <w:br/>
      </w:r>
      <w:r w:rsidRPr="00FA587F">
        <w:t>Bartlett (2014). The emergent modes of dementia activism. Cambridge University. PP. 620-623</w:t>
      </w:r>
      <w:r w:rsidRPr="00FA587F">
        <w:br/>
      </w:r>
      <w:r w:rsidRPr="00FA587F">
        <w:rPr>
          <w:rStyle w:val="nowrap"/>
          <w:color w:val="000000"/>
        </w:rPr>
        <w:br/>
      </w:r>
      <w:proofErr w:type="spellStart"/>
      <w:r w:rsidRPr="00FA587F">
        <w:rPr>
          <w:rStyle w:val="element-citation"/>
          <w:color w:val="000000"/>
          <w:shd w:val="clear" w:color="auto" w:fill="FFFFFF"/>
        </w:rPr>
        <w:t>Bellelli</w:t>
      </w:r>
      <w:proofErr w:type="spellEnd"/>
      <w:r w:rsidRPr="00FA587F">
        <w:rPr>
          <w:rStyle w:val="element-citation"/>
          <w:color w:val="000000"/>
          <w:shd w:val="clear" w:color="auto" w:fill="FFFFFF"/>
        </w:rPr>
        <w:t xml:space="preserve"> G, Mazzola P, </w:t>
      </w:r>
      <w:proofErr w:type="spellStart"/>
      <w:r w:rsidRPr="00FA587F">
        <w:rPr>
          <w:rStyle w:val="element-citation"/>
          <w:color w:val="000000"/>
          <w:shd w:val="clear" w:color="auto" w:fill="FFFFFF"/>
        </w:rPr>
        <w:t>Morandi</w:t>
      </w:r>
      <w:proofErr w:type="spellEnd"/>
      <w:r w:rsidRPr="00FA587F">
        <w:rPr>
          <w:rStyle w:val="element-citation"/>
          <w:color w:val="000000"/>
          <w:shd w:val="clear" w:color="auto" w:fill="FFFFFF"/>
        </w:rPr>
        <w:t xml:space="preserve"> A, </w:t>
      </w:r>
      <w:proofErr w:type="spellStart"/>
      <w:r w:rsidRPr="00FA587F">
        <w:rPr>
          <w:rStyle w:val="element-citation"/>
          <w:color w:val="000000"/>
          <w:shd w:val="clear" w:color="auto" w:fill="FFFFFF"/>
        </w:rPr>
        <w:t>Bruni</w:t>
      </w:r>
      <w:proofErr w:type="spellEnd"/>
      <w:r w:rsidRPr="00FA587F">
        <w:rPr>
          <w:rStyle w:val="element-citation"/>
          <w:color w:val="000000"/>
          <w:shd w:val="clear" w:color="auto" w:fill="FFFFFF"/>
        </w:rPr>
        <w:t xml:space="preserve"> A, </w:t>
      </w:r>
      <w:proofErr w:type="spellStart"/>
      <w:r w:rsidRPr="00FA587F">
        <w:rPr>
          <w:rStyle w:val="element-citation"/>
          <w:color w:val="000000"/>
          <w:shd w:val="clear" w:color="auto" w:fill="FFFFFF"/>
        </w:rPr>
        <w:t>Carnevali</w:t>
      </w:r>
      <w:proofErr w:type="spellEnd"/>
      <w:r w:rsidRPr="00FA587F">
        <w:rPr>
          <w:rStyle w:val="element-citation"/>
          <w:color w:val="000000"/>
          <w:shd w:val="clear" w:color="auto" w:fill="FFFFFF"/>
        </w:rPr>
        <w:t xml:space="preserve"> L, </w:t>
      </w:r>
      <w:proofErr w:type="spellStart"/>
      <w:r w:rsidRPr="00FA587F">
        <w:rPr>
          <w:rStyle w:val="element-citation"/>
          <w:color w:val="000000"/>
          <w:shd w:val="clear" w:color="auto" w:fill="FFFFFF"/>
        </w:rPr>
        <w:t>Corsi</w:t>
      </w:r>
      <w:proofErr w:type="spellEnd"/>
      <w:r w:rsidRPr="00FA587F">
        <w:rPr>
          <w:rStyle w:val="element-citation"/>
          <w:color w:val="000000"/>
          <w:shd w:val="clear" w:color="auto" w:fill="FFFFFF"/>
        </w:rPr>
        <w:t xml:space="preserve"> M, et al (2016). Duration of postoperative delirium is an independent predictor of 6-month mortality in older adults after hip fracture. </w:t>
      </w:r>
      <w:r w:rsidRPr="00FA587F">
        <w:rPr>
          <w:rStyle w:val="ref-journal"/>
          <w:color w:val="000000"/>
          <w:shd w:val="clear" w:color="auto" w:fill="FFFFFF"/>
        </w:rPr>
        <w:t xml:space="preserve">J Am </w:t>
      </w:r>
      <w:proofErr w:type="spellStart"/>
      <w:r w:rsidRPr="00FA587F">
        <w:rPr>
          <w:rStyle w:val="ref-journal"/>
          <w:color w:val="000000"/>
          <w:shd w:val="clear" w:color="auto" w:fill="FFFFFF"/>
        </w:rPr>
        <w:t>Geriatr</w:t>
      </w:r>
      <w:proofErr w:type="spellEnd"/>
      <w:r w:rsidRPr="00FA587F">
        <w:rPr>
          <w:rStyle w:val="ref-journal"/>
          <w:color w:val="000000"/>
          <w:shd w:val="clear" w:color="auto" w:fill="FFFFFF"/>
        </w:rPr>
        <w:t xml:space="preserve"> Soc. </w:t>
      </w:r>
      <w:r w:rsidRPr="00FA587F">
        <w:rPr>
          <w:rStyle w:val="element-citation"/>
          <w:color w:val="000000"/>
          <w:shd w:val="clear" w:color="auto" w:fill="FFFFFF"/>
        </w:rPr>
        <w:t>63-64</w:t>
      </w:r>
      <w:r w:rsidRPr="00FA587F">
        <w:rPr>
          <w:rStyle w:val="element-citation"/>
          <w:color w:val="000000"/>
          <w:shd w:val="clear" w:color="auto" w:fill="FFFFFF"/>
        </w:rPr>
        <w:br/>
      </w:r>
      <w:r w:rsidRPr="00FA587F">
        <w:rPr>
          <w:rStyle w:val="element-citation"/>
          <w:color w:val="000000"/>
          <w:shd w:val="clear" w:color="auto" w:fill="FFFFFF"/>
        </w:rPr>
        <w:br/>
      </w:r>
      <w:proofErr w:type="spellStart"/>
      <w:r w:rsidRPr="00FA587F">
        <w:rPr>
          <w:rStyle w:val="element-citation"/>
          <w:color w:val="000000"/>
          <w:shd w:val="clear" w:color="auto" w:fill="FFFFFF"/>
        </w:rPr>
        <w:t>Gajdos</w:t>
      </w:r>
      <w:proofErr w:type="spellEnd"/>
      <w:r w:rsidRPr="00FA587F">
        <w:rPr>
          <w:rStyle w:val="element-citation"/>
          <w:color w:val="000000"/>
          <w:shd w:val="clear" w:color="auto" w:fill="FFFFFF"/>
        </w:rPr>
        <w:t xml:space="preserve"> C, </w:t>
      </w:r>
      <w:proofErr w:type="spellStart"/>
      <w:r w:rsidRPr="00FA587F">
        <w:rPr>
          <w:rStyle w:val="element-citation"/>
          <w:color w:val="000000"/>
          <w:shd w:val="clear" w:color="auto" w:fill="FFFFFF"/>
        </w:rPr>
        <w:t>Kile</w:t>
      </w:r>
      <w:proofErr w:type="spellEnd"/>
      <w:r w:rsidRPr="00FA587F">
        <w:rPr>
          <w:rStyle w:val="element-citation"/>
          <w:color w:val="000000"/>
          <w:shd w:val="clear" w:color="auto" w:fill="FFFFFF"/>
        </w:rPr>
        <w:t xml:space="preserve"> D, Hawn MT, Finlayson E, Henderson WG, Robinson TN (2015). The significance of preoperative impaired sensorium on surgical outcomes in non-emergent general surgical operations. </w:t>
      </w:r>
      <w:r w:rsidRPr="00FA587F">
        <w:rPr>
          <w:rStyle w:val="ref-journal"/>
          <w:color w:val="000000"/>
          <w:shd w:val="clear" w:color="auto" w:fill="FFFFFF"/>
        </w:rPr>
        <w:t xml:space="preserve">JAMA </w:t>
      </w:r>
      <w:proofErr w:type="spellStart"/>
      <w:proofErr w:type="gramStart"/>
      <w:r w:rsidRPr="00FA587F">
        <w:rPr>
          <w:rStyle w:val="ref-journal"/>
          <w:color w:val="000000"/>
          <w:shd w:val="clear" w:color="auto" w:fill="FFFFFF"/>
        </w:rPr>
        <w:t>Surg</w:t>
      </w:r>
      <w:proofErr w:type="spellEnd"/>
      <w:r w:rsidRPr="00FA587F">
        <w:rPr>
          <w:rStyle w:val="ref-journal"/>
          <w:color w:val="000000"/>
          <w:shd w:val="clear" w:color="auto" w:fill="FFFFFF"/>
        </w:rPr>
        <w:t xml:space="preserve"> </w:t>
      </w:r>
      <w:r w:rsidRPr="00FA587F">
        <w:rPr>
          <w:rStyle w:val="element-citation"/>
          <w:color w:val="000000"/>
          <w:shd w:val="clear" w:color="auto" w:fill="FFFFFF"/>
        </w:rPr>
        <w:t>:</w:t>
      </w:r>
      <w:proofErr w:type="gramEnd"/>
      <w:r w:rsidRPr="00FA587F">
        <w:rPr>
          <w:rStyle w:val="element-citation"/>
          <w:color w:val="000000"/>
          <w:shd w:val="clear" w:color="auto" w:fill="FFFFFF"/>
        </w:rPr>
        <w:t xml:space="preserve"> 30–36.</w:t>
      </w:r>
      <w:r w:rsidRPr="00FA587F">
        <w:rPr>
          <w:rStyle w:val="element-citation"/>
          <w:color w:val="000000"/>
          <w:shd w:val="clear" w:color="auto" w:fill="FFFFFF"/>
        </w:rPr>
        <w:br/>
      </w:r>
      <w:r w:rsidRPr="00FA587F">
        <w:rPr>
          <w:color w:val="000000"/>
        </w:rPr>
        <w:br/>
        <w:t>Gov.UK. (2018). </w:t>
      </w:r>
      <w:r w:rsidRPr="00FA587F">
        <w:rPr>
          <w:i/>
          <w:iCs/>
          <w:color w:val="000000"/>
        </w:rPr>
        <w:t>Dementia.</w:t>
      </w:r>
      <w:r w:rsidRPr="00FA587F">
        <w:rPr>
          <w:color w:val="000000"/>
        </w:rPr>
        <w:t> Available: https://gweddill.gov.wales/topics/health/nhswales/mental-health-services/policy/dementia/?lang=en. Last accessed 16/03/2019.</w:t>
      </w:r>
      <w:r w:rsidRPr="00FA587F">
        <w:rPr>
          <w:color w:val="000000"/>
        </w:rPr>
        <w:br/>
      </w:r>
      <w:r w:rsidRPr="00FA587F">
        <w:rPr>
          <w:color w:val="000000"/>
        </w:rPr>
        <w:br/>
      </w:r>
      <w:r w:rsidRPr="00FA587F">
        <w:t>Gove et al (2016) Stigma and GP’s perception of dementia. Ageing and Mental Health (4) PP. 391-393.</w:t>
      </w:r>
      <w:r w:rsidRPr="00FA587F">
        <w:rPr>
          <w:color w:val="000000"/>
        </w:rPr>
        <w:br/>
        <w:t xml:space="preserve">Hermann (2017) Does surgery cause or worsen dementia? </w:t>
      </w:r>
      <w:proofErr w:type="gramStart"/>
      <w:r w:rsidRPr="00FA587F">
        <w:rPr>
          <w:color w:val="000000"/>
        </w:rPr>
        <w:t>Your</w:t>
      </w:r>
      <w:proofErr w:type="gramEnd"/>
      <w:r w:rsidRPr="00FA587F">
        <w:rPr>
          <w:color w:val="000000"/>
        </w:rPr>
        <w:t xml:space="preserve"> Health Matters Blog. PP-3-4</w:t>
      </w:r>
      <w:r w:rsidRPr="00FA587F">
        <w:rPr>
          <w:color w:val="000000"/>
        </w:rPr>
        <w:br/>
      </w:r>
      <w:r w:rsidRPr="00FA587F">
        <w:rPr>
          <w:color w:val="000000"/>
        </w:rPr>
        <w:br/>
      </w:r>
      <w:proofErr w:type="spellStart"/>
      <w:r w:rsidRPr="00FA587F">
        <w:t>Mapes</w:t>
      </w:r>
      <w:proofErr w:type="spellEnd"/>
      <w:r w:rsidRPr="00FA587F">
        <w:t xml:space="preserve"> (2018) </w:t>
      </w:r>
      <w:proofErr w:type="gramStart"/>
      <w:r w:rsidRPr="00FA587F">
        <w:t>What</w:t>
      </w:r>
      <w:proofErr w:type="gramEnd"/>
      <w:r w:rsidRPr="00FA587F">
        <w:t xml:space="preserve"> is dementia? Dementia Adventure. Last accessed 16/03/2019. </w:t>
      </w:r>
      <w:hyperlink r:id="rId5" w:history="1">
        <w:r w:rsidRPr="00FA587F">
          <w:rPr>
            <w:rStyle w:val="Hyperlink"/>
          </w:rPr>
          <w:t>https://dementiaadventure.co.uk/about-us/meet-the-team/neil-mapes/</w:t>
        </w:r>
      </w:hyperlink>
      <w:r w:rsidRPr="00FA587F">
        <w:rPr>
          <w:rStyle w:val="nowrap"/>
          <w:color w:val="000000"/>
        </w:rPr>
        <w:br/>
      </w:r>
      <w:r w:rsidRPr="00FA587F">
        <w:rPr>
          <w:color w:val="000000"/>
        </w:rPr>
        <w:br/>
        <w:t>NHS, UK. (2019). </w:t>
      </w:r>
      <w:r w:rsidRPr="00FA587F">
        <w:rPr>
          <w:i/>
          <w:iCs/>
          <w:color w:val="000000"/>
        </w:rPr>
        <w:t>Dementia Guide.</w:t>
      </w:r>
      <w:r w:rsidRPr="00FA587F">
        <w:rPr>
          <w:color w:val="000000"/>
        </w:rPr>
        <w:t> Available: https://www.nhs.uk/conditions/dementia/about/. Last accessed 16/03/2019.</w:t>
      </w:r>
      <w:r w:rsidRPr="00FA587F">
        <w:rPr>
          <w:color w:val="000000"/>
        </w:rPr>
        <w:br/>
      </w:r>
      <w:r w:rsidRPr="00FA587F">
        <w:rPr>
          <w:color w:val="000000"/>
        </w:rPr>
        <w:br/>
      </w:r>
      <w:r w:rsidRPr="00FA587F">
        <w:t xml:space="preserve">Routledge (2018) </w:t>
      </w:r>
      <w:proofErr w:type="gramStart"/>
      <w:r w:rsidRPr="00FA587F">
        <w:t>Early</w:t>
      </w:r>
      <w:proofErr w:type="gramEnd"/>
      <w:r w:rsidRPr="00FA587F">
        <w:t xml:space="preserve"> diagnosis is key for tackling </w:t>
      </w:r>
      <w:proofErr w:type="spellStart"/>
      <w:r w:rsidRPr="00FA587F">
        <w:t>Alzhimers</w:t>
      </w:r>
      <w:proofErr w:type="spellEnd"/>
      <w:r w:rsidRPr="00FA587F">
        <w:t xml:space="preserve">. </w:t>
      </w:r>
      <w:hyperlink r:id="rId6" w:history="1">
        <w:r w:rsidRPr="00FA587F">
          <w:rPr>
            <w:rStyle w:val="Hyperlink"/>
          </w:rPr>
          <w:t>https://wwwhelathawareness.co.uk/neurology/dementia/early-diagnosis-is-key-for-tackling-demetnia</w:t>
        </w:r>
      </w:hyperlink>
      <w:r w:rsidRPr="00FA587F">
        <w:t>. Last accessed 16/03/2019.</w:t>
      </w:r>
      <w:r w:rsidRPr="00FA587F">
        <w:br/>
      </w:r>
      <w:r w:rsidRPr="00FA587F">
        <w:rPr>
          <w:rStyle w:val="nowrap"/>
          <w:color w:val="000000"/>
        </w:rPr>
        <w:lastRenderedPageBreak/>
        <w:br/>
      </w:r>
      <w:proofErr w:type="spellStart"/>
      <w:r w:rsidRPr="00FA587F">
        <w:rPr>
          <w:rStyle w:val="element-citation"/>
          <w:color w:val="000000"/>
          <w:shd w:val="clear" w:color="auto" w:fill="FFFFFF"/>
        </w:rPr>
        <w:t>Tsuda</w:t>
      </w:r>
      <w:proofErr w:type="spellEnd"/>
      <w:r w:rsidRPr="00FA587F">
        <w:rPr>
          <w:rStyle w:val="element-citation"/>
          <w:color w:val="000000"/>
          <w:shd w:val="clear" w:color="auto" w:fill="FFFFFF"/>
        </w:rPr>
        <w:t xml:space="preserve"> Y (2015). Association between dementia and postoperative complications after hip fracture surgery in the elderly: analysis of 87,654 patients using a national administrative database. </w:t>
      </w:r>
      <w:r w:rsidRPr="00FA587F">
        <w:rPr>
          <w:rStyle w:val="ref-journal"/>
          <w:color w:val="000000"/>
          <w:shd w:val="clear" w:color="auto" w:fill="FFFFFF"/>
        </w:rPr>
        <w:t xml:space="preserve">Arch </w:t>
      </w:r>
      <w:proofErr w:type="spellStart"/>
      <w:r w:rsidRPr="00FA587F">
        <w:rPr>
          <w:rStyle w:val="ref-journal"/>
          <w:color w:val="000000"/>
          <w:shd w:val="clear" w:color="auto" w:fill="FFFFFF"/>
        </w:rPr>
        <w:t>Orthop</w:t>
      </w:r>
      <w:proofErr w:type="spellEnd"/>
      <w:r w:rsidRPr="00FA587F">
        <w:rPr>
          <w:rStyle w:val="ref-journal"/>
          <w:color w:val="000000"/>
          <w:shd w:val="clear" w:color="auto" w:fill="FFFFFF"/>
        </w:rPr>
        <w:t xml:space="preserve"> Trauma Surg. </w:t>
      </w:r>
      <w:r w:rsidRPr="00FA587F">
        <w:rPr>
          <w:rStyle w:val="ref-vol"/>
          <w:color w:val="000000"/>
          <w:shd w:val="clear" w:color="auto" w:fill="FFFFFF"/>
        </w:rPr>
        <w:t>135</w:t>
      </w:r>
      <w:r w:rsidRPr="00FA587F">
        <w:rPr>
          <w:rStyle w:val="element-citation"/>
          <w:color w:val="000000"/>
          <w:shd w:val="clear" w:color="auto" w:fill="FFFFFF"/>
        </w:rPr>
        <w:t xml:space="preserve">: 1511–1517 </w:t>
      </w:r>
      <w:r w:rsidRPr="00FA587F">
        <w:rPr>
          <w:rStyle w:val="nowrap"/>
          <w:color w:val="000000"/>
        </w:rPr>
        <w:br/>
      </w:r>
    </w:p>
    <w:p w14:paraId="4E1B56AF" w14:textId="77777777" w:rsidR="00BD17C6" w:rsidRPr="00FA587F" w:rsidRDefault="00BD17C6" w:rsidP="00FA587F">
      <w:pPr>
        <w:pStyle w:val="NormalWeb"/>
        <w:spacing w:before="0" w:beforeAutospacing="0" w:after="312" w:afterAutospacing="0" w:line="360" w:lineRule="auto"/>
        <w:rPr>
          <w:rFonts w:asciiTheme="minorHAnsi" w:hAnsiTheme="minorHAnsi"/>
          <w:sz w:val="22"/>
          <w:szCs w:val="22"/>
        </w:rPr>
      </w:pPr>
    </w:p>
    <w:p w14:paraId="09D9547D" w14:textId="77777777" w:rsidR="002D7DFF" w:rsidRPr="00FA587F" w:rsidRDefault="002D7DFF" w:rsidP="00FA587F">
      <w:pPr>
        <w:pStyle w:val="NormalWeb"/>
        <w:spacing w:before="0" w:beforeAutospacing="0" w:after="312" w:afterAutospacing="0" w:line="360" w:lineRule="auto"/>
        <w:rPr>
          <w:rFonts w:asciiTheme="minorHAnsi" w:hAnsiTheme="minorHAnsi" w:cs="Arial"/>
          <w:color w:val="333333"/>
          <w:sz w:val="22"/>
          <w:szCs w:val="22"/>
        </w:rPr>
      </w:pPr>
      <w:r w:rsidRPr="00FA587F">
        <w:rPr>
          <w:rFonts w:asciiTheme="minorHAnsi" w:hAnsiTheme="minorHAnsi"/>
          <w:sz w:val="22"/>
          <w:szCs w:val="22"/>
        </w:rPr>
        <w:br/>
      </w:r>
    </w:p>
    <w:p w14:paraId="718AFBE0" w14:textId="77777777" w:rsidR="00CB7AB5" w:rsidRPr="00FA587F" w:rsidRDefault="00CB7AB5" w:rsidP="00FA587F">
      <w:pPr>
        <w:pStyle w:val="NoSpacing"/>
        <w:spacing w:line="360" w:lineRule="auto"/>
      </w:pPr>
    </w:p>
    <w:sectPr w:rsidR="00CB7AB5" w:rsidRPr="00FA58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7DFF"/>
    <w:rsid w:val="00167A25"/>
    <w:rsid w:val="002D7DFF"/>
    <w:rsid w:val="0041024B"/>
    <w:rsid w:val="005A724F"/>
    <w:rsid w:val="00722D30"/>
    <w:rsid w:val="00797918"/>
    <w:rsid w:val="00BD17C6"/>
    <w:rsid w:val="00CB7AB5"/>
    <w:rsid w:val="00CE68FE"/>
    <w:rsid w:val="00D94A73"/>
    <w:rsid w:val="00E10D49"/>
    <w:rsid w:val="00FA5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67C11"/>
  <w15:chartTrackingRefBased/>
  <w15:docId w15:val="{6B548254-F14F-44BF-BD03-34BB2FC36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D7DFF"/>
    <w:pPr>
      <w:spacing w:after="0" w:line="240" w:lineRule="auto"/>
    </w:pPr>
  </w:style>
  <w:style w:type="paragraph" w:styleId="NormalWeb">
    <w:name w:val="Normal (Web)"/>
    <w:basedOn w:val="Normal"/>
    <w:uiPriority w:val="99"/>
    <w:unhideWhenUsed/>
    <w:rsid w:val="002D7D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D7DFF"/>
    <w:rPr>
      <w:b/>
      <w:bCs/>
    </w:rPr>
  </w:style>
  <w:style w:type="character" w:styleId="Hyperlink">
    <w:name w:val="Hyperlink"/>
    <w:basedOn w:val="DefaultParagraphFont"/>
    <w:uiPriority w:val="99"/>
    <w:unhideWhenUsed/>
    <w:rsid w:val="00BD17C6"/>
    <w:rPr>
      <w:color w:val="0000FF"/>
      <w:u w:val="single"/>
    </w:rPr>
  </w:style>
  <w:style w:type="character" w:customStyle="1" w:styleId="element-citation">
    <w:name w:val="element-citation"/>
    <w:basedOn w:val="DefaultParagraphFont"/>
    <w:rsid w:val="00BD17C6"/>
  </w:style>
  <w:style w:type="character" w:customStyle="1" w:styleId="ref-journal">
    <w:name w:val="ref-journal"/>
    <w:basedOn w:val="DefaultParagraphFont"/>
    <w:rsid w:val="00BD17C6"/>
  </w:style>
  <w:style w:type="character" w:customStyle="1" w:styleId="ref-vol">
    <w:name w:val="ref-vol"/>
    <w:basedOn w:val="DefaultParagraphFont"/>
    <w:rsid w:val="00BD17C6"/>
  </w:style>
  <w:style w:type="character" w:customStyle="1" w:styleId="nowrap">
    <w:name w:val="nowrap"/>
    <w:basedOn w:val="DefaultParagraphFont"/>
    <w:rsid w:val="00BD1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5658798">
      <w:bodyDiv w:val="1"/>
      <w:marLeft w:val="0"/>
      <w:marRight w:val="0"/>
      <w:marTop w:val="0"/>
      <w:marBottom w:val="0"/>
      <w:divBdr>
        <w:top w:val="none" w:sz="0" w:space="0" w:color="auto"/>
        <w:left w:val="none" w:sz="0" w:space="0" w:color="auto"/>
        <w:bottom w:val="none" w:sz="0" w:space="0" w:color="auto"/>
        <w:right w:val="none" w:sz="0" w:space="0" w:color="auto"/>
      </w:divBdr>
    </w:div>
    <w:div w:id="1251086839">
      <w:bodyDiv w:val="1"/>
      <w:marLeft w:val="0"/>
      <w:marRight w:val="0"/>
      <w:marTop w:val="0"/>
      <w:marBottom w:val="0"/>
      <w:divBdr>
        <w:top w:val="none" w:sz="0" w:space="0" w:color="auto"/>
        <w:left w:val="none" w:sz="0" w:space="0" w:color="auto"/>
        <w:bottom w:val="none" w:sz="0" w:space="0" w:color="auto"/>
        <w:right w:val="none" w:sz="0" w:space="0" w:color="auto"/>
      </w:divBdr>
    </w:div>
    <w:div w:id="1962808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helathawareness.co.uk/neurology/dementia/early-diagnosis-is-key-for-tackling-demetnia" TargetMode="External"/><Relationship Id="rId5" Type="http://schemas.openxmlformats.org/officeDocument/2006/relationships/hyperlink" Target="https://dementiaadventure.co.uk/about-us/meet-the-team/neil-map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976D3-C30E-401F-8614-1E353839F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1215</Words>
  <Characters>6929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Williams (1704650)</dc:creator>
  <cp:keywords/>
  <dc:description/>
  <cp:lastModifiedBy>Sophie Williams (1704650)</cp:lastModifiedBy>
  <cp:revision>2</cp:revision>
  <dcterms:created xsi:type="dcterms:W3CDTF">2019-05-07T14:36:00Z</dcterms:created>
  <dcterms:modified xsi:type="dcterms:W3CDTF">2019-05-07T14:36:00Z</dcterms:modified>
</cp:coreProperties>
</file>