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dgm="http://schemas.openxmlformats.org/drawingml/2006/diagram" mc:Ignorable="w14 w15 w16se w16cid w16 w16cex w16sdtdh w16sdtfl w16du wp14">
  <w:body>
    <w:p w:rsidR="00547E06" w:rsidP="00547E06" w:rsidRDefault="00547E06" w14:paraId="3E3A81BF" w14:textId="0F2A5A63"/>
    <w:p w:rsidR="00547E06" w:rsidP="00547E06" w:rsidRDefault="00547E06" w14:paraId="5CD3D379" w14:textId="77777777"/>
    <w:p w:rsidR="00547E06" w:rsidP="00547E06" w:rsidRDefault="00547E06" w14:paraId="415E96ED" w14:textId="77777777"/>
    <w:p w:rsidRPr="00710C0E" w:rsidR="00547E06" w:rsidP="00547E06" w:rsidRDefault="00547E06" w14:paraId="72812ACC" w14:textId="77777777">
      <w:pPr>
        <w:spacing w:line="360" w:lineRule="auto"/>
        <w:rPr>
          <w:rFonts w:cs="Arial"/>
        </w:rPr>
      </w:pPr>
    </w:p>
    <w:p w:rsidRPr="00B874C5" w:rsidR="00547E06" w:rsidP="00547E06" w:rsidRDefault="00547E06" w14:paraId="6053C34D" w14:textId="77777777">
      <w:pPr>
        <w:spacing w:line="360" w:lineRule="auto"/>
        <w:jc w:val="center"/>
        <w:rPr>
          <w:rFonts w:cs="Arial"/>
          <w:b/>
          <w:bCs/>
          <w:sz w:val="22"/>
        </w:rPr>
      </w:pPr>
      <w:r w:rsidRPr="00B874C5">
        <w:rPr>
          <w:rFonts w:cs="Arial"/>
          <w:noProof/>
          <w:sz w:val="22"/>
        </w:rPr>
        <w:drawing>
          <wp:inline distT="0" distB="0" distL="0" distR="0" wp14:anchorId="235706A2" wp14:editId="5CA62FD2">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a:srcRect/>
                    <a:stretch>
                      <a:fillRect/>
                    </a:stretch>
                  </pic:blipFill>
                  <pic:spPr>
                    <a:xfrm>
                      <a:off x="0" y="0"/>
                      <a:ext cx="1809750" cy="723900"/>
                    </a:xfrm>
                    <a:prstGeom prst="rect">
                      <a:avLst/>
                    </a:prstGeom>
                    <a:ln/>
                  </pic:spPr>
                </pic:pic>
              </a:graphicData>
            </a:graphic>
          </wp:inline>
        </w:drawing>
      </w:r>
    </w:p>
    <w:p w:rsidRPr="00B874C5" w:rsidR="00547E06" w:rsidP="406036B8" w:rsidRDefault="00547E06" w14:paraId="08785018" w14:textId="7B4302B0">
      <w:pPr>
        <w:spacing w:line="360" w:lineRule="auto"/>
        <w:jc w:val="center"/>
        <w:rPr>
          <w:rFonts w:cs="Arial"/>
          <w:b w:val="1"/>
          <w:bCs w:val="1"/>
          <w:sz w:val="22"/>
          <w:szCs w:val="22"/>
        </w:rPr>
      </w:pPr>
      <w:r w:rsidRPr="406036B8" w:rsidR="00547E06">
        <w:rPr>
          <w:rFonts w:cs="Arial"/>
          <w:b w:val="1"/>
          <w:bCs w:val="1"/>
          <w:sz w:val="22"/>
          <w:szCs w:val="22"/>
        </w:rPr>
        <w:t>Student Name:</w:t>
      </w:r>
      <w:r w:rsidRPr="406036B8" w:rsidR="00547E06">
        <w:rPr>
          <w:rFonts w:cs="Arial"/>
          <w:b w:val="1"/>
          <w:bCs w:val="1"/>
          <w:sz w:val="22"/>
          <w:szCs w:val="22"/>
        </w:rPr>
        <w:t xml:space="preserve"> </w:t>
      </w:r>
      <w:r w:rsidRPr="406036B8" w:rsidR="00547E06">
        <w:rPr>
          <w:rFonts w:cs="Arial"/>
          <w:b w:val="1"/>
          <w:bCs w:val="1"/>
          <w:sz w:val="22"/>
          <w:szCs w:val="22"/>
        </w:rPr>
        <w:t>M</w:t>
      </w:r>
      <w:r w:rsidRPr="406036B8" w:rsidR="02E04D64">
        <w:rPr>
          <w:rFonts w:cs="Arial"/>
          <w:b w:val="1"/>
          <w:bCs w:val="1"/>
          <w:sz w:val="22"/>
          <w:szCs w:val="22"/>
        </w:rPr>
        <w:t>azaffar</w:t>
      </w:r>
      <w:r w:rsidRPr="406036B8" w:rsidR="02E04D64">
        <w:rPr>
          <w:rFonts w:cs="Arial"/>
          <w:b w:val="1"/>
          <w:bCs w:val="1"/>
          <w:sz w:val="22"/>
          <w:szCs w:val="22"/>
        </w:rPr>
        <w:t xml:space="preserve"> Hussain</w:t>
      </w:r>
    </w:p>
    <w:p w:rsidRPr="00B874C5" w:rsidR="00547E06" w:rsidP="406036B8" w:rsidRDefault="00547E06" w14:paraId="0AA56A82" w14:textId="21B8F1A4">
      <w:pPr>
        <w:spacing w:line="360" w:lineRule="auto"/>
        <w:jc w:val="center"/>
        <w:rPr>
          <w:rFonts w:ascii="Arial" w:hAnsi="Arial" w:eastAsia="Arial" w:cs="Arial"/>
          <w:b w:val="1"/>
          <w:bCs w:val="1"/>
          <w:sz w:val="22"/>
          <w:szCs w:val="22"/>
        </w:rPr>
      </w:pPr>
      <w:r w:rsidRPr="406036B8" w:rsidR="00547E06">
        <w:rPr>
          <w:rFonts w:cs="Arial"/>
          <w:b w:val="1"/>
          <w:bCs w:val="1"/>
          <w:sz w:val="22"/>
          <w:szCs w:val="22"/>
        </w:rPr>
        <w:t>Student Number:</w:t>
      </w:r>
      <w:r w:rsidRPr="406036B8" w:rsidR="6A7A5382">
        <w:rPr>
          <w:rFonts w:cs="Arial"/>
          <w:b w:val="1"/>
          <w:bCs w:val="1"/>
          <w:sz w:val="22"/>
          <w:szCs w:val="22"/>
        </w:rPr>
        <w:t xml:space="preserve"> 2512318</w:t>
      </w:r>
    </w:p>
    <w:p w:rsidRPr="00B874C5" w:rsidR="00547E06" w:rsidP="00547E06" w:rsidRDefault="00547E06" w14:paraId="06F3C323" w14:textId="77777777">
      <w:pPr>
        <w:spacing w:line="360" w:lineRule="auto"/>
        <w:jc w:val="center"/>
        <w:rPr>
          <w:rFonts w:cs="Arial"/>
          <w:b/>
          <w:bCs/>
          <w:sz w:val="22"/>
        </w:rPr>
      </w:pPr>
      <w:r w:rsidRPr="00B874C5">
        <w:rPr>
          <w:rFonts w:cs="Arial"/>
          <w:b/>
          <w:bCs/>
          <w:sz w:val="22"/>
        </w:rPr>
        <w:t>Module Title: Principles of Health and Social Care Practice</w:t>
      </w:r>
    </w:p>
    <w:p w:rsidRPr="00B874C5" w:rsidR="00547E06" w:rsidP="00547E06" w:rsidRDefault="00547E06" w14:paraId="5091DB3F" w14:textId="77777777">
      <w:pPr>
        <w:spacing w:line="360" w:lineRule="auto"/>
        <w:jc w:val="center"/>
        <w:rPr>
          <w:rFonts w:cs="Arial"/>
          <w:b/>
          <w:bCs/>
          <w:sz w:val="22"/>
        </w:rPr>
      </w:pPr>
      <w:r w:rsidRPr="00B874C5">
        <w:rPr>
          <w:rFonts w:cs="Arial"/>
          <w:b/>
          <w:bCs/>
          <w:sz w:val="22"/>
        </w:rPr>
        <w:t>Module Code: BMHP5016</w:t>
      </w:r>
    </w:p>
    <w:p w:rsidRPr="00B874C5" w:rsidR="00547E06" w:rsidP="00547E06" w:rsidRDefault="00547E06" w14:paraId="0694EF4F" w14:textId="77777777">
      <w:pPr>
        <w:spacing w:line="360" w:lineRule="auto"/>
        <w:jc w:val="center"/>
        <w:rPr>
          <w:rFonts w:cs="Arial"/>
          <w:b/>
          <w:bCs/>
          <w:sz w:val="22"/>
        </w:rPr>
      </w:pPr>
      <w:r w:rsidRPr="00B874C5">
        <w:rPr>
          <w:rFonts w:cs="Arial"/>
          <w:b/>
          <w:bCs/>
          <w:sz w:val="22"/>
        </w:rPr>
        <w:t>Assignment Title:</w:t>
      </w:r>
    </w:p>
    <w:p w:rsidRPr="00B874C5" w:rsidR="00547E06" w:rsidP="00547E06" w:rsidRDefault="00547E06" w14:paraId="1AAD6100" w14:textId="77777777">
      <w:pPr>
        <w:spacing w:line="360" w:lineRule="auto"/>
        <w:jc w:val="center"/>
        <w:rPr>
          <w:rFonts w:cs="Arial"/>
          <w:b/>
          <w:bCs/>
          <w:sz w:val="22"/>
        </w:rPr>
      </w:pPr>
      <w:r w:rsidRPr="00B874C5">
        <w:rPr>
          <w:rFonts w:cs="Arial"/>
          <w:b/>
          <w:bCs/>
          <w:sz w:val="22"/>
        </w:rPr>
        <w:t>Component 1: Reflective Report</w:t>
      </w:r>
    </w:p>
    <w:p w:rsidRPr="00B874C5" w:rsidR="00547E06" w:rsidP="00547E06" w:rsidRDefault="00547E06" w14:paraId="086EF26D" w14:textId="59DFF7C4">
      <w:pPr>
        <w:spacing w:line="360" w:lineRule="auto"/>
        <w:jc w:val="center"/>
        <w:rPr>
          <w:rFonts w:cs="Arial"/>
          <w:b/>
          <w:bCs/>
          <w:sz w:val="22"/>
        </w:rPr>
      </w:pPr>
      <w:r w:rsidRPr="00B874C5">
        <w:rPr>
          <w:rFonts w:cs="Arial"/>
          <w:b/>
          <w:bCs/>
          <w:sz w:val="22"/>
        </w:rPr>
        <w:t xml:space="preserve">Word Count: </w:t>
      </w:r>
      <w:r>
        <w:rPr>
          <w:rFonts w:cs="Arial"/>
          <w:b/>
          <w:bCs/>
          <w:sz w:val="22"/>
        </w:rPr>
        <w:t>1</w:t>
      </w:r>
      <w:r w:rsidR="00C25370">
        <w:rPr>
          <w:rFonts w:cs="Arial"/>
          <w:b/>
          <w:bCs/>
          <w:sz w:val="22"/>
        </w:rPr>
        <w:t>876</w:t>
      </w:r>
    </w:p>
    <w:p w:rsidR="00547E06" w:rsidP="00547E06" w:rsidRDefault="00547E06" w14:paraId="3D446455" w14:textId="77777777"/>
    <w:p w:rsidR="00547E06" w:rsidP="00547E06" w:rsidRDefault="00547E06" w14:paraId="72E855E7" w14:textId="77777777"/>
    <w:p w:rsidR="00547E06" w:rsidP="00547E06" w:rsidRDefault="00547E06" w14:paraId="35AD4937" w14:textId="77777777"/>
    <w:p w:rsidR="00547E06" w:rsidP="00547E06" w:rsidRDefault="00547E06" w14:paraId="1DBD1B44" w14:textId="77777777"/>
    <w:p w:rsidR="00547E06" w:rsidP="00547E06" w:rsidRDefault="00547E06" w14:paraId="75E78363" w14:textId="77777777"/>
    <w:p w:rsidR="00547E06" w:rsidP="00547E06" w:rsidRDefault="00547E06" w14:paraId="4DFB8433" w14:textId="77777777"/>
    <w:p w:rsidR="00547E06" w:rsidP="00547E06" w:rsidRDefault="00547E06" w14:paraId="64A7E0E0" w14:textId="77777777"/>
    <w:p w:rsidR="00547E06" w:rsidP="00547E06" w:rsidRDefault="00547E06" w14:paraId="7C46F1FF" w14:textId="77777777"/>
    <w:p w:rsidR="00547E06" w:rsidP="00547E06" w:rsidRDefault="00547E06" w14:paraId="572A1AEC" w14:textId="77777777"/>
    <w:p w:rsidR="00547E06" w:rsidP="00547E06" w:rsidRDefault="00547E06" w14:paraId="0EBDE1D4" w14:textId="77777777"/>
    <w:p w:rsidR="00547E06" w:rsidP="00547E06" w:rsidRDefault="00547E06" w14:paraId="35E24D98" w14:textId="77777777"/>
    <w:sdt>
      <w:sdtPr>
        <w:id w:val="1312140080"/>
        <w:docPartObj>
          <w:docPartGallery w:val="Table of Contents"/>
          <w:docPartUnique/>
        </w:docPartObj>
      </w:sdtPr>
      <w:sdtEndPr>
        <w:rPr>
          <w:rFonts w:ascii="Aptos" w:hAnsi="Aptos" w:eastAsia="Aptos" w:cs="" w:asciiTheme="minorAscii" w:hAnsiTheme="minorAscii" w:eastAsiaTheme="minorAscii" w:cstheme="minorBidi"/>
          <w:b w:val="1"/>
          <w:bCs w:val="1"/>
          <w:noProof/>
          <w:color w:val="auto"/>
          <w:kern w:val="2"/>
          <w:sz w:val="24"/>
          <w:szCs w:val="24"/>
          <w14:ligatures w14:val="standardContextual"/>
        </w:rPr>
      </w:sdtEndPr>
      <w:sdtContent>
        <w:p w:rsidRPr="009B60EA" w:rsidR="000C77AF" w:rsidRDefault="000C77AF" w14:paraId="13B8967D" w14:textId="3B68308B">
          <w:pPr>
            <w:pStyle w:val="TOCHeading"/>
            <w:rPr>
              <w:b/>
              <w:bCs/>
              <w:color w:val="auto"/>
            </w:rPr>
          </w:pPr>
          <w:r w:rsidRPr="009B60EA">
            <w:rPr>
              <w:b/>
              <w:bCs/>
              <w:color w:val="auto"/>
            </w:rPr>
            <w:t>Contents</w:t>
          </w:r>
        </w:p>
        <w:p w:rsidRPr="009B60EA" w:rsidR="000C77AF" w:rsidP="009B60EA" w:rsidRDefault="000C77AF" w14:paraId="71A925C4" w14:textId="33486FBF">
          <w:pPr>
            <w:pStyle w:val="TOC1"/>
            <w:rPr>
              <w:rFonts w:eastAsiaTheme="minorEastAsia"/>
              <w:b w:val="0"/>
              <w:bCs w:val="0"/>
            </w:rPr>
          </w:pPr>
          <w:r w:rsidRPr="009B60EA">
            <w:rPr>
              <w:b w:val="0"/>
              <w:bCs w:val="0"/>
            </w:rPr>
            <w:fldChar w:fldCharType="begin"/>
          </w:r>
          <w:r w:rsidRPr="009B60EA">
            <w:rPr>
              <w:b w:val="0"/>
              <w:bCs w:val="0"/>
            </w:rPr>
            <w:instrText xml:space="preserve"> TOC \o "1-3" \h \z \u </w:instrText>
          </w:r>
          <w:r w:rsidRPr="009B60EA">
            <w:rPr>
              <w:b w:val="0"/>
              <w:bCs w:val="0"/>
            </w:rPr>
            <w:fldChar w:fldCharType="separate"/>
          </w:r>
          <w:hyperlink w:history="1" w:anchor="_Toc242575841">
            <w:r w:rsidRPr="009B60EA">
              <w:rPr>
                <w:rStyle w:val="Hyperlink"/>
                <w:b w:val="0"/>
                <w:bCs w:val="0"/>
              </w:rPr>
              <w:t>Component 1: Reflective Report</w:t>
            </w:r>
            <w:r w:rsidRPr="009B60EA">
              <w:rPr>
                <w:b w:val="0"/>
                <w:bCs w:val="0"/>
                <w:webHidden/>
              </w:rPr>
              <w:tab/>
            </w:r>
            <w:r w:rsidRPr="009B60EA">
              <w:rPr>
                <w:b w:val="0"/>
                <w:bCs w:val="0"/>
                <w:webHidden/>
              </w:rPr>
              <w:fldChar w:fldCharType="begin"/>
            </w:r>
            <w:r w:rsidRPr="009B60EA">
              <w:rPr>
                <w:b w:val="0"/>
                <w:bCs w:val="0"/>
                <w:webHidden/>
              </w:rPr>
              <w:instrText xml:space="preserve"> PAGEREF _Toc242575841 \h </w:instrText>
            </w:r>
            <w:r w:rsidRPr="009B60EA">
              <w:rPr>
                <w:b w:val="0"/>
                <w:bCs w:val="0"/>
                <w:webHidden/>
              </w:rPr>
            </w:r>
            <w:r w:rsidRPr="009B60EA">
              <w:rPr>
                <w:b w:val="0"/>
                <w:bCs w:val="0"/>
                <w:webHidden/>
              </w:rPr>
              <w:fldChar w:fldCharType="separate"/>
            </w:r>
            <w:r w:rsidRPr="009B60EA">
              <w:rPr>
                <w:b w:val="0"/>
                <w:bCs w:val="0"/>
                <w:webHidden/>
              </w:rPr>
              <w:t>3</w:t>
            </w:r>
            <w:r w:rsidRPr="009B60EA">
              <w:rPr>
                <w:b w:val="0"/>
                <w:bCs w:val="0"/>
                <w:webHidden/>
              </w:rPr>
              <w:fldChar w:fldCharType="end"/>
            </w:r>
          </w:hyperlink>
        </w:p>
        <w:p w:rsidRPr="009B60EA" w:rsidR="000C77AF" w:rsidRDefault="000C77AF" w14:paraId="011AC578" w14:textId="2F5C0557">
          <w:pPr>
            <w:pStyle w:val="TOC2"/>
            <w:tabs>
              <w:tab w:val="right" w:leader="dot" w:pos="9350"/>
            </w:tabs>
            <w:rPr>
              <w:rFonts w:eastAsiaTheme="minorEastAsia"/>
              <w:noProof/>
            </w:rPr>
          </w:pPr>
          <w:hyperlink w:history="1" w:anchor="_Toc242575842">
            <w:r w:rsidRPr="009B60EA">
              <w:rPr>
                <w:rStyle w:val="Hyperlink"/>
                <w:rFonts w:ascii="Arial" w:hAnsi="Arial" w:cs="Arial"/>
                <w:noProof/>
              </w:rPr>
              <w:t>Introduction</w:t>
            </w:r>
            <w:r w:rsidRPr="009B60EA">
              <w:rPr>
                <w:noProof/>
                <w:webHidden/>
              </w:rPr>
              <w:tab/>
            </w:r>
            <w:r w:rsidRPr="009B60EA">
              <w:rPr>
                <w:noProof/>
                <w:webHidden/>
              </w:rPr>
              <w:fldChar w:fldCharType="begin"/>
            </w:r>
            <w:r w:rsidRPr="009B60EA">
              <w:rPr>
                <w:noProof/>
                <w:webHidden/>
              </w:rPr>
              <w:instrText xml:space="preserve"> PAGEREF _Toc242575842 \h </w:instrText>
            </w:r>
            <w:r w:rsidRPr="009B60EA">
              <w:rPr>
                <w:noProof/>
                <w:webHidden/>
              </w:rPr>
            </w:r>
            <w:r w:rsidRPr="009B60EA">
              <w:rPr>
                <w:noProof/>
                <w:webHidden/>
              </w:rPr>
              <w:fldChar w:fldCharType="separate"/>
            </w:r>
            <w:r w:rsidRPr="009B60EA">
              <w:rPr>
                <w:noProof/>
                <w:webHidden/>
              </w:rPr>
              <w:t>3</w:t>
            </w:r>
            <w:r w:rsidRPr="009B60EA">
              <w:rPr>
                <w:noProof/>
                <w:webHidden/>
              </w:rPr>
              <w:fldChar w:fldCharType="end"/>
            </w:r>
          </w:hyperlink>
        </w:p>
        <w:p w:rsidRPr="009B60EA" w:rsidR="000C77AF" w:rsidRDefault="000C77AF" w14:paraId="7B164A68" w14:textId="221A6E44">
          <w:pPr>
            <w:pStyle w:val="TOC2"/>
            <w:tabs>
              <w:tab w:val="right" w:leader="dot" w:pos="9350"/>
            </w:tabs>
            <w:rPr>
              <w:rFonts w:eastAsiaTheme="minorEastAsia"/>
              <w:noProof/>
            </w:rPr>
          </w:pPr>
          <w:hyperlink w:history="1" w:anchor="_Toc242575843">
            <w:r w:rsidRPr="009B60EA">
              <w:rPr>
                <w:rStyle w:val="Hyperlink"/>
                <w:rFonts w:ascii="Arial" w:hAnsi="Arial" w:cs="Arial"/>
                <w:noProof/>
              </w:rPr>
              <w:t>Task 1 – Reflection on the Importance of Principles of Health and Social Care Practice</w:t>
            </w:r>
            <w:r w:rsidRPr="009B60EA">
              <w:rPr>
                <w:noProof/>
                <w:webHidden/>
              </w:rPr>
              <w:tab/>
            </w:r>
            <w:r w:rsidRPr="009B60EA">
              <w:rPr>
                <w:noProof/>
                <w:webHidden/>
              </w:rPr>
              <w:fldChar w:fldCharType="begin"/>
            </w:r>
            <w:r w:rsidRPr="009B60EA">
              <w:rPr>
                <w:noProof/>
                <w:webHidden/>
              </w:rPr>
              <w:instrText xml:space="preserve"> PAGEREF _Toc242575843 \h </w:instrText>
            </w:r>
            <w:r w:rsidRPr="009B60EA">
              <w:rPr>
                <w:noProof/>
                <w:webHidden/>
              </w:rPr>
            </w:r>
            <w:r w:rsidRPr="009B60EA">
              <w:rPr>
                <w:noProof/>
                <w:webHidden/>
              </w:rPr>
              <w:fldChar w:fldCharType="separate"/>
            </w:r>
            <w:r w:rsidRPr="009B60EA">
              <w:rPr>
                <w:noProof/>
                <w:webHidden/>
              </w:rPr>
              <w:t>3</w:t>
            </w:r>
            <w:r w:rsidRPr="009B60EA">
              <w:rPr>
                <w:noProof/>
                <w:webHidden/>
              </w:rPr>
              <w:fldChar w:fldCharType="end"/>
            </w:r>
          </w:hyperlink>
        </w:p>
        <w:p w:rsidRPr="009B60EA" w:rsidR="000C77AF" w:rsidRDefault="000C77AF" w14:paraId="2131725E" w14:textId="35695A6B">
          <w:pPr>
            <w:pStyle w:val="TOC2"/>
            <w:tabs>
              <w:tab w:val="right" w:leader="dot" w:pos="9350"/>
            </w:tabs>
            <w:rPr>
              <w:rFonts w:eastAsiaTheme="minorEastAsia"/>
              <w:noProof/>
            </w:rPr>
          </w:pPr>
          <w:hyperlink w:history="1" w:anchor="_Toc242575844">
            <w:r w:rsidRPr="009B60EA">
              <w:rPr>
                <w:rStyle w:val="Hyperlink"/>
                <w:rFonts w:ascii="Arial" w:hAnsi="Arial" w:cs="Arial"/>
                <w:noProof/>
              </w:rPr>
              <w:t>Task 2 – Practical Examples of Concepts in Practice: Joan’s Story</w:t>
            </w:r>
            <w:r w:rsidRPr="009B60EA">
              <w:rPr>
                <w:noProof/>
                <w:webHidden/>
              </w:rPr>
              <w:tab/>
            </w:r>
            <w:r w:rsidRPr="009B60EA">
              <w:rPr>
                <w:noProof/>
                <w:webHidden/>
              </w:rPr>
              <w:fldChar w:fldCharType="begin"/>
            </w:r>
            <w:r w:rsidRPr="009B60EA">
              <w:rPr>
                <w:noProof/>
                <w:webHidden/>
              </w:rPr>
              <w:instrText xml:space="preserve"> PAGEREF _Toc242575844 \h </w:instrText>
            </w:r>
            <w:r w:rsidRPr="009B60EA">
              <w:rPr>
                <w:noProof/>
                <w:webHidden/>
              </w:rPr>
            </w:r>
            <w:r w:rsidRPr="009B60EA">
              <w:rPr>
                <w:noProof/>
                <w:webHidden/>
              </w:rPr>
              <w:fldChar w:fldCharType="separate"/>
            </w:r>
            <w:r w:rsidRPr="009B60EA">
              <w:rPr>
                <w:noProof/>
                <w:webHidden/>
              </w:rPr>
              <w:t>4</w:t>
            </w:r>
            <w:r w:rsidRPr="009B60EA">
              <w:rPr>
                <w:noProof/>
                <w:webHidden/>
              </w:rPr>
              <w:fldChar w:fldCharType="end"/>
            </w:r>
          </w:hyperlink>
        </w:p>
        <w:p w:rsidRPr="009B60EA" w:rsidR="000C77AF" w:rsidRDefault="000C77AF" w14:paraId="00FD4576" w14:textId="17DB0424">
          <w:pPr>
            <w:pStyle w:val="TOC2"/>
            <w:tabs>
              <w:tab w:val="right" w:leader="dot" w:pos="9350"/>
            </w:tabs>
            <w:rPr>
              <w:rFonts w:eastAsiaTheme="minorEastAsia"/>
              <w:noProof/>
            </w:rPr>
          </w:pPr>
          <w:hyperlink w:history="1" w:anchor="_Toc242575845">
            <w:r w:rsidRPr="009B60EA">
              <w:rPr>
                <w:rStyle w:val="Hyperlink"/>
                <w:noProof/>
              </w:rPr>
              <w:t>Task 3 – Self-Reflection as a Health and Social Care Professional</w:t>
            </w:r>
            <w:r w:rsidRPr="009B60EA">
              <w:rPr>
                <w:noProof/>
                <w:webHidden/>
              </w:rPr>
              <w:tab/>
            </w:r>
            <w:r w:rsidRPr="009B60EA">
              <w:rPr>
                <w:noProof/>
                <w:webHidden/>
              </w:rPr>
              <w:fldChar w:fldCharType="begin"/>
            </w:r>
            <w:r w:rsidRPr="009B60EA">
              <w:rPr>
                <w:noProof/>
                <w:webHidden/>
              </w:rPr>
              <w:instrText xml:space="preserve"> PAGEREF _Toc242575845 \h </w:instrText>
            </w:r>
            <w:r w:rsidRPr="009B60EA">
              <w:rPr>
                <w:noProof/>
                <w:webHidden/>
              </w:rPr>
            </w:r>
            <w:r w:rsidRPr="009B60EA">
              <w:rPr>
                <w:noProof/>
                <w:webHidden/>
              </w:rPr>
              <w:fldChar w:fldCharType="separate"/>
            </w:r>
            <w:r w:rsidRPr="009B60EA">
              <w:rPr>
                <w:noProof/>
                <w:webHidden/>
              </w:rPr>
              <w:t>5</w:t>
            </w:r>
            <w:r w:rsidRPr="009B60EA">
              <w:rPr>
                <w:noProof/>
                <w:webHidden/>
              </w:rPr>
              <w:fldChar w:fldCharType="end"/>
            </w:r>
          </w:hyperlink>
        </w:p>
        <w:p w:rsidRPr="009B60EA" w:rsidR="000C77AF" w:rsidRDefault="000C77AF" w14:paraId="0F5E7405" w14:textId="0C1493E5">
          <w:pPr>
            <w:pStyle w:val="TOC3"/>
            <w:tabs>
              <w:tab w:val="right" w:leader="dot" w:pos="9350"/>
            </w:tabs>
            <w:rPr>
              <w:rFonts w:eastAsiaTheme="minorEastAsia"/>
              <w:noProof/>
            </w:rPr>
          </w:pPr>
          <w:hyperlink w:history="1" w:anchor="_Toc242575846">
            <w:r w:rsidRPr="009B60EA">
              <w:rPr>
                <w:rStyle w:val="Hyperlink"/>
                <w:rFonts w:ascii="Arial" w:hAnsi="Arial" w:cs="Arial"/>
                <w:noProof/>
              </w:rPr>
              <w:t>Introduction</w:t>
            </w:r>
            <w:r w:rsidRPr="009B60EA">
              <w:rPr>
                <w:noProof/>
                <w:webHidden/>
              </w:rPr>
              <w:tab/>
            </w:r>
            <w:r w:rsidRPr="009B60EA">
              <w:rPr>
                <w:noProof/>
                <w:webHidden/>
              </w:rPr>
              <w:fldChar w:fldCharType="begin"/>
            </w:r>
            <w:r w:rsidRPr="009B60EA">
              <w:rPr>
                <w:noProof/>
                <w:webHidden/>
              </w:rPr>
              <w:instrText xml:space="preserve"> PAGEREF _Toc242575846 \h </w:instrText>
            </w:r>
            <w:r w:rsidRPr="009B60EA">
              <w:rPr>
                <w:noProof/>
                <w:webHidden/>
              </w:rPr>
            </w:r>
            <w:r w:rsidRPr="009B60EA">
              <w:rPr>
                <w:noProof/>
                <w:webHidden/>
              </w:rPr>
              <w:fldChar w:fldCharType="separate"/>
            </w:r>
            <w:r w:rsidRPr="009B60EA">
              <w:rPr>
                <w:noProof/>
                <w:webHidden/>
              </w:rPr>
              <w:t>5</w:t>
            </w:r>
            <w:r w:rsidRPr="009B60EA">
              <w:rPr>
                <w:noProof/>
                <w:webHidden/>
              </w:rPr>
              <w:fldChar w:fldCharType="end"/>
            </w:r>
          </w:hyperlink>
        </w:p>
        <w:p w:rsidRPr="009B60EA" w:rsidR="000C77AF" w:rsidRDefault="000C77AF" w14:paraId="3595A77B" w14:textId="5113BEB0">
          <w:pPr>
            <w:pStyle w:val="TOC3"/>
            <w:tabs>
              <w:tab w:val="right" w:leader="dot" w:pos="9350"/>
            </w:tabs>
            <w:rPr>
              <w:rFonts w:eastAsiaTheme="minorEastAsia"/>
              <w:noProof/>
            </w:rPr>
          </w:pPr>
          <w:hyperlink w:history="1" w:anchor="_Toc242575847">
            <w:r w:rsidRPr="009B60EA">
              <w:rPr>
                <w:rStyle w:val="Hyperlink"/>
                <w:rFonts w:ascii="Arial" w:hAnsi="Arial" w:cs="Arial"/>
                <w:noProof/>
              </w:rPr>
              <w:t>Description</w:t>
            </w:r>
            <w:r w:rsidRPr="009B60EA">
              <w:rPr>
                <w:noProof/>
                <w:webHidden/>
              </w:rPr>
              <w:tab/>
            </w:r>
            <w:r w:rsidRPr="009B60EA">
              <w:rPr>
                <w:noProof/>
                <w:webHidden/>
              </w:rPr>
              <w:fldChar w:fldCharType="begin"/>
            </w:r>
            <w:r w:rsidRPr="009B60EA">
              <w:rPr>
                <w:noProof/>
                <w:webHidden/>
              </w:rPr>
              <w:instrText xml:space="preserve"> PAGEREF _Toc242575847 \h </w:instrText>
            </w:r>
            <w:r w:rsidRPr="009B60EA">
              <w:rPr>
                <w:noProof/>
                <w:webHidden/>
              </w:rPr>
            </w:r>
            <w:r w:rsidRPr="009B60EA">
              <w:rPr>
                <w:noProof/>
                <w:webHidden/>
              </w:rPr>
              <w:fldChar w:fldCharType="separate"/>
            </w:r>
            <w:r w:rsidRPr="009B60EA">
              <w:rPr>
                <w:noProof/>
                <w:webHidden/>
              </w:rPr>
              <w:t>6</w:t>
            </w:r>
            <w:r w:rsidRPr="009B60EA">
              <w:rPr>
                <w:noProof/>
                <w:webHidden/>
              </w:rPr>
              <w:fldChar w:fldCharType="end"/>
            </w:r>
          </w:hyperlink>
        </w:p>
        <w:p w:rsidRPr="009B60EA" w:rsidR="000C77AF" w:rsidRDefault="000C77AF" w14:paraId="4946D97C" w14:textId="485BCA54">
          <w:pPr>
            <w:pStyle w:val="TOC3"/>
            <w:tabs>
              <w:tab w:val="right" w:leader="dot" w:pos="9350"/>
            </w:tabs>
            <w:rPr>
              <w:rFonts w:eastAsiaTheme="minorEastAsia"/>
              <w:noProof/>
            </w:rPr>
          </w:pPr>
          <w:hyperlink w:history="1" w:anchor="_Toc242575848">
            <w:r w:rsidRPr="009B60EA">
              <w:rPr>
                <w:rStyle w:val="Hyperlink"/>
                <w:rFonts w:ascii="Arial" w:hAnsi="Arial" w:cs="Arial"/>
                <w:noProof/>
              </w:rPr>
              <w:t>Feelings</w:t>
            </w:r>
            <w:r w:rsidRPr="009B60EA">
              <w:rPr>
                <w:noProof/>
                <w:webHidden/>
              </w:rPr>
              <w:tab/>
            </w:r>
            <w:r w:rsidRPr="009B60EA">
              <w:rPr>
                <w:noProof/>
                <w:webHidden/>
              </w:rPr>
              <w:fldChar w:fldCharType="begin"/>
            </w:r>
            <w:r w:rsidRPr="009B60EA">
              <w:rPr>
                <w:noProof/>
                <w:webHidden/>
              </w:rPr>
              <w:instrText xml:space="preserve"> PAGEREF _Toc242575848 \h </w:instrText>
            </w:r>
            <w:r w:rsidRPr="009B60EA">
              <w:rPr>
                <w:noProof/>
                <w:webHidden/>
              </w:rPr>
            </w:r>
            <w:r w:rsidRPr="009B60EA">
              <w:rPr>
                <w:noProof/>
                <w:webHidden/>
              </w:rPr>
              <w:fldChar w:fldCharType="separate"/>
            </w:r>
            <w:r w:rsidRPr="009B60EA">
              <w:rPr>
                <w:noProof/>
                <w:webHidden/>
              </w:rPr>
              <w:t>6</w:t>
            </w:r>
            <w:r w:rsidRPr="009B60EA">
              <w:rPr>
                <w:noProof/>
                <w:webHidden/>
              </w:rPr>
              <w:fldChar w:fldCharType="end"/>
            </w:r>
          </w:hyperlink>
        </w:p>
        <w:p w:rsidRPr="009B60EA" w:rsidR="000C77AF" w:rsidRDefault="000C77AF" w14:paraId="3E124A41" w14:textId="02E9CD38">
          <w:pPr>
            <w:pStyle w:val="TOC3"/>
            <w:tabs>
              <w:tab w:val="right" w:leader="dot" w:pos="9350"/>
            </w:tabs>
            <w:rPr>
              <w:rFonts w:eastAsiaTheme="minorEastAsia"/>
              <w:noProof/>
            </w:rPr>
          </w:pPr>
          <w:hyperlink w:history="1" w:anchor="_Toc242575849">
            <w:r w:rsidRPr="009B60EA">
              <w:rPr>
                <w:rStyle w:val="Hyperlink"/>
                <w:rFonts w:ascii="Arial" w:hAnsi="Arial" w:cs="Arial"/>
                <w:noProof/>
              </w:rPr>
              <w:t>Evaluation</w:t>
            </w:r>
            <w:r w:rsidRPr="009B60EA">
              <w:rPr>
                <w:noProof/>
                <w:webHidden/>
              </w:rPr>
              <w:tab/>
            </w:r>
            <w:r w:rsidRPr="009B60EA">
              <w:rPr>
                <w:noProof/>
                <w:webHidden/>
              </w:rPr>
              <w:fldChar w:fldCharType="begin"/>
            </w:r>
            <w:r w:rsidRPr="009B60EA">
              <w:rPr>
                <w:noProof/>
                <w:webHidden/>
              </w:rPr>
              <w:instrText xml:space="preserve"> PAGEREF _Toc242575849 \h </w:instrText>
            </w:r>
            <w:r w:rsidRPr="009B60EA">
              <w:rPr>
                <w:noProof/>
                <w:webHidden/>
              </w:rPr>
            </w:r>
            <w:r w:rsidRPr="009B60EA">
              <w:rPr>
                <w:noProof/>
                <w:webHidden/>
              </w:rPr>
              <w:fldChar w:fldCharType="separate"/>
            </w:r>
            <w:r w:rsidRPr="009B60EA">
              <w:rPr>
                <w:noProof/>
                <w:webHidden/>
              </w:rPr>
              <w:t>6</w:t>
            </w:r>
            <w:r w:rsidRPr="009B60EA">
              <w:rPr>
                <w:noProof/>
                <w:webHidden/>
              </w:rPr>
              <w:fldChar w:fldCharType="end"/>
            </w:r>
          </w:hyperlink>
        </w:p>
        <w:p w:rsidRPr="009B60EA" w:rsidR="000C77AF" w:rsidRDefault="000C77AF" w14:paraId="5EB78224" w14:textId="6C4758AB">
          <w:pPr>
            <w:pStyle w:val="TOC3"/>
            <w:tabs>
              <w:tab w:val="right" w:leader="dot" w:pos="9350"/>
            </w:tabs>
            <w:rPr>
              <w:rFonts w:eastAsiaTheme="minorEastAsia"/>
              <w:noProof/>
            </w:rPr>
          </w:pPr>
          <w:hyperlink w:history="1" w:anchor="_Toc242575850">
            <w:r w:rsidRPr="009B60EA">
              <w:rPr>
                <w:rStyle w:val="Hyperlink"/>
                <w:rFonts w:ascii="Arial" w:hAnsi="Arial" w:cs="Arial"/>
                <w:noProof/>
              </w:rPr>
              <w:t>Analysis</w:t>
            </w:r>
            <w:r w:rsidRPr="009B60EA">
              <w:rPr>
                <w:noProof/>
                <w:webHidden/>
              </w:rPr>
              <w:tab/>
            </w:r>
            <w:r w:rsidRPr="009B60EA">
              <w:rPr>
                <w:noProof/>
                <w:webHidden/>
              </w:rPr>
              <w:fldChar w:fldCharType="begin"/>
            </w:r>
            <w:r w:rsidRPr="009B60EA">
              <w:rPr>
                <w:noProof/>
                <w:webHidden/>
              </w:rPr>
              <w:instrText xml:space="preserve"> PAGEREF _Toc242575850 \h </w:instrText>
            </w:r>
            <w:r w:rsidRPr="009B60EA">
              <w:rPr>
                <w:noProof/>
                <w:webHidden/>
              </w:rPr>
            </w:r>
            <w:r w:rsidRPr="009B60EA">
              <w:rPr>
                <w:noProof/>
                <w:webHidden/>
              </w:rPr>
              <w:fldChar w:fldCharType="separate"/>
            </w:r>
            <w:r w:rsidRPr="009B60EA">
              <w:rPr>
                <w:noProof/>
                <w:webHidden/>
              </w:rPr>
              <w:t>7</w:t>
            </w:r>
            <w:r w:rsidRPr="009B60EA">
              <w:rPr>
                <w:noProof/>
                <w:webHidden/>
              </w:rPr>
              <w:fldChar w:fldCharType="end"/>
            </w:r>
          </w:hyperlink>
        </w:p>
        <w:p w:rsidRPr="009B60EA" w:rsidR="000C77AF" w:rsidRDefault="000C77AF" w14:paraId="410899D0" w14:textId="0911BA2E">
          <w:pPr>
            <w:pStyle w:val="TOC3"/>
            <w:tabs>
              <w:tab w:val="right" w:leader="dot" w:pos="9350"/>
            </w:tabs>
            <w:rPr>
              <w:rFonts w:eastAsiaTheme="minorEastAsia"/>
              <w:noProof/>
            </w:rPr>
          </w:pPr>
          <w:hyperlink w:history="1" w:anchor="_Toc242575851">
            <w:r w:rsidRPr="009B60EA">
              <w:rPr>
                <w:rStyle w:val="Hyperlink"/>
                <w:rFonts w:ascii="Arial" w:hAnsi="Arial" w:cs="Arial"/>
                <w:noProof/>
              </w:rPr>
              <w:t>Conclusion</w:t>
            </w:r>
            <w:r w:rsidRPr="009B60EA">
              <w:rPr>
                <w:noProof/>
                <w:webHidden/>
              </w:rPr>
              <w:tab/>
            </w:r>
            <w:r w:rsidRPr="009B60EA">
              <w:rPr>
                <w:noProof/>
                <w:webHidden/>
              </w:rPr>
              <w:fldChar w:fldCharType="begin"/>
            </w:r>
            <w:r w:rsidRPr="009B60EA">
              <w:rPr>
                <w:noProof/>
                <w:webHidden/>
              </w:rPr>
              <w:instrText xml:space="preserve"> PAGEREF _Toc242575851 \h </w:instrText>
            </w:r>
            <w:r w:rsidRPr="009B60EA">
              <w:rPr>
                <w:noProof/>
                <w:webHidden/>
              </w:rPr>
            </w:r>
            <w:r w:rsidRPr="009B60EA">
              <w:rPr>
                <w:noProof/>
                <w:webHidden/>
              </w:rPr>
              <w:fldChar w:fldCharType="separate"/>
            </w:r>
            <w:r w:rsidRPr="009B60EA">
              <w:rPr>
                <w:noProof/>
                <w:webHidden/>
              </w:rPr>
              <w:t>7</w:t>
            </w:r>
            <w:r w:rsidRPr="009B60EA">
              <w:rPr>
                <w:noProof/>
                <w:webHidden/>
              </w:rPr>
              <w:fldChar w:fldCharType="end"/>
            </w:r>
          </w:hyperlink>
        </w:p>
        <w:p w:rsidRPr="009B60EA" w:rsidR="000C77AF" w:rsidRDefault="000C77AF" w14:paraId="02018846" w14:textId="5591DE83">
          <w:pPr>
            <w:pStyle w:val="TOC3"/>
            <w:tabs>
              <w:tab w:val="right" w:leader="dot" w:pos="9350"/>
            </w:tabs>
            <w:rPr>
              <w:rFonts w:eastAsiaTheme="minorEastAsia"/>
              <w:noProof/>
            </w:rPr>
          </w:pPr>
          <w:hyperlink w:history="1" w:anchor="_Toc242575852">
            <w:r w:rsidRPr="009B60EA">
              <w:rPr>
                <w:rStyle w:val="Hyperlink"/>
                <w:rFonts w:ascii="Arial" w:hAnsi="Arial" w:cs="Arial"/>
                <w:noProof/>
              </w:rPr>
              <w:t>Action Plan</w:t>
            </w:r>
            <w:r w:rsidRPr="009B60EA">
              <w:rPr>
                <w:noProof/>
                <w:webHidden/>
              </w:rPr>
              <w:tab/>
            </w:r>
            <w:r w:rsidRPr="009B60EA">
              <w:rPr>
                <w:noProof/>
                <w:webHidden/>
              </w:rPr>
              <w:fldChar w:fldCharType="begin"/>
            </w:r>
            <w:r w:rsidRPr="009B60EA">
              <w:rPr>
                <w:noProof/>
                <w:webHidden/>
              </w:rPr>
              <w:instrText xml:space="preserve"> PAGEREF _Toc242575852 \h </w:instrText>
            </w:r>
            <w:r w:rsidRPr="009B60EA">
              <w:rPr>
                <w:noProof/>
                <w:webHidden/>
              </w:rPr>
            </w:r>
            <w:r w:rsidRPr="009B60EA">
              <w:rPr>
                <w:noProof/>
                <w:webHidden/>
              </w:rPr>
              <w:fldChar w:fldCharType="separate"/>
            </w:r>
            <w:r w:rsidRPr="009B60EA">
              <w:rPr>
                <w:noProof/>
                <w:webHidden/>
              </w:rPr>
              <w:t>7</w:t>
            </w:r>
            <w:r w:rsidRPr="009B60EA">
              <w:rPr>
                <w:noProof/>
                <w:webHidden/>
              </w:rPr>
              <w:fldChar w:fldCharType="end"/>
            </w:r>
          </w:hyperlink>
        </w:p>
        <w:p w:rsidRPr="009B60EA" w:rsidR="000C77AF" w:rsidRDefault="000C77AF" w14:paraId="0FD59264" w14:textId="4D8788E1">
          <w:pPr>
            <w:pStyle w:val="TOC2"/>
            <w:tabs>
              <w:tab w:val="right" w:leader="dot" w:pos="9350"/>
            </w:tabs>
            <w:rPr>
              <w:rFonts w:eastAsiaTheme="minorEastAsia"/>
              <w:noProof/>
            </w:rPr>
          </w:pPr>
          <w:hyperlink w:history="1" w:anchor="_Toc242575853">
            <w:r w:rsidRPr="009B60EA">
              <w:rPr>
                <w:rStyle w:val="Hyperlink"/>
                <w:rFonts w:ascii="Arial" w:hAnsi="Arial" w:cs="Arial"/>
                <w:noProof/>
              </w:rPr>
              <w:t>Conclusion</w:t>
            </w:r>
            <w:r w:rsidRPr="009B60EA">
              <w:rPr>
                <w:noProof/>
                <w:webHidden/>
              </w:rPr>
              <w:tab/>
            </w:r>
            <w:r w:rsidRPr="009B60EA">
              <w:rPr>
                <w:noProof/>
                <w:webHidden/>
              </w:rPr>
              <w:fldChar w:fldCharType="begin"/>
            </w:r>
            <w:r w:rsidRPr="009B60EA">
              <w:rPr>
                <w:noProof/>
                <w:webHidden/>
              </w:rPr>
              <w:instrText xml:space="preserve"> PAGEREF _Toc242575853 \h </w:instrText>
            </w:r>
            <w:r w:rsidRPr="009B60EA">
              <w:rPr>
                <w:noProof/>
                <w:webHidden/>
              </w:rPr>
            </w:r>
            <w:r w:rsidRPr="009B60EA">
              <w:rPr>
                <w:noProof/>
                <w:webHidden/>
              </w:rPr>
              <w:fldChar w:fldCharType="separate"/>
            </w:r>
            <w:r w:rsidRPr="009B60EA">
              <w:rPr>
                <w:noProof/>
                <w:webHidden/>
              </w:rPr>
              <w:t>8</w:t>
            </w:r>
            <w:r w:rsidRPr="009B60EA">
              <w:rPr>
                <w:noProof/>
                <w:webHidden/>
              </w:rPr>
              <w:fldChar w:fldCharType="end"/>
            </w:r>
          </w:hyperlink>
        </w:p>
        <w:p w:rsidRPr="009B60EA" w:rsidR="000C77AF" w:rsidRDefault="000C77AF" w14:paraId="0F5DB936" w14:textId="4B1D97AC">
          <w:pPr>
            <w:pStyle w:val="TOC2"/>
            <w:tabs>
              <w:tab w:val="right" w:leader="dot" w:pos="9350"/>
            </w:tabs>
            <w:rPr>
              <w:rFonts w:eastAsiaTheme="minorEastAsia"/>
              <w:noProof/>
            </w:rPr>
          </w:pPr>
          <w:hyperlink w:history="1" w:anchor="_Toc242575854">
            <w:r w:rsidRPr="009B60EA">
              <w:rPr>
                <w:rStyle w:val="Hyperlink"/>
                <w:rFonts w:ascii="Arial" w:hAnsi="Arial" w:cs="Arial"/>
                <w:noProof/>
              </w:rPr>
              <w:t>References</w:t>
            </w:r>
            <w:r w:rsidRPr="009B60EA">
              <w:rPr>
                <w:noProof/>
                <w:webHidden/>
              </w:rPr>
              <w:tab/>
            </w:r>
            <w:r w:rsidRPr="009B60EA">
              <w:rPr>
                <w:noProof/>
                <w:webHidden/>
              </w:rPr>
              <w:fldChar w:fldCharType="begin"/>
            </w:r>
            <w:r w:rsidRPr="009B60EA">
              <w:rPr>
                <w:noProof/>
                <w:webHidden/>
              </w:rPr>
              <w:instrText xml:space="preserve"> PAGEREF _Toc242575854 \h </w:instrText>
            </w:r>
            <w:r w:rsidRPr="009B60EA">
              <w:rPr>
                <w:noProof/>
                <w:webHidden/>
              </w:rPr>
            </w:r>
            <w:r w:rsidRPr="009B60EA">
              <w:rPr>
                <w:noProof/>
                <w:webHidden/>
              </w:rPr>
              <w:fldChar w:fldCharType="separate"/>
            </w:r>
            <w:r w:rsidRPr="009B60EA">
              <w:rPr>
                <w:noProof/>
                <w:webHidden/>
              </w:rPr>
              <w:t>8</w:t>
            </w:r>
            <w:r w:rsidRPr="009B60EA">
              <w:rPr>
                <w:noProof/>
                <w:webHidden/>
              </w:rPr>
              <w:fldChar w:fldCharType="end"/>
            </w:r>
          </w:hyperlink>
        </w:p>
        <w:p w:rsidR="000C77AF" w:rsidRDefault="000C77AF" w14:paraId="2B71EB8A" w14:textId="1996FD8C">
          <w:r w:rsidRPr="009B60EA">
            <w:rPr>
              <w:noProof/>
            </w:rPr>
            <w:fldChar w:fldCharType="end"/>
          </w:r>
        </w:p>
      </w:sdtContent>
    </w:sdt>
    <w:p w:rsidR="00547E06" w:rsidP="00547E06" w:rsidRDefault="00547E06" w14:paraId="116051D0" w14:textId="77777777"/>
    <w:p w:rsidR="00547E06" w:rsidP="00547E06" w:rsidRDefault="00547E06" w14:paraId="2B2EDCB2" w14:textId="77777777"/>
    <w:p w:rsidR="00547E06" w:rsidP="00547E06" w:rsidRDefault="00547E06" w14:paraId="79463FAA" w14:textId="77777777"/>
    <w:p w:rsidR="00547E06" w:rsidP="00547E06" w:rsidRDefault="00547E06" w14:paraId="413F9865" w14:textId="77777777"/>
    <w:p w:rsidR="00547E06" w:rsidP="00547E06" w:rsidRDefault="00547E06" w14:paraId="33FF1E61" w14:textId="77777777"/>
    <w:p w:rsidR="00547E06" w:rsidP="00547E06" w:rsidRDefault="00547E06" w14:paraId="101E58FD" w14:textId="77777777"/>
    <w:p w:rsidR="00547E06" w:rsidP="00547E06" w:rsidRDefault="00547E06" w14:paraId="372A620B" w14:textId="77777777"/>
    <w:p w:rsidR="00547E06" w:rsidP="00547E06" w:rsidRDefault="00547E06" w14:paraId="4C1D58BF" w14:textId="77777777"/>
    <w:p w:rsidR="00547E06" w:rsidP="00547E06" w:rsidRDefault="00547E06" w14:paraId="35389A17" w14:textId="77777777"/>
    <w:p w:rsidR="00547E06" w:rsidP="00547E06" w:rsidRDefault="00547E06" w14:paraId="5203B183" w14:textId="77777777"/>
    <w:p w:rsidR="00547E06" w:rsidP="00547E06" w:rsidRDefault="00547E06" w14:paraId="3AA207E3" w14:textId="77777777"/>
    <w:p w:rsidRPr="00D92E78" w:rsidR="00D50DCE" w:rsidP="00D92E78" w:rsidRDefault="00D50DCE" w14:paraId="531C8C12" w14:textId="39AD08E1">
      <w:pPr>
        <w:pStyle w:val="Heading1"/>
        <w:spacing w:line="360" w:lineRule="auto"/>
        <w:jc w:val="center"/>
        <w:rPr>
          <w:rFonts w:ascii="Arial" w:hAnsi="Arial" w:cs="Arial"/>
          <w:b/>
          <w:bCs/>
          <w:color w:val="auto"/>
          <w:sz w:val="32"/>
          <w:szCs w:val="32"/>
        </w:rPr>
      </w:pPr>
      <w:bookmarkStart w:name="_Toc242575841" w:id="0"/>
      <w:r w:rsidRPr="00D92E78">
        <w:rPr>
          <w:rFonts w:ascii="Arial" w:hAnsi="Arial" w:cs="Arial"/>
          <w:b/>
          <w:bCs/>
          <w:color w:val="auto"/>
          <w:sz w:val="32"/>
          <w:szCs w:val="32"/>
        </w:rPr>
        <w:t xml:space="preserve">Component </w:t>
      </w:r>
      <w:r w:rsidR="00AC4286">
        <w:rPr>
          <w:rFonts w:ascii="Arial" w:hAnsi="Arial" w:cs="Arial"/>
          <w:b/>
          <w:bCs/>
          <w:color w:val="auto"/>
          <w:sz w:val="32"/>
          <w:szCs w:val="32"/>
        </w:rPr>
        <w:t xml:space="preserve">1: </w:t>
      </w:r>
      <w:r w:rsidRPr="00D92E78">
        <w:rPr>
          <w:rFonts w:ascii="Arial" w:hAnsi="Arial" w:cs="Arial"/>
          <w:b/>
          <w:bCs/>
          <w:color w:val="auto"/>
          <w:sz w:val="32"/>
          <w:szCs w:val="32"/>
        </w:rPr>
        <w:t>Reflective Report</w:t>
      </w:r>
      <w:bookmarkEnd w:id="0"/>
    </w:p>
    <w:p w:rsidRPr="00D92E78" w:rsidR="00D50DCE" w:rsidP="002061BB" w:rsidRDefault="00D50DCE" w14:paraId="0A31E1AD" w14:textId="77777777">
      <w:pPr>
        <w:pStyle w:val="Heading2"/>
        <w:spacing w:line="360" w:lineRule="auto"/>
        <w:jc w:val="both"/>
        <w:rPr>
          <w:rFonts w:ascii="Arial" w:hAnsi="Arial" w:cs="Arial"/>
          <w:b/>
          <w:bCs/>
          <w:color w:val="auto"/>
          <w:sz w:val="28"/>
          <w:szCs w:val="28"/>
        </w:rPr>
      </w:pPr>
      <w:bookmarkStart w:name="_Toc242575842" w:id="1"/>
      <w:r w:rsidRPr="00D92E78">
        <w:rPr>
          <w:rFonts w:ascii="Arial" w:hAnsi="Arial" w:cs="Arial"/>
          <w:b/>
          <w:bCs/>
          <w:color w:val="auto"/>
          <w:sz w:val="28"/>
          <w:szCs w:val="28"/>
        </w:rPr>
        <w:t>Introduction</w:t>
      </w:r>
      <w:bookmarkEnd w:id="1"/>
    </w:p>
    <w:p w:rsidRPr="00D92E78" w:rsidR="008C206E" w:rsidP="002061BB" w:rsidRDefault="00DC5E57" w14:paraId="695CC602" w14:textId="7559FAA9">
      <w:pPr>
        <w:spacing w:line="360" w:lineRule="auto"/>
        <w:jc w:val="both"/>
        <w:rPr>
          <w:rFonts w:ascii="Arial" w:hAnsi="Arial" w:cs="Arial"/>
          <w:sz w:val="22"/>
          <w:szCs w:val="22"/>
        </w:rPr>
      </w:pPr>
      <w:r w:rsidRPr="00DC5E57">
        <w:rPr>
          <w:rFonts w:ascii="Arial" w:hAnsi="Arial" w:cs="Arial"/>
          <w:sz w:val="22"/>
          <w:szCs w:val="22"/>
        </w:rPr>
        <w:t xml:space="preserve">The purpose of health and social care practice is to </w:t>
      </w:r>
      <w:r w:rsidR="00C94B5C">
        <w:rPr>
          <w:rFonts w:ascii="Arial" w:hAnsi="Arial" w:cs="Arial"/>
          <w:sz w:val="22"/>
          <w:szCs w:val="22"/>
        </w:rPr>
        <w:t>improve</w:t>
      </w:r>
      <w:r w:rsidRPr="00DC5E57">
        <w:rPr>
          <w:rFonts w:ascii="Arial" w:hAnsi="Arial" w:cs="Arial"/>
          <w:sz w:val="22"/>
          <w:szCs w:val="22"/>
        </w:rPr>
        <w:t xml:space="preserve"> wellbeing, independence and quality of life, rather than to provide services. Person-centred care acknowledges that individuals are unique, have their own priorities, relationships and abilities (McCormack et al., 2012). English caregivers' evidence also indicates that an increased level of communication, leadership, and time (Damant et al, 2025) is needed to involve people in planning. There is expertise shared between services through partnership working and the balancing of choice, safety, fairness and limited resources is achieved through ethical practice (Mackie and Darvill, 2016</w:t>
      </w:r>
      <w:r w:rsidRPr="00D92E78" w:rsidR="00D50DCE">
        <w:rPr>
          <w:rFonts w:ascii="Arial" w:hAnsi="Arial" w:cs="Arial"/>
          <w:sz w:val="22"/>
          <w:szCs w:val="22"/>
        </w:rPr>
        <w:t>).</w:t>
      </w:r>
    </w:p>
    <w:p w:rsidRPr="00D92E78" w:rsidR="00D50DCE" w:rsidP="002061BB" w:rsidRDefault="001243F9" w14:paraId="36AB6BEF" w14:textId="4AA5A550">
      <w:pPr>
        <w:spacing w:line="360" w:lineRule="auto"/>
        <w:jc w:val="both"/>
        <w:rPr>
          <w:rFonts w:ascii="Arial" w:hAnsi="Arial" w:cs="Arial"/>
          <w:sz w:val="22"/>
          <w:szCs w:val="22"/>
        </w:rPr>
      </w:pPr>
      <w:r w:rsidRPr="001243F9">
        <w:rPr>
          <w:rFonts w:ascii="Arial" w:hAnsi="Arial" w:cs="Arial"/>
          <w:sz w:val="22"/>
          <w:szCs w:val="22"/>
        </w:rPr>
        <w:t xml:space="preserve">These principles are explored in this report, both theoretically and from Joan's case study, which involves coordinated care to manage COPD and Crohn's disease. It </w:t>
      </w:r>
      <w:proofErr w:type="gramStart"/>
      <w:r w:rsidRPr="001243F9">
        <w:rPr>
          <w:rFonts w:ascii="Arial" w:hAnsi="Arial" w:cs="Arial"/>
          <w:sz w:val="22"/>
          <w:szCs w:val="22"/>
        </w:rPr>
        <w:t>takes into account</w:t>
      </w:r>
      <w:proofErr w:type="gramEnd"/>
      <w:r w:rsidRPr="001243F9">
        <w:rPr>
          <w:rFonts w:ascii="Arial" w:hAnsi="Arial" w:cs="Arial"/>
          <w:sz w:val="22"/>
          <w:szCs w:val="22"/>
        </w:rPr>
        <w:t xml:space="preserve"> the barriers to service quality and UK legislation. The Reflective Cycle developed by Gibbs (1988) outlines a reflective process of strengths, weaknesses and action for a learning outcome for adult support in health and social care practice in the UK.</w:t>
      </w:r>
    </w:p>
    <w:p w:rsidRPr="00D92E78" w:rsidR="00D50DCE" w:rsidP="002061BB" w:rsidRDefault="00D50DCE" w14:paraId="6958919A" w14:textId="77777777">
      <w:pPr>
        <w:pStyle w:val="Heading2"/>
        <w:spacing w:line="360" w:lineRule="auto"/>
        <w:jc w:val="both"/>
        <w:rPr>
          <w:rFonts w:ascii="Arial" w:hAnsi="Arial" w:cs="Arial"/>
          <w:b/>
          <w:bCs/>
          <w:color w:val="auto"/>
          <w:sz w:val="28"/>
          <w:szCs w:val="28"/>
        </w:rPr>
      </w:pPr>
      <w:bookmarkStart w:name="_Toc242575843" w:id="2"/>
      <w:r w:rsidRPr="00D92E78">
        <w:rPr>
          <w:rFonts w:ascii="Arial" w:hAnsi="Arial" w:cs="Arial"/>
          <w:b/>
          <w:bCs/>
          <w:color w:val="auto"/>
          <w:sz w:val="28"/>
          <w:szCs w:val="28"/>
        </w:rPr>
        <w:t>Task 1 – Reflection on the Importance of Principles of Health and Social Care Practice</w:t>
      </w:r>
      <w:bookmarkEnd w:id="2"/>
    </w:p>
    <w:p w:rsidRPr="00D92E78" w:rsidR="00D50DCE" w:rsidP="002061BB" w:rsidRDefault="001243F9" w14:paraId="05D6C2BA" w14:textId="236E8BCB">
      <w:pPr>
        <w:spacing w:line="360" w:lineRule="auto"/>
        <w:jc w:val="both"/>
        <w:rPr>
          <w:rFonts w:ascii="Arial" w:hAnsi="Arial" w:cs="Arial"/>
          <w:sz w:val="22"/>
          <w:szCs w:val="22"/>
        </w:rPr>
      </w:pPr>
      <w:r w:rsidRPr="001243F9">
        <w:rPr>
          <w:rFonts w:ascii="Arial" w:hAnsi="Arial" w:cs="Arial"/>
          <w:sz w:val="22"/>
          <w:szCs w:val="22"/>
        </w:rPr>
        <w:t>Person-centred care is about beginning with their needs and not what the professionals think is best. It recognizes values, desires, relationships, strengths and desired outcomes (McCormack et al., 2012). Damant et al. (2025) identified a range of factors that facilitated care planning in English care homes, such as available tools, communication and collaboration, alongside factors that hindered care planning, including time pressures and staffing shortages. Care plans will need to be reviewed as needs and circumstances evolve. The Care Act 2014 s.1 also places a duty on local authorities in England to promote individual wellbeing, which includes promoting the dignity of life, the control of daily life and participation.</w:t>
      </w:r>
      <w:r>
        <w:rPr>
          <w:rFonts w:ascii="Arial" w:hAnsi="Arial" w:cs="Arial"/>
          <w:sz w:val="22"/>
          <w:szCs w:val="22"/>
        </w:rPr>
        <w:t xml:space="preserve"> </w:t>
      </w:r>
      <w:r w:rsidRPr="001243F9">
        <w:rPr>
          <w:rFonts w:ascii="Arial" w:hAnsi="Arial" w:cs="Arial"/>
          <w:sz w:val="22"/>
          <w:szCs w:val="22"/>
        </w:rPr>
        <w:t xml:space="preserve">The quality of care is thus dependent on meaningful involvement, rather than just filling in forms. Staff also require time and support: Workloads can limit person centred activity and impact on dignity (Cooper et al., 2018). Leadership and training are therefore a component of effective implementation. For these principles to be maintained in day-to-day practice it appears that </w:t>
      </w:r>
      <w:proofErr w:type="spellStart"/>
      <w:r w:rsidRPr="001243F9">
        <w:rPr>
          <w:rFonts w:ascii="Arial" w:hAnsi="Arial" w:cs="Arial"/>
          <w:sz w:val="22"/>
          <w:szCs w:val="22"/>
        </w:rPr>
        <w:t>organisational</w:t>
      </w:r>
      <w:proofErr w:type="spellEnd"/>
      <w:r w:rsidRPr="001243F9">
        <w:rPr>
          <w:rFonts w:ascii="Arial" w:hAnsi="Arial" w:cs="Arial"/>
          <w:sz w:val="22"/>
          <w:szCs w:val="22"/>
        </w:rPr>
        <w:t xml:space="preserve"> systems, rather than individual attitudes, are what make the difference.</w:t>
      </w:r>
    </w:p>
    <w:p w:rsidRPr="00D92E78" w:rsidR="00D50DCE" w:rsidP="002061BB" w:rsidRDefault="003E398D" w14:paraId="1AF8FDC3" w14:textId="6C6E19E7">
      <w:pPr>
        <w:spacing w:line="360" w:lineRule="auto"/>
        <w:jc w:val="both"/>
        <w:rPr>
          <w:rFonts w:ascii="Arial" w:hAnsi="Arial" w:cs="Arial"/>
          <w:sz w:val="22"/>
          <w:szCs w:val="22"/>
        </w:rPr>
      </w:pPr>
      <w:r w:rsidRPr="003E398D">
        <w:rPr>
          <w:rFonts w:ascii="Arial" w:hAnsi="Arial" w:cs="Arial"/>
          <w:sz w:val="22"/>
          <w:szCs w:val="22"/>
        </w:rPr>
        <w:t xml:space="preserve">Social Model of health emphasizes the social and environmental factors that affect health instead of pinpointing all issues on the person. Personal, social, economic and environmental factors can </w:t>
      </w:r>
      <w:r w:rsidRPr="003E398D">
        <w:rPr>
          <w:rFonts w:ascii="Arial" w:hAnsi="Arial" w:cs="Arial"/>
          <w:sz w:val="22"/>
          <w:szCs w:val="22"/>
        </w:rPr>
        <w:t xml:space="preserve">impact on a person's ability to accept advice and attend appointments (World Health Organization, 2013). The model emphasizes to practitioners the need to decrease barriers but does not suggest that clinical treatment is not necessary. The fact that Joan struggled to leave home due to Crohn's demonstrates the importance of considering </w:t>
      </w:r>
      <w:proofErr w:type="spellStart"/>
      <w:r w:rsidRPr="003E398D">
        <w:rPr>
          <w:rFonts w:ascii="Arial" w:hAnsi="Arial" w:cs="Arial"/>
          <w:sz w:val="22"/>
          <w:szCs w:val="22"/>
        </w:rPr>
        <w:t>behaviour</w:t>
      </w:r>
      <w:proofErr w:type="spellEnd"/>
      <w:r w:rsidRPr="003E398D">
        <w:rPr>
          <w:rFonts w:ascii="Arial" w:hAnsi="Arial" w:cs="Arial"/>
          <w:sz w:val="22"/>
          <w:szCs w:val="22"/>
        </w:rPr>
        <w:t xml:space="preserve"> in context</w:t>
      </w:r>
      <w:r w:rsidRPr="00D92E78" w:rsidR="00D50DCE">
        <w:rPr>
          <w:rFonts w:ascii="Arial" w:hAnsi="Arial" w:cs="Arial"/>
          <w:sz w:val="22"/>
          <w:szCs w:val="22"/>
        </w:rPr>
        <w:t>.</w:t>
      </w:r>
    </w:p>
    <w:p w:rsidRPr="00D92E78" w:rsidR="00D50DCE" w:rsidP="002061BB" w:rsidRDefault="003E398D" w14:paraId="5D2BF16A" w14:textId="50428196">
      <w:pPr>
        <w:spacing w:line="360" w:lineRule="auto"/>
        <w:jc w:val="both"/>
        <w:rPr>
          <w:rFonts w:ascii="Arial" w:hAnsi="Arial" w:cs="Arial"/>
          <w:sz w:val="22"/>
          <w:szCs w:val="22"/>
        </w:rPr>
      </w:pPr>
      <w:r w:rsidRPr="003E398D">
        <w:rPr>
          <w:rFonts w:ascii="Arial" w:hAnsi="Arial" w:cs="Arial"/>
          <w:sz w:val="22"/>
          <w:szCs w:val="22"/>
        </w:rPr>
        <w:t xml:space="preserve">The importance of partnership working is that complex needs are not likely to be served by one service. Professionals should provide information appropriately, communicate roles and objectives with the individual. Communication, leadership, resources and information systems are cited by Mackie and Darvill (2016) as factors that facilitate the delivery of integrated care. Petch, Cook and Miller (2013) reported that the continuity, adequate staffing, preventative and longer-term support were important to service users. However, while integration may lead to better outcomes, unclear roles, competing priorities, and poor communication can result in disjointed care. Judging partnership is not by number of </w:t>
      </w:r>
      <w:proofErr w:type="spellStart"/>
      <w:r w:rsidRPr="003E398D">
        <w:rPr>
          <w:rFonts w:ascii="Arial" w:hAnsi="Arial" w:cs="Arial"/>
          <w:sz w:val="22"/>
          <w:szCs w:val="22"/>
        </w:rPr>
        <w:t>organisations</w:t>
      </w:r>
      <w:proofErr w:type="spellEnd"/>
      <w:r w:rsidRPr="003E398D">
        <w:rPr>
          <w:rFonts w:ascii="Arial" w:hAnsi="Arial" w:cs="Arial"/>
          <w:sz w:val="22"/>
          <w:szCs w:val="22"/>
        </w:rPr>
        <w:t xml:space="preserve">, but by outcomes that </w:t>
      </w:r>
      <w:r w:rsidRPr="003E398D" w:rsidR="00995697">
        <w:rPr>
          <w:rFonts w:ascii="Arial" w:hAnsi="Arial" w:cs="Arial"/>
          <w:sz w:val="22"/>
          <w:szCs w:val="22"/>
        </w:rPr>
        <w:t>are</w:t>
      </w:r>
      <w:r w:rsidRPr="003E398D">
        <w:rPr>
          <w:rFonts w:ascii="Arial" w:hAnsi="Arial" w:cs="Arial"/>
          <w:sz w:val="22"/>
          <w:szCs w:val="22"/>
        </w:rPr>
        <w:t xml:space="preserve"> important to the person</w:t>
      </w:r>
      <w:r w:rsidRPr="00D92E78" w:rsidR="00D50DCE">
        <w:rPr>
          <w:rFonts w:ascii="Arial" w:hAnsi="Arial" w:cs="Arial"/>
          <w:sz w:val="22"/>
          <w:szCs w:val="22"/>
        </w:rPr>
        <w:t>.</w:t>
      </w:r>
    </w:p>
    <w:p w:rsidRPr="00D92E78" w:rsidR="00D50DCE" w:rsidP="002061BB" w:rsidRDefault="003E398D" w14:paraId="79D94599" w14:textId="1134A30E">
      <w:pPr>
        <w:spacing w:line="360" w:lineRule="auto"/>
        <w:jc w:val="both"/>
        <w:rPr>
          <w:rFonts w:ascii="Arial" w:hAnsi="Arial" w:cs="Arial"/>
          <w:sz w:val="22"/>
          <w:szCs w:val="22"/>
        </w:rPr>
      </w:pPr>
      <w:r w:rsidRPr="003E398D">
        <w:rPr>
          <w:rFonts w:ascii="Arial" w:hAnsi="Arial" w:cs="Arial"/>
          <w:sz w:val="22"/>
          <w:szCs w:val="22"/>
        </w:rPr>
        <w:t xml:space="preserve">These values of autonomy, dignity, fairness, safety and accountability are essential for ethical practice. Moral distress can occur when professionals feel that they are not performing within the person's wishes given the constraints of resources and/or </w:t>
      </w:r>
      <w:proofErr w:type="spellStart"/>
      <w:r w:rsidRPr="003E398D">
        <w:rPr>
          <w:rFonts w:ascii="Arial" w:hAnsi="Arial" w:cs="Arial"/>
          <w:sz w:val="22"/>
          <w:szCs w:val="22"/>
        </w:rPr>
        <w:t>organisation</w:t>
      </w:r>
      <w:proofErr w:type="spellEnd"/>
      <w:r w:rsidRPr="003E398D">
        <w:rPr>
          <w:rFonts w:ascii="Arial" w:hAnsi="Arial" w:cs="Arial"/>
          <w:sz w:val="22"/>
          <w:szCs w:val="22"/>
        </w:rPr>
        <w:t xml:space="preserve"> (Boulton et al., 2023; Morley et al., 2019). Ethical decisions must be clearly </w:t>
      </w:r>
      <w:r w:rsidRPr="003E398D" w:rsidR="00995697">
        <w:rPr>
          <w:rFonts w:ascii="Arial" w:hAnsi="Arial" w:cs="Arial"/>
          <w:sz w:val="22"/>
          <w:szCs w:val="22"/>
        </w:rPr>
        <w:t>explained;</w:t>
      </w:r>
      <w:r w:rsidRPr="003E398D">
        <w:rPr>
          <w:rFonts w:ascii="Arial" w:hAnsi="Arial" w:cs="Arial"/>
          <w:sz w:val="22"/>
          <w:szCs w:val="22"/>
        </w:rPr>
        <w:t xml:space="preserve"> </w:t>
      </w:r>
      <w:proofErr w:type="gramStart"/>
      <w:r w:rsidRPr="003E398D">
        <w:rPr>
          <w:rFonts w:ascii="Arial" w:hAnsi="Arial" w:cs="Arial"/>
          <w:sz w:val="22"/>
          <w:szCs w:val="22"/>
        </w:rPr>
        <w:t>the risk</w:t>
      </w:r>
      <w:proofErr w:type="gramEnd"/>
      <w:r w:rsidRPr="003E398D">
        <w:rPr>
          <w:rFonts w:ascii="Arial" w:hAnsi="Arial" w:cs="Arial"/>
          <w:sz w:val="22"/>
          <w:szCs w:val="22"/>
        </w:rPr>
        <w:t xml:space="preserve"> assessment and involvement are proportionate. There is a balance between respecting choice and safeguarding. The principles, when used collectively, help to establish priorities, ensure coordination, and help to see if decisions are right and fair</w:t>
      </w:r>
      <w:r w:rsidRPr="00D92E78" w:rsidR="00D50DCE">
        <w:rPr>
          <w:rFonts w:ascii="Arial" w:hAnsi="Arial" w:cs="Arial"/>
          <w:sz w:val="22"/>
          <w:szCs w:val="22"/>
        </w:rPr>
        <w:t>.</w:t>
      </w:r>
    </w:p>
    <w:p w:rsidRPr="00D92E78" w:rsidR="00D50DCE" w:rsidP="002061BB" w:rsidRDefault="00D50DCE" w14:paraId="1F4FF379" w14:textId="77777777">
      <w:pPr>
        <w:pStyle w:val="Heading2"/>
        <w:spacing w:line="360" w:lineRule="auto"/>
        <w:jc w:val="both"/>
        <w:rPr>
          <w:rFonts w:ascii="Arial" w:hAnsi="Arial" w:cs="Arial"/>
          <w:b/>
          <w:bCs/>
          <w:color w:val="auto"/>
          <w:sz w:val="28"/>
          <w:szCs w:val="28"/>
        </w:rPr>
      </w:pPr>
      <w:bookmarkStart w:name="_Toc242575844" w:id="3"/>
      <w:r w:rsidRPr="00D92E78">
        <w:rPr>
          <w:rFonts w:ascii="Arial" w:hAnsi="Arial" w:cs="Arial"/>
          <w:b/>
          <w:bCs/>
          <w:color w:val="auto"/>
          <w:sz w:val="28"/>
          <w:szCs w:val="28"/>
        </w:rPr>
        <w:t>Task 2 – Practical Examples of Concepts in Practice: Joan’s Story</w:t>
      </w:r>
      <w:bookmarkEnd w:id="3"/>
    </w:p>
    <w:p w:rsidRPr="00D92E78" w:rsidR="00D50DCE" w:rsidP="002061BB" w:rsidRDefault="00D422B0" w14:paraId="593C2A38" w14:textId="19AC9226">
      <w:pPr>
        <w:spacing w:line="360" w:lineRule="auto"/>
        <w:jc w:val="both"/>
        <w:rPr>
          <w:rFonts w:ascii="Arial" w:hAnsi="Arial" w:cs="Arial"/>
          <w:sz w:val="22"/>
          <w:szCs w:val="22"/>
        </w:rPr>
      </w:pPr>
      <w:r w:rsidRPr="00D422B0">
        <w:rPr>
          <w:rFonts w:ascii="Arial" w:hAnsi="Arial" w:cs="Arial"/>
          <w:sz w:val="22"/>
          <w:szCs w:val="22"/>
        </w:rPr>
        <w:t>Joan's story illustrates why person centred care is a better approach to understanding what has made someone disengage than labelling them as “non-compliant”. Joan has COPD and the doctor told her that she should do pulmonary rehabilitation but was overwhelmed, didn't attend and didn't get the advice across. Her Patient Activation Measure (PAM) score was very low, meaning she did not have a high level of confidence in managing her condition NHS England (</w:t>
      </w:r>
      <w:proofErr w:type="spellStart"/>
      <w:r w:rsidRPr="00D422B0">
        <w:rPr>
          <w:rFonts w:ascii="Arial" w:hAnsi="Arial" w:cs="Arial"/>
          <w:sz w:val="22"/>
          <w:szCs w:val="22"/>
        </w:rPr>
        <w:t>n.d</w:t>
      </w:r>
      <w:proofErr w:type="spellEnd"/>
      <w:r w:rsidRPr="00D422B0">
        <w:rPr>
          <w:rFonts w:ascii="Arial" w:hAnsi="Arial" w:cs="Arial"/>
          <w:sz w:val="22"/>
          <w:szCs w:val="22"/>
        </w:rPr>
        <w:t xml:space="preserve">), and this score did not account for the barrier. Patients reported in weekly meetings with a member of the therapy team that it was challenging to leave home due to unpredictable Crohn's and bowel symptoms. This barrier was discussed with Joan and her </w:t>
      </w:r>
      <w:r w:rsidRPr="00D422B0" w:rsidR="00BE7384">
        <w:rPr>
          <w:rFonts w:ascii="Arial" w:hAnsi="Arial" w:cs="Arial"/>
          <w:sz w:val="22"/>
          <w:szCs w:val="22"/>
        </w:rPr>
        <w:t>team,</w:t>
      </w:r>
      <w:r w:rsidRPr="00D422B0">
        <w:rPr>
          <w:rFonts w:ascii="Arial" w:hAnsi="Arial" w:cs="Arial"/>
          <w:sz w:val="22"/>
          <w:szCs w:val="22"/>
        </w:rPr>
        <w:t xml:space="preserve"> and an action plan was developed. This was person-centred, as it catered to her situation instead of giving her something that she could not do. This decreases the blame and increases confidence in seeking help. It also </w:t>
      </w:r>
      <w:r w:rsidRPr="00D422B0">
        <w:rPr>
          <w:rFonts w:ascii="Arial" w:hAnsi="Arial" w:cs="Arial"/>
          <w:sz w:val="22"/>
          <w:szCs w:val="22"/>
        </w:rPr>
        <w:t>facilitated self-management: Joan later joined in rehabilitation herself, moving away from being instructed to participate.</w:t>
      </w:r>
    </w:p>
    <w:p w:rsidRPr="00D92E78" w:rsidR="00D50DCE" w:rsidP="002061BB" w:rsidRDefault="00D422B0" w14:paraId="742C8832" w14:textId="26547C71">
      <w:pPr>
        <w:spacing w:line="360" w:lineRule="auto"/>
        <w:jc w:val="both"/>
        <w:rPr>
          <w:rFonts w:ascii="Arial" w:hAnsi="Arial" w:cs="Arial"/>
          <w:sz w:val="22"/>
          <w:szCs w:val="22"/>
        </w:rPr>
      </w:pPr>
      <w:r w:rsidRPr="00D422B0">
        <w:rPr>
          <w:rFonts w:ascii="Arial" w:hAnsi="Arial" w:cs="Arial"/>
          <w:sz w:val="22"/>
          <w:szCs w:val="22"/>
        </w:rPr>
        <w:t>Cooperation between Joan, the therapy team and her GP is evidence of Partnership working. Joan's therapist heard and supported her and helped identify barriers; Crohn's disease was managed by the GP. Joan then arranged for herself to participate in pulmonary rehab in a community setting. This is joined up care because if she had only pulmonary rehabilitation the success of that would have been less likely without taking care of her other condition. The Health and Care Act 2022 introduced the concept of coordinated support by introducing structures such as integrated care boards and integrated care partnerships. But setting up structures is not enough to ensure collaboration, and clear responsibilities and communication are also critical (Mackie and Darvill, 2016).</w:t>
      </w:r>
    </w:p>
    <w:p w:rsidRPr="00D92E78" w:rsidR="00D50DCE" w:rsidP="002061BB" w:rsidRDefault="00627A77" w14:paraId="6B71EEE8" w14:textId="23B50E77">
      <w:pPr>
        <w:spacing w:line="360" w:lineRule="auto"/>
        <w:jc w:val="both"/>
        <w:rPr>
          <w:rFonts w:ascii="Arial" w:hAnsi="Arial" w:cs="Arial"/>
          <w:sz w:val="22"/>
          <w:szCs w:val="22"/>
        </w:rPr>
      </w:pPr>
      <w:r w:rsidRPr="00627A77">
        <w:rPr>
          <w:rFonts w:ascii="Arial" w:hAnsi="Arial" w:cs="Arial"/>
          <w:sz w:val="22"/>
          <w:szCs w:val="22"/>
        </w:rPr>
        <w:t xml:space="preserve">There is </w:t>
      </w:r>
      <w:r w:rsidRPr="00627A77" w:rsidR="00404519">
        <w:rPr>
          <w:rFonts w:ascii="Arial" w:hAnsi="Arial" w:cs="Arial"/>
          <w:sz w:val="22"/>
          <w:szCs w:val="22"/>
        </w:rPr>
        <w:t>full</w:t>
      </w:r>
      <w:r w:rsidRPr="00627A77">
        <w:rPr>
          <w:rFonts w:ascii="Arial" w:hAnsi="Arial" w:cs="Arial"/>
          <w:sz w:val="22"/>
          <w:szCs w:val="22"/>
        </w:rPr>
        <w:t xml:space="preserve"> recognition of Joan's </w:t>
      </w:r>
      <w:r w:rsidRPr="00627A77" w:rsidR="00D26524">
        <w:rPr>
          <w:rFonts w:ascii="Arial" w:hAnsi="Arial" w:cs="Arial"/>
          <w:sz w:val="22"/>
          <w:szCs w:val="22"/>
        </w:rPr>
        <w:t>perspective,</w:t>
      </w:r>
      <w:r w:rsidRPr="00627A77">
        <w:rPr>
          <w:rFonts w:ascii="Arial" w:hAnsi="Arial" w:cs="Arial"/>
          <w:sz w:val="22"/>
          <w:szCs w:val="22"/>
        </w:rPr>
        <w:t xml:space="preserve"> and she is included in the planning; this is an example of ethical practice</w:t>
      </w:r>
      <w:r w:rsidR="00F37EEE">
        <w:rPr>
          <w:rFonts w:ascii="Arial" w:hAnsi="Arial" w:cs="Arial"/>
          <w:sz w:val="22"/>
          <w:szCs w:val="22"/>
        </w:rPr>
        <w:t xml:space="preserve">. </w:t>
      </w:r>
      <w:r w:rsidRPr="00F37EEE" w:rsidR="00F37EEE">
        <w:rPr>
          <w:rFonts w:ascii="Arial" w:hAnsi="Arial" w:cs="Arial"/>
          <w:sz w:val="22"/>
          <w:szCs w:val="22"/>
        </w:rPr>
        <w:t xml:space="preserve">Rather than </w:t>
      </w:r>
      <w:proofErr w:type="spellStart"/>
      <w:r w:rsidRPr="00F37EEE" w:rsidR="00F37EEE">
        <w:rPr>
          <w:rFonts w:ascii="Arial" w:hAnsi="Arial" w:cs="Arial"/>
          <w:sz w:val="22"/>
          <w:szCs w:val="22"/>
        </w:rPr>
        <w:t>criticising</w:t>
      </w:r>
      <w:proofErr w:type="spellEnd"/>
      <w:r w:rsidRPr="00F37EEE" w:rsidR="00F37EEE">
        <w:rPr>
          <w:rFonts w:ascii="Arial" w:hAnsi="Arial" w:cs="Arial"/>
          <w:sz w:val="22"/>
          <w:szCs w:val="22"/>
        </w:rPr>
        <w:t xml:space="preserve"> Joan for missing appointments, the team explored the practical barriers affecting her attendance</w:t>
      </w:r>
      <w:r w:rsidRPr="00627A77">
        <w:rPr>
          <w:rFonts w:ascii="Arial" w:hAnsi="Arial" w:cs="Arial"/>
          <w:sz w:val="22"/>
          <w:szCs w:val="22"/>
        </w:rPr>
        <w:t>. The results of her outcomes also indicate significant improvement: her PAM score improved more than 40% after seven months. During the next year she attended nine out of ten outpatient appointments and experienced one emergency admission, whereas in the previous year she attended six out of nine appointments and was admitted twice as an emergency (NHS England n.d.). While these figures are good, they cannot be interpreted as proof that the intervention alone resulted in all the improvements.</w:t>
      </w:r>
    </w:p>
    <w:p w:rsidRPr="00D92E78" w:rsidR="00D50DCE" w:rsidP="002061BB" w:rsidRDefault="00627A77" w14:paraId="0CE72728" w14:textId="6FADB990">
      <w:pPr>
        <w:spacing w:line="360" w:lineRule="auto"/>
        <w:jc w:val="both"/>
        <w:rPr>
          <w:rFonts w:ascii="Arial" w:hAnsi="Arial" w:cs="Arial"/>
          <w:sz w:val="22"/>
          <w:szCs w:val="22"/>
        </w:rPr>
      </w:pPr>
      <w:r w:rsidRPr="00627A77">
        <w:rPr>
          <w:rFonts w:ascii="Arial" w:hAnsi="Arial" w:cs="Arial"/>
          <w:sz w:val="22"/>
          <w:szCs w:val="22"/>
        </w:rPr>
        <w:t xml:space="preserve">Thus, the case demonstrates that </w:t>
      </w:r>
      <w:proofErr w:type="spellStart"/>
      <w:r w:rsidRPr="00627A77">
        <w:rPr>
          <w:rFonts w:ascii="Arial" w:hAnsi="Arial" w:cs="Arial"/>
          <w:sz w:val="22"/>
          <w:szCs w:val="22"/>
        </w:rPr>
        <w:t>personalised</w:t>
      </w:r>
      <w:proofErr w:type="spellEnd"/>
      <w:r w:rsidRPr="00627A77">
        <w:rPr>
          <w:rFonts w:ascii="Arial" w:hAnsi="Arial" w:cs="Arial"/>
          <w:sz w:val="22"/>
          <w:szCs w:val="22"/>
        </w:rPr>
        <w:t xml:space="preserve"> support can enhance confidence, engagement and wellbeing and can be effective in reducing avoidable services. Staff continuity and time is required for weekly meetings; this can be challenging </w:t>
      </w:r>
      <w:r w:rsidRPr="00627A77" w:rsidR="008050CD">
        <w:rPr>
          <w:rFonts w:ascii="Arial" w:hAnsi="Arial" w:cs="Arial"/>
          <w:sz w:val="22"/>
          <w:szCs w:val="22"/>
        </w:rPr>
        <w:t>for</w:t>
      </w:r>
      <w:r w:rsidRPr="00627A77">
        <w:rPr>
          <w:rFonts w:ascii="Arial" w:hAnsi="Arial" w:cs="Arial"/>
          <w:sz w:val="22"/>
          <w:szCs w:val="22"/>
        </w:rPr>
        <w:t xml:space="preserve"> busy staff. Services should consult with Joan on the plan and incorporate her wellbeing feedback with PAM feedback.</w:t>
      </w:r>
    </w:p>
    <w:p w:rsidRPr="000C77AF" w:rsidR="00E81B5E" w:rsidP="000C77AF" w:rsidRDefault="00E81B5E" w14:paraId="00BCA984" w14:textId="4544623B">
      <w:pPr>
        <w:pStyle w:val="Heading2"/>
        <w:rPr>
          <w:b/>
          <w:bCs/>
          <w:color w:val="auto"/>
          <w:sz w:val="28"/>
          <w:szCs w:val="28"/>
        </w:rPr>
      </w:pPr>
      <w:bookmarkStart w:name="_Toc242575845" w:id="4"/>
      <w:r w:rsidRPr="000C77AF">
        <w:rPr>
          <w:b/>
          <w:bCs/>
          <w:color w:val="auto"/>
          <w:sz w:val="28"/>
          <w:szCs w:val="28"/>
        </w:rPr>
        <w:t>Task 3 – Self-Reflection as a Health and Social Care Professional</w:t>
      </w:r>
      <w:bookmarkEnd w:id="4"/>
    </w:p>
    <w:p w:rsidRPr="00AC4286" w:rsidR="00E81B5E" w:rsidP="002061BB" w:rsidRDefault="00E81B5E" w14:paraId="25864268" w14:textId="36F558F6">
      <w:pPr>
        <w:pStyle w:val="Heading3"/>
        <w:spacing w:line="360" w:lineRule="auto"/>
        <w:jc w:val="both"/>
        <w:rPr>
          <w:rFonts w:ascii="Arial" w:hAnsi="Arial" w:cs="Arial"/>
          <w:b/>
          <w:bCs/>
          <w:color w:val="auto"/>
          <w:sz w:val="24"/>
          <w:szCs w:val="24"/>
        </w:rPr>
      </w:pPr>
      <w:bookmarkStart w:name="_Toc242575846" w:id="5"/>
      <w:r w:rsidRPr="00AC4286">
        <w:rPr>
          <w:rFonts w:ascii="Arial" w:hAnsi="Arial" w:cs="Arial"/>
          <w:b/>
          <w:bCs/>
          <w:color w:val="auto"/>
          <w:sz w:val="24"/>
          <w:szCs w:val="24"/>
        </w:rPr>
        <w:t>Introduction</w:t>
      </w:r>
      <w:bookmarkEnd w:id="5"/>
    </w:p>
    <w:p w:rsidR="00E81B5E" w:rsidP="002061BB" w:rsidRDefault="000D3188" w14:paraId="60BFDF01" w14:textId="090AFF97">
      <w:pPr>
        <w:spacing w:line="360" w:lineRule="auto"/>
        <w:jc w:val="both"/>
        <w:rPr>
          <w:rFonts w:ascii="Arial" w:hAnsi="Arial" w:cs="Arial"/>
          <w:sz w:val="22"/>
          <w:szCs w:val="22"/>
        </w:rPr>
      </w:pPr>
      <w:r w:rsidRPr="000D3188">
        <w:rPr>
          <w:rFonts w:ascii="Arial" w:hAnsi="Arial" w:cs="Arial"/>
          <w:sz w:val="22"/>
          <w:szCs w:val="22"/>
        </w:rPr>
        <w:t xml:space="preserve">This reflection explores an interaction with support for daily living care items in relation to Gibbs' Reflective Cycle (1988). It </w:t>
      </w:r>
      <w:r w:rsidRPr="000D3188" w:rsidR="008050CD">
        <w:rPr>
          <w:rFonts w:ascii="Arial" w:hAnsi="Arial" w:cs="Arial"/>
          <w:sz w:val="22"/>
          <w:szCs w:val="22"/>
        </w:rPr>
        <w:t>considers</w:t>
      </w:r>
      <w:r w:rsidRPr="000D3188">
        <w:rPr>
          <w:rFonts w:ascii="Arial" w:hAnsi="Arial" w:cs="Arial"/>
          <w:sz w:val="22"/>
          <w:szCs w:val="22"/>
        </w:rPr>
        <w:t xml:space="preserve"> communication, professional duties, my strengths and </w:t>
      </w:r>
      <w:r w:rsidRPr="000D3188" w:rsidR="008050CD">
        <w:rPr>
          <w:rFonts w:ascii="Arial" w:hAnsi="Arial" w:cs="Arial"/>
          <w:sz w:val="22"/>
          <w:szCs w:val="22"/>
        </w:rPr>
        <w:t>weaknesses.</w:t>
      </w:r>
    </w:p>
    <w:p w:rsidR="00554300" w:rsidP="00554300" w:rsidRDefault="004E7B17" w14:paraId="1A46A0D6" w14:textId="77777777">
      <w:pPr>
        <w:keepNext/>
        <w:spacing w:line="360" w:lineRule="auto"/>
        <w:jc w:val="both"/>
      </w:pPr>
      <w:r>
        <w:rPr>
          <w:rFonts w:ascii="Arial" w:hAnsi="Arial" w:cs="Arial"/>
          <w:noProof/>
          <w:sz w:val="22"/>
          <w:szCs w:val="22"/>
        </w:rPr>
        <w:drawing>
          <wp:inline distT="0" distB="0" distL="0" distR="0" wp14:anchorId="6EA36786" wp14:editId="3E4BDEA2">
            <wp:extent cx="5486400" cy="3200400"/>
            <wp:effectExtent l="0" t="0" r="0" b="19050"/>
            <wp:docPr id="210154525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Pr="00554300" w:rsidR="004E7B17" w:rsidP="00554300" w:rsidRDefault="00554300" w14:paraId="0FE309B9" w14:textId="617CDF57">
      <w:pPr>
        <w:pStyle w:val="Caption"/>
        <w:jc w:val="center"/>
        <w:rPr>
          <w:rFonts w:ascii="Arial" w:hAnsi="Arial" w:cs="Arial"/>
          <w:color w:val="auto"/>
          <w:sz w:val="22"/>
          <w:szCs w:val="22"/>
        </w:rPr>
      </w:pPr>
      <w:r w:rsidRPr="00554300">
        <w:rPr>
          <w:color w:val="auto"/>
        </w:rPr>
        <w:t xml:space="preserve">Figure </w:t>
      </w:r>
      <w:r w:rsidRPr="00554300">
        <w:rPr>
          <w:color w:val="auto"/>
        </w:rPr>
        <w:fldChar w:fldCharType="begin"/>
      </w:r>
      <w:r w:rsidRPr="00554300">
        <w:rPr>
          <w:color w:val="auto"/>
        </w:rPr>
        <w:instrText xml:space="preserve"> SEQ Figure \* ARABIC </w:instrText>
      </w:r>
      <w:r w:rsidRPr="00554300">
        <w:rPr>
          <w:color w:val="auto"/>
        </w:rPr>
        <w:fldChar w:fldCharType="separate"/>
      </w:r>
      <w:r w:rsidRPr="00554300">
        <w:rPr>
          <w:noProof/>
          <w:color w:val="auto"/>
        </w:rPr>
        <w:t>1</w:t>
      </w:r>
      <w:r w:rsidRPr="00554300">
        <w:rPr>
          <w:color w:val="auto"/>
        </w:rPr>
        <w:fldChar w:fldCharType="end"/>
      </w:r>
      <w:r w:rsidRPr="00554300">
        <w:rPr>
          <w:color w:val="auto"/>
        </w:rPr>
        <w:t xml:space="preserve"> Gibbs' Reflective Cycle</w:t>
      </w:r>
    </w:p>
    <w:p w:rsidRPr="00AC4286" w:rsidR="00E81B5E" w:rsidP="002061BB" w:rsidRDefault="00E81B5E" w14:paraId="3BDB1017" w14:textId="77777777">
      <w:pPr>
        <w:pStyle w:val="Heading3"/>
        <w:spacing w:line="360" w:lineRule="auto"/>
        <w:jc w:val="both"/>
        <w:rPr>
          <w:rFonts w:ascii="Arial" w:hAnsi="Arial" w:cs="Arial"/>
          <w:b/>
          <w:bCs/>
          <w:color w:val="auto"/>
          <w:sz w:val="24"/>
          <w:szCs w:val="24"/>
        </w:rPr>
      </w:pPr>
      <w:bookmarkStart w:name="_Toc242575847" w:id="6"/>
      <w:r w:rsidRPr="00AC4286">
        <w:rPr>
          <w:rFonts w:ascii="Arial" w:hAnsi="Arial" w:cs="Arial"/>
          <w:b/>
          <w:bCs/>
          <w:color w:val="auto"/>
          <w:sz w:val="24"/>
          <w:szCs w:val="24"/>
        </w:rPr>
        <w:t>Description</w:t>
      </w:r>
      <w:bookmarkEnd w:id="6"/>
    </w:p>
    <w:p w:rsidRPr="00D92E78" w:rsidR="00E81B5E" w:rsidP="002061BB" w:rsidRDefault="005C042B" w14:paraId="5E0528C8" w14:textId="6D1CEC41">
      <w:pPr>
        <w:spacing w:line="360" w:lineRule="auto"/>
        <w:jc w:val="both"/>
        <w:rPr>
          <w:rFonts w:ascii="Arial" w:hAnsi="Arial" w:cs="Arial"/>
          <w:sz w:val="22"/>
          <w:szCs w:val="22"/>
        </w:rPr>
      </w:pPr>
      <w:r w:rsidRPr="005C042B">
        <w:rPr>
          <w:rFonts w:ascii="Arial" w:hAnsi="Arial" w:cs="Arial"/>
          <w:sz w:val="22"/>
          <w:szCs w:val="22"/>
        </w:rPr>
        <w:t xml:space="preserve">In supporting an older person, I observed reluctance to accept support for a personal care task. At first, I concentrated on getting the job done safely and was able to help right away. But the person said they didn't want to rely on anyone and didn't want to be given assistance for </w:t>
      </w:r>
      <w:r w:rsidRPr="005C042B" w:rsidR="00F86D09">
        <w:rPr>
          <w:rFonts w:ascii="Arial" w:hAnsi="Arial" w:cs="Arial"/>
          <w:sz w:val="22"/>
          <w:szCs w:val="22"/>
        </w:rPr>
        <w:t>each</w:t>
      </w:r>
      <w:r w:rsidRPr="005C042B">
        <w:rPr>
          <w:rFonts w:ascii="Arial" w:hAnsi="Arial" w:cs="Arial"/>
          <w:sz w:val="22"/>
          <w:szCs w:val="22"/>
        </w:rPr>
        <w:t xml:space="preserve"> step. I listened to them and asked what parts they would prefer to handle themselves and talked with them about how I can assist them with any part that they require.</w:t>
      </w:r>
    </w:p>
    <w:p w:rsidRPr="00AC4286" w:rsidR="00E81B5E" w:rsidP="002061BB" w:rsidRDefault="00E81B5E" w14:paraId="06FA661D" w14:textId="77777777">
      <w:pPr>
        <w:pStyle w:val="Heading3"/>
        <w:spacing w:line="360" w:lineRule="auto"/>
        <w:jc w:val="both"/>
        <w:rPr>
          <w:rFonts w:ascii="Arial" w:hAnsi="Arial" w:cs="Arial"/>
          <w:b/>
          <w:bCs/>
          <w:color w:val="auto"/>
          <w:sz w:val="24"/>
          <w:szCs w:val="24"/>
        </w:rPr>
      </w:pPr>
      <w:bookmarkStart w:name="_Toc242575848" w:id="7"/>
      <w:r w:rsidRPr="00AC4286">
        <w:rPr>
          <w:rFonts w:ascii="Arial" w:hAnsi="Arial" w:cs="Arial"/>
          <w:b/>
          <w:bCs/>
          <w:color w:val="auto"/>
          <w:sz w:val="24"/>
          <w:szCs w:val="24"/>
        </w:rPr>
        <w:t>Feelings</w:t>
      </w:r>
      <w:bookmarkEnd w:id="7"/>
    </w:p>
    <w:p w:rsidRPr="00D92E78" w:rsidR="00E81B5E" w:rsidP="002061BB" w:rsidRDefault="005C042B" w14:paraId="4F2C17C3" w14:textId="2FB68ED5">
      <w:pPr>
        <w:spacing w:line="360" w:lineRule="auto"/>
        <w:jc w:val="both"/>
        <w:rPr>
          <w:rFonts w:ascii="Arial" w:hAnsi="Arial" w:cs="Arial"/>
          <w:sz w:val="22"/>
          <w:szCs w:val="22"/>
        </w:rPr>
      </w:pPr>
      <w:r w:rsidRPr="005C042B">
        <w:rPr>
          <w:rFonts w:ascii="Arial" w:hAnsi="Arial" w:cs="Arial"/>
          <w:sz w:val="22"/>
          <w:szCs w:val="22"/>
        </w:rPr>
        <w:t>At first, I was worried that I would not be able to do it safely and it would not be done properly. I thought that it would be the most moral thing to do to start helping more. But when the person reacted, I realized my intentions did not necessarily coincide with his/her preferences. I knew that keeping someone safe isn't a complete excuse to take away their independence.</w:t>
      </w:r>
    </w:p>
    <w:p w:rsidRPr="00AC4286" w:rsidR="00E81B5E" w:rsidP="002061BB" w:rsidRDefault="00E81B5E" w14:paraId="69987AA4" w14:textId="77777777">
      <w:pPr>
        <w:pStyle w:val="Heading3"/>
        <w:spacing w:line="360" w:lineRule="auto"/>
        <w:jc w:val="both"/>
        <w:rPr>
          <w:rFonts w:ascii="Arial" w:hAnsi="Arial" w:cs="Arial"/>
          <w:b/>
          <w:bCs/>
          <w:color w:val="auto"/>
          <w:sz w:val="24"/>
          <w:szCs w:val="24"/>
        </w:rPr>
      </w:pPr>
      <w:bookmarkStart w:name="_Toc242575849" w:id="8"/>
      <w:r w:rsidRPr="00AC4286">
        <w:rPr>
          <w:rFonts w:ascii="Arial" w:hAnsi="Arial" w:cs="Arial"/>
          <w:b/>
          <w:bCs/>
          <w:color w:val="auto"/>
          <w:sz w:val="24"/>
          <w:szCs w:val="24"/>
        </w:rPr>
        <w:t>Evaluation</w:t>
      </w:r>
      <w:bookmarkEnd w:id="8"/>
    </w:p>
    <w:p w:rsidRPr="00D92E78" w:rsidR="00E81B5E" w:rsidP="002061BB" w:rsidRDefault="005C042B" w14:paraId="19A5C783" w14:textId="69911993">
      <w:pPr>
        <w:spacing w:line="360" w:lineRule="auto"/>
        <w:jc w:val="both"/>
        <w:rPr>
          <w:rFonts w:ascii="Arial" w:hAnsi="Arial" w:cs="Arial"/>
          <w:sz w:val="22"/>
          <w:szCs w:val="22"/>
        </w:rPr>
      </w:pPr>
      <w:r w:rsidRPr="005C042B">
        <w:rPr>
          <w:rFonts w:ascii="Arial" w:hAnsi="Arial" w:cs="Arial"/>
          <w:sz w:val="22"/>
          <w:szCs w:val="22"/>
        </w:rPr>
        <w:br/>
      </w:r>
      <w:r w:rsidRPr="005C042B">
        <w:rPr>
          <w:rFonts w:ascii="Arial" w:hAnsi="Arial" w:cs="Arial"/>
          <w:sz w:val="22"/>
          <w:szCs w:val="22"/>
        </w:rPr>
        <w:t xml:space="preserve">A positive aspect was that I listened to the person and adjusted my approach. This was a way </w:t>
      </w:r>
      <w:r w:rsidRPr="005C042B" w:rsidR="00F86D09">
        <w:rPr>
          <w:rFonts w:ascii="Arial" w:hAnsi="Arial" w:cs="Arial"/>
          <w:sz w:val="22"/>
          <w:szCs w:val="22"/>
        </w:rPr>
        <w:t>of</w:t>
      </w:r>
      <w:r w:rsidRPr="005C042B">
        <w:rPr>
          <w:rFonts w:ascii="Arial" w:hAnsi="Arial" w:cs="Arial"/>
          <w:sz w:val="22"/>
          <w:szCs w:val="22"/>
        </w:rPr>
        <w:t xml:space="preserve"> understanding the value of choice and dignity. But, at the start, I was thinking more about finishing the job than learning what someone wants. I should have asked questions to see what people </w:t>
      </w:r>
      <w:r w:rsidRPr="005C042B">
        <w:rPr>
          <w:rFonts w:ascii="Arial" w:hAnsi="Arial" w:cs="Arial"/>
          <w:sz w:val="22"/>
          <w:szCs w:val="22"/>
        </w:rPr>
        <w:t>were thinking rather than providing them with assistance. This was an experience of the distinction between helping and supporting the person to participate in their own care</w:t>
      </w:r>
      <w:r w:rsidRPr="00D92E78" w:rsidR="00E81B5E">
        <w:rPr>
          <w:rFonts w:ascii="Arial" w:hAnsi="Arial" w:cs="Arial"/>
          <w:sz w:val="22"/>
          <w:szCs w:val="22"/>
        </w:rPr>
        <w:t>.</w:t>
      </w:r>
    </w:p>
    <w:p w:rsidRPr="00AC4286" w:rsidR="00E81B5E" w:rsidP="002061BB" w:rsidRDefault="00E81B5E" w14:paraId="07E3AF94" w14:textId="77777777">
      <w:pPr>
        <w:pStyle w:val="Heading3"/>
        <w:spacing w:line="360" w:lineRule="auto"/>
        <w:jc w:val="both"/>
        <w:rPr>
          <w:rFonts w:ascii="Arial" w:hAnsi="Arial" w:cs="Arial"/>
          <w:b/>
          <w:bCs/>
          <w:color w:val="auto"/>
          <w:sz w:val="24"/>
          <w:szCs w:val="24"/>
        </w:rPr>
      </w:pPr>
      <w:bookmarkStart w:name="_Toc242575850" w:id="9"/>
      <w:r w:rsidRPr="00AC4286">
        <w:rPr>
          <w:rFonts w:ascii="Arial" w:hAnsi="Arial" w:cs="Arial"/>
          <w:b/>
          <w:bCs/>
          <w:color w:val="auto"/>
          <w:sz w:val="24"/>
          <w:szCs w:val="24"/>
        </w:rPr>
        <w:t>Analysis</w:t>
      </w:r>
      <w:bookmarkEnd w:id="9"/>
    </w:p>
    <w:p w:rsidRPr="00D92E78" w:rsidR="00E81B5E" w:rsidP="002061BB" w:rsidRDefault="00CE2D77" w14:paraId="44D38314" w14:textId="3E7754AC">
      <w:pPr>
        <w:spacing w:line="360" w:lineRule="auto"/>
        <w:jc w:val="both"/>
        <w:rPr>
          <w:rFonts w:ascii="Arial" w:hAnsi="Arial" w:cs="Arial"/>
          <w:sz w:val="22"/>
          <w:szCs w:val="22"/>
        </w:rPr>
      </w:pPr>
      <w:r w:rsidRPr="00CE2D77">
        <w:rPr>
          <w:rFonts w:ascii="Arial" w:hAnsi="Arial" w:cs="Arial"/>
          <w:sz w:val="22"/>
          <w:szCs w:val="22"/>
        </w:rPr>
        <w:t xml:space="preserve">The key features of person-centred care are the need for professionals to </w:t>
      </w:r>
      <w:proofErr w:type="spellStart"/>
      <w:r w:rsidRPr="00CE2D77">
        <w:rPr>
          <w:rFonts w:ascii="Arial" w:hAnsi="Arial" w:cs="Arial"/>
          <w:sz w:val="22"/>
          <w:szCs w:val="22"/>
        </w:rPr>
        <w:t>recognise</w:t>
      </w:r>
      <w:proofErr w:type="spellEnd"/>
      <w:r w:rsidRPr="00CE2D77">
        <w:rPr>
          <w:rFonts w:ascii="Arial" w:hAnsi="Arial" w:cs="Arial"/>
          <w:sz w:val="22"/>
          <w:szCs w:val="22"/>
        </w:rPr>
        <w:t xml:space="preserve"> individual preference, ability, and desired outcomes (McCormack et al., 2012). Section 1 of the Care Act 2014 </w:t>
      </w:r>
      <w:proofErr w:type="spellStart"/>
      <w:r w:rsidRPr="00CE2D77">
        <w:rPr>
          <w:rFonts w:ascii="Arial" w:hAnsi="Arial" w:cs="Arial"/>
          <w:sz w:val="22"/>
          <w:szCs w:val="22"/>
        </w:rPr>
        <w:t>focussed</w:t>
      </w:r>
      <w:proofErr w:type="spellEnd"/>
      <w:r w:rsidRPr="00CE2D77">
        <w:rPr>
          <w:rFonts w:ascii="Arial" w:hAnsi="Arial" w:cs="Arial"/>
          <w:sz w:val="22"/>
          <w:szCs w:val="22"/>
        </w:rPr>
        <w:t xml:space="preserve"> on wellbeing in adult social care, which covers the areas of dignity, control over their daily life and participation (Care Act 2014, s. 1). So, support should foster independence, not dependence.</w:t>
      </w:r>
    </w:p>
    <w:p w:rsidRPr="00D92E78" w:rsidR="00E81B5E" w:rsidP="002061BB" w:rsidRDefault="00CE2D77" w14:paraId="01586698" w14:textId="536712A4">
      <w:pPr>
        <w:spacing w:line="360" w:lineRule="auto"/>
        <w:jc w:val="both"/>
        <w:rPr>
          <w:rFonts w:ascii="Arial" w:hAnsi="Arial" w:cs="Arial"/>
          <w:sz w:val="22"/>
          <w:szCs w:val="22"/>
        </w:rPr>
      </w:pPr>
      <w:r w:rsidRPr="00CE2D77">
        <w:rPr>
          <w:rFonts w:ascii="Arial" w:hAnsi="Arial" w:cs="Arial"/>
          <w:sz w:val="22"/>
          <w:szCs w:val="22"/>
        </w:rPr>
        <w:t xml:space="preserve">There is a good comparison to be drawn from Joan's story. One reason Joan missed appointments was that things were difficult when Crohn's was out of control and Joan had to leave home. Her therapist was able to work with her to </w:t>
      </w:r>
      <w:proofErr w:type="spellStart"/>
      <w:r w:rsidRPr="00CE2D77">
        <w:rPr>
          <w:rFonts w:ascii="Arial" w:hAnsi="Arial" w:cs="Arial"/>
          <w:sz w:val="22"/>
          <w:szCs w:val="22"/>
        </w:rPr>
        <w:t>recognise</w:t>
      </w:r>
      <w:proofErr w:type="spellEnd"/>
      <w:r w:rsidRPr="00CE2D77">
        <w:rPr>
          <w:rFonts w:ascii="Arial" w:hAnsi="Arial" w:cs="Arial"/>
          <w:sz w:val="22"/>
          <w:szCs w:val="22"/>
        </w:rPr>
        <w:t xml:space="preserve"> the barriers and formulate a suitable action plan (NHS England, n.d.). The reluctance, in turn, of the older person was also a reason to check their concerns, not that they were not interested in support. While the scenarios are different, both illustrate that when professionals know why a person is doing what they do, it becomes more effective care.</w:t>
      </w:r>
    </w:p>
    <w:p w:rsidRPr="00D92E78" w:rsidR="00E81B5E" w:rsidP="002061BB" w:rsidRDefault="003E48EB" w14:paraId="37647DE8" w14:textId="20861E64">
      <w:pPr>
        <w:spacing w:line="360" w:lineRule="auto"/>
        <w:jc w:val="both"/>
        <w:rPr>
          <w:rFonts w:ascii="Arial" w:hAnsi="Arial" w:cs="Arial"/>
          <w:sz w:val="22"/>
          <w:szCs w:val="22"/>
        </w:rPr>
      </w:pPr>
      <w:r w:rsidRPr="003E48EB">
        <w:rPr>
          <w:rFonts w:ascii="Arial" w:hAnsi="Arial" w:cs="Arial"/>
          <w:sz w:val="22"/>
          <w:szCs w:val="22"/>
        </w:rPr>
        <w:t>Skills for Care and Skills for Health (2013) highlight the importance of recognizing dignity, communication, accountability and collaboration in the professional Code of Conduct. In practice, I need to consider my own preferences while being mindful of safety proportionate to the need, to discuss my choices and respect the person's choices within the appropriate professional boundaries. I should also consult for advice when there are risks that are beyond my knowledge or responsibility. I was good at listening but not good with my questioning and decision making at the start.</w:t>
      </w:r>
    </w:p>
    <w:p w:rsidRPr="00AC4286" w:rsidR="00E81B5E" w:rsidP="002061BB" w:rsidRDefault="00E81B5E" w14:paraId="253EF8F6" w14:textId="77777777">
      <w:pPr>
        <w:pStyle w:val="Heading3"/>
        <w:spacing w:line="360" w:lineRule="auto"/>
        <w:jc w:val="both"/>
        <w:rPr>
          <w:rFonts w:ascii="Arial" w:hAnsi="Arial" w:cs="Arial"/>
          <w:b/>
          <w:bCs/>
          <w:color w:val="auto"/>
          <w:sz w:val="24"/>
          <w:szCs w:val="24"/>
        </w:rPr>
      </w:pPr>
      <w:bookmarkStart w:name="_Toc242575851" w:id="10"/>
      <w:r w:rsidRPr="00AC4286">
        <w:rPr>
          <w:rFonts w:ascii="Arial" w:hAnsi="Arial" w:cs="Arial"/>
          <w:b/>
          <w:bCs/>
          <w:color w:val="auto"/>
          <w:sz w:val="24"/>
          <w:szCs w:val="24"/>
        </w:rPr>
        <w:t>Conclusion</w:t>
      </w:r>
      <w:bookmarkEnd w:id="10"/>
    </w:p>
    <w:p w:rsidRPr="00D92E78" w:rsidR="00E81B5E" w:rsidP="002061BB" w:rsidRDefault="003E48EB" w14:paraId="7BE1C5D6" w14:textId="3A744BC9">
      <w:pPr>
        <w:spacing w:line="360" w:lineRule="auto"/>
        <w:jc w:val="both"/>
        <w:rPr>
          <w:rFonts w:ascii="Arial" w:hAnsi="Arial" w:cs="Arial"/>
          <w:sz w:val="22"/>
          <w:szCs w:val="22"/>
        </w:rPr>
      </w:pPr>
      <w:r w:rsidRPr="003E48EB">
        <w:rPr>
          <w:rFonts w:ascii="Arial" w:hAnsi="Arial" w:cs="Arial"/>
          <w:sz w:val="22"/>
          <w:szCs w:val="22"/>
        </w:rPr>
        <w:t xml:space="preserve">I learned that helpful assistance might limit independence if personal preferences are not considered. I </w:t>
      </w:r>
      <w:proofErr w:type="gramStart"/>
      <w:r w:rsidRPr="003E48EB">
        <w:rPr>
          <w:rFonts w:ascii="Arial" w:hAnsi="Arial" w:cs="Arial"/>
          <w:sz w:val="22"/>
          <w:szCs w:val="22"/>
        </w:rPr>
        <w:t>am able to</w:t>
      </w:r>
      <w:proofErr w:type="gramEnd"/>
      <w:r w:rsidRPr="003E48EB">
        <w:rPr>
          <w:rFonts w:ascii="Arial" w:hAnsi="Arial" w:cs="Arial"/>
          <w:sz w:val="22"/>
          <w:szCs w:val="22"/>
        </w:rPr>
        <w:t xml:space="preserve"> listen and adapt my </w:t>
      </w:r>
      <w:r w:rsidRPr="003E48EB" w:rsidR="002D5BD7">
        <w:rPr>
          <w:rFonts w:ascii="Arial" w:hAnsi="Arial" w:cs="Arial"/>
          <w:sz w:val="22"/>
          <w:szCs w:val="22"/>
        </w:rPr>
        <w:t>approach,</w:t>
      </w:r>
      <w:r w:rsidRPr="003E48EB">
        <w:rPr>
          <w:rFonts w:ascii="Arial" w:hAnsi="Arial" w:cs="Arial"/>
          <w:sz w:val="22"/>
          <w:szCs w:val="22"/>
        </w:rPr>
        <w:t xml:space="preserve"> and this was positive, but I </w:t>
      </w:r>
      <w:r w:rsidRPr="003E48EB" w:rsidR="002D5BD7">
        <w:rPr>
          <w:rFonts w:ascii="Arial" w:hAnsi="Arial" w:cs="Arial"/>
          <w:sz w:val="22"/>
          <w:szCs w:val="22"/>
        </w:rPr>
        <w:t>must</w:t>
      </w:r>
      <w:r w:rsidRPr="003E48EB">
        <w:rPr>
          <w:rFonts w:ascii="Arial" w:hAnsi="Arial" w:cs="Arial"/>
          <w:sz w:val="22"/>
          <w:szCs w:val="22"/>
        </w:rPr>
        <w:t xml:space="preserve"> go through the process of understanding concerns before I can provide solutions. Reflection helped me to understand how my assumptions can impact the quality of care.</w:t>
      </w:r>
    </w:p>
    <w:p w:rsidRPr="00AC4286" w:rsidR="00E81B5E" w:rsidP="002061BB" w:rsidRDefault="00E81B5E" w14:paraId="1F6FA618" w14:textId="77777777">
      <w:pPr>
        <w:pStyle w:val="Heading3"/>
        <w:spacing w:line="360" w:lineRule="auto"/>
        <w:jc w:val="both"/>
        <w:rPr>
          <w:rFonts w:ascii="Arial" w:hAnsi="Arial" w:cs="Arial"/>
          <w:b/>
          <w:bCs/>
          <w:color w:val="auto"/>
          <w:sz w:val="24"/>
          <w:szCs w:val="24"/>
        </w:rPr>
      </w:pPr>
      <w:bookmarkStart w:name="_Toc242575852" w:id="11"/>
      <w:r w:rsidRPr="00AC4286">
        <w:rPr>
          <w:rFonts w:ascii="Arial" w:hAnsi="Arial" w:cs="Arial"/>
          <w:b/>
          <w:bCs/>
          <w:color w:val="auto"/>
          <w:sz w:val="24"/>
          <w:szCs w:val="24"/>
        </w:rPr>
        <w:t>Action Plan</w:t>
      </w:r>
      <w:bookmarkEnd w:id="11"/>
    </w:p>
    <w:p w:rsidRPr="00D92E78" w:rsidR="00E81B5E" w:rsidP="002061BB" w:rsidRDefault="002D5BD7" w14:paraId="409208E0" w14:textId="1121F8E1">
      <w:pPr>
        <w:spacing w:line="360" w:lineRule="auto"/>
        <w:jc w:val="both"/>
        <w:rPr>
          <w:rFonts w:ascii="Arial" w:hAnsi="Arial" w:cs="Arial"/>
          <w:sz w:val="22"/>
          <w:szCs w:val="22"/>
        </w:rPr>
      </w:pPr>
      <w:r w:rsidRPr="002D5BD7">
        <w:rPr>
          <w:rFonts w:ascii="Arial" w:hAnsi="Arial" w:cs="Arial"/>
          <w:sz w:val="22"/>
          <w:szCs w:val="22"/>
        </w:rPr>
        <w:t xml:space="preserve">In the future, I will pose open-ended questions, make my choices clear and confirm understanding prior to agreement of support. I will respect differences of opinion and adhere to appropriate Safeguarding procedures and will seek advice where required. I will consider and review </w:t>
      </w:r>
      <w:r w:rsidRPr="002D5BD7">
        <w:rPr>
          <w:rFonts w:ascii="Arial" w:hAnsi="Arial" w:cs="Arial"/>
          <w:sz w:val="22"/>
          <w:szCs w:val="22"/>
        </w:rPr>
        <w:t>important interactions, accurately capture information when relevant and ask for feedback from relevant colleagues or supervisors. I will use the feedback to identify progress and make improvements to my communication, ethical judgement and person centred practice</w:t>
      </w:r>
      <w:r w:rsidRPr="00D92E78" w:rsidR="00E81B5E">
        <w:rPr>
          <w:rFonts w:ascii="Arial" w:hAnsi="Arial" w:cs="Arial"/>
          <w:sz w:val="22"/>
          <w:szCs w:val="22"/>
        </w:rPr>
        <w:t>.</w:t>
      </w:r>
    </w:p>
    <w:p w:rsidRPr="00AC4286" w:rsidR="00D50DCE" w:rsidP="002061BB" w:rsidRDefault="00D50DCE" w14:paraId="4A09BAF2" w14:textId="77777777">
      <w:pPr>
        <w:pStyle w:val="Heading2"/>
        <w:spacing w:line="360" w:lineRule="auto"/>
        <w:jc w:val="both"/>
        <w:rPr>
          <w:rFonts w:ascii="Arial" w:hAnsi="Arial" w:cs="Arial"/>
          <w:b/>
          <w:bCs/>
          <w:color w:val="auto"/>
          <w:sz w:val="28"/>
          <w:szCs w:val="28"/>
        </w:rPr>
      </w:pPr>
      <w:bookmarkStart w:name="_Toc242575853" w:id="12"/>
      <w:r w:rsidRPr="00AC4286">
        <w:rPr>
          <w:rFonts w:ascii="Arial" w:hAnsi="Arial" w:cs="Arial"/>
          <w:b/>
          <w:bCs/>
          <w:color w:val="auto"/>
          <w:sz w:val="28"/>
          <w:szCs w:val="28"/>
        </w:rPr>
        <w:t>Conclusion</w:t>
      </w:r>
      <w:bookmarkEnd w:id="12"/>
    </w:p>
    <w:p w:rsidRPr="00D92E78" w:rsidR="00D50DCE" w:rsidP="002061BB" w:rsidRDefault="002D5BD7" w14:paraId="7255A197" w14:textId="67B728D1">
      <w:pPr>
        <w:spacing w:line="360" w:lineRule="auto"/>
        <w:jc w:val="both"/>
        <w:rPr>
          <w:rFonts w:ascii="Arial" w:hAnsi="Arial" w:cs="Arial"/>
          <w:sz w:val="22"/>
          <w:szCs w:val="22"/>
        </w:rPr>
      </w:pPr>
      <w:r w:rsidRPr="002D5BD7">
        <w:rPr>
          <w:rFonts w:ascii="Arial" w:hAnsi="Arial" w:cs="Arial"/>
          <w:sz w:val="22"/>
          <w:szCs w:val="22"/>
        </w:rPr>
        <w:t xml:space="preserve">The elements of partnership working, ethical considerations and person-centred care are interconnected principles of good practice. Joan's example demonstrates how we know if the barriers are understood and support coordinated, confidence, engagement and wellbeing can </w:t>
      </w:r>
      <w:r w:rsidRPr="002D5BD7" w:rsidR="00DA49B6">
        <w:rPr>
          <w:rFonts w:ascii="Arial" w:hAnsi="Arial" w:cs="Arial"/>
          <w:sz w:val="22"/>
          <w:szCs w:val="22"/>
        </w:rPr>
        <w:t>improve,</w:t>
      </w:r>
      <w:r w:rsidRPr="002D5BD7">
        <w:rPr>
          <w:rFonts w:ascii="Arial" w:hAnsi="Arial" w:cs="Arial"/>
          <w:sz w:val="22"/>
          <w:szCs w:val="22"/>
        </w:rPr>
        <w:t xml:space="preserve"> and the reflective example demonstrates the power of listening before you act. More than policies are needed, such as communication skills and professional accountability, as well as resources and continuous review. Feedback and structured reflection can enable me to make support more responsive, inclusive and safe and to continue developing my professional judgement and lifelong learning. Any such learning should inform future practice</w:t>
      </w:r>
      <w:r w:rsidRPr="00D92E78" w:rsidR="00D50DCE">
        <w:rPr>
          <w:rFonts w:ascii="Arial" w:hAnsi="Arial" w:cs="Arial"/>
          <w:sz w:val="22"/>
          <w:szCs w:val="22"/>
        </w:rPr>
        <w:t>.</w:t>
      </w:r>
    </w:p>
    <w:p w:rsidRPr="00AC4286" w:rsidR="00D50DCE" w:rsidP="002061BB" w:rsidRDefault="00D50DCE" w14:paraId="5A25093A" w14:textId="77777777">
      <w:pPr>
        <w:pStyle w:val="Heading2"/>
        <w:spacing w:line="360" w:lineRule="auto"/>
        <w:jc w:val="both"/>
        <w:rPr>
          <w:rFonts w:ascii="Arial" w:hAnsi="Arial" w:cs="Arial"/>
          <w:b/>
          <w:bCs/>
          <w:color w:val="auto"/>
          <w:sz w:val="28"/>
          <w:szCs w:val="28"/>
        </w:rPr>
      </w:pPr>
      <w:bookmarkStart w:name="_Toc242575854" w:id="13"/>
      <w:r w:rsidRPr="00AC4286">
        <w:rPr>
          <w:rFonts w:ascii="Arial" w:hAnsi="Arial" w:cs="Arial"/>
          <w:b/>
          <w:bCs/>
          <w:color w:val="auto"/>
          <w:sz w:val="28"/>
          <w:szCs w:val="28"/>
        </w:rPr>
        <w:t>References</w:t>
      </w:r>
      <w:bookmarkEnd w:id="13"/>
    </w:p>
    <w:p w:rsidRPr="00D92E78" w:rsidR="00D50DCE" w:rsidP="002061BB" w:rsidRDefault="00D50DCE" w14:paraId="59DFDB26"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Boulton, A.J., </w:t>
      </w:r>
      <w:proofErr w:type="spellStart"/>
      <w:r w:rsidRPr="00D92E78">
        <w:rPr>
          <w:rFonts w:ascii="Arial" w:hAnsi="Arial" w:cs="Arial"/>
          <w:sz w:val="22"/>
          <w:szCs w:val="22"/>
        </w:rPr>
        <w:t>Slowther</w:t>
      </w:r>
      <w:proofErr w:type="spellEnd"/>
      <w:r w:rsidRPr="00D92E78">
        <w:rPr>
          <w:rFonts w:ascii="Arial" w:hAnsi="Arial" w:cs="Arial"/>
          <w:sz w:val="22"/>
          <w:szCs w:val="22"/>
        </w:rPr>
        <w:t>, A.-M., Yeung, J. and Bassford, C. (</w:t>
      </w:r>
      <w:proofErr w:type="gramStart"/>
      <w:r w:rsidRPr="00D92E78">
        <w:rPr>
          <w:rFonts w:ascii="Arial" w:hAnsi="Arial" w:cs="Arial"/>
          <w:sz w:val="22"/>
          <w:szCs w:val="22"/>
        </w:rPr>
        <w:t>2023) ‘</w:t>
      </w:r>
      <w:proofErr w:type="gramEnd"/>
      <w:r w:rsidRPr="00D92E78">
        <w:rPr>
          <w:rFonts w:ascii="Arial" w:hAnsi="Arial" w:cs="Arial"/>
          <w:sz w:val="22"/>
          <w:szCs w:val="22"/>
        </w:rPr>
        <w:t xml:space="preserve">Moral distress among intensive care unit professionals in the UK: a mixed-methods study’, </w:t>
      </w:r>
      <w:r w:rsidRPr="00D92E78">
        <w:rPr>
          <w:rFonts w:ascii="Arial" w:hAnsi="Arial" w:cs="Arial"/>
          <w:i/>
          <w:iCs/>
          <w:sz w:val="22"/>
          <w:szCs w:val="22"/>
        </w:rPr>
        <w:t>BMJ Open</w:t>
      </w:r>
      <w:r w:rsidRPr="00D92E78">
        <w:rPr>
          <w:rFonts w:ascii="Arial" w:hAnsi="Arial" w:cs="Arial"/>
          <w:sz w:val="22"/>
          <w:szCs w:val="22"/>
        </w:rPr>
        <w:t xml:space="preserve">, 13(4), e068918. Available at: </w:t>
      </w:r>
      <w:hyperlink w:history="1" r:id="rId14">
        <w:r w:rsidRPr="00D92E78">
          <w:rPr>
            <w:rStyle w:val="Hyperlink"/>
            <w:rFonts w:ascii="Arial" w:hAnsi="Arial" w:cs="Arial"/>
            <w:sz w:val="22"/>
            <w:szCs w:val="22"/>
          </w:rPr>
          <w:t>https://doi.org/10.1136/bmjopen-2022-068918</w:t>
        </w:r>
      </w:hyperlink>
      <w:r w:rsidRPr="00D92E78">
        <w:rPr>
          <w:rFonts w:ascii="Arial" w:hAnsi="Arial" w:cs="Arial"/>
          <w:sz w:val="22"/>
          <w:szCs w:val="22"/>
        </w:rPr>
        <w:t>.</w:t>
      </w:r>
    </w:p>
    <w:p w:rsidRPr="00D92E78" w:rsidR="00D50DCE" w:rsidP="002061BB" w:rsidRDefault="00D50DCE" w14:paraId="7BE71BEA"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Care Act 2014, c. 23. Available at: </w:t>
      </w:r>
      <w:hyperlink w:history="1" r:id="rId15">
        <w:r w:rsidRPr="00D92E78">
          <w:rPr>
            <w:rStyle w:val="Hyperlink"/>
            <w:rFonts w:ascii="Arial" w:hAnsi="Arial" w:cs="Arial"/>
            <w:sz w:val="22"/>
            <w:szCs w:val="22"/>
          </w:rPr>
          <w:t>https://www.legislation.gov.uk/ukpga/2014/23/section/1</w:t>
        </w:r>
      </w:hyperlink>
      <w:r w:rsidRPr="00D92E78">
        <w:rPr>
          <w:rFonts w:ascii="Arial" w:hAnsi="Arial" w:cs="Arial"/>
          <w:sz w:val="22"/>
          <w:szCs w:val="22"/>
        </w:rPr>
        <w:t xml:space="preserve"> (Accessed: 10 October 2026).</w:t>
      </w:r>
    </w:p>
    <w:p w:rsidRPr="00D92E78" w:rsidR="00D50DCE" w:rsidP="002061BB" w:rsidRDefault="00D50DCE" w14:paraId="6C26DB6A"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Cooper, C. et al. (</w:t>
      </w:r>
      <w:proofErr w:type="gramStart"/>
      <w:r w:rsidRPr="00D92E78">
        <w:rPr>
          <w:rFonts w:ascii="Arial" w:hAnsi="Arial" w:cs="Arial"/>
          <w:sz w:val="22"/>
          <w:szCs w:val="22"/>
        </w:rPr>
        <w:t>2018) ‘</w:t>
      </w:r>
      <w:proofErr w:type="gramEnd"/>
      <w:r w:rsidRPr="00D92E78">
        <w:rPr>
          <w:rFonts w:ascii="Arial" w:hAnsi="Arial" w:cs="Arial"/>
          <w:sz w:val="22"/>
          <w:szCs w:val="22"/>
        </w:rPr>
        <w:t xml:space="preserve">Do care homes deliver person-centred care? A cross-sectional survey of staff-reported abusive and positive </w:t>
      </w:r>
      <w:proofErr w:type="spellStart"/>
      <w:r w:rsidRPr="00D92E78">
        <w:rPr>
          <w:rFonts w:ascii="Arial" w:hAnsi="Arial" w:cs="Arial"/>
          <w:sz w:val="22"/>
          <w:szCs w:val="22"/>
        </w:rPr>
        <w:t>behaviours</w:t>
      </w:r>
      <w:proofErr w:type="spellEnd"/>
      <w:r w:rsidRPr="00D92E78">
        <w:rPr>
          <w:rFonts w:ascii="Arial" w:hAnsi="Arial" w:cs="Arial"/>
          <w:sz w:val="22"/>
          <w:szCs w:val="22"/>
        </w:rPr>
        <w:t xml:space="preserve"> towards residents from the MARQUE English national care home survey’, </w:t>
      </w:r>
      <w:r w:rsidRPr="00D92E78">
        <w:rPr>
          <w:rFonts w:ascii="Arial" w:hAnsi="Arial" w:cs="Arial"/>
          <w:i/>
          <w:iCs/>
          <w:sz w:val="22"/>
          <w:szCs w:val="22"/>
        </w:rPr>
        <w:t>PLOS ONE</w:t>
      </w:r>
      <w:r w:rsidRPr="00D92E78">
        <w:rPr>
          <w:rFonts w:ascii="Arial" w:hAnsi="Arial" w:cs="Arial"/>
          <w:sz w:val="22"/>
          <w:szCs w:val="22"/>
        </w:rPr>
        <w:t xml:space="preserve">, 13(3), e0193399. Available at: </w:t>
      </w:r>
      <w:hyperlink w:history="1" r:id="rId16">
        <w:r w:rsidRPr="00D92E78">
          <w:rPr>
            <w:rStyle w:val="Hyperlink"/>
            <w:rFonts w:ascii="Arial" w:hAnsi="Arial" w:cs="Arial"/>
            <w:sz w:val="22"/>
            <w:szCs w:val="22"/>
          </w:rPr>
          <w:t>https://doi.org/10.1371/journal.pone.0193399</w:t>
        </w:r>
      </w:hyperlink>
      <w:r w:rsidRPr="00D92E78">
        <w:rPr>
          <w:rFonts w:ascii="Arial" w:hAnsi="Arial" w:cs="Arial"/>
          <w:sz w:val="22"/>
          <w:szCs w:val="22"/>
        </w:rPr>
        <w:t>.</w:t>
      </w:r>
    </w:p>
    <w:p w:rsidRPr="00D92E78" w:rsidR="00D50DCE" w:rsidP="002061BB" w:rsidRDefault="00D50DCE" w14:paraId="29BC51A4"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Damant, J., </w:t>
      </w:r>
      <w:proofErr w:type="spellStart"/>
      <w:r w:rsidRPr="00D92E78">
        <w:rPr>
          <w:rFonts w:ascii="Arial" w:hAnsi="Arial" w:cs="Arial"/>
          <w:sz w:val="22"/>
          <w:szCs w:val="22"/>
        </w:rPr>
        <w:t>Hamashima</w:t>
      </w:r>
      <w:proofErr w:type="spellEnd"/>
      <w:r w:rsidRPr="00D92E78">
        <w:rPr>
          <w:rFonts w:ascii="Arial" w:hAnsi="Arial" w:cs="Arial"/>
          <w:sz w:val="22"/>
          <w:szCs w:val="22"/>
        </w:rPr>
        <w:t>, Y., Toma, M. and Smith, N. (</w:t>
      </w:r>
      <w:proofErr w:type="gramStart"/>
      <w:r w:rsidRPr="00D92E78">
        <w:rPr>
          <w:rFonts w:ascii="Arial" w:hAnsi="Arial" w:cs="Arial"/>
          <w:sz w:val="22"/>
          <w:szCs w:val="22"/>
        </w:rPr>
        <w:t>2025) ‘</w:t>
      </w:r>
      <w:proofErr w:type="gramEnd"/>
      <w:r w:rsidRPr="00D92E78">
        <w:rPr>
          <w:rFonts w:ascii="Arial" w:hAnsi="Arial" w:cs="Arial"/>
          <w:sz w:val="22"/>
          <w:szCs w:val="22"/>
        </w:rPr>
        <w:t xml:space="preserve">Investigating person-centred care planning in care homes across England: an exploratory study of practices and contextual </w:t>
      </w:r>
      <w:proofErr w:type="gramStart"/>
      <w:r w:rsidRPr="00D92E78">
        <w:rPr>
          <w:rFonts w:ascii="Arial" w:hAnsi="Arial" w:cs="Arial"/>
          <w:sz w:val="22"/>
          <w:szCs w:val="22"/>
        </w:rPr>
        <w:t>factors’</w:t>
      </w:r>
      <w:proofErr w:type="gramEnd"/>
      <w:r w:rsidRPr="00D92E78">
        <w:rPr>
          <w:rFonts w:ascii="Arial" w:hAnsi="Arial" w:cs="Arial"/>
          <w:sz w:val="22"/>
          <w:szCs w:val="22"/>
        </w:rPr>
        <w:t xml:space="preserve">. </w:t>
      </w:r>
      <w:r w:rsidRPr="00D92E78">
        <w:rPr>
          <w:rFonts w:ascii="Arial" w:hAnsi="Arial" w:cs="Arial"/>
          <w:i/>
          <w:iCs/>
          <w:sz w:val="22"/>
          <w:szCs w:val="22"/>
        </w:rPr>
        <w:t>Journal of Advanced Nursing</w:t>
      </w:r>
      <w:r w:rsidRPr="00D92E78">
        <w:rPr>
          <w:rFonts w:ascii="Arial" w:hAnsi="Arial" w:cs="Arial"/>
          <w:sz w:val="22"/>
          <w:szCs w:val="22"/>
        </w:rPr>
        <w:t xml:space="preserve">. First published </w:t>
      </w:r>
      <w:proofErr w:type="gramStart"/>
      <w:r w:rsidRPr="00D92E78">
        <w:rPr>
          <w:rFonts w:ascii="Arial" w:hAnsi="Arial" w:cs="Arial"/>
          <w:sz w:val="22"/>
          <w:szCs w:val="22"/>
        </w:rPr>
        <w:t>online</w:t>
      </w:r>
      <w:proofErr w:type="gramEnd"/>
      <w:r w:rsidRPr="00D92E78">
        <w:rPr>
          <w:rFonts w:ascii="Arial" w:hAnsi="Arial" w:cs="Arial"/>
          <w:sz w:val="22"/>
          <w:szCs w:val="22"/>
        </w:rPr>
        <w:t xml:space="preserve"> 7 April 2025. Available at: </w:t>
      </w:r>
      <w:hyperlink w:history="1" r:id="rId17">
        <w:r w:rsidRPr="00D92E78">
          <w:rPr>
            <w:rStyle w:val="Hyperlink"/>
            <w:rFonts w:ascii="Arial" w:hAnsi="Arial" w:cs="Arial"/>
            <w:sz w:val="22"/>
            <w:szCs w:val="22"/>
          </w:rPr>
          <w:t>https://doi.org/10.1111/jan.16965</w:t>
        </w:r>
      </w:hyperlink>
      <w:r w:rsidRPr="00D92E78">
        <w:rPr>
          <w:rFonts w:ascii="Arial" w:hAnsi="Arial" w:cs="Arial"/>
          <w:sz w:val="22"/>
          <w:szCs w:val="22"/>
        </w:rPr>
        <w:t>.</w:t>
      </w:r>
    </w:p>
    <w:p w:rsidRPr="00D92E78" w:rsidR="00D50DCE" w:rsidP="002061BB" w:rsidRDefault="00D50DCE" w14:paraId="41D10970"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Gibbs, G. (1988) </w:t>
      </w:r>
      <w:r w:rsidRPr="00D92E78">
        <w:rPr>
          <w:rFonts w:ascii="Arial" w:hAnsi="Arial" w:cs="Arial"/>
          <w:i/>
          <w:iCs/>
          <w:sz w:val="22"/>
          <w:szCs w:val="22"/>
        </w:rPr>
        <w:t>Learning by Doing: A Guide to Teaching and Learning Methods</w:t>
      </w:r>
      <w:r w:rsidRPr="00D92E78">
        <w:rPr>
          <w:rFonts w:ascii="Arial" w:hAnsi="Arial" w:cs="Arial"/>
          <w:sz w:val="22"/>
          <w:szCs w:val="22"/>
        </w:rPr>
        <w:t>. Oxford: Further Education Unit, Oxford Polytechnic.</w:t>
      </w:r>
    </w:p>
    <w:p w:rsidRPr="00D92E78" w:rsidR="00D50DCE" w:rsidP="002061BB" w:rsidRDefault="00D50DCE" w14:paraId="0B63F744"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Health and Care Act 2022, c. 31. Available at: </w:t>
      </w:r>
      <w:hyperlink w:history="1" r:id="rId18">
        <w:r w:rsidRPr="00D92E78">
          <w:rPr>
            <w:rStyle w:val="Hyperlink"/>
            <w:rFonts w:ascii="Arial" w:hAnsi="Arial" w:cs="Arial"/>
            <w:sz w:val="22"/>
            <w:szCs w:val="22"/>
          </w:rPr>
          <w:t>https://www.legislation.gov.uk/ukpga/2022/31/contents</w:t>
        </w:r>
      </w:hyperlink>
      <w:r w:rsidRPr="00D92E78">
        <w:rPr>
          <w:rFonts w:ascii="Arial" w:hAnsi="Arial" w:cs="Arial"/>
          <w:sz w:val="22"/>
          <w:szCs w:val="22"/>
        </w:rPr>
        <w:t xml:space="preserve"> (Accessed: 10 October 2026).</w:t>
      </w:r>
    </w:p>
    <w:p w:rsidRPr="00D92E78" w:rsidR="00D50DCE" w:rsidP="002061BB" w:rsidRDefault="00D50DCE" w14:paraId="5FAFDDE8"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Mackie, S. and Darvill, A. (2016) ‘Factors enabling implementation of integrated health and social care: a systematic review’, </w:t>
      </w:r>
      <w:r w:rsidRPr="00D92E78">
        <w:rPr>
          <w:rFonts w:ascii="Arial" w:hAnsi="Arial" w:cs="Arial"/>
          <w:i/>
          <w:iCs/>
          <w:sz w:val="22"/>
          <w:szCs w:val="22"/>
        </w:rPr>
        <w:t>British Journal of Community Nursing</w:t>
      </w:r>
      <w:r w:rsidRPr="00D92E78">
        <w:rPr>
          <w:rFonts w:ascii="Arial" w:hAnsi="Arial" w:cs="Arial"/>
          <w:sz w:val="22"/>
          <w:szCs w:val="22"/>
        </w:rPr>
        <w:t xml:space="preserve">, 21(2), pp. 82–87. Available at: </w:t>
      </w:r>
      <w:hyperlink w:history="1" r:id="rId19">
        <w:r w:rsidRPr="00D92E78">
          <w:rPr>
            <w:rStyle w:val="Hyperlink"/>
            <w:rFonts w:ascii="Arial" w:hAnsi="Arial" w:cs="Arial"/>
            <w:sz w:val="22"/>
            <w:szCs w:val="22"/>
          </w:rPr>
          <w:t>https://doi.org/10.12968/bjcn.2016.21.2.82</w:t>
        </w:r>
      </w:hyperlink>
      <w:r w:rsidRPr="00D92E78">
        <w:rPr>
          <w:rFonts w:ascii="Arial" w:hAnsi="Arial" w:cs="Arial"/>
          <w:sz w:val="22"/>
          <w:szCs w:val="22"/>
        </w:rPr>
        <w:t>.</w:t>
      </w:r>
    </w:p>
    <w:p w:rsidRPr="00D92E78" w:rsidR="00D50DCE" w:rsidP="002061BB" w:rsidRDefault="00D50DCE" w14:paraId="78E103D1"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McCormack, B., Roberts, T., Meyer, J., Morgan, D. and </w:t>
      </w:r>
      <w:proofErr w:type="spellStart"/>
      <w:r w:rsidRPr="00D92E78">
        <w:rPr>
          <w:rFonts w:ascii="Arial" w:hAnsi="Arial" w:cs="Arial"/>
          <w:sz w:val="22"/>
          <w:szCs w:val="22"/>
        </w:rPr>
        <w:t>Boscart</w:t>
      </w:r>
      <w:proofErr w:type="spellEnd"/>
      <w:r w:rsidRPr="00D92E78">
        <w:rPr>
          <w:rFonts w:ascii="Arial" w:hAnsi="Arial" w:cs="Arial"/>
          <w:sz w:val="22"/>
          <w:szCs w:val="22"/>
        </w:rPr>
        <w:t xml:space="preserve">, V. (2012) ‘Appreciating the “person” in long-term care’, </w:t>
      </w:r>
      <w:r w:rsidRPr="00D92E78">
        <w:rPr>
          <w:rFonts w:ascii="Arial" w:hAnsi="Arial" w:cs="Arial"/>
          <w:i/>
          <w:iCs/>
          <w:sz w:val="22"/>
          <w:szCs w:val="22"/>
        </w:rPr>
        <w:t>International Journal of Older People Nursing</w:t>
      </w:r>
      <w:r w:rsidRPr="00D92E78">
        <w:rPr>
          <w:rFonts w:ascii="Arial" w:hAnsi="Arial" w:cs="Arial"/>
          <w:sz w:val="22"/>
          <w:szCs w:val="22"/>
        </w:rPr>
        <w:t xml:space="preserve">, 7(4), pp. 284–294. Available at: </w:t>
      </w:r>
      <w:hyperlink w:history="1" r:id="rId20">
        <w:r w:rsidRPr="00D92E78">
          <w:rPr>
            <w:rStyle w:val="Hyperlink"/>
            <w:rFonts w:ascii="Arial" w:hAnsi="Arial" w:cs="Arial"/>
            <w:sz w:val="22"/>
            <w:szCs w:val="22"/>
          </w:rPr>
          <w:t>https://doi.org/10.1111/j.1748-3743.2012.00342.x</w:t>
        </w:r>
      </w:hyperlink>
      <w:r w:rsidRPr="00D92E78">
        <w:rPr>
          <w:rFonts w:ascii="Arial" w:hAnsi="Arial" w:cs="Arial"/>
          <w:sz w:val="22"/>
          <w:szCs w:val="22"/>
        </w:rPr>
        <w:t>.</w:t>
      </w:r>
    </w:p>
    <w:p w:rsidRPr="00D92E78" w:rsidR="00D50DCE" w:rsidP="002061BB" w:rsidRDefault="00D50DCE" w14:paraId="6B5C5066"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Morley, G., Bradbury-Jones, C. and Ives, J. (2019) ‘What is “moral distress” in nursing? A feminist empirical bioethics study’, </w:t>
      </w:r>
      <w:r w:rsidRPr="00D92E78">
        <w:rPr>
          <w:rFonts w:ascii="Arial" w:hAnsi="Arial" w:cs="Arial"/>
          <w:i/>
          <w:iCs/>
          <w:sz w:val="22"/>
          <w:szCs w:val="22"/>
        </w:rPr>
        <w:t>Nursing Ethics</w:t>
      </w:r>
      <w:r w:rsidRPr="00D92E78">
        <w:rPr>
          <w:rFonts w:ascii="Arial" w:hAnsi="Arial" w:cs="Arial"/>
          <w:sz w:val="22"/>
          <w:szCs w:val="22"/>
        </w:rPr>
        <w:t xml:space="preserve">. First published </w:t>
      </w:r>
      <w:proofErr w:type="gramStart"/>
      <w:r w:rsidRPr="00D92E78">
        <w:rPr>
          <w:rFonts w:ascii="Arial" w:hAnsi="Arial" w:cs="Arial"/>
          <w:sz w:val="22"/>
          <w:szCs w:val="22"/>
        </w:rPr>
        <w:t>online</w:t>
      </w:r>
      <w:proofErr w:type="gramEnd"/>
      <w:r w:rsidRPr="00D92E78">
        <w:rPr>
          <w:rFonts w:ascii="Arial" w:hAnsi="Arial" w:cs="Arial"/>
          <w:sz w:val="22"/>
          <w:szCs w:val="22"/>
        </w:rPr>
        <w:t xml:space="preserve"> 29 September 2019. Available at: </w:t>
      </w:r>
      <w:hyperlink w:history="1" r:id="rId21">
        <w:r w:rsidRPr="00D92E78">
          <w:rPr>
            <w:rStyle w:val="Hyperlink"/>
            <w:rFonts w:ascii="Arial" w:hAnsi="Arial" w:cs="Arial"/>
            <w:sz w:val="22"/>
            <w:szCs w:val="22"/>
          </w:rPr>
          <w:t>https://doi.org/10.1177/0969733019874492</w:t>
        </w:r>
      </w:hyperlink>
      <w:r w:rsidRPr="00D92E78">
        <w:rPr>
          <w:rFonts w:ascii="Arial" w:hAnsi="Arial" w:cs="Arial"/>
          <w:sz w:val="22"/>
          <w:szCs w:val="22"/>
        </w:rPr>
        <w:t>.</w:t>
      </w:r>
    </w:p>
    <w:p w:rsidRPr="00D92E78" w:rsidR="006D1285" w:rsidP="002061BB" w:rsidRDefault="006D1285" w14:paraId="6D6746E4" w14:textId="3B4C68CB">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NHS England (n.d.) </w:t>
      </w:r>
      <w:r w:rsidRPr="00D92E78">
        <w:rPr>
          <w:rFonts w:ascii="Arial" w:hAnsi="Arial" w:cs="Arial"/>
          <w:i/>
          <w:iCs/>
          <w:sz w:val="22"/>
          <w:szCs w:val="22"/>
        </w:rPr>
        <w:t>Joan’s Story</w:t>
      </w:r>
      <w:r w:rsidRPr="00D92E78">
        <w:rPr>
          <w:rFonts w:ascii="Arial" w:hAnsi="Arial" w:cs="Arial"/>
          <w:sz w:val="22"/>
          <w:szCs w:val="22"/>
        </w:rPr>
        <w:t xml:space="preserve">. Available at: </w:t>
      </w:r>
      <w:hyperlink w:history="1" r:id="rId22">
        <w:r w:rsidRPr="00D92E78">
          <w:rPr>
            <w:rStyle w:val="Hyperlink"/>
            <w:rFonts w:ascii="Arial" w:hAnsi="Arial" w:cs="Arial"/>
            <w:sz w:val="22"/>
            <w:szCs w:val="22"/>
          </w:rPr>
          <w:t>https://www.england.nhs.uk/personalisedcare/comprehensive-model/case-studies/joans-story/</w:t>
        </w:r>
      </w:hyperlink>
      <w:r w:rsidRPr="00D92E78">
        <w:rPr>
          <w:rFonts w:ascii="Arial" w:hAnsi="Arial" w:cs="Arial"/>
          <w:sz w:val="22"/>
          <w:szCs w:val="22"/>
        </w:rPr>
        <w:t xml:space="preserve"> (Accessed: 11 October 2026).</w:t>
      </w:r>
    </w:p>
    <w:p w:rsidRPr="00D92E78" w:rsidR="00D50DCE" w:rsidP="002061BB" w:rsidRDefault="00D50DCE" w14:paraId="4F855369"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Petch, A., Cook, A. and Miller, E. (2013) ‘Partnership working and outcomes: do health and social care partnerships deliver for users and carers?’, </w:t>
      </w:r>
      <w:r w:rsidRPr="00D92E78">
        <w:rPr>
          <w:rFonts w:ascii="Arial" w:hAnsi="Arial" w:cs="Arial"/>
          <w:i/>
          <w:iCs/>
          <w:sz w:val="22"/>
          <w:szCs w:val="22"/>
        </w:rPr>
        <w:t>Health and Social Care in the Community</w:t>
      </w:r>
      <w:r w:rsidRPr="00D92E78">
        <w:rPr>
          <w:rFonts w:ascii="Arial" w:hAnsi="Arial" w:cs="Arial"/>
          <w:sz w:val="22"/>
          <w:szCs w:val="22"/>
        </w:rPr>
        <w:t xml:space="preserve">, 21(6), pp. 623–633. Available at: </w:t>
      </w:r>
      <w:hyperlink w:history="1" r:id="rId23">
        <w:r w:rsidRPr="00D92E78">
          <w:rPr>
            <w:rStyle w:val="Hyperlink"/>
            <w:rFonts w:ascii="Arial" w:hAnsi="Arial" w:cs="Arial"/>
            <w:sz w:val="22"/>
            <w:szCs w:val="22"/>
          </w:rPr>
          <w:t>https://doi.org/10.1111/hsc.12050</w:t>
        </w:r>
      </w:hyperlink>
      <w:r w:rsidRPr="00D92E78">
        <w:rPr>
          <w:rFonts w:ascii="Arial" w:hAnsi="Arial" w:cs="Arial"/>
          <w:sz w:val="22"/>
          <w:szCs w:val="22"/>
        </w:rPr>
        <w:t>.</w:t>
      </w:r>
    </w:p>
    <w:p w:rsidRPr="00D92E78" w:rsidR="00D50DCE" w:rsidP="002061BB" w:rsidRDefault="00D50DCE" w14:paraId="48DDD4CF"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Skills for Care and Skills for Health (2013) </w:t>
      </w:r>
      <w:r w:rsidRPr="00D92E78">
        <w:rPr>
          <w:rFonts w:ascii="Arial" w:hAnsi="Arial" w:cs="Arial"/>
          <w:i/>
          <w:iCs/>
          <w:sz w:val="22"/>
          <w:szCs w:val="22"/>
        </w:rPr>
        <w:t>Code of Conduct for Healthcare Support Workers and Adult Social Care Workers in England</w:t>
      </w:r>
      <w:r w:rsidRPr="00D92E78">
        <w:rPr>
          <w:rFonts w:ascii="Arial" w:hAnsi="Arial" w:cs="Arial"/>
          <w:sz w:val="22"/>
          <w:szCs w:val="22"/>
        </w:rPr>
        <w:t xml:space="preserve">. Available at: </w:t>
      </w:r>
      <w:hyperlink w:history="1" r:id="rId24">
        <w:r w:rsidRPr="00D92E78">
          <w:rPr>
            <w:rStyle w:val="Hyperlink"/>
            <w:rFonts w:ascii="Arial" w:hAnsi="Arial" w:cs="Arial"/>
            <w:sz w:val="22"/>
            <w:szCs w:val="22"/>
          </w:rPr>
          <w:t>https://www.skillsforcare.org.uk/Support-for-leaders-and-managers/Managing-people/Code-of-Conduct.aspx</w:t>
        </w:r>
      </w:hyperlink>
      <w:r w:rsidRPr="00D92E78">
        <w:rPr>
          <w:rFonts w:ascii="Arial" w:hAnsi="Arial" w:cs="Arial"/>
          <w:sz w:val="22"/>
          <w:szCs w:val="22"/>
        </w:rPr>
        <w:t xml:space="preserve"> (Accessed: 10 October 2026).</w:t>
      </w:r>
    </w:p>
    <w:p w:rsidRPr="00D92E78" w:rsidR="00D50DCE" w:rsidP="002061BB" w:rsidRDefault="00D50DCE" w14:paraId="0139F819" w14:textId="77777777">
      <w:pPr>
        <w:pStyle w:val="ListParagraph"/>
        <w:numPr>
          <w:ilvl w:val="0"/>
          <w:numId w:val="1"/>
        </w:numPr>
        <w:spacing w:line="360" w:lineRule="auto"/>
        <w:jc w:val="both"/>
        <w:rPr>
          <w:rFonts w:ascii="Arial" w:hAnsi="Arial" w:cs="Arial"/>
          <w:sz w:val="22"/>
          <w:szCs w:val="22"/>
        </w:rPr>
      </w:pPr>
      <w:r w:rsidRPr="00D92E78">
        <w:rPr>
          <w:rFonts w:ascii="Arial" w:hAnsi="Arial" w:cs="Arial"/>
          <w:sz w:val="22"/>
          <w:szCs w:val="22"/>
        </w:rPr>
        <w:t xml:space="preserve">World Health Organization (2013) </w:t>
      </w:r>
      <w:r w:rsidRPr="00D92E78">
        <w:rPr>
          <w:rFonts w:ascii="Arial" w:hAnsi="Arial" w:cs="Arial"/>
          <w:i/>
          <w:iCs/>
          <w:sz w:val="22"/>
          <w:szCs w:val="22"/>
        </w:rPr>
        <w:t>Social determinants of health: key concepts</w:t>
      </w:r>
      <w:r w:rsidRPr="00D92E78">
        <w:rPr>
          <w:rFonts w:ascii="Arial" w:hAnsi="Arial" w:cs="Arial"/>
          <w:sz w:val="22"/>
          <w:szCs w:val="22"/>
        </w:rPr>
        <w:t xml:space="preserve">. Available at: </w:t>
      </w:r>
      <w:hyperlink w:history="1" r:id="rId25">
        <w:r w:rsidRPr="00D92E78">
          <w:rPr>
            <w:rStyle w:val="Hyperlink"/>
            <w:rFonts w:ascii="Arial" w:hAnsi="Arial" w:cs="Arial"/>
            <w:sz w:val="22"/>
            <w:szCs w:val="22"/>
          </w:rPr>
          <w:t>https://www.who.int/news-room/questions-and-answers/item/social-determinants-of-health-key-concepts</w:t>
        </w:r>
      </w:hyperlink>
      <w:r w:rsidRPr="00D92E78">
        <w:rPr>
          <w:rFonts w:ascii="Arial" w:hAnsi="Arial" w:cs="Arial"/>
          <w:sz w:val="22"/>
          <w:szCs w:val="22"/>
        </w:rPr>
        <w:t xml:space="preserve"> (Accessed: 10 October 2026).</w:t>
      </w:r>
    </w:p>
    <w:p w:rsidRPr="00D92E78" w:rsidR="00723F98" w:rsidP="002061BB" w:rsidRDefault="00723F98" w14:paraId="7AA13C3C" w14:textId="77777777">
      <w:pPr>
        <w:spacing w:line="360" w:lineRule="auto"/>
        <w:jc w:val="both"/>
        <w:rPr>
          <w:rFonts w:ascii="Arial" w:hAnsi="Arial" w:cs="Arial"/>
          <w:sz w:val="22"/>
          <w:szCs w:val="22"/>
        </w:rPr>
      </w:pPr>
    </w:p>
    <w:sectPr w:rsidRPr="00D92E78" w:rsidR="00723F98">
      <w:footerReference w:type="default" r:id="rId2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F3B56" w:rsidP="000C77AF" w:rsidRDefault="00FF3B56" w14:paraId="5E3E5515" w14:textId="77777777">
      <w:pPr>
        <w:spacing w:after="0" w:line="240" w:lineRule="auto"/>
      </w:pPr>
      <w:r>
        <w:separator/>
      </w:r>
    </w:p>
  </w:endnote>
  <w:endnote w:type="continuationSeparator" w:id="0">
    <w:p w:rsidR="00FF3B56" w:rsidP="000C77AF" w:rsidRDefault="00FF3B56" w14:paraId="40B353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135036"/>
      <w:docPartObj>
        <w:docPartGallery w:val="Page Numbers (Bottom of Page)"/>
        <w:docPartUnique/>
      </w:docPartObj>
    </w:sdtPr>
    <w:sdtEndPr>
      <w:rPr>
        <w:noProof/>
      </w:rPr>
    </w:sdtEndPr>
    <w:sdtContent>
      <w:p w:rsidR="000C77AF" w:rsidRDefault="000C77AF" w14:paraId="6E9D5617" w14:textId="183D1E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C77AF" w:rsidRDefault="000C77AF" w14:paraId="2A3978B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F3B56" w:rsidP="000C77AF" w:rsidRDefault="00FF3B56" w14:paraId="16D4A888" w14:textId="77777777">
      <w:pPr>
        <w:spacing w:after="0" w:line="240" w:lineRule="auto"/>
      </w:pPr>
      <w:r>
        <w:separator/>
      </w:r>
    </w:p>
  </w:footnote>
  <w:footnote w:type="continuationSeparator" w:id="0">
    <w:p w:rsidR="00FF3B56" w:rsidP="000C77AF" w:rsidRDefault="00FF3B56" w14:paraId="28388D1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40595"/>
    <w:multiLevelType w:val="hybridMultilevel"/>
    <w:tmpl w:val="8CD40D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668569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DCE"/>
    <w:rsid w:val="00084565"/>
    <w:rsid w:val="000C77AF"/>
    <w:rsid w:val="000D3188"/>
    <w:rsid w:val="0011106A"/>
    <w:rsid w:val="001243F9"/>
    <w:rsid w:val="001D75BB"/>
    <w:rsid w:val="002061BB"/>
    <w:rsid w:val="00236550"/>
    <w:rsid w:val="002A493F"/>
    <w:rsid w:val="002D5BD7"/>
    <w:rsid w:val="00343675"/>
    <w:rsid w:val="00384553"/>
    <w:rsid w:val="003A44AD"/>
    <w:rsid w:val="003E398D"/>
    <w:rsid w:val="003E48EB"/>
    <w:rsid w:val="00404519"/>
    <w:rsid w:val="004E7B17"/>
    <w:rsid w:val="0050318B"/>
    <w:rsid w:val="00547E06"/>
    <w:rsid w:val="00554300"/>
    <w:rsid w:val="005C042B"/>
    <w:rsid w:val="00627A77"/>
    <w:rsid w:val="006757A3"/>
    <w:rsid w:val="006D1285"/>
    <w:rsid w:val="006E0DDD"/>
    <w:rsid w:val="006F6D6C"/>
    <w:rsid w:val="00723F98"/>
    <w:rsid w:val="00786379"/>
    <w:rsid w:val="007A5058"/>
    <w:rsid w:val="00803D91"/>
    <w:rsid w:val="008050CD"/>
    <w:rsid w:val="00836CE4"/>
    <w:rsid w:val="00885CC1"/>
    <w:rsid w:val="008C206E"/>
    <w:rsid w:val="00995697"/>
    <w:rsid w:val="009B1AF9"/>
    <w:rsid w:val="009B60EA"/>
    <w:rsid w:val="00A3493E"/>
    <w:rsid w:val="00AC4286"/>
    <w:rsid w:val="00B22FDE"/>
    <w:rsid w:val="00BA6003"/>
    <w:rsid w:val="00BE7384"/>
    <w:rsid w:val="00C25370"/>
    <w:rsid w:val="00C700DA"/>
    <w:rsid w:val="00C94B5C"/>
    <w:rsid w:val="00CE2D77"/>
    <w:rsid w:val="00CF0330"/>
    <w:rsid w:val="00D26524"/>
    <w:rsid w:val="00D422B0"/>
    <w:rsid w:val="00D50DCE"/>
    <w:rsid w:val="00D66EFC"/>
    <w:rsid w:val="00D92E78"/>
    <w:rsid w:val="00DA49B6"/>
    <w:rsid w:val="00DC5E57"/>
    <w:rsid w:val="00DC6756"/>
    <w:rsid w:val="00E81B5E"/>
    <w:rsid w:val="00F23DB6"/>
    <w:rsid w:val="00F37EEE"/>
    <w:rsid w:val="00F61107"/>
    <w:rsid w:val="00F86D09"/>
    <w:rsid w:val="00FF3B56"/>
    <w:rsid w:val="02E04D64"/>
    <w:rsid w:val="406036B8"/>
    <w:rsid w:val="6A7A5382"/>
    <w:rsid w:val="7E13CE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951A2"/>
  <w15:chartTrackingRefBased/>
  <w15:docId w15:val="{CF9B3923-DF56-466B-8BA3-AEBDE283AF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50DC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0DC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0D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D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D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D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D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D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DC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50DC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50DC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50DC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50DC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50DC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50DC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50DC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50DC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50DCE"/>
    <w:rPr>
      <w:rFonts w:eastAsiaTheme="majorEastAsia" w:cstheme="majorBidi"/>
      <w:color w:val="272727" w:themeColor="text1" w:themeTint="D8"/>
    </w:rPr>
  </w:style>
  <w:style w:type="paragraph" w:styleId="Title">
    <w:name w:val="Title"/>
    <w:basedOn w:val="Normal"/>
    <w:next w:val="Normal"/>
    <w:link w:val="TitleChar"/>
    <w:uiPriority w:val="10"/>
    <w:qFormat/>
    <w:rsid w:val="00D50DC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50DC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50DC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50D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DCE"/>
    <w:pPr>
      <w:spacing w:before="160"/>
      <w:jc w:val="center"/>
    </w:pPr>
    <w:rPr>
      <w:i/>
      <w:iCs/>
      <w:color w:val="404040" w:themeColor="text1" w:themeTint="BF"/>
    </w:rPr>
  </w:style>
  <w:style w:type="character" w:styleId="QuoteChar" w:customStyle="1">
    <w:name w:val="Quote Char"/>
    <w:basedOn w:val="DefaultParagraphFont"/>
    <w:link w:val="Quote"/>
    <w:uiPriority w:val="29"/>
    <w:rsid w:val="00D50DCE"/>
    <w:rPr>
      <w:i/>
      <w:iCs/>
      <w:color w:val="404040" w:themeColor="text1" w:themeTint="BF"/>
    </w:rPr>
  </w:style>
  <w:style w:type="paragraph" w:styleId="ListParagraph">
    <w:name w:val="List Paragraph"/>
    <w:basedOn w:val="Normal"/>
    <w:uiPriority w:val="34"/>
    <w:qFormat/>
    <w:rsid w:val="00D50DCE"/>
    <w:pPr>
      <w:ind w:left="720"/>
      <w:contextualSpacing/>
    </w:pPr>
  </w:style>
  <w:style w:type="character" w:styleId="IntenseEmphasis">
    <w:name w:val="Intense Emphasis"/>
    <w:basedOn w:val="DefaultParagraphFont"/>
    <w:uiPriority w:val="21"/>
    <w:qFormat/>
    <w:rsid w:val="00D50DCE"/>
    <w:rPr>
      <w:i/>
      <w:iCs/>
      <w:color w:val="0F4761" w:themeColor="accent1" w:themeShade="BF"/>
    </w:rPr>
  </w:style>
  <w:style w:type="paragraph" w:styleId="IntenseQuote">
    <w:name w:val="Intense Quote"/>
    <w:basedOn w:val="Normal"/>
    <w:next w:val="Normal"/>
    <w:link w:val="IntenseQuoteChar"/>
    <w:uiPriority w:val="30"/>
    <w:qFormat/>
    <w:rsid w:val="00D50DC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50DCE"/>
    <w:rPr>
      <w:i/>
      <w:iCs/>
      <w:color w:val="0F4761" w:themeColor="accent1" w:themeShade="BF"/>
    </w:rPr>
  </w:style>
  <w:style w:type="character" w:styleId="IntenseReference">
    <w:name w:val="Intense Reference"/>
    <w:basedOn w:val="DefaultParagraphFont"/>
    <w:uiPriority w:val="32"/>
    <w:qFormat/>
    <w:rsid w:val="00D50DCE"/>
    <w:rPr>
      <w:b/>
      <w:bCs/>
      <w:smallCaps/>
      <w:color w:val="0F4761" w:themeColor="accent1" w:themeShade="BF"/>
      <w:spacing w:val="5"/>
    </w:rPr>
  </w:style>
  <w:style w:type="character" w:styleId="Hyperlink">
    <w:name w:val="Hyperlink"/>
    <w:basedOn w:val="DefaultParagraphFont"/>
    <w:uiPriority w:val="99"/>
    <w:unhideWhenUsed/>
    <w:rsid w:val="00D50DCE"/>
    <w:rPr>
      <w:color w:val="467886" w:themeColor="hyperlink"/>
      <w:u w:val="single"/>
    </w:rPr>
  </w:style>
  <w:style w:type="character" w:styleId="UnresolvedMention">
    <w:name w:val="Unresolved Mention"/>
    <w:basedOn w:val="DefaultParagraphFont"/>
    <w:uiPriority w:val="99"/>
    <w:semiHidden/>
    <w:unhideWhenUsed/>
    <w:rsid w:val="00D50DCE"/>
    <w:rPr>
      <w:color w:val="605E5C"/>
      <w:shd w:val="clear" w:color="auto" w:fill="E1DFDD"/>
    </w:rPr>
  </w:style>
  <w:style w:type="paragraph" w:styleId="NormalWeb">
    <w:name w:val="Normal (Web)"/>
    <w:basedOn w:val="Normal"/>
    <w:uiPriority w:val="99"/>
    <w:semiHidden/>
    <w:unhideWhenUsed/>
    <w:rsid w:val="00C700DA"/>
    <w:rPr>
      <w:rFonts w:ascii="Times New Roman" w:hAnsi="Times New Roman" w:cs="Times New Roman"/>
    </w:rPr>
  </w:style>
  <w:style w:type="paragraph" w:styleId="Caption">
    <w:name w:val="caption"/>
    <w:basedOn w:val="Normal"/>
    <w:next w:val="Normal"/>
    <w:uiPriority w:val="35"/>
    <w:unhideWhenUsed/>
    <w:qFormat/>
    <w:rsid w:val="0055430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C77A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B60EA"/>
    <w:pPr>
      <w:tabs>
        <w:tab w:val="right" w:leader="dot" w:pos="9350"/>
      </w:tabs>
      <w:spacing w:after="100"/>
    </w:pPr>
    <w:rPr>
      <w:rFonts w:ascii="Arial" w:hAnsi="Arial" w:cs="Arial"/>
      <w:b/>
      <w:bCs/>
      <w:noProof/>
    </w:rPr>
  </w:style>
  <w:style w:type="paragraph" w:styleId="TOC2">
    <w:name w:val="toc 2"/>
    <w:basedOn w:val="Normal"/>
    <w:next w:val="Normal"/>
    <w:autoRedefine/>
    <w:uiPriority w:val="39"/>
    <w:unhideWhenUsed/>
    <w:rsid w:val="000C77AF"/>
    <w:pPr>
      <w:spacing w:after="100"/>
      <w:ind w:left="240"/>
    </w:pPr>
  </w:style>
  <w:style w:type="paragraph" w:styleId="TOC3">
    <w:name w:val="toc 3"/>
    <w:basedOn w:val="Normal"/>
    <w:next w:val="Normal"/>
    <w:autoRedefine/>
    <w:uiPriority w:val="39"/>
    <w:unhideWhenUsed/>
    <w:rsid w:val="000C77AF"/>
    <w:pPr>
      <w:spacing w:after="100"/>
      <w:ind w:left="480"/>
    </w:pPr>
  </w:style>
  <w:style w:type="paragraph" w:styleId="Header">
    <w:name w:val="header"/>
    <w:basedOn w:val="Normal"/>
    <w:link w:val="HeaderChar"/>
    <w:uiPriority w:val="99"/>
    <w:unhideWhenUsed/>
    <w:rsid w:val="000C77AF"/>
    <w:pPr>
      <w:tabs>
        <w:tab w:val="center" w:pos="4680"/>
        <w:tab w:val="right" w:pos="9360"/>
      </w:tabs>
      <w:spacing w:after="0" w:line="240" w:lineRule="auto"/>
    </w:pPr>
  </w:style>
  <w:style w:type="character" w:styleId="HeaderChar" w:customStyle="1">
    <w:name w:val="Header Char"/>
    <w:basedOn w:val="DefaultParagraphFont"/>
    <w:link w:val="Header"/>
    <w:uiPriority w:val="99"/>
    <w:rsid w:val="000C77AF"/>
  </w:style>
  <w:style w:type="paragraph" w:styleId="Footer">
    <w:name w:val="footer"/>
    <w:basedOn w:val="Normal"/>
    <w:link w:val="FooterChar"/>
    <w:uiPriority w:val="99"/>
    <w:unhideWhenUsed/>
    <w:rsid w:val="000C77AF"/>
    <w:pPr>
      <w:tabs>
        <w:tab w:val="center" w:pos="4680"/>
        <w:tab w:val="right" w:pos="9360"/>
      </w:tabs>
      <w:spacing w:after="0" w:line="240" w:lineRule="auto"/>
    </w:pPr>
  </w:style>
  <w:style w:type="character" w:styleId="FooterChar" w:customStyle="1">
    <w:name w:val="Footer Char"/>
    <w:basedOn w:val="DefaultParagraphFont"/>
    <w:link w:val="Footer"/>
    <w:uiPriority w:val="99"/>
    <w:rsid w:val="000C7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openxmlformats.org/officeDocument/2006/relationships/hyperlink" Target="https://www.legislation.gov.uk/ukpga/2022/31/contents" TargetMode="External"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hyperlink" Target="https://doi.org/10.1177/0969733019874492" TargetMode="External" Id="rId21"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hyperlink" Target="https://doi.org/10.1111/jan.16965" TargetMode="External" Id="rId17" /><Relationship Type="http://schemas.openxmlformats.org/officeDocument/2006/relationships/hyperlink" Target="https://www.who.int/news-room/questions-and-answers/item/social-determinants-of-health-key-concepts" TargetMode="External" Id="rId25" /><Relationship Type="http://schemas.openxmlformats.org/officeDocument/2006/relationships/numbering" Target="numbering.xml" Id="rId2" /><Relationship Type="http://schemas.openxmlformats.org/officeDocument/2006/relationships/hyperlink" Target="https://doi.org/10.1371/journal.pone.0193399" TargetMode="External" Id="rId16" /><Relationship Type="http://schemas.openxmlformats.org/officeDocument/2006/relationships/hyperlink" Target="https://doi.org/10.1111/j.1748-3743.2012.00342.x"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hyperlink" Target="https://www.skillsforcare.org.uk/Support-for-leaders-and-managers/Managing-people/Code-of-Conduct.aspx" TargetMode="External" Id="rId24" /><Relationship Type="http://schemas.openxmlformats.org/officeDocument/2006/relationships/webSettings" Target="webSettings.xml" Id="rId5" /><Relationship Type="http://schemas.openxmlformats.org/officeDocument/2006/relationships/hyperlink" Target="https://www.legislation.gov.uk/ukpga/2014/23/section/1" TargetMode="External" Id="rId15" /><Relationship Type="http://schemas.openxmlformats.org/officeDocument/2006/relationships/hyperlink" Target="https://doi.org/10.1111/hsc.12050" TargetMode="External" Id="rId23" /><Relationship Type="http://schemas.openxmlformats.org/officeDocument/2006/relationships/theme" Target="theme/theme1.xml" Id="rId28" /><Relationship Type="http://schemas.openxmlformats.org/officeDocument/2006/relationships/diagramLayout" Target="diagrams/layout1.xml" Id="rId10" /><Relationship Type="http://schemas.openxmlformats.org/officeDocument/2006/relationships/hyperlink" Target="https://doi.org/10.12968/bjcn.2016.21.2.82" TargetMode="External" Id="rId19"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hyperlink" Target="https://doi.org/10.1136/bmjopen-2022-068918" TargetMode="External" Id="rId14" /><Relationship Type="http://schemas.openxmlformats.org/officeDocument/2006/relationships/hyperlink" Target="https://www.england.nhs.uk/personalisedcare/comprehensive-model/case-studies/joans-story/" TargetMode="External" Id="rId22" /><Relationship Type="http://schemas.openxmlformats.org/officeDocument/2006/relationships/fontTable" Target="fontTable.xml" Id="rId27"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180E1E-3DBA-46D6-B41F-5F8144C11A29}"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US"/>
        </a:p>
      </dgm:t>
    </dgm:pt>
    <dgm:pt modelId="{0E47CCEC-BE20-41DD-881B-876289D69A93}">
      <dgm:prSet phldrT="[Text]"/>
      <dgm:spPr/>
      <dgm:t>
        <a:bodyPr/>
        <a:lstStyle/>
        <a:p>
          <a:r>
            <a:rPr lang="en-US"/>
            <a:t>Gibbs' Reflective Cycle</a:t>
          </a:r>
        </a:p>
      </dgm:t>
    </dgm:pt>
    <dgm:pt modelId="{4A732568-047A-4269-86CC-0EE952A83D13}" type="parTrans" cxnId="{A4267348-94F1-464B-A6DE-AC1FF1983823}">
      <dgm:prSet/>
      <dgm:spPr/>
      <dgm:t>
        <a:bodyPr/>
        <a:lstStyle/>
        <a:p>
          <a:endParaRPr lang="en-US"/>
        </a:p>
      </dgm:t>
    </dgm:pt>
    <dgm:pt modelId="{E49898CB-6BD6-47DC-B798-2B4746DD5079}" type="sibTrans" cxnId="{A4267348-94F1-464B-A6DE-AC1FF1983823}">
      <dgm:prSet/>
      <dgm:spPr/>
      <dgm:t>
        <a:bodyPr/>
        <a:lstStyle/>
        <a:p>
          <a:endParaRPr lang="en-US"/>
        </a:p>
      </dgm:t>
    </dgm:pt>
    <dgm:pt modelId="{DFFD6525-8A88-4D98-8A04-4C11E143564A}">
      <dgm:prSet phldrT="[Text]"/>
      <dgm:spPr/>
      <dgm:t>
        <a:bodyPr/>
        <a:lstStyle/>
        <a:p>
          <a:r>
            <a:rPr lang="en-US"/>
            <a:t>Description</a:t>
          </a:r>
        </a:p>
      </dgm:t>
    </dgm:pt>
    <dgm:pt modelId="{8A5F6B92-918E-4D8C-98C3-57BA98C7571F}" type="parTrans" cxnId="{035DF726-6CEF-460E-B5C5-EAA8AACEB3B9}">
      <dgm:prSet/>
      <dgm:spPr/>
      <dgm:t>
        <a:bodyPr/>
        <a:lstStyle/>
        <a:p>
          <a:endParaRPr lang="en-US"/>
        </a:p>
      </dgm:t>
    </dgm:pt>
    <dgm:pt modelId="{EDD5F489-9AA5-4D3E-9A32-F4F1927B16B0}" type="sibTrans" cxnId="{035DF726-6CEF-460E-B5C5-EAA8AACEB3B9}">
      <dgm:prSet/>
      <dgm:spPr/>
      <dgm:t>
        <a:bodyPr/>
        <a:lstStyle/>
        <a:p>
          <a:endParaRPr lang="en-US"/>
        </a:p>
      </dgm:t>
    </dgm:pt>
    <dgm:pt modelId="{CCD7791C-C475-4E00-9BB1-9BF5D489D17D}">
      <dgm:prSet phldrT="[Text]"/>
      <dgm:spPr/>
      <dgm:t>
        <a:bodyPr/>
        <a:lstStyle/>
        <a:p>
          <a:r>
            <a:rPr lang="en-US"/>
            <a:t>Feelings</a:t>
          </a:r>
        </a:p>
      </dgm:t>
    </dgm:pt>
    <dgm:pt modelId="{08C3833D-8CFF-4F09-8AD7-47A74E36CEBE}" type="parTrans" cxnId="{848AF69F-A20E-49BE-9537-F1D0A7F3220F}">
      <dgm:prSet/>
      <dgm:spPr/>
      <dgm:t>
        <a:bodyPr/>
        <a:lstStyle/>
        <a:p>
          <a:endParaRPr lang="en-US"/>
        </a:p>
      </dgm:t>
    </dgm:pt>
    <dgm:pt modelId="{034255B8-A813-447E-94EC-7F13204904D2}" type="sibTrans" cxnId="{848AF69F-A20E-49BE-9537-F1D0A7F3220F}">
      <dgm:prSet/>
      <dgm:spPr/>
      <dgm:t>
        <a:bodyPr/>
        <a:lstStyle/>
        <a:p>
          <a:endParaRPr lang="en-US"/>
        </a:p>
      </dgm:t>
    </dgm:pt>
    <dgm:pt modelId="{C9BC04BC-B957-4C7B-9694-71EB85248DE6}">
      <dgm:prSet phldrT="[Text]"/>
      <dgm:spPr/>
      <dgm:t>
        <a:bodyPr/>
        <a:lstStyle/>
        <a:p>
          <a:r>
            <a:rPr lang="en-US"/>
            <a:t>Evaluation</a:t>
          </a:r>
        </a:p>
      </dgm:t>
    </dgm:pt>
    <dgm:pt modelId="{99FDA25D-A8EF-406A-986B-6F81FB5A2570}" type="parTrans" cxnId="{F03F289F-C5DC-499A-B330-AEDA40619CA4}">
      <dgm:prSet/>
      <dgm:spPr/>
      <dgm:t>
        <a:bodyPr/>
        <a:lstStyle/>
        <a:p>
          <a:endParaRPr lang="en-US"/>
        </a:p>
      </dgm:t>
    </dgm:pt>
    <dgm:pt modelId="{74D3D05A-F5CC-410D-AC74-CFD19143EFE2}" type="sibTrans" cxnId="{F03F289F-C5DC-499A-B330-AEDA40619CA4}">
      <dgm:prSet/>
      <dgm:spPr/>
      <dgm:t>
        <a:bodyPr/>
        <a:lstStyle/>
        <a:p>
          <a:endParaRPr lang="en-US"/>
        </a:p>
      </dgm:t>
    </dgm:pt>
    <dgm:pt modelId="{80C5AAB9-BF8C-47F3-943C-57CF088474DF}">
      <dgm:prSet phldrT="[Text]"/>
      <dgm:spPr/>
      <dgm:t>
        <a:bodyPr/>
        <a:lstStyle/>
        <a:p>
          <a:r>
            <a:rPr lang="en-US"/>
            <a:t>Analysis</a:t>
          </a:r>
        </a:p>
      </dgm:t>
    </dgm:pt>
    <dgm:pt modelId="{BABE7490-8C37-46A6-8415-21DD5FE13545}" type="parTrans" cxnId="{D6325769-5708-4805-8FB8-6C4563153957}">
      <dgm:prSet/>
      <dgm:spPr/>
      <dgm:t>
        <a:bodyPr/>
        <a:lstStyle/>
        <a:p>
          <a:endParaRPr lang="en-US"/>
        </a:p>
      </dgm:t>
    </dgm:pt>
    <dgm:pt modelId="{588D5BA0-F08C-4B8B-9BD9-5AC182D29E51}" type="sibTrans" cxnId="{D6325769-5708-4805-8FB8-6C4563153957}">
      <dgm:prSet/>
      <dgm:spPr/>
      <dgm:t>
        <a:bodyPr/>
        <a:lstStyle/>
        <a:p>
          <a:endParaRPr lang="en-US"/>
        </a:p>
      </dgm:t>
    </dgm:pt>
    <dgm:pt modelId="{DC547C32-1D22-4F93-9308-24A43D675BE2}">
      <dgm:prSet phldrT="[Text]"/>
      <dgm:spPr/>
      <dgm:t>
        <a:bodyPr/>
        <a:lstStyle/>
        <a:p>
          <a:r>
            <a:rPr lang="en-US"/>
            <a:t>Conclusion</a:t>
          </a:r>
        </a:p>
      </dgm:t>
    </dgm:pt>
    <dgm:pt modelId="{283CADBB-85A1-43C5-9D06-FF30DE59C3E1}" type="parTrans" cxnId="{7C5D6CBC-76F3-4382-8668-C7C18FE69B5E}">
      <dgm:prSet/>
      <dgm:spPr/>
      <dgm:t>
        <a:bodyPr/>
        <a:lstStyle/>
        <a:p>
          <a:endParaRPr lang="en-US"/>
        </a:p>
      </dgm:t>
    </dgm:pt>
    <dgm:pt modelId="{F6E2A857-E876-4C54-A7C8-9FB1FC68CFB9}" type="sibTrans" cxnId="{7C5D6CBC-76F3-4382-8668-C7C18FE69B5E}">
      <dgm:prSet/>
      <dgm:spPr/>
      <dgm:t>
        <a:bodyPr/>
        <a:lstStyle/>
        <a:p>
          <a:endParaRPr lang="en-US"/>
        </a:p>
      </dgm:t>
    </dgm:pt>
    <dgm:pt modelId="{47DC5501-CAE8-4720-93B9-9157C0F3E7EF}">
      <dgm:prSet phldrT="[Text]"/>
      <dgm:spPr/>
      <dgm:t>
        <a:bodyPr/>
        <a:lstStyle/>
        <a:p>
          <a:r>
            <a:rPr lang="en-US"/>
            <a:t>Action Plan</a:t>
          </a:r>
        </a:p>
      </dgm:t>
    </dgm:pt>
    <dgm:pt modelId="{AAB80BDA-0560-4826-88DA-81D396E7D0B2}" type="parTrans" cxnId="{E72D3A3E-68D4-445A-B2A2-9A1B4811A2D7}">
      <dgm:prSet/>
      <dgm:spPr/>
      <dgm:t>
        <a:bodyPr/>
        <a:lstStyle/>
        <a:p>
          <a:endParaRPr lang="en-US"/>
        </a:p>
      </dgm:t>
    </dgm:pt>
    <dgm:pt modelId="{3475DE3D-D38A-48E8-B74A-0D7D4512DBAB}" type="sibTrans" cxnId="{E72D3A3E-68D4-445A-B2A2-9A1B4811A2D7}">
      <dgm:prSet/>
      <dgm:spPr/>
      <dgm:t>
        <a:bodyPr/>
        <a:lstStyle/>
        <a:p>
          <a:endParaRPr lang="en-US"/>
        </a:p>
      </dgm:t>
    </dgm:pt>
    <dgm:pt modelId="{05A312D5-CEF8-44B6-A10A-7393D0C46992}" type="pres">
      <dgm:prSet presAssocID="{1F180E1E-3DBA-46D6-B41F-5F8144C11A29}" presName="Name0" presStyleCnt="0">
        <dgm:presLayoutVars>
          <dgm:chMax val="1"/>
          <dgm:dir/>
          <dgm:animLvl val="ctr"/>
          <dgm:resizeHandles val="exact"/>
        </dgm:presLayoutVars>
      </dgm:prSet>
      <dgm:spPr/>
    </dgm:pt>
    <dgm:pt modelId="{3A14EFEE-F5C3-4BD2-A949-5167896AB273}" type="pres">
      <dgm:prSet presAssocID="{0E47CCEC-BE20-41DD-881B-876289D69A93}" presName="centerShape" presStyleLbl="node0" presStyleIdx="0" presStyleCnt="1"/>
      <dgm:spPr/>
    </dgm:pt>
    <dgm:pt modelId="{A8A20E63-2662-4FD9-B70A-9C39E2135EF7}" type="pres">
      <dgm:prSet presAssocID="{8A5F6B92-918E-4D8C-98C3-57BA98C7571F}" presName="parTrans" presStyleLbl="sibTrans2D1" presStyleIdx="0" presStyleCnt="6"/>
      <dgm:spPr/>
    </dgm:pt>
    <dgm:pt modelId="{1D22F771-DE08-4293-BE30-268E0AF170FD}" type="pres">
      <dgm:prSet presAssocID="{8A5F6B92-918E-4D8C-98C3-57BA98C7571F}" presName="connectorText" presStyleLbl="sibTrans2D1" presStyleIdx="0" presStyleCnt="6"/>
      <dgm:spPr/>
    </dgm:pt>
    <dgm:pt modelId="{0F6A29BB-530C-4729-815E-78973CF4B7FB}" type="pres">
      <dgm:prSet presAssocID="{DFFD6525-8A88-4D98-8A04-4C11E143564A}" presName="node" presStyleLbl="node1" presStyleIdx="0" presStyleCnt="6">
        <dgm:presLayoutVars>
          <dgm:bulletEnabled val="1"/>
        </dgm:presLayoutVars>
      </dgm:prSet>
      <dgm:spPr/>
    </dgm:pt>
    <dgm:pt modelId="{22AF5777-F86A-4C2D-B547-A3FE304F326B}" type="pres">
      <dgm:prSet presAssocID="{08C3833D-8CFF-4F09-8AD7-47A74E36CEBE}" presName="parTrans" presStyleLbl="sibTrans2D1" presStyleIdx="1" presStyleCnt="6"/>
      <dgm:spPr/>
    </dgm:pt>
    <dgm:pt modelId="{FA7C4DCA-7CDD-4A1A-9B41-30D882D897AF}" type="pres">
      <dgm:prSet presAssocID="{08C3833D-8CFF-4F09-8AD7-47A74E36CEBE}" presName="connectorText" presStyleLbl="sibTrans2D1" presStyleIdx="1" presStyleCnt="6"/>
      <dgm:spPr/>
    </dgm:pt>
    <dgm:pt modelId="{3FF46638-9B17-4F3E-AF52-DD09394A480D}" type="pres">
      <dgm:prSet presAssocID="{CCD7791C-C475-4E00-9BB1-9BF5D489D17D}" presName="node" presStyleLbl="node1" presStyleIdx="1" presStyleCnt="6">
        <dgm:presLayoutVars>
          <dgm:bulletEnabled val="1"/>
        </dgm:presLayoutVars>
      </dgm:prSet>
      <dgm:spPr/>
    </dgm:pt>
    <dgm:pt modelId="{E4B79B04-2E53-48D6-B62E-8DF218D158E2}" type="pres">
      <dgm:prSet presAssocID="{99FDA25D-A8EF-406A-986B-6F81FB5A2570}" presName="parTrans" presStyleLbl="sibTrans2D1" presStyleIdx="2" presStyleCnt="6"/>
      <dgm:spPr/>
    </dgm:pt>
    <dgm:pt modelId="{938878B3-857D-48D8-A703-B22481A78D23}" type="pres">
      <dgm:prSet presAssocID="{99FDA25D-A8EF-406A-986B-6F81FB5A2570}" presName="connectorText" presStyleLbl="sibTrans2D1" presStyleIdx="2" presStyleCnt="6"/>
      <dgm:spPr/>
    </dgm:pt>
    <dgm:pt modelId="{E1D951A4-2ECA-45EF-A9CB-BB075C8D01B4}" type="pres">
      <dgm:prSet presAssocID="{C9BC04BC-B957-4C7B-9694-71EB85248DE6}" presName="node" presStyleLbl="node1" presStyleIdx="2" presStyleCnt="6">
        <dgm:presLayoutVars>
          <dgm:bulletEnabled val="1"/>
        </dgm:presLayoutVars>
      </dgm:prSet>
      <dgm:spPr/>
    </dgm:pt>
    <dgm:pt modelId="{2312D768-F938-4226-A869-628C1EEA2586}" type="pres">
      <dgm:prSet presAssocID="{BABE7490-8C37-46A6-8415-21DD5FE13545}" presName="parTrans" presStyleLbl="sibTrans2D1" presStyleIdx="3" presStyleCnt="6"/>
      <dgm:spPr/>
    </dgm:pt>
    <dgm:pt modelId="{2C2E5C7A-3F9B-4710-BB8E-D28045A7641C}" type="pres">
      <dgm:prSet presAssocID="{BABE7490-8C37-46A6-8415-21DD5FE13545}" presName="connectorText" presStyleLbl="sibTrans2D1" presStyleIdx="3" presStyleCnt="6"/>
      <dgm:spPr/>
    </dgm:pt>
    <dgm:pt modelId="{D3304B64-0010-49DB-8E2F-0721D07079D1}" type="pres">
      <dgm:prSet presAssocID="{80C5AAB9-BF8C-47F3-943C-57CF088474DF}" presName="node" presStyleLbl="node1" presStyleIdx="3" presStyleCnt="6">
        <dgm:presLayoutVars>
          <dgm:bulletEnabled val="1"/>
        </dgm:presLayoutVars>
      </dgm:prSet>
      <dgm:spPr/>
    </dgm:pt>
    <dgm:pt modelId="{205CC0FB-33EA-4A6D-8115-0114FAE60810}" type="pres">
      <dgm:prSet presAssocID="{283CADBB-85A1-43C5-9D06-FF30DE59C3E1}" presName="parTrans" presStyleLbl="sibTrans2D1" presStyleIdx="4" presStyleCnt="6"/>
      <dgm:spPr/>
    </dgm:pt>
    <dgm:pt modelId="{FA1C779A-30FC-46F6-8063-87DCDFB907B1}" type="pres">
      <dgm:prSet presAssocID="{283CADBB-85A1-43C5-9D06-FF30DE59C3E1}" presName="connectorText" presStyleLbl="sibTrans2D1" presStyleIdx="4" presStyleCnt="6"/>
      <dgm:spPr/>
    </dgm:pt>
    <dgm:pt modelId="{6EF7B86E-5FD0-4DD2-BB56-F14F3D898B50}" type="pres">
      <dgm:prSet presAssocID="{DC547C32-1D22-4F93-9308-24A43D675BE2}" presName="node" presStyleLbl="node1" presStyleIdx="4" presStyleCnt="6">
        <dgm:presLayoutVars>
          <dgm:bulletEnabled val="1"/>
        </dgm:presLayoutVars>
      </dgm:prSet>
      <dgm:spPr/>
    </dgm:pt>
    <dgm:pt modelId="{A25F259C-0B0D-4A4C-8BFB-9CD5B190CDEE}" type="pres">
      <dgm:prSet presAssocID="{AAB80BDA-0560-4826-88DA-81D396E7D0B2}" presName="parTrans" presStyleLbl="sibTrans2D1" presStyleIdx="5" presStyleCnt="6"/>
      <dgm:spPr/>
    </dgm:pt>
    <dgm:pt modelId="{7E8A3E73-6379-4C57-9368-6A5924C4D4E3}" type="pres">
      <dgm:prSet presAssocID="{AAB80BDA-0560-4826-88DA-81D396E7D0B2}" presName="connectorText" presStyleLbl="sibTrans2D1" presStyleIdx="5" presStyleCnt="6"/>
      <dgm:spPr/>
    </dgm:pt>
    <dgm:pt modelId="{8E17AEAF-195D-4EF8-AE01-40CBA6B6BEC0}" type="pres">
      <dgm:prSet presAssocID="{47DC5501-CAE8-4720-93B9-9157C0F3E7EF}" presName="node" presStyleLbl="node1" presStyleIdx="5" presStyleCnt="6">
        <dgm:presLayoutVars>
          <dgm:bulletEnabled val="1"/>
        </dgm:presLayoutVars>
      </dgm:prSet>
      <dgm:spPr/>
    </dgm:pt>
  </dgm:ptLst>
  <dgm:cxnLst>
    <dgm:cxn modelId="{035DF726-6CEF-460E-B5C5-EAA8AACEB3B9}" srcId="{0E47CCEC-BE20-41DD-881B-876289D69A93}" destId="{DFFD6525-8A88-4D98-8A04-4C11E143564A}" srcOrd="0" destOrd="0" parTransId="{8A5F6B92-918E-4D8C-98C3-57BA98C7571F}" sibTransId="{EDD5F489-9AA5-4D3E-9A32-F4F1927B16B0}"/>
    <dgm:cxn modelId="{2D07E236-1D20-4D71-8F7A-714FA797C848}" type="presOf" srcId="{1F180E1E-3DBA-46D6-B41F-5F8144C11A29}" destId="{05A312D5-CEF8-44B6-A10A-7393D0C46992}" srcOrd="0" destOrd="0" presId="urn:microsoft.com/office/officeart/2005/8/layout/radial5"/>
    <dgm:cxn modelId="{1481293B-4C18-4D13-B2BF-1A08529F18E7}" type="presOf" srcId="{8A5F6B92-918E-4D8C-98C3-57BA98C7571F}" destId="{1D22F771-DE08-4293-BE30-268E0AF170FD}" srcOrd="1" destOrd="0" presId="urn:microsoft.com/office/officeart/2005/8/layout/radial5"/>
    <dgm:cxn modelId="{E72D3A3E-68D4-445A-B2A2-9A1B4811A2D7}" srcId="{0E47CCEC-BE20-41DD-881B-876289D69A93}" destId="{47DC5501-CAE8-4720-93B9-9157C0F3E7EF}" srcOrd="5" destOrd="0" parTransId="{AAB80BDA-0560-4826-88DA-81D396E7D0B2}" sibTransId="{3475DE3D-D38A-48E8-B74A-0D7D4512DBAB}"/>
    <dgm:cxn modelId="{5056C15E-1C6C-4CCB-8143-8443E604CC4E}" type="presOf" srcId="{AAB80BDA-0560-4826-88DA-81D396E7D0B2}" destId="{A25F259C-0B0D-4A4C-8BFB-9CD5B190CDEE}" srcOrd="0" destOrd="0" presId="urn:microsoft.com/office/officeart/2005/8/layout/radial5"/>
    <dgm:cxn modelId="{A4267348-94F1-464B-A6DE-AC1FF1983823}" srcId="{1F180E1E-3DBA-46D6-B41F-5F8144C11A29}" destId="{0E47CCEC-BE20-41DD-881B-876289D69A93}" srcOrd="0" destOrd="0" parTransId="{4A732568-047A-4269-86CC-0EE952A83D13}" sibTransId="{E49898CB-6BD6-47DC-B798-2B4746DD5079}"/>
    <dgm:cxn modelId="{8B181669-7C9D-4322-8E49-973587B78964}" type="presOf" srcId="{8A5F6B92-918E-4D8C-98C3-57BA98C7571F}" destId="{A8A20E63-2662-4FD9-B70A-9C39E2135EF7}" srcOrd="0" destOrd="0" presId="urn:microsoft.com/office/officeart/2005/8/layout/radial5"/>
    <dgm:cxn modelId="{D6325769-5708-4805-8FB8-6C4563153957}" srcId="{0E47CCEC-BE20-41DD-881B-876289D69A93}" destId="{80C5AAB9-BF8C-47F3-943C-57CF088474DF}" srcOrd="3" destOrd="0" parTransId="{BABE7490-8C37-46A6-8415-21DD5FE13545}" sibTransId="{588D5BA0-F08C-4B8B-9BD9-5AC182D29E51}"/>
    <dgm:cxn modelId="{A4DC874C-8E30-47ED-8341-2BA371E38216}" type="presOf" srcId="{08C3833D-8CFF-4F09-8AD7-47A74E36CEBE}" destId="{22AF5777-F86A-4C2D-B547-A3FE304F326B}" srcOrd="0" destOrd="0" presId="urn:microsoft.com/office/officeart/2005/8/layout/radial5"/>
    <dgm:cxn modelId="{C18F2272-C358-4A3C-B7DD-9CD02E3FC4F1}" type="presOf" srcId="{DFFD6525-8A88-4D98-8A04-4C11E143564A}" destId="{0F6A29BB-530C-4729-815E-78973CF4B7FB}" srcOrd="0" destOrd="0" presId="urn:microsoft.com/office/officeart/2005/8/layout/radial5"/>
    <dgm:cxn modelId="{9AB8A87B-44B3-40F3-BB6F-EFEEC29D4BCC}" type="presOf" srcId="{AAB80BDA-0560-4826-88DA-81D396E7D0B2}" destId="{7E8A3E73-6379-4C57-9368-6A5924C4D4E3}" srcOrd="1" destOrd="0" presId="urn:microsoft.com/office/officeart/2005/8/layout/radial5"/>
    <dgm:cxn modelId="{0D96B17B-0E2A-49D0-BD29-7F752687F277}" type="presOf" srcId="{80C5AAB9-BF8C-47F3-943C-57CF088474DF}" destId="{D3304B64-0010-49DB-8E2F-0721D07079D1}" srcOrd="0" destOrd="0" presId="urn:microsoft.com/office/officeart/2005/8/layout/radial5"/>
    <dgm:cxn modelId="{7B9C3B7C-976B-4760-B0D0-8D133839933A}" type="presOf" srcId="{283CADBB-85A1-43C5-9D06-FF30DE59C3E1}" destId="{FA1C779A-30FC-46F6-8063-87DCDFB907B1}" srcOrd="1" destOrd="0" presId="urn:microsoft.com/office/officeart/2005/8/layout/radial5"/>
    <dgm:cxn modelId="{CD57958F-F6FE-4034-A767-B50B1450887C}" type="presOf" srcId="{283CADBB-85A1-43C5-9D06-FF30DE59C3E1}" destId="{205CC0FB-33EA-4A6D-8115-0114FAE60810}" srcOrd="0" destOrd="0" presId="urn:microsoft.com/office/officeart/2005/8/layout/radial5"/>
    <dgm:cxn modelId="{5B090891-3979-4543-8358-6B3CD2231FB1}" type="presOf" srcId="{C9BC04BC-B957-4C7B-9694-71EB85248DE6}" destId="{E1D951A4-2ECA-45EF-A9CB-BB075C8D01B4}" srcOrd="0" destOrd="0" presId="urn:microsoft.com/office/officeart/2005/8/layout/radial5"/>
    <dgm:cxn modelId="{2687259B-137F-4860-8A54-3F0CC7E75D55}" type="presOf" srcId="{0E47CCEC-BE20-41DD-881B-876289D69A93}" destId="{3A14EFEE-F5C3-4BD2-A949-5167896AB273}" srcOrd="0" destOrd="0" presId="urn:microsoft.com/office/officeart/2005/8/layout/radial5"/>
    <dgm:cxn modelId="{F03F289F-C5DC-499A-B330-AEDA40619CA4}" srcId="{0E47CCEC-BE20-41DD-881B-876289D69A93}" destId="{C9BC04BC-B957-4C7B-9694-71EB85248DE6}" srcOrd="2" destOrd="0" parTransId="{99FDA25D-A8EF-406A-986B-6F81FB5A2570}" sibTransId="{74D3D05A-F5CC-410D-AC74-CFD19143EFE2}"/>
    <dgm:cxn modelId="{848AF69F-A20E-49BE-9537-F1D0A7F3220F}" srcId="{0E47CCEC-BE20-41DD-881B-876289D69A93}" destId="{CCD7791C-C475-4E00-9BB1-9BF5D489D17D}" srcOrd="1" destOrd="0" parTransId="{08C3833D-8CFF-4F09-8AD7-47A74E36CEBE}" sibTransId="{034255B8-A813-447E-94EC-7F13204904D2}"/>
    <dgm:cxn modelId="{7C5D6CBC-76F3-4382-8668-C7C18FE69B5E}" srcId="{0E47CCEC-BE20-41DD-881B-876289D69A93}" destId="{DC547C32-1D22-4F93-9308-24A43D675BE2}" srcOrd="4" destOrd="0" parTransId="{283CADBB-85A1-43C5-9D06-FF30DE59C3E1}" sibTransId="{F6E2A857-E876-4C54-A7C8-9FB1FC68CFB9}"/>
    <dgm:cxn modelId="{0AE6D5C2-45AC-4F57-9951-B269261C56E0}" type="presOf" srcId="{47DC5501-CAE8-4720-93B9-9157C0F3E7EF}" destId="{8E17AEAF-195D-4EF8-AE01-40CBA6B6BEC0}" srcOrd="0" destOrd="0" presId="urn:microsoft.com/office/officeart/2005/8/layout/radial5"/>
    <dgm:cxn modelId="{3D5642C3-B997-4D99-8650-5D22B5F93B6A}" type="presOf" srcId="{BABE7490-8C37-46A6-8415-21DD5FE13545}" destId="{2C2E5C7A-3F9B-4710-BB8E-D28045A7641C}" srcOrd="1" destOrd="0" presId="urn:microsoft.com/office/officeart/2005/8/layout/radial5"/>
    <dgm:cxn modelId="{DD4589C4-9CEB-43D4-867F-A52C6D4071EC}" type="presOf" srcId="{DC547C32-1D22-4F93-9308-24A43D675BE2}" destId="{6EF7B86E-5FD0-4DD2-BB56-F14F3D898B50}" srcOrd="0" destOrd="0" presId="urn:microsoft.com/office/officeart/2005/8/layout/radial5"/>
    <dgm:cxn modelId="{761999DD-4A31-42C1-A4D3-AE02772DCE71}" type="presOf" srcId="{99FDA25D-A8EF-406A-986B-6F81FB5A2570}" destId="{938878B3-857D-48D8-A703-B22481A78D23}" srcOrd="1" destOrd="0" presId="urn:microsoft.com/office/officeart/2005/8/layout/radial5"/>
    <dgm:cxn modelId="{978F41E0-D658-4D88-8182-D8D562FAD925}" type="presOf" srcId="{CCD7791C-C475-4E00-9BB1-9BF5D489D17D}" destId="{3FF46638-9B17-4F3E-AF52-DD09394A480D}" srcOrd="0" destOrd="0" presId="urn:microsoft.com/office/officeart/2005/8/layout/radial5"/>
    <dgm:cxn modelId="{258CE7EA-FFE8-493A-AF17-0729561D3002}" type="presOf" srcId="{08C3833D-8CFF-4F09-8AD7-47A74E36CEBE}" destId="{FA7C4DCA-7CDD-4A1A-9B41-30D882D897AF}" srcOrd="1" destOrd="0" presId="urn:microsoft.com/office/officeart/2005/8/layout/radial5"/>
    <dgm:cxn modelId="{50865AEC-9D6E-4E59-8F60-AF7E5A448A13}" type="presOf" srcId="{99FDA25D-A8EF-406A-986B-6F81FB5A2570}" destId="{E4B79B04-2E53-48D6-B62E-8DF218D158E2}" srcOrd="0" destOrd="0" presId="urn:microsoft.com/office/officeart/2005/8/layout/radial5"/>
    <dgm:cxn modelId="{3ABDC2F1-3414-4737-A0D5-7596001CBE66}" type="presOf" srcId="{BABE7490-8C37-46A6-8415-21DD5FE13545}" destId="{2312D768-F938-4226-A869-628C1EEA2586}" srcOrd="0" destOrd="0" presId="urn:microsoft.com/office/officeart/2005/8/layout/radial5"/>
    <dgm:cxn modelId="{25135DBE-0DDC-4264-9105-9C4C4E1D7A71}" type="presParOf" srcId="{05A312D5-CEF8-44B6-A10A-7393D0C46992}" destId="{3A14EFEE-F5C3-4BD2-A949-5167896AB273}" srcOrd="0" destOrd="0" presId="urn:microsoft.com/office/officeart/2005/8/layout/radial5"/>
    <dgm:cxn modelId="{E246F41F-FCC8-43E4-B563-FE0692BD8C59}" type="presParOf" srcId="{05A312D5-CEF8-44B6-A10A-7393D0C46992}" destId="{A8A20E63-2662-4FD9-B70A-9C39E2135EF7}" srcOrd="1" destOrd="0" presId="urn:microsoft.com/office/officeart/2005/8/layout/radial5"/>
    <dgm:cxn modelId="{261DD7FC-9F11-419D-8564-27EE2A383B60}" type="presParOf" srcId="{A8A20E63-2662-4FD9-B70A-9C39E2135EF7}" destId="{1D22F771-DE08-4293-BE30-268E0AF170FD}" srcOrd="0" destOrd="0" presId="urn:microsoft.com/office/officeart/2005/8/layout/radial5"/>
    <dgm:cxn modelId="{8494A9FB-0D6B-469E-AB37-9073FFDAEBF9}" type="presParOf" srcId="{05A312D5-CEF8-44B6-A10A-7393D0C46992}" destId="{0F6A29BB-530C-4729-815E-78973CF4B7FB}" srcOrd="2" destOrd="0" presId="urn:microsoft.com/office/officeart/2005/8/layout/radial5"/>
    <dgm:cxn modelId="{A8AE1306-5643-486A-A699-48B764DA36AF}" type="presParOf" srcId="{05A312D5-CEF8-44B6-A10A-7393D0C46992}" destId="{22AF5777-F86A-4C2D-B547-A3FE304F326B}" srcOrd="3" destOrd="0" presId="urn:microsoft.com/office/officeart/2005/8/layout/radial5"/>
    <dgm:cxn modelId="{D03EDFD3-31F2-4C2D-89C3-7071708401E2}" type="presParOf" srcId="{22AF5777-F86A-4C2D-B547-A3FE304F326B}" destId="{FA7C4DCA-7CDD-4A1A-9B41-30D882D897AF}" srcOrd="0" destOrd="0" presId="urn:microsoft.com/office/officeart/2005/8/layout/radial5"/>
    <dgm:cxn modelId="{7FF42ED2-4F13-47AB-83D4-F898A733AD64}" type="presParOf" srcId="{05A312D5-CEF8-44B6-A10A-7393D0C46992}" destId="{3FF46638-9B17-4F3E-AF52-DD09394A480D}" srcOrd="4" destOrd="0" presId="urn:microsoft.com/office/officeart/2005/8/layout/radial5"/>
    <dgm:cxn modelId="{64EA7A1A-EAAD-4D49-B1BD-A76124E7F443}" type="presParOf" srcId="{05A312D5-CEF8-44B6-A10A-7393D0C46992}" destId="{E4B79B04-2E53-48D6-B62E-8DF218D158E2}" srcOrd="5" destOrd="0" presId="urn:microsoft.com/office/officeart/2005/8/layout/radial5"/>
    <dgm:cxn modelId="{237C8F25-9D03-4985-A279-9AABC32EF990}" type="presParOf" srcId="{E4B79B04-2E53-48D6-B62E-8DF218D158E2}" destId="{938878B3-857D-48D8-A703-B22481A78D23}" srcOrd="0" destOrd="0" presId="urn:microsoft.com/office/officeart/2005/8/layout/radial5"/>
    <dgm:cxn modelId="{4545D3C5-27AB-4DD4-8590-1AAEEA4C74FB}" type="presParOf" srcId="{05A312D5-CEF8-44B6-A10A-7393D0C46992}" destId="{E1D951A4-2ECA-45EF-A9CB-BB075C8D01B4}" srcOrd="6" destOrd="0" presId="urn:microsoft.com/office/officeart/2005/8/layout/radial5"/>
    <dgm:cxn modelId="{84E8E573-8889-46BE-A1A0-2B2CEAEEFB5C}" type="presParOf" srcId="{05A312D5-CEF8-44B6-A10A-7393D0C46992}" destId="{2312D768-F938-4226-A869-628C1EEA2586}" srcOrd="7" destOrd="0" presId="urn:microsoft.com/office/officeart/2005/8/layout/radial5"/>
    <dgm:cxn modelId="{AAD2881A-80B2-4207-BDA1-7D3997E815CA}" type="presParOf" srcId="{2312D768-F938-4226-A869-628C1EEA2586}" destId="{2C2E5C7A-3F9B-4710-BB8E-D28045A7641C}" srcOrd="0" destOrd="0" presId="urn:microsoft.com/office/officeart/2005/8/layout/radial5"/>
    <dgm:cxn modelId="{9724C817-5D9F-40C5-A5EF-0586F23BACC9}" type="presParOf" srcId="{05A312D5-CEF8-44B6-A10A-7393D0C46992}" destId="{D3304B64-0010-49DB-8E2F-0721D07079D1}" srcOrd="8" destOrd="0" presId="urn:microsoft.com/office/officeart/2005/8/layout/radial5"/>
    <dgm:cxn modelId="{488AE45F-7B1B-4164-BB35-EC3F08C33339}" type="presParOf" srcId="{05A312D5-CEF8-44B6-A10A-7393D0C46992}" destId="{205CC0FB-33EA-4A6D-8115-0114FAE60810}" srcOrd="9" destOrd="0" presId="urn:microsoft.com/office/officeart/2005/8/layout/radial5"/>
    <dgm:cxn modelId="{87E42E3C-FB45-4B96-AE5D-E0C21301E5E0}" type="presParOf" srcId="{205CC0FB-33EA-4A6D-8115-0114FAE60810}" destId="{FA1C779A-30FC-46F6-8063-87DCDFB907B1}" srcOrd="0" destOrd="0" presId="urn:microsoft.com/office/officeart/2005/8/layout/radial5"/>
    <dgm:cxn modelId="{34E5859A-E12D-49C8-B249-6EA607655A3A}" type="presParOf" srcId="{05A312D5-CEF8-44B6-A10A-7393D0C46992}" destId="{6EF7B86E-5FD0-4DD2-BB56-F14F3D898B50}" srcOrd="10" destOrd="0" presId="urn:microsoft.com/office/officeart/2005/8/layout/radial5"/>
    <dgm:cxn modelId="{33D4356E-1B5D-46E4-B75A-565C11B96039}" type="presParOf" srcId="{05A312D5-CEF8-44B6-A10A-7393D0C46992}" destId="{A25F259C-0B0D-4A4C-8BFB-9CD5B190CDEE}" srcOrd="11" destOrd="0" presId="urn:microsoft.com/office/officeart/2005/8/layout/radial5"/>
    <dgm:cxn modelId="{BD0D8082-9827-4644-BD3D-A26E61F3C121}" type="presParOf" srcId="{A25F259C-0B0D-4A4C-8BFB-9CD5B190CDEE}" destId="{7E8A3E73-6379-4C57-9368-6A5924C4D4E3}" srcOrd="0" destOrd="0" presId="urn:microsoft.com/office/officeart/2005/8/layout/radial5"/>
    <dgm:cxn modelId="{DFAB5F8F-E342-44F7-8E51-83171937CFDF}" type="presParOf" srcId="{05A312D5-CEF8-44B6-A10A-7393D0C46992}" destId="{8E17AEAF-195D-4EF8-AE01-40CBA6B6BEC0}" srcOrd="12"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14EFEE-F5C3-4BD2-A949-5167896AB273}">
      <dsp:nvSpPr>
        <dsp:cNvPr id="0" name=""/>
        <dsp:cNvSpPr/>
      </dsp:nvSpPr>
      <dsp:spPr>
        <a:xfrm>
          <a:off x="2381547" y="1238547"/>
          <a:ext cx="723304" cy="723304"/>
        </a:xfrm>
        <a:prstGeom prst="ellips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Gibbs' Reflective Cycle</a:t>
          </a:r>
        </a:p>
      </dsp:txBody>
      <dsp:txXfrm>
        <a:off x="2487472" y="1344472"/>
        <a:ext cx="511454" cy="511454"/>
      </dsp:txXfrm>
    </dsp:sp>
    <dsp:sp modelId="{A8A20E63-2662-4FD9-B70A-9C39E2135EF7}">
      <dsp:nvSpPr>
        <dsp:cNvPr id="0" name=""/>
        <dsp:cNvSpPr/>
      </dsp:nvSpPr>
      <dsp:spPr>
        <a:xfrm rot="16200000">
          <a:off x="2655058" y="954270"/>
          <a:ext cx="176282" cy="245923"/>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681501" y="1029898"/>
        <a:ext cx="123397" cy="147553"/>
      </dsp:txXfrm>
    </dsp:sp>
    <dsp:sp modelId="{0F6A29BB-530C-4729-815E-78973CF4B7FB}">
      <dsp:nvSpPr>
        <dsp:cNvPr id="0" name=""/>
        <dsp:cNvSpPr/>
      </dsp:nvSpPr>
      <dsp:spPr>
        <a:xfrm>
          <a:off x="2291134" y="1808"/>
          <a:ext cx="904130" cy="904130"/>
        </a:xfrm>
        <a:prstGeom prst="ellipse">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Description</a:t>
          </a:r>
        </a:p>
      </dsp:txBody>
      <dsp:txXfrm>
        <a:off x="2423541" y="134215"/>
        <a:ext cx="639316" cy="639316"/>
      </dsp:txXfrm>
    </dsp:sp>
    <dsp:sp modelId="{22AF5777-F86A-4C2D-B547-A3FE304F326B}">
      <dsp:nvSpPr>
        <dsp:cNvPr id="0" name=""/>
        <dsp:cNvSpPr/>
      </dsp:nvSpPr>
      <dsp:spPr>
        <a:xfrm rot="19800000">
          <a:off x="3107961" y="1215754"/>
          <a:ext cx="176282" cy="245923"/>
        </a:xfrm>
        <a:prstGeom prst="rightArrow">
          <a:avLst>
            <a:gd name="adj1" fmla="val 60000"/>
            <a:gd name="adj2" fmla="val 50000"/>
          </a:avLst>
        </a:prstGeom>
        <a:solidFill>
          <a:schemeClr val="accent5">
            <a:hueOff val="-2430430"/>
            <a:satOff val="-165"/>
            <a:lumOff val="39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111504" y="1278160"/>
        <a:ext cx="123397" cy="147553"/>
      </dsp:txXfrm>
    </dsp:sp>
    <dsp:sp modelId="{3FF46638-9B17-4F3E-AF52-DD09394A480D}">
      <dsp:nvSpPr>
        <dsp:cNvPr id="0" name=""/>
        <dsp:cNvSpPr/>
      </dsp:nvSpPr>
      <dsp:spPr>
        <a:xfrm>
          <a:off x="3283882" y="574971"/>
          <a:ext cx="904130" cy="904130"/>
        </a:xfrm>
        <a:prstGeom prst="ellipse">
          <a:avLst/>
        </a:prstGeom>
        <a:solidFill>
          <a:schemeClr val="accent5">
            <a:hueOff val="-2430430"/>
            <a:satOff val="-165"/>
            <a:lumOff val="392"/>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Feelings</a:t>
          </a:r>
        </a:p>
      </dsp:txBody>
      <dsp:txXfrm>
        <a:off x="3416289" y="707378"/>
        <a:ext cx="639316" cy="639316"/>
      </dsp:txXfrm>
    </dsp:sp>
    <dsp:sp modelId="{E4B79B04-2E53-48D6-B62E-8DF218D158E2}">
      <dsp:nvSpPr>
        <dsp:cNvPr id="0" name=""/>
        <dsp:cNvSpPr/>
      </dsp:nvSpPr>
      <dsp:spPr>
        <a:xfrm rot="1800000">
          <a:off x="3107961" y="1738721"/>
          <a:ext cx="176282" cy="245923"/>
        </a:xfrm>
        <a:prstGeom prst="rightArrow">
          <a:avLst>
            <a:gd name="adj1" fmla="val 60000"/>
            <a:gd name="adj2" fmla="val 50000"/>
          </a:avLst>
        </a:prstGeom>
        <a:solidFill>
          <a:schemeClr val="accent5">
            <a:hueOff val="-4860860"/>
            <a:satOff val="-330"/>
            <a:lumOff val="78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111504" y="1774685"/>
        <a:ext cx="123397" cy="147553"/>
      </dsp:txXfrm>
    </dsp:sp>
    <dsp:sp modelId="{E1D951A4-2ECA-45EF-A9CB-BB075C8D01B4}">
      <dsp:nvSpPr>
        <dsp:cNvPr id="0" name=""/>
        <dsp:cNvSpPr/>
      </dsp:nvSpPr>
      <dsp:spPr>
        <a:xfrm>
          <a:off x="3283882" y="1721297"/>
          <a:ext cx="904130" cy="904130"/>
        </a:xfrm>
        <a:prstGeom prst="ellipse">
          <a:avLst/>
        </a:prstGeom>
        <a:solidFill>
          <a:schemeClr val="accent5">
            <a:hueOff val="-4860860"/>
            <a:satOff val="-330"/>
            <a:lumOff val="784"/>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Evaluation</a:t>
          </a:r>
        </a:p>
      </dsp:txBody>
      <dsp:txXfrm>
        <a:off x="3416289" y="1853704"/>
        <a:ext cx="639316" cy="639316"/>
      </dsp:txXfrm>
    </dsp:sp>
    <dsp:sp modelId="{2312D768-F938-4226-A869-628C1EEA2586}">
      <dsp:nvSpPr>
        <dsp:cNvPr id="0" name=""/>
        <dsp:cNvSpPr/>
      </dsp:nvSpPr>
      <dsp:spPr>
        <a:xfrm rot="5400000">
          <a:off x="2655058" y="2000205"/>
          <a:ext cx="176282" cy="245923"/>
        </a:xfrm>
        <a:prstGeom prst="rightArrow">
          <a:avLst>
            <a:gd name="adj1" fmla="val 60000"/>
            <a:gd name="adj2" fmla="val 50000"/>
          </a:avLst>
        </a:prstGeom>
        <a:solidFill>
          <a:schemeClr val="accent5">
            <a:hueOff val="-7291290"/>
            <a:satOff val="-496"/>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681501" y="2022948"/>
        <a:ext cx="123397" cy="147553"/>
      </dsp:txXfrm>
    </dsp:sp>
    <dsp:sp modelId="{D3304B64-0010-49DB-8E2F-0721D07079D1}">
      <dsp:nvSpPr>
        <dsp:cNvPr id="0" name=""/>
        <dsp:cNvSpPr/>
      </dsp:nvSpPr>
      <dsp:spPr>
        <a:xfrm>
          <a:off x="2291134" y="2294460"/>
          <a:ext cx="904130" cy="904130"/>
        </a:xfrm>
        <a:prstGeom prst="ellipse">
          <a:avLst/>
        </a:prstGeom>
        <a:solidFill>
          <a:schemeClr val="accent5">
            <a:hueOff val="-7291290"/>
            <a:satOff val="-496"/>
            <a:lumOff val="1177"/>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Analysis</a:t>
          </a:r>
        </a:p>
      </dsp:txBody>
      <dsp:txXfrm>
        <a:off x="2423541" y="2426867"/>
        <a:ext cx="639316" cy="639316"/>
      </dsp:txXfrm>
    </dsp:sp>
    <dsp:sp modelId="{205CC0FB-33EA-4A6D-8115-0114FAE60810}">
      <dsp:nvSpPr>
        <dsp:cNvPr id="0" name=""/>
        <dsp:cNvSpPr/>
      </dsp:nvSpPr>
      <dsp:spPr>
        <a:xfrm rot="9000000">
          <a:off x="2202155" y="1738721"/>
          <a:ext cx="176282" cy="245923"/>
        </a:xfrm>
        <a:prstGeom prst="rightArrow">
          <a:avLst>
            <a:gd name="adj1" fmla="val 60000"/>
            <a:gd name="adj2" fmla="val 50000"/>
          </a:avLst>
        </a:prstGeom>
        <a:solidFill>
          <a:schemeClr val="accent5">
            <a:hueOff val="-9721720"/>
            <a:satOff val="-661"/>
            <a:lumOff val="156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251497" y="1774685"/>
        <a:ext cx="123397" cy="147553"/>
      </dsp:txXfrm>
    </dsp:sp>
    <dsp:sp modelId="{6EF7B86E-5FD0-4DD2-BB56-F14F3D898B50}">
      <dsp:nvSpPr>
        <dsp:cNvPr id="0" name=""/>
        <dsp:cNvSpPr/>
      </dsp:nvSpPr>
      <dsp:spPr>
        <a:xfrm>
          <a:off x="1298386" y="1721297"/>
          <a:ext cx="904130" cy="904130"/>
        </a:xfrm>
        <a:prstGeom prst="ellipse">
          <a:avLst/>
        </a:prstGeom>
        <a:solidFill>
          <a:schemeClr val="accent5">
            <a:hueOff val="-9721720"/>
            <a:satOff val="-661"/>
            <a:lumOff val="156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Conclusion</a:t>
          </a:r>
        </a:p>
      </dsp:txBody>
      <dsp:txXfrm>
        <a:off x="1430793" y="1853704"/>
        <a:ext cx="639316" cy="639316"/>
      </dsp:txXfrm>
    </dsp:sp>
    <dsp:sp modelId="{A25F259C-0B0D-4A4C-8BFB-9CD5B190CDEE}">
      <dsp:nvSpPr>
        <dsp:cNvPr id="0" name=""/>
        <dsp:cNvSpPr/>
      </dsp:nvSpPr>
      <dsp:spPr>
        <a:xfrm rot="12600000">
          <a:off x="2202155" y="1215754"/>
          <a:ext cx="176282" cy="245923"/>
        </a:xfrm>
        <a:prstGeom prst="rightArrow">
          <a:avLst>
            <a:gd name="adj1" fmla="val 60000"/>
            <a:gd name="adj2" fmla="val 50000"/>
          </a:avLst>
        </a:prstGeom>
        <a:solidFill>
          <a:schemeClr val="accent5">
            <a:hueOff val="-12152150"/>
            <a:satOff val="-826"/>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251497" y="1278160"/>
        <a:ext cx="123397" cy="147553"/>
      </dsp:txXfrm>
    </dsp:sp>
    <dsp:sp modelId="{8E17AEAF-195D-4EF8-AE01-40CBA6B6BEC0}">
      <dsp:nvSpPr>
        <dsp:cNvPr id="0" name=""/>
        <dsp:cNvSpPr/>
      </dsp:nvSpPr>
      <dsp:spPr>
        <a:xfrm>
          <a:off x="1298386" y="574971"/>
          <a:ext cx="904130" cy="904130"/>
        </a:xfrm>
        <a:prstGeom prst="ellipse">
          <a:avLst/>
        </a:prstGeom>
        <a:solidFill>
          <a:schemeClr val="accent5">
            <a:hueOff val="-12152150"/>
            <a:satOff val="-826"/>
            <a:lumOff val="1961"/>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Action Plan</a:t>
          </a:r>
        </a:p>
      </dsp:txBody>
      <dsp:txXfrm>
        <a:off x="1430793" y="707378"/>
        <a:ext cx="639316" cy="639316"/>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7E40F-5CA7-413F-A47B-622886CA98F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NIZAM UD DIN</dc:creator>
  <keywords/>
  <dc:description/>
  <lastModifiedBy>Mazaffar Hussain (2512318)</lastModifiedBy>
  <revision>58</revision>
  <dcterms:created xsi:type="dcterms:W3CDTF">2026-10-11T07:36:00.0000000Z</dcterms:created>
  <dcterms:modified xsi:type="dcterms:W3CDTF">2026-10-14T09:27:28.3671530Z</dcterms:modified>
</coreProperties>
</file>