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3C8B" w:rsidRDefault="00AD0381">
      <w:pPr>
        <w:jc w:val="center"/>
        <w:rPr>
          <w:sz w:val="36"/>
          <w:szCs w:val="36"/>
        </w:rPr>
      </w:pPr>
      <w:r>
        <w:rPr>
          <w:noProof/>
          <w:sz w:val="32"/>
          <w:szCs w:val="32"/>
          <w:lang w:val="en-US" w:eastAsia="en-US"/>
        </w:rPr>
        <w:drawing>
          <wp:inline distT="0" distB="0" distL="0" distR="0">
            <wp:extent cx="2865120" cy="1592580"/>
            <wp:effectExtent l="0" t="0" r="0" b="0"/>
            <wp:docPr id="1082895983" name="image1.png" descr="A picture containing text, font, logo, graphic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picture containing text, font, logo, graphics&#10;&#10;Description automatically generated"/>
                    <pic:cNvPicPr preferRelativeResize="0"/>
                  </pic:nvPicPr>
                  <pic:blipFill>
                    <a:blip r:embed="rId8"/>
                    <a:srcRect/>
                    <a:stretch>
                      <a:fillRect/>
                    </a:stretch>
                  </pic:blipFill>
                  <pic:spPr>
                    <a:xfrm>
                      <a:off x="0" y="0"/>
                      <a:ext cx="2865120" cy="1592580"/>
                    </a:xfrm>
                    <a:prstGeom prst="rect">
                      <a:avLst/>
                    </a:prstGeom>
                    <a:ln/>
                  </pic:spPr>
                </pic:pic>
              </a:graphicData>
            </a:graphic>
          </wp:inline>
        </w:drawing>
      </w:r>
    </w:p>
    <w:p w:rsidR="00DD472F" w:rsidRDefault="00DD472F" w:rsidP="00DD472F">
      <w:pPr>
        <w:shd w:val="clear" w:color="auto" w:fill="FFFFFF"/>
        <w:ind w:left="2160" w:firstLine="720"/>
        <w:rPr>
          <w:rFonts w:eastAsia="Times New Roman"/>
          <w:b/>
          <w:sz w:val="36"/>
          <w:szCs w:val="36"/>
        </w:rPr>
      </w:pPr>
    </w:p>
    <w:p w:rsidR="00DD472F" w:rsidRPr="00A83A9D" w:rsidRDefault="00DD472F" w:rsidP="00DD472F">
      <w:pPr>
        <w:shd w:val="clear" w:color="auto" w:fill="FFFFFF"/>
        <w:ind w:left="2160" w:firstLine="720"/>
        <w:rPr>
          <w:rFonts w:eastAsia="Times New Roman"/>
          <w:b/>
          <w:sz w:val="36"/>
          <w:szCs w:val="36"/>
        </w:rPr>
      </w:pPr>
      <w:r w:rsidRPr="00A83A9D">
        <w:rPr>
          <w:rFonts w:eastAsia="Times New Roman"/>
          <w:b/>
          <w:sz w:val="36"/>
          <w:szCs w:val="36"/>
        </w:rPr>
        <w:t>Destination Management</w:t>
      </w:r>
    </w:p>
    <w:p w:rsidR="00DD472F" w:rsidRDefault="00DD472F" w:rsidP="00DD472F">
      <w:pPr>
        <w:shd w:val="clear" w:color="auto" w:fill="FFFFFF"/>
        <w:rPr>
          <w:rFonts w:eastAsia="Times New Roman"/>
          <w:sz w:val="32"/>
          <w:szCs w:val="32"/>
        </w:rPr>
      </w:pPr>
    </w:p>
    <w:p w:rsidR="00DD472F" w:rsidRPr="00BB4FF4" w:rsidRDefault="00DD472F" w:rsidP="00DD472F">
      <w:pPr>
        <w:shd w:val="clear" w:color="auto" w:fill="FFFFFF"/>
        <w:rPr>
          <w:sz w:val="32"/>
          <w:szCs w:val="32"/>
        </w:rPr>
      </w:pPr>
    </w:p>
    <w:p w:rsidR="00DD472F" w:rsidRPr="00A83A9D" w:rsidRDefault="00DD472F" w:rsidP="00DD472F">
      <w:pPr>
        <w:shd w:val="clear" w:color="auto" w:fill="FFFFFF"/>
        <w:jc w:val="center"/>
        <w:rPr>
          <w:rFonts w:eastAsia="Times New Roman"/>
          <w:b/>
          <w:sz w:val="32"/>
          <w:szCs w:val="32"/>
        </w:rPr>
      </w:pPr>
      <w:r>
        <w:rPr>
          <w:rFonts w:eastAsia="Times New Roman"/>
          <w:b/>
          <w:sz w:val="32"/>
          <w:szCs w:val="32"/>
        </w:rPr>
        <w:t>S</w:t>
      </w:r>
      <w:r w:rsidRPr="00A83A9D">
        <w:rPr>
          <w:rFonts w:eastAsia="Times New Roman"/>
          <w:b/>
          <w:sz w:val="32"/>
          <w:szCs w:val="32"/>
        </w:rPr>
        <w:t>tudent name:  Syed Mohammad Nurer Nabi Bhuyan</w:t>
      </w:r>
    </w:p>
    <w:p w:rsidR="00DD472F" w:rsidRPr="00A83A9D" w:rsidRDefault="00DD472F" w:rsidP="00DD472F">
      <w:pPr>
        <w:shd w:val="clear" w:color="auto" w:fill="FFFFFF"/>
        <w:jc w:val="center"/>
        <w:rPr>
          <w:rFonts w:eastAsia="Times New Roman"/>
          <w:b/>
          <w:sz w:val="32"/>
          <w:szCs w:val="32"/>
        </w:rPr>
      </w:pPr>
      <w:r w:rsidRPr="00A83A9D">
        <w:rPr>
          <w:rFonts w:eastAsia="Times New Roman"/>
          <w:b/>
          <w:sz w:val="32"/>
          <w:szCs w:val="32"/>
        </w:rPr>
        <w:t>Student ID number: 2109792</w:t>
      </w:r>
    </w:p>
    <w:p w:rsidR="00DD472F" w:rsidRPr="00A83A9D" w:rsidRDefault="00DD472F" w:rsidP="00DD472F">
      <w:pPr>
        <w:shd w:val="clear" w:color="auto" w:fill="FFFFFF"/>
        <w:ind w:left="1440" w:firstLine="720"/>
        <w:rPr>
          <w:rFonts w:eastAsia="Times New Roman"/>
          <w:b/>
          <w:sz w:val="32"/>
          <w:szCs w:val="32"/>
        </w:rPr>
      </w:pPr>
      <w:r w:rsidRPr="00A83A9D">
        <w:rPr>
          <w:rFonts w:eastAsia="Times New Roman"/>
          <w:b/>
          <w:sz w:val="32"/>
          <w:szCs w:val="32"/>
        </w:rPr>
        <w:t>Module code: BMIH 5006</w:t>
      </w:r>
    </w:p>
    <w:p w:rsidR="00DD472F" w:rsidRPr="00BB4FF4" w:rsidRDefault="00DD472F" w:rsidP="00DD472F">
      <w:pPr>
        <w:shd w:val="clear" w:color="auto" w:fill="FFFFFF"/>
        <w:ind w:left="1440" w:firstLine="720"/>
        <w:rPr>
          <w:rFonts w:eastAsia="Times New Roman"/>
          <w:sz w:val="32"/>
          <w:szCs w:val="32"/>
        </w:rPr>
      </w:pPr>
      <w:r w:rsidRPr="00A83A9D">
        <w:rPr>
          <w:rFonts w:eastAsia="Times New Roman"/>
          <w:b/>
          <w:sz w:val="32"/>
          <w:szCs w:val="32"/>
        </w:rPr>
        <w:t>Lecturer: Ruth Taylor-Davies</w:t>
      </w:r>
    </w:p>
    <w:p w:rsidR="00E83C8B" w:rsidRDefault="00E83C8B">
      <w:pPr>
        <w:shd w:val="clear" w:color="auto" w:fill="FFFFFF"/>
        <w:rPr>
          <w:sz w:val="32"/>
          <w:szCs w:val="32"/>
        </w:rPr>
      </w:pPr>
    </w:p>
    <w:p w:rsidR="00E83C8B" w:rsidRDefault="00E83C8B" w:rsidP="00DD472F">
      <w:pPr>
        <w:shd w:val="clear" w:color="auto" w:fill="FFFFFF"/>
        <w:rPr>
          <w:sz w:val="32"/>
          <w:szCs w:val="32"/>
        </w:rPr>
      </w:pPr>
    </w:p>
    <w:p w:rsidR="00E83C8B" w:rsidRDefault="00E83C8B">
      <w:pPr>
        <w:shd w:val="clear" w:color="auto" w:fill="FFFFFF"/>
        <w:jc w:val="center"/>
        <w:rPr>
          <w:sz w:val="32"/>
          <w:szCs w:val="32"/>
        </w:rPr>
      </w:pPr>
    </w:p>
    <w:p w:rsidR="00E83C8B" w:rsidRDefault="00E83C8B">
      <w:pPr>
        <w:jc w:val="center"/>
      </w:pPr>
    </w:p>
    <w:p w:rsidR="00E83C8B" w:rsidRDefault="00AD0381">
      <w:pPr>
        <w:jc w:val="center"/>
      </w:pPr>
      <w:r>
        <w:br w:type="page"/>
      </w:r>
    </w:p>
    <w:p w:rsidR="00E83C8B" w:rsidRDefault="00AD0381">
      <w:pPr>
        <w:keepNext/>
        <w:keepLines/>
        <w:pBdr>
          <w:top w:val="nil"/>
          <w:left w:val="nil"/>
          <w:bottom w:val="nil"/>
          <w:right w:val="nil"/>
          <w:between w:val="nil"/>
        </w:pBdr>
        <w:spacing w:before="240"/>
        <w:jc w:val="left"/>
        <w:rPr>
          <w:rFonts w:ascii="Calibri" w:eastAsia="Calibri" w:hAnsi="Calibri" w:cs="Calibri"/>
          <w:color w:val="366091"/>
          <w:sz w:val="32"/>
          <w:szCs w:val="32"/>
        </w:rPr>
      </w:pPr>
      <w:bookmarkStart w:id="0" w:name="_heading=h.gjdgxs" w:colFirst="0" w:colLast="0"/>
      <w:bookmarkEnd w:id="0"/>
      <w:r>
        <w:rPr>
          <w:rFonts w:ascii="Calibri" w:eastAsia="Calibri" w:hAnsi="Calibri" w:cs="Calibri"/>
          <w:color w:val="366091"/>
          <w:sz w:val="32"/>
          <w:szCs w:val="32"/>
        </w:rPr>
        <w:lastRenderedPageBreak/>
        <w:t>Table of Contents</w:t>
      </w:r>
    </w:p>
    <w:sdt>
      <w:sdtPr>
        <w:id w:val="688645852"/>
        <w:docPartObj>
          <w:docPartGallery w:val="Table of Contents"/>
          <w:docPartUnique/>
        </w:docPartObj>
      </w:sdtPr>
      <w:sdtContent>
        <w:p w:rsidR="00E83C8B" w:rsidRDefault="00DE58C4">
          <w:pPr>
            <w:pBdr>
              <w:top w:val="nil"/>
              <w:left w:val="nil"/>
              <w:bottom w:val="nil"/>
              <w:right w:val="nil"/>
              <w:between w:val="nil"/>
            </w:pBdr>
            <w:tabs>
              <w:tab w:val="left" w:pos="4299"/>
              <w:tab w:val="right" w:leader="dot" w:pos="9350"/>
            </w:tabs>
            <w:spacing w:after="100"/>
            <w:rPr>
              <w:color w:val="000000"/>
            </w:rPr>
          </w:pPr>
          <w:r>
            <w:fldChar w:fldCharType="begin"/>
          </w:r>
          <w:r w:rsidR="00AD0381">
            <w:instrText xml:space="preserve"> TOC \h \u \z \t "Heading 1,1,Heading 2,2,Heading 3,3,"</w:instrText>
          </w:r>
          <w:r>
            <w:fldChar w:fldCharType="separate"/>
          </w:r>
        </w:p>
        <w:p w:rsidR="00E83C8B" w:rsidRDefault="00DE58C4">
          <w:pPr>
            <w:pBdr>
              <w:top w:val="nil"/>
              <w:left w:val="nil"/>
              <w:bottom w:val="nil"/>
              <w:right w:val="nil"/>
              <w:between w:val="nil"/>
            </w:pBdr>
            <w:tabs>
              <w:tab w:val="right" w:leader="dot" w:pos="9350"/>
            </w:tabs>
            <w:spacing w:after="100"/>
            <w:rPr>
              <w:color w:val="000000"/>
            </w:rPr>
          </w:pPr>
          <w:hyperlink w:anchor="_heading=h.30j0zll">
            <w:r w:rsidR="00AD0381">
              <w:rPr>
                <w:color w:val="000000"/>
              </w:rPr>
              <w:t>Introduction</w:t>
            </w:r>
            <w:r w:rsidR="00AD0381">
              <w:rPr>
                <w:color w:val="000000"/>
              </w:rPr>
              <w:tab/>
              <w:t>3</w:t>
            </w:r>
          </w:hyperlink>
        </w:p>
        <w:p w:rsidR="00E83C8B" w:rsidRDefault="00DE58C4">
          <w:pPr>
            <w:pBdr>
              <w:top w:val="nil"/>
              <w:left w:val="nil"/>
              <w:bottom w:val="nil"/>
              <w:right w:val="nil"/>
              <w:between w:val="nil"/>
            </w:pBdr>
            <w:tabs>
              <w:tab w:val="right" w:leader="dot" w:pos="9350"/>
            </w:tabs>
            <w:spacing w:after="100"/>
            <w:rPr>
              <w:color w:val="000000"/>
            </w:rPr>
          </w:pPr>
          <w:hyperlink w:anchor="_heading=h.3znysh7">
            <w:r w:rsidR="00AD0381">
              <w:rPr>
                <w:color w:val="000000"/>
              </w:rPr>
              <w:t>Overview of Sustainable Tourism Principles</w:t>
            </w:r>
            <w:r w:rsidR="00AD0381">
              <w:rPr>
                <w:color w:val="000000"/>
              </w:rPr>
              <w:tab/>
              <w:t>4</w:t>
            </w:r>
          </w:hyperlink>
        </w:p>
        <w:p w:rsidR="00E83C8B" w:rsidRDefault="00DE58C4">
          <w:pPr>
            <w:pBdr>
              <w:top w:val="nil"/>
              <w:left w:val="nil"/>
              <w:bottom w:val="nil"/>
              <w:right w:val="nil"/>
              <w:between w:val="nil"/>
            </w:pBdr>
            <w:tabs>
              <w:tab w:val="right" w:leader="dot" w:pos="9350"/>
            </w:tabs>
            <w:spacing w:after="100"/>
            <w:ind w:left="240"/>
            <w:rPr>
              <w:color w:val="000000"/>
            </w:rPr>
          </w:pPr>
          <w:hyperlink w:anchor="_heading=h.2et92p0">
            <w:r w:rsidR="00AD0381">
              <w:rPr>
                <w:color w:val="000000"/>
              </w:rPr>
              <w:t>Economic Pillar of Sustainable Tourism</w:t>
            </w:r>
            <w:r w:rsidR="00AD0381">
              <w:rPr>
                <w:color w:val="000000"/>
              </w:rPr>
              <w:tab/>
              <w:t>4</w:t>
            </w:r>
          </w:hyperlink>
        </w:p>
        <w:p w:rsidR="00E83C8B" w:rsidRDefault="00DE58C4">
          <w:pPr>
            <w:pBdr>
              <w:top w:val="nil"/>
              <w:left w:val="nil"/>
              <w:bottom w:val="nil"/>
              <w:right w:val="nil"/>
              <w:between w:val="nil"/>
            </w:pBdr>
            <w:tabs>
              <w:tab w:val="right" w:leader="dot" w:pos="9350"/>
            </w:tabs>
            <w:spacing w:after="100"/>
            <w:ind w:left="240"/>
            <w:rPr>
              <w:color w:val="000000"/>
            </w:rPr>
          </w:pPr>
          <w:hyperlink w:anchor="_heading=h.tyjcwt">
            <w:r w:rsidR="00AD0381">
              <w:rPr>
                <w:color w:val="000000"/>
              </w:rPr>
              <w:t>Socio-Cultural Pillar of Sustainable Tourism</w:t>
            </w:r>
            <w:r w:rsidR="00AD0381">
              <w:rPr>
                <w:color w:val="000000"/>
              </w:rPr>
              <w:tab/>
              <w:t>5</w:t>
            </w:r>
          </w:hyperlink>
        </w:p>
        <w:p w:rsidR="00E83C8B" w:rsidRDefault="00DE58C4">
          <w:pPr>
            <w:pBdr>
              <w:top w:val="nil"/>
              <w:left w:val="nil"/>
              <w:bottom w:val="nil"/>
              <w:right w:val="nil"/>
              <w:between w:val="nil"/>
            </w:pBdr>
            <w:tabs>
              <w:tab w:val="right" w:leader="dot" w:pos="9350"/>
            </w:tabs>
            <w:spacing w:after="100"/>
            <w:ind w:left="240"/>
            <w:rPr>
              <w:color w:val="000000"/>
            </w:rPr>
          </w:pPr>
          <w:hyperlink w:anchor="_heading=h.3dy6vkm">
            <w:r w:rsidR="00AD0381">
              <w:rPr>
                <w:color w:val="000000"/>
              </w:rPr>
              <w:t>Environmental Pillar of Sustainable Tourism</w:t>
            </w:r>
            <w:r w:rsidR="00AD0381">
              <w:rPr>
                <w:color w:val="000000"/>
              </w:rPr>
              <w:tab/>
              <w:t>5</w:t>
            </w:r>
          </w:hyperlink>
        </w:p>
        <w:p w:rsidR="00E83C8B" w:rsidRDefault="00DE58C4">
          <w:pPr>
            <w:pBdr>
              <w:top w:val="nil"/>
              <w:left w:val="nil"/>
              <w:bottom w:val="nil"/>
              <w:right w:val="nil"/>
              <w:between w:val="nil"/>
            </w:pBdr>
            <w:tabs>
              <w:tab w:val="right" w:leader="dot" w:pos="9350"/>
            </w:tabs>
            <w:spacing w:after="100"/>
            <w:rPr>
              <w:color w:val="000000"/>
            </w:rPr>
          </w:pPr>
          <w:hyperlink w:anchor="_heading=h.1t3h5sf">
            <w:r w:rsidR="00AD0381">
              <w:rPr>
                <w:color w:val="000000"/>
              </w:rPr>
              <w:t>Evaluation and Analysis of Sustainable Practises in Lake District National Park</w:t>
            </w:r>
            <w:r w:rsidR="00AD0381">
              <w:rPr>
                <w:color w:val="000000"/>
              </w:rPr>
              <w:tab/>
              <w:t>7</w:t>
            </w:r>
          </w:hyperlink>
        </w:p>
        <w:p w:rsidR="00E83C8B" w:rsidRDefault="00DE58C4">
          <w:pPr>
            <w:pBdr>
              <w:top w:val="nil"/>
              <w:left w:val="nil"/>
              <w:bottom w:val="nil"/>
              <w:right w:val="nil"/>
              <w:between w:val="nil"/>
            </w:pBdr>
            <w:tabs>
              <w:tab w:val="right" w:leader="dot" w:pos="9350"/>
            </w:tabs>
            <w:spacing w:after="100"/>
            <w:rPr>
              <w:color w:val="000000"/>
            </w:rPr>
          </w:pPr>
          <w:hyperlink w:anchor="_heading=h.4d34og8">
            <w:r w:rsidR="00AD0381">
              <w:rPr>
                <w:color w:val="000000"/>
              </w:rPr>
              <w:t>Application of Butler's Life Cycle Model and Doxey's Irridex Model</w:t>
            </w:r>
            <w:r w:rsidR="00AD0381">
              <w:rPr>
                <w:color w:val="000000"/>
              </w:rPr>
              <w:tab/>
              <w:t>8</w:t>
            </w:r>
          </w:hyperlink>
        </w:p>
        <w:p w:rsidR="00E83C8B" w:rsidRDefault="00DE58C4">
          <w:pPr>
            <w:pBdr>
              <w:top w:val="nil"/>
              <w:left w:val="nil"/>
              <w:bottom w:val="nil"/>
              <w:right w:val="nil"/>
              <w:between w:val="nil"/>
            </w:pBdr>
            <w:tabs>
              <w:tab w:val="right" w:leader="dot" w:pos="9350"/>
            </w:tabs>
            <w:spacing w:after="100"/>
            <w:ind w:left="480"/>
            <w:rPr>
              <w:color w:val="000000"/>
            </w:rPr>
          </w:pPr>
          <w:hyperlink w:anchor="_heading=h.2s8eyo1">
            <w:r w:rsidR="00AD0381">
              <w:rPr>
                <w:color w:val="000000"/>
              </w:rPr>
              <w:t>Figure 1: Butler's Life Cycle Model</w:t>
            </w:r>
            <w:r w:rsidR="00AD0381">
              <w:rPr>
                <w:color w:val="000000"/>
              </w:rPr>
              <w:tab/>
              <w:t>8</w:t>
            </w:r>
          </w:hyperlink>
        </w:p>
        <w:p w:rsidR="00E83C8B" w:rsidRDefault="00DE58C4">
          <w:pPr>
            <w:pBdr>
              <w:top w:val="nil"/>
              <w:left w:val="nil"/>
              <w:bottom w:val="nil"/>
              <w:right w:val="nil"/>
              <w:between w:val="nil"/>
            </w:pBdr>
            <w:tabs>
              <w:tab w:val="right" w:leader="dot" w:pos="9350"/>
            </w:tabs>
            <w:spacing w:after="100"/>
            <w:ind w:left="480"/>
            <w:rPr>
              <w:color w:val="000000"/>
            </w:rPr>
          </w:pPr>
          <w:hyperlink w:anchor="_heading=h.17dp8vu">
            <w:r w:rsidR="00AD0381">
              <w:rPr>
                <w:color w:val="000000"/>
              </w:rPr>
              <w:t>Figure2: Doxey's Irridex Model</w:t>
            </w:r>
            <w:r w:rsidR="00AD0381">
              <w:rPr>
                <w:color w:val="000000"/>
              </w:rPr>
              <w:tab/>
              <w:t>9</w:t>
            </w:r>
          </w:hyperlink>
        </w:p>
        <w:p w:rsidR="00E83C8B" w:rsidRDefault="00DE58C4">
          <w:pPr>
            <w:pBdr>
              <w:top w:val="nil"/>
              <w:left w:val="nil"/>
              <w:bottom w:val="nil"/>
              <w:right w:val="nil"/>
              <w:between w:val="nil"/>
            </w:pBdr>
            <w:tabs>
              <w:tab w:val="right" w:leader="dot" w:pos="9350"/>
            </w:tabs>
            <w:spacing w:after="100"/>
            <w:rPr>
              <w:color w:val="000000"/>
            </w:rPr>
          </w:pPr>
          <w:hyperlink w:anchor="_heading=h.3rdcrjn">
            <w:r w:rsidR="00AD0381">
              <w:rPr>
                <w:color w:val="000000"/>
              </w:rPr>
              <w:t>Recommendations</w:t>
            </w:r>
            <w:r w:rsidR="00AD0381">
              <w:rPr>
                <w:color w:val="000000"/>
              </w:rPr>
              <w:tab/>
              <w:t>10</w:t>
            </w:r>
          </w:hyperlink>
        </w:p>
        <w:p w:rsidR="00E83C8B" w:rsidRDefault="00DE58C4">
          <w:pPr>
            <w:pBdr>
              <w:top w:val="nil"/>
              <w:left w:val="nil"/>
              <w:bottom w:val="nil"/>
              <w:right w:val="nil"/>
              <w:between w:val="nil"/>
            </w:pBdr>
            <w:tabs>
              <w:tab w:val="right" w:leader="dot" w:pos="9350"/>
            </w:tabs>
            <w:spacing w:after="100"/>
            <w:rPr>
              <w:color w:val="000000"/>
            </w:rPr>
          </w:pPr>
          <w:hyperlink w:anchor="_heading=h.lnxbz9">
            <w:r w:rsidR="00AD0381">
              <w:rPr>
                <w:color w:val="000000"/>
              </w:rPr>
              <w:t>Conclusion</w:t>
            </w:r>
            <w:r w:rsidR="00AD0381">
              <w:rPr>
                <w:color w:val="000000"/>
              </w:rPr>
              <w:tab/>
              <w:t>11</w:t>
            </w:r>
          </w:hyperlink>
        </w:p>
        <w:p w:rsidR="00E83C8B" w:rsidRDefault="00DE58C4">
          <w:pPr>
            <w:pBdr>
              <w:top w:val="nil"/>
              <w:left w:val="nil"/>
              <w:bottom w:val="nil"/>
              <w:right w:val="nil"/>
              <w:between w:val="nil"/>
            </w:pBdr>
            <w:tabs>
              <w:tab w:val="right" w:leader="dot" w:pos="9350"/>
            </w:tabs>
            <w:spacing w:after="100"/>
            <w:rPr>
              <w:color w:val="000000"/>
            </w:rPr>
          </w:pPr>
          <w:hyperlink w:anchor="_heading=h.35nkun2">
            <w:r w:rsidR="00AD0381">
              <w:rPr>
                <w:color w:val="000000"/>
              </w:rPr>
              <w:t>References</w:t>
            </w:r>
            <w:r w:rsidR="00AD0381">
              <w:rPr>
                <w:color w:val="000000"/>
              </w:rPr>
              <w:tab/>
              <w:t>12</w:t>
            </w:r>
          </w:hyperlink>
        </w:p>
        <w:p w:rsidR="00E83C8B" w:rsidRDefault="00DE58C4">
          <w:pPr>
            <w:rPr>
              <w:b/>
            </w:rPr>
          </w:pPr>
          <w:r>
            <w:fldChar w:fldCharType="end"/>
          </w:r>
        </w:p>
      </w:sdtContent>
    </w:sdt>
    <w:p w:rsidR="00E83C8B" w:rsidRDefault="00AD0381">
      <w:r>
        <w:br w:type="page"/>
      </w:r>
    </w:p>
    <w:p w:rsidR="00E83C8B" w:rsidRDefault="00AD0381">
      <w:pPr>
        <w:pStyle w:val="Heading1"/>
      </w:pPr>
      <w:bookmarkStart w:id="1" w:name="_heading=h.30j0zll" w:colFirst="0" w:colLast="0"/>
      <w:bookmarkEnd w:id="1"/>
      <w:r>
        <w:lastRenderedPageBreak/>
        <w:t>Introduction</w:t>
      </w:r>
    </w:p>
    <w:p w:rsidR="00E83C8B" w:rsidRDefault="00AD0381">
      <w:r>
        <w:t>Prominent and frequently visited tourist destination, the Lake District National Park of northwest England is a UNESCO world heritage site. This is famous for the lake view, stunning landscape, picturesque places, forest, diversity of animals, mountains, and connection with various poets namely, William Wordsworth, Beatrix and others. In order to protect this destination, sustainable development is practised in this region with significant infrastructure planning, and regulations for visitors about exploring and sightseeing with the vision of making the landscape more endurable, reserving the cultural and natural heritage (Coghlan, 2019). This destination is delivering various essential services the visitors and involves local communities in tourism development activities for ensuring sustainable development. In this report, the practice and presence of a sustainable development management plan in the Lake District National Park are highlighted within a case study by analysing the economic, socio-cultural and environmental sustainability practices and preserving steps for the natural and heritage of the destination. Lastly, some recommendation has been mentioned for ensuring long-term sustainability in the Lake District National Park.</w:t>
      </w:r>
    </w:p>
    <w:p w:rsidR="00E83C8B" w:rsidRDefault="00AD0381">
      <w:bookmarkStart w:id="2" w:name="_heading=h.1fob9te" w:colFirst="0" w:colLast="0"/>
      <w:bookmarkEnd w:id="2"/>
      <w:r>
        <w:br w:type="page"/>
      </w:r>
    </w:p>
    <w:p w:rsidR="00E83C8B" w:rsidRDefault="00AD0381">
      <w:pPr>
        <w:pStyle w:val="Heading1"/>
      </w:pPr>
      <w:bookmarkStart w:id="3" w:name="_heading=h.3znysh7" w:colFirst="0" w:colLast="0"/>
      <w:bookmarkEnd w:id="3"/>
      <w:r>
        <w:lastRenderedPageBreak/>
        <w:t xml:space="preserve">Overview of Sustainable Tourism Principles </w:t>
      </w:r>
    </w:p>
    <w:p w:rsidR="00E83C8B" w:rsidRDefault="00AD0381">
      <w:r>
        <w:t>Sustainable development includes its basic pillars which are the economic, cultural and environmental factors. In the Lake District National Park, these pillars control the sustainability of the destination.</w:t>
      </w:r>
    </w:p>
    <w:p w:rsidR="00E83C8B" w:rsidRDefault="00E83C8B"/>
    <w:p w:rsidR="00E83C8B" w:rsidRDefault="00AD0381">
      <w:pPr>
        <w:pStyle w:val="Heading2"/>
      </w:pPr>
      <w:bookmarkStart w:id="4" w:name="_heading=h.2et92p0" w:colFirst="0" w:colLast="0"/>
      <w:bookmarkEnd w:id="4"/>
      <w:r>
        <w:t>Economic Pillar of Sustainable Tourism</w:t>
      </w:r>
    </w:p>
    <w:p w:rsidR="00E83C8B" w:rsidRDefault="00AD0381">
      <w:r>
        <w:t xml:space="preserve">The contribution of economic activities to sustainability includes the economic pillars of development. The influence of economic killer is positive as it created different opportunities for the host community resulting in economic development in the long term. It created tourism revenue (Perna et al., 2019), provides job or employment opportunities for the local inhabitants, increases the income of local people, and creates business opportunities for entrepreneurs. </w:t>
      </w:r>
    </w:p>
    <w:p w:rsidR="00E83C8B" w:rsidRDefault="00AD0381">
      <w:r>
        <w:t>In the Lake District tourism destination, economic factors directly influence the sustainability of the destination. A case study shows that the authority controls the development of the national park by utilising limited resources. It delivers diversified offerings such as creating opportunities for developing niche markets, adventure and culinary tourism that is providing more economic benefits. It creates revenues from the spending of the tourist on food, accommodation, transportation, and recreation. Due to the use of local products in this area, collaboration with local suppliers will ensure the economic well-being of locals Diaz-Chavez, 2012). The skill development training and employment opportunities for the host community are increasing their incomes. Promotion of local products helps to hope tourism revenue within the region. But some negative impacts occur such as, the living cost of the area has been increased. People from outside are buying second homes for holiday stays which is 15% of the accommodations around the area that have increased the prices of the lands and the local people losing ownership of their own property. The loss of revenue to the other country due to economic leakage. But these issues can be solved by taking the necessary initiatives.</w:t>
      </w:r>
    </w:p>
    <w:p w:rsidR="00E83C8B" w:rsidRDefault="00E83C8B"/>
    <w:p w:rsidR="00E83C8B" w:rsidRDefault="00AD0381">
      <w:pPr>
        <w:pStyle w:val="Heading2"/>
      </w:pPr>
      <w:bookmarkStart w:id="5" w:name="_heading=h.tyjcwt" w:colFirst="0" w:colLast="0"/>
      <w:bookmarkEnd w:id="5"/>
      <w:r>
        <w:lastRenderedPageBreak/>
        <w:t>Socio-Cultural Pillar of Sustainable Tourism</w:t>
      </w:r>
    </w:p>
    <w:p w:rsidR="00E83C8B" w:rsidRDefault="00AD0381">
      <w:pPr>
        <w:rPr>
          <w:b/>
        </w:rPr>
      </w:pPr>
      <w:r>
        <w:t xml:space="preserve">This pillar concentrates on preserving and enhancing the social and cultural factors related to tourism activities. Tourism activities in a certain area affect the local culture, and traditions of the community. There is the opportunity of developing local culture by getting in touch with various cultures (Hubner, 2022). Heritage tourism involves the tourist in knowing the culture, and rituals of the host community. This pillar emphasises the necessity of preserving local heritages, respect to the local communities' beliefs, and encouraging cultural exchanges between visitors and the host community. </w:t>
      </w:r>
    </w:p>
    <w:p w:rsidR="00E83C8B" w:rsidRDefault="00AD0381">
      <w:r>
        <w:t xml:space="preserve">In the Lake District National Park, socio-cultural sustainability is practised to preserve social values and cultural heritages. It engages the community of local people in tourism activities and visitors. Historical sites in the lake district are preserved for ensuring the long-term existence of heritages. It preserves the historical sites and time-honoured rule of the host community. It conserves the authenticity of the cultural practices so that the tradition doesn't get mixed with other cultures and lose its uniqueness. The social factor such as the norms, values, (Saarinen, 2020) well-being of the community, and changes in the lifestyle gets influenced by the visitors. The socio-cultural pillar controls these factors to improve the positioning outcomes from local and visitor interactions. Some case studies show that this type of interaction is bringing cultural exchange. Transportation has been developed with the growing investment in the transportation system. But 90% of the tourists use the car to travel to the Lake District which causes heavy traffic in the destination. The higher affordability of the visitors influences the lifestyle of the local community in a negative way.  </w:t>
      </w:r>
    </w:p>
    <w:p w:rsidR="00E83C8B" w:rsidRDefault="00E83C8B"/>
    <w:p w:rsidR="00E83C8B" w:rsidRDefault="00AD0381">
      <w:pPr>
        <w:pStyle w:val="Heading2"/>
      </w:pPr>
      <w:bookmarkStart w:id="6" w:name="_heading=h.3dy6vkm" w:colFirst="0" w:colLast="0"/>
      <w:bookmarkEnd w:id="6"/>
      <w:r>
        <w:t>Environmental Pillar of Sustainable Tourism</w:t>
      </w:r>
    </w:p>
    <w:p w:rsidR="00E83C8B" w:rsidRDefault="00AD0381">
      <w:r>
        <w:t>This pillar regulates the impact of tourism activities on the environment of the region. Environmental sustainability ensures the preservation of natural assets along with biodiversity, ecosystem (Eckert &amp;Pechlaner, 2019), and landscape while preventing pollution.</w:t>
      </w:r>
    </w:p>
    <w:p w:rsidR="00E83C8B" w:rsidRDefault="00AD0381">
      <w:r>
        <w:t xml:space="preserve">The Lake District National Park is a nature-based tourism destination with picturesque lake views, woodland, and a diversity of different animals. This destination is home to many creatures, birds, insects and trees (Sonuç, 2020). The preservation of the natural </w:t>
      </w:r>
      <w:r>
        <w:lastRenderedPageBreak/>
        <w:t xml:space="preserve">resources is mandatory for this destination. The environmental sustainability of this area is ensured with different indicators, such as the protection of biodiversity, which makes initiatives to save endangered species of animals and birds. Recreations such as hiking, and boating are environment-friendly outdoor activities of the Lake District. The use of natural resources such as water, power, power, and fuel. The management of waste is required to keep the surface clean (Johnston, 2013). Making tourism activities carbon-free is another major initiative for environmental sustainability. It reduces the emission of carbon from tourism activities to decrease global warming. In the Lake area, the use of cycling and walking access ensures environmental sustainability. Some activities of this destination also decrease environmental sustainability such as increasing littering from the visitors, and fuel from floating boats in the lake may cause pollution and damage environmental sustainability. </w:t>
      </w:r>
    </w:p>
    <w:p w:rsidR="00E83C8B" w:rsidRDefault="00E83C8B"/>
    <w:p w:rsidR="00E83C8B" w:rsidRDefault="00E83C8B"/>
    <w:p w:rsidR="00E83C8B" w:rsidRDefault="00AD0381">
      <w:pPr>
        <w:rPr>
          <w:b/>
        </w:rPr>
      </w:pPr>
      <w:r>
        <w:br w:type="page"/>
      </w:r>
    </w:p>
    <w:p w:rsidR="00E83C8B" w:rsidRDefault="00AD0381">
      <w:pPr>
        <w:pStyle w:val="Heading1"/>
        <w:rPr>
          <w:sz w:val="24"/>
          <w:szCs w:val="24"/>
        </w:rPr>
      </w:pPr>
      <w:bookmarkStart w:id="7" w:name="_heading=h.1t3h5sf" w:colFirst="0" w:colLast="0"/>
      <w:bookmarkEnd w:id="7"/>
      <w:r>
        <w:lastRenderedPageBreak/>
        <w:t>Evaluation and Analysis of Sustainable Practises in Lake District National Park</w:t>
      </w:r>
    </w:p>
    <w:p w:rsidR="00E83C8B" w:rsidRDefault="00AD0381">
      <w:r>
        <w:t>Lake District National Park of northeast England is a natural tourist destination that provides accommodation, transportation, catering, recreation, and entertainment facilities to tourists. These tourism activities impact the social, cultural and environmental factors of the local region and host community. To ensure the sustainability of this destination (Akbar et al., 2019), several initiatives have been taken by the authority in the planning and management of tourism development that may affect both positively and negatively. Some sustainable tourism development in the Lake District is</w:t>
      </w:r>
    </w:p>
    <w:p w:rsidR="00E83C8B" w:rsidRDefault="00AD0381">
      <w:pPr>
        <w:numPr>
          <w:ilvl w:val="0"/>
          <w:numId w:val="1"/>
        </w:numPr>
        <w:rPr>
          <w:b/>
        </w:rPr>
      </w:pPr>
      <w:r>
        <w:rPr>
          <w:b/>
        </w:rPr>
        <w:t xml:space="preserve">Economic Practices and Initiative: </w:t>
      </w:r>
      <w:r>
        <w:t xml:space="preserve">In 2022, as a part of the no-poverty sustainable goal of Lake District has made social rent funding functional for housing schemes in the local area. It has created job opportunities for the people of local communities. According to its planning, it has developed a training program for skill development (Miller &amp; Torres-Delgado, 2023). This destination has a direct contribution to the economic growth of England. It facilitates 'takeover spaces' to encourage and subside young generations towards delivering creative contributions. The zero Hunger goal ensures food availability for the inhabitants of the area. For ensuring responsible consumption and production, customers are being aware and the farmers are to be assisted with advice and countryside schemes between 2021 and 2023. Implementation of these sustainable practices will assure high economic growth in Lake District. </w:t>
      </w:r>
    </w:p>
    <w:p w:rsidR="00E83C8B" w:rsidRDefault="00AD0381">
      <w:pPr>
        <w:numPr>
          <w:ilvl w:val="0"/>
          <w:numId w:val="1"/>
        </w:numPr>
        <w:rPr>
          <w:b/>
        </w:rPr>
      </w:pPr>
      <w:r>
        <w:rPr>
          <w:b/>
        </w:rPr>
        <w:t xml:space="preserve">Socio-Cultural Practices and Initiative: </w:t>
      </w:r>
      <w:r>
        <w:t xml:space="preserve">After Covid-19, for ensuring the good health and well-being of the host and visitors, Lake District has supported multi-agency visitor management by delivering visitor management action plans. Gender equality is to be ensured by installing the Equality Advisory Forum. Sustainable cities and communication goals will protect the cultural heritage of the cities and develop the lifestyle of the community. Inequality of land ownership due to increasing second homes (Farmaki, 2020), the Lobby central government has taken a controlling initiative to be implemented by 2023 and their mortgage </w:t>
      </w:r>
      <w:r>
        <w:lastRenderedPageBreak/>
        <w:t xml:space="preserve">lender decided to be more easygoing about local occupancy controls. These partnership planning and collaboration with governments and other authorities will ensure sustainable tourism development within sociocultural factors. </w:t>
      </w:r>
    </w:p>
    <w:p w:rsidR="00E83C8B" w:rsidRDefault="00AD0381">
      <w:pPr>
        <w:numPr>
          <w:ilvl w:val="0"/>
          <w:numId w:val="1"/>
        </w:numPr>
        <w:rPr>
          <w:b/>
        </w:rPr>
      </w:pPr>
      <w:r>
        <w:rPr>
          <w:b/>
        </w:rPr>
        <w:t xml:space="preserve">Environmental Practises and Initiative: </w:t>
      </w:r>
      <w:r>
        <w:t xml:space="preserve">For increasing low-carbon emitting business, there is a fundraising opportunity provided by the European Structural Investment Fund in the year 2023 (Rodríguez-López et al., 2019). It has great waste management and strategies to control clean water and sanitation of the destination. It has also made a partnership with Cumbria Local Enterprises Partnership for providing clean energy. It also uses Carbon Budget to increase renewable energy production. These initiatives will create a positive impact on the environment of Lake District National Park. </w:t>
      </w:r>
    </w:p>
    <w:p w:rsidR="00E83C8B" w:rsidRDefault="00E83C8B"/>
    <w:p w:rsidR="00E83C8B" w:rsidRDefault="00AD0381">
      <w:pPr>
        <w:pStyle w:val="Heading1"/>
      </w:pPr>
      <w:bookmarkStart w:id="8" w:name="_heading=h.4d34og8" w:colFirst="0" w:colLast="0"/>
      <w:bookmarkEnd w:id="8"/>
      <w:r>
        <w:t>Application of Butler's Life Cycle Model and Doxey'sIrridex Model</w:t>
      </w:r>
    </w:p>
    <w:p w:rsidR="00E83C8B" w:rsidRDefault="00AD0381">
      <w:r>
        <w:t>The evaluation of certain tourism destinations is examined by Butler's life cycle model. This model is broadly used for this evaluation. This model indicated 6 stages of tourism development such as exploration, involvement, development, consolidation, stagnation, decline or rejuvenation (Graci, 2020). Based on the popularity and visitor frequency, the stages are analysed. Analysing the current stage of Lake District National Park would be helpful to find out strategic action towards tourism sustainability.</w:t>
      </w:r>
    </w:p>
    <w:p w:rsidR="00E83C8B" w:rsidRDefault="00AD0381">
      <w:pPr>
        <w:jc w:val="center"/>
        <w:rPr>
          <w:b/>
        </w:rPr>
      </w:pPr>
      <w:r>
        <w:rPr>
          <w:b/>
          <w:noProof/>
          <w:lang w:val="en-US" w:eastAsia="en-US"/>
        </w:rPr>
        <w:drawing>
          <wp:inline distT="114300" distB="114300" distL="114300" distR="114300">
            <wp:extent cx="2278380" cy="2240280"/>
            <wp:effectExtent l="0" t="0" r="0" b="0"/>
            <wp:docPr id="1082895985"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2278380" cy="2240280"/>
                    </a:xfrm>
                    <a:prstGeom prst="rect">
                      <a:avLst/>
                    </a:prstGeom>
                    <a:ln/>
                  </pic:spPr>
                </pic:pic>
              </a:graphicData>
            </a:graphic>
          </wp:inline>
        </w:drawing>
      </w:r>
    </w:p>
    <w:p w:rsidR="00E83C8B" w:rsidRDefault="00AD0381">
      <w:pPr>
        <w:pStyle w:val="Heading3"/>
      </w:pPr>
      <w:bookmarkStart w:id="9" w:name="_heading=h.2s8eyo1" w:colFirst="0" w:colLast="0"/>
      <w:bookmarkEnd w:id="9"/>
      <w:r>
        <w:t xml:space="preserve">Figure 1: Butler's Life Cycle Model </w:t>
      </w:r>
      <w:r>
        <w:rPr>
          <w:sz w:val="24"/>
          <w:szCs w:val="24"/>
        </w:rPr>
        <w:t>(Sahli, 2020)</w:t>
      </w:r>
    </w:p>
    <w:p w:rsidR="00E83C8B" w:rsidRDefault="00E83C8B"/>
    <w:p w:rsidR="00E83C8B" w:rsidRDefault="00AD0381">
      <w:r>
        <w:lastRenderedPageBreak/>
        <w:t>The Lake District region has affirmed itself as a popular tourist destination. Travellers frequently visit the destination. They visit the second home for holiday making. The infrastructure of the destination is well-developed and more development steps are being taken (Nilzam, 2021). So the Lake District National Park is in the consolidation stage of tourism development. More sustainable initiatives would lead the destination to the stagnation stage.</w:t>
      </w:r>
    </w:p>
    <w:p w:rsidR="00E83C8B" w:rsidRDefault="00E83C8B"/>
    <w:p w:rsidR="00E83C8B" w:rsidRDefault="00AD0381">
      <w:pPr>
        <w:jc w:val="center"/>
      </w:pPr>
      <w:r>
        <w:rPr>
          <w:noProof/>
          <w:lang w:val="en-US" w:eastAsia="en-US"/>
        </w:rPr>
        <w:drawing>
          <wp:inline distT="114300" distB="114300" distL="114300" distR="114300">
            <wp:extent cx="2880360" cy="2118360"/>
            <wp:effectExtent l="0" t="0" r="0" b="0"/>
            <wp:docPr id="108289598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880360" cy="2118360"/>
                    </a:xfrm>
                    <a:prstGeom prst="rect">
                      <a:avLst/>
                    </a:prstGeom>
                    <a:ln/>
                  </pic:spPr>
                </pic:pic>
              </a:graphicData>
            </a:graphic>
          </wp:inline>
        </w:drawing>
      </w:r>
    </w:p>
    <w:p w:rsidR="00E83C8B" w:rsidRDefault="00E83C8B"/>
    <w:p w:rsidR="00E83C8B" w:rsidRDefault="00AD0381">
      <w:pPr>
        <w:pStyle w:val="Heading3"/>
        <w:ind w:left="0" w:firstLine="2160"/>
        <w:jc w:val="center"/>
      </w:pPr>
      <w:bookmarkStart w:id="10" w:name="_heading=h.17dp8vu" w:colFirst="0" w:colLast="0"/>
      <w:bookmarkEnd w:id="10"/>
      <w:r>
        <w:t>Figure 2: Doxey'sIrridex Model (Scholtz, 2014)</w:t>
      </w:r>
    </w:p>
    <w:p w:rsidR="00E83C8B" w:rsidRDefault="00E83C8B"/>
    <w:p w:rsidR="00E83C8B" w:rsidRDefault="00AD0381">
      <w:r>
        <w:t xml:space="preserve">Doxey'sIrridex Model is a popular model that is used to evaluate the relationship between the host community and visitors. This model shows four stages of the tourist-host relationship including, euphoria, apathy, annoyance and antagonism. The Lake District National Park is seen as having a mixed relationship between tourists and the host community. Tourist who enjoys natural beauty, and outdoor recreation are in the euphoria stage (Swangjang&amp;Kornpiphat, 2021). Again increasing the crowd of tourists, heavy traffic increases annoyance between tourists and the host community. Keeping these relationships into account, questionable planning would be more accurate for sustainable development.  </w:t>
      </w:r>
    </w:p>
    <w:p w:rsidR="00E83C8B" w:rsidRDefault="00E83C8B"/>
    <w:p w:rsidR="00E83C8B" w:rsidRDefault="00E83C8B">
      <w:pPr>
        <w:pStyle w:val="Heading1"/>
      </w:pPr>
      <w:bookmarkStart w:id="11" w:name="_heading=h.3rdcrjn" w:colFirst="0" w:colLast="0"/>
      <w:bookmarkEnd w:id="11"/>
    </w:p>
    <w:p w:rsidR="00E83C8B" w:rsidRDefault="00AD0381">
      <w:pPr>
        <w:pStyle w:val="Heading1"/>
      </w:pPr>
      <w:r>
        <w:t xml:space="preserve">Recommendations </w:t>
      </w:r>
    </w:p>
    <w:p w:rsidR="00E83C8B" w:rsidRDefault="00AD0381">
      <w:r>
        <w:t>For ensuring sustainable development in the Lake District National Park, some significant initiatives are to be considered while planning strategic development. Supporting local businesses will increase the direct engagement of the local people with tourism development (Ghoochani et al., 2020). The Lake District attorney may source the raw materials from the local suppliers, it will help the locals financially and they will feel more attached to the destination. Besides this, making diversified tourism offerings and making partnerships with local businesses would be helpful to economic development. For the preservation of cultural uniqueness (Higgins-Desbiolles, 2020), regulations need to be imposed on visitors for responsible behaviour. To protect the natural environment, renewable power use need to be increased. Waste management and recycling would help to protect the natural environment.</w:t>
      </w:r>
    </w:p>
    <w:p w:rsidR="00E83C8B" w:rsidRDefault="00E83C8B"/>
    <w:p w:rsidR="00E83C8B" w:rsidRDefault="00AD0381">
      <w:pPr>
        <w:pStyle w:val="Heading1"/>
      </w:pPr>
      <w:bookmarkStart w:id="12" w:name="_heading=h.26in1rg" w:colFirst="0" w:colLast="0"/>
      <w:bookmarkEnd w:id="12"/>
      <w:r>
        <w:br w:type="page"/>
      </w:r>
    </w:p>
    <w:p w:rsidR="00E83C8B" w:rsidRDefault="00AD0381">
      <w:pPr>
        <w:pStyle w:val="Heading1"/>
      </w:pPr>
      <w:bookmarkStart w:id="13" w:name="_heading=h.lnxbz9" w:colFirst="0" w:colLast="0"/>
      <w:bookmarkEnd w:id="13"/>
      <w:r>
        <w:lastRenderedPageBreak/>
        <w:t xml:space="preserve">Conclusion </w:t>
      </w:r>
    </w:p>
    <w:p w:rsidR="00E83C8B" w:rsidRDefault="00AD0381">
      <w:r>
        <w:t>Popular tourism destination, Lake District National Park has made great progress in implementing sustainable development initiatives in their destination development plan. They have more upcoming sustainable tourism goals (Liu, 2003). There are also arising challenges such as overcrowding, environmental damage, and social inequality. By following the recommendations, and implementing the plans strategically, Lake District would be successful in building a more sustainable tourism destination.</w:t>
      </w:r>
    </w:p>
    <w:p w:rsidR="00E83C8B" w:rsidRDefault="00AD0381">
      <w:r>
        <w:br w:type="page"/>
      </w:r>
    </w:p>
    <w:p w:rsidR="00E83C8B" w:rsidRDefault="00AD0381">
      <w:pPr>
        <w:pStyle w:val="Heading1"/>
      </w:pPr>
      <w:bookmarkStart w:id="14" w:name="_heading=h.35nkun2" w:colFirst="0" w:colLast="0"/>
      <w:bookmarkEnd w:id="14"/>
      <w:r>
        <w:lastRenderedPageBreak/>
        <w:t>References</w:t>
      </w:r>
    </w:p>
    <w:p w:rsidR="00E83C8B" w:rsidRDefault="00AD0381" w:rsidP="008B7E90">
      <w:pPr>
        <w:pStyle w:val="ListParagraph"/>
        <w:numPr>
          <w:ilvl w:val="0"/>
          <w:numId w:val="2"/>
        </w:numPr>
        <w:spacing w:before="240" w:after="240"/>
      </w:pPr>
      <w:r>
        <w:t>Akbar, I. et al. (2019) The influence of negative political environment on sustainable tourism: A study of Aksu-Jabagly World Heritage Site, Kazakhstan, MDPI. Available at: https://www.mdpi.com/2071-1050/12/1/143 (Accessed: 14 June 2023).</w:t>
      </w:r>
    </w:p>
    <w:p w:rsidR="00E83C8B" w:rsidRDefault="00AD0381" w:rsidP="008B7E90">
      <w:pPr>
        <w:pStyle w:val="ListParagraph"/>
        <w:numPr>
          <w:ilvl w:val="0"/>
          <w:numId w:val="2"/>
        </w:numPr>
        <w:spacing w:before="240" w:after="240"/>
      </w:pPr>
      <w:r>
        <w:t xml:space="preserve">Coghlan, A. (2019) ‘Operationalising sustainable tourism’, </w:t>
      </w:r>
      <w:r w:rsidRPr="008B7E90">
        <w:rPr>
          <w:i/>
        </w:rPr>
        <w:t>An Introduction to Sustainable Tourism</w:t>
      </w:r>
      <w:r>
        <w:t xml:space="preserve"> [Preprint]. doi:10.23912/9781911396734-4250.</w:t>
      </w:r>
    </w:p>
    <w:p w:rsidR="00E83C8B" w:rsidRDefault="00AD0381" w:rsidP="008B7E90">
      <w:pPr>
        <w:pStyle w:val="ListParagraph"/>
        <w:numPr>
          <w:ilvl w:val="0"/>
          <w:numId w:val="2"/>
        </w:numPr>
        <w:spacing w:before="240" w:after="240"/>
      </w:pPr>
      <w:r>
        <w:t xml:space="preserve">Diaz-Chavez, R.D.-C. (2012) </w:t>
      </w:r>
      <w:r w:rsidRPr="008B7E90">
        <w:rPr>
          <w:i/>
        </w:rPr>
        <w:t>Community-based renewable energy in the Lake District National Park ...</w:t>
      </w:r>
      <w:r>
        <w:t xml:space="preserve">, </w:t>
      </w:r>
      <w:r w:rsidRPr="008B7E90">
        <w:rPr>
          <w:i/>
        </w:rPr>
        <w:t>Taylor online</w:t>
      </w:r>
      <w:r>
        <w:t>. Available at: https://www.tandfonline.com/doi/full/10.1080/13549839.2012.665855 (Accessed: 12 June 2023).</w:t>
      </w:r>
    </w:p>
    <w:p w:rsidR="00E83C8B" w:rsidRDefault="00AD0381" w:rsidP="008B7E90">
      <w:pPr>
        <w:pStyle w:val="ListParagraph"/>
        <w:numPr>
          <w:ilvl w:val="0"/>
          <w:numId w:val="2"/>
        </w:numPr>
        <w:spacing w:before="240" w:after="240"/>
      </w:pPr>
      <w:r>
        <w:t>Eckert, C. and Pechlaner, H. (2019) Alternative product development as strategy towards Sustainability in Tourism: The Case of Lanzarote, MDPI. Available at: https://www.mdpi.com/2071-1050/11/13/3588 (Accessed: 14 June 2023).</w:t>
      </w:r>
    </w:p>
    <w:p w:rsidR="00E83C8B" w:rsidRDefault="00AD0381" w:rsidP="008B7E90">
      <w:pPr>
        <w:pStyle w:val="ListParagraph"/>
        <w:numPr>
          <w:ilvl w:val="0"/>
          <w:numId w:val="2"/>
        </w:numPr>
        <w:spacing w:before="240" w:after="240"/>
      </w:pPr>
      <w:r>
        <w:t xml:space="preserve">Farmaki, A. (2020) ‘Regional Network Governance and Sustainable Tourism’, </w:t>
      </w:r>
      <w:r w:rsidRPr="008B7E90">
        <w:rPr>
          <w:i/>
        </w:rPr>
        <w:t>Tourism and Sustainable Development Goals</w:t>
      </w:r>
      <w:r>
        <w:t>, pp. 192–214. doi:10.1201/9780429324253-12.</w:t>
      </w:r>
    </w:p>
    <w:p w:rsidR="00E83C8B" w:rsidRDefault="00AD0381" w:rsidP="008B7E90">
      <w:pPr>
        <w:pStyle w:val="ListParagraph"/>
        <w:numPr>
          <w:ilvl w:val="0"/>
          <w:numId w:val="2"/>
        </w:numPr>
        <w:spacing w:before="240" w:after="240"/>
      </w:pPr>
      <w:r>
        <w:t>Ghoochani, O.M. et al. (2020) Sustainable Tourism Development Performance in the wetland areas: A proposed composite index, Tourism Review. Available at: https://www.emerald.com/insight/content/doi/10.1108/TR-02-2019-0061/full/html (Accessed: 14 June 2023).</w:t>
      </w:r>
    </w:p>
    <w:p w:rsidR="00E83C8B" w:rsidRDefault="00AD0381" w:rsidP="008B7E90">
      <w:pPr>
        <w:pStyle w:val="ListParagraph"/>
        <w:numPr>
          <w:ilvl w:val="0"/>
          <w:numId w:val="2"/>
        </w:numPr>
        <w:spacing w:before="240" w:after="240"/>
      </w:pPr>
      <w:r>
        <w:t xml:space="preserve">Graci, S. (2020) ‘Collaboration and Partnership Development for Sustainable Tourism’, </w:t>
      </w:r>
      <w:r w:rsidRPr="008B7E90">
        <w:rPr>
          <w:i/>
        </w:rPr>
        <w:t>Tourism and Sustainable Development Goals</w:t>
      </w:r>
      <w:r>
        <w:t>, pp. 232–249. doi:10.1201/9780429324253-14.</w:t>
      </w:r>
    </w:p>
    <w:p w:rsidR="00E83C8B" w:rsidRDefault="00AD0381" w:rsidP="008B7E90">
      <w:pPr>
        <w:pStyle w:val="ListParagraph"/>
        <w:numPr>
          <w:ilvl w:val="0"/>
          <w:numId w:val="2"/>
        </w:numPr>
        <w:spacing w:before="240" w:after="240"/>
      </w:pPr>
      <w:r>
        <w:t xml:space="preserve">Higgins-Desbiolles, F. (2020) ‘The “War over tourism”: Challenges to sustainable tourism in the Tourism Academy after covid-19’, </w:t>
      </w:r>
      <w:r w:rsidRPr="008B7E90">
        <w:rPr>
          <w:i/>
        </w:rPr>
        <w:t>Journal of Sustainable Tourism</w:t>
      </w:r>
      <w:r>
        <w:t>, 29(4), pp. 551–569. doi:10.1080/09669582.2020.1803334.</w:t>
      </w:r>
    </w:p>
    <w:p w:rsidR="00E83C8B" w:rsidRDefault="00AD0381" w:rsidP="008B7E90">
      <w:pPr>
        <w:pStyle w:val="ListParagraph"/>
        <w:numPr>
          <w:ilvl w:val="0"/>
          <w:numId w:val="2"/>
        </w:numPr>
        <w:spacing w:before="240" w:after="240"/>
      </w:pPr>
      <w:r>
        <w:t>Hubner, I.B. (2022) Budapest International Research and Critics Institute-Journal (BIRCI-Journal). Available at: https://www.bircu-journal.com/index.php/birci (Accessed: 14 June 2023).</w:t>
      </w:r>
    </w:p>
    <w:p w:rsidR="00E83C8B" w:rsidRDefault="00AD0381" w:rsidP="008B7E90">
      <w:pPr>
        <w:pStyle w:val="ListParagraph"/>
        <w:numPr>
          <w:ilvl w:val="0"/>
          <w:numId w:val="2"/>
        </w:numPr>
        <w:spacing w:before="240" w:after="240"/>
      </w:pPr>
      <w:r>
        <w:lastRenderedPageBreak/>
        <w:t xml:space="preserve">Johnston, C.S. (2013) ‘Towards a theory of sustainability, Sustainable Development and Sustainable Tourism: Beijing’s Hutong neighbourhoods and Sustainable Tourism’, </w:t>
      </w:r>
      <w:r w:rsidRPr="008B7E90">
        <w:rPr>
          <w:i/>
        </w:rPr>
        <w:t>Journal of Sustainable Tourism</w:t>
      </w:r>
      <w:r>
        <w:t>, 22(2), pp. 195–213. doi:10.1080/09669582.2013.828731.</w:t>
      </w:r>
    </w:p>
    <w:p w:rsidR="00E83C8B" w:rsidRDefault="00AD0381" w:rsidP="008B7E90">
      <w:pPr>
        <w:pStyle w:val="ListParagraph"/>
        <w:numPr>
          <w:ilvl w:val="0"/>
          <w:numId w:val="2"/>
        </w:numPr>
        <w:spacing w:before="240" w:after="240"/>
      </w:pPr>
      <w:r>
        <w:t xml:space="preserve">Liu, Z. (2003) ‘Sustainable tourism development: A Critique’, </w:t>
      </w:r>
      <w:r w:rsidRPr="008B7E90">
        <w:rPr>
          <w:i/>
        </w:rPr>
        <w:t>Journal of Sustainable Tourism</w:t>
      </w:r>
      <w:r>
        <w:t>, 11(6), pp. 459–475. doi:10.1080/09669580308667216.</w:t>
      </w:r>
    </w:p>
    <w:p w:rsidR="00E83C8B" w:rsidRDefault="00AD0381" w:rsidP="008B7E90">
      <w:pPr>
        <w:pStyle w:val="ListParagraph"/>
        <w:numPr>
          <w:ilvl w:val="0"/>
          <w:numId w:val="2"/>
        </w:numPr>
        <w:spacing w:before="240" w:after="240"/>
      </w:pPr>
      <w:r>
        <w:t xml:space="preserve">Miller, G. and Torres-Delgado, A. (2023) ‘Measuring sustainable tourism: A state of the Art Review of Sustainable Tourism Indicators’, </w:t>
      </w:r>
      <w:r w:rsidRPr="008B7E90">
        <w:rPr>
          <w:i/>
        </w:rPr>
        <w:t>Journal of Sustainable Tourism</w:t>
      </w:r>
      <w:r>
        <w:t>, pp. 1–14. doi:10.1080/09669582.2023.2213859.</w:t>
      </w:r>
    </w:p>
    <w:p w:rsidR="00E83C8B" w:rsidRDefault="00AD0381" w:rsidP="008B7E90">
      <w:pPr>
        <w:pStyle w:val="ListParagraph"/>
        <w:numPr>
          <w:ilvl w:val="0"/>
          <w:numId w:val="2"/>
        </w:numPr>
        <w:spacing w:before="240" w:after="240"/>
      </w:pPr>
      <w:r>
        <w:t>Nilzam, M. (2021) Environmental and legal framework for regulating consumer ... - proquest, Proquest. Available at: https://www.proquest.com/openview/c5ee1e91d8f04ce0311b10b085fae9d2/1?pq-origsite=gscholar&amp;amp;cbl=466419 (Accessed: 14 June 2023).</w:t>
      </w:r>
    </w:p>
    <w:p w:rsidR="00E83C8B" w:rsidRDefault="00AD0381" w:rsidP="008B7E90">
      <w:pPr>
        <w:pStyle w:val="ListParagraph"/>
        <w:numPr>
          <w:ilvl w:val="0"/>
          <w:numId w:val="2"/>
        </w:numPr>
        <w:spacing w:before="240" w:after="240"/>
      </w:pPr>
      <w:r>
        <w:t>Perna, F., Custódio, M.J. and Oliveira, V. (2019) Local communities and sport activities expenditures and image: Residents’ role in Sustainable Tourism and Recreation, European Journal of Tourism, Hospitality and Recreation. Available at: https://sciendo.com/article/10.2478/ejthr-2019-0006 (Accessed: 14 June 2023).</w:t>
      </w:r>
    </w:p>
    <w:p w:rsidR="00E83C8B" w:rsidRDefault="00AD0381" w:rsidP="008B7E90">
      <w:pPr>
        <w:pStyle w:val="ListParagraph"/>
        <w:numPr>
          <w:ilvl w:val="0"/>
          <w:numId w:val="2"/>
        </w:numPr>
        <w:spacing w:before="240" w:after="240"/>
      </w:pPr>
      <w:r>
        <w:t>Rodríguez-López, N., Diéguez-Castrillón, M.I. and Gueimonde-Canto, A. (2019) Sustainability and tourism competitiveness in protected areas: State of art and future lines of research, MDPI. Available at: https://www.mdpi.com/2071-1050/11/22/6296 (Accessed: 14 June 2023).</w:t>
      </w:r>
    </w:p>
    <w:p w:rsidR="00E83C8B" w:rsidRDefault="00AD0381" w:rsidP="008B7E90">
      <w:pPr>
        <w:pStyle w:val="ListParagraph"/>
        <w:numPr>
          <w:ilvl w:val="0"/>
          <w:numId w:val="2"/>
        </w:numPr>
        <w:spacing w:before="240" w:after="240"/>
      </w:pPr>
      <w:r>
        <w:t xml:space="preserve">Saarinen, J. (2020) ‘Tourism and Sustainable Development Goals: Research on Sustainable tourism geographies’, </w:t>
      </w:r>
      <w:r w:rsidRPr="008B7E90">
        <w:rPr>
          <w:i/>
        </w:rPr>
        <w:t>Tourism and Sustainable Development Goals</w:t>
      </w:r>
      <w:r>
        <w:t>, pp. 1–10. doi:10.1201/9780429324253-1.</w:t>
      </w:r>
    </w:p>
    <w:p w:rsidR="00E83C8B" w:rsidRDefault="00AD0381" w:rsidP="008B7E90">
      <w:pPr>
        <w:pStyle w:val="ListParagraph"/>
        <w:numPr>
          <w:ilvl w:val="0"/>
          <w:numId w:val="2"/>
        </w:numPr>
        <w:spacing w:before="240" w:after="240"/>
      </w:pPr>
      <w:r>
        <w:t xml:space="preserve">Sahli, E. (2020) </w:t>
      </w:r>
      <w:r w:rsidRPr="008B7E90">
        <w:rPr>
          <w:i/>
        </w:rPr>
        <w:t>Tourism Destination Development an application of Butler’s (1980 ...</w:t>
      </w:r>
      <w:r>
        <w:t xml:space="preserve">, </w:t>
      </w:r>
      <w:r w:rsidRPr="008B7E90">
        <w:rPr>
          <w:i/>
        </w:rPr>
        <w:t xml:space="preserve">Research Gate </w:t>
      </w:r>
      <w:r>
        <w:t>. Available at: https://www.researchgate.net/publication/341804244_Tourism_Destination_Development_An_Application_of_Butler’s_1980_Tourism_Area_Life_Cycle_Model_to_Hammamet_Tunisia (Accessed: 12 June 2023).</w:t>
      </w:r>
    </w:p>
    <w:p w:rsidR="00E83C8B" w:rsidRDefault="00E83C8B" w:rsidP="00A82890">
      <w:pPr>
        <w:spacing w:before="240" w:after="240"/>
        <w:ind w:left="360"/>
      </w:pPr>
    </w:p>
    <w:sectPr w:rsidR="00E83C8B" w:rsidSect="00DE692E">
      <w:footerReference w:type="default" r:id="rId11"/>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C49BC" w:rsidRDefault="002C49BC">
      <w:pPr>
        <w:spacing w:line="240" w:lineRule="auto"/>
      </w:pPr>
      <w:r>
        <w:separator/>
      </w:r>
    </w:p>
  </w:endnote>
  <w:endnote w:type="continuationSeparator" w:id="1">
    <w:p w:rsidR="002C49BC" w:rsidRDefault="002C49B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83C8B" w:rsidRDefault="00DE58C4">
    <w:pPr>
      <w:pBdr>
        <w:top w:val="nil"/>
        <w:left w:val="nil"/>
        <w:bottom w:val="nil"/>
        <w:right w:val="nil"/>
        <w:between w:val="nil"/>
      </w:pBdr>
      <w:tabs>
        <w:tab w:val="center" w:pos="4513"/>
        <w:tab w:val="right" w:pos="9026"/>
      </w:tabs>
      <w:spacing w:line="240" w:lineRule="auto"/>
      <w:jc w:val="center"/>
      <w:rPr>
        <w:color w:val="000000"/>
      </w:rPr>
    </w:pPr>
    <w:r>
      <w:rPr>
        <w:color w:val="000000"/>
      </w:rPr>
      <w:fldChar w:fldCharType="begin"/>
    </w:r>
    <w:r w:rsidR="00AD0381">
      <w:rPr>
        <w:color w:val="000000"/>
      </w:rPr>
      <w:instrText>PAGE</w:instrText>
    </w:r>
    <w:r>
      <w:rPr>
        <w:color w:val="000000"/>
      </w:rPr>
      <w:fldChar w:fldCharType="separate"/>
    </w:r>
    <w:r w:rsidR="00A82890">
      <w:rPr>
        <w:noProof/>
        <w:color w:val="000000"/>
      </w:rPr>
      <w:t>13</w:t>
    </w:r>
    <w:r>
      <w:rPr>
        <w:color w:val="000000"/>
      </w:rPr>
      <w:fldChar w:fldCharType="end"/>
    </w:r>
  </w:p>
  <w:p w:rsidR="00E83C8B" w:rsidRDefault="00E83C8B"/>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C49BC" w:rsidRDefault="002C49BC">
      <w:pPr>
        <w:spacing w:line="240" w:lineRule="auto"/>
      </w:pPr>
      <w:r>
        <w:separator/>
      </w:r>
    </w:p>
  </w:footnote>
  <w:footnote w:type="continuationSeparator" w:id="1">
    <w:p w:rsidR="002C49BC" w:rsidRDefault="002C49BC">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4174F9"/>
    <w:multiLevelType w:val="hybridMultilevel"/>
    <w:tmpl w:val="87069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2D517DE"/>
    <w:multiLevelType w:val="multilevel"/>
    <w:tmpl w:val="9C249B0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6146"/>
  </w:hdrShapeDefaults>
  <w:footnotePr>
    <w:footnote w:id="0"/>
    <w:footnote w:id="1"/>
  </w:footnotePr>
  <w:endnotePr>
    <w:endnote w:id="0"/>
    <w:endnote w:id="1"/>
  </w:endnotePr>
  <w:compat/>
  <w:rsids>
    <w:rsidRoot w:val="00E83C8B"/>
    <w:rsid w:val="002409CF"/>
    <w:rsid w:val="002C49BC"/>
    <w:rsid w:val="008B7E90"/>
    <w:rsid w:val="00A82890"/>
    <w:rsid w:val="00AD0381"/>
    <w:rsid w:val="00DD472F"/>
    <w:rsid w:val="00DE58C4"/>
    <w:rsid w:val="00DE6010"/>
    <w:rsid w:val="00DE692E"/>
    <w:rsid w:val="00E83C8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692E"/>
  </w:style>
  <w:style w:type="paragraph" w:styleId="Heading1">
    <w:name w:val="heading 1"/>
    <w:basedOn w:val="Normal"/>
    <w:next w:val="Normal"/>
    <w:uiPriority w:val="9"/>
    <w:qFormat/>
    <w:rsid w:val="00DE692E"/>
    <w:pPr>
      <w:keepNext/>
      <w:keepLines/>
      <w:outlineLvl w:val="0"/>
    </w:pPr>
    <w:rPr>
      <w:b/>
      <w:sz w:val="32"/>
      <w:szCs w:val="32"/>
    </w:rPr>
  </w:style>
  <w:style w:type="paragraph" w:styleId="Heading2">
    <w:name w:val="heading 2"/>
    <w:basedOn w:val="Normal"/>
    <w:next w:val="Normal"/>
    <w:uiPriority w:val="9"/>
    <w:unhideWhenUsed/>
    <w:qFormat/>
    <w:rsid w:val="00DE692E"/>
    <w:pPr>
      <w:keepNext/>
      <w:keepLines/>
      <w:outlineLvl w:val="1"/>
    </w:pPr>
    <w:rPr>
      <w:b/>
      <w:sz w:val="28"/>
      <w:szCs w:val="28"/>
    </w:rPr>
  </w:style>
  <w:style w:type="paragraph" w:styleId="Heading3">
    <w:name w:val="heading 3"/>
    <w:basedOn w:val="Normal"/>
    <w:next w:val="Normal"/>
    <w:uiPriority w:val="9"/>
    <w:unhideWhenUsed/>
    <w:qFormat/>
    <w:rsid w:val="00DE692E"/>
    <w:pPr>
      <w:keepNext/>
      <w:keepLines/>
      <w:ind w:left="1440" w:firstLine="720"/>
      <w:outlineLvl w:val="2"/>
    </w:pPr>
    <w:rPr>
      <w:sz w:val="26"/>
      <w:szCs w:val="26"/>
    </w:rPr>
  </w:style>
  <w:style w:type="paragraph" w:styleId="Heading4">
    <w:name w:val="heading 4"/>
    <w:basedOn w:val="Normal"/>
    <w:next w:val="Normal"/>
    <w:uiPriority w:val="9"/>
    <w:semiHidden/>
    <w:unhideWhenUsed/>
    <w:qFormat/>
    <w:rsid w:val="00DE692E"/>
    <w:pPr>
      <w:keepNext/>
      <w:keepLines/>
      <w:spacing w:before="280" w:after="80"/>
      <w:outlineLvl w:val="3"/>
    </w:pPr>
    <w:rPr>
      <w:color w:val="666666"/>
    </w:rPr>
  </w:style>
  <w:style w:type="paragraph" w:styleId="Heading5">
    <w:name w:val="heading 5"/>
    <w:basedOn w:val="Normal"/>
    <w:next w:val="Normal"/>
    <w:uiPriority w:val="9"/>
    <w:semiHidden/>
    <w:unhideWhenUsed/>
    <w:qFormat/>
    <w:rsid w:val="00DE692E"/>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DE692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E692E"/>
    <w:pPr>
      <w:keepNext/>
      <w:keepLines/>
      <w:spacing w:after="60"/>
    </w:pPr>
    <w:rPr>
      <w:sz w:val="52"/>
      <w:szCs w:val="52"/>
    </w:rPr>
  </w:style>
  <w:style w:type="paragraph" w:styleId="Subtitle">
    <w:name w:val="Subtitle"/>
    <w:basedOn w:val="Normal"/>
    <w:next w:val="Normal"/>
    <w:uiPriority w:val="11"/>
    <w:qFormat/>
    <w:rsid w:val="00DE692E"/>
    <w:pPr>
      <w:keepNext/>
      <w:keepLines/>
      <w:spacing w:after="320"/>
    </w:pPr>
    <w:rPr>
      <w:color w:val="666666"/>
      <w:sz w:val="30"/>
      <w:szCs w:val="30"/>
    </w:rPr>
  </w:style>
  <w:style w:type="paragraph" w:styleId="TOCHeading">
    <w:name w:val="TOC Heading"/>
    <w:basedOn w:val="Heading1"/>
    <w:next w:val="Normal"/>
    <w:uiPriority w:val="39"/>
    <w:unhideWhenUsed/>
    <w:qFormat/>
    <w:rsid w:val="00136E0A"/>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136E0A"/>
    <w:pPr>
      <w:spacing w:after="100"/>
    </w:pPr>
  </w:style>
  <w:style w:type="paragraph" w:styleId="TOC2">
    <w:name w:val="toc 2"/>
    <w:basedOn w:val="Normal"/>
    <w:next w:val="Normal"/>
    <w:autoRedefine/>
    <w:uiPriority w:val="39"/>
    <w:unhideWhenUsed/>
    <w:rsid w:val="00136E0A"/>
    <w:pPr>
      <w:spacing w:after="100"/>
      <w:ind w:left="240"/>
    </w:pPr>
  </w:style>
  <w:style w:type="paragraph" w:styleId="TOC3">
    <w:name w:val="toc 3"/>
    <w:basedOn w:val="Normal"/>
    <w:next w:val="Normal"/>
    <w:autoRedefine/>
    <w:uiPriority w:val="39"/>
    <w:unhideWhenUsed/>
    <w:rsid w:val="00136E0A"/>
    <w:pPr>
      <w:spacing w:after="100"/>
      <w:ind w:left="480"/>
    </w:pPr>
  </w:style>
  <w:style w:type="character" w:styleId="Hyperlink">
    <w:name w:val="Hyperlink"/>
    <w:basedOn w:val="DefaultParagraphFont"/>
    <w:uiPriority w:val="99"/>
    <w:unhideWhenUsed/>
    <w:rsid w:val="00136E0A"/>
    <w:rPr>
      <w:color w:val="0000FF" w:themeColor="hyperlink"/>
      <w:u w:val="single"/>
    </w:rPr>
  </w:style>
  <w:style w:type="paragraph" w:styleId="Header">
    <w:name w:val="header"/>
    <w:basedOn w:val="Normal"/>
    <w:link w:val="HeaderChar"/>
    <w:uiPriority w:val="99"/>
    <w:unhideWhenUsed/>
    <w:rsid w:val="002238A6"/>
    <w:pPr>
      <w:tabs>
        <w:tab w:val="center" w:pos="4513"/>
        <w:tab w:val="right" w:pos="9026"/>
      </w:tabs>
      <w:spacing w:line="240" w:lineRule="auto"/>
    </w:pPr>
  </w:style>
  <w:style w:type="character" w:customStyle="1" w:styleId="HeaderChar">
    <w:name w:val="Header Char"/>
    <w:basedOn w:val="DefaultParagraphFont"/>
    <w:link w:val="Header"/>
    <w:uiPriority w:val="99"/>
    <w:rsid w:val="002238A6"/>
  </w:style>
  <w:style w:type="paragraph" w:styleId="Footer">
    <w:name w:val="footer"/>
    <w:basedOn w:val="Normal"/>
    <w:link w:val="FooterChar"/>
    <w:uiPriority w:val="99"/>
    <w:unhideWhenUsed/>
    <w:rsid w:val="002238A6"/>
    <w:pPr>
      <w:tabs>
        <w:tab w:val="center" w:pos="4513"/>
        <w:tab w:val="right" w:pos="9026"/>
      </w:tabs>
      <w:spacing w:line="240" w:lineRule="auto"/>
    </w:pPr>
  </w:style>
  <w:style w:type="character" w:customStyle="1" w:styleId="FooterChar">
    <w:name w:val="Footer Char"/>
    <w:basedOn w:val="DefaultParagraphFont"/>
    <w:link w:val="Footer"/>
    <w:uiPriority w:val="99"/>
    <w:rsid w:val="002238A6"/>
  </w:style>
  <w:style w:type="paragraph" w:styleId="ListParagraph">
    <w:name w:val="List Paragraph"/>
    <w:basedOn w:val="Normal"/>
    <w:uiPriority w:val="34"/>
    <w:qFormat/>
    <w:rsid w:val="008B7E90"/>
    <w:pPr>
      <w:ind w:left="720"/>
      <w:contextualSpacing/>
    </w:pPr>
  </w:style>
  <w:style w:type="paragraph" w:styleId="BalloonText">
    <w:name w:val="Balloon Text"/>
    <w:basedOn w:val="Normal"/>
    <w:link w:val="BalloonTextChar"/>
    <w:uiPriority w:val="99"/>
    <w:semiHidden/>
    <w:unhideWhenUsed/>
    <w:rsid w:val="00DD47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472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wjrcluSbgWZps3j1KdG0cWBIpw==">CgMxLjAyCGguZ2pkZ3hzMgloLjMwajB6bGwyCWguMWZvYjl0ZTIJaC4zem55c2g3MgloLjJldDkycDAyCGgudHlqY3d0MgloLjNkeTZ2a20yCWguMXQzaDVzZjIJaC40ZDM0b2c4MgloLjJzOGV5bzEyCWguMTdkcDh2dTIJaC4zcmRjcmpuMgloLjI2aW4xcmcyCGgubG54Yno5MgloLjM1bmt1bjI4AHIhMWZTSFZEV05HbWs0SjlzQ3VfdzkyNDJ0QW52OVU3eU95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2692</Words>
  <Characters>15349</Characters>
  <Application>Microsoft Office Word</Application>
  <DocSecurity>0</DocSecurity>
  <Lines>127</Lines>
  <Paragraphs>36</Paragraphs>
  <ScaleCrop>false</ScaleCrop>
  <Company/>
  <LinksUpToDate>false</LinksUpToDate>
  <CharactersWithSpaces>18005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2023-06-14T14:27:00Z</dcterms:created>
  <dcterms:modified xsi:type="dcterms:W3CDTF">2023-06-15T11:38:00Z</dcterms:modified>
</cp:coreProperties>
</file>