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53ECD" w14:textId="6A53DA37" w:rsidR="00090EF0" w:rsidRDefault="002D762B" w:rsidP="00090EF0">
      <w:pPr>
        <w:jc w:val="center"/>
        <w:rPr>
          <w:b/>
          <w:bCs/>
          <w:sz w:val="44"/>
          <w:szCs w:val="44"/>
        </w:rPr>
      </w:pPr>
      <w:r>
        <w:rPr>
          <w:b/>
          <w:bCs/>
          <w:noProof/>
          <w:sz w:val="44"/>
          <w:szCs w:val="44"/>
        </w:rPr>
        <w:drawing>
          <wp:inline distT="0" distB="0" distL="0" distR="0" wp14:anchorId="2DE7713C" wp14:editId="6F9826E3">
            <wp:extent cx="4444827" cy="1114826"/>
            <wp:effectExtent l="0" t="0" r="635" b="3175"/>
            <wp:docPr id="119834136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341369"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44827" cy="1114826"/>
                    </a:xfrm>
                    <a:prstGeom prst="rect">
                      <a:avLst/>
                    </a:prstGeom>
                  </pic:spPr>
                </pic:pic>
              </a:graphicData>
            </a:graphic>
          </wp:inline>
        </w:drawing>
      </w:r>
    </w:p>
    <w:p w14:paraId="1BEF30B2" w14:textId="77777777" w:rsidR="00090EF0" w:rsidRDefault="00090EF0" w:rsidP="00090EF0">
      <w:pPr>
        <w:jc w:val="center"/>
        <w:rPr>
          <w:b/>
          <w:bCs/>
          <w:sz w:val="44"/>
          <w:szCs w:val="44"/>
        </w:rPr>
      </w:pPr>
    </w:p>
    <w:p w14:paraId="275DF56C" w14:textId="77777777" w:rsidR="00090EF0" w:rsidRDefault="00090EF0" w:rsidP="00090EF0">
      <w:pPr>
        <w:jc w:val="center"/>
        <w:rPr>
          <w:b/>
          <w:bCs/>
          <w:sz w:val="44"/>
          <w:szCs w:val="44"/>
        </w:rPr>
      </w:pPr>
    </w:p>
    <w:p w14:paraId="53426779" w14:textId="317B90CC" w:rsidR="00090EF0" w:rsidRDefault="002D762B" w:rsidP="00090EF0">
      <w:pPr>
        <w:jc w:val="center"/>
        <w:rPr>
          <w:b/>
          <w:bCs/>
          <w:sz w:val="44"/>
          <w:szCs w:val="44"/>
        </w:rPr>
      </w:pPr>
      <w:r>
        <w:rPr>
          <w:b/>
          <w:bCs/>
          <w:sz w:val="44"/>
          <w:szCs w:val="44"/>
        </w:rPr>
        <w:t>Entrepreneurship</w:t>
      </w:r>
    </w:p>
    <w:p w14:paraId="6D80DE37" w14:textId="57CF8110" w:rsidR="002D762B" w:rsidRDefault="00511535" w:rsidP="00090EF0">
      <w:pPr>
        <w:jc w:val="center"/>
        <w:rPr>
          <w:b/>
          <w:bCs/>
          <w:sz w:val="44"/>
          <w:szCs w:val="44"/>
        </w:rPr>
      </w:pPr>
      <w:r>
        <w:rPr>
          <w:b/>
          <w:bCs/>
          <w:sz w:val="44"/>
          <w:szCs w:val="44"/>
        </w:rPr>
        <w:t>Evaluation Report and Presentation</w:t>
      </w:r>
    </w:p>
    <w:p w14:paraId="590DF114" w14:textId="77777777" w:rsidR="002D762B" w:rsidRDefault="002D762B" w:rsidP="00090EF0">
      <w:pPr>
        <w:jc w:val="center"/>
        <w:rPr>
          <w:b/>
          <w:bCs/>
          <w:sz w:val="44"/>
          <w:szCs w:val="44"/>
        </w:rPr>
      </w:pPr>
    </w:p>
    <w:p w14:paraId="521E3201" w14:textId="77777777" w:rsidR="002D762B" w:rsidRDefault="002D762B" w:rsidP="00090EF0">
      <w:pPr>
        <w:jc w:val="center"/>
        <w:rPr>
          <w:b/>
          <w:bCs/>
          <w:sz w:val="44"/>
          <w:szCs w:val="44"/>
        </w:rPr>
      </w:pPr>
    </w:p>
    <w:p w14:paraId="4BE9E94D" w14:textId="77777777" w:rsidR="002D762B" w:rsidRDefault="002D762B" w:rsidP="002D762B">
      <w:pPr>
        <w:tabs>
          <w:tab w:val="left" w:pos="2905"/>
          <w:tab w:val="center" w:pos="4680"/>
        </w:tabs>
        <w:jc w:val="left"/>
        <w:rPr>
          <w:b/>
          <w:bCs/>
          <w:sz w:val="36"/>
          <w:szCs w:val="36"/>
        </w:rPr>
      </w:pPr>
      <w:r>
        <w:rPr>
          <w:b/>
          <w:bCs/>
          <w:sz w:val="36"/>
          <w:szCs w:val="36"/>
        </w:rPr>
        <w:t xml:space="preserve">Name: Elena </w:t>
      </w:r>
      <w:proofErr w:type="spellStart"/>
      <w:r>
        <w:rPr>
          <w:b/>
          <w:bCs/>
          <w:sz w:val="36"/>
          <w:szCs w:val="36"/>
        </w:rPr>
        <w:t>Dineva</w:t>
      </w:r>
    </w:p>
    <w:p w14:paraId="60432388" w14:textId="6CA68930" w:rsidR="002D762B" w:rsidRPr="002D762B" w:rsidRDefault="002D762B" w:rsidP="002D762B">
      <w:pPr>
        <w:tabs>
          <w:tab w:val="left" w:pos="2905"/>
          <w:tab w:val="center" w:pos="4680"/>
        </w:tabs>
        <w:jc w:val="left"/>
        <w:rPr>
          <w:b/>
          <w:bCs/>
          <w:sz w:val="36"/>
          <w:szCs w:val="36"/>
        </w:rPr>
      </w:pPr>
      <w:r>
        <w:rPr>
          <w:b/>
          <w:bCs/>
          <w:sz w:val="36"/>
          <w:szCs w:val="36"/>
        </w:rPr>
        <w:t>Student</w:t>
      </w:r>
      <w:proofErr w:type="spellEnd"/>
      <w:r>
        <w:rPr>
          <w:b/>
          <w:bCs/>
          <w:sz w:val="36"/>
          <w:szCs w:val="36"/>
        </w:rPr>
        <w:t xml:space="preserve"> Number: 2226629</w:t>
      </w:r>
    </w:p>
    <w:p w14:paraId="28884F36" w14:textId="087D7AEA" w:rsidR="002C4BDC" w:rsidRPr="00090EF0" w:rsidRDefault="002D762B" w:rsidP="002D762B">
      <w:pPr>
        <w:rPr>
          <w:b/>
          <w:bCs/>
          <w:sz w:val="44"/>
          <w:szCs w:val="44"/>
        </w:rPr>
      </w:pPr>
      <w:r>
        <w:rPr>
          <w:b/>
          <w:bCs/>
          <w:sz w:val="36"/>
          <w:szCs w:val="36"/>
        </w:rPr>
        <w:t>Lecturer: Amer Kareem</w:t>
      </w:r>
      <w:r w:rsidR="002C4BDC" w:rsidRPr="00090EF0">
        <w:rPr>
          <w:b/>
          <w:bCs/>
          <w:sz w:val="44"/>
          <w:szCs w:val="44"/>
        </w:rPr>
        <w:br w:type="page"/>
      </w:r>
    </w:p>
    <w:sdt>
      <w:sdtPr>
        <w:rPr>
          <w:rFonts w:ascii="Times New Roman" w:eastAsia="Times New Roman" w:hAnsi="Times New Roman" w:cs="Times New Roman"/>
          <w:color w:val="auto"/>
          <w:sz w:val="24"/>
          <w:szCs w:val="24"/>
          <w:lang w:val="en-GB"/>
        </w:rPr>
        <w:id w:val="1625888471"/>
        <w:docPartObj>
          <w:docPartGallery w:val="Table of Contents"/>
          <w:docPartUnique/>
        </w:docPartObj>
      </w:sdtPr>
      <w:sdtEndPr>
        <w:rPr>
          <w:b/>
          <w:bCs/>
          <w:noProof/>
        </w:rPr>
      </w:sdtEndPr>
      <w:sdtContent>
        <w:p w14:paraId="10539B05" w14:textId="34B575CB" w:rsidR="002C4BDC" w:rsidRPr="002C4BDC" w:rsidRDefault="002C4BDC" w:rsidP="002C4BDC">
          <w:pPr>
            <w:pStyle w:val="TOCHeading"/>
            <w:jc w:val="center"/>
            <w:rPr>
              <w:rFonts w:ascii="Times New Roman" w:hAnsi="Times New Roman" w:cs="Times New Roman"/>
              <w:b/>
              <w:bCs/>
              <w:sz w:val="24"/>
              <w:szCs w:val="24"/>
            </w:rPr>
          </w:pPr>
          <w:r w:rsidRPr="002C4BDC">
            <w:rPr>
              <w:rFonts w:ascii="Times New Roman" w:hAnsi="Times New Roman" w:cs="Times New Roman"/>
              <w:b/>
              <w:bCs/>
              <w:sz w:val="24"/>
              <w:szCs w:val="24"/>
            </w:rPr>
            <w:t>Table of Contents</w:t>
          </w:r>
        </w:p>
        <w:p w14:paraId="0A1A5F61" w14:textId="04E059C7" w:rsidR="00736C54" w:rsidRDefault="002C4BDC">
          <w:pPr>
            <w:pStyle w:val="TOC1"/>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72454540" w:history="1">
            <w:r w:rsidR="00736C54" w:rsidRPr="00BB0C21">
              <w:rPr>
                <w:rStyle w:val="Hyperlink"/>
                <w:noProof/>
              </w:rPr>
              <w:t>Task B: Evaluation Report</w:t>
            </w:r>
            <w:r w:rsidR="00736C54">
              <w:rPr>
                <w:noProof/>
                <w:webHidden/>
              </w:rPr>
              <w:tab/>
            </w:r>
            <w:r w:rsidR="00736C54">
              <w:rPr>
                <w:noProof/>
                <w:webHidden/>
              </w:rPr>
              <w:fldChar w:fldCharType="begin"/>
            </w:r>
            <w:r w:rsidR="00736C54">
              <w:rPr>
                <w:noProof/>
                <w:webHidden/>
              </w:rPr>
              <w:instrText xml:space="preserve"> PAGEREF _Toc172454540 \h </w:instrText>
            </w:r>
            <w:r w:rsidR="00736C54">
              <w:rPr>
                <w:noProof/>
                <w:webHidden/>
              </w:rPr>
            </w:r>
            <w:r w:rsidR="00736C54">
              <w:rPr>
                <w:noProof/>
                <w:webHidden/>
              </w:rPr>
              <w:fldChar w:fldCharType="separate"/>
            </w:r>
            <w:r w:rsidR="00783653">
              <w:rPr>
                <w:noProof/>
                <w:webHidden/>
              </w:rPr>
              <w:t>3</w:t>
            </w:r>
            <w:r w:rsidR="00736C54">
              <w:rPr>
                <w:noProof/>
                <w:webHidden/>
              </w:rPr>
              <w:fldChar w:fldCharType="end"/>
            </w:r>
          </w:hyperlink>
        </w:p>
        <w:p w14:paraId="30C9BD18" w14:textId="07002FC9" w:rsidR="00736C54" w:rsidRDefault="00736C54">
          <w:pPr>
            <w:pStyle w:val="TOC2"/>
            <w:tabs>
              <w:tab w:val="right" w:leader="dot" w:pos="9350"/>
            </w:tabs>
            <w:rPr>
              <w:rFonts w:asciiTheme="minorHAnsi" w:eastAsiaTheme="minorEastAsia" w:hAnsiTheme="minorHAnsi" w:cstheme="minorBidi"/>
              <w:noProof/>
              <w:lang w:eastAsia="en-GB"/>
            </w:rPr>
          </w:pPr>
          <w:hyperlink w:anchor="_Toc172454541" w:history="1">
            <w:r w:rsidRPr="00BB0C21">
              <w:rPr>
                <w:rStyle w:val="Hyperlink"/>
                <w:noProof/>
              </w:rPr>
              <w:t>Motivational factor behind the business idea</w:t>
            </w:r>
            <w:r>
              <w:rPr>
                <w:noProof/>
                <w:webHidden/>
              </w:rPr>
              <w:tab/>
            </w:r>
            <w:r>
              <w:rPr>
                <w:noProof/>
                <w:webHidden/>
              </w:rPr>
              <w:fldChar w:fldCharType="begin"/>
            </w:r>
            <w:r>
              <w:rPr>
                <w:noProof/>
                <w:webHidden/>
              </w:rPr>
              <w:instrText xml:space="preserve"> PAGEREF _Toc172454541 \h </w:instrText>
            </w:r>
            <w:r>
              <w:rPr>
                <w:noProof/>
                <w:webHidden/>
              </w:rPr>
            </w:r>
            <w:r>
              <w:rPr>
                <w:noProof/>
                <w:webHidden/>
              </w:rPr>
              <w:fldChar w:fldCharType="separate"/>
            </w:r>
            <w:r w:rsidR="00783653">
              <w:rPr>
                <w:noProof/>
                <w:webHidden/>
              </w:rPr>
              <w:t>3</w:t>
            </w:r>
            <w:r>
              <w:rPr>
                <w:noProof/>
                <w:webHidden/>
              </w:rPr>
              <w:fldChar w:fldCharType="end"/>
            </w:r>
          </w:hyperlink>
        </w:p>
        <w:p w14:paraId="466805AE" w14:textId="050BA955" w:rsidR="00736C54" w:rsidRDefault="00736C54">
          <w:pPr>
            <w:pStyle w:val="TOC2"/>
            <w:tabs>
              <w:tab w:val="right" w:leader="dot" w:pos="9350"/>
            </w:tabs>
            <w:rPr>
              <w:rFonts w:asciiTheme="minorHAnsi" w:eastAsiaTheme="minorEastAsia" w:hAnsiTheme="minorHAnsi" w:cstheme="minorBidi"/>
              <w:noProof/>
              <w:lang w:eastAsia="en-GB"/>
            </w:rPr>
          </w:pPr>
          <w:hyperlink w:anchor="_Toc172454542" w:history="1">
            <w:r w:rsidRPr="00BB0C21">
              <w:rPr>
                <w:rStyle w:val="Hyperlink"/>
                <w:noProof/>
              </w:rPr>
              <w:t>Five entrepreneurial skills, traits and behaviour important for business</w:t>
            </w:r>
            <w:r>
              <w:rPr>
                <w:noProof/>
                <w:webHidden/>
              </w:rPr>
              <w:tab/>
            </w:r>
            <w:r>
              <w:rPr>
                <w:noProof/>
                <w:webHidden/>
              </w:rPr>
              <w:fldChar w:fldCharType="begin"/>
            </w:r>
            <w:r>
              <w:rPr>
                <w:noProof/>
                <w:webHidden/>
              </w:rPr>
              <w:instrText xml:space="preserve"> PAGEREF _Toc172454542 \h </w:instrText>
            </w:r>
            <w:r>
              <w:rPr>
                <w:noProof/>
                <w:webHidden/>
              </w:rPr>
            </w:r>
            <w:r>
              <w:rPr>
                <w:noProof/>
                <w:webHidden/>
              </w:rPr>
              <w:fldChar w:fldCharType="separate"/>
            </w:r>
            <w:r w:rsidR="00783653">
              <w:rPr>
                <w:noProof/>
                <w:webHidden/>
              </w:rPr>
              <w:t>4</w:t>
            </w:r>
            <w:r>
              <w:rPr>
                <w:noProof/>
                <w:webHidden/>
              </w:rPr>
              <w:fldChar w:fldCharType="end"/>
            </w:r>
          </w:hyperlink>
        </w:p>
        <w:p w14:paraId="1FAEB463" w14:textId="64D8FF3A" w:rsidR="00736C54" w:rsidRDefault="00736C54">
          <w:pPr>
            <w:pStyle w:val="TOC2"/>
            <w:tabs>
              <w:tab w:val="right" w:leader="dot" w:pos="9350"/>
            </w:tabs>
            <w:rPr>
              <w:rFonts w:asciiTheme="minorHAnsi" w:eastAsiaTheme="minorEastAsia" w:hAnsiTheme="minorHAnsi" w:cstheme="minorBidi"/>
              <w:noProof/>
              <w:lang w:eastAsia="en-GB"/>
            </w:rPr>
          </w:pPr>
          <w:hyperlink w:anchor="_Toc172454543" w:history="1">
            <w:r w:rsidRPr="00BB0C21">
              <w:rPr>
                <w:rStyle w:val="Hyperlink"/>
                <w:noProof/>
              </w:rPr>
              <w:t>Self-assessment to become entrepreneur</w:t>
            </w:r>
            <w:r>
              <w:rPr>
                <w:noProof/>
                <w:webHidden/>
              </w:rPr>
              <w:tab/>
            </w:r>
            <w:r>
              <w:rPr>
                <w:noProof/>
                <w:webHidden/>
              </w:rPr>
              <w:fldChar w:fldCharType="begin"/>
            </w:r>
            <w:r>
              <w:rPr>
                <w:noProof/>
                <w:webHidden/>
              </w:rPr>
              <w:instrText xml:space="preserve"> PAGEREF _Toc172454543 \h </w:instrText>
            </w:r>
            <w:r>
              <w:rPr>
                <w:noProof/>
                <w:webHidden/>
              </w:rPr>
            </w:r>
            <w:r>
              <w:rPr>
                <w:noProof/>
                <w:webHidden/>
              </w:rPr>
              <w:fldChar w:fldCharType="separate"/>
            </w:r>
            <w:r w:rsidR="00783653">
              <w:rPr>
                <w:noProof/>
                <w:webHidden/>
              </w:rPr>
              <w:t>6</w:t>
            </w:r>
            <w:r>
              <w:rPr>
                <w:noProof/>
                <w:webHidden/>
              </w:rPr>
              <w:fldChar w:fldCharType="end"/>
            </w:r>
          </w:hyperlink>
        </w:p>
        <w:p w14:paraId="0C4AFB15" w14:textId="49D701A9" w:rsidR="00736C54" w:rsidRDefault="00736C54">
          <w:pPr>
            <w:pStyle w:val="TOC3"/>
            <w:tabs>
              <w:tab w:val="right" w:leader="dot" w:pos="9350"/>
            </w:tabs>
            <w:rPr>
              <w:rFonts w:asciiTheme="minorHAnsi" w:eastAsiaTheme="minorEastAsia" w:hAnsiTheme="minorHAnsi" w:cstheme="minorBidi"/>
              <w:noProof/>
              <w:lang w:eastAsia="en-GB"/>
            </w:rPr>
          </w:pPr>
          <w:hyperlink w:anchor="_Toc172454544" w:history="1">
            <w:r w:rsidRPr="00BB0C21">
              <w:rPr>
                <w:rStyle w:val="Hyperlink"/>
                <w:noProof/>
              </w:rPr>
              <w:t>Skill Audit</w:t>
            </w:r>
            <w:r>
              <w:rPr>
                <w:noProof/>
                <w:webHidden/>
              </w:rPr>
              <w:tab/>
            </w:r>
            <w:r>
              <w:rPr>
                <w:noProof/>
                <w:webHidden/>
              </w:rPr>
              <w:fldChar w:fldCharType="begin"/>
            </w:r>
            <w:r>
              <w:rPr>
                <w:noProof/>
                <w:webHidden/>
              </w:rPr>
              <w:instrText xml:space="preserve"> PAGEREF _Toc172454544 \h </w:instrText>
            </w:r>
            <w:r>
              <w:rPr>
                <w:noProof/>
                <w:webHidden/>
              </w:rPr>
            </w:r>
            <w:r>
              <w:rPr>
                <w:noProof/>
                <w:webHidden/>
              </w:rPr>
              <w:fldChar w:fldCharType="separate"/>
            </w:r>
            <w:r w:rsidR="00783653">
              <w:rPr>
                <w:noProof/>
                <w:webHidden/>
              </w:rPr>
              <w:t>6</w:t>
            </w:r>
            <w:r>
              <w:rPr>
                <w:noProof/>
                <w:webHidden/>
              </w:rPr>
              <w:fldChar w:fldCharType="end"/>
            </w:r>
          </w:hyperlink>
        </w:p>
        <w:p w14:paraId="338F0230" w14:textId="154087B7" w:rsidR="00736C54" w:rsidRDefault="00736C54">
          <w:pPr>
            <w:pStyle w:val="TOC3"/>
            <w:tabs>
              <w:tab w:val="right" w:leader="dot" w:pos="9350"/>
            </w:tabs>
            <w:rPr>
              <w:rFonts w:asciiTheme="minorHAnsi" w:eastAsiaTheme="minorEastAsia" w:hAnsiTheme="minorHAnsi" w:cstheme="minorBidi"/>
              <w:noProof/>
              <w:lang w:eastAsia="en-GB"/>
            </w:rPr>
          </w:pPr>
          <w:hyperlink w:anchor="_Toc172454545" w:history="1">
            <w:r w:rsidRPr="00BB0C21">
              <w:rPr>
                <w:rStyle w:val="Hyperlink"/>
                <w:noProof/>
              </w:rPr>
              <w:t>SWOT Analysis</w:t>
            </w:r>
            <w:r>
              <w:rPr>
                <w:noProof/>
                <w:webHidden/>
              </w:rPr>
              <w:tab/>
            </w:r>
            <w:r>
              <w:rPr>
                <w:noProof/>
                <w:webHidden/>
              </w:rPr>
              <w:fldChar w:fldCharType="begin"/>
            </w:r>
            <w:r>
              <w:rPr>
                <w:noProof/>
                <w:webHidden/>
              </w:rPr>
              <w:instrText xml:space="preserve"> PAGEREF _Toc172454545 \h </w:instrText>
            </w:r>
            <w:r>
              <w:rPr>
                <w:noProof/>
                <w:webHidden/>
              </w:rPr>
            </w:r>
            <w:r>
              <w:rPr>
                <w:noProof/>
                <w:webHidden/>
              </w:rPr>
              <w:fldChar w:fldCharType="separate"/>
            </w:r>
            <w:r w:rsidR="00783653">
              <w:rPr>
                <w:noProof/>
                <w:webHidden/>
              </w:rPr>
              <w:t>7</w:t>
            </w:r>
            <w:r>
              <w:rPr>
                <w:noProof/>
                <w:webHidden/>
              </w:rPr>
              <w:fldChar w:fldCharType="end"/>
            </w:r>
          </w:hyperlink>
        </w:p>
        <w:p w14:paraId="1053AFB3" w14:textId="7C5FEBE5" w:rsidR="00736C54" w:rsidRDefault="00736C54">
          <w:pPr>
            <w:pStyle w:val="TOC2"/>
            <w:tabs>
              <w:tab w:val="right" w:leader="dot" w:pos="9350"/>
            </w:tabs>
            <w:rPr>
              <w:rFonts w:asciiTheme="minorHAnsi" w:eastAsiaTheme="minorEastAsia" w:hAnsiTheme="minorHAnsi" w:cstheme="minorBidi"/>
              <w:noProof/>
              <w:lang w:eastAsia="en-GB"/>
            </w:rPr>
          </w:pPr>
          <w:hyperlink w:anchor="_Toc172454546" w:history="1">
            <w:r w:rsidRPr="00BB0C21">
              <w:rPr>
                <w:rStyle w:val="Hyperlink"/>
                <w:noProof/>
              </w:rPr>
              <w:t>Market analysis of horticulture industr</w:t>
            </w:r>
            <w:r w:rsidRPr="00BB0C21">
              <w:rPr>
                <w:rStyle w:val="Hyperlink"/>
                <w:noProof/>
              </w:rPr>
              <w:t>y</w:t>
            </w:r>
            <w:r w:rsidRPr="00BB0C21">
              <w:rPr>
                <w:rStyle w:val="Hyperlink"/>
                <w:noProof/>
              </w:rPr>
              <w:t xml:space="preserve"> in the UK</w:t>
            </w:r>
            <w:r>
              <w:rPr>
                <w:noProof/>
                <w:webHidden/>
              </w:rPr>
              <w:tab/>
            </w:r>
            <w:r>
              <w:rPr>
                <w:noProof/>
                <w:webHidden/>
              </w:rPr>
              <w:fldChar w:fldCharType="begin"/>
            </w:r>
            <w:r>
              <w:rPr>
                <w:noProof/>
                <w:webHidden/>
              </w:rPr>
              <w:instrText xml:space="preserve"> PAGEREF _Toc172454546 \h </w:instrText>
            </w:r>
            <w:r>
              <w:rPr>
                <w:noProof/>
                <w:webHidden/>
              </w:rPr>
            </w:r>
            <w:r>
              <w:rPr>
                <w:noProof/>
                <w:webHidden/>
              </w:rPr>
              <w:fldChar w:fldCharType="separate"/>
            </w:r>
            <w:r w:rsidR="00783653">
              <w:rPr>
                <w:noProof/>
                <w:webHidden/>
              </w:rPr>
              <w:t>8</w:t>
            </w:r>
            <w:r>
              <w:rPr>
                <w:noProof/>
                <w:webHidden/>
              </w:rPr>
              <w:fldChar w:fldCharType="end"/>
            </w:r>
          </w:hyperlink>
        </w:p>
        <w:p w14:paraId="75882BB5" w14:textId="4ACE0AB8" w:rsidR="00736C54" w:rsidRDefault="00736C54">
          <w:pPr>
            <w:pStyle w:val="TOC3"/>
            <w:tabs>
              <w:tab w:val="right" w:leader="dot" w:pos="9350"/>
            </w:tabs>
            <w:rPr>
              <w:rFonts w:asciiTheme="minorHAnsi" w:eastAsiaTheme="minorEastAsia" w:hAnsiTheme="minorHAnsi" w:cstheme="minorBidi"/>
              <w:noProof/>
              <w:lang w:eastAsia="en-GB"/>
            </w:rPr>
          </w:pPr>
          <w:hyperlink w:anchor="_Toc172454547" w:history="1">
            <w:r w:rsidRPr="00BB0C21">
              <w:rPr>
                <w:rStyle w:val="Hyperlink"/>
                <w:noProof/>
              </w:rPr>
              <w:t>PEST Analysis</w:t>
            </w:r>
            <w:r>
              <w:rPr>
                <w:noProof/>
                <w:webHidden/>
              </w:rPr>
              <w:tab/>
            </w:r>
            <w:r>
              <w:rPr>
                <w:noProof/>
                <w:webHidden/>
              </w:rPr>
              <w:fldChar w:fldCharType="begin"/>
            </w:r>
            <w:r>
              <w:rPr>
                <w:noProof/>
                <w:webHidden/>
              </w:rPr>
              <w:instrText xml:space="preserve"> PAGEREF _Toc172454547 \h </w:instrText>
            </w:r>
            <w:r>
              <w:rPr>
                <w:noProof/>
                <w:webHidden/>
              </w:rPr>
            </w:r>
            <w:r>
              <w:rPr>
                <w:noProof/>
                <w:webHidden/>
              </w:rPr>
              <w:fldChar w:fldCharType="separate"/>
            </w:r>
            <w:r w:rsidR="00783653">
              <w:rPr>
                <w:noProof/>
                <w:webHidden/>
              </w:rPr>
              <w:t>9</w:t>
            </w:r>
            <w:r>
              <w:rPr>
                <w:noProof/>
                <w:webHidden/>
              </w:rPr>
              <w:fldChar w:fldCharType="end"/>
            </w:r>
          </w:hyperlink>
        </w:p>
        <w:p w14:paraId="0401BC1D" w14:textId="47D54372" w:rsidR="00736C54" w:rsidRDefault="00736C54">
          <w:pPr>
            <w:pStyle w:val="TOC1"/>
            <w:tabs>
              <w:tab w:val="right" w:leader="dot" w:pos="9350"/>
            </w:tabs>
            <w:rPr>
              <w:rFonts w:asciiTheme="minorHAnsi" w:eastAsiaTheme="minorEastAsia" w:hAnsiTheme="minorHAnsi" w:cstheme="minorBidi"/>
              <w:noProof/>
              <w:lang w:eastAsia="en-GB"/>
            </w:rPr>
          </w:pPr>
          <w:hyperlink w:anchor="_Toc172454548" w:history="1">
            <w:r w:rsidRPr="00BB0C21">
              <w:rPr>
                <w:rStyle w:val="Hyperlink"/>
                <w:noProof/>
              </w:rPr>
              <w:t>Refer</w:t>
            </w:r>
            <w:r w:rsidRPr="00BB0C21">
              <w:rPr>
                <w:rStyle w:val="Hyperlink"/>
                <w:noProof/>
              </w:rPr>
              <w:t>e</w:t>
            </w:r>
            <w:r w:rsidRPr="00BB0C21">
              <w:rPr>
                <w:rStyle w:val="Hyperlink"/>
                <w:noProof/>
              </w:rPr>
              <w:t>nces</w:t>
            </w:r>
            <w:r>
              <w:rPr>
                <w:noProof/>
                <w:webHidden/>
              </w:rPr>
              <w:tab/>
            </w:r>
            <w:r>
              <w:rPr>
                <w:noProof/>
                <w:webHidden/>
              </w:rPr>
              <w:fldChar w:fldCharType="begin"/>
            </w:r>
            <w:r>
              <w:rPr>
                <w:noProof/>
                <w:webHidden/>
              </w:rPr>
              <w:instrText xml:space="preserve"> PAGEREF _Toc172454548 \h </w:instrText>
            </w:r>
            <w:r>
              <w:rPr>
                <w:noProof/>
                <w:webHidden/>
              </w:rPr>
            </w:r>
            <w:r>
              <w:rPr>
                <w:noProof/>
                <w:webHidden/>
              </w:rPr>
              <w:fldChar w:fldCharType="separate"/>
            </w:r>
            <w:r w:rsidR="00783653">
              <w:rPr>
                <w:noProof/>
                <w:webHidden/>
              </w:rPr>
              <w:t>11</w:t>
            </w:r>
            <w:r>
              <w:rPr>
                <w:noProof/>
                <w:webHidden/>
              </w:rPr>
              <w:fldChar w:fldCharType="end"/>
            </w:r>
          </w:hyperlink>
        </w:p>
        <w:p w14:paraId="726EBE78" w14:textId="519A53AA" w:rsidR="002C4BDC" w:rsidRDefault="002C4BDC">
          <w:r>
            <w:rPr>
              <w:b/>
              <w:bCs/>
              <w:noProof/>
            </w:rPr>
            <w:fldChar w:fldCharType="end"/>
          </w:r>
        </w:p>
      </w:sdtContent>
    </w:sdt>
    <w:p w14:paraId="17AFA5C7" w14:textId="7806661D" w:rsidR="002C4BDC" w:rsidRDefault="002C4BDC">
      <w:pPr>
        <w:rPr>
          <w:b/>
        </w:rPr>
      </w:pPr>
    </w:p>
    <w:p w14:paraId="6B35AC83" w14:textId="596E2618" w:rsidR="00C44D1D" w:rsidRPr="007009C0" w:rsidRDefault="002C4BDC" w:rsidP="007009C0">
      <w:pPr>
        <w:rPr>
          <w:b/>
        </w:rPr>
      </w:pPr>
      <w:r>
        <w:br w:type="page"/>
      </w:r>
    </w:p>
    <w:p w14:paraId="05281CAC" w14:textId="22FF8CAA" w:rsidR="00C44D1D" w:rsidRDefault="00C44D1D">
      <w:pPr>
        <w:rPr>
          <w:b/>
        </w:rPr>
      </w:pPr>
    </w:p>
    <w:p w14:paraId="6EE0A85B" w14:textId="77777777" w:rsidR="00C44D1D" w:rsidRDefault="00783653">
      <w:pPr>
        <w:pStyle w:val="Heading1"/>
      </w:pPr>
      <w:bookmarkStart w:id="0" w:name="_gyug7sk6p3sr" w:colFirst="0" w:colLast="0"/>
      <w:bookmarkStart w:id="1" w:name="_Toc172454540"/>
      <w:bookmarkEnd w:id="0"/>
      <w:r>
        <w:t>Task B: Evaluation Report</w:t>
      </w:r>
      <w:bookmarkEnd w:id="1"/>
      <w:r>
        <w:t xml:space="preserve"> </w:t>
      </w:r>
    </w:p>
    <w:p w14:paraId="3BA79BE7" w14:textId="77777777" w:rsidR="00C44D1D" w:rsidRDefault="00783653">
      <w:pPr>
        <w:pStyle w:val="Heading2"/>
      </w:pPr>
      <w:bookmarkStart w:id="2" w:name="_71zg8yubea3f" w:colFirst="0" w:colLast="0"/>
      <w:bookmarkStart w:id="3" w:name="_Toc172454541"/>
      <w:bookmarkEnd w:id="2"/>
      <w:r>
        <w:t>Motivational factor behind the business idea</w:t>
      </w:r>
      <w:bookmarkEnd w:id="3"/>
      <w:r>
        <w:t xml:space="preserve"> </w:t>
      </w:r>
    </w:p>
    <w:p w14:paraId="2814B5AD" w14:textId="5D0D269B" w:rsidR="00C44D1D" w:rsidRDefault="00783653">
      <w:r>
        <w:t>The prevalence of a significant negligence towards gardening and plant growth in the</w:t>
      </w:r>
      <w:r>
        <w:t xml:space="preserve"> UK residents, has been the primary motivation behind this business idea (Lang and Schoen, 2016). Moreover, considering the UK population (referring to homeowners and commercial entities), they are more likely to leave their plants and gardens unattended, </w:t>
      </w:r>
      <w:r>
        <w:t xml:space="preserve">to complete their holiday trips. Therefore, catering to the need of growing more plants and caring for the garden to mitigate the environmental issues, the business idea of </w:t>
      </w:r>
      <w:r>
        <w:rPr>
          <w:b/>
          <w:i/>
        </w:rPr>
        <w:t xml:space="preserve">“Plant </w:t>
      </w:r>
      <w:r w:rsidR="00D12A88">
        <w:rPr>
          <w:b/>
          <w:i/>
        </w:rPr>
        <w:t>Nursery</w:t>
      </w:r>
      <w:r>
        <w:rPr>
          <w:b/>
          <w:i/>
        </w:rPr>
        <w:t xml:space="preserve">” </w:t>
      </w:r>
      <w:r>
        <w:t xml:space="preserve">has been generated. </w:t>
      </w:r>
    </w:p>
    <w:p w14:paraId="3D8A6FA3" w14:textId="0213967A" w:rsidR="00C44D1D" w:rsidRDefault="00783653">
      <w:pPr>
        <w:rPr>
          <w:vertAlign w:val="subscript"/>
        </w:rPr>
      </w:pPr>
      <w:r>
        <w:t xml:space="preserve">The business idea is to help and support the UK </w:t>
      </w:r>
      <w:r>
        <w:t xml:space="preserve">residents in caring for their gardens and growing their plants. The business venture therefore focuses on providing services such as watering the plants and grass, removing the dried leaves, spraying the plants with pesticides (Hardman </w:t>
      </w:r>
      <w:r>
        <w:rPr>
          <w:i/>
        </w:rPr>
        <w:t xml:space="preserve">et al., </w:t>
      </w:r>
      <w:r>
        <w:t>2018), trimm</w:t>
      </w:r>
      <w:r>
        <w:t>ing the bushes, removing weeds and shaping trees by trimming the branches. Since the existence of gardens, according to the statement of RHS (2020), has proved to be a beneficial aspect to mitigate environmental issues, this business idea has been generate</w:t>
      </w:r>
      <w:r>
        <w:t>d. Also, as the services in the business include personalised execution of garden care, these will contribute to the use of accurate pesticides and fertilisers as necessary. Additionally, the reduction of plastic use in the gardens by 32%, has been another</w:t>
      </w:r>
      <w:r>
        <w:t xml:space="preserve"> motivational factor behind initiating and developing this business idea. As generated from the survey of RHS (2020), 70% of the UK population </w:t>
      </w:r>
      <w:proofErr w:type="gramStart"/>
      <w:r>
        <w:t>actually care</w:t>
      </w:r>
      <w:proofErr w:type="gramEnd"/>
      <w:r>
        <w:t xml:space="preserve"> about environmental issues, on which necessary actions are taken. 61% of the gardens in the UK resi</w:t>
      </w:r>
      <w:r>
        <w:t>dents already have at least 1 tree and 59% if the UK population are aware of the plants’ role in capturing CO</w:t>
      </w:r>
      <w:r>
        <w:rPr>
          <w:vertAlign w:val="subscript"/>
        </w:rPr>
        <w:t xml:space="preserve">2 </w:t>
      </w:r>
      <w:r>
        <w:t xml:space="preserve">(RHS, 2020). </w:t>
      </w:r>
      <w:r w:rsidR="00DC6918">
        <w:t>Therefore,</w:t>
      </w:r>
      <w:r>
        <w:t xml:space="preserve"> it can be stated that </w:t>
      </w:r>
      <w:proofErr w:type="gramStart"/>
      <w:r>
        <w:t>a majority of</w:t>
      </w:r>
      <w:proofErr w:type="gramEnd"/>
      <w:r>
        <w:t xml:space="preserve"> the UK population </w:t>
      </w:r>
      <w:r>
        <w:lastRenderedPageBreak/>
        <w:t xml:space="preserve">is not aware of the impact of planting and </w:t>
      </w:r>
      <w:r w:rsidR="00DC6918">
        <w:t>gardening on</w:t>
      </w:r>
      <w:r>
        <w:t xml:space="preserve"> environment</w:t>
      </w:r>
      <w:r>
        <w:t xml:space="preserve"> protection and sustainability. Therefore, the lack of significant space for gardening, knowledge about fertilisers and pesticides, skills of watering and sowing seeds etc., limit the UK homeowners or commercial entities to undergo garden care and grow pla</w:t>
      </w:r>
      <w:r>
        <w:t>nts effectively (</w:t>
      </w:r>
      <w:proofErr w:type="spellStart"/>
      <w:r>
        <w:t>Koay</w:t>
      </w:r>
      <w:proofErr w:type="spellEnd"/>
      <w:r>
        <w:t xml:space="preserve"> and Dillon, 2020). These have been the most significant motivational factor behind developing and implementing the business idea of Plant Hotel. </w:t>
      </w:r>
    </w:p>
    <w:p w14:paraId="02E98621" w14:textId="77777777" w:rsidR="00C44D1D" w:rsidRDefault="00783653">
      <w:pPr>
        <w:pStyle w:val="Heading2"/>
      </w:pPr>
      <w:bookmarkStart w:id="4" w:name="_h093k9iyvjrg" w:colFirst="0" w:colLast="0"/>
      <w:bookmarkStart w:id="5" w:name="_Toc172454542"/>
      <w:bookmarkEnd w:id="4"/>
      <w:r>
        <w:t>Five entrepreneurial skills, traits and behaviour important for business</w:t>
      </w:r>
      <w:bookmarkEnd w:id="5"/>
      <w:r>
        <w:t xml:space="preserve"> </w:t>
      </w:r>
    </w:p>
    <w:p w14:paraId="53CB3F28" w14:textId="090998FA" w:rsidR="00C44D1D" w:rsidRDefault="00783653">
      <w:r>
        <w:rPr>
          <w:b/>
          <w:i/>
        </w:rPr>
        <w:t>Communication:</w:t>
      </w:r>
      <w:r>
        <w:rPr>
          <w:b/>
          <w:i/>
        </w:rPr>
        <w:t xml:space="preserve"> </w:t>
      </w:r>
      <w:r>
        <w:t xml:space="preserve">Communication has been regarded to be a major and common skill, required in today's entrepreneurs. This skill is important in businesses, </w:t>
      </w:r>
      <w:proofErr w:type="gramStart"/>
      <w:r>
        <w:t>so as to</w:t>
      </w:r>
      <w:proofErr w:type="gramEnd"/>
      <w:r>
        <w:t xml:space="preserve"> professionally interact with investors, employees, creditors, peers and mentors </w:t>
      </w:r>
      <w:r w:rsidR="00DC6918">
        <w:t>to boost</w:t>
      </w:r>
      <w:r>
        <w:t xml:space="preserve"> the organisational </w:t>
      </w:r>
      <w:r>
        <w:t xml:space="preserve">motivation and performance. Therefore, all forms of communication such as one-to-one interaction, in-person conversation, group conversation, written communication, and email or online message generation are important skills in businesses (Kerr </w:t>
      </w:r>
      <w:r>
        <w:rPr>
          <w:i/>
        </w:rPr>
        <w:t xml:space="preserve">et al., </w:t>
      </w:r>
      <w:r>
        <w:t>201</w:t>
      </w:r>
      <w:r>
        <w:t>8), owing to their ability to establish a strong relation with customers, partners, employees and shareholders. Therefore, this skill ultimately contributes to the overall success and development of the businesses, by influencing and engaging diverse audie</w:t>
      </w:r>
      <w:r>
        <w:t xml:space="preserve">nces at once. </w:t>
      </w:r>
    </w:p>
    <w:p w14:paraId="3742D0F4" w14:textId="77777777" w:rsidR="00C44D1D" w:rsidRDefault="00783653">
      <w:r>
        <w:rPr>
          <w:b/>
          <w:i/>
        </w:rPr>
        <w:t xml:space="preserve">Decision-making: </w:t>
      </w:r>
      <w:r>
        <w:t>Decision-making skill has also been regarded as one of the most important attributes for entrepreneurs, as they undergo multiple challenges and complex situations, requiring rapid decisions to choose the best course of actio</w:t>
      </w:r>
      <w:r>
        <w:t>ns. This skill is equally important in businesses, as it helps the entrepreneurs to make effective and timely decisions under pressure, stress and overload of information (</w:t>
      </w:r>
      <w:proofErr w:type="spellStart"/>
      <w:r>
        <w:t>Vodă</w:t>
      </w:r>
      <w:proofErr w:type="spellEnd"/>
      <w:r>
        <w:t xml:space="preserve"> and </w:t>
      </w:r>
      <w:proofErr w:type="spellStart"/>
      <w:r>
        <w:t>Florea</w:t>
      </w:r>
      <w:proofErr w:type="spellEnd"/>
      <w:r>
        <w:t>, 2019). This skill is thus considered to be important in businesses,</w:t>
      </w:r>
      <w:r>
        <w:t xml:space="preserve"> pertaining to its direct impact on the business’s objectivity and results. Therefore, </w:t>
      </w:r>
      <w:r>
        <w:lastRenderedPageBreak/>
        <w:t xml:space="preserve">effective decision-making abilities involve associated attributes and competencies such as creativity, analytical thinking, risk taking and intuitive approach. </w:t>
      </w:r>
    </w:p>
    <w:p w14:paraId="1956EEF2" w14:textId="77777777" w:rsidR="00C44D1D" w:rsidRDefault="00783653">
      <w:r>
        <w:rPr>
          <w:b/>
          <w:i/>
        </w:rPr>
        <w:t xml:space="preserve">Finance </w:t>
      </w:r>
      <w:r>
        <w:rPr>
          <w:b/>
          <w:i/>
        </w:rPr>
        <w:t xml:space="preserve">management: </w:t>
      </w:r>
      <w:r>
        <w:t>The trait of having finance management is crucial to become a successful entrepreneur. It is regarded as a highly important trait in businesses, as it helps entrepreneurs to track income and expenses, manage cash flow, make clear investment dec</w:t>
      </w:r>
      <w:r>
        <w:t>isions and budget, and undergo profit and loss estimations to grow a business. It is also important for businesses, owing to its ability to monitor cash inflows and outflows (</w:t>
      </w:r>
      <w:proofErr w:type="spellStart"/>
      <w:r>
        <w:t>Bazkiaei</w:t>
      </w:r>
      <w:proofErr w:type="spellEnd"/>
      <w:r>
        <w:t xml:space="preserve"> </w:t>
      </w:r>
      <w:r>
        <w:rPr>
          <w:i/>
        </w:rPr>
        <w:t xml:space="preserve">et al., </w:t>
      </w:r>
      <w:r>
        <w:t xml:space="preserve">2020), to prevent cash flow issues. Finance management trait in </w:t>
      </w:r>
      <w:r>
        <w:t xml:space="preserve">entrepreneurial businesses further provides scope of growth, by early estimation of revenues, profits and losses. This trait in businesses enables entrepreneurs to analyse investments, liquidity, cash runaway, and profitability. </w:t>
      </w:r>
    </w:p>
    <w:p w14:paraId="37196646" w14:textId="68933B30" w:rsidR="00C44D1D" w:rsidRDefault="00783653">
      <w:r>
        <w:rPr>
          <w:b/>
          <w:i/>
        </w:rPr>
        <w:t xml:space="preserve">Confidence: </w:t>
      </w:r>
      <w:r>
        <w:t>Since entrepre</w:t>
      </w:r>
      <w:r>
        <w:t xml:space="preserve">neurial businesses encounter failures and loss, the behavioural trait of being confident is essential for today's entrepreneurs. Moreover, confidence as a behaviour is important in businesses, as it </w:t>
      </w:r>
      <w:r w:rsidR="00C31B1C">
        <w:t>allows</w:t>
      </w:r>
      <w:r>
        <w:t xml:space="preserve"> the </w:t>
      </w:r>
      <w:r w:rsidR="00C31B1C">
        <w:t>individuals</w:t>
      </w:r>
      <w:r>
        <w:t xml:space="preserve"> to set SMART goals, undergo rapid </w:t>
      </w:r>
      <w:r>
        <w:t xml:space="preserve">and accurate decision-making, and set realistic objectives for the business operations. </w:t>
      </w:r>
      <w:r w:rsidR="00C31B1C">
        <w:t xml:space="preserve">Also, </w:t>
      </w:r>
      <w:r>
        <w:t xml:space="preserve">this behavioural trait helps the </w:t>
      </w:r>
      <w:proofErr w:type="gramStart"/>
      <w:r w:rsidR="003505CA">
        <w:t>business people</w:t>
      </w:r>
      <w:proofErr w:type="gramEnd"/>
      <w:r>
        <w:t xml:space="preserve"> to expand their expertise as well while focusing on improving their knowledge regarding a specific </w:t>
      </w:r>
      <w:r w:rsidR="003505CA">
        <w:t xml:space="preserve">business </w:t>
      </w:r>
      <w:r>
        <w:t>aspec</w:t>
      </w:r>
      <w:r>
        <w:t>t</w:t>
      </w:r>
      <w:r w:rsidR="003505CA">
        <w:t xml:space="preserve"> </w:t>
      </w:r>
      <w:r>
        <w:t xml:space="preserve">or business as a whole (Farrukh </w:t>
      </w:r>
      <w:r>
        <w:rPr>
          <w:i/>
        </w:rPr>
        <w:t xml:space="preserve">et al., </w:t>
      </w:r>
      <w:r>
        <w:t xml:space="preserve">2018). This behaviour is also important in businesses, </w:t>
      </w:r>
      <w:r w:rsidR="00351597">
        <w:t>considering</w:t>
      </w:r>
      <w:r>
        <w:t xml:space="preserve"> its ability to explore new ways of business operations and be consistent. </w:t>
      </w:r>
    </w:p>
    <w:p w14:paraId="64755349" w14:textId="1848F942" w:rsidR="00C44D1D" w:rsidRDefault="00783653">
      <w:r>
        <w:rPr>
          <w:b/>
          <w:i/>
        </w:rPr>
        <w:t xml:space="preserve">Risk taker: </w:t>
      </w:r>
      <w:r>
        <w:t xml:space="preserve">Referring to the behavioural aspect, risk taking ability is crucial in today's entrepreneurs, </w:t>
      </w:r>
      <w:r w:rsidR="00E3625F">
        <w:t>as they</w:t>
      </w:r>
      <w:r>
        <w:t xml:space="preserve"> experience complex and challenging situations in the business environment. Moreover, risk taking behaviour is also important in businesses, as it allows t</w:t>
      </w:r>
      <w:r>
        <w:t xml:space="preserve">he entrepreneurs to grow and create boundaries, leading to innovative ideas and business success. This behaviour </w:t>
      </w:r>
      <w:r>
        <w:lastRenderedPageBreak/>
        <w:t>allows the entrepreneurs to adapt to changes through resilience, while also acquiring opportunities for growth and improvement (</w:t>
      </w:r>
      <w:proofErr w:type="spellStart"/>
      <w:r>
        <w:t>Vodă</w:t>
      </w:r>
      <w:proofErr w:type="spellEnd"/>
      <w:r>
        <w:t xml:space="preserve"> and </w:t>
      </w:r>
      <w:proofErr w:type="spellStart"/>
      <w:r>
        <w:t>Florea</w:t>
      </w:r>
      <w:proofErr w:type="spellEnd"/>
      <w:r>
        <w:t xml:space="preserve">, 2019). </w:t>
      </w:r>
    </w:p>
    <w:p w14:paraId="0408F8C8" w14:textId="77777777" w:rsidR="00C44D1D" w:rsidRDefault="00783653">
      <w:pPr>
        <w:pStyle w:val="Heading2"/>
      </w:pPr>
      <w:bookmarkStart w:id="6" w:name="_dlrwwbtqkfdr" w:colFirst="0" w:colLast="0"/>
      <w:bookmarkStart w:id="7" w:name="_Toc172454543"/>
      <w:bookmarkEnd w:id="6"/>
      <w:r>
        <w:t xml:space="preserve">Self-assessment to become </w:t>
      </w:r>
      <w:proofErr w:type="gramStart"/>
      <w:r>
        <w:t>entrepreneur</w:t>
      </w:r>
      <w:bookmarkEnd w:id="7"/>
      <w:proofErr w:type="gramEnd"/>
    </w:p>
    <w:p w14:paraId="673CBB4A" w14:textId="77777777" w:rsidR="00C44D1D" w:rsidRDefault="00783653">
      <w:pPr>
        <w:pStyle w:val="Heading3"/>
      </w:pPr>
      <w:bookmarkStart w:id="8" w:name="_gfi70mxl0yz" w:colFirst="0" w:colLast="0"/>
      <w:bookmarkStart w:id="9" w:name="_Toc172454544"/>
      <w:bookmarkEnd w:id="8"/>
      <w:r>
        <w:t>Skill Audit</w:t>
      </w:r>
      <w:bookmarkEnd w:id="9"/>
      <w:r>
        <w:t xml:space="preserve"> </w:t>
      </w:r>
    </w:p>
    <w:p w14:paraId="1FE9ED49" w14:textId="77777777" w:rsidR="00C44D1D" w:rsidRDefault="00783653">
      <w:r>
        <w:t xml:space="preserve">In order to analyse my own entrepreneurial competencies, I have undergone the skill audit using </w:t>
      </w:r>
      <w:r>
        <w:rPr>
          <w:b/>
          <w:i/>
        </w:rPr>
        <w:t xml:space="preserve">The Big Five Assessment Test. </w:t>
      </w:r>
      <w:r>
        <w:t>As the result shows, I am an open and conscious individual with an e</w:t>
      </w:r>
      <w:r>
        <w:t>xtroverted approach towards my decisions and actions. As I have a good score in Agreeableness, I have a free spirit for communication and active listening, which makes me a great entrepreneur by nature. However, since entrepreneurial ventures encounter fai</w:t>
      </w:r>
      <w:r>
        <w:t xml:space="preserve">lures and loss, my lack of Neuroticism score (Kerr </w:t>
      </w:r>
      <w:r>
        <w:rPr>
          <w:i/>
        </w:rPr>
        <w:t xml:space="preserve">et al., </w:t>
      </w:r>
      <w:r>
        <w:t xml:space="preserve">2018) describes my possibilities of encountering negative outcomes in my roles, due to my overthinking and impulsive approach towards events. The test results of all the five traits have thus been </w:t>
      </w:r>
      <w:r>
        <w:t>presented below,</w:t>
      </w:r>
    </w:p>
    <w:p w14:paraId="6C40D678" w14:textId="77777777" w:rsidR="00C44D1D" w:rsidRDefault="00783653">
      <w:pPr>
        <w:jc w:val="center"/>
      </w:pPr>
      <w:r>
        <w:rPr>
          <w:noProof/>
        </w:rPr>
        <w:drawing>
          <wp:inline distT="114300" distB="114300" distL="114300" distR="114300" wp14:anchorId="64377E48" wp14:editId="3FF472D6">
            <wp:extent cx="5943600" cy="11430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1143000"/>
                    </a:xfrm>
                    <a:prstGeom prst="rect">
                      <a:avLst/>
                    </a:prstGeom>
                    <a:ln/>
                  </pic:spPr>
                </pic:pic>
              </a:graphicData>
            </a:graphic>
          </wp:inline>
        </w:drawing>
      </w:r>
    </w:p>
    <w:p w14:paraId="0E70A857" w14:textId="77777777" w:rsidR="00C44D1D" w:rsidRDefault="00783653">
      <w:pPr>
        <w:jc w:val="center"/>
      </w:pPr>
      <w:r>
        <w:t>Figure: Openness</w:t>
      </w:r>
    </w:p>
    <w:p w14:paraId="12F6D711" w14:textId="77777777" w:rsidR="00C44D1D" w:rsidRDefault="00783653">
      <w:pPr>
        <w:jc w:val="center"/>
      </w:pPr>
      <w:r>
        <w:rPr>
          <w:noProof/>
        </w:rPr>
        <w:drawing>
          <wp:inline distT="114300" distB="114300" distL="114300" distR="114300" wp14:anchorId="1FE65E0D" wp14:editId="63B2D82F">
            <wp:extent cx="5943600" cy="1168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1168400"/>
                    </a:xfrm>
                    <a:prstGeom prst="rect">
                      <a:avLst/>
                    </a:prstGeom>
                    <a:ln/>
                  </pic:spPr>
                </pic:pic>
              </a:graphicData>
            </a:graphic>
          </wp:inline>
        </w:drawing>
      </w:r>
    </w:p>
    <w:p w14:paraId="22A56944" w14:textId="77777777" w:rsidR="00C44D1D" w:rsidRDefault="00783653">
      <w:pPr>
        <w:jc w:val="center"/>
      </w:pPr>
      <w:r>
        <w:lastRenderedPageBreak/>
        <w:t>Figure: Consciousness</w:t>
      </w:r>
    </w:p>
    <w:p w14:paraId="3EC4111F" w14:textId="77777777" w:rsidR="00C44D1D" w:rsidRDefault="00783653">
      <w:pPr>
        <w:jc w:val="center"/>
      </w:pPr>
      <w:r>
        <w:rPr>
          <w:noProof/>
        </w:rPr>
        <w:drawing>
          <wp:inline distT="114300" distB="114300" distL="114300" distR="114300" wp14:anchorId="5F1C7D81" wp14:editId="6307B66C">
            <wp:extent cx="5943600" cy="12573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1257300"/>
                    </a:xfrm>
                    <a:prstGeom prst="rect">
                      <a:avLst/>
                    </a:prstGeom>
                    <a:ln/>
                  </pic:spPr>
                </pic:pic>
              </a:graphicData>
            </a:graphic>
          </wp:inline>
        </w:drawing>
      </w:r>
      <w:r>
        <w:t>Figure: Extraversion</w:t>
      </w:r>
    </w:p>
    <w:p w14:paraId="02D1ADAE" w14:textId="77777777" w:rsidR="00C44D1D" w:rsidRDefault="00783653">
      <w:pPr>
        <w:jc w:val="center"/>
      </w:pPr>
      <w:r>
        <w:rPr>
          <w:noProof/>
        </w:rPr>
        <w:drawing>
          <wp:inline distT="114300" distB="114300" distL="114300" distR="114300" wp14:anchorId="39EE310A" wp14:editId="01DC2461">
            <wp:extent cx="5943600" cy="1117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1117600"/>
                    </a:xfrm>
                    <a:prstGeom prst="rect">
                      <a:avLst/>
                    </a:prstGeom>
                    <a:ln/>
                  </pic:spPr>
                </pic:pic>
              </a:graphicData>
            </a:graphic>
          </wp:inline>
        </w:drawing>
      </w:r>
    </w:p>
    <w:p w14:paraId="41009067" w14:textId="77777777" w:rsidR="00C44D1D" w:rsidRDefault="00783653">
      <w:pPr>
        <w:jc w:val="center"/>
      </w:pPr>
      <w:r>
        <w:t>Figure: Agreeableness</w:t>
      </w:r>
    </w:p>
    <w:p w14:paraId="4DB08EFE" w14:textId="77777777" w:rsidR="00C44D1D" w:rsidRDefault="00783653">
      <w:pPr>
        <w:jc w:val="center"/>
      </w:pPr>
      <w:r>
        <w:rPr>
          <w:noProof/>
        </w:rPr>
        <w:drawing>
          <wp:inline distT="114300" distB="114300" distL="114300" distR="114300" wp14:anchorId="756C453F" wp14:editId="55A981F1">
            <wp:extent cx="5943600" cy="11684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1168400"/>
                    </a:xfrm>
                    <a:prstGeom prst="rect">
                      <a:avLst/>
                    </a:prstGeom>
                    <a:ln/>
                  </pic:spPr>
                </pic:pic>
              </a:graphicData>
            </a:graphic>
          </wp:inline>
        </w:drawing>
      </w:r>
    </w:p>
    <w:p w14:paraId="096A935F" w14:textId="77777777" w:rsidR="00C44D1D" w:rsidRDefault="00783653">
      <w:pPr>
        <w:jc w:val="center"/>
      </w:pPr>
      <w:r>
        <w:t xml:space="preserve">Figure: Neuroticism </w:t>
      </w:r>
    </w:p>
    <w:p w14:paraId="58A468F8" w14:textId="77777777" w:rsidR="00C44D1D" w:rsidRDefault="00783653">
      <w:pPr>
        <w:pStyle w:val="Heading3"/>
      </w:pPr>
      <w:bookmarkStart w:id="10" w:name="_ya380s41lp2t" w:colFirst="0" w:colLast="0"/>
      <w:bookmarkStart w:id="11" w:name="_Toc172454545"/>
      <w:bookmarkEnd w:id="10"/>
      <w:r>
        <w:t>SWOT Analysis</w:t>
      </w:r>
      <w:bookmarkEnd w:id="11"/>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0"/>
        <w:gridCol w:w="6420"/>
      </w:tblGrid>
      <w:tr w:rsidR="00C44D1D" w14:paraId="1B6AC735" w14:textId="77777777">
        <w:tc>
          <w:tcPr>
            <w:tcW w:w="2940" w:type="dxa"/>
            <w:shd w:val="clear" w:color="auto" w:fill="auto"/>
            <w:tcMar>
              <w:top w:w="100" w:type="dxa"/>
              <w:left w:w="100" w:type="dxa"/>
              <w:bottom w:w="100" w:type="dxa"/>
              <w:right w:w="100" w:type="dxa"/>
            </w:tcMar>
          </w:tcPr>
          <w:p w14:paraId="365BDA8B" w14:textId="77777777" w:rsidR="00C44D1D" w:rsidRDefault="00783653">
            <w:pPr>
              <w:widowControl w:val="0"/>
              <w:pBdr>
                <w:top w:val="nil"/>
                <w:left w:val="nil"/>
                <w:bottom w:val="nil"/>
                <w:right w:val="nil"/>
                <w:between w:val="nil"/>
              </w:pBdr>
            </w:pPr>
            <w:r>
              <w:rPr>
                <w:b/>
              </w:rPr>
              <w:t>Strengths</w:t>
            </w:r>
          </w:p>
        </w:tc>
        <w:tc>
          <w:tcPr>
            <w:tcW w:w="6420" w:type="dxa"/>
            <w:shd w:val="clear" w:color="auto" w:fill="auto"/>
            <w:tcMar>
              <w:top w:w="100" w:type="dxa"/>
              <w:left w:w="100" w:type="dxa"/>
              <w:bottom w:w="100" w:type="dxa"/>
              <w:right w:w="100" w:type="dxa"/>
            </w:tcMar>
          </w:tcPr>
          <w:p w14:paraId="7CDBE846" w14:textId="77777777" w:rsidR="00C44D1D" w:rsidRDefault="00783653">
            <w:pPr>
              <w:widowControl w:val="0"/>
            </w:pPr>
            <w:r>
              <w:t xml:space="preserve">I inherit a strong communication and interaction ability that makes me eligible to become an entrepreneur. My critical thinking ability and openness towards executing business </w:t>
            </w:r>
            <w:r>
              <w:lastRenderedPageBreak/>
              <w:t>functions, enables me to become a successful entrepreneur (Ismail and Zain, 2015</w:t>
            </w:r>
            <w:r>
              <w:t xml:space="preserve">). </w:t>
            </w:r>
          </w:p>
        </w:tc>
      </w:tr>
      <w:tr w:rsidR="00C44D1D" w14:paraId="0B723C07" w14:textId="77777777">
        <w:tc>
          <w:tcPr>
            <w:tcW w:w="2940" w:type="dxa"/>
            <w:shd w:val="clear" w:color="auto" w:fill="auto"/>
            <w:tcMar>
              <w:top w:w="100" w:type="dxa"/>
              <w:left w:w="100" w:type="dxa"/>
              <w:bottom w:w="100" w:type="dxa"/>
              <w:right w:w="100" w:type="dxa"/>
            </w:tcMar>
          </w:tcPr>
          <w:p w14:paraId="6A6906CE" w14:textId="77777777" w:rsidR="00C44D1D" w:rsidRDefault="00783653">
            <w:pPr>
              <w:widowControl w:val="0"/>
            </w:pPr>
            <w:r>
              <w:rPr>
                <w:b/>
              </w:rPr>
              <w:lastRenderedPageBreak/>
              <w:t>Weaknesses</w:t>
            </w:r>
          </w:p>
        </w:tc>
        <w:tc>
          <w:tcPr>
            <w:tcW w:w="6420" w:type="dxa"/>
            <w:shd w:val="clear" w:color="auto" w:fill="auto"/>
            <w:tcMar>
              <w:top w:w="100" w:type="dxa"/>
              <w:left w:w="100" w:type="dxa"/>
              <w:bottom w:w="100" w:type="dxa"/>
              <w:right w:w="100" w:type="dxa"/>
            </w:tcMar>
          </w:tcPr>
          <w:p w14:paraId="5A3702C6" w14:textId="77777777" w:rsidR="00C44D1D" w:rsidRDefault="00783653">
            <w:pPr>
              <w:widowControl w:val="0"/>
              <w:pBdr>
                <w:top w:val="nil"/>
                <w:left w:val="nil"/>
                <w:bottom w:val="nil"/>
                <w:right w:val="nil"/>
                <w:between w:val="nil"/>
              </w:pBdr>
            </w:pPr>
            <w:r>
              <w:t>It is imperative to state that I have an impulsive and irrational approach towards every negative outcome, which limits my decision-making abilities and weakens my ideas to process further (Mayr</w:t>
            </w:r>
            <w:r>
              <w:rPr>
                <w:i/>
              </w:rPr>
              <w:t xml:space="preserve"> et al., </w:t>
            </w:r>
            <w:r>
              <w:t xml:space="preserve">2021). </w:t>
            </w:r>
          </w:p>
        </w:tc>
      </w:tr>
      <w:tr w:rsidR="00C44D1D" w14:paraId="77B1B84E" w14:textId="77777777">
        <w:tc>
          <w:tcPr>
            <w:tcW w:w="2940" w:type="dxa"/>
            <w:shd w:val="clear" w:color="auto" w:fill="auto"/>
            <w:tcMar>
              <w:top w:w="100" w:type="dxa"/>
              <w:left w:w="100" w:type="dxa"/>
              <w:bottom w:w="100" w:type="dxa"/>
              <w:right w:w="100" w:type="dxa"/>
            </w:tcMar>
          </w:tcPr>
          <w:p w14:paraId="387580B5" w14:textId="77777777" w:rsidR="00C44D1D" w:rsidRDefault="00783653">
            <w:pPr>
              <w:widowControl w:val="0"/>
              <w:rPr>
                <w:b/>
              </w:rPr>
            </w:pPr>
            <w:r>
              <w:rPr>
                <w:b/>
              </w:rPr>
              <w:t>Opportunities</w:t>
            </w:r>
          </w:p>
        </w:tc>
        <w:tc>
          <w:tcPr>
            <w:tcW w:w="6420" w:type="dxa"/>
            <w:shd w:val="clear" w:color="auto" w:fill="auto"/>
            <w:tcMar>
              <w:top w:w="100" w:type="dxa"/>
              <w:left w:w="100" w:type="dxa"/>
              <w:bottom w:w="100" w:type="dxa"/>
              <w:right w:w="100" w:type="dxa"/>
            </w:tcMar>
          </w:tcPr>
          <w:p w14:paraId="0ED76105" w14:textId="77777777" w:rsidR="00C44D1D" w:rsidRDefault="00783653">
            <w:pPr>
              <w:widowControl w:val="0"/>
              <w:pBdr>
                <w:top w:val="nil"/>
                <w:left w:val="nil"/>
                <w:bottom w:val="nil"/>
                <w:right w:val="nil"/>
                <w:between w:val="nil"/>
              </w:pBdr>
            </w:pPr>
            <w:r>
              <w:t>Owing to my ex</w:t>
            </w:r>
            <w:r>
              <w:t xml:space="preserve">troversion account and consistency towards my roles, I can potentially have opportunities of expanding my skills set and exploring different business growth, improving me as an entrepreneur. </w:t>
            </w:r>
          </w:p>
        </w:tc>
      </w:tr>
      <w:tr w:rsidR="00C44D1D" w14:paraId="3119AAB5" w14:textId="77777777">
        <w:tc>
          <w:tcPr>
            <w:tcW w:w="2940" w:type="dxa"/>
            <w:shd w:val="clear" w:color="auto" w:fill="auto"/>
            <w:tcMar>
              <w:top w:w="100" w:type="dxa"/>
              <w:left w:w="100" w:type="dxa"/>
              <w:bottom w:w="100" w:type="dxa"/>
              <w:right w:w="100" w:type="dxa"/>
            </w:tcMar>
          </w:tcPr>
          <w:p w14:paraId="77F89114" w14:textId="77777777" w:rsidR="00C44D1D" w:rsidRDefault="00783653">
            <w:pPr>
              <w:widowControl w:val="0"/>
              <w:rPr>
                <w:b/>
              </w:rPr>
            </w:pPr>
            <w:r>
              <w:rPr>
                <w:b/>
              </w:rPr>
              <w:t>Threats</w:t>
            </w:r>
          </w:p>
        </w:tc>
        <w:tc>
          <w:tcPr>
            <w:tcW w:w="6420" w:type="dxa"/>
            <w:shd w:val="clear" w:color="auto" w:fill="auto"/>
            <w:tcMar>
              <w:top w:w="100" w:type="dxa"/>
              <w:left w:w="100" w:type="dxa"/>
              <w:bottom w:w="100" w:type="dxa"/>
              <w:right w:w="100" w:type="dxa"/>
            </w:tcMar>
          </w:tcPr>
          <w:p w14:paraId="15E29924" w14:textId="77777777" w:rsidR="00C44D1D" w:rsidRDefault="00783653">
            <w:pPr>
              <w:widowControl w:val="0"/>
              <w:pBdr>
                <w:top w:val="nil"/>
                <w:left w:val="nil"/>
                <w:bottom w:val="nil"/>
                <w:right w:val="nil"/>
                <w:between w:val="nil"/>
              </w:pBdr>
            </w:pPr>
            <w:r>
              <w:t>The high competition level in the horticulture industry</w:t>
            </w:r>
            <w:r>
              <w:t xml:space="preserve"> in the UK (Thompson-Whiteside </w:t>
            </w:r>
            <w:r>
              <w:rPr>
                <w:i/>
              </w:rPr>
              <w:t xml:space="preserve">et al., </w:t>
            </w:r>
            <w:r>
              <w:t xml:space="preserve">2018), will be a significant threat to me as an entrepreneur, aiming to open my own business of Plant Hotel. </w:t>
            </w:r>
          </w:p>
        </w:tc>
      </w:tr>
    </w:tbl>
    <w:p w14:paraId="40B6B72C" w14:textId="77777777" w:rsidR="00C44D1D" w:rsidRDefault="00783653">
      <w:pPr>
        <w:pStyle w:val="Heading2"/>
      </w:pPr>
      <w:bookmarkStart w:id="12" w:name="_td0lz9h9repf" w:colFirst="0" w:colLast="0"/>
      <w:bookmarkStart w:id="13" w:name="_Toc172454546"/>
      <w:bookmarkEnd w:id="12"/>
      <w:r>
        <w:t>Market analysis of horticulture industry in the UK</w:t>
      </w:r>
      <w:bookmarkEnd w:id="13"/>
    </w:p>
    <w:p w14:paraId="3C9DEF85" w14:textId="77777777" w:rsidR="00C44D1D" w:rsidRDefault="00783653">
      <w:r>
        <w:t>The business idea of opening a Plant Hotel and providing services of garden care and plant growth, significantly falls under the Gardening market of the horticulture industry. The horticulture sector in the UK is worth £5 billion, where the households of t</w:t>
      </w:r>
      <w:r>
        <w:t xml:space="preserve">he UK, in 2020, had been seen to spend </w:t>
      </w:r>
      <w:r>
        <w:lastRenderedPageBreak/>
        <w:t>around £6.2 billion on gardening goods, flowers and plants. The spending significantly surged further in 2021 to £7.6 billion (</w:t>
      </w:r>
      <w:proofErr w:type="spellStart"/>
      <w:r>
        <w:t>Cladco</w:t>
      </w:r>
      <w:proofErr w:type="spellEnd"/>
      <w:r>
        <w:t xml:space="preserve">, 2024). </w:t>
      </w:r>
    </w:p>
    <w:p w14:paraId="11FAA7AC" w14:textId="77777777" w:rsidR="00C44D1D" w:rsidRDefault="00783653">
      <w:pPr>
        <w:pStyle w:val="Heading3"/>
      </w:pPr>
      <w:bookmarkStart w:id="14" w:name="_gg8lklprl70c" w:colFirst="0" w:colLast="0"/>
      <w:bookmarkStart w:id="15" w:name="_Toc172454547"/>
      <w:bookmarkEnd w:id="14"/>
      <w:r>
        <w:t>PEST Analysis</w:t>
      </w:r>
      <w:bookmarkEnd w:id="15"/>
      <w:r>
        <w:t xml:space="preserve"> </w:t>
      </w:r>
    </w:p>
    <w:p w14:paraId="57FF299B" w14:textId="77777777" w:rsidR="00C44D1D" w:rsidRDefault="00783653">
      <w:r>
        <w:rPr>
          <w:b/>
          <w:i/>
        </w:rPr>
        <w:t xml:space="preserve">Political: </w:t>
      </w:r>
      <w:r>
        <w:t xml:space="preserve">The post-Brexit trade restrictions have imposed </w:t>
      </w:r>
      <w:r>
        <w:t xml:space="preserve">political impact on the horticulture industry in the UK. Increased costs and restrictions on the sector to export plants and gardening goods to the EU have dropped the value of trade, missing opportunities to grow its contribution towards UK ‘green trade' </w:t>
      </w:r>
      <w:r>
        <w:t>(</w:t>
      </w:r>
      <w:proofErr w:type="spellStart"/>
      <w:r>
        <w:t>Korir</w:t>
      </w:r>
      <w:proofErr w:type="spellEnd"/>
      <w:r>
        <w:t xml:space="preserve"> </w:t>
      </w:r>
      <w:r>
        <w:rPr>
          <w:i/>
        </w:rPr>
        <w:t xml:space="preserve">et al., </w:t>
      </w:r>
      <w:r>
        <w:t xml:space="preserve">2021). As per the report of </w:t>
      </w:r>
      <w:proofErr w:type="spellStart"/>
      <w:r>
        <w:t>McQuilliam</w:t>
      </w:r>
      <w:proofErr w:type="spellEnd"/>
      <w:r>
        <w:t xml:space="preserve"> (2022), exports of live plants and plant materials from the UK to EU in 2022, were valued at £9.7 million, as compared to £16 million in 2019. </w:t>
      </w:r>
    </w:p>
    <w:p w14:paraId="72EBFB05" w14:textId="77777777" w:rsidR="00C44D1D" w:rsidRDefault="00783653">
      <w:r>
        <w:rPr>
          <w:b/>
          <w:i/>
        </w:rPr>
        <w:t xml:space="preserve">Economic: </w:t>
      </w:r>
      <w:r>
        <w:t>Since the gardening market belongs to the hortic</w:t>
      </w:r>
      <w:r>
        <w:t>ulture industry, the sector has seen a significant fall in their production of plants and gardening goods of between 10-30% in 2022, due to the sudden strike of Covid-19 pandemic and lockdown measures. Since, this industry is dependent on crop type and lab</w:t>
      </w:r>
      <w:r>
        <w:t xml:space="preserve">our skills, lack of worker availability and cost pressures, the industry had potential threats and negative impact (Bulgari </w:t>
      </w:r>
      <w:r>
        <w:rPr>
          <w:i/>
        </w:rPr>
        <w:t xml:space="preserve">et al., </w:t>
      </w:r>
      <w:r>
        <w:t xml:space="preserve">2021). </w:t>
      </w:r>
    </w:p>
    <w:p w14:paraId="6209D53E" w14:textId="77777777" w:rsidR="00C44D1D" w:rsidRDefault="00783653">
      <w:r>
        <w:rPr>
          <w:b/>
          <w:i/>
        </w:rPr>
        <w:t xml:space="preserve">Social: </w:t>
      </w:r>
      <w:r>
        <w:t>The gardening market under the horticulture industry, focuses on meeting the environmental requirement and m</w:t>
      </w:r>
      <w:r>
        <w:t xml:space="preserve">alnutrition issues. Since it aims to support nature and environmental protection through afforestation, plant growth and gardening, the social contribution of this industry imposes a positive impact on the environment (Schmutz </w:t>
      </w:r>
      <w:r>
        <w:rPr>
          <w:i/>
        </w:rPr>
        <w:t xml:space="preserve">et al., </w:t>
      </w:r>
      <w:r>
        <w:t xml:space="preserve">2018). </w:t>
      </w:r>
    </w:p>
    <w:p w14:paraId="2E46910D" w14:textId="3A35CEB4" w:rsidR="00A17EC7" w:rsidRDefault="00783653">
      <w:r>
        <w:rPr>
          <w:b/>
          <w:i/>
        </w:rPr>
        <w:t>Technological</w:t>
      </w:r>
      <w:r>
        <w:rPr>
          <w:b/>
          <w:i/>
        </w:rPr>
        <w:t xml:space="preserve">: </w:t>
      </w:r>
      <w:r>
        <w:t>The horticulture industry includes the use of advanced technology such as sensors, GPS, and data analytics to reduce waste, manage resources efficiently, and optimise crop yields (Feliciano, 2022). These technological adaptations positively impact the in</w:t>
      </w:r>
      <w:r>
        <w:t xml:space="preserve">dustry to successfully </w:t>
      </w:r>
      <w:r>
        <w:lastRenderedPageBreak/>
        <w:t xml:space="preserve">provide sustainable competitive advantage to the businesses and entrepreneurial </w:t>
      </w:r>
      <w:proofErr w:type="spellStart"/>
      <w:r>
        <w:t>startups</w:t>
      </w:r>
      <w:proofErr w:type="spellEnd"/>
      <w:r>
        <w:t xml:space="preserve"> like Plant Hotel. </w:t>
      </w:r>
    </w:p>
    <w:p w14:paraId="3D479C6B" w14:textId="77777777" w:rsidR="00A17EC7" w:rsidRDefault="00A17EC7">
      <w:r>
        <w:br w:type="page"/>
      </w:r>
    </w:p>
    <w:p w14:paraId="09EB6BB7" w14:textId="453D3FD3" w:rsidR="00A17EC7" w:rsidRDefault="00A17EC7" w:rsidP="00A17EC7">
      <w:pPr>
        <w:pStyle w:val="Heading1"/>
      </w:pPr>
      <w:bookmarkStart w:id="16" w:name="_Toc172454548"/>
      <w:r>
        <w:lastRenderedPageBreak/>
        <w:t>References</w:t>
      </w:r>
      <w:bookmarkEnd w:id="16"/>
    </w:p>
    <w:p w14:paraId="3FCE53E4" w14:textId="77777777" w:rsidR="00A17EC7" w:rsidRPr="00A17EC7" w:rsidRDefault="00A17EC7" w:rsidP="00A17EC7">
      <w:pPr>
        <w:rPr>
          <w:shd w:val="clear" w:color="auto" w:fill="FFFFFF"/>
        </w:rPr>
      </w:pPr>
      <w:proofErr w:type="spellStart"/>
      <w:r w:rsidRPr="00A17EC7">
        <w:rPr>
          <w:shd w:val="clear" w:color="auto" w:fill="FFFFFF"/>
        </w:rPr>
        <w:t>Bazkiaei</w:t>
      </w:r>
      <w:proofErr w:type="spellEnd"/>
      <w:r w:rsidRPr="00A17EC7">
        <w:rPr>
          <w:shd w:val="clear" w:color="auto" w:fill="FFFFFF"/>
        </w:rPr>
        <w:t xml:space="preserve">, H.A., Heng, L.H., Khan, N.U., </w:t>
      </w:r>
      <w:proofErr w:type="spellStart"/>
      <w:r w:rsidRPr="00A17EC7">
        <w:rPr>
          <w:shd w:val="clear" w:color="auto" w:fill="FFFFFF"/>
        </w:rPr>
        <w:t>Saufi</w:t>
      </w:r>
      <w:proofErr w:type="spellEnd"/>
      <w:r w:rsidRPr="00A17EC7">
        <w:rPr>
          <w:shd w:val="clear" w:color="auto" w:fill="FFFFFF"/>
        </w:rPr>
        <w:t xml:space="preserve">, R.B.A. and Kasim, R.S.R., (2020). Do entrepreneurial education and big-five personality traits predict entrepreneurial intention among universities </w:t>
      </w:r>
      <w:proofErr w:type="gramStart"/>
      <w:r w:rsidRPr="00A17EC7">
        <w:rPr>
          <w:shd w:val="clear" w:color="auto" w:fill="FFFFFF"/>
        </w:rPr>
        <w:t>students?.</w:t>
      </w:r>
      <w:proofErr w:type="gramEnd"/>
      <w:r w:rsidRPr="00A17EC7">
        <w:rPr>
          <w:shd w:val="clear" w:color="auto" w:fill="FFFFFF"/>
        </w:rPr>
        <w:t> </w:t>
      </w:r>
      <w:r w:rsidRPr="00A17EC7">
        <w:rPr>
          <w:i/>
          <w:iCs/>
          <w:shd w:val="clear" w:color="auto" w:fill="FFFFFF"/>
        </w:rPr>
        <w:t>Cogent business &amp; management</w:t>
      </w:r>
      <w:r w:rsidRPr="00A17EC7">
        <w:rPr>
          <w:shd w:val="clear" w:color="auto" w:fill="FFFFFF"/>
        </w:rPr>
        <w:t>, </w:t>
      </w:r>
      <w:r w:rsidRPr="00A17EC7">
        <w:rPr>
          <w:i/>
          <w:iCs/>
          <w:shd w:val="clear" w:color="auto" w:fill="FFFFFF"/>
        </w:rPr>
        <w:t>7</w:t>
      </w:r>
      <w:r w:rsidRPr="00A17EC7">
        <w:rPr>
          <w:shd w:val="clear" w:color="auto" w:fill="FFFFFF"/>
        </w:rPr>
        <w:t>(1), p.1801217.</w:t>
      </w:r>
    </w:p>
    <w:p w14:paraId="6975206D" w14:textId="77777777" w:rsidR="00A17EC7" w:rsidRPr="00A17EC7" w:rsidRDefault="00A17EC7" w:rsidP="00A17EC7">
      <w:pPr>
        <w:pStyle w:val="NormalWeb"/>
        <w:spacing w:before="0" w:beforeAutospacing="0" w:after="240" w:afterAutospacing="0" w:line="480" w:lineRule="auto"/>
        <w:jc w:val="both"/>
        <w:rPr>
          <w:shd w:val="clear" w:color="auto" w:fill="FFFFFF"/>
        </w:rPr>
      </w:pPr>
      <w:r w:rsidRPr="00A17EC7">
        <w:rPr>
          <w:shd w:val="clear" w:color="auto" w:fill="FFFFFF"/>
        </w:rPr>
        <w:t xml:space="preserve">Bulgari, R., </w:t>
      </w:r>
      <w:proofErr w:type="spellStart"/>
      <w:r w:rsidRPr="00A17EC7">
        <w:rPr>
          <w:shd w:val="clear" w:color="auto" w:fill="FFFFFF"/>
        </w:rPr>
        <w:t>Petrini</w:t>
      </w:r>
      <w:proofErr w:type="spellEnd"/>
      <w:r w:rsidRPr="00A17EC7">
        <w:rPr>
          <w:shd w:val="clear" w:color="auto" w:fill="FFFFFF"/>
        </w:rPr>
        <w:t xml:space="preserve">, A., </w:t>
      </w:r>
      <w:proofErr w:type="spellStart"/>
      <w:r w:rsidRPr="00A17EC7">
        <w:rPr>
          <w:shd w:val="clear" w:color="auto" w:fill="FFFFFF"/>
        </w:rPr>
        <w:t>Cocetta</w:t>
      </w:r>
      <w:proofErr w:type="spellEnd"/>
      <w:r w:rsidRPr="00A17EC7">
        <w:rPr>
          <w:shd w:val="clear" w:color="auto" w:fill="FFFFFF"/>
        </w:rPr>
        <w:t xml:space="preserve">, G., </w:t>
      </w:r>
      <w:proofErr w:type="spellStart"/>
      <w:r w:rsidRPr="00A17EC7">
        <w:rPr>
          <w:shd w:val="clear" w:color="auto" w:fill="FFFFFF"/>
        </w:rPr>
        <w:t>Nicoletto</w:t>
      </w:r>
      <w:proofErr w:type="spellEnd"/>
      <w:r w:rsidRPr="00A17EC7">
        <w:rPr>
          <w:shd w:val="clear" w:color="auto" w:fill="FFFFFF"/>
        </w:rPr>
        <w:t xml:space="preserve">, C., </w:t>
      </w:r>
      <w:proofErr w:type="spellStart"/>
      <w:r w:rsidRPr="00A17EC7">
        <w:rPr>
          <w:shd w:val="clear" w:color="auto" w:fill="FFFFFF"/>
        </w:rPr>
        <w:t>Ertani</w:t>
      </w:r>
      <w:proofErr w:type="spellEnd"/>
      <w:r w:rsidRPr="00A17EC7">
        <w:rPr>
          <w:shd w:val="clear" w:color="auto" w:fill="FFFFFF"/>
        </w:rPr>
        <w:t>, A., Sambo, P., Ferrante, A. and Nicola, S., (2021). The impact of COVID-19 on horticulture: Critical issues and opportunities derived from an unexpected occurrence. </w:t>
      </w:r>
      <w:proofErr w:type="spellStart"/>
      <w:r w:rsidRPr="00A17EC7">
        <w:rPr>
          <w:i/>
          <w:iCs/>
          <w:shd w:val="clear" w:color="auto" w:fill="FFFFFF"/>
        </w:rPr>
        <w:t>Horticulturae</w:t>
      </w:r>
      <w:proofErr w:type="spellEnd"/>
      <w:r w:rsidRPr="00A17EC7">
        <w:rPr>
          <w:shd w:val="clear" w:color="auto" w:fill="FFFFFF"/>
        </w:rPr>
        <w:t>, </w:t>
      </w:r>
      <w:r w:rsidRPr="00A17EC7">
        <w:rPr>
          <w:i/>
          <w:iCs/>
          <w:shd w:val="clear" w:color="auto" w:fill="FFFFFF"/>
        </w:rPr>
        <w:t>7</w:t>
      </w:r>
      <w:r w:rsidRPr="00A17EC7">
        <w:rPr>
          <w:shd w:val="clear" w:color="auto" w:fill="FFFFFF"/>
        </w:rPr>
        <w:t>(6), p.124.</w:t>
      </w:r>
    </w:p>
    <w:p w14:paraId="4D69E431" w14:textId="77777777" w:rsidR="00A17EC7" w:rsidRPr="00A17EC7" w:rsidRDefault="00A17EC7" w:rsidP="00A17EC7">
      <w:pPr>
        <w:rPr>
          <w:shd w:val="clear" w:color="auto" w:fill="FFFFFF"/>
        </w:rPr>
      </w:pPr>
      <w:r w:rsidRPr="00A17EC7">
        <w:rPr>
          <w:shd w:val="clear" w:color="auto" w:fill="FFFFFF"/>
        </w:rPr>
        <w:t>Burns, P., (2022). </w:t>
      </w:r>
      <w:r w:rsidRPr="00A17EC7">
        <w:rPr>
          <w:i/>
          <w:iCs/>
          <w:shd w:val="clear" w:color="auto" w:fill="FFFFFF"/>
        </w:rPr>
        <w:t>Entrepreneurship and small business</w:t>
      </w:r>
      <w:r w:rsidRPr="00A17EC7">
        <w:rPr>
          <w:shd w:val="clear" w:color="auto" w:fill="FFFFFF"/>
        </w:rPr>
        <w:t>. Bloomsbury Publishing.</w:t>
      </w:r>
    </w:p>
    <w:p w14:paraId="72640989" w14:textId="77777777" w:rsidR="00A17EC7" w:rsidRPr="00A17EC7" w:rsidRDefault="00A17EC7" w:rsidP="00A17EC7">
      <w:pPr>
        <w:pStyle w:val="NormalWeb"/>
        <w:spacing w:before="0" w:beforeAutospacing="0" w:after="240" w:afterAutospacing="0" w:line="480" w:lineRule="auto"/>
        <w:jc w:val="both"/>
      </w:pPr>
      <w:r w:rsidRPr="00A17EC7">
        <w:rPr>
          <w:rStyle w:val="csl-entry"/>
        </w:rPr>
        <w:t xml:space="preserve">Chartered Institute of Horticulture (2019) </w:t>
      </w:r>
      <w:r w:rsidRPr="00A17EC7">
        <w:rPr>
          <w:rStyle w:val="csl-entry"/>
          <w:i/>
          <w:iCs/>
        </w:rPr>
        <w:t xml:space="preserve">Horticultural business, production and </w:t>
      </w:r>
      <w:proofErr w:type="gramStart"/>
      <w:r w:rsidRPr="00A17EC7">
        <w:rPr>
          <w:rStyle w:val="csl-entry"/>
          <w:i/>
          <w:iCs/>
        </w:rPr>
        <w:t xml:space="preserve">food </w:t>
      </w:r>
      <w:r w:rsidRPr="00A17EC7">
        <w:rPr>
          <w:rStyle w:val="csl-entry"/>
        </w:rPr>
        <w:t>,</w:t>
      </w:r>
      <w:proofErr w:type="gramEnd"/>
      <w:r w:rsidRPr="00A17EC7">
        <w:rPr>
          <w:rStyle w:val="csl-entry"/>
        </w:rPr>
        <w:t xml:space="preserve"> </w:t>
      </w:r>
      <w:r w:rsidRPr="00A17EC7">
        <w:rPr>
          <w:rStyle w:val="csl-entry"/>
          <w:i/>
          <w:iCs/>
        </w:rPr>
        <w:t>Chartered Institute of Horticulture</w:t>
      </w:r>
      <w:r w:rsidRPr="00A17EC7">
        <w:rPr>
          <w:rStyle w:val="csl-entry"/>
        </w:rPr>
        <w:t xml:space="preserve">. Available at: https://www.horticulture.org.uk/grow-careers/business-production-food/ (Accessed: July 8, 2024). </w:t>
      </w:r>
    </w:p>
    <w:p w14:paraId="02CEAF87" w14:textId="77777777" w:rsidR="00A17EC7" w:rsidRPr="00A17EC7" w:rsidRDefault="00A17EC7" w:rsidP="00A17EC7">
      <w:pPr>
        <w:pStyle w:val="NormalWeb"/>
        <w:spacing w:before="0" w:beforeAutospacing="0" w:after="240" w:afterAutospacing="0" w:line="480" w:lineRule="auto"/>
        <w:jc w:val="both"/>
      </w:pPr>
      <w:proofErr w:type="spellStart"/>
      <w:r w:rsidRPr="00A17EC7">
        <w:rPr>
          <w:rStyle w:val="csl-entry"/>
        </w:rPr>
        <w:t>Cladco</w:t>
      </w:r>
      <w:proofErr w:type="spellEnd"/>
      <w:r w:rsidRPr="00A17EC7">
        <w:rPr>
          <w:rStyle w:val="csl-entry"/>
        </w:rPr>
        <w:t xml:space="preserve"> (2024) “UK Gardening </w:t>
      </w:r>
      <w:proofErr w:type="gramStart"/>
      <w:r w:rsidRPr="00A17EC7">
        <w:rPr>
          <w:rStyle w:val="csl-entry"/>
        </w:rPr>
        <w:t>Statistics ,</w:t>
      </w:r>
      <w:proofErr w:type="gramEnd"/>
      <w:r w:rsidRPr="00A17EC7">
        <w:rPr>
          <w:rStyle w:val="csl-entry"/>
        </w:rPr>
        <w:t xml:space="preserve">” </w:t>
      </w:r>
      <w:proofErr w:type="spellStart"/>
      <w:r w:rsidRPr="00A17EC7">
        <w:rPr>
          <w:rStyle w:val="csl-entry"/>
          <w:i/>
          <w:iCs/>
        </w:rPr>
        <w:t>Cladco</w:t>
      </w:r>
      <w:proofErr w:type="spellEnd"/>
      <w:r w:rsidRPr="00A17EC7">
        <w:rPr>
          <w:rStyle w:val="csl-entry"/>
          <w:i/>
          <w:iCs/>
        </w:rPr>
        <w:t xml:space="preserve"> </w:t>
      </w:r>
      <w:r w:rsidRPr="00A17EC7">
        <w:rPr>
          <w:rStyle w:val="csl-entry"/>
        </w:rPr>
        <w:t xml:space="preserve">, 26 May. Available at: https://www.cladcodecking.co.uk/blog/post/uk-gardening-statistics#SPEND-ON-GARDENING (Accessed: July 8, 2024). </w:t>
      </w:r>
    </w:p>
    <w:p w14:paraId="4E30911A" w14:textId="77777777" w:rsidR="00A17EC7" w:rsidRPr="00A17EC7" w:rsidRDefault="00A17EC7" w:rsidP="00A17EC7">
      <w:pPr>
        <w:rPr>
          <w:shd w:val="clear" w:color="auto" w:fill="FFFFFF"/>
        </w:rPr>
      </w:pPr>
      <w:r w:rsidRPr="00A17EC7">
        <w:rPr>
          <w:shd w:val="clear" w:color="auto" w:fill="FFFFFF"/>
        </w:rPr>
        <w:t xml:space="preserve">Edmondson, J.L., Cunningham, H., </w:t>
      </w:r>
      <w:proofErr w:type="spellStart"/>
      <w:r w:rsidRPr="00A17EC7">
        <w:rPr>
          <w:shd w:val="clear" w:color="auto" w:fill="FFFFFF"/>
        </w:rPr>
        <w:t>Densley</w:t>
      </w:r>
      <w:proofErr w:type="spellEnd"/>
      <w:r w:rsidRPr="00A17EC7">
        <w:rPr>
          <w:shd w:val="clear" w:color="auto" w:fill="FFFFFF"/>
        </w:rPr>
        <w:t xml:space="preserve"> Tingley, D.O., Dobson, M.C., </w:t>
      </w:r>
      <w:proofErr w:type="spellStart"/>
      <w:r w:rsidRPr="00A17EC7">
        <w:rPr>
          <w:shd w:val="clear" w:color="auto" w:fill="FFFFFF"/>
        </w:rPr>
        <w:t>Grafius</w:t>
      </w:r>
      <w:proofErr w:type="spellEnd"/>
      <w:r w:rsidRPr="00A17EC7">
        <w:rPr>
          <w:shd w:val="clear" w:color="auto" w:fill="FFFFFF"/>
        </w:rPr>
        <w:t xml:space="preserve">, D.R., </w:t>
      </w:r>
      <w:proofErr w:type="spellStart"/>
      <w:r w:rsidRPr="00A17EC7">
        <w:rPr>
          <w:shd w:val="clear" w:color="auto" w:fill="FFFFFF"/>
        </w:rPr>
        <w:t>Leake</w:t>
      </w:r>
      <w:proofErr w:type="spellEnd"/>
      <w:r w:rsidRPr="00A17EC7">
        <w:rPr>
          <w:shd w:val="clear" w:color="auto" w:fill="FFFFFF"/>
        </w:rPr>
        <w:t xml:space="preserve">, J.R., McHugh, N., </w:t>
      </w:r>
      <w:proofErr w:type="spellStart"/>
      <w:r w:rsidRPr="00A17EC7">
        <w:rPr>
          <w:shd w:val="clear" w:color="auto" w:fill="FFFFFF"/>
        </w:rPr>
        <w:t>Nickles</w:t>
      </w:r>
      <w:proofErr w:type="spellEnd"/>
      <w:r w:rsidRPr="00A17EC7">
        <w:rPr>
          <w:shd w:val="clear" w:color="auto" w:fill="FFFFFF"/>
        </w:rPr>
        <w:t>, J., Phoenix, G.K., Ryan, A.J. and Stovin, V., (2020). The hidden potential of urban horticulture. </w:t>
      </w:r>
      <w:r w:rsidRPr="00A17EC7">
        <w:rPr>
          <w:i/>
          <w:iCs/>
          <w:shd w:val="clear" w:color="auto" w:fill="FFFFFF"/>
        </w:rPr>
        <w:t>Nature food</w:t>
      </w:r>
      <w:r w:rsidRPr="00A17EC7">
        <w:rPr>
          <w:shd w:val="clear" w:color="auto" w:fill="FFFFFF"/>
        </w:rPr>
        <w:t>, </w:t>
      </w:r>
      <w:r w:rsidRPr="00A17EC7">
        <w:rPr>
          <w:i/>
          <w:iCs/>
          <w:shd w:val="clear" w:color="auto" w:fill="FFFFFF"/>
        </w:rPr>
        <w:t>1</w:t>
      </w:r>
      <w:r w:rsidRPr="00A17EC7">
        <w:rPr>
          <w:shd w:val="clear" w:color="auto" w:fill="FFFFFF"/>
        </w:rPr>
        <w:t>(3), pp.155-159.</w:t>
      </w:r>
    </w:p>
    <w:p w14:paraId="383B8217" w14:textId="77777777" w:rsidR="00A17EC7" w:rsidRPr="00A17EC7" w:rsidRDefault="00A17EC7" w:rsidP="00A17EC7">
      <w:pPr>
        <w:rPr>
          <w:shd w:val="clear" w:color="auto" w:fill="FFFFFF"/>
        </w:rPr>
      </w:pPr>
      <w:r w:rsidRPr="00A17EC7">
        <w:rPr>
          <w:shd w:val="clear" w:color="auto" w:fill="FFFFFF"/>
        </w:rPr>
        <w:t xml:space="preserve">Farrukh, M., </w:t>
      </w:r>
      <w:proofErr w:type="spellStart"/>
      <w:r w:rsidRPr="00A17EC7">
        <w:rPr>
          <w:shd w:val="clear" w:color="auto" w:fill="FFFFFF"/>
        </w:rPr>
        <w:t>Alzubi</w:t>
      </w:r>
      <w:proofErr w:type="spellEnd"/>
      <w:r w:rsidRPr="00A17EC7">
        <w:rPr>
          <w:shd w:val="clear" w:color="auto" w:fill="FFFFFF"/>
        </w:rPr>
        <w:t xml:space="preserve">, Y., Shahzad, I.A., </w:t>
      </w:r>
      <w:proofErr w:type="spellStart"/>
      <w:r w:rsidRPr="00A17EC7">
        <w:rPr>
          <w:shd w:val="clear" w:color="auto" w:fill="FFFFFF"/>
        </w:rPr>
        <w:t>Waheed</w:t>
      </w:r>
      <w:proofErr w:type="spellEnd"/>
      <w:r w:rsidRPr="00A17EC7">
        <w:rPr>
          <w:shd w:val="clear" w:color="auto" w:fill="FFFFFF"/>
        </w:rPr>
        <w:t>, A. and Kanwal, N., (2018). Entrepreneurial intentions: The role of personality traits in perspective of theory of planned behaviour. </w:t>
      </w:r>
      <w:r w:rsidRPr="00A17EC7">
        <w:rPr>
          <w:i/>
          <w:iCs/>
          <w:shd w:val="clear" w:color="auto" w:fill="FFFFFF"/>
        </w:rPr>
        <w:t>Asia Pacific Journal of Innovation and Entrepreneurship</w:t>
      </w:r>
      <w:r w:rsidRPr="00A17EC7">
        <w:rPr>
          <w:shd w:val="clear" w:color="auto" w:fill="FFFFFF"/>
        </w:rPr>
        <w:t>, </w:t>
      </w:r>
      <w:r w:rsidRPr="00A17EC7">
        <w:rPr>
          <w:i/>
          <w:iCs/>
          <w:shd w:val="clear" w:color="auto" w:fill="FFFFFF"/>
        </w:rPr>
        <w:t>12</w:t>
      </w:r>
      <w:r w:rsidRPr="00A17EC7">
        <w:rPr>
          <w:shd w:val="clear" w:color="auto" w:fill="FFFFFF"/>
        </w:rPr>
        <w:t>(3), pp.399-414.</w:t>
      </w:r>
    </w:p>
    <w:p w14:paraId="5DFA8F8F" w14:textId="77777777" w:rsidR="00A17EC7" w:rsidRPr="00A17EC7" w:rsidRDefault="00A17EC7" w:rsidP="00A17EC7">
      <w:pPr>
        <w:pStyle w:val="NormalWeb"/>
        <w:spacing w:before="0" w:beforeAutospacing="0" w:after="240" w:afterAutospacing="0" w:line="480" w:lineRule="auto"/>
        <w:jc w:val="both"/>
        <w:rPr>
          <w:shd w:val="clear" w:color="auto" w:fill="FFFFFF"/>
        </w:rPr>
      </w:pPr>
      <w:r w:rsidRPr="00A17EC7">
        <w:rPr>
          <w:shd w:val="clear" w:color="auto" w:fill="FFFFFF"/>
        </w:rPr>
        <w:lastRenderedPageBreak/>
        <w:t>Feliciano, D., (2022). Factors influencing the adoption of sustainable agricultural practices: The case of seven horticultural farms in the United Kingdom. </w:t>
      </w:r>
      <w:r w:rsidRPr="00A17EC7">
        <w:rPr>
          <w:i/>
          <w:iCs/>
          <w:shd w:val="clear" w:color="auto" w:fill="FFFFFF"/>
        </w:rPr>
        <w:t>Scottish Geographical Journal</w:t>
      </w:r>
      <w:r w:rsidRPr="00A17EC7">
        <w:rPr>
          <w:shd w:val="clear" w:color="auto" w:fill="FFFFFF"/>
        </w:rPr>
        <w:t>, </w:t>
      </w:r>
      <w:r w:rsidRPr="00A17EC7">
        <w:rPr>
          <w:i/>
          <w:iCs/>
          <w:shd w:val="clear" w:color="auto" w:fill="FFFFFF"/>
        </w:rPr>
        <w:t>138</w:t>
      </w:r>
      <w:r w:rsidRPr="00A17EC7">
        <w:rPr>
          <w:shd w:val="clear" w:color="auto" w:fill="FFFFFF"/>
        </w:rPr>
        <w:t>(3-4), pp.291-320.</w:t>
      </w:r>
    </w:p>
    <w:p w14:paraId="70624DAB" w14:textId="77777777" w:rsidR="00A17EC7" w:rsidRPr="00A17EC7" w:rsidRDefault="00A17EC7" w:rsidP="00A17EC7">
      <w:pPr>
        <w:rPr>
          <w:shd w:val="clear" w:color="auto" w:fill="FFFFFF"/>
        </w:rPr>
      </w:pPr>
      <w:r w:rsidRPr="00A17EC7">
        <w:rPr>
          <w:shd w:val="clear" w:color="auto" w:fill="FFFFFF"/>
        </w:rPr>
        <w:t xml:space="preserve">Hardman, M., </w:t>
      </w:r>
      <w:proofErr w:type="spellStart"/>
      <w:r w:rsidRPr="00A17EC7">
        <w:rPr>
          <w:shd w:val="clear" w:color="auto" w:fill="FFFFFF"/>
        </w:rPr>
        <w:t>Chipungu</w:t>
      </w:r>
      <w:proofErr w:type="spellEnd"/>
      <w:r w:rsidRPr="00A17EC7">
        <w:rPr>
          <w:shd w:val="clear" w:color="auto" w:fill="FFFFFF"/>
        </w:rPr>
        <w:t xml:space="preserve">, L., </w:t>
      </w:r>
      <w:proofErr w:type="spellStart"/>
      <w:r w:rsidRPr="00A17EC7">
        <w:rPr>
          <w:shd w:val="clear" w:color="auto" w:fill="FFFFFF"/>
        </w:rPr>
        <w:t>Magidimisha</w:t>
      </w:r>
      <w:proofErr w:type="spellEnd"/>
      <w:r w:rsidRPr="00A17EC7">
        <w:rPr>
          <w:shd w:val="clear" w:color="auto" w:fill="FFFFFF"/>
        </w:rPr>
        <w:t>, H., Larkham, P.J., Scott, A.J. and Armitage, R.P., (2018). Guerrilla gardening and green activism: Rethinking the informal urban growing movement. </w:t>
      </w:r>
      <w:r w:rsidRPr="00A17EC7">
        <w:rPr>
          <w:i/>
          <w:iCs/>
          <w:shd w:val="clear" w:color="auto" w:fill="FFFFFF"/>
        </w:rPr>
        <w:t>Landscape and Urban Planning</w:t>
      </w:r>
      <w:r w:rsidRPr="00A17EC7">
        <w:rPr>
          <w:shd w:val="clear" w:color="auto" w:fill="FFFFFF"/>
        </w:rPr>
        <w:t>, </w:t>
      </w:r>
      <w:r w:rsidRPr="00A17EC7">
        <w:rPr>
          <w:i/>
          <w:iCs/>
          <w:shd w:val="clear" w:color="auto" w:fill="FFFFFF"/>
        </w:rPr>
        <w:t>170</w:t>
      </w:r>
      <w:r w:rsidRPr="00A17EC7">
        <w:rPr>
          <w:shd w:val="clear" w:color="auto" w:fill="FFFFFF"/>
        </w:rPr>
        <w:t>, pp.6-14.</w:t>
      </w:r>
    </w:p>
    <w:p w14:paraId="064A8878" w14:textId="77777777" w:rsidR="00A17EC7" w:rsidRPr="00A17EC7" w:rsidRDefault="00A17EC7" w:rsidP="00A17EC7">
      <w:pPr>
        <w:pStyle w:val="NormalWeb"/>
        <w:spacing w:before="0" w:beforeAutospacing="0" w:after="240" w:afterAutospacing="0" w:line="480" w:lineRule="auto"/>
        <w:jc w:val="both"/>
        <w:rPr>
          <w:shd w:val="clear" w:color="auto" w:fill="FFFFFF"/>
        </w:rPr>
      </w:pPr>
      <w:r w:rsidRPr="00A17EC7">
        <w:rPr>
          <w:shd w:val="clear" w:color="auto" w:fill="FFFFFF"/>
        </w:rPr>
        <w:t>Ismail, V.Y. and Zain, E., (2015). The portrait of entrepreneurial competence on student entrepreneurs. </w:t>
      </w:r>
      <w:r w:rsidRPr="00A17EC7">
        <w:rPr>
          <w:i/>
          <w:iCs/>
          <w:shd w:val="clear" w:color="auto" w:fill="FFFFFF"/>
        </w:rPr>
        <w:t>Procedia-Social and Behavioral Sciences</w:t>
      </w:r>
      <w:r w:rsidRPr="00A17EC7">
        <w:rPr>
          <w:shd w:val="clear" w:color="auto" w:fill="FFFFFF"/>
        </w:rPr>
        <w:t>, </w:t>
      </w:r>
      <w:r w:rsidRPr="00A17EC7">
        <w:rPr>
          <w:i/>
          <w:iCs/>
          <w:shd w:val="clear" w:color="auto" w:fill="FFFFFF"/>
        </w:rPr>
        <w:t>169</w:t>
      </w:r>
      <w:r w:rsidRPr="00A17EC7">
        <w:rPr>
          <w:shd w:val="clear" w:color="auto" w:fill="FFFFFF"/>
        </w:rPr>
        <w:t>, pp.178-188.</w:t>
      </w:r>
    </w:p>
    <w:p w14:paraId="74621412" w14:textId="77777777" w:rsidR="00A17EC7" w:rsidRPr="00A17EC7" w:rsidRDefault="00A17EC7" w:rsidP="00A17EC7">
      <w:pPr>
        <w:rPr>
          <w:shd w:val="clear" w:color="auto" w:fill="FFFFFF"/>
        </w:rPr>
      </w:pPr>
      <w:r w:rsidRPr="00A17EC7">
        <w:rPr>
          <w:shd w:val="clear" w:color="auto" w:fill="FFFFFF"/>
        </w:rPr>
        <w:t>Kerr, S.P., Kerr, W.R. and Xu, T., (2018). Personality traits of entrepreneurs: A review of recent literature. </w:t>
      </w:r>
      <w:r w:rsidRPr="00A17EC7">
        <w:rPr>
          <w:i/>
          <w:iCs/>
          <w:shd w:val="clear" w:color="auto" w:fill="FFFFFF"/>
        </w:rPr>
        <w:t>Foundations and Trends® in Entrepreneurship</w:t>
      </w:r>
      <w:r w:rsidRPr="00A17EC7">
        <w:rPr>
          <w:shd w:val="clear" w:color="auto" w:fill="FFFFFF"/>
        </w:rPr>
        <w:t>, </w:t>
      </w:r>
      <w:r w:rsidRPr="00A17EC7">
        <w:rPr>
          <w:i/>
          <w:iCs/>
          <w:shd w:val="clear" w:color="auto" w:fill="FFFFFF"/>
        </w:rPr>
        <w:t>14</w:t>
      </w:r>
      <w:r w:rsidRPr="00A17EC7">
        <w:rPr>
          <w:shd w:val="clear" w:color="auto" w:fill="FFFFFF"/>
        </w:rPr>
        <w:t>(3), pp.279-356.</w:t>
      </w:r>
    </w:p>
    <w:p w14:paraId="71A8E462" w14:textId="77777777" w:rsidR="00A17EC7" w:rsidRPr="00A17EC7" w:rsidRDefault="00A17EC7" w:rsidP="00A17EC7">
      <w:pPr>
        <w:rPr>
          <w:shd w:val="clear" w:color="auto" w:fill="FFFFFF"/>
        </w:rPr>
      </w:pPr>
      <w:proofErr w:type="spellStart"/>
      <w:r w:rsidRPr="00A17EC7">
        <w:rPr>
          <w:shd w:val="clear" w:color="auto" w:fill="FFFFFF"/>
        </w:rPr>
        <w:t>Koay</w:t>
      </w:r>
      <w:proofErr w:type="spellEnd"/>
      <w:r w:rsidRPr="00A17EC7">
        <w:rPr>
          <w:shd w:val="clear" w:color="auto" w:fill="FFFFFF"/>
        </w:rPr>
        <w:t>, W.I. and Dillon, D., (2020). Community gardening: Stress, well-being, and resilience potentials. </w:t>
      </w:r>
      <w:r w:rsidRPr="00A17EC7">
        <w:rPr>
          <w:i/>
          <w:iCs/>
          <w:shd w:val="clear" w:color="auto" w:fill="FFFFFF"/>
        </w:rPr>
        <w:t>International Journal of Environmental Research and Public Health</w:t>
      </w:r>
      <w:r w:rsidRPr="00A17EC7">
        <w:rPr>
          <w:shd w:val="clear" w:color="auto" w:fill="FFFFFF"/>
        </w:rPr>
        <w:t>, </w:t>
      </w:r>
      <w:r w:rsidRPr="00A17EC7">
        <w:rPr>
          <w:i/>
          <w:iCs/>
          <w:shd w:val="clear" w:color="auto" w:fill="FFFFFF"/>
        </w:rPr>
        <w:t>17</w:t>
      </w:r>
      <w:r w:rsidRPr="00A17EC7">
        <w:rPr>
          <w:shd w:val="clear" w:color="auto" w:fill="FFFFFF"/>
        </w:rPr>
        <w:t>(18), p.6740.</w:t>
      </w:r>
    </w:p>
    <w:p w14:paraId="774E6887" w14:textId="77777777" w:rsidR="00A17EC7" w:rsidRPr="00A17EC7" w:rsidRDefault="00A17EC7" w:rsidP="00A17EC7">
      <w:pPr>
        <w:pStyle w:val="NormalWeb"/>
        <w:spacing w:before="0" w:beforeAutospacing="0" w:after="240" w:afterAutospacing="0" w:line="480" w:lineRule="auto"/>
        <w:jc w:val="both"/>
        <w:rPr>
          <w:shd w:val="clear" w:color="auto" w:fill="FFFFFF"/>
        </w:rPr>
      </w:pPr>
      <w:proofErr w:type="spellStart"/>
      <w:r w:rsidRPr="00A17EC7">
        <w:rPr>
          <w:shd w:val="clear" w:color="auto" w:fill="FFFFFF"/>
        </w:rPr>
        <w:t>Korir</w:t>
      </w:r>
      <w:proofErr w:type="spellEnd"/>
      <w:r w:rsidRPr="00A17EC7">
        <w:rPr>
          <w:shd w:val="clear" w:color="auto" w:fill="FFFFFF"/>
        </w:rPr>
        <w:t xml:space="preserve">, L., Drake, A., Collison, M., Camacho-Villa, T.C., </w:t>
      </w:r>
      <w:proofErr w:type="spellStart"/>
      <w:r w:rsidRPr="00A17EC7">
        <w:rPr>
          <w:shd w:val="clear" w:color="auto" w:fill="FFFFFF"/>
        </w:rPr>
        <w:t>Sklar</w:t>
      </w:r>
      <w:proofErr w:type="spellEnd"/>
      <w:r w:rsidRPr="00A17EC7">
        <w:rPr>
          <w:shd w:val="clear" w:color="auto" w:fill="FFFFFF"/>
        </w:rPr>
        <w:t>, E. and Pearson, S., (2021). Current and emergent economic impacts of Covid-19 and Brexit on UK fresh produce and horticultural businesses. </w:t>
      </w:r>
      <w:proofErr w:type="spellStart"/>
      <w:r w:rsidRPr="00A17EC7">
        <w:rPr>
          <w:i/>
          <w:iCs/>
          <w:shd w:val="clear" w:color="auto" w:fill="FFFFFF"/>
        </w:rPr>
        <w:t>arXiv</w:t>
      </w:r>
      <w:proofErr w:type="spellEnd"/>
      <w:r w:rsidRPr="00A17EC7">
        <w:rPr>
          <w:i/>
          <w:iCs/>
          <w:shd w:val="clear" w:color="auto" w:fill="FFFFFF"/>
        </w:rPr>
        <w:t xml:space="preserve"> preprint arXiv:2101.11551</w:t>
      </w:r>
      <w:r w:rsidRPr="00A17EC7">
        <w:rPr>
          <w:shd w:val="clear" w:color="auto" w:fill="FFFFFF"/>
        </w:rPr>
        <w:t>.</w:t>
      </w:r>
    </w:p>
    <w:p w14:paraId="160CF6A9" w14:textId="77777777" w:rsidR="00A17EC7" w:rsidRPr="00A17EC7" w:rsidRDefault="00A17EC7" w:rsidP="00A17EC7">
      <w:pPr>
        <w:rPr>
          <w:shd w:val="clear" w:color="auto" w:fill="FFFFFF"/>
        </w:rPr>
      </w:pPr>
      <w:r w:rsidRPr="00A17EC7">
        <w:rPr>
          <w:shd w:val="clear" w:color="auto" w:fill="FFFFFF"/>
        </w:rPr>
        <w:t>Lang, T. and Schoen, V., (2016). Horticulture in the UK: potential for meeting dietary guideline demands.</w:t>
      </w:r>
    </w:p>
    <w:p w14:paraId="0A5F6F5D" w14:textId="77777777" w:rsidR="00A17EC7" w:rsidRPr="00A17EC7" w:rsidRDefault="00A17EC7" w:rsidP="00A17EC7">
      <w:pPr>
        <w:pStyle w:val="NormalWeb"/>
        <w:spacing w:before="0" w:beforeAutospacing="0" w:after="240" w:afterAutospacing="0" w:line="480" w:lineRule="auto"/>
        <w:jc w:val="both"/>
        <w:rPr>
          <w:shd w:val="clear" w:color="auto" w:fill="FFFFFF"/>
        </w:rPr>
      </w:pPr>
      <w:r w:rsidRPr="00A17EC7">
        <w:rPr>
          <w:shd w:val="clear" w:color="auto" w:fill="FFFFFF"/>
        </w:rPr>
        <w:t xml:space="preserve">Mayr, S., </w:t>
      </w:r>
      <w:proofErr w:type="spellStart"/>
      <w:r w:rsidRPr="00A17EC7">
        <w:rPr>
          <w:shd w:val="clear" w:color="auto" w:fill="FFFFFF"/>
        </w:rPr>
        <w:t>Mitter</w:t>
      </w:r>
      <w:proofErr w:type="spellEnd"/>
      <w:r w:rsidRPr="00A17EC7">
        <w:rPr>
          <w:shd w:val="clear" w:color="auto" w:fill="FFFFFF"/>
        </w:rPr>
        <w:t xml:space="preserve">, C., </w:t>
      </w:r>
      <w:proofErr w:type="spellStart"/>
      <w:r w:rsidRPr="00A17EC7">
        <w:rPr>
          <w:shd w:val="clear" w:color="auto" w:fill="FFFFFF"/>
        </w:rPr>
        <w:t>Kücher</w:t>
      </w:r>
      <w:proofErr w:type="spellEnd"/>
      <w:r w:rsidRPr="00A17EC7">
        <w:rPr>
          <w:shd w:val="clear" w:color="auto" w:fill="FFFFFF"/>
        </w:rPr>
        <w:t>, A. and Duller, C., (2021). Entrepreneur characteristics and differences in reasons for business failure: evidence from bankrupt Austrian SMEs. </w:t>
      </w:r>
      <w:r w:rsidRPr="00A17EC7">
        <w:rPr>
          <w:i/>
          <w:iCs/>
          <w:shd w:val="clear" w:color="auto" w:fill="FFFFFF"/>
        </w:rPr>
        <w:t>Journal of Small Business &amp; Entrepreneurship</w:t>
      </w:r>
      <w:r w:rsidRPr="00A17EC7">
        <w:rPr>
          <w:shd w:val="clear" w:color="auto" w:fill="FFFFFF"/>
        </w:rPr>
        <w:t>, </w:t>
      </w:r>
      <w:r w:rsidRPr="00A17EC7">
        <w:rPr>
          <w:i/>
          <w:iCs/>
          <w:shd w:val="clear" w:color="auto" w:fill="FFFFFF"/>
        </w:rPr>
        <w:t>33</w:t>
      </w:r>
      <w:r w:rsidRPr="00A17EC7">
        <w:rPr>
          <w:shd w:val="clear" w:color="auto" w:fill="FFFFFF"/>
        </w:rPr>
        <w:t>(5), pp.539-558.</w:t>
      </w:r>
    </w:p>
    <w:p w14:paraId="0A3FFE95" w14:textId="77777777" w:rsidR="00A17EC7" w:rsidRPr="00A17EC7" w:rsidRDefault="00A17EC7" w:rsidP="00A17EC7">
      <w:pPr>
        <w:rPr>
          <w:shd w:val="clear" w:color="auto" w:fill="FFFFFF"/>
        </w:rPr>
      </w:pPr>
      <w:r w:rsidRPr="00A17EC7">
        <w:rPr>
          <w:shd w:val="clear" w:color="auto" w:fill="FFFFFF"/>
        </w:rPr>
        <w:lastRenderedPageBreak/>
        <w:t>Reid, D.R., (2020). </w:t>
      </w:r>
      <w:r w:rsidRPr="00A17EC7">
        <w:rPr>
          <w:i/>
          <w:iCs/>
          <w:shd w:val="clear" w:color="auto" w:fill="FFFFFF"/>
        </w:rPr>
        <w:t>Courting the consumer: Consumer preferences and engagement with social-media marketing and horticultural businesses</w:t>
      </w:r>
      <w:r w:rsidRPr="00A17EC7">
        <w:rPr>
          <w:shd w:val="clear" w:color="auto" w:fill="FFFFFF"/>
        </w:rPr>
        <w:t> (Doctoral dissertation).</w:t>
      </w:r>
    </w:p>
    <w:p w14:paraId="54164BA8" w14:textId="77777777" w:rsidR="00A17EC7" w:rsidRPr="00A17EC7" w:rsidRDefault="00A17EC7" w:rsidP="00A17EC7">
      <w:pPr>
        <w:pStyle w:val="NormalWeb"/>
        <w:spacing w:before="0" w:beforeAutospacing="0" w:after="240" w:afterAutospacing="0" w:line="480" w:lineRule="auto"/>
        <w:jc w:val="both"/>
        <w:rPr>
          <w:rStyle w:val="csl-entry"/>
        </w:rPr>
      </w:pPr>
      <w:r w:rsidRPr="00A17EC7">
        <w:rPr>
          <w:rStyle w:val="csl-entry"/>
        </w:rPr>
        <w:t xml:space="preserve">RHS (2020) “Increasing the environmental resilience of UK gardens: RHS National Gardening Survey 2020,” </w:t>
      </w:r>
      <w:r w:rsidRPr="00A17EC7">
        <w:rPr>
          <w:rStyle w:val="csl-entry"/>
          <w:i/>
          <w:iCs/>
        </w:rPr>
        <w:t>RHS</w:t>
      </w:r>
      <w:r w:rsidRPr="00A17EC7">
        <w:rPr>
          <w:rStyle w:val="csl-entry"/>
        </w:rPr>
        <w:t xml:space="preserve">, pp. 1–20. Available at: https://www.rhs.org.uk/science/pdf/increasing-environmental-resilience-of-gardens.pdf. (Accessed: July 8, 2024). </w:t>
      </w:r>
    </w:p>
    <w:p w14:paraId="76614857" w14:textId="77777777" w:rsidR="00A17EC7" w:rsidRPr="00A17EC7" w:rsidRDefault="00A17EC7" w:rsidP="00A17EC7">
      <w:pPr>
        <w:pStyle w:val="NormalWeb"/>
        <w:spacing w:before="0" w:beforeAutospacing="0" w:after="240" w:afterAutospacing="0" w:line="480" w:lineRule="auto"/>
        <w:jc w:val="both"/>
        <w:rPr>
          <w:shd w:val="clear" w:color="auto" w:fill="FFFFFF"/>
        </w:rPr>
      </w:pPr>
      <w:r w:rsidRPr="00A17EC7">
        <w:rPr>
          <w:shd w:val="clear" w:color="auto" w:fill="FFFFFF"/>
        </w:rPr>
        <w:t xml:space="preserve">Schmutz, U., </w:t>
      </w:r>
      <w:proofErr w:type="spellStart"/>
      <w:r w:rsidRPr="00A17EC7">
        <w:rPr>
          <w:shd w:val="clear" w:color="auto" w:fill="FFFFFF"/>
        </w:rPr>
        <w:t>Kneafsey</w:t>
      </w:r>
      <w:proofErr w:type="spellEnd"/>
      <w:r w:rsidRPr="00A17EC7">
        <w:rPr>
          <w:shd w:val="clear" w:color="auto" w:fill="FFFFFF"/>
        </w:rPr>
        <w:t xml:space="preserve">, M., Kay, C.S., </w:t>
      </w:r>
      <w:proofErr w:type="spellStart"/>
      <w:r w:rsidRPr="00A17EC7">
        <w:rPr>
          <w:shd w:val="clear" w:color="auto" w:fill="FFFFFF"/>
        </w:rPr>
        <w:t>Doernberg</w:t>
      </w:r>
      <w:proofErr w:type="spellEnd"/>
      <w:r w:rsidRPr="00A17EC7">
        <w:rPr>
          <w:shd w:val="clear" w:color="auto" w:fill="FFFFFF"/>
        </w:rPr>
        <w:t xml:space="preserve">, A. and </w:t>
      </w:r>
      <w:proofErr w:type="spellStart"/>
      <w:r w:rsidRPr="00A17EC7">
        <w:rPr>
          <w:shd w:val="clear" w:color="auto" w:fill="FFFFFF"/>
        </w:rPr>
        <w:t>Zasada</w:t>
      </w:r>
      <w:proofErr w:type="spellEnd"/>
      <w:r w:rsidRPr="00A17EC7">
        <w:rPr>
          <w:shd w:val="clear" w:color="auto" w:fill="FFFFFF"/>
        </w:rPr>
        <w:t>, I., (2018). Sustainability impact assessments of different urban short food supply chains: examples from London, UK. </w:t>
      </w:r>
      <w:r w:rsidRPr="00A17EC7">
        <w:rPr>
          <w:i/>
          <w:iCs/>
          <w:shd w:val="clear" w:color="auto" w:fill="FFFFFF"/>
        </w:rPr>
        <w:t>Renewable Agriculture and Food Systems</w:t>
      </w:r>
      <w:r w:rsidRPr="00A17EC7">
        <w:rPr>
          <w:shd w:val="clear" w:color="auto" w:fill="FFFFFF"/>
        </w:rPr>
        <w:t>, </w:t>
      </w:r>
      <w:r w:rsidRPr="00A17EC7">
        <w:rPr>
          <w:i/>
          <w:iCs/>
          <w:shd w:val="clear" w:color="auto" w:fill="FFFFFF"/>
        </w:rPr>
        <w:t>33</w:t>
      </w:r>
      <w:r w:rsidRPr="00A17EC7">
        <w:rPr>
          <w:shd w:val="clear" w:color="auto" w:fill="FFFFFF"/>
        </w:rPr>
        <w:t>(6), pp.518-529.</w:t>
      </w:r>
    </w:p>
    <w:p w14:paraId="0D21296B" w14:textId="77777777" w:rsidR="00A17EC7" w:rsidRPr="00A17EC7" w:rsidRDefault="00A17EC7" w:rsidP="00A17EC7">
      <w:pPr>
        <w:pStyle w:val="NormalWeb"/>
        <w:spacing w:before="0" w:beforeAutospacing="0" w:after="240" w:afterAutospacing="0" w:line="480" w:lineRule="auto"/>
        <w:jc w:val="both"/>
        <w:rPr>
          <w:shd w:val="clear" w:color="auto" w:fill="FFFFFF"/>
        </w:rPr>
      </w:pPr>
      <w:r w:rsidRPr="00A17EC7">
        <w:rPr>
          <w:shd w:val="clear" w:color="auto" w:fill="FFFFFF"/>
        </w:rPr>
        <w:t xml:space="preserve">Thompson-Whiteside, H., Turnbull, S. and Howe-Walsh, L., (2018). Developing an authentic personal brand using impression management </w:t>
      </w:r>
      <w:proofErr w:type="spellStart"/>
      <w:r w:rsidRPr="00A17EC7">
        <w:rPr>
          <w:shd w:val="clear" w:color="auto" w:fill="FFFFFF"/>
        </w:rPr>
        <w:t>behaviours</w:t>
      </w:r>
      <w:proofErr w:type="spellEnd"/>
      <w:r w:rsidRPr="00A17EC7">
        <w:rPr>
          <w:shd w:val="clear" w:color="auto" w:fill="FFFFFF"/>
        </w:rPr>
        <w:t>: Exploring female entrepreneurs’ experiences. </w:t>
      </w:r>
      <w:r w:rsidRPr="00A17EC7">
        <w:rPr>
          <w:i/>
          <w:iCs/>
          <w:shd w:val="clear" w:color="auto" w:fill="FFFFFF"/>
        </w:rPr>
        <w:t>Qualitative Market Research: An International Journal</w:t>
      </w:r>
      <w:r w:rsidRPr="00A17EC7">
        <w:rPr>
          <w:shd w:val="clear" w:color="auto" w:fill="FFFFFF"/>
        </w:rPr>
        <w:t>, </w:t>
      </w:r>
      <w:r w:rsidRPr="00A17EC7">
        <w:rPr>
          <w:i/>
          <w:iCs/>
          <w:shd w:val="clear" w:color="auto" w:fill="FFFFFF"/>
        </w:rPr>
        <w:t>21</w:t>
      </w:r>
      <w:r w:rsidRPr="00A17EC7">
        <w:rPr>
          <w:shd w:val="clear" w:color="auto" w:fill="FFFFFF"/>
        </w:rPr>
        <w:t>(2), pp.166-181.</w:t>
      </w:r>
    </w:p>
    <w:p w14:paraId="4C3EB26E" w14:textId="77777777" w:rsidR="00A17EC7" w:rsidRPr="00A17EC7" w:rsidRDefault="00A17EC7" w:rsidP="00A17EC7">
      <w:pPr>
        <w:rPr>
          <w:shd w:val="clear" w:color="auto" w:fill="FFFFFF"/>
        </w:rPr>
      </w:pPr>
      <w:proofErr w:type="spellStart"/>
      <w:r w:rsidRPr="00A17EC7">
        <w:rPr>
          <w:shd w:val="clear" w:color="auto" w:fill="FFFFFF"/>
        </w:rPr>
        <w:t>Vodă</w:t>
      </w:r>
      <w:proofErr w:type="spellEnd"/>
      <w:r w:rsidRPr="00A17EC7">
        <w:rPr>
          <w:shd w:val="clear" w:color="auto" w:fill="FFFFFF"/>
        </w:rPr>
        <w:t xml:space="preserve">, A.I. and </w:t>
      </w:r>
      <w:proofErr w:type="spellStart"/>
      <w:r w:rsidRPr="00A17EC7">
        <w:rPr>
          <w:shd w:val="clear" w:color="auto" w:fill="FFFFFF"/>
        </w:rPr>
        <w:t>Florea</w:t>
      </w:r>
      <w:proofErr w:type="spellEnd"/>
      <w:r w:rsidRPr="00A17EC7">
        <w:rPr>
          <w:shd w:val="clear" w:color="auto" w:fill="FFFFFF"/>
        </w:rPr>
        <w:t>, N., (2019). Impact of personality traits and entrepreneurship education on entrepreneurial intentions of business and engineering students. </w:t>
      </w:r>
      <w:r w:rsidRPr="00A17EC7">
        <w:rPr>
          <w:i/>
          <w:iCs/>
          <w:shd w:val="clear" w:color="auto" w:fill="FFFFFF"/>
        </w:rPr>
        <w:t>Sustainability</w:t>
      </w:r>
      <w:r w:rsidRPr="00A17EC7">
        <w:rPr>
          <w:shd w:val="clear" w:color="auto" w:fill="FFFFFF"/>
        </w:rPr>
        <w:t>, </w:t>
      </w:r>
      <w:r w:rsidRPr="00A17EC7">
        <w:rPr>
          <w:i/>
          <w:iCs/>
          <w:shd w:val="clear" w:color="auto" w:fill="FFFFFF"/>
        </w:rPr>
        <w:t>11</w:t>
      </w:r>
      <w:r w:rsidRPr="00A17EC7">
        <w:rPr>
          <w:shd w:val="clear" w:color="auto" w:fill="FFFFFF"/>
        </w:rPr>
        <w:t>(4), p.1192.</w:t>
      </w:r>
    </w:p>
    <w:p w14:paraId="1C500785" w14:textId="77777777" w:rsidR="00A17EC7" w:rsidRDefault="00A17EC7" w:rsidP="00A17EC7">
      <w:pPr>
        <w:rPr>
          <w:shd w:val="clear" w:color="auto" w:fill="FFFFFF"/>
        </w:rPr>
      </w:pPr>
      <w:r w:rsidRPr="00A17EC7">
        <w:rPr>
          <w:shd w:val="clear" w:color="auto" w:fill="FFFFFF"/>
        </w:rPr>
        <w:t>Zhao, L., Shneor, R. and Sun, Z., (2022). Skin in the game: Self-funding and reward crowdfunding success. </w:t>
      </w:r>
      <w:r w:rsidRPr="00A17EC7">
        <w:rPr>
          <w:i/>
          <w:iCs/>
          <w:shd w:val="clear" w:color="auto" w:fill="FFFFFF"/>
        </w:rPr>
        <w:t>Business Horizons</w:t>
      </w:r>
      <w:r w:rsidRPr="00A17EC7">
        <w:rPr>
          <w:shd w:val="clear" w:color="auto" w:fill="FFFFFF"/>
        </w:rPr>
        <w:t>, </w:t>
      </w:r>
      <w:r w:rsidRPr="00A17EC7">
        <w:rPr>
          <w:i/>
          <w:iCs/>
          <w:shd w:val="clear" w:color="auto" w:fill="FFFFFF"/>
        </w:rPr>
        <w:t>65</w:t>
      </w:r>
      <w:r w:rsidRPr="00A17EC7">
        <w:rPr>
          <w:shd w:val="clear" w:color="auto" w:fill="FFFFFF"/>
        </w:rPr>
        <w:t>(1), pp.89-100.</w:t>
      </w:r>
    </w:p>
    <w:p w14:paraId="67E33281" w14:textId="77777777" w:rsidR="00C866FD" w:rsidRDefault="00C866FD" w:rsidP="00A17EC7">
      <w:pPr>
        <w:rPr>
          <w:shd w:val="clear" w:color="auto" w:fill="FFFFFF"/>
        </w:rPr>
      </w:pPr>
    </w:p>
    <w:p w14:paraId="6B2A959A" w14:textId="77777777" w:rsidR="00C866FD" w:rsidRDefault="00C866FD" w:rsidP="00A17EC7">
      <w:pPr>
        <w:rPr>
          <w:shd w:val="clear" w:color="auto" w:fill="FFFFFF"/>
        </w:rPr>
      </w:pPr>
    </w:p>
    <w:p w14:paraId="10C10E20" w14:textId="77777777" w:rsidR="00C866FD" w:rsidRDefault="00C866FD" w:rsidP="00A17EC7">
      <w:pPr>
        <w:rPr>
          <w:shd w:val="clear" w:color="auto" w:fill="FFFFFF"/>
        </w:rPr>
      </w:pPr>
    </w:p>
    <w:p w14:paraId="2ADF303B" w14:textId="77777777" w:rsidR="00C866FD" w:rsidRDefault="00C866FD" w:rsidP="00A17EC7">
      <w:pPr>
        <w:rPr>
          <w:shd w:val="clear" w:color="auto" w:fill="FFFFFF"/>
        </w:rPr>
      </w:pPr>
    </w:p>
    <w:p w14:paraId="66AC917A" w14:textId="77777777" w:rsidR="00C866FD" w:rsidRDefault="00C866FD" w:rsidP="00A17EC7">
      <w:pPr>
        <w:rPr>
          <w:shd w:val="clear" w:color="auto" w:fill="FFFFFF"/>
        </w:rPr>
      </w:pPr>
    </w:p>
    <w:p w14:paraId="482A075E" w14:textId="10A9AE69" w:rsidR="00C866FD" w:rsidRDefault="00C866FD" w:rsidP="00A17EC7">
      <w:pPr>
        <w:rPr>
          <w:shd w:val="clear" w:color="auto" w:fill="FFFFFF"/>
        </w:rPr>
      </w:pPr>
      <w:r>
        <w:rPr>
          <w:shd w:val="clear" w:color="auto" w:fill="FFFFFF"/>
        </w:rPr>
        <w:lastRenderedPageBreak/>
        <w:t>Appen</w:t>
      </w:r>
      <w:r w:rsidR="008254AF">
        <w:rPr>
          <w:shd w:val="clear" w:color="auto" w:fill="FFFFFF"/>
        </w:rPr>
        <w:t>dix</w:t>
      </w:r>
    </w:p>
    <w:p w14:paraId="5B82A0D6" w14:textId="3D610D74" w:rsidR="008254AF" w:rsidRDefault="008254AF" w:rsidP="00A17EC7">
      <w:pPr>
        <w:rPr>
          <w:shd w:val="clear" w:color="auto" w:fill="FFFFFF"/>
        </w:rPr>
      </w:pPr>
      <w:r>
        <w:rPr>
          <w:noProof/>
        </w:rPr>
        <w:drawing>
          <wp:inline distT="0" distB="0" distL="0" distR="0" wp14:anchorId="4F4E0191" wp14:editId="66E7A413">
            <wp:extent cx="5943600" cy="3343275"/>
            <wp:effectExtent l="0" t="0" r="0" b="0"/>
            <wp:docPr id="16848978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9788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2840DE8A" w14:textId="77777777" w:rsidR="008254AF" w:rsidRPr="00A17EC7" w:rsidRDefault="008254AF" w:rsidP="00A17EC7">
      <w:pPr>
        <w:rPr>
          <w:shd w:val="clear" w:color="auto" w:fill="FFFFFF"/>
        </w:rPr>
      </w:pPr>
    </w:p>
    <w:p w14:paraId="07B051D7" w14:textId="3B488742" w:rsidR="00A17EC7" w:rsidRDefault="008254AF" w:rsidP="00A17EC7">
      <w:pPr>
        <w:rPr>
          <w:rFonts w:ascii="Arial" w:hAnsi="Arial" w:cs="Arial"/>
          <w:color w:val="222222"/>
          <w:sz w:val="20"/>
          <w:szCs w:val="20"/>
          <w:shd w:val="clear" w:color="auto" w:fill="FFFFFF"/>
        </w:rPr>
      </w:pPr>
      <w:r>
        <w:rPr>
          <w:noProof/>
        </w:rPr>
        <w:drawing>
          <wp:inline distT="0" distB="0" distL="0" distR="0" wp14:anchorId="6879B8C7" wp14:editId="5B8D3D46">
            <wp:extent cx="5943600" cy="3343275"/>
            <wp:effectExtent l="0" t="0" r="0" b="0"/>
            <wp:docPr id="19263271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2716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70A87708" w14:textId="6276BE3A" w:rsidR="00A17EC7" w:rsidRPr="00A17EC7" w:rsidRDefault="00A17EC7" w:rsidP="00A17EC7">
      <w:r>
        <w:lastRenderedPageBreak/>
        <w:t xml:space="preserve"> </w:t>
      </w:r>
    </w:p>
    <w:p w14:paraId="2C4C0AB5" w14:textId="4F2AAB6B" w:rsidR="00A17EC7" w:rsidRDefault="006F1C3A">
      <w:pPr>
        <w:rPr>
          <w:b/>
          <w:bCs/>
        </w:rPr>
      </w:pPr>
      <w:r>
        <w:rPr>
          <w:noProof/>
        </w:rPr>
        <w:drawing>
          <wp:inline distT="0" distB="0" distL="0" distR="0" wp14:anchorId="5A8938FE" wp14:editId="1E718B9E">
            <wp:extent cx="5943600" cy="3343275"/>
            <wp:effectExtent l="0" t="0" r="0" b="0"/>
            <wp:docPr id="12267216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72161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2A7D396D" wp14:editId="447764F2">
            <wp:extent cx="5943600" cy="3343275"/>
            <wp:effectExtent l="0" t="0" r="0" b="0"/>
            <wp:docPr id="16063417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34176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32FF07B5" w14:textId="07598474" w:rsidR="00967D2C" w:rsidRDefault="00967D2C">
      <w:pPr>
        <w:rPr>
          <w:b/>
          <w:bCs/>
        </w:rPr>
      </w:pPr>
    </w:p>
    <w:p w14:paraId="103B1BC1" w14:textId="572323A3" w:rsidR="00967D2C" w:rsidRDefault="00967D2C">
      <w:pPr>
        <w:rPr>
          <w:b/>
          <w:bCs/>
        </w:rPr>
      </w:pPr>
      <w:r>
        <w:rPr>
          <w:noProof/>
        </w:rPr>
        <w:lastRenderedPageBreak/>
        <w:drawing>
          <wp:inline distT="0" distB="0" distL="0" distR="0" wp14:anchorId="7A1AFE0D" wp14:editId="5C1CD995">
            <wp:extent cx="5943600" cy="3343275"/>
            <wp:effectExtent l="0" t="0" r="0" b="0"/>
            <wp:docPr id="18260908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09086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BBAD978" w14:textId="3A35ACC2" w:rsidR="00967D2C" w:rsidRDefault="00967D2C">
      <w:pPr>
        <w:rPr>
          <w:b/>
          <w:bCs/>
        </w:rPr>
      </w:pPr>
    </w:p>
    <w:p w14:paraId="383151FD" w14:textId="5B9E0812" w:rsidR="00967D2C" w:rsidRDefault="00B400C3">
      <w:pPr>
        <w:rPr>
          <w:b/>
          <w:bCs/>
        </w:rPr>
      </w:pPr>
      <w:r>
        <w:rPr>
          <w:noProof/>
        </w:rPr>
        <w:drawing>
          <wp:inline distT="0" distB="0" distL="0" distR="0" wp14:anchorId="1420B3E2" wp14:editId="5620853F">
            <wp:extent cx="5943600" cy="3343275"/>
            <wp:effectExtent l="0" t="0" r="0" b="0"/>
            <wp:docPr id="714627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270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58A86EFB" w14:textId="36DFBAE5" w:rsidR="002777C4" w:rsidRDefault="002777C4">
      <w:pPr>
        <w:rPr>
          <w:b/>
          <w:bCs/>
        </w:rPr>
      </w:pPr>
    </w:p>
    <w:p w14:paraId="4011C652" w14:textId="646B6797" w:rsidR="002777C4" w:rsidRPr="00A17EC7" w:rsidRDefault="00900299">
      <w:pPr>
        <w:rPr>
          <w:b/>
          <w:bCs/>
        </w:rPr>
      </w:pPr>
      <w:r>
        <w:rPr>
          <w:noProof/>
        </w:rPr>
        <w:lastRenderedPageBreak/>
        <w:drawing>
          <wp:inline distT="0" distB="0" distL="0" distR="0" wp14:anchorId="0771EACB" wp14:editId="09B4A81D">
            <wp:extent cx="5943600" cy="3343275"/>
            <wp:effectExtent l="0" t="0" r="0" b="0"/>
            <wp:docPr id="19593100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31006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r w:rsidR="00E07CA9" w:rsidRPr="00E07CA9">
        <w:rPr>
          <w:noProof/>
        </w:rPr>
        <w:drawing>
          <wp:inline distT="0" distB="0" distL="0" distR="0" wp14:anchorId="1AFA4E68" wp14:editId="21F2224A">
            <wp:extent cx="5943600" cy="3343275"/>
            <wp:effectExtent l="0" t="0" r="0" b="0"/>
            <wp:docPr id="23223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31738" name=""/>
                    <pic:cNvPicPr/>
                  </pic:nvPicPr>
                  <pic:blipFill>
                    <a:blip r:embed="rId28"/>
                    <a:stretch>
                      <a:fillRect/>
                    </a:stretch>
                  </pic:blipFill>
                  <pic:spPr>
                    <a:xfrm>
                      <a:off x="0" y="0"/>
                      <a:ext cx="5943600" cy="3343275"/>
                    </a:xfrm>
                    <a:prstGeom prst="rect">
                      <a:avLst/>
                    </a:prstGeom>
                  </pic:spPr>
                </pic:pic>
              </a:graphicData>
            </a:graphic>
          </wp:inline>
        </w:drawing>
      </w:r>
    </w:p>
    <w:sectPr w:rsidR="002777C4" w:rsidRPr="00A17EC7" w:rsidSect="002C4BDC">
      <w:footerReference w:type="default" r:id="rId2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EB0CE" w14:textId="77777777" w:rsidR="00911BFA" w:rsidRDefault="00911BFA" w:rsidP="002C4BDC">
      <w:pPr>
        <w:spacing w:before="0" w:after="0" w:line="240" w:lineRule="auto"/>
      </w:pPr>
      <w:r>
        <w:separator/>
      </w:r>
    </w:p>
  </w:endnote>
  <w:endnote w:type="continuationSeparator" w:id="0">
    <w:p w14:paraId="76383335" w14:textId="77777777" w:rsidR="00911BFA" w:rsidRDefault="00911BFA" w:rsidP="002C4B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252490"/>
      <w:docPartObj>
        <w:docPartGallery w:val="Page Numbers (Bottom of Page)"/>
        <w:docPartUnique/>
      </w:docPartObj>
    </w:sdtPr>
    <w:sdtEndPr/>
    <w:sdtContent>
      <w:p w14:paraId="00F14F66" w14:textId="59853B82" w:rsidR="002C4BDC" w:rsidRDefault="002C4BD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404DB80" w14:textId="77777777" w:rsidR="002C4BDC" w:rsidRDefault="002C4B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9AD79" w14:textId="77777777" w:rsidR="00911BFA" w:rsidRDefault="00911BFA" w:rsidP="002C4BDC">
      <w:pPr>
        <w:spacing w:before="0" w:after="0" w:line="240" w:lineRule="auto"/>
      </w:pPr>
      <w:r>
        <w:separator/>
      </w:r>
    </w:p>
  </w:footnote>
  <w:footnote w:type="continuationSeparator" w:id="0">
    <w:p w14:paraId="41825B32" w14:textId="77777777" w:rsidR="00911BFA" w:rsidRDefault="00911BFA" w:rsidP="002C4BD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848BF"/>
    <w:multiLevelType w:val="multilevel"/>
    <w:tmpl w:val="2AAA00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373BBA"/>
    <w:multiLevelType w:val="multilevel"/>
    <w:tmpl w:val="F940C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6B72411"/>
    <w:multiLevelType w:val="multilevel"/>
    <w:tmpl w:val="D35C3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6804400">
    <w:abstractNumId w:val="2"/>
  </w:num>
  <w:num w:numId="2" w16cid:durableId="245892880">
    <w:abstractNumId w:val="1"/>
  </w:num>
  <w:num w:numId="3" w16cid:durableId="234361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D1D"/>
    <w:rsid w:val="0006653C"/>
    <w:rsid w:val="00090EF0"/>
    <w:rsid w:val="000B28CE"/>
    <w:rsid w:val="001A5AA6"/>
    <w:rsid w:val="001A5B16"/>
    <w:rsid w:val="002777C4"/>
    <w:rsid w:val="002C4BDC"/>
    <w:rsid w:val="002D762B"/>
    <w:rsid w:val="003505CA"/>
    <w:rsid w:val="00351597"/>
    <w:rsid w:val="004048FA"/>
    <w:rsid w:val="00450C05"/>
    <w:rsid w:val="00502C34"/>
    <w:rsid w:val="00511535"/>
    <w:rsid w:val="006F1C3A"/>
    <w:rsid w:val="007009C0"/>
    <w:rsid w:val="00736C54"/>
    <w:rsid w:val="00783653"/>
    <w:rsid w:val="007D3309"/>
    <w:rsid w:val="007D6D1C"/>
    <w:rsid w:val="008254AF"/>
    <w:rsid w:val="00837C1E"/>
    <w:rsid w:val="00900299"/>
    <w:rsid w:val="00911BFA"/>
    <w:rsid w:val="00967D2C"/>
    <w:rsid w:val="00973AD9"/>
    <w:rsid w:val="00A17EC7"/>
    <w:rsid w:val="00B400C3"/>
    <w:rsid w:val="00B863D4"/>
    <w:rsid w:val="00C31B1C"/>
    <w:rsid w:val="00C44D1D"/>
    <w:rsid w:val="00C7712E"/>
    <w:rsid w:val="00C866FD"/>
    <w:rsid w:val="00D12A88"/>
    <w:rsid w:val="00DC6918"/>
    <w:rsid w:val="00DD2347"/>
    <w:rsid w:val="00DE0006"/>
    <w:rsid w:val="00E07CA9"/>
    <w:rsid w:val="00E3625F"/>
    <w:rsid w:val="00E40404"/>
    <w:rsid w:val="00EA1178"/>
    <w:rsid w:val="00F726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C1A13"/>
  <w15:docId w15:val="{29F7D518-1103-4C9C-B0F2-CC9B4560D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before="200"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A17EC7"/>
    <w:pPr>
      <w:spacing w:before="100" w:beforeAutospacing="1" w:after="100" w:afterAutospacing="1" w:line="240" w:lineRule="auto"/>
      <w:jc w:val="left"/>
    </w:pPr>
    <w:rPr>
      <w:lang w:val="en-US"/>
    </w:rPr>
  </w:style>
  <w:style w:type="character" w:customStyle="1" w:styleId="csl-entry">
    <w:name w:val="csl-entry"/>
    <w:basedOn w:val="DefaultParagraphFont"/>
    <w:rsid w:val="00A17EC7"/>
  </w:style>
  <w:style w:type="paragraph" w:styleId="Header">
    <w:name w:val="header"/>
    <w:basedOn w:val="Normal"/>
    <w:link w:val="HeaderChar"/>
    <w:uiPriority w:val="99"/>
    <w:unhideWhenUsed/>
    <w:rsid w:val="002C4BD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C4BDC"/>
  </w:style>
  <w:style w:type="paragraph" w:styleId="Footer">
    <w:name w:val="footer"/>
    <w:basedOn w:val="Normal"/>
    <w:link w:val="FooterChar"/>
    <w:uiPriority w:val="99"/>
    <w:unhideWhenUsed/>
    <w:rsid w:val="002C4BD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C4BDC"/>
  </w:style>
  <w:style w:type="paragraph" w:styleId="TOCHeading">
    <w:name w:val="TOC Heading"/>
    <w:basedOn w:val="Heading1"/>
    <w:next w:val="Normal"/>
    <w:uiPriority w:val="39"/>
    <w:unhideWhenUsed/>
    <w:qFormat/>
    <w:rsid w:val="002C4BD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C4BDC"/>
    <w:pPr>
      <w:spacing w:after="100"/>
    </w:pPr>
  </w:style>
  <w:style w:type="paragraph" w:styleId="TOC2">
    <w:name w:val="toc 2"/>
    <w:basedOn w:val="Normal"/>
    <w:next w:val="Normal"/>
    <w:autoRedefine/>
    <w:uiPriority w:val="39"/>
    <w:unhideWhenUsed/>
    <w:rsid w:val="002C4BDC"/>
    <w:pPr>
      <w:spacing w:after="100"/>
      <w:ind w:left="240"/>
    </w:pPr>
  </w:style>
  <w:style w:type="paragraph" w:styleId="TOC3">
    <w:name w:val="toc 3"/>
    <w:basedOn w:val="Normal"/>
    <w:next w:val="Normal"/>
    <w:autoRedefine/>
    <w:uiPriority w:val="39"/>
    <w:unhideWhenUsed/>
    <w:rsid w:val="002C4BDC"/>
    <w:pPr>
      <w:spacing w:after="100"/>
      <w:ind w:left="480"/>
    </w:pPr>
  </w:style>
  <w:style w:type="character" w:styleId="Hyperlink">
    <w:name w:val="Hyperlink"/>
    <w:basedOn w:val="DefaultParagraphFont"/>
    <w:uiPriority w:val="99"/>
    <w:unhideWhenUsed/>
    <w:rsid w:val="002C4BD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emf"/><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4DE8D-76B9-4F48-AF4D-2D1EDDED5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2308</Words>
  <Characters>13157</Characters>
  <Application>Microsoft Office Word</Application>
  <DocSecurity>0</DocSecurity>
  <Lines>109</Lines>
  <Paragraphs>30</Paragraphs>
  <ScaleCrop>false</ScaleCrop>
  <Company/>
  <LinksUpToDate>false</LinksUpToDate>
  <CharactersWithSpaces>15435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Dineva (2226629)</cp:lastModifiedBy>
  <cp:revision>2</cp:revision>
  <cp:lastPrinted>2024-07-26T15:49:00Z</cp:lastPrinted>
  <dcterms:created xsi:type="dcterms:W3CDTF">2024-07-26T15:50:00Z</dcterms:created>
  <dcterms:modified xsi:type="dcterms:W3CDTF">2024-07-26T15:50:00Z</dcterms:modified>
</cp:coreProperties>
</file>