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59122B" w14:textId="2A2B6E2E" w:rsidR="00A50306" w:rsidRDefault="00A50306">
      <w:r>
        <w:t>Project Presentation Notes.</w:t>
      </w:r>
    </w:p>
    <w:p w14:paraId="5F2E9B99" w14:textId="5CED604D" w:rsidR="00782F16" w:rsidRDefault="00EE4246">
      <w:r>
        <w:t>T</w:t>
      </w:r>
      <w:r w:rsidR="007114A7">
        <w:t xml:space="preserve">he final chapter of this presentation deals with the fourth and final phase of </w:t>
      </w:r>
      <w:r w:rsidR="00CD2973">
        <w:t>Westland’s</w:t>
      </w:r>
      <w:r w:rsidR="00B02251">
        <w:t xml:space="preserve"> (2006)</w:t>
      </w:r>
      <w:r w:rsidR="007114A7">
        <w:t xml:space="preserve"> life cycl</w:t>
      </w:r>
      <w:r w:rsidR="00C9158F">
        <w:t>e: Project Closure</w:t>
      </w:r>
      <w:r w:rsidR="002524ED">
        <w:t>, including evaluation and covering the monitoring tools that brought us to this point</w:t>
      </w:r>
      <w:r w:rsidR="00EE4DA3">
        <w:t>.</w:t>
      </w:r>
      <w:r w:rsidR="009F0629">
        <w:t xml:space="preserve"> </w:t>
      </w:r>
      <w:r w:rsidR="00F913D8">
        <w:t xml:space="preserve">What </w:t>
      </w:r>
      <w:r w:rsidR="00D14EB1">
        <w:t>do we monitor? Pro</w:t>
      </w:r>
      <w:r w:rsidR="00DF7FDA">
        <w:t>g</w:t>
      </w:r>
      <w:r w:rsidR="006B00C7">
        <w:t xml:space="preserve">ress, </w:t>
      </w:r>
      <w:r w:rsidR="00D62C40">
        <w:t xml:space="preserve">of course; and its </w:t>
      </w:r>
      <w:r w:rsidR="001D73AB">
        <w:t>looming nemesis: Risk.</w:t>
      </w:r>
    </w:p>
    <w:p w14:paraId="31D3ED58" w14:textId="1A6DB21B" w:rsidR="00604AB6" w:rsidRDefault="00B45E35">
      <w:r>
        <w:t>The</w:t>
      </w:r>
      <w:r w:rsidR="00604AB6">
        <w:t xml:space="preserve"> analysis and monitoring</w:t>
      </w:r>
      <w:r>
        <w:t xml:space="preserve"> of risk</w:t>
      </w:r>
      <w:r w:rsidR="00D06AA0">
        <w:t xml:space="preserve"> </w:t>
      </w:r>
      <w:r w:rsidR="004C1247">
        <w:t xml:space="preserve">can </w:t>
      </w:r>
      <w:r w:rsidR="00D06AA0">
        <w:t>guide decision making and</w:t>
      </w:r>
      <w:r w:rsidR="00A52BE4">
        <w:t xml:space="preserve"> help determine</w:t>
      </w:r>
      <w:r w:rsidR="000501D9">
        <w:t xml:space="preserve"> measures of success</w:t>
      </w:r>
      <w:r w:rsidR="00DE00FC">
        <w:t xml:space="preserve"> before being</w:t>
      </w:r>
      <w:r w:rsidR="000501D9">
        <w:t xml:space="preserve"> applied in phase four</w:t>
      </w:r>
      <w:r w:rsidR="0040100B">
        <w:t>.</w:t>
      </w:r>
      <w:r w:rsidR="00B63814">
        <w:t xml:space="preserve"> </w:t>
      </w:r>
      <w:r w:rsidR="003C6801">
        <w:t>Loc</w:t>
      </w:r>
      <w:r w:rsidR="00257F32">
        <w:t>k (2007) explains r</w:t>
      </w:r>
      <w:r w:rsidR="00B63814">
        <w:t>is</w:t>
      </w:r>
      <w:r w:rsidR="00C765EF">
        <w:t>k</w:t>
      </w:r>
      <w:r w:rsidR="000A7D07">
        <w:t>s often relate to the</w:t>
      </w:r>
      <w:r w:rsidR="00C9024B">
        <w:t xml:space="preserve"> balance of the triple constraint</w:t>
      </w:r>
      <w:r w:rsidR="00EA1016">
        <w:t>s of</w:t>
      </w:r>
      <w:r w:rsidR="000B2F50">
        <w:t xml:space="preserve"> cost, time, and</w:t>
      </w:r>
      <w:r w:rsidR="00BE11D8">
        <w:t xml:space="preserve"> quality</w:t>
      </w:r>
      <w:r w:rsidR="007806D7">
        <w:t xml:space="preserve"> within</w:t>
      </w:r>
      <w:r w:rsidR="003943AF">
        <w:t xml:space="preserve"> an agreed scope</w:t>
      </w:r>
      <w:r w:rsidR="00EA1016">
        <w:t>.</w:t>
      </w:r>
      <w:r w:rsidR="00AF37B3">
        <w:t xml:space="preserve"> This relationship is represented in the Iron Triangle</w:t>
      </w:r>
      <w:r w:rsidR="0003083E">
        <w:t xml:space="preserve">, </w:t>
      </w:r>
      <w:r w:rsidR="00DA6C2E">
        <w:t xml:space="preserve">the Iron prefix relating to the rigidity of the </w:t>
      </w:r>
      <w:r w:rsidR="000964C7">
        <w:t>inter-relationship.</w:t>
      </w:r>
      <w:r w:rsidR="002365B8">
        <w:t xml:space="preserve"> The scope of our</w:t>
      </w:r>
      <w:r w:rsidR="00476EC5">
        <w:t xml:space="preserve"> </w:t>
      </w:r>
      <w:r w:rsidR="002365B8">
        <w:t>project was</w:t>
      </w:r>
      <w:r w:rsidR="00654894">
        <w:t xml:space="preserve"> open to some interpretation, and</w:t>
      </w:r>
      <w:r w:rsidR="00294971">
        <w:t xml:space="preserve"> </w:t>
      </w:r>
      <w:r w:rsidR="00654894">
        <w:t>l</w:t>
      </w:r>
      <w:r w:rsidR="001E0DC9">
        <w:t>ater versions of the triangle, include</w:t>
      </w:r>
      <w:r w:rsidR="00B068F8">
        <w:t xml:space="preserve"> scop</w:t>
      </w:r>
      <w:r w:rsidR="00507D95">
        <w:t>e as a fourth apex</w:t>
      </w:r>
      <w:r w:rsidR="00B068F8">
        <w:t xml:space="preserve">. </w:t>
      </w:r>
      <w:r w:rsidR="00476EC5">
        <w:t>Our t</w:t>
      </w:r>
      <w:r w:rsidR="005D4E2C">
        <w:t>ime was</w:t>
      </w:r>
      <w:r w:rsidR="00684B72">
        <w:t xml:space="preserve"> capped with a deadline for delivery and</w:t>
      </w:r>
      <w:r w:rsidR="00D470C7">
        <w:t xml:space="preserve"> review, and the cost, or resource was capped at the sum of the five team members.</w:t>
      </w:r>
      <w:r w:rsidR="00924AE6">
        <w:t xml:space="preserve"> This </w:t>
      </w:r>
      <w:r w:rsidR="00B93036">
        <w:t>limited</w:t>
      </w:r>
      <w:r w:rsidR="00F21338">
        <w:t xml:space="preserve"> the scope and left little</w:t>
      </w:r>
      <w:r w:rsidR="00924AE6">
        <w:t xml:space="preserve"> manoeuvrability</w:t>
      </w:r>
      <w:r w:rsidR="00DF5084">
        <w:t xml:space="preserve"> around the level of quality.</w:t>
      </w:r>
      <w:r w:rsidR="005C7F57">
        <w:t xml:space="preserve"> Using</w:t>
      </w:r>
      <w:r w:rsidR="00EC1B94">
        <w:t xml:space="preserve"> Pestle</w:t>
      </w:r>
      <w:r w:rsidR="00B96DC4">
        <w:t>, a macro-environmental tool better suited to large proj</w:t>
      </w:r>
      <w:r w:rsidR="000E710E">
        <w:t>ects</w:t>
      </w:r>
      <w:r w:rsidR="00957D66">
        <w:t>,</w:t>
      </w:r>
      <w:r w:rsidR="000E710E">
        <w:t xml:space="preserve"> and SWOT, a tool for</w:t>
      </w:r>
      <w:r w:rsidR="00497E98">
        <w:t xml:space="preserve"> </w:t>
      </w:r>
      <w:r w:rsidR="007139EC">
        <w:t>i</w:t>
      </w:r>
      <w:r w:rsidR="00497E98">
        <w:t>n</w:t>
      </w:r>
      <w:r w:rsidR="007139EC">
        <w:t>ternal and external</w:t>
      </w:r>
      <w:r w:rsidR="000E710E">
        <w:t xml:space="preserve"> organisational analysis</w:t>
      </w:r>
      <w:r w:rsidR="00794156">
        <w:t xml:space="preserve"> (CIPD, 2021)</w:t>
      </w:r>
      <w:r w:rsidR="000E710E">
        <w:t>, risks can be identified and categorised according to</w:t>
      </w:r>
      <w:r w:rsidR="00D834F9">
        <w:t xml:space="preserve"> the constraint</w:t>
      </w:r>
      <w:r w:rsidR="009B3467">
        <w:t>; whether it’s a risk to the product or schedule or resource.</w:t>
      </w:r>
      <w:r w:rsidR="00083959">
        <w:t xml:space="preserve"> </w:t>
      </w:r>
      <w:r w:rsidR="00AE3581">
        <w:t>This feeds into use of the Risk Analysis tool</w:t>
      </w:r>
      <w:r w:rsidR="000579C4">
        <w:t>, pictured.</w:t>
      </w:r>
    </w:p>
    <w:p w14:paraId="2F3D484B" w14:textId="20AF9DE7" w:rsidR="00C722F1" w:rsidRDefault="003B4B0D" w:rsidP="00F15BE6">
      <w:r>
        <w:t xml:space="preserve">You can see the risks we identified were familiar to us, </w:t>
      </w:r>
      <w:r w:rsidR="00770803">
        <w:t xml:space="preserve">absence, connectivity, etc. We were evidently less familiar with </w:t>
      </w:r>
      <w:r w:rsidR="007D2F9E">
        <w:t>esoteric</w:t>
      </w:r>
      <w:r w:rsidR="00770803">
        <w:t xml:space="preserve"> </w:t>
      </w:r>
      <w:r w:rsidR="009F6E3B">
        <w:t>project risks, such as</w:t>
      </w:r>
      <w:r w:rsidR="00A827EE">
        <w:t xml:space="preserve"> the risk of not doing any planning</w:t>
      </w:r>
      <w:r w:rsidR="00917EAD">
        <w:t>, or never exiting phase one of the cycle</w:t>
      </w:r>
      <w:r w:rsidR="00564D7A">
        <w:t>. Our lack of familiarity increased the ris</w:t>
      </w:r>
      <w:r w:rsidR="00106E55">
        <w:t>k of failing</w:t>
      </w:r>
      <w:r w:rsidR="000043F9">
        <w:t xml:space="preserve"> to </w:t>
      </w:r>
      <w:r w:rsidR="006F7238">
        <w:t xml:space="preserve">meet </w:t>
      </w:r>
      <w:r w:rsidR="00145C32">
        <w:t>the critical</w:t>
      </w:r>
      <w:r w:rsidR="006F7238">
        <w:t xml:space="preserve"> success </w:t>
      </w:r>
      <w:r w:rsidR="008C56C6">
        <w:t xml:space="preserve">factors </w:t>
      </w:r>
      <w:r w:rsidR="006F7238">
        <w:t>listed</w:t>
      </w:r>
      <w:r w:rsidR="00F476A8">
        <w:t xml:space="preserve"> in the quad chart.</w:t>
      </w:r>
      <w:r w:rsidR="00257F88">
        <w:t xml:space="preserve"> </w:t>
      </w:r>
      <w:r w:rsidR="00F17E01">
        <w:t xml:space="preserve">The Risk Management tool </w:t>
      </w:r>
      <w:r w:rsidR="00CE4024">
        <w:t>can be</w:t>
      </w:r>
      <w:r w:rsidR="00F17E01">
        <w:t xml:space="preserve"> a useful model for listing risks, </w:t>
      </w:r>
      <w:r w:rsidR="00CC3ACC">
        <w:t xml:space="preserve">it </w:t>
      </w:r>
      <w:r w:rsidR="00E2117A">
        <w:t xml:space="preserve">appears to </w:t>
      </w:r>
      <w:r w:rsidR="00CC3ACC">
        <w:t>ha</w:t>
      </w:r>
      <w:r w:rsidR="00E2117A">
        <w:t>ve</w:t>
      </w:r>
      <w:r w:rsidR="00CC3ACC">
        <w:t xml:space="preserve"> limitations </w:t>
      </w:r>
      <w:r w:rsidR="00D007DF">
        <w:t xml:space="preserve">in usefulness </w:t>
      </w:r>
      <w:r w:rsidR="00CC3ACC">
        <w:t>for the uninitiated.</w:t>
      </w:r>
    </w:p>
    <w:p w14:paraId="75DD8CC8" w14:textId="25D134C1" w:rsidR="00F476A8" w:rsidRDefault="009D5D86" w:rsidP="00F15BE6">
      <w:r>
        <w:t xml:space="preserve">As is indicated by the Institute of </w:t>
      </w:r>
      <w:r w:rsidR="006856DD">
        <w:t xml:space="preserve">Leadership and Management (2013), </w:t>
      </w:r>
      <w:r w:rsidR="00942B72">
        <w:t>e</w:t>
      </w:r>
      <w:r w:rsidR="00F44578">
        <w:t xml:space="preserve">valuation is an integral and essential part of </w:t>
      </w:r>
      <w:r w:rsidR="00B3582F">
        <w:t>a</w:t>
      </w:r>
      <w:r w:rsidR="00F44578">
        <w:t xml:space="preserve"> project, not an afterthought or an optional extra</w:t>
      </w:r>
      <w:r w:rsidR="00522D54">
        <w:t>.</w:t>
      </w:r>
      <w:r w:rsidR="00EB4CD0">
        <w:t xml:space="preserve"> </w:t>
      </w:r>
      <w:r w:rsidR="00522D54">
        <w:t>A</w:t>
      </w:r>
      <w:r w:rsidR="00EB4CD0">
        <w:t>ccording to Morgan</w:t>
      </w:r>
      <w:r w:rsidR="00567D5E">
        <w:t xml:space="preserve">, </w:t>
      </w:r>
      <w:r w:rsidR="00522D54">
        <w:t xml:space="preserve">it is </w:t>
      </w:r>
      <w:r w:rsidR="00567D5E">
        <w:t xml:space="preserve">one of the ‘most important skills to demonstrate’ (Morgan, </w:t>
      </w:r>
      <w:r w:rsidR="00647934">
        <w:t>2017 p</w:t>
      </w:r>
      <w:r w:rsidR="00B96696">
        <w:t>.88)</w:t>
      </w:r>
      <w:r w:rsidR="002503CB">
        <w:t>. It allows for reflection, learning and improvement</w:t>
      </w:r>
      <w:r w:rsidR="00F44578">
        <w:t xml:space="preserve">. </w:t>
      </w:r>
      <w:r w:rsidR="00760388">
        <w:t xml:space="preserve">As our project overran, </w:t>
      </w:r>
      <w:r w:rsidR="007A105F">
        <w:t xml:space="preserve">the opportunity for </w:t>
      </w:r>
      <w:r w:rsidR="00D80BD9">
        <w:t xml:space="preserve">time-consuming objective evaluation </w:t>
      </w:r>
      <w:r w:rsidR="0066455F">
        <w:t>dwindled,</w:t>
      </w:r>
      <w:r w:rsidR="0023489E">
        <w:t xml:space="preserve"> </w:t>
      </w:r>
      <w:r w:rsidR="0066455F">
        <w:t>and subjective evaluation became the only option</w:t>
      </w:r>
      <w:r w:rsidR="0023489E">
        <w:t xml:space="preserve">. </w:t>
      </w:r>
      <w:r w:rsidR="00251977">
        <w:t xml:space="preserve">The limited amount of evaluation we performed </w:t>
      </w:r>
      <w:r w:rsidR="00EF347C">
        <w:t xml:space="preserve">revealed our </w:t>
      </w:r>
      <w:r w:rsidR="009C0F5F">
        <w:t>project</w:t>
      </w:r>
      <w:r w:rsidR="00EF347C">
        <w:t xml:space="preserve"> to be a partial success</w:t>
      </w:r>
      <w:r w:rsidR="004F6530">
        <w:t xml:space="preserve"> overall.</w:t>
      </w:r>
      <w:r w:rsidR="00FF223D">
        <w:t xml:space="preserve"> We succeeded in attracting applicants, we failed to </w:t>
      </w:r>
      <w:r w:rsidR="00223B9B">
        <w:t xml:space="preserve">attract four. We succeeded in creating marketing materials, </w:t>
      </w:r>
      <w:r w:rsidR="00F33E7A">
        <w:t>for which we received some positive feedback</w:t>
      </w:r>
      <w:r w:rsidR="004B157C">
        <w:t>. However</w:t>
      </w:r>
      <w:r w:rsidR="008411D5">
        <w:t>,</w:t>
      </w:r>
      <w:r w:rsidR="004B157C">
        <w:t xml:space="preserve"> our output was delivered late, after the deadline</w:t>
      </w:r>
      <w:r w:rsidR="00033F8F">
        <w:t>, a schedule failure</w:t>
      </w:r>
      <w:r w:rsidR="008411D5">
        <w:t>, although we did not</w:t>
      </w:r>
      <w:r w:rsidR="00F97BB6">
        <w:t xml:space="preserve"> exceed our budget.</w:t>
      </w:r>
      <w:r w:rsidR="00337C10">
        <w:t xml:space="preserve"> Some measurable or ‘hard’ evaluation was that we delivered </w:t>
      </w:r>
      <w:r w:rsidR="00C24747">
        <w:t>3</w:t>
      </w:r>
      <w:r w:rsidR="00C963FA">
        <w:t xml:space="preserve"> distinct and separate</w:t>
      </w:r>
      <w:r w:rsidR="00C24747">
        <w:t xml:space="preserve"> marketing materials</w:t>
      </w:r>
      <w:r w:rsidR="00964922">
        <w:t xml:space="preserve">. Although we limited our ability to learn by </w:t>
      </w:r>
      <w:r w:rsidR="00317CD5">
        <w:t xml:space="preserve">curtailing evaluation, we did gain the experience of </w:t>
      </w:r>
      <w:r w:rsidR="002C7E05">
        <w:t>pursuing a project</w:t>
      </w:r>
      <w:r w:rsidR="00094615">
        <w:t xml:space="preserve"> and at least learned to</w:t>
      </w:r>
      <w:r w:rsidR="00551793">
        <w:t xml:space="preserve"> never again</w:t>
      </w:r>
      <w:r w:rsidR="00094615">
        <w:t xml:space="preserve"> do it the way we di</w:t>
      </w:r>
      <w:r w:rsidR="00551793">
        <w:t>d.</w:t>
      </w:r>
      <w:r w:rsidR="001B0A17">
        <w:t xml:space="preserve"> </w:t>
      </w:r>
      <w:r w:rsidR="00CE4A64">
        <w:t xml:space="preserve">We </w:t>
      </w:r>
      <w:r w:rsidR="000341C5">
        <w:t xml:space="preserve">made mistakes because we </w:t>
      </w:r>
      <w:r w:rsidR="002A52D8">
        <w:t xml:space="preserve">didn’t correctly plan, </w:t>
      </w:r>
      <w:r w:rsidR="000341C5">
        <w:t>and</w:t>
      </w:r>
      <w:r w:rsidR="00CE4A64">
        <w:t xml:space="preserve"> by conflating the project with the module programme</w:t>
      </w:r>
      <w:r w:rsidR="00DC1265">
        <w:t>.</w:t>
      </w:r>
      <w:r w:rsidR="002739F9">
        <w:t xml:space="preserve"> An important</w:t>
      </w:r>
      <w:r w:rsidR="00A63DD3">
        <w:t xml:space="preserve"> distinction that may or may not have been learned is that the project DOES NOT EQUAL the programme.</w:t>
      </w:r>
      <w:r w:rsidR="00E52D2B">
        <w:t xml:space="preserve"> This is evidently not as obvious as one might believe.</w:t>
      </w:r>
      <w:r w:rsidR="001844D5">
        <w:t xml:space="preserve"> While time ran out during the course of this project, the experience could still be the basis of</w:t>
      </w:r>
      <w:r w:rsidR="0043403D">
        <w:t xml:space="preserve"> reflective</w:t>
      </w:r>
      <w:r w:rsidR="001844D5">
        <w:t xml:space="preserve"> learning for the team members through use of </w:t>
      </w:r>
      <w:r w:rsidR="000C538D">
        <w:t>Kolb’s</w:t>
      </w:r>
      <w:r w:rsidR="00773B66">
        <w:t xml:space="preserve"> (2015)</w:t>
      </w:r>
      <w:r w:rsidR="001844D5">
        <w:t xml:space="preserve"> experie</w:t>
      </w:r>
      <w:r w:rsidR="0043403D">
        <w:t>ntial learning cycle</w:t>
      </w:r>
      <w:r w:rsidR="00612AAB">
        <w:t xml:space="preserve"> at some point in the future.</w:t>
      </w:r>
    </w:p>
    <w:p w14:paraId="141E236F" w14:textId="1402A3F9" w:rsidR="00FA0444" w:rsidRDefault="00E52D2B">
      <w:r>
        <w:t>Thank you for</w:t>
      </w:r>
      <w:r w:rsidR="00467121">
        <w:t xml:space="preserve"> attending this presentation </w:t>
      </w:r>
      <w:r w:rsidR="00DD76D8">
        <w:t>on</w:t>
      </w:r>
      <w:r w:rsidR="00AC7FC1">
        <w:t xml:space="preserve"> “</w:t>
      </w:r>
      <w:r w:rsidR="00DD76D8">
        <w:t>How we implemented and executed project management tools</w:t>
      </w:r>
      <w:r w:rsidR="00D67037">
        <w:t xml:space="preserve"> for Project C</w:t>
      </w:r>
      <w:r w:rsidR="00AC7FC1">
        <w:t xml:space="preserve"> in UWTSD”.</w:t>
      </w:r>
    </w:p>
    <w:p w14:paraId="627A04C0" w14:textId="77777777" w:rsidR="00091178" w:rsidRPr="00AD362A" w:rsidRDefault="00091178" w:rsidP="00AD362A">
      <w:pPr>
        <w:pStyle w:val="ListParagraph"/>
        <w:numPr>
          <w:ilvl w:val="0"/>
          <w:numId w:val="1"/>
        </w:numPr>
        <w:spacing w:after="0" w:line="216" w:lineRule="auto"/>
        <w:rPr>
          <w:rFonts w:hAnsi="Century Gothic"/>
          <w:color w:val="000000" w:themeColor="dark1"/>
          <w:kern w:val="24"/>
        </w:rPr>
      </w:pPr>
      <w:r w:rsidRPr="00856FBF">
        <w:rPr>
          <w:rFonts w:hAnsi="Century Gothic"/>
          <w:color w:val="000000" w:themeColor="dark1"/>
          <w:kern w:val="24"/>
        </w:rPr>
        <w:t xml:space="preserve">CIPD (2021) </w:t>
      </w:r>
      <w:r w:rsidRPr="00856FBF">
        <w:rPr>
          <w:rFonts w:hAnsi="Century Gothic"/>
          <w:i/>
          <w:iCs/>
          <w:color w:val="000000" w:themeColor="dark1"/>
          <w:kern w:val="24"/>
        </w:rPr>
        <w:t>Pestle Analysis Factsheet</w:t>
      </w:r>
      <w:r w:rsidRPr="00856FBF">
        <w:rPr>
          <w:rFonts w:hAnsi="Century Gothic"/>
          <w:color w:val="000000" w:themeColor="dark1"/>
          <w:kern w:val="24"/>
        </w:rPr>
        <w:t xml:space="preserve">. Available at: cipd.co.uk/knowledge/strategy/organisational-development/pestle-analysis-factsheet (Accessed </w:t>
      </w:r>
      <w:r>
        <w:rPr>
          <w:rFonts w:hAnsi="Century Gothic"/>
          <w:color w:val="000000" w:themeColor="dark1"/>
          <w:kern w:val="24"/>
        </w:rPr>
        <w:t>29</w:t>
      </w:r>
      <w:r w:rsidRPr="00856FBF">
        <w:rPr>
          <w:rFonts w:hAnsi="Century Gothic"/>
          <w:color w:val="000000" w:themeColor="dark1"/>
          <w:kern w:val="24"/>
          <w:vertAlign w:val="superscript"/>
        </w:rPr>
        <w:t>th</w:t>
      </w:r>
      <w:r w:rsidRPr="00856FBF">
        <w:rPr>
          <w:rFonts w:hAnsi="Century Gothic"/>
          <w:color w:val="000000" w:themeColor="dark1"/>
          <w:kern w:val="24"/>
        </w:rPr>
        <w:t xml:space="preserve"> </w:t>
      </w:r>
      <w:r>
        <w:rPr>
          <w:rFonts w:hAnsi="Century Gothic"/>
          <w:color w:val="000000" w:themeColor="dark1"/>
          <w:kern w:val="24"/>
        </w:rPr>
        <w:t>May</w:t>
      </w:r>
      <w:r w:rsidRPr="00856FBF">
        <w:rPr>
          <w:rFonts w:hAnsi="Century Gothic"/>
          <w:color w:val="000000" w:themeColor="dark1"/>
          <w:kern w:val="24"/>
        </w:rPr>
        <w:t xml:space="preserve"> 2021).</w:t>
      </w:r>
    </w:p>
    <w:p w14:paraId="7E1526FE" w14:textId="77777777" w:rsidR="00091178" w:rsidRPr="00345F08" w:rsidRDefault="00091178" w:rsidP="0068659B">
      <w:pPr>
        <w:pStyle w:val="ListParagraph"/>
        <w:numPr>
          <w:ilvl w:val="0"/>
          <w:numId w:val="1"/>
        </w:numPr>
        <w:rPr>
          <w:rFonts w:cstheme="minorHAnsi"/>
        </w:rPr>
      </w:pPr>
      <w:r w:rsidRPr="00047BE0">
        <w:t xml:space="preserve">Institute of Leadership and Management (2013) </w:t>
      </w:r>
      <w:r w:rsidRPr="00047BE0">
        <w:rPr>
          <w:i/>
          <w:iCs/>
        </w:rPr>
        <w:t>Solving problems and Making Decisions</w:t>
      </w:r>
      <w:r w:rsidRPr="00047BE0">
        <w:t>. Abingdon: Routledge.</w:t>
      </w:r>
    </w:p>
    <w:p w14:paraId="0C85D809" w14:textId="77777777" w:rsidR="00091178" w:rsidRDefault="00091178" w:rsidP="00C963FA">
      <w:pPr>
        <w:pStyle w:val="ListParagraph"/>
        <w:numPr>
          <w:ilvl w:val="0"/>
          <w:numId w:val="1"/>
        </w:numPr>
      </w:pPr>
      <w:r>
        <w:t xml:space="preserve">Kolb, D. (2015) </w:t>
      </w:r>
      <w:r w:rsidRPr="006C4EA6">
        <w:rPr>
          <w:i/>
          <w:iCs/>
        </w:rPr>
        <w:t>Experiential Learning</w:t>
      </w:r>
      <w:r>
        <w:t>. 2</w:t>
      </w:r>
      <w:r w:rsidRPr="006C4EA6">
        <w:rPr>
          <w:vertAlign w:val="superscript"/>
        </w:rPr>
        <w:t>nd</w:t>
      </w:r>
      <w:r>
        <w:t xml:space="preserve"> Ed. New Jersey: Pearson.</w:t>
      </w:r>
    </w:p>
    <w:p w14:paraId="05BD8B31" w14:textId="77777777" w:rsidR="00091178" w:rsidRPr="00345F08" w:rsidRDefault="00091178" w:rsidP="00567F3C">
      <w:pPr>
        <w:pStyle w:val="ListParagraph"/>
        <w:numPr>
          <w:ilvl w:val="0"/>
          <w:numId w:val="1"/>
        </w:numPr>
        <w:rPr>
          <w:rFonts w:cstheme="minorHAnsi"/>
          <w:color w:val="000000"/>
          <w:shd w:val="clear" w:color="auto" w:fill="FFFFFF"/>
        </w:rPr>
      </w:pPr>
      <w:r w:rsidRPr="00345F08">
        <w:rPr>
          <w:rFonts w:cstheme="minorHAnsi"/>
          <w:color w:val="000000"/>
          <w:shd w:val="clear" w:color="auto" w:fill="FFFFFF"/>
        </w:rPr>
        <w:lastRenderedPageBreak/>
        <w:t>Lock, D</w:t>
      </w:r>
      <w:r w:rsidRPr="00345F08">
        <w:rPr>
          <w:rFonts w:cstheme="minorHAnsi"/>
          <w:color w:val="000000"/>
          <w:shd w:val="clear" w:color="auto" w:fill="FFFFFF"/>
        </w:rPr>
        <w:t>.</w:t>
      </w:r>
      <w:r w:rsidRPr="00345F08">
        <w:rPr>
          <w:rFonts w:cstheme="minorHAnsi"/>
          <w:color w:val="000000"/>
          <w:shd w:val="clear" w:color="auto" w:fill="FFFFFF"/>
        </w:rPr>
        <w:t xml:space="preserve"> </w:t>
      </w:r>
      <w:r w:rsidRPr="00345F08">
        <w:rPr>
          <w:rFonts w:cstheme="minorHAnsi"/>
          <w:color w:val="000000"/>
          <w:shd w:val="clear" w:color="auto" w:fill="FFFFFF"/>
        </w:rPr>
        <w:t>(</w:t>
      </w:r>
      <w:r w:rsidRPr="00345F08">
        <w:rPr>
          <w:rFonts w:cstheme="minorHAnsi"/>
          <w:color w:val="000000"/>
          <w:shd w:val="clear" w:color="auto" w:fill="FFFFFF"/>
        </w:rPr>
        <w:t>2007</w:t>
      </w:r>
      <w:r w:rsidRPr="00345F08">
        <w:rPr>
          <w:rFonts w:cstheme="minorHAnsi"/>
          <w:color w:val="000000"/>
          <w:shd w:val="clear" w:color="auto" w:fill="FFFFFF"/>
        </w:rPr>
        <w:t>)</w:t>
      </w:r>
      <w:r w:rsidRPr="00345F08">
        <w:rPr>
          <w:rFonts w:cstheme="minorHAnsi"/>
          <w:color w:val="000000"/>
          <w:shd w:val="clear" w:color="auto" w:fill="FFFFFF"/>
        </w:rPr>
        <w:t> </w:t>
      </w:r>
      <w:r w:rsidRPr="00345F08">
        <w:rPr>
          <w:rFonts w:cstheme="minorHAnsi"/>
          <w:i/>
          <w:iCs/>
          <w:color w:val="000000"/>
          <w:shd w:val="clear" w:color="auto" w:fill="FFFFFF"/>
        </w:rPr>
        <w:t>Project management</w:t>
      </w:r>
      <w:r w:rsidRPr="00345F08">
        <w:rPr>
          <w:rFonts w:cstheme="minorHAnsi"/>
          <w:color w:val="000000"/>
          <w:shd w:val="clear" w:color="auto" w:fill="FFFFFF"/>
        </w:rPr>
        <w:t>. 9</w:t>
      </w:r>
      <w:r w:rsidRPr="006C4EA6">
        <w:rPr>
          <w:rFonts w:cstheme="minorHAnsi"/>
          <w:color w:val="000000"/>
          <w:shd w:val="clear" w:color="auto" w:fill="FFFFFF"/>
          <w:vertAlign w:val="superscript"/>
        </w:rPr>
        <w:t>th</w:t>
      </w:r>
      <w:r>
        <w:rPr>
          <w:rFonts w:cstheme="minorHAnsi"/>
          <w:color w:val="000000"/>
          <w:shd w:val="clear" w:color="auto" w:fill="FFFFFF"/>
        </w:rPr>
        <w:t xml:space="preserve"> </w:t>
      </w:r>
      <w:r w:rsidRPr="00345F08">
        <w:rPr>
          <w:rFonts w:cstheme="minorHAnsi"/>
          <w:color w:val="000000"/>
          <w:shd w:val="clear" w:color="auto" w:fill="FFFFFF"/>
        </w:rPr>
        <w:t>E</w:t>
      </w:r>
      <w:r w:rsidRPr="00345F08">
        <w:rPr>
          <w:rFonts w:cstheme="minorHAnsi"/>
          <w:color w:val="000000"/>
          <w:shd w:val="clear" w:color="auto" w:fill="FFFFFF"/>
        </w:rPr>
        <w:t>d. Aldershot: Gower Publishing.</w:t>
      </w:r>
    </w:p>
    <w:p w14:paraId="539199F0" w14:textId="77777777" w:rsidR="00091178" w:rsidRPr="000E7878" w:rsidRDefault="00091178" w:rsidP="00AD362A">
      <w:pPr>
        <w:pStyle w:val="ListParagraph"/>
        <w:numPr>
          <w:ilvl w:val="0"/>
          <w:numId w:val="1"/>
        </w:numPr>
      </w:pPr>
      <w:r w:rsidRPr="00856FBF">
        <w:t xml:space="preserve">Morgan, P. (2017) </w:t>
      </w:r>
      <w:r w:rsidRPr="00856FBF">
        <w:rPr>
          <w:i/>
          <w:iCs/>
        </w:rPr>
        <w:t>The Business Student’s Guide to Study and Employability</w:t>
      </w:r>
      <w:r w:rsidRPr="00856FBF">
        <w:t>. London: Sage.</w:t>
      </w:r>
    </w:p>
    <w:p w14:paraId="13CB5C70" w14:textId="77777777" w:rsidR="00091178" w:rsidRDefault="00091178" w:rsidP="00C963FA">
      <w:pPr>
        <w:pStyle w:val="ListParagraph"/>
        <w:numPr>
          <w:ilvl w:val="0"/>
          <w:numId w:val="1"/>
        </w:numPr>
      </w:pPr>
      <w:r w:rsidRPr="00670180">
        <w:t>Westland, J.</w:t>
      </w:r>
      <w:r>
        <w:t xml:space="preserve"> (2006)</w:t>
      </w:r>
      <w:r w:rsidRPr="00670180">
        <w:t xml:space="preserve"> </w:t>
      </w:r>
      <w:r w:rsidRPr="004906B4">
        <w:rPr>
          <w:i/>
          <w:iCs/>
        </w:rPr>
        <w:t>The Project Management Life Cycle</w:t>
      </w:r>
      <w:r>
        <w:t>.</w:t>
      </w:r>
      <w:r w:rsidRPr="00670180">
        <w:t xml:space="preserve"> </w:t>
      </w:r>
      <w:r>
        <w:t xml:space="preserve">London: </w:t>
      </w:r>
      <w:r w:rsidRPr="00670180">
        <w:t>Kogan Page</w:t>
      </w:r>
      <w:r>
        <w:t>.</w:t>
      </w:r>
    </w:p>
    <w:sectPr w:rsidR="000911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9F3081"/>
    <w:multiLevelType w:val="hybridMultilevel"/>
    <w:tmpl w:val="26222D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E1E2D21"/>
    <w:multiLevelType w:val="hybridMultilevel"/>
    <w:tmpl w:val="F9524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0306"/>
    <w:rsid w:val="000043F9"/>
    <w:rsid w:val="00010732"/>
    <w:rsid w:val="00010EF4"/>
    <w:rsid w:val="0003083E"/>
    <w:rsid w:val="00033F8F"/>
    <w:rsid w:val="000341C5"/>
    <w:rsid w:val="000501D9"/>
    <w:rsid w:val="000579C4"/>
    <w:rsid w:val="00083959"/>
    <w:rsid w:val="00091178"/>
    <w:rsid w:val="00094615"/>
    <w:rsid w:val="000964C7"/>
    <w:rsid w:val="000A7D07"/>
    <w:rsid w:val="000B2F50"/>
    <w:rsid w:val="000B3966"/>
    <w:rsid w:val="000C538D"/>
    <w:rsid w:val="000E710E"/>
    <w:rsid w:val="00106E55"/>
    <w:rsid w:val="00145C32"/>
    <w:rsid w:val="00161102"/>
    <w:rsid w:val="001844D5"/>
    <w:rsid w:val="001B0A17"/>
    <w:rsid w:val="001B1ACF"/>
    <w:rsid w:val="001D73AB"/>
    <w:rsid w:val="001E0DC9"/>
    <w:rsid w:val="00223B9B"/>
    <w:rsid w:val="0023489E"/>
    <w:rsid w:val="002365B8"/>
    <w:rsid w:val="002503CB"/>
    <w:rsid w:val="00251977"/>
    <w:rsid w:val="002524ED"/>
    <w:rsid w:val="00257F32"/>
    <w:rsid w:val="00257F88"/>
    <w:rsid w:val="002739F9"/>
    <w:rsid w:val="00294971"/>
    <w:rsid w:val="002A3343"/>
    <w:rsid w:val="002A52D8"/>
    <w:rsid w:val="002C5EEB"/>
    <w:rsid w:val="002C7E05"/>
    <w:rsid w:val="002E5E9A"/>
    <w:rsid w:val="00317CD5"/>
    <w:rsid w:val="003374CE"/>
    <w:rsid w:val="00337C10"/>
    <w:rsid w:val="00345F08"/>
    <w:rsid w:val="003943AF"/>
    <w:rsid w:val="003B4B0D"/>
    <w:rsid w:val="003B6F5F"/>
    <w:rsid w:val="003C6801"/>
    <w:rsid w:val="0040100B"/>
    <w:rsid w:val="0043403D"/>
    <w:rsid w:val="00467121"/>
    <w:rsid w:val="00476EC5"/>
    <w:rsid w:val="0048078A"/>
    <w:rsid w:val="004906B4"/>
    <w:rsid w:val="00497E98"/>
    <w:rsid w:val="004A2663"/>
    <w:rsid w:val="004B157C"/>
    <w:rsid w:val="004C1247"/>
    <w:rsid w:val="004F6530"/>
    <w:rsid w:val="00507D95"/>
    <w:rsid w:val="00512E7B"/>
    <w:rsid w:val="00522D54"/>
    <w:rsid w:val="00551793"/>
    <w:rsid w:val="00564D7A"/>
    <w:rsid w:val="00567D5E"/>
    <w:rsid w:val="00567F3C"/>
    <w:rsid w:val="00575B3A"/>
    <w:rsid w:val="00584301"/>
    <w:rsid w:val="005A2609"/>
    <w:rsid w:val="005C7F57"/>
    <w:rsid w:val="005D4E2C"/>
    <w:rsid w:val="00604AB6"/>
    <w:rsid w:val="00612AAB"/>
    <w:rsid w:val="0064478B"/>
    <w:rsid w:val="00647934"/>
    <w:rsid w:val="00654894"/>
    <w:rsid w:val="0066455F"/>
    <w:rsid w:val="00670180"/>
    <w:rsid w:val="00684B72"/>
    <w:rsid w:val="006856DD"/>
    <w:rsid w:val="0068659B"/>
    <w:rsid w:val="006B00C7"/>
    <w:rsid w:val="006B0402"/>
    <w:rsid w:val="006C4EA6"/>
    <w:rsid w:val="006F00FE"/>
    <w:rsid w:val="006F7238"/>
    <w:rsid w:val="007114A7"/>
    <w:rsid w:val="00711E9E"/>
    <w:rsid w:val="007139EC"/>
    <w:rsid w:val="00760388"/>
    <w:rsid w:val="00770803"/>
    <w:rsid w:val="00773B66"/>
    <w:rsid w:val="007806D7"/>
    <w:rsid w:val="007825AA"/>
    <w:rsid w:val="00782F16"/>
    <w:rsid w:val="00791970"/>
    <w:rsid w:val="00794156"/>
    <w:rsid w:val="007A105F"/>
    <w:rsid w:val="007C21B2"/>
    <w:rsid w:val="007D2F9E"/>
    <w:rsid w:val="00802826"/>
    <w:rsid w:val="008411D5"/>
    <w:rsid w:val="008C56C6"/>
    <w:rsid w:val="00915FA8"/>
    <w:rsid w:val="00917EAD"/>
    <w:rsid w:val="00924AE6"/>
    <w:rsid w:val="00942B72"/>
    <w:rsid w:val="00957D66"/>
    <w:rsid w:val="00964922"/>
    <w:rsid w:val="00983359"/>
    <w:rsid w:val="009B3467"/>
    <w:rsid w:val="009C0F5F"/>
    <w:rsid w:val="009D5D86"/>
    <w:rsid w:val="009F0629"/>
    <w:rsid w:val="009F6E3B"/>
    <w:rsid w:val="00A50306"/>
    <w:rsid w:val="00A52BE4"/>
    <w:rsid w:val="00A63DD3"/>
    <w:rsid w:val="00A827EE"/>
    <w:rsid w:val="00AB5DAD"/>
    <w:rsid w:val="00AC7FC1"/>
    <w:rsid w:val="00AD362A"/>
    <w:rsid w:val="00AE3581"/>
    <w:rsid w:val="00AE71FB"/>
    <w:rsid w:val="00AF37B3"/>
    <w:rsid w:val="00AF451E"/>
    <w:rsid w:val="00B02251"/>
    <w:rsid w:val="00B068F8"/>
    <w:rsid w:val="00B25418"/>
    <w:rsid w:val="00B27361"/>
    <w:rsid w:val="00B3582F"/>
    <w:rsid w:val="00B45E35"/>
    <w:rsid w:val="00B558CF"/>
    <w:rsid w:val="00B63814"/>
    <w:rsid w:val="00B93036"/>
    <w:rsid w:val="00B96696"/>
    <w:rsid w:val="00B96DC4"/>
    <w:rsid w:val="00BD29E8"/>
    <w:rsid w:val="00BE11D8"/>
    <w:rsid w:val="00C24747"/>
    <w:rsid w:val="00C52C9E"/>
    <w:rsid w:val="00C722F1"/>
    <w:rsid w:val="00C765EF"/>
    <w:rsid w:val="00C9024B"/>
    <w:rsid w:val="00C9158F"/>
    <w:rsid w:val="00C963FA"/>
    <w:rsid w:val="00CC3ACC"/>
    <w:rsid w:val="00CD2973"/>
    <w:rsid w:val="00CE4024"/>
    <w:rsid w:val="00CE4A64"/>
    <w:rsid w:val="00D007DF"/>
    <w:rsid w:val="00D06AA0"/>
    <w:rsid w:val="00D14EB1"/>
    <w:rsid w:val="00D470C7"/>
    <w:rsid w:val="00D57833"/>
    <w:rsid w:val="00D62C40"/>
    <w:rsid w:val="00D67037"/>
    <w:rsid w:val="00D80BD9"/>
    <w:rsid w:val="00D834F9"/>
    <w:rsid w:val="00DA6C2E"/>
    <w:rsid w:val="00DB525A"/>
    <w:rsid w:val="00DC1265"/>
    <w:rsid w:val="00DD76D8"/>
    <w:rsid w:val="00DE00FC"/>
    <w:rsid w:val="00DF5084"/>
    <w:rsid w:val="00DF7FDA"/>
    <w:rsid w:val="00E2117A"/>
    <w:rsid w:val="00E52D2B"/>
    <w:rsid w:val="00E71630"/>
    <w:rsid w:val="00EA1016"/>
    <w:rsid w:val="00EB4CD0"/>
    <w:rsid w:val="00EC1B94"/>
    <w:rsid w:val="00EE4246"/>
    <w:rsid w:val="00EE4DA3"/>
    <w:rsid w:val="00EF347C"/>
    <w:rsid w:val="00F15BE6"/>
    <w:rsid w:val="00F17E01"/>
    <w:rsid w:val="00F21338"/>
    <w:rsid w:val="00F33E7A"/>
    <w:rsid w:val="00F44578"/>
    <w:rsid w:val="00F476A8"/>
    <w:rsid w:val="00F913D8"/>
    <w:rsid w:val="00F97BB6"/>
    <w:rsid w:val="00FA0444"/>
    <w:rsid w:val="00FF2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558F3"/>
  <w15:chartTrackingRefBased/>
  <w15:docId w15:val="{89039E81-2435-4EE9-873B-25F28BD2D0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65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559af79dcabde73bdf70d1fcced0d0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fa0171f5340cf4e19166488e485c33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798805-C984-4652-8936-C1BB1B812A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712CED-58ED-481A-A0A5-AE65C692FB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CAF054-D26D-42EB-9993-1E54B8E82F6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713</TotalTime>
  <Pages>2</Pages>
  <Words>625</Words>
  <Characters>3563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</dc:creator>
  <cp:keywords/>
  <dc:description/>
  <cp:lastModifiedBy>Gareth Lewis</cp:lastModifiedBy>
  <cp:revision>22</cp:revision>
  <dcterms:created xsi:type="dcterms:W3CDTF">2021-06-13T13:12:00Z</dcterms:created>
  <dcterms:modified xsi:type="dcterms:W3CDTF">2021-06-14T01:06:00Z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