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26A2" w:rsidRPr="004826A2" w:rsidRDefault="004826A2" w:rsidP="004826A2">
      <w:pPr>
        <w:spacing w:after="0" w:line="240" w:lineRule="auto"/>
        <w:ind w:left="-180" w:right="-334"/>
        <w:rPr>
          <w:rFonts w:ascii="Georgia" w:eastAsia="SimSun" w:hAnsi="Georgia" w:cs="Times New Roman"/>
          <w:color w:val="000000"/>
          <w:sz w:val="21"/>
          <w:szCs w:val="21"/>
          <w:lang w:eastAsia="zh-CN"/>
        </w:rPr>
      </w:pPr>
      <w:r w:rsidRPr="004826A2">
        <w:rPr>
          <w:rFonts w:ascii="Georgia" w:eastAsia="SimSun" w:hAnsi="Georgia" w:cs="Times New Roman"/>
          <w:noProof/>
          <w:color w:val="000000"/>
          <w:sz w:val="21"/>
          <w:szCs w:val="21"/>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826A2" w:rsidRPr="004826A2" w:rsidRDefault="004826A2" w:rsidP="004826A2">
      <w:pPr>
        <w:spacing w:after="0" w:line="240" w:lineRule="auto"/>
        <w:ind w:left="-180" w:right="-334"/>
        <w:rPr>
          <w:rFonts w:ascii="Georgia" w:eastAsia="SimSun" w:hAnsi="Georgia" w:cs="Times New Roman"/>
          <w:color w:val="000000"/>
          <w:sz w:val="21"/>
          <w:szCs w:val="21"/>
          <w:lang w:eastAsia="zh-CN"/>
        </w:rPr>
      </w:pPr>
    </w:p>
    <w:p w:rsidR="004826A2" w:rsidRPr="004826A2" w:rsidRDefault="004826A2" w:rsidP="004826A2">
      <w:pPr>
        <w:spacing w:after="0" w:line="240" w:lineRule="auto"/>
        <w:ind w:left="-180" w:right="-334"/>
        <w:rPr>
          <w:rFonts w:ascii="Georgia" w:eastAsia="SimSun" w:hAnsi="Georgia" w:cs="Times New Roman"/>
          <w:color w:val="000000"/>
          <w:sz w:val="21"/>
          <w:szCs w:val="21"/>
          <w:lang w:eastAsia="zh-CN"/>
        </w:rPr>
      </w:pPr>
    </w:p>
    <w:p w:rsidR="004826A2" w:rsidRPr="004826A2" w:rsidRDefault="004826A2" w:rsidP="004826A2">
      <w:pPr>
        <w:spacing w:after="0" w:line="240" w:lineRule="auto"/>
        <w:ind w:left="-180" w:right="-334"/>
        <w:jc w:val="center"/>
        <w:rPr>
          <w:rFonts w:ascii="Arial" w:eastAsia="SimSun" w:hAnsi="Arial" w:cs="Arial"/>
          <w:b/>
          <w:color w:val="000000"/>
          <w:sz w:val="28"/>
          <w:szCs w:val="28"/>
          <w:lang w:val="cy-GB" w:eastAsia="zh-CN"/>
        </w:rPr>
      </w:pPr>
      <w:r w:rsidRPr="004826A2">
        <w:rPr>
          <w:rFonts w:ascii="Arial" w:eastAsia="SimSun" w:hAnsi="Arial" w:cs="Arial"/>
          <w:b/>
          <w:color w:val="000000"/>
          <w:sz w:val="28"/>
          <w:szCs w:val="28"/>
          <w:lang w:val="cy-GB" w:eastAsia="zh-CN"/>
        </w:rPr>
        <w:t xml:space="preserve">Postgraduate/Distance Learning </w:t>
      </w:r>
    </w:p>
    <w:p w:rsidR="004826A2" w:rsidRPr="004826A2" w:rsidRDefault="004826A2" w:rsidP="004826A2">
      <w:pPr>
        <w:spacing w:after="0" w:line="240" w:lineRule="auto"/>
        <w:ind w:left="-180" w:right="-334"/>
        <w:jc w:val="center"/>
        <w:rPr>
          <w:rFonts w:ascii="Arial" w:eastAsia="SimSun" w:hAnsi="Arial" w:cs="Arial"/>
          <w:b/>
          <w:color w:val="000000"/>
          <w:sz w:val="28"/>
          <w:szCs w:val="28"/>
          <w:lang w:eastAsia="zh-CN"/>
        </w:rPr>
      </w:pPr>
      <w:r w:rsidRPr="004826A2">
        <w:rPr>
          <w:rFonts w:ascii="Arial" w:eastAsia="SimSun" w:hAnsi="Arial" w:cs="Arial"/>
          <w:b/>
          <w:color w:val="000000"/>
          <w:sz w:val="28"/>
          <w:szCs w:val="28"/>
          <w:lang w:val="cy-GB" w:eastAsia="zh-CN"/>
        </w:rPr>
        <w:t>Assignment coversheet &amp; feedback form</w:t>
      </w:r>
    </w:p>
    <w:p w:rsidR="004826A2" w:rsidRPr="004826A2" w:rsidRDefault="004826A2" w:rsidP="004826A2">
      <w:pPr>
        <w:spacing w:after="0" w:line="240" w:lineRule="auto"/>
        <w:rPr>
          <w:rFonts w:ascii="Arial" w:eastAsia="SimSun" w:hAnsi="Arial" w:cs="Arial"/>
          <w:sz w:val="28"/>
          <w:szCs w:val="28"/>
          <w:lang w:val="cy-GB" w:eastAsia="zh-CN"/>
        </w:rPr>
      </w:pPr>
    </w:p>
    <w:p w:rsidR="004826A2" w:rsidRPr="004826A2" w:rsidRDefault="004826A2" w:rsidP="004826A2">
      <w:pPr>
        <w:keepNext/>
        <w:spacing w:after="0" w:line="240" w:lineRule="auto"/>
        <w:ind w:left="720"/>
        <w:jc w:val="center"/>
        <w:outlineLvl w:val="2"/>
        <w:rPr>
          <w:rFonts w:ascii="Tahoma" w:eastAsia="SimSun" w:hAnsi="Tahoma" w:cs="Tahoma"/>
          <w:b/>
          <w:bCs/>
          <w:sz w:val="20"/>
          <w:szCs w:val="20"/>
          <w:lang w:val="cy-GB" w:eastAsia="zh-CN"/>
        </w:rPr>
      </w:pPr>
      <w:r w:rsidRPr="004826A2">
        <w:rPr>
          <w:rFonts w:ascii="Tahoma" w:eastAsia="SimSun" w:hAnsi="Tahoma" w:cs="Tahoma"/>
          <w:b/>
          <w:bCs/>
          <w:sz w:val="20"/>
          <w:szCs w:val="20"/>
          <w:lang w:val="cy-GB" w:eastAsia="zh-CN"/>
        </w:rPr>
        <w:t>THIS SHEET MUST BE THE FIRST PAGE OF THE ASSIGNMENT YOU ARE SUBMITTING  (DO NOT SEND AS A SEPARATE FILE)</w:t>
      </w:r>
    </w:p>
    <w:p w:rsidR="004826A2" w:rsidRPr="004826A2" w:rsidRDefault="004826A2" w:rsidP="004826A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826A2" w:rsidRPr="004826A2" w:rsidTr="00D518AE">
        <w:trPr>
          <w:trHeight w:val="614"/>
        </w:trPr>
        <w:tc>
          <w:tcPr>
            <w:tcW w:w="8856" w:type="dxa"/>
            <w:gridSpan w:val="5"/>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b/>
                <w:color w:val="000000"/>
                <w:lang w:eastAsia="zh-CN"/>
              </w:rPr>
              <w:t>For completion by the student</w:t>
            </w:r>
            <w:r w:rsidRPr="004826A2">
              <w:rPr>
                <w:rFonts w:ascii="Arial" w:eastAsia="SimSun" w:hAnsi="Arial" w:cs="Arial"/>
                <w:color w:val="000000"/>
                <w:lang w:eastAsia="zh-CN"/>
              </w:rPr>
              <w:t>:</w:t>
            </w:r>
          </w:p>
        </w:tc>
      </w:tr>
      <w:tr w:rsidR="004826A2" w:rsidRPr="004826A2" w:rsidTr="00D518AE">
        <w:trPr>
          <w:trHeight w:val="718"/>
        </w:trPr>
        <w:tc>
          <w:tcPr>
            <w:tcW w:w="8856" w:type="dxa"/>
            <w:gridSpan w:val="5"/>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 xml:space="preserve">Student </w:t>
            </w:r>
            <w:proofErr w:type="spellStart"/>
            <w:r w:rsidRPr="004826A2">
              <w:rPr>
                <w:rFonts w:ascii="Arial" w:eastAsia="SimSun" w:hAnsi="Arial" w:cs="Arial"/>
                <w:color w:val="000000"/>
                <w:lang w:eastAsia="zh-CN"/>
              </w:rPr>
              <w:t>Name:Gillian</w:t>
            </w:r>
            <w:proofErr w:type="spellEnd"/>
            <w:r w:rsidRPr="004826A2">
              <w:rPr>
                <w:rFonts w:ascii="Arial" w:eastAsia="SimSun" w:hAnsi="Arial" w:cs="Arial"/>
                <w:color w:val="000000"/>
                <w:lang w:eastAsia="zh-CN"/>
              </w:rPr>
              <w:t xml:space="preserve"> Moran</w:t>
            </w:r>
          </w:p>
          <w:p w:rsidR="004826A2" w:rsidRPr="004826A2" w:rsidRDefault="004826A2" w:rsidP="004826A2">
            <w:pPr>
              <w:spacing w:after="0" w:line="240" w:lineRule="auto"/>
              <w:ind w:right="34"/>
              <w:rPr>
                <w:rFonts w:ascii="Arial" w:eastAsia="SimSun" w:hAnsi="Arial" w:cs="Arial"/>
                <w:color w:val="000000"/>
                <w:lang w:eastAsia="zh-CN"/>
              </w:rPr>
            </w:pP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 xml:space="preserve">Student </w:t>
            </w:r>
            <w:r w:rsidRPr="004826A2">
              <w:rPr>
                <w:rFonts w:ascii="Arial" w:eastAsia="SimSun" w:hAnsi="Arial" w:cs="Arial"/>
                <w:b/>
                <w:bCs/>
                <w:color w:val="000000"/>
                <w:u w:val="single"/>
                <w:lang w:eastAsia="zh-CN"/>
              </w:rPr>
              <w:t>University</w:t>
            </w:r>
            <w:r w:rsidRPr="004826A2">
              <w:rPr>
                <w:rFonts w:ascii="Arial" w:eastAsia="SimSun" w:hAnsi="Arial" w:cs="Arial"/>
                <w:color w:val="000000"/>
                <w:u w:val="single"/>
                <w:lang w:eastAsia="zh-CN"/>
              </w:rPr>
              <w:t xml:space="preserve"> </w:t>
            </w:r>
            <w:r w:rsidRPr="004826A2">
              <w:rPr>
                <w:rFonts w:ascii="Arial" w:eastAsia="SimSun" w:hAnsi="Arial" w:cs="Arial"/>
                <w:color w:val="000000"/>
                <w:lang w:eastAsia="zh-CN"/>
              </w:rPr>
              <w:t>Email:  1603148@student.uwtsd.ac.uk</w:t>
            </w:r>
          </w:p>
        </w:tc>
      </w:tr>
      <w:tr w:rsidR="004826A2" w:rsidRPr="004826A2" w:rsidTr="00D518AE">
        <w:trPr>
          <w:trHeight w:val="849"/>
        </w:trPr>
        <w:tc>
          <w:tcPr>
            <w:tcW w:w="4788" w:type="dxa"/>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Module code:CLAH7017</w:t>
            </w:r>
          </w:p>
          <w:p w:rsidR="004826A2" w:rsidRPr="004826A2" w:rsidRDefault="004826A2" w:rsidP="004826A2">
            <w:pPr>
              <w:spacing w:after="0" w:line="240" w:lineRule="auto"/>
              <w:ind w:right="34"/>
              <w:rPr>
                <w:rFonts w:ascii="Arial" w:eastAsia="SimSun" w:hAnsi="Arial" w:cs="Arial"/>
                <w:color w:val="000000"/>
                <w:lang w:eastAsia="zh-CN"/>
              </w:rPr>
            </w:pP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Module title:  Religious Life in the Roman Empire</w:t>
            </w:r>
          </w:p>
          <w:p w:rsidR="004826A2" w:rsidRPr="004826A2" w:rsidRDefault="004826A2" w:rsidP="004826A2">
            <w:pPr>
              <w:spacing w:after="0" w:line="240" w:lineRule="auto"/>
              <w:ind w:right="34"/>
              <w:rPr>
                <w:rFonts w:ascii="Arial" w:eastAsia="SimSun" w:hAnsi="Arial" w:cs="Arial"/>
                <w:color w:val="000000"/>
                <w:lang w:eastAsia="zh-CN"/>
              </w:rPr>
            </w:pPr>
          </w:p>
          <w:p w:rsidR="004826A2" w:rsidRPr="004826A2" w:rsidRDefault="004826A2" w:rsidP="004826A2">
            <w:pPr>
              <w:spacing w:after="0" w:line="240" w:lineRule="auto"/>
              <w:ind w:right="34"/>
              <w:rPr>
                <w:rFonts w:ascii="Arial" w:eastAsia="SimSun" w:hAnsi="Arial" w:cs="Arial"/>
                <w:color w:val="000000"/>
                <w:lang w:eastAsia="zh-CN"/>
              </w:rPr>
            </w:pPr>
          </w:p>
        </w:tc>
        <w:tc>
          <w:tcPr>
            <w:tcW w:w="2266" w:type="dxa"/>
            <w:gridSpan w:val="3"/>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Student ID number:</w:t>
            </w:r>
          </w:p>
          <w:p w:rsidR="004826A2" w:rsidRPr="004826A2" w:rsidRDefault="004826A2" w:rsidP="004826A2">
            <w:pPr>
              <w:spacing w:after="0" w:line="240" w:lineRule="auto"/>
              <w:ind w:right="34"/>
              <w:rPr>
                <w:rFonts w:ascii="Arial" w:eastAsia="SimSun" w:hAnsi="Arial" w:cs="Arial"/>
                <w:color w:val="000000"/>
                <w:lang w:eastAsia="zh-CN"/>
              </w:rPr>
            </w:pP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1603148</w:t>
            </w:r>
          </w:p>
        </w:tc>
        <w:tc>
          <w:tcPr>
            <w:tcW w:w="1802" w:type="dxa"/>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Educational support needs:</w:t>
            </w: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No</w:t>
            </w:r>
          </w:p>
        </w:tc>
      </w:tr>
      <w:tr w:rsidR="004826A2" w:rsidRPr="004826A2" w:rsidTr="00D518AE">
        <w:trPr>
          <w:trHeight w:val="1139"/>
        </w:trPr>
        <w:tc>
          <w:tcPr>
            <w:tcW w:w="8856" w:type="dxa"/>
            <w:gridSpan w:val="5"/>
          </w:tcPr>
          <w:p w:rsidR="004826A2" w:rsidRPr="004826A2" w:rsidRDefault="004826A2" w:rsidP="004826A2">
            <w:pPr>
              <w:spacing w:before="100" w:beforeAutospacing="1" w:after="100" w:afterAutospacing="1" w:line="240" w:lineRule="auto"/>
              <w:ind w:right="34"/>
              <w:rPr>
                <w:rFonts w:ascii="Arial" w:eastAsia="SimSun" w:hAnsi="Arial" w:cs="Arial"/>
                <w:color w:val="000000"/>
                <w:lang w:eastAsia="zh-CN"/>
              </w:rPr>
            </w:pPr>
            <w:r w:rsidRPr="004826A2">
              <w:rPr>
                <w:rFonts w:ascii="Arial" w:eastAsia="SimSun" w:hAnsi="Arial" w:cs="Arial"/>
                <w:color w:val="000000"/>
                <w:lang w:eastAsia="zh-CN"/>
              </w:rPr>
              <w:t xml:space="preserve">Assignment Title </w:t>
            </w:r>
          </w:p>
          <w:p w:rsidR="004826A2" w:rsidRPr="004826A2" w:rsidRDefault="004826A2" w:rsidP="004826A2">
            <w:pPr>
              <w:spacing w:before="100" w:beforeAutospacing="1" w:after="100" w:afterAutospacing="1" w:line="240" w:lineRule="auto"/>
              <w:ind w:right="34"/>
              <w:rPr>
                <w:rFonts w:ascii="Arial" w:eastAsia="SimSun" w:hAnsi="Arial" w:cs="Arial"/>
                <w:color w:val="000000"/>
                <w:lang w:eastAsia="zh-CN"/>
              </w:rPr>
            </w:pPr>
            <w:r w:rsidRPr="004826A2">
              <w:rPr>
                <w:rFonts w:ascii="Arial" w:eastAsia="SimSun" w:hAnsi="Arial" w:cs="Arial"/>
                <w:color w:val="000000"/>
                <w:lang w:eastAsia="zh-CN"/>
              </w:rPr>
              <w:t xml:space="preserve">Critically analyse the nature of the Roman influence on the religious life in ONE of the Roman provinces listed below. Among others, critically engage with modern scholarly debate, theoretical approaches and ancient evidence (archaeological, epigraphic and literary evidence) to discuss the persistence and transformation of key cults and sanctuaries in the province between the late Republic and the 3rd century AD.  </w:t>
            </w:r>
          </w:p>
          <w:p w:rsidR="004826A2" w:rsidRPr="004826A2" w:rsidRDefault="004826A2" w:rsidP="004826A2">
            <w:pPr>
              <w:spacing w:before="100" w:beforeAutospacing="1" w:after="100" w:afterAutospacing="1" w:line="240" w:lineRule="auto"/>
              <w:ind w:right="34"/>
              <w:rPr>
                <w:rFonts w:ascii="Arial" w:eastAsia="SimSun" w:hAnsi="Arial" w:cs="Arial"/>
                <w:color w:val="000000"/>
                <w:lang w:eastAsia="zh-CN"/>
              </w:rPr>
            </w:pPr>
            <w:r w:rsidRPr="004826A2">
              <w:rPr>
                <w:rFonts w:ascii="Arial" w:eastAsia="SimSun" w:hAnsi="Arial" w:cs="Arial"/>
                <w:color w:val="000000"/>
                <w:lang w:eastAsia="zh-CN"/>
              </w:rPr>
              <w:t>Province: Egypt</w:t>
            </w:r>
          </w:p>
          <w:p w:rsidR="004826A2" w:rsidRPr="004826A2" w:rsidRDefault="004826A2" w:rsidP="004826A2">
            <w:pPr>
              <w:spacing w:after="0" w:line="240" w:lineRule="auto"/>
              <w:ind w:right="34"/>
              <w:rPr>
                <w:rFonts w:ascii="Arial" w:eastAsia="SimSun" w:hAnsi="Arial" w:cs="Arial"/>
                <w:color w:val="000000"/>
                <w:lang w:eastAsia="zh-CN"/>
              </w:rPr>
            </w:pP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 xml:space="preserve">Assignment due date:24/05/2019 </w:t>
            </w:r>
          </w:p>
        </w:tc>
      </w:tr>
      <w:tr w:rsidR="004826A2" w:rsidRPr="004826A2" w:rsidTr="00D518AE">
        <w:trPr>
          <w:trHeight w:val="978"/>
        </w:trPr>
        <w:tc>
          <w:tcPr>
            <w:tcW w:w="8856" w:type="dxa"/>
            <w:gridSpan w:val="5"/>
            <w:tcBorders>
              <w:bottom w:val="single" w:sz="4" w:space="0" w:color="000000"/>
            </w:tcBorders>
          </w:tcPr>
          <w:p w:rsidR="004826A2" w:rsidRPr="004826A2" w:rsidRDefault="004826A2" w:rsidP="004826A2">
            <w:pPr>
              <w:spacing w:after="0" w:line="240" w:lineRule="auto"/>
              <w:rPr>
                <w:rFonts w:ascii="Arial" w:eastAsia="SimSun" w:hAnsi="Arial" w:cs="Arial"/>
                <w:lang w:eastAsia="zh-CN"/>
              </w:rPr>
            </w:pPr>
            <w:r w:rsidRPr="004826A2">
              <w:rPr>
                <w:rFonts w:ascii="Arial" w:eastAsia="SimSun" w:hAnsi="Arial" w:cs="Arial"/>
                <w:lang w:eastAsia="zh-CN"/>
              </w:rPr>
              <w:t>This assignment is for the       1</w:t>
            </w:r>
            <w:r w:rsidRPr="004826A2">
              <w:rPr>
                <w:rFonts w:ascii="Arial" w:eastAsia="SimSun" w:hAnsi="Arial" w:cs="Arial"/>
                <w:vertAlign w:val="superscript"/>
                <w:lang w:eastAsia="zh-CN"/>
              </w:rPr>
              <w:t xml:space="preserve">st </w:t>
            </w:r>
            <w:r w:rsidRPr="004826A2">
              <w:rPr>
                <w:rFonts w:ascii="Arial" w:eastAsia="SimSun" w:hAnsi="Arial" w:cs="Arial"/>
                <w:lang w:eastAsia="zh-CN"/>
              </w:rPr>
              <w:fldChar w:fldCharType="begin">
                <w:ffData>
                  <w:name w:val="Check13"/>
                  <w:enabled/>
                  <w:calcOnExit w:val="0"/>
                  <w:checkBox>
                    <w:sizeAuto/>
                    <w:default w:val="0"/>
                  </w:checkBox>
                </w:ffData>
              </w:fldChar>
            </w:r>
            <w:bookmarkStart w:id="0" w:name="Check13"/>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0"/>
            <w:r w:rsidRPr="004826A2">
              <w:rPr>
                <w:rFonts w:ascii="Arial" w:eastAsia="SimSun" w:hAnsi="Arial" w:cs="Arial"/>
                <w:lang w:eastAsia="zh-CN"/>
              </w:rPr>
              <w:t xml:space="preserve">    2</w:t>
            </w:r>
            <w:r w:rsidRPr="004826A2">
              <w:rPr>
                <w:rFonts w:ascii="Arial" w:eastAsia="SimSun" w:hAnsi="Arial" w:cs="Arial"/>
                <w:vertAlign w:val="superscript"/>
                <w:lang w:eastAsia="zh-CN"/>
              </w:rPr>
              <w:t>nd</w:t>
            </w:r>
            <w:r w:rsidRPr="004826A2">
              <w:rPr>
                <w:rFonts w:ascii="Arial" w:eastAsia="SimSun" w:hAnsi="Arial" w:cs="Arial"/>
                <w:lang w:eastAsia="zh-CN"/>
              </w:rPr>
              <w:t xml:space="preserve">  </w:t>
            </w:r>
            <w:r w:rsidRPr="004826A2">
              <w:rPr>
                <w:rFonts w:ascii="Arial" w:eastAsia="SimSun" w:hAnsi="Arial" w:cs="Arial"/>
                <w:lang w:eastAsia="zh-CN"/>
              </w:rPr>
              <w:fldChar w:fldCharType="begin">
                <w:ffData>
                  <w:name w:val="Check14"/>
                  <w:enabled/>
                  <w:calcOnExit w:val="0"/>
                  <w:checkBox>
                    <w:sizeAuto/>
                    <w:default w:val="0"/>
                  </w:checkBox>
                </w:ffData>
              </w:fldChar>
            </w:r>
            <w:bookmarkStart w:id="1" w:name="Check14"/>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1"/>
            <w:r w:rsidRPr="004826A2">
              <w:rPr>
                <w:rFonts w:ascii="Arial" w:eastAsia="SimSun" w:hAnsi="Arial" w:cs="Arial"/>
                <w:lang w:eastAsia="zh-CN"/>
              </w:rPr>
              <w:t xml:space="preserve">     3</w:t>
            </w:r>
            <w:r w:rsidRPr="004826A2">
              <w:rPr>
                <w:rFonts w:ascii="Arial" w:eastAsia="SimSun" w:hAnsi="Arial" w:cs="Arial"/>
                <w:vertAlign w:val="superscript"/>
                <w:lang w:eastAsia="zh-CN"/>
              </w:rPr>
              <w:t>rd</w:t>
            </w:r>
            <w:r w:rsidRPr="004826A2">
              <w:rPr>
                <w:rFonts w:ascii="Arial" w:eastAsia="SimSun" w:hAnsi="Arial" w:cs="Arial"/>
                <w:lang w:eastAsia="zh-CN"/>
              </w:rPr>
              <w:t xml:space="preserve">  </w:t>
            </w:r>
            <w:r w:rsidRPr="004826A2">
              <w:rPr>
                <w:rFonts w:ascii="Arial" w:eastAsia="SimSun" w:hAnsi="Arial" w:cs="Arial"/>
                <w:lang w:eastAsia="zh-CN"/>
              </w:rPr>
              <w:fldChar w:fldCharType="begin">
                <w:ffData>
                  <w:name w:val="Check15"/>
                  <w:enabled/>
                  <w:calcOnExit w:val="0"/>
                  <w:checkBox>
                    <w:sizeAuto/>
                    <w:default w:val="0"/>
                  </w:checkBox>
                </w:ffData>
              </w:fldChar>
            </w:r>
            <w:bookmarkStart w:id="2" w:name="Check15"/>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2"/>
            <w:r w:rsidRPr="004826A2">
              <w:rPr>
                <w:rFonts w:ascii="Arial" w:eastAsia="SimSun" w:hAnsi="Arial" w:cs="Arial"/>
                <w:lang w:eastAsia="zh-CN"/>
              </w:rPr>
              <w:t xml:space="preserve">      4</w:t>
            </w:r>
            <w:r w:rsidRPr="004826A2">
              <w:rPr>
                <w:rFonts w:ascii="Arial" w:eastAsia="SimSun" w:hAnsi="Arial" w:cs="Arial"/>
                <w:vertAlign w:val="superscript"/>
                <w:lang w:eastAsia="zh-CN"/>
              </w:rPr>
              <w:t>th</w:t>
            </w:r>
            <w:r w:rsidRPr="004826A2">
              <w:rPr>
                <w:rFonts w:ascii="Arial" w:eastAsia="SimSun" w:hAnsi="Arial" w:cs="Arial"/>
                <w:lang w:eastAsia="zh-CN"/>
              </w:rPr>
              <w:t xml:space="preserve"> </w:t>
            </w:r>
            <w:r w:rsidRPr="004826A2">
              <w:rPr>
                <w:rFonts w:ascii="Arial" w:eastAsia="SimSun" w:hAnsi="Arial" w:cs="Arial"/>
                <w:lang w:eastAsia="zh-CN"/>
              </w:rPr>
              <w:fldChar w:fldCharType="begin">
                <w:ffData>
                  <w:name w:val="Check16"/>
                  <w:enabled/>
                  <w:calcOnExit w:val="0"/>
                  <w:checkBox>
                    <w:sizeAuto/>
                    <w:default w:val="0"/>
                  </w:checkBox>
                </w:ffData>
              </w:fldChar>
            </w:r>
            <w:bookmarkStart w:id="3" w:name="Check16"/>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3"/>
            <w:r w:rsidRPr="004826A2">
              <w:rPr>
                <w:rFonts w:ascii="Arial" w:eastAsia="SimSun" w:hAnsi="Arial" w:cs="Arial"/>
                <w:lang w:eastAsia="zh-CN"/>
              </w:rPr>
              <w:t xml:space="preserve">      5</w:t>
            </w:r>
            <w:r w:rsidRPr="004826A2">
              <w:rPr>
                <w:rFonts w:ascii="Arial" w:eastAsia="SimSun" w:hAnsi="Arial" w:cs="Arial"/>
                <w:vertAlign w:val="superscript"/>
                <w:lang w:eastAsia="zh-CN"/>
              </w:rPr>
              <w:t>th</w:t>
            </w:r>
            <w:r w:rsidRPr="004826A2">
              <w:rPr>
                <w:rFonts w:ascii="Arial" w:eastAsia="SimSun" w:hAnsi="Arial" w:cs="Arial"/>
                <w:lang w:eastAsia="zh-CN"/>
              </w:rPr>
              <w:t xml:space="preserve"> </w:t>
            </w:r>
            <w:r w:rsidRPr="004826A2">
              <w:rPr>
                <w:rFonts w:ascii="Arial" w:eastAsia="SimSun" w:hAnsi="Arial" w:cs="Arial"/>
                <w:lang w:eastAsia="zh-CN"/>
              </w:rPr>
              <w:fldChar w:fldCharType="begin">
                <w:ffData>
                  <w:name w:val="Check17"/>
                  <w:enabled/>
                  <w:calcOnExit w:val="0"/>
                  <w:checkBox>
                    <w:sizeAuto/>
                    <w:default w:val="0"/>
                  </w:checkBox>
                </w:ffData>
              </w:fldChar>
            </w:r>
            <w:bookmarkStart w:id="4" w:name="Check17"/>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4"/>
            <w:r w:rsidRPr="004826A2">
              <w:rPr>
                <w:rFonts w:ascii="Arial" w:eastAsia="SimSun" w:hAnsi="Arial" w:cs="Arial"/>
                <w:lang w:eastAsia="zh-CN"/>
              </w:rPr>
              <w:t xml:space="preserve">      6</w:t>
            </w:r>
            <w:r w:rsidRPr="004826A2">
              <w:rPr>
                <w:rFonts w:ascii="Arial" w:eastAsia="SimSun" w:hAnsi="Arial" w:cs="Arial"/>
                <w:vertAlign w:val="superscript"/>
                <w:lang w:eastAsia="zh-CN"/>
              </w:rPr>
              <w:t>th</w:t>
            </w:r>
            <w:r w:rsidRPr="004826A2">
              <w:rPr>
                <w:rFonts w:ascii="Arial" w:eastAsia="SimSun" w:hAnsi="Arial" w:cs="Arial"/>
                <w:lang w:eastAsia="zh-CN"/>
              </w:rPr>
              <w:t xml:space="preserve"> </w:t>
            </w:r>
            <w:r w:rsidRPr="004826A2">
              <w:rPr>
                <w:rFonts w:ascii="Arial" w:eastAsia="SimSun" w:hAnsi="Arial" w:cs="Arial"/>
                <w:lang w:eastAsia="zh-CN"/>
              </w:rPr>
              <w:fldChar w:fldCharType="begin">
                <w:ffData>
                  <w:name w:val="Check18"/>
                  <w:enabled/>
                  <w:calcOnExit w:val="0"/>
                  <w:checkBox>
                    <w:sizeAuto/>
                    <w:default w:val="0"/>
                  </w:checkBox>
                </w:ffData>
              </w:fldChar>
            </w:r>
            <w:bookmarkStart w:id="5" w:name="Check18"/>
            <w:r w:rsidRPr="004826A2">
              <w:rPr>
                <w:rFonts w:ascii="Arial" w:eastAsia="SimSun" w:hAnsi="Arial" w:cs="Arial"/>
                <w:lang w:eastAsia="zh-CN"/>
              </w:rPr>
              <w:instrText xml:space="preserve"> FORMCHECKBOX </w:instrText>
            </w:r>
            <w:r w:rsidRPr="004826A2">
              <w:rPr>
                <w:rFonts w:ascii="Arial" w:eastAsia="SimSun" w:hAnsi="Arial" w:cs="Arial"/>
                <w:lang w:eastAsia="zh-CN"/>
              </w:rPr>
            </w:r>
            <w:r w:rsidRPr="004826A2">
              <w:rPr>
                <w:rFonts w:ascii="Arial" w:eastAsia="SimSun" w:hAnsi="Arial" w:cs="Arial"/>
                <w:lang w:eastAsia="zh-CN"/>
              </w:rPr>
              <w:fldChar w:fldCharType="end"/>
            </w:r>
            <w:bookmarkEnd w:id="5"/>
            <w:r w:rsidRPr="004826A2">
              <w:rPr>
                <w:rFonts w:ascii="Arial" w:eastAsia="SimSun" w:hAnsi="Arial" w:cs="Arial"/>
                <w:b/>
                <w:lang w:eastAsia="zh-CN"/>
              </w:rPr>
              <w:t xml:space="preserve">   </w:t>
            </w:r>
            <w:r w:rsidRPr="004826A2">
              <w:rPr>
                <w:rFonts w:ascii="Arial" w:eastAsia="SimSun" w:hAnsi="Arial" w:cs="Arial"/>
                <w:lang w:eastAsia="zh-CN"/>
              </w:rPr>
              <w:t>module of the degree</w:t>
            </w:r>
          </w:p>
        </w:tc>
      </w:tr>
      <w:tr w:rsidR="004826A2" w:rsidRPr="004826A2" w:rsidTr="00D518AE">
        <w:trPr>
          <w:trHeight w:val="978"/>
        </w:trPr>
        <w:tc>
          <w:tcPr>
            <w:tcW w:w="8856" w:type="dxa"/>
            <w:gridSpan w:val="5"/>
            <w:shd w:val="clear" w:color="auto" w:fill="D9D9D9"/>
          </w:tcPr>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I confirm that this is my original work and that I have adhered to the University policy on plagiarism.</w:t>
            </w: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Arial" w:eastAsia="SimSun" w:hAnsi="Arial" w:cs="Arial"/>
                <w:color w:val="000000"/>
                <w:lang w:eastAsia="zh-CN"/>
              </w:rPr>
              <w:t>Signed…</w:t>
            </w:r>
            <w:proofErr w:type="gramStart"/>
            <w:r w:rsidRPr="004826A2">
              <w:rPr>
                <w:rFonts w:ascii="Arial" w:eastAsia="SimSun" w:hAnsi="Arial" w:cs="Arial"/>
                <w:color w:val="000000"/>
                <w:lang w:eastAsia="zh-CN"/>
              </w:rPr>
              <w:t>Gillian  Moran</w:t>
            </w:r>
            <w:proofErr w:type="gramEnd"/>
            <w:r w:rsidRPr="004826A2">
              <w:rPr>
                <w:rFonts w:ascii="Arial" w:eastAsia="SimSun" w:hAnsi="Arial" w:cs="Arial"/>
                <w:color w:val="000000"/>
                <w:lang w:eastAsia="zh-CN"/>
              </w:rPr>
              <w:t>…………………………</w:t>
            </w:r>
          </w:p>
          <w:p w:rsidR="004826A2" w:rsidRPr="004826A2" w:rsidRDefault="004826A2" w:rsidP="004826A2">
            <w:pPr>
              <w:spacing w:after="0" w:line="240" w:lineRule="auto"/>
              <w:ind w:right="34"/>
              <w:rPr>
                <w:rFonts w:ascii="Calibri" w:eastAsia="SimSun" w:hAnsi="Calibri" w:cs="Calibri"/>
                <w:b/>
                <w:color w:val="000000"/>
                <w:sz w:val="44"/>
                <w:szCs w:val="44"/>
                <w:lang w:eastAsia="zh-CN"/>
              </w:rPr>
            </w:pPr>
            <w:r w:rsidRPr="004826A2">
              <w:rPr>
                <w:rFonts w:ascii="Calibri" w:eastAsia="SimSun" w:hAnsi="Calibri" w:cs="Tahoma"/>
                <w:b/>
                <w:color w:val="000000"/>
                <w:sz w:val="24"/>
                <w:szCs w:val="24"/>
                <w:lang w:eastAsia="zh-CN"/>
              </w:rPr>
              <w:t xml:space="preserve">Email </w:t>
            </w:r>
            <w:proofErr w:type="spellStart"/>
            <w:r w:rsidRPr="004826A2">
              <w:rPr>
                <w:rFonts w:ascii="Calibri" w:eastAsia="SimSun" w:hAnsi="Calibri" w:cs="Tahoma"/>
                <w:b/>
                <w:color w:val="000000"/>
                <w:sz w:val="24"/>
                <w:szCs w:val="24"/>
                <w:lang w:eastAsia="zh-CN"/>
              </w:rPr>
              <w:t>submission:if</w:t>
            </w:r>
            <w:proofErr w:type="spellEnd"/>
            <w:r w:rsidRPr="004826A2">
              <w:rPr>
                <w:rFonts w:ascii="Calibri" w:eastAsia="SimSun" w:hAnsi="Calibri" w:cs="Tahoma"/>
                <w:b/>
                <w:color w:val="000000"/>
                <w:sz w:val="24"/>
                <w:szCs w:val="24"/>
                <w:lang w:eastAsia="zh-CN"/>
              </w:rPr>
              <w:t xml:space="preserve"> you are submitting this form via email, please tick this box </w:t>
            </w:r>
            <w:r w:rsidRPr="004826A2">
              <w:rPr>
                <w:rFonts w:ascii="Calibri" w:eastAsia="SimSun" w:hAnsi="Calibri" w:cs="Calibri"/>
                <w:b/>
                <w:color w:val="000000"/>
                <w:sz w:val="44"/>
                <w:szCs w:val="44"/>
                <w:lang w:eastAsia="zh-CN"/>
              </w:rPr>
              <w:t>□√</w:t>
            </w:r>
          </w:p>
          <w:p w:rsidR="004826A2" w:rsidRPr="004826A2" w:rsidRDefault="004826A2" w:rsidP="004826A2">
            <w:pPr>
              <w:spacing w:after="0" w:line="240" w:lineRule="auto"/>
              <w:ind w:right="34"/>
              <w:rPr>
                <w:rFonts w:ascii="Arial" w:eastAsia="SimSun" w:hAnsi="Arial" w:cs="Arial"/>
                <w:color w:val="000000"/>
                <w:lang w:eastAsia="zh-CN"/>
              </w:rPr>
            </w:pPr>
            <w:r w:rsidRPr="004826A2">
              <w:rPr>
                <w:rFonts w:ascii="Calibri" w:eastAsia="SimSun" w:hAnsi="Calibri" w:cs="Tahoma"/>
                <w:b/>
                <w:color w:val="000000"/>
                <w:sz w:val="24"/>
                <w:szCs w:val="24"/>
                <w:lang w:eastAsia="zh-CN"/>
              </w:rPr>
              <w:t>(</w:t>
            </w:r>
            <w:proofErr w:type="gramStart"/>
            <w:r w:rsidRPr="004826A2">
              <w:rPr>
                <w:rFonts w:ascii="Calibri" w:eastAsia="SimSun" w:hAnsi="Calibri" w:cs="Tahoma"/>
                <w:b/>
                <w:color w:val="000000"/>
                <w:sz w:val="24"/>
                <w:szCs w:val="24"/>
                <w:lang w:eastAsia="zh-CN"/>
              </w:rPr>
              <w:t>as</w:t>
            </w:r>
            <w:proofErr w:type="gramEnd"/>
            <w:r w:rsidRPr="004826A2">
              <w:rPr>
                <w:rFonts w:ascii="Calibri" w:eastAsia="SimSun" w:hAnsi="Calibri" w:cs="Tahoma"/>
                <w:b/>
                <w:color w:val="000000"/>
                <w:sz w:val="24"/>
                <w:szCs w:val="24"/>
                <w:lang w:eastAsia="zh-CN"/>
              </w:rPr>
              <w:t xml:space="preserve"> a substitute for your signature) to confirm that you agree to the above declaration.</w:t>
            </w:r>
          </w:p>
        </w:tc>
      </w:tr>
      <w:tr w:rsidR="004826A2" w:rsidRPr="004826A2" w:rsidTr="00D518AE">
        <w:trPr>
          <w:trHeight w:val="3972"/>
        </w:trPr>
        <w:tc>
          <w:tcPr>
            <w:tcW w:w="8856" w:type="dxa"/>
            <w:gridSpan w:val="5"/>
          </w:tcPr>
          <w:p w:rsidR="004826A2" w:rsidRPr="004826A2" w:rsidRDefault="004826A2" w:rsidP="004826A2">
            <w:pPr>
              <w:spacing w:after="0" w:line="240" w:lineRule="auto"/>
              <w:rPr>
                <w:rFonts w:ascii="Arial" w:eastAsia="SimSun" w:hAnsi="Arial" w:cs="Times New Roman"/>
                <w:b/>
                <w:sz w:val="24"/>
                <w:szCs w:val="24"/>
                <w:lang w:eastAsia="zh-CN"/>
              </w:rPr>
            </w:pPr>
          </w:p>
          <w:p w:rsidR="004826A2" w:rsidRPr="004826A2" w:rsidRDefault="004826A2" w:rsidP="004826A2">
            <w:pPr>
              <w:spacing w:after="0" w:line="240" w:lineRule="auto"/>
              <w:rPr>
                <w:rFonts w:ascii="Arial" w:eastAsia="SimSun" w:hAnsi="Arial" w:cs="Times New Roman"/>
                <w:sz w:val="24"/>
                <w:szCs w:val="24"/>
                <w:lang w:eastAsia="zh-CN"/>
              </w:rPr>
            </w:pPr>
            <w:r w:rsidRPr="004826A2">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826A2" w:rsidRPr="004826A2" w:rsidTr="00D518AE">
              <w:tc>
                <w:tcPr>
                  <w:tcW w:w="6970" w:type="dxa"/>
                </w:tcPr>
                <w:p w:rsidR="004826A2" w:rsidRPr="004826A2" w:rsidRDefault="004826A2" w:rsidP="004826A2">
                  <w:pPr>
                    <w:spacing w:after="0" w:line="240" w:lineRule="auto"/>
                    <w:rPr>
                      <w:rFonts w:ascii="Arial" w:eastAsia="SimSun" w:hAnsi="Arial" w:cs="Times New Roman"/>
                      <w:sz w:val="20"/>
                      <w:szCs w:val="20"/>
                      <w:lang w:eastAsia="zh-CN"/>
                    </w:rPr>
                  </w:pPr>
                </w:p>
                <w:p w:rsidR="004826A2" w:rsidRPr="004826A2" w:rsidRDefault="004826A2" w:rsidP="004826A2">
                  <w:pPr>
                    <w:spacing w:after="0" w:line="240" w:lineRule="auto"/>
                    <w:rPr>
                      <w:rFonts w:ascii="Arial" w:eastAsia="SimSun" w:hAnsi="Arial" w:cs="Times New Roman"/>
                      <w:sz w:val="20"/>
                      <w:szCs w:val="20"/>
                      <w:lang w:eastAsia="zh-CN"/>
                    </w:rPr>
                  </w:pPr>
                  <w:r w:rsidRPr="004826A2">
                    <w:rPr>
                      <w:rFonts w:ascii="Arial" w:eastAsia="SimSun" w:hAnsi="Arial" w:cs="Times New Roman"/>
                      <w:sz w:val="20"/>
                      <w:szCs w:val="20"/>
                      <w:lang w:eastAsia="zh-CN"/>
                    </w:rPr>
                    <w:t>1</w:t>
                  </w:r>
                  <w:r w:rsidRPr="004826A2">
                    <w:rPr>
                      <w:rFonts w:ascii="Arial" w:eastAsia="SimSun" w:hAnsi="Arial" w:cs="Times New Roman"/>
                      <w:sz w:val="20"/>
                      <w:szCs w:val="20"/>
                      <w:vertAlign w:val="superscript"/>
                      <w:lang w:eastAsia="zh-CN"/>
                    </w:rPr>
                    <w:t>st</w:t>
                  </w:r>
                  <w:r w:rsidRPr="004826A2">
                    <w:rPr>
                      <w:rFonts w:ascii="Arial" w:eastAsia="SimSun" w:hAnsi="Arial" w:cs="Times New Roman"/>
                      <w:sz w:val="20"/>
                      <w:szCs w:val="20"/>
                      <w:lang w:eastAsia="zh-CN"/>
                    </w:rPr>
                    <w:t xml:space="preserve"> Marker’s Provisional mark</w:t>
                  </w:r>
                </w:p>
              </w:tc>
              <w:tc>
                <w:tcPr>
                  <w:tcW w:w="1660" w:type="dxa"/>
                </w:tcPr>
                <w:p w:rsidR="004826A2" w:rsidRPr="004826A2" w:rsidRDefault="004826A2" w:rsidP="004826A2">
                  <w:pPr>
                    <w:spacing w:after="0" w:line="240" w:lineRule="auto"/>
                    <w:rPr>
                      <w:rFonts w:ascii="Arial" w:eastAsia="SimSun" w:hAnsi="Arial" w:cs="Times New Roman"/>
                      <w:sz w:val="20"/>
                      <w:szCs w:val="20"/>
                      <w:lang w:eastAsia="zh-CN"/>
                    </w:rPr>
                  </w:pPr>
                </w:p>
              </w:tc>
            </w:tr>
            <w:tr w:rsidR="004826A2" w:rsidRPr="004826A2" w:rsidTr="00D518AE">
              <w:tc>
                <w:tcPr>
                  <w:tcW w:w="6970" w:type="dxa"/>
                </w:tcPr>
                <w:p w:rsidR="004826A2" w:rsidRPr="004826A2" w:rsidRDefault="004826A2" w:rsidP="004826A2">
                  <w:pPr>
                    <w:spacing w:after="0" w:line="240" w:lineRule="auto"/>
                    <w:rPr>
                      <w:rFonts w:ascii="Arial" w:eastAsia="SimSun" w:hAnsi="Arial" w:cs="Times New Roman"/>
                      <w:sz w:val="20"/>
                      <w:szCs w:val="20"/>
                      <w:lang w:eastAsia="zh-CN"/>
                    </w:rPr>
                  </w:pPr>
                </w:p>
                <w:p w:rsidR="004826A2" w:rsidRPr="004826A2" w:rsidRDefault="004826A2" w:rsidP="004826A2">
                  <w:pPr>
                    <w:spacing w:after="0" w:line="240" w:lineRule="auto"/>
                    <w:rPr>
                      <w:rFonts w:ascii="Arial" w:eastAsia="SimSun" w:hAnsi="Arial" w:cs="Times New Roman"/>
                      <w:sz w:val="20"/>
                      <w:szCs w:val="20"/>
                      <w:lang w:eastAsia="zh-CN"/>
                    </w:rPr>
                  </w:pPr>
                  <w:r w:rsidRPr="004826A2">
                    <w:rPr>
                      <w:rFonts w:ascii="Arial" w:eastAsia="SimSun" w:hAnsi="Arial" w:cs="Times New Roman"/>
                      <w:sz w:val="20"/>
                      <w:szCs w:val="20"/>
                      <w:lang w:eastAsia="zh-CN"/>
                    </w:rPr>
                    <w:t>2</w:t>
                  </w:r>
                  <w:r w:rsidRPr="004826A2">
                    <w:rPr>
                      <w:rFonts w:ascii="Arial" w:eastAsia="SimSun" w:hAnsi="Arial" w:cs="Times New Roman"/>
                      <w:sz w:val="20"/>
                      <w:szCs w:val="20"/>
                      <w:vertAlign w:val="superscript"/>
                      <w:lang w:eastAsia="zh-CN"/>
                    </w:rPr>
                    <w:t>nd</w:t>
                  </w:r>
                  <w:r w:rsidRPr="004826A2">
                    <w:rPr>
                      <w:rFonts w:ascii="Arial" w:eastAsia="SimSun" w:hAnsi="Arial" w:cs="Times New Roman"/>
                      <w:sz w:val="20"/>
                      <w:szCs w:val="20"/>
                      <w:lang w:eastAsia="zh-CN"/>
                    </w:rPr>
                    <w:t xml:space="preserve"> Marker’s/Moderator’s provisional mark</w:t>
                  </w:r>
                </w:p>
              </w:tc>
              <w:tc>
                <w:tcPr>
                  <w:tcW w:w="1660" w:type="dxa"/>
                </w:tcPr>
                <w:p w:rsidR="004826A2" w:rsidRPr="004826A2" w:rsidRDefault="004826A2" w:rsidP="004826A2">
                  <w:pPr>
                    <w:spacing w:after="0" w:line="240" w:lineRule="auto"/>
                    <w:rPr>
                      <w:rFonts w:ascii="Arial" w:eastAsia="SimSun" w:hAnsi="Arial" w:cs="Times New Roman"/>
                      <w:sz w:val="20"/>
                      <w:szCs w:val="20"/>
                      <w:lang w:eastAsia="zh-CN"/>
                    </w:rPr>
                  </w:pPr>
                </w:p>
              </w:tc>
            </w:tr>
            <w:tr w:rsidR="004826A2" w:rsidRPr="004826A2" w:rsidTr="00D518AE">
              <w:tc>
                <w:tcPr>
                  <w:tcW w:w="6970" w:type="dxa"/>
                </w:tcPr>
                <w:p w:rsidR="004826A2" w:rsidRPr="004826A2" w:rsidRDefault="004826A2" w:rsidP="004826A2">
                  <w:pPr>
                    <w:spacing w:after="0" w:line="240" w:lineRule="auto"/>
                    <w:rPr>
                      <w:rFonts w:ascii="Arial" w:eastAsia="SimSun" w:hAnsi="Arial" w:cs="Times New Roman"/>
                      <w:sz w:val="20"/>
                      <w:szCs w:val="20"/>
                      <w:lang w:eastAsia="zh-CN"/>
                    </w:rPr>
                  </w:pPr>
                </w:p>
                <w:p w:rsidR="004826A2" w:rsidRPr="004826A2" w:rsidRDefault="004826A2" w:rsidP="004826A2">
                  <w:pPr>
                    <w:spacing w:after="0" w:line="240" w:lineRule="auto"/>
                    <w:rPr>
                      <w:rFonts w:ascii="Arial" w:eastAsia="SimSun" w:hAnsi="Arial" w:cs="Times New Roman"/>
                      <w:sz w:val="20"/>
                      <w:szCs w:val="20"/>
                      <w:lang w:eastAsia="zh-CN"/>
                    </w:rPr>
                  </w:pPr>
                  <w:r w:rsidRPr="004826A2">
                    <w:rPr>
                      <w:rFonts w:ascii="Arial" w:eastAsia="SimSun" w:hAnsi="Arial" w:cs="Times New Roman"/>
                      <w:sz w:val="20"/>
                      <w:szCs w:val="20"/>
                      <w:lang w:eastAsia="zh-CN"/>
                    </w:rPr>
                    <w:t>External Examiner’s mark (if relevant)</w:t>
                  </w:r>
                </w:p>
              </w:tc>
              <w:tc>
                <w:tcPr>
                  <w:tcW w:w="1660" w:type="dxa"/>
                </w:tcPr>
                <w:p w:rsidR="004826A2" w:rsidRPr="004826A2" w:rsidRDefault="004826A2" w:rsidP="004826A2">
                  <w:pPr>
                    <w:spacing w:after="0" w:line="240" w:lineRule="auto"/>
                    <w:rPr>
                      <w:rFonts w:ascii="Arial" w:eastAsia="SimSun" w:hAnsi="Arial" w:cs="Times New Roman"/>
                      <w:sz w:val="20"/>
                      <w:szCs w:val="20"/>
                      <w:lang w:eastAsia="zh-CN"/>
                    </w:rPr>
                  </w:pPr>
                </w:p>
              </w:tc>
            </w:tr>
            <w:tr w:rsidR="004826A2" w:rsidRPr="004826A2" w:rsidTr="00D518AE">
              <w:tc>
                <w:tcPr>
                  <w:tcW w:w="6970" w:type="dxa"/>
                </w:tcPr>
                <w:p w:rsidR="004826A2" w:rsidRPr="004826A2" w:rsidRDefault="004826A2" w:rsidP="004826A2">
                  <w:pPr>
                    <w:spacing w:after="0" w:line="240" w:lineRule="auto"/>
                    <w:rPr>
                      <w:rFonts w:ascii="Arial" w:eastAsia="SimSun" w:hAnsi="Arial" w:cs="Times New Roman"/>
                      <w:sz w:val="20"/>
                      <w:szCs w:val="20"/>
                      <w:lang w:eastAsia="zh-CN"/>
                    </w:rPr>
                  </w:pPr>
                </w:p>
                <w:p w:rsidR="004826A2" w:rsidRPr="004826A2" w:rsidRDefault="004826A2" w:rsidP="004826A2">
                  <w:pPr>
                    <w:spacing w:after="0" w:line="240" w:lineRule="auto"/>
                    <w:rPr>
                      <w:rFonts w:ascii="Arial" w:eastAsia="SimSun" w:hAnsi="Arial" w:cs="Times New Roman"/>
                      <w:b/>
                      <w:sz w:val="20"/>
                      <w:szCs w:val="20"/>
                      <w:lang w:eastAsia="zh-CN"/>
                    </w:rPr>
                  </w:pPr>
                  <w:r w:rsidRPr="004826A2">
                    <w:rPr>
                      <w:rFonts w:ascii="Arial" w:eastAsia="SimSun" w:hAnsi="Arial" w:cs="Times New Roman"/>
                      <w:b/>
                      <w:sz w:val="20"/>
                      <w:szCs w:val="20"/>
                      <w:lang w:eastAsia="zh-CN"/>
                    </w:rPr>
                    <w:t>Final Mark</w:t>
                  </w:r>
                </w:p>
                <w:p w:rsidR="004826A2" w:rsidRPr="004826A2" w:rsidRDefault="004826A2" w:rsidP="004826A2">
                  <w:pPr>
                    <w:spacing w:after="0" w:line="240" w:lineRule="auto"/>
                    <w:rPr>
                      <w:rFonts w:ascii="Arial" w:eastAsia="SimSun" w:hAnsi="Arial" w:cs="Times New Roman"/>
                      <w:sz w:val="20"/>
                      <w:szCs w:val="20"/>
                      <w:lang w:eastAsia="zh-CN"/>
                    </w:rPr>
                  </w:pPr>
                </w:p>
              </w:tc>
              <w:tc>
                <w:tcPr>
                  <w:tcW w:w="1660" w:type="dxa"/>
                </w:tcPr>
                <w:p w:rsidR="004826A2" w:rsidRPr="004826A2" w:rsidRDefault="004826A2" w:rsidP="004826A2">
                  <w:pPr>
                    <w:spacing w:after="0" w:line="240" w:lineRule="auto"/>
                    <w:rPr>
                      <w:rFonts w:ascii="Arial" w:eastAsia="SimSun" w:hAnsi="Arial" w:cs="Times New Roman"/>
                      <w:sz w:val="20"/>
                      <w:szCs w:val="20"/>
                      <w:lang w:eastAsia="zh-CN"/>
                    </w:rPr>
                  </w:pPr>
                </w:p>
              </w:tc>
            </w:tr>
          </w:tbl>
          <w:p w:rsidR="004826A2" w:rsidRPr="004826A2" w:rsidRDefault="004826A2" w:rsidP="004826A2">
            <w:pPr>
              <w:spacing w:after="0" w:line="240" w:lineRule="auto"/>
              <w:ind w:left="142" w:right="34"/>
              <w:rPr>
                <w:rFonts w:ascii="Arial" w:eastAsia="SimSun" w:hAnsi="Arial" w:cs="Arial"/>
                <w:b/>
                <w:color w:val="000000"/>
                <w:lang w:eastAsia="zh-CN"/>
              </w:rPr>
            </w:pPr>
          </w:p>
          <w:p w:rsidR="004826A2" w:rsidRPr="004826A2" w:rsidRDefault="004826A2" w:rsidP="004826A2">
            <w:pPr>
              <w:spacing w:after="0" w:line="240" w:lineRule="auto"/>
              <w:ind w:left="142" w:right="34"/>
              <w:rPr>
                <w:rFonts w:ascii="Arial" w:eastAsia="SimSun" w:hAnsi="Arial" w:cs="Arial"/>
                <w:color w:val="000000"/>
                <w:lang w:eastAsia="zh-CN"/>
              </w:rPr>
            </w:pPr>
            <w:r w:rsidRPr="004826A2">
              <w:rPr>
                <w:rFonts w:ascii="Arial" w:eastAsia="SimSun" w:hAnsi="Arial" w:cs="Arial"/>
                <w:b/>
                <w:color w:val="000000"/>
                <w:lang w:eastAsia="zh-CN"/>
              </w:rPr>
              <w:t>NB.</w:t>
            </w:r>
            <w:r w:rsidRPr="004826A2">
              <w:rPr>
                <w:rFonts w:ascii="Arial" w:eastAsia="SimSun" w:hAnsi="Arial" w:cs="Arial"/>
                <w:color w:val="000000"/>
                <w:lang w:eastAsia="zh-CN"/>
              </w:rPr>
              <w:t xml:space="preserve">  All marks are provisional until confirmed by the Final Examination Board.</w:t>
            </w:r>
          </w:p>
          <w:p w:rsidR="004826A2" w:rsidRPr="004826A2" w:rsidRDefault="004826A2" w:rsidP="004826A2">
            <w:pPr>
              <w:spacing w:after="0" w:line="240" w:lineRule="auto"/>
              <w:rPr>
                <w:rFonts w:ascii="Arial" w:eastAsia="SimSun" w:hAnsi="Arial" w:cs="Arial"/>
                <w:b/>
                <w:color w:val="000000"/>
                <w:lang w:eastAsia="zh-CN"/>
              </w:rPr>
            </w:pPr>
          </w:p>
          <w:p w:rsidR="004826A2" w:rsidRPr="004826A2" w:rsidRDefault="004826A2" w:rsidP="004826A2">
            <w:pPr>
              <w:spacing w:after="0" w:line="240" w:lineRule="auto"/>
              <w:rPr>
                <w:rFonts w:ascii="Arial" w:eastAsia="SimSun" w:hAnsi="Arial" w:cs="Arial"/>
                <w:b/>
                <w:color w:val="000000"/>
                <w:lang w:eastAsia="zh-CN"/>
              </w:rPr>
            </w:pPr>
          </w:p>
          <w:p w:rsidR="004826A2" w:rsidRPr="004826A2" w:rsidRDefault="004826A2" w:rsidP="004826A2">
            <w:pPr>
              <w:spacing w:after="0" w:line="240" w:lineRule="auto"/>
              <w:rPr>
                <w:rFonts w:ascii="Arial" w:eastAsia="SimSun" w:hAnsi="Arial" w:cs="Arial"/>
                <w:b/>
                <w:color w:val="000000"/>
                <w:lang w:eastAsia="zh-CN"/>
              </w:rPr>
            </w:pPr>
          </w:p>
          <w:p w:rsidR="004826A2" w:rsidRPr="004826A2" w:rsidRDefault="004826A2" w:rsidP="004826A2">
            <w:pPr>
              <w:spacing w:after="0" w:line="240" w:lineRule="auto"/>
              <w:rPr>
                <w:rFonts w:ascii="Arial" w:eastAsia="SimSun" w:hAnsi="Arial" w:cs="Arial"/>
                <w:b/>
                <w:color w:val="000000"/>
                <w:lang w:eastAsia="zh-CN"/>
              </w:rPr>
            </w:pPr>
          </w:p>
          <w:p w:rsidR="004826A2" w:rsidRPr="004826A2" w:rsidRDefault="004826A2" w:rsidP="004826A2">
            <w:pPr>
              <w:spacing w:after="0" w:line="240" w:lineRule="auto"/>
              <w:rPr>
                <w:rFonts w:ascii="Arial" w:eastAsia="SimSun" w:hAnsi="Arial" w:cs="Arial"/>
                <w:b/>
                <w:color w:val="000000"/>
                <w:lang w:eastAsia="zh-CN"/>
              </w:rPr>
            </w:pPr>
          </w:p>
          <w:p w:rsidR="004826A2" w:rsidRPr="004826A2" w:rsidRDefault="004826A2" w:rsidP="004826A2">
            <w:pPr>
              <w:spacing w:after="0" w:line="240" w:lineRule="auto"/>
              <w:rPr>
                <w:rFonts w:ascii="Arial" w:eastAsia="SimSun" w:hAnsi="Arial" w:cs="Arial"/>
                <w:b/>
                <w:color w:val="000000"/>
                <w:lang w:eastAsia="zh-CN"/>
              </w:rPr>
            </w:pPr>
            <w:r w:rsidRPr="004826A2">
              <w:rPr>
                <w:rFonts w:ascii="Arial" w:eastAsia="SimSun" w:hAnsi="Arial" w:cs="Arial"/>
                <w:b/>
                <w:color w:val="000000"/>
                <w:lang w:eastAsia="zh-CN"/>
              </w:rPr>
              <w:t>For completion by Marker 1 :</w:t>
            </w:r>
          </w:p>
          <w:p w:rsidR="004826A2" w:rsidRPr="004826A2" w:rsidRDefault="004826A2" w:rsidP="004826A2">
            <w:pPr>
              <w:spacing w:before="100" w:beforeAutospacing="1" w:after="100" w:afterAutospacing="1" w:line="240" w:lineRule="auto"/>
              <w:rPr>
                <w:rFonts w:ascii="Arial" w:eastAsia="SimSun" w:hAnsi="Arial" w:cs="Arial"/>
                <w:color w:val="000000"/>
                <w:lang w:eastAsia="zh-CN"/>
              </w:rPr>
            </w:pPr>
            <w:r w:rsidRPr="004826A2">
              <w:rPr>
                <w:rFonts w:ascii="Arial" w:eastAsia="SimSun" w:hAnsi="Arial" w:cs="Arial"/>
                <w:color w:val="000000"/>
                <w:lang w:eastAsia="zh-CN"/>
              </w:rPr>
              <w:t>Comments:</w:t>
            </w:r>
          </w:p>
          <w:p w:rsidR="004826A2" w:rsidRPr="004826A2" w:rsidRDefault="004826A2" w:rsidP="004826A2">
            <w:pPr>
              <w:spacing w:before="100" w:beforeAutospacing="1" w:after="100" w:afterAutospacing="1" w:line="240" w:lineRule="auto"/>
              <w:rPr>
                <w:rFonts w:ascii="Arial" w:eastAsia="SimSun" w:hAnsi="Arial" w:cs="Arial"/>
                <w:color w:val="000000"/>
                <w:lang w:eastAsia="zh-CN"/>
              </w:rPr>
            </w:pPr>
          </w:p>
        </w:tc>
      </w:tr>
      <w:tr w:rsidR="004826A2" w:rsidRPr="004826A2" w:rsidTr="00D518AE">
        <w:trPr>
          <w:trHeight w:val="492"/>
        </w:trPr>
        <w:tc>
          <w:tcPr>
            <w:tcW w:w="6768" w:type="dxa"/>
            <w:gridSpan w:val="3"/>
          </w:tcPr>
          <w:p w:rsidR="004826A2" w:rsidRPr="004826A2" w:rsidRDefault="004826A2" w:rsidP="004826A2">
            <w:pPr>
              <w:spacing w:before="100" w:beforeAutospacing="1" w:after="100" w:afterAutospacing="1" w:line="240" w:lineRule="auto"/>
              <w:ind w:left="142" w:right="34"/>
              <w:rPr>
                <w:rFonts w:ascii="Arial" w:eastAsia="SimSun" w:hAnsi="Arial" w:cs="Arial"/>
                <w:color w:val="000000"/>
                <w:lang w:eastAsia="zh-CN"/>
              </w:rPr>
            </w:pPr>
            <w:r w:rsidRPr="004826A2">
              <w:rPr>
                <w:rFonts w:ascii="Arial" w:eastAsia="SimSun" w:hAnsi="Arial" w:cs="Arial"/>
                <w:color w:val="000000"/>
                <w:lang w:eastAsia="zh-CN"/>
              </w:rPr>
              <w:t>Marker’s signature:</w:t>
            </w:r>
          </w:p>
        </w:tc>
        <w:tc>
          <w:tcPr>
            <w:tcW w:w="2088" w:type="dxa"/>
            <w:gridSpan w:val="2"/>
          </w:tcPr>
          <w:p w:rsidR="004826A2" w:rsidRPr="004826A2" w:rsidRDefault="004826A2" w:rsidP="004826A2">
            <w:pPr>
              <w:spacing w:before="100" w:beforeAutospacing="1" w:after="0" w:afterAutospacing="1" w:line="240" w:lineRule="auto"/>
              <w:ind w:left="142" w:right="34"/>
              <w:rPr>
                <w:rFonts w:ascii="Arial" w:eastAsia="SimSun" w:hAnsi="Arial" w:cs="Arial"/>
                <w:color w:val="000000"/>
                <w:lang w:eastAsia="zh-CN"/>
              </w:rPr>
            </w:pPr>
            <w:r w:rsidRPr="004826A2">
              <w:rPr>
                <w:rFonts w:ascii="Arial" w:eastAsia="SimSun" w:hAnsi="Arial" w:cs="Arial"/>
                <w:color w:val="000000"/>
                <w:lang w:eastAsia="zh-CN"/>
              </w:rPr>
              <w:t>Date:</w:t>
            </w:r>
          </w:p>
        </w:tc>
      </w:tr>
      <w:tr w:rsidR="004826A2" w:rsidRPr="004826A2" w:rsidTr="00D518AE">
        <w:tc>
          <w:tcPr>
            <w:tcW w:w="8856" w:type="dxa"/>
            <w:gridSpan w:val="5"/>
          </w:tcPr>
          <w:p w:rsidR="004826A2" w:rsidRPr="004826A2" w:rsidRDefault="004826A2" w:rsidP="004826A2">
            <w:pPr>
              <w:spacing w:after="0" w:line="240" w:lineRule="auto"/>
              <w:ind w:right="-334"/>
              <w:rPr>
                <w:rFonts w:ascii="Arial" w:eastAsia="SimSun" w:hAnsi="Arial" w:cs="Arial"/>
                <w:bCs/>
                <w:i/>
                <w:color w:val="000000"/>
                <w:lang w:eastAsia="zh-CN"/>
              </w:rPr>
            </w:pPr>
          </w:p>
          <w:p w:rsidR="004826A2" w:rsidRPr="004826A2" w:rsidRDefault="004826A2" w:rsidP="004826A2">
            <w:pPr>
              <w:spacing w:after="0" w:line="240" w:lineRule="auto"/>
              <w:ind w:right="-334"/>
              <w:rPr>
                <w:rFonts w:ascii="Arial" w:eastAsia="SimSun" w:hAnsi="Arial" w:cs="Arial"/>
                <w:b/>
                <w:bCs/>
                <w:color w:val="000000"/>
                <w:lang w:eastAsia="zh-CN"/>
              </w:rPr>
            </w:pPr>
            <w:r w:rsidRPr="004826A2">
              <w:rPr>
                <w:rFonts w:ascii="Arial" w:eastAsia="SimSun" w:hAnsi="Arial" w:cs="Arial"/>
                <w:b/>
                <w:bCs/>
                <w:color w:val="000000"/>
                <w:lang w:eastAsia="zh-CN"/>
              </w:rPr>
              <w:t>For completion by Marker 2/Moderator:</w:t>
            </w:r>
          </w:p>
          <w:p w:rsidR="004826A2" w:rsidRPr="004826A2" w:rsidRDefault="004826A2" w:rsidP="004826A2">
            <w:pPr>
              <w:spacing w:after="0" w:line="240" w:lineRule="auto"/>
              <w:ind w:right="-334"/>
              <w:rPr>
                <w:rFonts w:ascii="Arial" w:eastAsia="SimSun" w:hAnsi="Arial" w:cs="Arial"/>
                <w:b/>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r w:rsidRPr="004826A2">
              <w:rPr>
                <w:rFonts w:ascii="Arial" w:eastAsia="SimSun" w:hAnsi="Arial" w:cs="Arial"/>
                <w:bCs/>
                <w:color w:val="000000"/>
                <w:lang w:eastAsia="zh-CN"/>
              </w:rPr>
              <w:t>Comments:</w:t>
            </w: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tc>
      </w:tr>
      <w:tr w:rsidR="004826A2" w:rsidRPr="004826A2" w:rsidTr="00D518AE">
        <w:trPr>
          <w:trHeight w:val="720"/>
        </w:trPr>
        <w:tc>
          <w:tcPr>
            <w:tcW w:w="5211" w:type="dxa"/>
            <w:gridSpan w:val="2"/>
          </w:tcPr>
          <w:p w:rsidR="004826A2" w:rsidRPr="004826A2" w:rsidRDefault="004826A2" w:rsidP="004826A2">
            <w:pPr>
              <w:spacing w:after="0" w:line="240" w:lineRule="auto"/>
              <w:ind w:right="-334"/>
              <w:rPr>
                <w:rFonts w:ascii="Arial" w:eastAsia="SimSun" w:hAnsi="Arial" w:cs="Arial"/>
                <w:bCs/>
                <w:color w:val="000000"/>
                <w:lang w:eastAsia="zh-CN"/>
              </w:rPr>
            </w:pPr>
            <w:r w:rsidRPr="004826A2">
              <w:rPr>
                <w:rFonts w:ascii="Arial" w:eastAsia="SimSun" w:hAnsi="Arial" w:cs="Arial"/>
                <w:bCs/>
                <w:color w:val="000000"/>
                <w:lang w:eastAsia="zh-CN"/>
              </w:rPr>
              <w:t>Marker’s Signature:</w:t>
            </w:r>
          </w:p>
        </w:tc>
        <w:tc>
          <w:tcPr>
            <w:tcW w:w="3645" w:type="dxa"/>
            <w:gridSpan w:val="3"/>
          </w:tcPr>
          <w:p w:rsidR="004826A2" w:rsidRPr="004826A2" w:rsidRDefault="004826A2" w:rsidP="004826A2">
            <w:pPr>
              <w:spacing w:after="0" w:line="240" w:lineRule="auto"/>
              <w:ind w:right="-334"/>
              <w:rPr>
                <w:rFonts w:ascii="Arial" w:eastAsia="SimSun" w:hAnsi="Arial" w:cs="Arial"/>
                <w:bCs/>
                <w:color w:val="000000"/>
                <w:lang w:eastAsia="zh-CN"/>
              </w:rPr>
            </w:pPr>
            <w:r w:rsidRPr="004826A2">
              <w:rPr>
                <w:rFonts w:ascii="Arial" w:eastAsia="SimSun" w:hAnsi="Arial" w:cs="Arial"/>
                <w:bCs/>
                <w:color w:val="000000"/>
                <w:lang w:eastAsia="zh-CN"/>
              </w:rPr>
              <w:t>Date:</w:t>
            </w:r>
          </w:p>
        </w:tc>
      </w:tr>
      <w:tr w:rsidR="004826A2" w:rsidRPr="004826A2" w:rsidTr="00D518AE">
        <w:trPr>
          <w:trHeight w:val="720"/>
        </w:trPr>
        <w:tc>
          <w:tcPr>
            <w:tcW w:w="8856" w:type="dxa"/>
            <w:gridSpan w:val="5"/>
          </w:tcPr>
          <w:p w:rsidR="004826A2" w:rsidRPr="004826A2" w:rsidRDefault="004826A2" w:rsidP="004826A2">
            <w:pPr>
              <w:spacing w:after="0" w:line="240" w:lineRule="auto"/>
              <w:rPr>
                <w:rFonts w:ascii="Arial" w:eastAsia="SimSun" w:hAnsi="Arial" w:cs="Arial"/>
                <w:b/>
                <w:lang w:eastAsia="zh-CN"/>
              </w:rPr>
            </w:pPr>
            <w:r w:rsidRPr="004826A2">
              <w:rPr>
                <w:rFonts w:ascii="Arial" w:eastAsia="SimSun" w:hAnsi="Arial" w:cs="Arial"/>
                <w:b/>
                <w:lang w:eastAsia="zh-CN"/>
              </w:rPr>
              <w:t>External Examiner’s comments (if relevant)</w:t>
            </w: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p w:rsidR="004826A2" w:rsidRPr="004826A2" w:rsidRDefault="004826A2" w:rsidP="004826A2">
            <w:pPr>
              <w:spacing w:after="0" w:line="240" w:lineRule="auto"/>
              <w:ind w:right="-334"/>
              <w:rPr>
                <w:rFonts w:ascii="Arial" w:eastAsia="SimSun" w:hAnsi="Arial" w:cs="Arial"/>
                <w:bCs/>
                <w:color w:val="000000"/>
                <w:lang w:eastAsia="zh-CN"/>
              </w:rPr>
            </w:pPr>
          </w:p>
        </w:tc>
      </w:tr>
      <w:tr w:rsidR="004826A2" w:rsidRPr="004826A2" w:rsidTr="00D518AE">
        <w:trPr>
          <w:trHeight w:val="720"/>
        </w:trPr>
        <w:tc>
          <w:tcPr>
            <w:tcW w:w="5211" w:type="dxa"/>
            <w:gridSpan w:val="2"/>
          </w:tcPr>
          <w:p w:rsidR="004826A2" w:rsidRPr="004826A2" w:rsidRDefault="004826A2" w:rsidP="004826A2">
            <w:pPr>
              <w:spacing w:after="0" w:line="240" w:lineRule="auto"/>
              <w:rPr>
                <w:rFonts w:ascii="Arial" w:eastAsia="SimSun" w:hAnsi="Arial" w:cs="Arial"/>
                <w:lang w:eastAsia="zh-CN"/>
              </w:rPr>
            </w:pPr>
            <w:r w:rsidRPr="004826A2">
              <w:rPr>
                <w:rFonts w:ascii="Arial" w:eastAsia="SimSun" w:hAnsi="Arial" w:cs="Arial"/>
                <w:lang w:eastAsia="zh-CN"/>
              </w:rPr>
              <w:lastRenderedPageBreak/>
              <w:t>External Examiner’s Signature:</w:t>
            </w:r>
          </w:p>
        </w:tc>
        <w:tc>
          <w:tcPr>
            <w:tcW w:w="3645" w:type="dxa"/>
            <w:gridSpan w:val="3"/>
          </w:tcPr>
          <w:p w:rsidR="004826A2" w:rsidRPr="004826A2" w:rsidRDefault="004826A2" w:rsidP="004826A2">
            <w:pPr>
              <w:spacing w:after="0" w:line="240" w:lineRule="auto"/>
              <w:rPr>
                <w:rFonts w:ascii="Arial" w:eastAsia="SimSun" w:hAnsi="Arial" w:cs="Arial"/>
                <w:lang w:eastAsia="zh-CN"/>
              </w:rPr>
            </w:pPr>
            <w:r w:rsidRPr="004826A2">
              <w:rPr>
                <w:rFonts w:ascii="Arial" w:eastAsia="SimSun" w:hAnsi="Arial" w:cs="Arial"/>
                <w:lang w:eastAsia="zh-CN"/>
              </w:rPr>
              <w:t>Date:</w:t>
            </w:r>
          </w:p>
        </w:tc>
      </w:tr>
    </w:tbl>
    <w:p w:rsidR="004826A2" w:rsidRPr="004826A2" w:rsidRDefault="004826A2" w:rsidP="004826A2">
      <w:pPr>
        <w:spacing w:after="0" w:line="240" w:lineRule="auto"/>
        <w:ind w:right="-334"/>
        <w:rPr>
          <w:rFonts w:ascii="Trebuchet MS" w:eastAsia="SimSun" w:hAnsi="Trebuchet MS" w:cs="Tahoma"/>
          <w:bCs/>
          <w:color w:val="000000"/>
          <w:sz w:val="24"/>
          <w:szCs w:val="24"/>
          <w:lang w:eastAsia="zh-CN"/>
        </w:rPr>
      </w:pPr>
    </w:p>
    <w:p w:rsidR="004826A2" w:rsidRDefault="004826A2">
      <w:r>
        <w:br w:type="page"/>
      </w:r>
    </w:p>
    <w:p w:rsidR="006A4E7A" w:rsidRDefault="006A4E7A">
      <w:bookmarkStart w:id="6" w:name="_GoBack"/>
      <w:bookmarkEnd w:id="6"/>
    </w:p>
    <w:p w:rsidR="00885AFB" w:rsidRDefault="00885AFB" w:rsidP="00885AFB">
      <w:pPr>
        <w:rPr>
          <w:b/>
        </w:rPr>
      </w:pPr>
      <w:r>
        <w:rPr>
          <w:b/>
        </w:rPr>
        <w:t>Introduction</w:t>
      </w:r>
    </w:p>
    <w:p w:rsidR="00885AFB" w:rsidRDefault="0049312E" w:rsidP="00885AFB">
      <w:r>
        <w:t xml:space="preserve">This essay </w:t>
      </w:r>
      <w:r w:rsidR="00885AFB">
        <w:t>explore</w:t>
      </w:r>
      <w:r>
        <w:t>s</w:t>
      </w:r>
      <w:r w:rsidR="00885AFB">
        <w:t xml:space="preserve"> the impact of the Roman Empire</w:t>
      </w:r>
      <w:r w:rsidR="00885AFB" w:rsidRPr="00243860">
        <w:t xml:space="preserve"> on the religious traditions of Egypt</w:t>
      </w:r>
      <w:r w:rsidR="00885AFB">
        <w:t xml:space="preserve"> subsequent to the country becoming a province of Rome in 30 CE</w:t>
      </w:r>
      <w:r w:rsidR="00885AFB" w:rsidRPr="00243860">
        <w:t xml:space="preserve">.  </w:t>
      </w:r>
      <w:r w:rsidR="00885AFB">
        <w:t xml:space="preserve"> Egyp</w:t>
      </w:r>
      <w:r>
        <w:t>t</w:t>
      </w:r>
      <w:r w:rsidR="00885AFB" w:rsidRPr="00243860">
        <w:t xml:space="preserve"> had already weathered Persian occupation an</w:t>
      </w:r>
      <w:r w:rsidR="001C1DFE">
        <w:t>d three centuries of Greek rule; i</w:t>
      </w:r>
      <w:r w:rsidR="001C1DFE">
        <w:t>n the late fourth century BCE, Egypt was conquered by Alexander the Great, a</w:t>
      </w:r>
      <w:r w:rsidR="00B04301">
        <w:t>s was the rest of the Near East</w:t>
      </w:r>
      <w:r w:rsidR="00B04301">
        <w:rPr>
          <w:rStyle w:val="FootnoteReference"/>
        </w:rPr>
        <w:footnoteReference w:id="1"/>
      </w:r>
      <w:r w:rsidR="00B04301">
        <w:t>.</w:t>
      </w:r>
      <w:r w:rsidR="001C1DFE">
        <w:t xml:space="preserve">  After Alexander’s death, Ptolemy, his</w:t>
      </w:r>
      <w:r>
        <w:t xml:space="preserve"> general, founded</w:t>
      </w:r>
      <w:r w:rsidR="001C1DFE">
        <w:t xml:space="preserve"> a dynasty that lasted until Cleopatra was defeated by Augustus in 31 CE</w:t>
      </w:r>
      <w:r w:rsidR="00B04301">
        <w:rPr>
          <w:rStyle w:val="FootnoteReference"/>
        </w:rPr>
        <w:footnoteReference w:id="2"/>
      </w:r>
      <w:r w:rsidR="00B04301">
        <w:t>.</w:t>
      </w:r>
      <w:r w:rsidR="001C1DFE">
        <w:t xml:space="preserve"> </w:t>
      </w:r>
      <w:r w:rsidR="001C1DFE">
        <w:t>However, s</w:t>
      </w:r>
      <w:r w:rsidR="00885AFB">
        <w:t>ince the Roman attitude was that it was usual for different gods to inhabit different regions and all should be offered the cult that was their due, local deities were generally respected and, within limit</w:t>
      </w:r>
      <w:r w:rsidR="00B04301">
        <w:t>s, had imperial support</w:t>
      </w:r>
      <w:r w:rsidR="00B04301">
        <w:rPr>
          <w:rStyle w:val="FootnoteReference"/>
        </w:rPr>
        <w:footnoteReference w:id="3"/>
      </w:r>
      <w:r w:rsidR="00885AFB">
        <w:t xml:space="preserve">.  </w:t>
      </w:r>
      <w:r w:rsidR="00885AFB" w:rsidRPr="00243860">
        <w:t xml:space="preserve">So there is an expectation </w:t>
      </w:r>
      <w:r w:rsidR="00885AFB">
        <w:t xml:space="preserve">of </w:t>
      </w:r>
      <w:r w:rsidR="00885AFB" w:rsidRPr="00243860">
        <w:t>contin</w:t>
      </w:r>
      <w:r w:rsidR="00885AFB">
        <w:t>uity,</w:t>
      </w:r>
      <w:r w:rsidR="00885AFB" w:rsidRPr="00243860">
        <w:t xml:space="preserve"> that ancient cul</w:t>
      </w:r>
      <w:r w:rsidR="001C1DFE">
        <w:t>ts and religions should be</w:t>
      </w:r>
      <w:r w:rsidR="00885AFB" w:rsidRPr="00243860">
        <w:t xml:space="preserve"> relatively undisturbed</w:t>
      </w:r>
      <w:r w:rsidR="001C1DFE">
        <w:t xml:space="preserve"> by regime change</w:t>
      </w:r>
      <w:r w:rsidR="00885AFB" w:rsidRPr="00243860">
        <w:t>, particularly as the Ptolemaic kings adopted themselves to the role of Pharaoh with all its concomitant reli</w:t>
      </w:r>
      <w:r w:rsidR="00885AFB">
        <w:t>gious connotations</w:t>
      </w:r>
      <w:r w:rsidR="00B04301">
        <w:rPr>
          <w:rStyle w:val="FootnoteReference"/>
        </w:rPr>
        <w:footnoteReference w:id="4"/>
      </w:r>
      <w:r w:rsidR="00885AFB">
        <w:t xml:space="preserve">. </w:t>
      </w:r>
      <w:r w:rsidR="00885AFB" w:rsidRPr="00243860">
        <w:t>In turn, the Roman emperor, too, invested in the cults of the Egypti</w:t>
      </w:r>
      <w:r w:rsidR="00885AFB">
        <w:t>ans</w:t>
      </w:r>
      <w:r w:rsidR="001C1DFE">
        <w:t xml:space="preserve"> and a statue of Horus in Roman military style, suggesting a conflation of emperor with deity, is discussed below</w:t>
      </w:r>
      <w:r w:rsidR="00885AFB">
        <w:t>.</w:t>
      </w:r>
    </w:p>
    <w:p w:rsidR="00885AFB" w:rsidRDefault="001C1DFE" w:rsidP="00885AFB">
      <w:r>
        <w:t>Along with the</w:t>
      </w:r>
      <w:r w:rsidR="0049312E">
        <w:t>se</w:t>
      </w:r>
      <w:r w:rsidR="00885AFB">
        <w:t xml:space="preserve"> expectation</w:t>
      </w:r>
      <w:r w:rsidR="0049312E">
        <w:t>s</w:t>
      </w:r>
      <w:r w:rsidR="00885AFB">
        <w:t xml:space="preserve"> comes a sense that </w:t>
      </w:r>
      <w:r w:rsidR="00885AFB">
        <w:rPr>
          <w:i/>
        </w:rPr>
        <w:t>change</w:t>
      </w:r>
      <w:r w:rsidR="00885AFB">
        <w:t xml:space="preserve"> equals </w:t>
      </w:r>
      <w:r w:rsidR="00885AFB">
        <w:rPr>
          <w:i/>
        </w:rPr>
        <w:t>decline</w:t>
      </w:r>
      <w:r w:rsidR="00B04301">
        <w:rPr>
          <w:rStyle w:val="FootnoteReference"/>
          <w:i/>
        </w:rPr>
        <w:footnoteReference w:id="5"/>
      </w:r>
      <w:r w:rsidR="00B04301">
        <w:t>.</w:t>
      </w:r>
      <w:r w:rsidR="00885AFB">
        <w:t xml:space="preserve"> But </w:t>
      </w:r>
      <w:r w:rsidR="00AB1D90">
        <w:t xml:space="preserve">could this simply be symptomatic of </w:t>
      </w:r>
      <w:r w:rsidR="00885AFB">
        <w:t>the days when a Christian bias presupposed anything non-Christian was somehow lesser</w:t>
      </w:r>
      <w:r>
        <w:t>, at a time when the assumption was that Christianity was taking over from pagan traditions</w:t>
      </w:r>
      <w:r w:rsidR="00AB1D90">
        <w:t>?  E</w:t>
      </w:r>
      <w:r w:rsidR="00885AFB">
        <w:t>ven with a modern mind</w:t>
      </w:r>
      <w:r w:rsidR="00B04301">
        <w:t>-</w:t>
      </w:r>
      <w:r w:rsidR="00885AFB">
        <w:t>set it can be difficult to be objective, and perhaps the best approach is to acknowledge an ingrained subjectivity and try to avoid its pitfalls.</w:t>
      </w:r>
    </w:p>
    <w:p w:rsidR="00885AFB" w:rsidRDefault="00885AFB" w:rsidP="00885AFB">
      <w:r>
        <w:t>One f</w:t>
      </w:r>
      <w:r w:rsidR="00AB1D90">
        <w:t>actor</w:t>
      </w:r>
      <w:r w:rsidR="00EC35CC">
        <w:t xml:space="preserve"> which</w:t>
      </w:r>
      <w:r w:rsidR="00AB1D90">
        <w:t xml:space="preserve"> masks the visibility of change</w:t>
      </w:r>
      <w:r>
        <w:t xml:space="preserve"> is the use of the term ‘</w:t>
      </w:r>
      <w:proofErr w:type="spellStart"/>
      <w:r>
        <w:t>Graeco</w:t>
      </w:r>
      <w:proofErr w:type="spellEnd"/>
      <w:r>
        <w:t>-Roman’ to cover the entire period</w:t>
      </w:r>
      <w:r w:rsidR="00AB1D90">
        <w:t xml:space="preserve"> of the </w:t>
      </w:r>
      <w:proofErr w:type="spellStart"/>
      <w:r w:rsidR="00AB1D90">
        <w:t>Pto</w:t>
      </w:r>
      <w:r w:rsidR="00EC2E24">
        <w:t>l</w:t>
      </w:r>
      <w:r w:rsidR="00AB1D90">
        <w:t>emies</w:t>
      </w:r>
      <w:proofErr w:type="spellEnd"/>
      <w:r w:rsidR="00AB1D90">
        <w:t xml:space="preserve"> and the Roman Empire</w:t>
      </w:r>
      <w:r>
        <w:t>;</w:t>
      </w:r>
      <w:r w:rsidR="00D767E3">
        <w:t xml:space="preserve"> this can lead to assumptions of continuity which are ill-founded</w:t>
      </w:r>
      <w:r>
        <w:t xml:space="preserve"> and </w:t>
      </w:r>
      <w:r w:rsidR="0049312E">
        <w:t xml:space="preserve">makes it difficult </w:t>
      </w:r>
      <w:r>
        <w:t>to pick apart the Ptolemaic from the Roman, particularly when Greek c</w:t>
      </w:r>
      <w:r w:rsidR="00AB1D90">
        <w:t>ulture was so popular in Rome.</w:t>
      </w:r>
      <w:r>
        <w:t xml:space="preserve">  Nevertheless, it is possible to find glimpses, here and there, of the nature of Roman influence despite the legerdemain of inclusive terminology.</w:t>
      </w:r>
    </w:p>
    <w:p w:rsidR="00D522F8" w:rsidRDefault="00B04301" w:rsidP="00D522F8">
      <w:r>
        <w:t xml:space="preserve">James B. </w:t>
      </w:r>
      <w:r w:rsidR="00D522F8">
        <w:t xml:space="preserve">Rives, in </w:t>
      </w:r>
      <w:r w:rsidR="00D522F8">
        <w:rPr>
          <w:i/>
        </w:rPr>
        <w:t>Religion in the Roman Empire</w:t>
      </w:r>
      <w:r w:rsidR="00D522F8">
        <w:t>, notes that the years of Greek rule ‘had left their mark, but less so than elsewhere</w:t>
      </w:r>
      <w:r w:rsidR="00EC35CC">
        <w:t>’ w</w:t>
      </w:r>
      <w:r w:rsidR="00D522F8">
        <w:t>hich he puts down in part to the paucity of cities in Egypt; other than the eponymous Alexandria, the majority of  people lived in villages or towns, or in the regions surrounding cult centres</w:t>
      </w:r>
      <w:r>
        <w:rPr>
          <w:rStyle w:val="FootnoteReference"/>
        </w:rPr>
        <w:footnoteReference w:id="6"/>
      </w:r>
      <w:r w:rsidR="00D522F8">
        <w:t>.  By the Roman per</w:t>
      </w:r>
      <w:r w:rsidR="0049312E">
        <w:t>iod, Greek had become the</w:t>
      </w:r>
      <w:r w:rsidR="00D522F8">
        <w:t xml:space="preserve"> language of business and personal communications, but </w:t>
      </w:r>
      <w:r>
        <w:t xml:space="preserve">Rives </w:t>
      </w:r>
      <w:r w:rsidR="00D522F8">
        <w:t xml:space="preserve">notes that continuity of Egyptian traditions can still be seen in language, religious practices, and beliefs, and even specific cult sites more easily than elsewhere in the Roman </w:t>
      </w:r>
      <w:proofErr w:type="gramStart"/>
      <w:r w:rsidR="00D522F8">
        <w:t>empire</w:t>
      </w:r>
      <w:proofErr w:type="gramEnd"/>
      <w:r w:rsidR="00221E67">
        <w:rPr>
          <w:rStyle w:val="FootnoteReference"/>
        </w:rPr>
        <w:footnoteReference w:id="7"/>
      </w:r>
      <w:r w:rsidR="00D522F8">
        <w:t>.</w:t>
      </w:r>
    </w:p>
    <w:p w:rsidR="00D522F8" w:rsidRDefault="00221E67" w:rsidP="00885AFB">
      <w:r>
        <w:t xml:space="preserve">David </w:t>
      </w:r>
      <w:r w:rsidR="00D522F8">
        <w:t xml:space="preserve">Frankfurter, in </w:t>
      </w:r>
      <w:r w:rsidR="00D522F8">
        <w:rPr>
          <w:i/>
        </w:rPr>
        <w:t>Religions of the Roman Empire</w:t>
      </w:r>
      <w:r w:rsidR="00D522F8">
        <w:t>, takes the view that the Egyptian concept of Pharaoh as the god Horus conflates with the emperor cult of Rome so closely that the emperor cult had hardly any impact on Egyptian traditional religion</w:t>
      </w:r>
      <w:r w:rsidR="0049312E">
        <w:t xml:space="preserve">, going on </w:t>
      </w:r>
      <w:r w:rsidR="00D522F8">
        <w:t xml:space="preserve">to comment that burial practices in </w:t>
      </w:r>
      <w:r w:rsidR="00D522F8">
        <w:lastRenderedPageBreak/>
        <w:t>Eg</w:t>
      </w:r>
      <w:r w:rsidR="00E315A4">
        <w:t>ypt under Roman authority are</w:t>
      </w:r>
      <w:r w:rsidR="00D522F8">
        <w:t xml:space="preserve"> ‘historically resilient’</w:t>
      </w:r>
      <w:r w:rsidR="00E315A4">
        <w:t xml:space="preserve"> and demonstrate ‘continuity’</w:t>
      </w:r>
      <w:r>
        <w:rPr>
          <w:rStyle w:val="FootnoteReference"/>
        </w:rPr>
        <w:footnoteReference w:id="8"/>
      </w:r>
      <w:r w:rsidR="00E315A4">
        <w:t>.</w:t>
      </w:r>
      <w:r>
        <w:t xml:space="preserve"> </w:t>
      </w:r>
      <w:r w:rsidR="00E315A4">
        <w:t xml:space="preserve"> However, both these areas demonstrate change within their continuity</w:t>
      </w:r>
      <w:r w:rsidR="007310D5">
        <w:t xml:space="preserve"> as will be shown below</w:t>
      </w:r>
      <w:r w:rsidR="00E315A4">
        <w:t>.</w:t>
      </w:r>
    </w:p>
    <w:p w:rsidR="00C42387" w:rsidRPr="007E2621" w:rsidRDefault="007E2621" w:rsidP="007E2621">
      <w:pPr>
        <w:rPr>
          <w:b/>
        </w:rPr>
      </w:pPr>
      <w:r w:rsidRPr="007E2621">
        <w:rPr>
          <w:b/>
        </w:rPr>
        <w:t>Egyptian cult</w:t>
      </w:r>
    </w:p>
    <w:p w:rsidR="008E5CDE" w:rsidRDefault="007E2621" w:rsidP="008E5CDE">
      <w:r>
        <w:t>Egyptian beliefs held that the gods existed, and they were morta</w:t>
      </w:r>
      <w:r w:rsidR="00221E67">
        <w:t>l</w:t>
      </w:r>
      <w:r w:rsidR="00221E67">
        <w:rPr>
          <w:rStyle w:val="FootnoteReference"/>
        </w:rPr>
        <w:footnoteReference w:id="9"/>
      </w:r>
      <w:r w:rsidR="00221E67">
        <w:t>.</w:t>
      </w:r>
      <w:r>
        <w:t xml:space="preserve"> They lived somewhere other than earth, either in the sky as a </w:t>
      </w:r>
      <w:proofErr w:type="spellStart"/>
      <w:r>
        <w:rPr>
          <w:i/>
        </w:rPr>
        <w:t>ba</w:t>
      </w:r>
      <w:proofErr w:type="spellEnd"/>
      <w:r>
        <w:t xml:space="preserve"> or the netherworld where their bodies existed, and only visited the world when invited down by ritual into their cult images</w:t>
      </w:r>
      <w:r w:rsidR="00221E67">
        <w:rPr>
          <w:rStyle w:val="FootnoteReference"/>
        </w:rPr>
        <w:footnoteReference w:id="10"/>
      </w:r>
      <w:r>
        <w:t>.  These could be statues or the animals with which each particular god was associated</w:t>
      </w:r>
      <w:r w:rsidR="00221E67">
        <w:t>.</w:t>
      </w:r>
      <w:r w:rsidR="00221E67">
        <w:rPr>
          <w:rStyle w:val="FootnoteReference"/>
        </w:rPr>
        <w:footnoteReference w:id="11"/>
      </w:r>
      <w:r>
        <w:t xml:space="preserve">The underlying </w:t>
      </w:r>
      <w:r w:rsidR="00C42387">
        <w:t>reason</w:t>
      </w:r>
      <w:r>
        <w:t xml:space="preserve"> for Egyptian cult was to connect the</w:t>
      </w:r>
      <w:r w:rsidR="00C42387">
        <w:t xml:space="preserve"> world of the living with the</w:t>
      </w:r>
      <w:r>
        <w:t xml:space="preserve"> otherworld; the living made sacrifices and offerings and in return received the help of the gods in a form of ‘cultic barter’</w:t>
      </w:r>
      <w:r w:rsidR="00627312">
        <w:rPr>
          <w:rStyle w:val="FootnoteReference"/>
        </w:rPr>
        <w:footnoteReference w:id="12"/>
      </w:r>
      <w:r w:rsidR="00627312">
        <w:t>.</w:t>
      </w:r>
      <w:r w:rsidR="00C42387">
        <w:t xml:space="preserve"> From their homes in the</w:t>
      </w:r>
      <w:r>
        <w:t xml:space="preserve"> otherworld</w:t>
      </w:r>
      <w:r w:rsidR="00C42387">
        <w:t>, the gods</w:t>
      </w:r>
      <w:r>
        <w:t xml:space="preserve"> maintained the integrity of the cosmos, and </w:t>
      </w:r>
      <w:r w:rsidR="00C42387">
        <w:t>once</w:t>
      </w:r>
      <w:r>
        <w:t xml:space="preserve"> on earth, they brought their divine powers to bear on the world</w:t>
      </w:r>
      <w:r w:rsidR="00C42387">
        <w:t xml:space="preserve"> of the living;</w:t>
      </w:r>
      <w:r>
        <w:t xml:space="preserve"> were the cult</w:t>
      </w:r>
      <w:r w:rsidR="00C42387">
        <w:t xml:space="preserve"> to cease, the gods</w:t>
      </w:r>
      <w:r>
        <w:t xml:space="preserve"> would retreat to the netherworld once more</w:t>
      </w:r>
      <w:r w:rsidR="00627312">
        <w:rPr>
          <w:rStyle w:val="FootnoteReference"/>
        </w:rPr>
        <w:footnoteReference w:id="13"/>
      </w:r>
      <w:r w:rsidR="00627312">
        <w:t xml:space="preserve">. Thus </w:t>
      </w:r>
      <w:r>
        <w:t>the continuance of cult was necessary to ensure the safe continuance of the world.</w:t>
      </w:r>
      <w:r w:rsidR="007310D5">
        <w:t xml:space="preserve">  </w:t>
      </w:r>
      <w:r w:rsidR="0049312E">
        <w:t xml:space="preserve">  This</w:t>
      </w:r>
      <w:r w:rsidR="008E5CDE">
        <w:t xml:space="preserve"> essential procedure took place in temples, some of which were vast and which had been expanded over the course of several centuries.  Elaborate daily rituals, performed by priests, included greeting and praising the statue of the god and attending to other perceived needs such as dressing and offering food</w:t>
      </w:r>
      <w:r w:rsidR="00627312">
        <w:rPr>
          <w:rStyle w:val="FootnoteReference"/>
        </w:rPr>
        <w:footnoteReference w:id="14"/>
      </w:r>
      <w:r w:rsidR="008E5CDE">
        <w:t xml:space="preserve">.  These activities </w:t>
      </w:r>
      <w:r w:rsidR="0049312E">
        <w:t>were</w:t>
      </w:r>
      <w:r w:rsidR="008E5CDE">
        <w:t xml:space="preserve"> removed from the sight of the populace, which meant that for most people, being in the presence of the god was something which happened only during </w:t>
      </w:r>
      <w:r w:rsidR="007310D5">
        <w:t xml:space="preserve">festival </w:t>
      </w:r>
      <w:r w:rsidR="008E5CDE">
        <w:t>processions, where the cult statues were taken from their temples for festivals</w:t>
      </w:r>
      <w:r w:rsidR="00627312">
        <w:rPr>
          <w:rStyle w:val="FootnoteReference"/>
        </w:rPr>
        <w:footnoteReference w:id="15"/>
      </w:r>
      <w:r w:rsidR="00627312">
        <w:t>.</w:t>
      </w:r>
      <w:r w:rsidR="008E5CDE">
        <w:t xml:space="preserve">   </w:t>
      </w:r>
    </w:p>
    <w:p w:rsidR="00D767E3" w:rsidRDefault="00D767E3" w:rsidP="008E5CDE">
      <w:r>
        <w:t xml:space="preserve">The Egyptian habit of associating a god with a particular animal and depicting their gods in anthropomorphic fashion or in deifying animals themselves drew a certain degree of ridicule from the Romans; Octavian-Augustus, when invited to visit the </w:t>
      </w:r>
      <w:proofErr w:type="spellStart"/>
      <w:r>
        <w:t>Apis</w:t>
      </w:r>
      <w:proofErr w:type="spellEnd"/>
      <w:r>
        <w:t xml:space="preserve"> bull, declined, announcing that he was ‘accustomed to worshipping gods, not cattle’</w:t>
      </w:r>
      <w:r w:rsidR="00627312">
        <w:rPr>
          <w:rStyle w:val="FootnoteReference"/>
        </w:rPr>
        <w:footnoteReference w:id="16"/>
      </w:r>
      <w:r w:rsidR="00627312">
        <w:t>.</w:t>
      </w:r>
      <w:r w:rsidR="0049312E">
        <w:t xml:space="preserve">  B</w:t>
      </w:r>
      <w:r>
        <w:t xml:space="preserve">y refusing to make offerings to the </w:t>
      </w:r>
      <w:proofErr w:type="spellStart"/>
      <w:r>
        <w:t>Apis</w:t>
      </w:r>
      <w:proofErr w:type="spellEnd"/>
      <w:r>
        <w:t>, Augustus was refusing to do his kingly duty</w:t>
      </w:r>
      <w:proofErr w:type="gramStart"/>
      <w:r>
        <w:t>;,</w:t>
      </w:r>
      <w:proofErr w:type="gramEnd"/>
      <w:r>
        <w:t xml:space="preserve"> despite his reluctance to perform the required cult to the </w:t>
      </w:r>
      <w:proofErr w:type="spellStart"/>
      <w:r>
        <w:t>Apis</w:t>
      </w:r>
      <w:proofErr w:type="spellEnd"/>
      <w:r>
        <w:t xml:space="preserve"> bull, Augustus nevertheless continued the act of building and funding temples</w:t>
      </w:r>
      <w:r w:rsidR="00627312">
        <w:rPr>
          <w:rStyle w:val="FootnoteReference"/>
        </w:rPr>
        <w:footnoteReference w:id="17"/>
      </w:r>
      <w:r w:rsidR="00627312">
        <w:t xml:space="preserve">.  </w:t>
      </w:r>
      <w:r>
        <w:t>This in itself was an important act of ritual; since Egyptian religion was cultic in nature, it needed constant renewal through ritual practice</w:t>
      </w:r>
      <w:r w:rsidR="00627312">
        <w:rPr>
          <w:rStyle w:val="FootnoteReference"/>
        </w:rPr>
        <w:footnoteReference w:id="18"/>
      </w:r>
      <w:r>
        <w:t>.  The temple was, in a sense, a microcosm, with cult activities preventing the destruction of the world, thus one of the essential royal tasks was the building and maintenance of temples</w:t>
      </w:r>
      <w:r w:rsidR="00627312">
        <w:rPr>
          <w:rStyle w:val="FootnoteReference"/>
        </w:rPr>
        <w:footnoteReference w:id="19"/>
      </w:r>
      <w:r w:rsidR="00627312">
        <w:t>.</w:t>
      </w:r>
    </w:p>
    <w:p w:rsidR="008E5CDE" w:rsidRDefault="008E5CDE" w:rsidP="008E5CDE">
      <w:r>
        <w:rPr>
          <w:b/>
        </w:rPr>
        <w:t>Egyptian Priests</w:t>
      </w:r>
    </w:p>
    <w:p w:rsidR="0010541F" w:rsidRDefault="008E5CDE" w:rsidP="0010541F">
      <w:r>
        <w:lastRenderedPageBreak/>
        <w:t>The only individual who could properly offer cult to the gods was the pharaoh</w:t>
      </w:r>
      <w:r w:rsidR="007310D5">
        <w:t>, who was traditionally equated with Horus, heir of Osiris</w:t>
      </w:r>
      <w:r w:rsidR="005278F1">
        <w:t xml:space="preserve"> whose power had been legitimated by the priests and who was responsible for the order of the cosmos and of society</w:t>
      </w:r>
      <w:r w:rsidR="00627312">
        <w:rPr>
          <w:rStyle w:val="FootnoteReference"/>
        </w:rPr>
        <w:footnoteReference w:id="20"/>
      </w:r>
      <w:r w:rsidR="00627312">
        <w:t>.</w:t>
      </w:r>
      <w:r w:rsidR="005278F1">
        <w:t xml:space="preserve">  However, since the pharaoh</w:t>
      </w:r>
      <w:r>
        <w:t xml:space="preserve"> could not be present at every temple, this duty was delegated </w:t>
      </w:r>
      <w:r w:rsidR="00627312">
        <w:t>to the priesthood; in R</w:t>
      </w:r>
      <w:r w:rsidR="005278F1">
        <w:t>oman times, the priests legitimated the Emperor who, in turn, delegated his authority to the priests to perform the cult on his behalf</w:t>
      </w:r>
      <w:r w:rsidR="00627312">
        <w:rPr>
          <w:rStyle w:val="FootnoteReference"/>
        </w:rPr>
        <w:footnoteReference w:id="21"/>
      </w:r>
      <w:r w:rsidR="00627312">
        <w:t>.</w:t>
      </w:r>
      <w:r w:rsidR="005278F1">
        <w:t xml:space="preserve"> </w:t>
      </w:r>
      <w:r w:rsidR="0010541F">
        <w:t xml:space="preserve"> </w:t>
      </w:r>
      <w:r w:rsidR="0010541F">
        <w:t>At the end of the Ptolemaic period, the priesthood of Egypt was largely held by a distinct priestly cast and the posts were hereditary.  Even so, to be a priest required knowledge and ability in ancient Egyptian scripts and languages, and had to be circumcised before joining the priesthood, following which they were required to shave their heads, wear linen only and eat a special diet in order to be ritually pure.  The priests were responsible for offering cult and administering the temples and temple property</w:t>
      </w:r>
      <w:r w:rsidR="00627312">
        <w:rPr>
          <w:rStyle w:val="FootnoteReference"/>
        </w:rPr>
        <w:footnoteReference w:id="22"/>
      </w:r>
      <w:r w:rsidR="00627312">
        <w:t>.</w:t>
      </w:r>
    </w:p>
    <w:p w:rsidR="0010541F" w:rsidRDefault="0010541F" w:rsidP="0010541F">
      <w:r>
        <w:t xml:space="preserve"> </w:t>
      </w:r>
      <w:r>
        <w:t>No sooner had the Romans arrived in Egypt than they began making changes to the priesthood and its organisation; recognizing the potentially dangerous power-base held by the priesthood, they confiscated temple lands – although conversely, lands were granted to a temple of Isis in the south</w:t>
      </w:r>
      <w:r w:rsidR="00AE5CB6">
        <w:t xml:space="preserve"> of the country</w:t>
      </w:r>
      <w:r w:rsidR="00627312">
        <w:rPr>
          <w:rStyle w:val="FootnoteReference"/>
        </w:rPr>
        <w:footnoteReference w:id="23"/>
      </w:r>
      <w:r>
        <w:t>.  Under Rome, priests were no longer allowed to run their own businesses, but instead were awarded a stipend</w:t>
      </w:r>
      <w:r w:rsidR="00627312">
        <w:rPr>
          <w:rStyle w:val="FootnoteReference"/>
        </w:rPr>
        <w:footnoteReference w:id="24"/>
      </w:r>
      <w:r>
        <w:t>.  While the emperors were honoured by the priests, in turn the emperors permitted priestly privileges, while at the same time ensuring they were closely monitored and regulated and overseen by the High Priest of Alexandria and A</w:t>
      </w:r>
      <w:r w:rsidR="00AE5CB6">
        <w:t>ll Egypt</w:t>
      </w:r>
      <w:r w:rsidR="00627312">
        <w:rPr>
          <w:rStyle w:val="FootnoteReference"/>
        </w:rPr>
        <w:footnoteReference w:id="25"/>
      </w:r>
      <w:r w:rsidR="00627312">
        <w:t>.</w:t>
      </w:r>
      <w:r w:rsidR="00AE5CB6">
        <w:t xml:space="preserve">  This post </w:t>
      </w:r>
      <w:r>
        <w:t>was held by a Roman</w:t>
      </w:r>
      <w:r w:rsidR="00627312">
        <w:t xml:space="preserve"> of the rank of</w:t>
      </w:r>
      <w:r>
        <w:t xml:space="preserve"> </w:t>
      </w:r>
      <w:r w:rsidRPr="003E1E7C">
        <w:rPr>
          <w:i/>
        </w:rPr>
        <w:t>eques</w:t>
      </w:r>
      <w:r>
        <w:t xml:space="preserve"> and, while he had administrative authority over all the Egyptian cults, it seems likely that he held responsibility for the cult of emperor worship alongside his administrative duties</w:t>
      </w:r>
      <w:r w:rsidR="00627312">
        <w:rPr>
          <w:rStyle w:val="FootnoteReference"/>
        </w:rPr>
        <w:footnoteReference w:id="26"/>
      </w:r>
      <w:r w:rsidR="00627312">
        <w:t>.</w:t>
      </w:r>
      <w:r>
        <w:t xml:space="preserve"> Most importantly for the Egyptian priesthood, his was the decision as to the choice of candidates for circumcision, without which one could not join the priesthood</w:t>
      </w:r>
      <w:r w:rsidR="00D8078A">
        <w:rPr>
          <w:rStyle w:val="FootnoteReference"/>
        </w:rPr>
        <w:footnoteReference w:id="27"/>
      </w:r>
      <w:r w:rsidR="00D8078A">
        <w:t>.</w:t>
      </w:r>
      <w:r w:rsidR="009A1471">
        <w:t xml:space="preserve">  Despite the changes, however, the priests still retained modest privileges</w:t>
      </w:r>
      <w:r w:rsidR="00D8078A">
        <w:rPr>
          <w:rStyle w:val="FootnoteReference"/>
        </w:rPr>
        <w:footnoteReference w:id="28"/>
      </w:r>
      <w:r w:rsidR="00D8078A">
        <w:t>.</w:t>
      </w:r>
      <w:r w:rsidR="009A1471">
        <w:t xml:space="preserve">  In such a period of disruption, the continuity of worship within the temples perhaps provided a refuge</w:t>
      </w:r>
      <w:r w:rsidR="00D8078A">
        <w:t xml:space="preserve"> for the priesthood and acted as a depositary of culture and learning</w:t>
      </w:r>
      <w:r w:rsidR="00D8078A">
        <w:rPr>
          <w:rStyle w:val="FootnoteReference"/>
        </w:rPr>
        <w:footnoteReference w:id="29"/>
      </w:r>
      <w:r w:rsidR="00D8078A">
        <w:t>.</w:t>
      </w:r>
    </w:p>
    <w:p w:rsidR="009A1471" w:rsidRDefault="00B81218" w:rsidP="0010541F">
      <w:pPr>
        <w:rPr>
          <w:b/>
        </w:rPr>
      </w:pPr>
      <w:r>
        <w:rPr>
          <w:b/>
        </w:rPr>
        <w:t>Temples</w:t>
      </w:r>
    </w:p>
    <w:p w:rsidR="00D767E3" w:rsidRDefault="00B81218" w:rsidP="0010541F">
      <w:r>
        <w:t xml:space="preserve">The </w:t>
      </w:r>
      <w:proofErr w:type="gramStart"/>
      <w:r>
        <w:t>temples</w:t>
      </w:r>
      <w:r w:rsidR="0049312E">
        <w:t xml:space="preserve"> </w:t>
      </w:r>
      <w:r>
        <w:t>,</w:t>
      </w:r>
      <w:proofErr w:type="gramEnd"/>
      <w:r>
        <w:t xml:space="preserve"> some of which were vast</w:t>
      </w:r>
      <w:r w:rsidR="0049312E">
        <w:t>, had</w:t>
      </w:r>
      <w:r>
        <w:t xml:space="preserve"> been expanded over the course of several centuries</w:t>
      </w:r>
      <w:r w:rsidR="00D8078A">
        <w:rPr>
          <w:rStyle w:val="FootnoteReference"/>
        </w:rPr>
        <w:footnoteReference w:id="30"/>
      </w:r>
      <w:r>
        <w:t>.</w:t>
      </w:r>
      <w:r>
        <w:t xml:space="preserve">  </w:t>
      </w:r>
      <w:r w:rsidR="005278F1">
        <w:t xml:space="preserve">During the five centuries spanning the </w:t>
      </w:r>
      <w:r w:rsidR="00D8078A">
        <w:t>third</w:t>
      </w:r>
      <w:r w:rsidR="00D8078A">
        <w:rPr>
          <w:rStyle w:val="FootnoteReference"/>
        </w:rPr>
        <w:footnoteReference w:id="31"/>
      </w:r>
      <w:r w:rsidR="005278F1">
        <w:t xml:space="preserve"> century BCE and the second century CE, a series of major temples and sanctuaries were erected, demonstrating the robustness of traditional religion under first Greek, and then Roman rule.   Respect for tradition </w:t>
      </w:r>
      <w:r w:rsidR="00025F10">
        <w:t>accounts for the fact that decoration and temple plans remained almost unchanged from the time of the New Kingdom to the Roman per</w:t>
      </w:r>
      <w:r w:rsidR="00D8078A">
        <w:t>iod</w:t>
      </w:r>
      <w:r w:rsidR="00025F10">
        <w:t>.  Given the size and scope of some of the temple complexes, it is also probable that, while mostly financed by temple funds, the emperor would have at least subsidised some of the cost</w:t>
      </w:r>
      <w:r w:rsidR="00D8078A">
        <w:rPr>
          <w:rStyle w:val="FootnoteReference"/>
        </w:rPr>
        <w:footnoteReference w:id="32"/>
      </w:r>
      <w:r w:rsidR="00477FDC">
        <w:t>.</w:t>
      </w:r>
      <w:r w:rsidR="00D767E3">
        <w:t xml:space="preserve">  </w:t>
      </w:r>
    </w:p>
    <w:p w:rsidR="005278F1" w:rsidRPr="00DC2744" w:rsidRDefault="00D767E3" w:rsidP="0010541F">
      <w:r>
        <w:lastRenderedPageBreak/>
        <w:t>It was mentioned above that the use of the term ‘</w:t>
      </w:r>
      <w:proofErr w:type="spellStart"/>
      <w:r>
        <w:t>Graeco</w:t>
      </w:r>
      <w:proofErr w:type="spellEnd"/>
      <w:r>
        <w:t>-Roman’ can be misleading.  However, when contemplating the construction of indigenous temple buildings, it is less necessary to avoid the implication of continuity that the term suggests as, in fact, there were instances where continuity did take place</w:t>
      </w:r>
      <w:r w:rsidR="00D8078A">
        <w:rPr>
          <w:rStyle w:val="FootnoteReference"/>
        </w:rPr>
        <w:footnoteReference w:id="33"/>
      </w:r>
      <w:r w:rsidR="00D8078A">
        <w:t>.</w:t>
      </w:r>
      <w:r w:rsidR="00DC2744">
        <w:t xml:space="preserve">  </w:t>
      </w:r>
      <w:r w:rsidR="00DC2744">
        <w:t xml:space="preserve">The temple was a representation of the world outside, with the founding and building of a temple echoing creation itself and establishing </w:t>
      </w:r>
      <w:proofErr w:type="spellStart"/>
      <w:r w:rsidR="00DC2744" w:rsidRPr="00594BEB">
        <w:rPr>
          <w:i/>
        </w:rPr>
        <w:t>maat</w:t>
      </w:r>
      <w:proofErr w:type="spellEnd"/>
      <w:r w:rsidR="00DC2744">
        <w:t xml:space="preserve">.  Within, the temple walls portrayed the emperor, in </w:t>
      </w:r>
      <w:proofErr w:type="spellStart"/>
      <w:r w:rsidR="00DC2744">
        <w:t>pharaonic</w:t>
      </w:r>
      <w:proofErr w:type="spellEnd"/>
      <w:r w:rsidR="00DC2744">
        <w:t xml:space="preserve"> regalia, making offerings to various deities or performing</w:t>
      </w:r>
      <w:r w:rsidR="00DC2744">
        <w:t xml:space="preserve"> symbolic </w:t>
      </w:r>
      <w:r w:rsidR="00DC2744">
        <w:t>acts which could</w:t>
      </w:r>
      <w:r w:rsidR="009E4936">
        <w:t xml:space="preserve"> be considered as offerings</w:t>
      </w:r>
      <w:r w:rsidR="009E4936">
        <w:rPr>
          <w:rStyle w:val="FootnoteReference"/>
        </w:rPr>
        <w:footnoteReference w:id="34"/>
      </w:r>
      <w:r w:rsidR="009E4936">
        <w:t>.</w:t>
      </w:r>
      <w:r w:rsidR="00DC2744">
        <w:t>It was necessary that the pharaoh be shown per</w:t>
      </w:r>
      <w:r w:rsidR="00DC2744">
        <w:t>f</w:t>
      </w:r>
      <w:r w:rsidR="00DC2744">
        <w:t>orming these rituals to ensure the continued existence of Egypt</w:t>
      </w:r>
      <w:r w:rsidR="009E4936">
        <w:rPr>
          <w:rStyle w:val="FootnoteReference"/>
        </w:rPr>
        <w:footnoteReference w:id="35"/>
      </w:r>
      <w:r w:rsidR="009E4936">
        <w:t>.</w:t>
      </w:r>
      <w:r w:rsidR="00DC2744">
        <w:t xml:space="preserve">  A temple gate, dating back to</w:t>
      </w:r>
      <w:r w:rsidR="00DC2744">
        <w:t xml:space="preserve"> before</w:t>
      </w:r>
      <w:r w:rsidR="00DC2744">
        <w:t xml:space="preserve"> the beginning of Octavian-Augustus’ rule shows ritual scenes of him making offerings to deities, although he is not known to have actually done so himself; it was, however, an important conceit for the</w:t>
      </w:r>
      <w:r w:rsidR="00DC2744">
        <w:t xml:space="preserve"> priests to be able to show a ruler </w:t>
      </w:r>
      <w:r w:rsidR="00DC2744">
        <w:t>in the act of behaving as previous pharaohs had done</w:t>
      </w:r>
      <w:r w:rsidR="00DC2744">
        <w:t xml:space="preserve"> and from the start they treated him as such, even though, at the time he was only a Roman magistrate and thus unable to assume royal power</w:t>
      </w:r>
      <w:r w:rsidR="009E4936">
        <w:rPr>
          <w:rStyle w:val="FootnoteReference"/>
        </w:rPr>
        <w:footnoteReference w:id="36"/>
      </w:r>
      <w:r w:rsidR="00DC2744">
        <w:t>.</w:t>
      </w:r>
      <w:r w:rsidR="0049312E">
        <w:t xml:space="preserve">  </w:t>
      </w:r>
      <w:r w:rsidR="00DC2744">
        <w:t xml:space="preserve">Although a non-Egyptian, the Roman emperor was the high priest who delivered </w:t>
      </w:r>
      <w:proofErr w:type="spellStart"/>
      <w:r w:rsidR="00DC2744">
        <w:rPr>
          <w:i/>
        </w:rPr>
        <w:t>maat</w:t>
      </w:r>
      <w:proofErr w:type="spellEnd"/>
      <w:r w:rsidR="00DC2744">
        <w:t xml:space="preserve"> </w:t>
      </w:r>
      <w:r w:rsidR="009E4936">
        <w:t xml:space="preserve">(justice) </w:t>
      </w:r>
      <w:r w:rsidR="00DC2744">
        <w:t>and confronted the divinities to maintain order on earth;  the daily rituals, as has been noted, wer</w:t>
      </w:r>
      <w:r w:rsidR="0049312E">
        <w:t>e performed by the</w:t>
      </w:r>
      <w:r w:rsidR="00DC2744">
        <w:t xml:space="preserve"> temple priests and </w:t>
      </w:r>
      <w:r w:rsidR="002C23D4">
        <w:t>the emperor could be considered ‘conceptually dispensable’</w:t>
      </w:r>
      <w:r w:rsidR="009E4936">
        <w:rPr>
          <w:rStyle w:val="FootnoteReference"/>
        </w:rPr>
        <w:footnoteReference w:id="37"/>
      </w:r>
      <w:r w:rsidR="002C23D4">
        <w:t xml:space="preserve">.  Temple buildings, decorated within with images of the emperor in his priestly role, were built well into the Roman period, attested well </w:t>
      </w:r>
      <w:r w:rsidR="0049312E">
        <w:t>into the second century CE</w:t>
      </w:r>
      <w:r w:rsidR="009E4936">
        <w:t xml:space="preserve"> and even </w:t>
      </w:r>
      <w:r w:rsidR="002C23D4">
        <w:t>into the fourth century CE</w:t>
      </w:r>
      <w:r w:rsidR="009E4936">
        <w:t>, albeit on a lesser scale</w:t>
      </w:r>
      <w:r w:rsidR="002C23D4">
        <w:t>.</w:t>
      </w:r>
    </w:p>
    <w:p w:rsidR="009A1471" w:rsidRDefault="009A1471" w:rsidP="0010541F">
      <w:pPr>
        <w:rPr>
          <w:b/>
        </w:rPr>
      </w:pPr>
      <w:r>
        <w:rPr>
          <w:b/>
        </w:rPr>
        <w:t>The Cult of the Emperor in Egypt</w:t>
      </w:r>
    </w:p>
    <w:p w:rsidR="001F095B" w:rsidRDefault="001F095B" w:rsidP="001F095B">
      <w:r>
        <w:t xml:space="preserve">In </w:t>
      </w:r>
      <w:r w:rsidR="00477FDC">
        <w:rPr>
          <w:i/>
        </w:rPr>
        <w:t>Religion in R</w:t>
      </w:r>
      <w:r>
        <w:rPr>
          <w:i/>
        </w:rPr>
        <w:t>oman Egypt</w:t>
      </w:r>
      <w:r>
        <w:t xml:space="preserve">, </w:t>
      </w:r>
      <w:r w:rsidR="009E4936">
        <w:t xml:space="preserve">David </w:t>
      </w:r>
      <w:r>
        <w:t xml:space="preserve">Frankfurter argues that the cult of the Emperor in Egypt was couched mostly in </w:t>
      </w:r>
      <w:proofErr w:type="spellStart"/>
      <w:r>
        <w:t>pharaonic</w:t>
      </w:r>
      <w:proofErr w:type="spellEnd"/>
      <w:r>
        <w:t xml:space="preserve"> terms, in that the emperor was revered, and shown as offering sacrifice to the gods, rather than receiving worship, his images were placed amongst the ‘associated gods’ in temples and coins depicting the emperors in divine iconography, he does not see this as impacting local or popular piety to any significant degree, although it should be noted that he excepts Alexandria from this statement</w:t>
      </w:r>
      <w:r w:rsidR="009E4936">
        <w:rPr>
          <w:rStyle w:val="FootnoteReference"/>
        </w:rPr>
        <w:footnoteReference w:id="38"/>
      </w:r>
      <w:r w:rsidR="009E4936">
        <w:t xml:space="preserve">.  </w:t>
      </w:r>
      <w:r>
        <w:t xml:space="preserve">However, imperial temples are attested in both archaeology and papyri throughout Egypt.  Both </w:t>
      </w:r>
      <w:proofErr w:type="spellStart"/>
      <w:r>
        <w:rPr>
          <w:i/>
        </w:rPr>
        <w:t>sebasteia</w:t>
      </w:r>
      <w:proofErr w:type="spellEnd"/>
      <w:r>
        <w:t xml:space="preserve"> dedicated to Augustus, and </w:t>
      </w:r>
      <w:proofErr w:type="spellStart"/>
      <w:proofErr w:type="gramStart"/>
      <w:r>
        <w:rPr>
          <w:i/>
        </w:rPr>
        <w:t>caesarea</w:t>
      </w:r>
      <w:proofErr w:type="spellEnd"/>
      <w:proofErr w:type="gramEnd"/>
      <w:r>
        <w:t xml:space="preserve"> to Julius Caesar are known, and functioned both as administrative centres and as places for practice of the imperial cult</w:t>
      </w:r>
      <w:r w:rsidR="009E4936">
        <w:rPr>
          <w:rStyle w:val="FootnoteReference"/>
        </w:rPr>
        <w:footnoteReference w:id="39"/>
      </w:r>
      <w:r w:rsidR="009E4936">
        <w:t>.</w:t>
      </w:r>
    </w:p>
    <w:p w:rsidR="001F095B" w:rsidRPr="00FA5DCE" w:rsidRDefault="001F095B" w:rsidP="001F095B">
      <w:r>
        <w:t>The t</w:t>
      </w:r>
      <w:r w:rsidR="0049312E">
        <w:t>emple at Alexandria was built on the harbour in</w:t>
      </w:r>
      <w:r>
        <w:t xml:space="preserve"> such a position that it dominated the landscape.</w:t>
      </w:r>
      <w:r w:rsidR="0049312E">
        <w:t xml:space="preserve">  It</w:t>
      </w:r>
      <w:r>
        <w:t xml:space="preserve"> was begun by Cleopatra VII and later rededicated to Augustus</w:t>
      </w:r>
      <w:r w:rsidR="00B042BE">
        <w:rPr>
          <w:rStyle w:val="FootnoteReference"/>
        </w:rPr>
        <w:footnoteReference w:id="40"/>
      </w:r>
      <w:r w:rsidR="00B042BE">
        <w:t>.</w:t>
      </w:r>
      <w:r>
        <w:t xml:space="preserve">  Work on the Forum Augustus was completed by Gallus, the first prefect of Egypt.  Ev</w:t>
      </w:r>
      <w:r w:rsidR="0049312E">
        <w:t xml:space="preserve">idence suggests </w:t>
      </w:r>
      <w:r>
        <w:t xml:space="preserve">that </w:t>
      </w:r>
      <w:r w:rsidR="0049312E">
        <w:t>the temple resembled</w:t>
      </w:r>
      <w:r>
        <w:t xml:space="preserve"> official buildings in Rome itself</w:t>
      </w:r>
      <w:r w:rsidR="00B042BE">
        <w:rPr>
          <w:rStyle w:val="FootnoteReference"/>
        </w:rPr>
        <w:footnoteReference w:id="41"/>
      </w:r>
      <w:r w:rsidR="00B042BE">
        <w:t>.</w:t>
      </w:r>
      <w:r>
        <w:t xml:space="preserve"> All this points to the likelihood that the establishment of the cult of Augustus at Alexandria originated in Rome itself, although the c</w:t>
      </w:r>
      <w:r w:rsidR="0049312E">
        <w:t>itizens of Alexandria</w:t>
      </w:r>
      <w:r>
        <w:t xml:space="preserve"> were responsible for choosing the cult’s temple guardians from amongst themselves; a direct connection </w:t>
      </w:r>
      <w:r>
        <w:lastRenderedPageBreak/>
        <w:t>between Rome and Alexandria can be demonstrated by a letter from Claudius, outlining the proper procedures involved in selecting them</w:t>
      </w:r>
      <w:r w:rsidR="00B042BE">
        <w:rPr>
          <w:rStyle w:val="FootnoteReference"/>
        </w:rPr>
        <w:footnoteReference w:id="42"/>
      </w:r>
      <w:r w:rsidR="00B042BE">
        <w:t>.</w:t>
      </w:r>
    </w:p>
    <w:p w:rsidR="001F095B" w:rsidRDefault="001F095B" w:rsidP="001F095B">
      <w:r>
        <w:t xml:space="preserve">Another imperial temple is sited on the island of Philae in Upper Egypt; it dates from the same year as the </w:t>
      </w:r>
      <w:proofErr w:type="spellStart"/>
      <w:r>
        <w:t>Caesareum</w:t>
      </w:r>
      <w:proofErr w:type="spellEnd"/>
      <w:r>
        <w:t xml:space="preserve"> at Alexandria and stands on a podium.  A Doric </w:t>
      </w:r>
      <w:proofErr w:type="spellStart"/>
      <w:r>
        <w:t>triglyph</w:t>
      </w:r>
      <w:proofErr w:type="spellEnd"/>
      <w:r>
        <w:t>, Corinthian capitals and Attic bases form a composite contemporary style.  As such, it is an unusual example of Egyptian temple architecture</w:t>
      </w:r>
      <w:r w:rsidR="00B042BE">
        <w:rPr>
          <w:rStyle w:val="FootnoteReference"/>
        </w:rPr>
        <w:footnoteReference w:id="43"/>
      </w:r>
      <w:r w:rsidR="00B042BE">
        <w:t>.</w:t>
      </w:r>
      <w:r>
        <w:t xml:space="preserve">  Additionally, an imperial chapel at </w:t>
      </w:r>
      <w:proofErr w:type="spellStart"/>
      <w:r>
        <w:t>Karnak</w:t>
      </w:r>
      <w:proofErr w:type="spellEnd"/>
      <w:r>
        <w:t xml:space="preserve"> is supposedly also of the same time.  This temple stands outside the enclosure of the Egyptian temple, on the sacred way, thus relating it directly to the temple of </w:t>
      </w:r>
      <w:proofErr w:type="spellStart"/>
      <w:r>
        <w:t>Amun</w:t>
      </w:r>
      <w:proofErr w:type="spellEnd"/>
      <w:r>
        <w:t xml:space="preserve"> and sharing in the public cult which always took place on the approach to the temple</w:t>
      </w:r>
      <w:r w:rsidR="00512722">
        <w:t xml:space="preserve"> with the remains of more than a dozen statues of emperors in the </w:t>
      </w:r>
      <w:proofErr w:type="spellStart"/>
      <w:r w:rsidR="00512722">
        <w:t>cella</w:t>
      </w:r>
      <w:proofErr w:type="spellEnd"/>
      <w:r w:rsidR="00B042BE">
        <w:rPr>
          <w:rStyle w:val="FootnoteReference"/>
        </w:rPr>
        <w:footnoteReference w:id="44"/>
      </w:r>
      <w:r w:rsidR="00512722">
        <w:t>.</w:t>
      </w:r>
      <w:r>
        <w:t xml:space="preserve">  This appropriation of worship thus serves as a potent symbol of the power of the emperor, conflating him by association with no less a deity than </w:t>
      </w:r>
      <w:proofErr w:type="spellStart"/>
      <w:r>
        <w:t>Amun</w:t>
      </w:r>
      <w:proofErr w:type="spellEnd"/>
      <w:r>
        <w:t>, the King of the Gods himself.</w:t>
      </w:r>
      <w:r w:rsidR="00512722">
        <w:t xml:space="preserve"> </w:t>
      </w:r>
      <w:r w:rsidR="00E85C43">
        <w:t xml:space="preserve"> Frankfurter has argued</w:t>
      </w:r>
      <w:r w:rsidR="00E85C43">
        <w:t xml:space="preserve"> that worship of the Emperor in Egypt was done mostly in </w:t>
      </w:r>
      <w:proofErr w:type="spellStart"/>
      <w:r w:rsidR="00E85C43">
        <w:t>pharaonic</w:t>
      </w:r>
      <w:proofErr w:type="spellEnd"/>
      <w:r w:rsidR="00E85C43">
        <w:t xml:space="preserve"> terms, as offering sacrifice to the gods not receiving worship, while  his statues were amongst the ‘associated gods’ in temples</w:t>
      </w:r>
      <w:r w:rsidR="00B042BE">
        <w:rPr>
          <w:rStyle w:val="FootnoteReference"/>
        </w:rPr>
        <w:footnoteReference w:id="45"/>
      </w:r>
      <w:r w:rsidR="00E85C43">
        <w:t xml:space="preserve">.  </w:t>
      </w:r>
      <w:r w:rsidR="00E85C43">
        <w:t xml:space="preserve">Perhaps this accounts for the subtle and symbolic reinforcement of the emperor’s importance, distancing and differentiating himself from the Ptolemaic kings-as-Pharaohs by having his statues placed outside the chapel on the concourse near the temple of </w:t>
      </w:r>
      <w:proofErr w:type="spellStart"/>
      <w:r w:rsidR="00E85C43">
        <w:t>Amu</w:t>
      </w:r>
      <w:r w:rsidR="00E85C43">
        <w:t>n</w:t>
      </w:r>
      <w:proofErr w:type="spellEnd"/>
      <w:r w:rsidR="00E85C43">
        <w:t>,</w:t>
      </w:r>
      <w:r w:rsidR="00E85C43">
        <w:t xml:space="preserve"> rather than inside, as was Ptolemaic tradition, or perhaps it was simply a way of making a more potent statement, since this brought the figure of the emperor directly within sight of the general populace, something that happened with other gods only at festivals and when th</w:t>
      </w:r>
      <w:r w:rsidR="0049312E">
        <w:t>e gods were led in procession</w:t>
      </w:r>
      <w:r w:rsidR="00E85C43">
        <w:t xml:space="preserve">.  </w:t>
      </w:r>
      <w:r w:rsidR="00E85C43">
        <w:t>Moreover, the importance of the</w:t>
      </w:r>
      <w:r w:rsidR="00E85C43">
        <w:t xml:space="preserve"> location, close to the temple of the king of the gods, may in itself be significant as it associates the emperor with one of the most powerful of the traditional deities.</w:t>
      </w:r>
    </w:p>
    <w:p w:rsidR="001F095B" w:rsidRDefault="001F095B" w:rsidP="001F095B">
      <w:r>
        <w:t>There is a particular significance to these imperial temples; not only are the surviving examples all in prominent places and so highly visible, they are also of Roman design and are podium temples, a distinct change in the architecture generally used for temple building; temples to the Egyptian deities continued to be built in traditional Egyptian styles</w:t>
      </w:r>
      <w:r w:rsidR="00B042BE">
        <w:rPr>
          <w:rStyle w:val="FootnoteReference"/>
        </w:rPr>
        <w:footnoteReference w:id="46"/>
      </w:r>
      <w:r w:rsidR="00B042BE">
        <w:t>.</w:t>
      </w:r>
    </w:p>
    <w:p w:rsidR="00512722" w:rsidRDefault="00B202D4" w:rsidP="001F095B">
      <w:pPr>
        <w:rPr>
          <w:b/>
        </w:rPr>
      </w:pPr>
      <w:r>
        <w:rPr>
          <w:b/>
        </w:rPr>
        <w:t>A Statue of Horus in Roman Military Costume</w:t>
      </w:r>
    </w:p>
    <w:p w:rsidR="00B202D4" w:rsidRDefault="00B202D4" w:rsidP="00B202D4">
      <w:r>
        <w:t xml:space="preserve">There is, in the British Museum, a limestone statue of the god Horus in </w:t>
      </w:r>
      <w:proofErr w:type="spellStart"/>
      <w:r>
        <w:t>Graeco</w:t>
      </w:r>
      <w:proofErr w:type="spellEnd"/>
      <w:r>
        <w:t>-Roman style</w:t>
      </w:r>
      <w:r w:rsidR="00B042BE">
        <w:rPr>
          <w:rStyle w:val="FootnoteReference"/>
        </w:rPr>
        <w:footnoteReference w:id="47"/>
      </w:r>
      <w:proofErr w:type="gramStart"/>
      <w:r w:rsidR="00B042BE">
        <w:t>.(</w:t>
      </w:r>
      <w:proofErr w:type="gramEnd"/>
      <w:r>
        <w:t xml:space="preserve">Dating from sometime between the first and third centuries CE, it once wore a crown and traces of </w:t>
      </w:r>
      <w:r w:rsidR="00B042BE">
        <w:t>paint can still be seen.(figure 1)</w:t>
      </w:r>
      <w:r>
        <w:t xml:space="preserve"> It is a little mo</w:t>
      </w:r>
      <w:r w:rsidR="00F226E2">
        <w:t>r</w:t>
      </w:r>
      <w:r w:rsidR="00B042BE">
        <w:t>e than a metre high.</w:t>
      </w:r>
      <w:r w:rsidR="00F226E2">
        <w:t xml:space="preserve">  The god</w:t>
      </w:r>
      <w:r>
        <w:t xml:space="preserve"> is seated on a throne and dressed in Roman military-style garments; the breast feathers have been stylistically portrayed to suggest chain mail, and the god wears a cloak.  The arms and hands are missing, but the head is carved in detail; the statue has hair and a central parting, the ears are finely carved and the human eyes, in close-up, have a suggestion of eyelashes.  The face is detailed with fine feathering. On the very human feet are a pair of decorated military sandals.  The figure wears a belt, and military cloak, which fastens on the right shoulder with a round fibulae and whish is pushed to the back of the statue.  The legs are draped in a separate garment.  The pose is relaxed and reminiscent of </w:t>
      </w:r>
      <w:proofErr w:type="spellStart"/>
      <w:r>
        <w:t>Graeco</w:t>
      </w:r>
      <w:proofErr w:type="spellEnd"/>
      <w:r>
        <w:t xml:space="preserve">-Roman deistic representations, while traditional depictions of Egyptian deities are formal and stiff.   </w:t>
      </w:r>
      <w:r>
        <w:lastRenderedPageBreak/>
        <w:t>Deities such as Horus, too, were traditionally depicted as barefoot, even after sandals had started to be worn by the general populace</w:t>
      </w:r>
      <w:r w:rsidR="00B042BE">
        <w:rPr>
          <w:rStyle w:val="FootnoteReference"/>
        </w:rPr>
        <w:footnoteReference w:id="48"/>
      </w:r>
      <w:r>
        <w:t xml:space="preserve">.   Taken all together, the figure is a very suggestive melding of god and mortal, hawk and human which goes beyond the usual Egyptian anthropomorphism, where stylistically the heads are totally animal and the bodies entirely human and suggests a development in ways of depicting the gods more in keeping with Roman practice than with Egyptian representations. </w:t>
      </w:r>
    </w:p>
    <w:p w:rsidR="00B042BE" w:rsidRDefault="00B042BE" w:rsidP="00B202D4"/>
    <w:p w:rsidR="00B042BE" w:rsidRDefault="00B042BE" w:rsidP="00B202D4"/>
    <w:p w:rsidR="00B042BE" w:rsidRDefault="00B042BE" w:rsidP="00B202D4">
      <w:r>
        <w:rPr>
          <w:noProof/>
          <w:lang w:eastAsia="en-GB"/>
        </w:rPr>
        <w:drawing>
          <wp:inline distT="0" distB="0" distL="0" distR="0" wp14:anchorId="44804048" wp14:editId="072EF190">
            <wp:extent cx="3207545" cy="4276725"/>
            <wp:effectExtent l="0" t="0" r="0" b="0"/>
            <wp:docPr id="1" name="Picture 1" descr="Limestone seated figure of Horus wearing Roman military costume; traces of paint; arms lost. The falcon head is rendered with careful attention to the feathering around the face; the eyes are human and the pupils are incised. The figure wears a cloak f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mestone seated figure of Horus wearing Roman military costume; traces of paint; arms lost. The falcon head is rendered with careful attention to the feathering around the face; the eyes are human and the pupils are incised. The figure wears a cloak fa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1255" cy="4295005"/>
                    </a:xfrm>
                    <a:prstGeom prst="rect">
                      <a:avLst/>
                    </a:prstGeom>
                    <a:noFill/>
                    <a:ln>
                      <a:noFill/>
                    </a:ln>
                  </pic:spPr>
                </pic:pic>
              </a:graphicData>
            </a:graphic>
          </wp:inline>
        </w:drawing>
      </w:r>
    </w:p>
    <w:p w:rsidR="00B042BE" w:rsidRPr="00B042BE" w:rsidRDefault="00B042BE" w:rsidP="00B202D4">
      <w:pPr>
        <w:rPr>
          <w:i/>
        </w:rPr>
      </w:pPr>
      <w:r>
        <w:rPr>
          <w:i/>
        </w:rPr>
        <w:t>Fig.1. Statue of Horus in Roman costume.  Image copyright British Museum</w:t>
      </w:r>
    </w:p>
    <w:p w:rsidR="00B202D4" w:rsidRPr="00847291" w:rsidRDefault="00B202D4" w:rsidP="00B202D4">
      <w:r>
        <w:t>In traditional Egyptian belief, Horus was the son of Osiris, God of the Dead, and Isis. As such he was both successor and avenger of his father, and was closely coupled with the pharaoh, who</w:t>
      </w:r>
      <w:r w:rsidR="00F226E2">
        <w:t xml:space="preserve"> took on Horus’ aspect of divinity </w:t>
      </w:r>
      <w:r>
        <w:t xml:space="preserve">and whose task, divinely given, was to promote </w:t>
      </w:r>
      <w:proofErr w:type="spellStart"/>
      <w:r w:rsidR="0057726F">
        <w:rPr>
          <w:i/>
        </w:rPr>
        <w:t>m</w:t>
      </w:r>
      <w:r w:rsidRPr="0057726F">
        <w:rPr>
          <w:i/>
        </w:rPr>
        <w:t>aat</w:t>
      </w:r>
      <w:proofErr w:type="spellEnd"/>
      <w:r w:rsidR="00F226E2">
        <w:t xml:space="preserve"> – justice, truth and order –</w:t>
      </w:r>
      <w:r>
        <w:t xml:space="preserve"> and annihilate </w:t>
      </w:r>
      <w:proofErr w:type="spellStart"/>
      <w:r w:rsidRPr="0057726F">
        <w:rPr>
          <w:i/>
        </w:rPr>
        <w:t>isfet</w:t>
      </w:r>
      <w:proofErr w:type="spellEnd"/>
      <w:r w:rsidR="00F226E2">
        <w:t xml:space="preserve"> – injustice, lies and disorder</w:t>
      </w:r>
      <w:r w:rsidR="0057726F">
        <w:rPr>
          <w:rStyle w:val="FootnoteReference"/>
        </w:rPr>
        <w:footnoteReference w:id="49"/>
      </w:r>
      <w:r w:rsidR="0057726F">
        <w:rPr>
          <w:rStyle w:val="FootnoteReference"/>
        </w:rPr>
        <w:footnoteReference w:id="50"/>
      </w:r>
      <w:r>
        <w:rPr>
          <w:rFonts w:ascii="Code" w:hAnsi="Code" w:cs="Code"/>
          <w:color w:val="000000"/>
          <w:sz w:val="24"/>
          <w:szCs w:val="24"/>
        </w:rPr>
        <w:t>.</w:t>
      </w:r>
      <w:r w:rsidR="007405BA" w:rsidRPr="007405BA">
        <w:t xml:space="preserve"> </w:t>
      </w:r>
      <w:r w:rsidR="007405BA">
        <w:t xml:space="preserve">It is </w:t>
      </w:r>
      <w:r w:rsidR="007405BA">
        <w:t xml:space="preserve">also </w:t>
      </w:r>
      <w:r w:rsidR="007405BA">
        <w:t xml:space="preserve">worth noting that the godly family of Osiris, Isis and Horus could be roughly equated to the </w:t>
      </w:r>
      <w:proofErr w:type="spellStart"/>
      <w:r w:rsidR="007405BA">
        <w:t>Captitoline</w:t>
      </w:r>
      <w:proofErr w:type="spellEnd"/>
      <w:r w:rsidR="007405BA">
        <w:t xml:space="preserve"> Triad</w:t>
      </w:r>
      <w:r w:rsidR="007405BA">
        <w:t xml:space="preserve"> of Rome and which was also a feature of many Roman provinces</w:t>
      </w:r>
      <w:r w:rsidR="007405BA">
        <w:t>.  But here in Egypt, the opportunity for the emperor to assimilate his deistic persona directly to Horus, one of the major triad of gods,</w:t>
      </w:r>
      <w:r w:rsidR="007405BA">
        <w:t xml:space="preserve"> this repetition of a </w:t>
      </w:r>
      <w:r w:rsidR="007405BA">
        <w:lastRenderedPageBreak/>
        <w:t>triad of gods and the emperor’s conflation with Horus</w:t>
      </w:r>
      <w:r w:rsidR="007405BA">
        <w:t xml:space="preserve"> lent even more symbolic potency to the imagery.</w:t>
      </w:r>
      <w:r>
        <w:rPr>
          <w:rFonts w:ascii="Code" w:hAnsi="Code" w:cs="Code"/>
          <w:color w:val="000000"/>
          <w:sz w:val="24"/>
          <w:szCs w:val="24"/>
        </w:rPr>
        <w:t xml:space="preserve">  </w:t>
      </w:r>
    </w:p>
    <w:p w:rsidR="001F095B" w:rsidRDefault="00B202D4" w:rsidP="0010541F">
      <w:pPr>
        <w:rPr>
          <w:b/>
        </w:rPr>
      </w:pPr>
      <w:r w:rsidRPr="00847291">
        <w:t xml:space="preserve"> </w:t>
      </w:r>
      <w:proofErr w:type="spellStart"/>
      <w:r w:rsidRPr="00847291">
        <w:t>Kantorowicz</w:t>
      </w:r>
      <w:proofErr w:type="spellEnd"/>
      <w:r>
        <w:t xml:space="preserve"> in his article ‘Gods in Armour’ notes that it was not uncommon for Egyptians to represent </w:t>
      </w:r>
      <w:proofErr w:type="spellStart"/>
      <w:r>
        <w:t>Graeco</w:t>
      </w:r>
      <w:proofErr w:type="spellEnd"/>
      <w:r>
        <w:t>-Egyptian gods in military style,</w:t>
      </w:r>
      <w:r w:rsidR="0057726F">
        <w:t xml:space="preserve"> especially in Roman times</w:t>
      </w:r>
      <w:r>
        <w:t xml:space="preserve">.  He comments on such </w:t>
      </w:r>
      <w:proofErr w:type="spellStart"/>
      <w:r>
        <w:t>therianthropic</w:t>
      </w:r>
      <w:proofErr w:type="spellEnd"/>
      <w:r>
        <w:t xml:space="preserve"> hawk-headed Horus figures that: ‘The type is quite frequent’</w:t>
      </w:r>
      <w:r w:rsidR="0057726F">
        <w:rPr>
          <w:rStyle w:val="FootnoteReference"/>
        </w:rPr>
        <w:footnoteReference w:id="51"/>
      </w:r>
      <w:r w:rsidR="0057726F">
        <w:t>.  Moreover, Frankfurter notes</w:t>
      </w:r>
      <w:r>
        <w:t xml:space="preserve"> ‘…the gods of Egypt began to appear in armour… especially Horus, ever the avenger of Osiris… the very expression of royal protection… the image of a victorious emperor…’</w:t>
      </w:r>
      <w:r w:rsidR="0057726F">
        <w:rPr>
          <w:rStyle w:val="FootnoteReference"/>
        </w:rPr>
        <w:footnoteReference w:id="52"/>
      </w:r>
      <w:r>
        <w:t>.</w:t>
      </w:r>
    </w:p>
    <w:p w:rsidR="009A1471" w:rsidRPr="009A1471" w:rsidRDefault="009A1471" w:rsidP="0010541F">
      <w:pPr>
        <w:rPr>
          <w:b/>
        </w:rPr>
      </w:pPr>
      <w:r>
        <w:rPr>
          <w:b/>
        </w:rPr>
        <w:t>Burial Practices</w:t>
      </w:r>
      <w:r w:rsidR="00B81218">
        <w:rPr>
          <w:b/>
        </w:rPr>
        <w:t xml:space="preserve"> and Mummy Portraits</w:t>
      </w:r>
    </w:p>
    <w:p w:rsidR="00B202D4" w:rsidRDefault="00B202D4" w:rsidP="00B202D4">
      <w:r>
        <w:t>Burial practices in Ancient Egypt centred on mummification, a practice attested as earl as the middle of the fourth millennium BCE and which continued to be practised during the Roman period, although techniques changed</w:t>
      </w:r>
      <w:r w:rsidR="0057726F">
        <w:rPr>
          <w:rStyle w:val="FootnoteReference"/>
        </w:rPr>
        <w:footnoteReference w:id="53"/>
      </w:r>
      <w:r w:rsidR="0057726F">
        <w:t xml:space="preserve">.  John </w:t>
      </w:r>
      <w:r>
        <w:t xml:space="preserve">Taylor, writing in </w:t>
      </w:r>
      <w:r>
        <w:rPr>
          <w:i/>
        </w:rPr>
        <w:t>Ancient Faces</w:t>
      </w:r>
      <w:r>
        <w:t>, considers the Roman period mummification procedures inferior to earlier times, with bodies subject to decay before embalming began, with resin being used in large quantities to replace proper embalming practice, and with more care given to outward presentation than to preserving the body</w:t>
      </w:r>
      <w:r w:rsidR="0057726F">
        <w:rPr>
          <w:rStyle w:val="FootnoteReference"/>
        </w:rPr>
        <w:footnoteReference w:id="54"/>
      </w:r>
      <w:r>
        <w:t>.  However, this apparent decline is based</w:t>
      </w:r>
      <w:r w:rsidR="0057726F">
        <w:t xml:space="preserve"> on research on approximately </w:t>
      </w:r>
      <w:proofErr w:type="spellStart"/>
      <w:r w:rsidR="0057726F">
        <w:t>fift</w:t>
      </w:r>
      <w:proofErr w:type="spellEnd"/>
      <w:r>
        <w:t xml:space="preserve"> Roman examples and cannot be considered representative and it is more likely due to cost-cutting exercises which appear to have taken place through all periods</w:t>
      </w:r>
      <w:r w:rsidR="0057726F">
        <w:rPr>
          <w:rStyle w:val="FootnoteReference"/>
        </w:rPr>
        <w:footnoteReference w:id="55"/>
      </w:r>
      <w:r w:rsidR="0057726F">
        <w:t>.</w:t>
      </w:r>
      <w:r>
        <w:t xml:space="preserve"> Several developments in burial practices can be attested to in the Roman period. </w:t>
      </w:r>
      <w:r w:rsidRPr="0057726F">
        <w:t>Alternative burial texts, such as the two Books of Breathing, take the place of the Book of the Dead</w:t>
      </w:r>
      <w:r w:rsidR="0057726F">
        <w:t>.</w:t>
      </w:r>
      <w:r w:rsidR="0057726F">
        <w:rPr>
          <w:rStyle w:val="FootnoteReference"/>
        </w:rPr>
        <w:footnoteReference w:id="56"/>
      </w:r>
      <w:r w:rsidR="0057726F">
        <w:t>.M</w:t>
      </w:r>
      <w:r>
        <w:t>ummies with limbs extended and wrapped individually are found, some of which have painted face-wrappings</w:t>
      </w:r>
      <w:r w:rsidR="0057726F">
        <w:rPr>
          <w:rStyle w:val="FootnoteReference"/>
        </w:rPr>
        <w:footnoteReference w:id="57"/>
      </w:r>
      <w:r>
        <w:t>.  Gold was considered important in traditional Egyptian funerary practice; as the colour of the sun-god, it would aid the transition of the dead to the afterlife, and gold-coloured coffins or masks were the norm.  However, in the Roman period, gilding the body with thin gold leaf became common</w:t>
      </w:r>
      <w:r w:rsidR="0057726F">
        <w:rPr>
          <w:rStyle w:val="FootnoteReference"/>
        </w:rPr>
        <w:footnoteReference w:id="58"/>
      </w:r>
      <w:r>
        <w:t xml:space="preserve">.  These changes, along with practices of </w:t>
      </w:r>
      <w:proofErr w:type="spellStart"/>
      <w:r>
        <w:t>exce</w:t>
      </w:r>
      <w:r w:rsidR="001C1DFE">
        <w:t>re</w:t>
      </w:r>
      <w:r>
        <w:t>bration</w:t>
      </w:r>
      <w:proofErr w:type="spellEnd"/>
      <w:r>
        <w:t>, evisceration, and abundant use of resins and linens, seem to indicate generally high standards of embalming, but quite possibly at a prohibitively expensive cost</w:t>
      </w:r>
      <w:r w:rsidR="0057726F">
        <w:rPr>
          <w:rStyle w:val="FootnoteReference"/>
        </w:rPr>
        <w:footnoteReference w:id="59"/>
      </w:r>
      <w:r>
        <w:t>.</w:t>
      </w:r>
    </w:p>
    <w:p w:rsidR="00B202D4" w:rsidRDefault="00B202D4" w:rsidP="00B202D4">
      <w:r>
        <w:t xml:space="preserve">A further development in funerary representation takes the form of mummy portraits.  </w:t>
      </w:r>
      <w:r w:rsidRPr="00463F98">
        <w:t>Funerary masks survive from the Middle Kingdom (2100-1800 BCE) with representations of the deceased rendered in idealised fashion fitting for the afterlife and the tradition continued until the first century CE, when a dramatic change took place and more realistic plaster masks began to appear</w:t>
      </w:r>
      <w:r w:rsidR="0057726F">
        <w:rPr>
          <w:rStyle w:val="FootnoteReference"/>
        </w:rPr>
        <w:footnoteReference w:id="60"/>
      </w:r>
      <w:r w:rsidR="0057726F">
        <w:t>.</w:t>
      </w:r>
      <w:r w:rsidRPr="00463F98">
        <w:t xml:space="preserve">  In parallel with this innovation, painted portraits on wood panels placed over the face of the mummy began to appear.  It has been argued that these portraits had been painted during the lifetime of the subject and posthumously embellished and used as part of the burial</w:t>
      </w:r>
      <w:r w:rsidR="0057726F">
        <w:rPr>
          <w:rStyle w:val="FootnoteReference"/>
        </w:rPr>
        <w:footnoteReference w:id="61"/>
      </w:r>
      <w:r w:rsidRPr="00463F98">
        <w:t xml:space="preserve">. The fact that so many of the surviving </w:t>
      </w:r>
      <w:r>
        <w:t>portraits are of young people would seem to support this idea, but the</w:t>
      </w:r>
      <w:r w:rsidRPr="00463F98">
        <w:t xml:space="preserve">re </w:t>
      </w:r>
      <w:r w:rsidRPr="00463F98">
        <w:lastRenderedPageBreak/>
        <w:t>are pro</w:t>
      </w:r>
      <w:r>
        <w:t>blems with this theory.  To start with,</w:t>
      </w:r>
      <w:r w:rsidRPr="00463F98">
        <w:t xml:space="preserve"> it fails to take into account </w:t>
      </w:r>
      <w:r>
        <w:t>portraits of children, and CAT scans have shown correlation between the portrait and its associated remains</w:t>
      </w:r>
      <w:r w:rsidR="0057726F">
        <w:rPr>
          <w:rStyle w:val="FootnoteReference"/>
        </w:rPr>
        <w:footnoteReference w:id="62"/>
      </w:r>
      <w:r>
        <w:t xml:space="preserve">. </w:t>
      </w:r>
    </w:p>
    <w:p w:rsidR="00B202D4" w:rsidRDefault="00B202D4" w:rsidP="00B202D4">
      <w:r>
        <w:t xml:space="preserve">Details in the mummy portraits provide a means of dating them, in some cases to within a decade; in her book </w:t>
      </w:r>
      <w:r>
        <w:rPr>
          <w:i/>
        </w:rPr>
        <w:t xml:space="preserve">Ancient Faces, </w:t>
      </w:r>
      <w:r>
        <w:t xml:space="preserve">Walker notes that </w:t>
      </w:r>
      <w:r w:rsidRPr="00D80FC3">
        <w:t>hairstyles</w:t>
      </w:r>
      <w:r>
        <w:t>, clothing and jewellery reflect the fashions in Rome and that the subjects were perhaps involved in local administration for the Romans which motivated them to take up the styles of Rome</w:t>
      </w:r>
      <w:r w:rsidR="0057726F">
        <w:rPr>
          <w:rStyle w:val="FootnoteReference"/>
        </w:rPr>
        <w:footnoteReference w:id="63"/>
      </w:r>
      <w:r>
        <w:t>.   She argues that it is possible that the portraits were first carried in procession at the funeral of the deceased, which would also explain the existence of multiple portraits or double-sided panels</w:t>
      </w:r>
      <w:r w:rsidR="0057726F">
        <w:rPr>
          <w:rStyle w:val="FootnoteReference"/>
        </w:rPr>
        <w:footnoteReference w:id="64"/>
      </w:r>
      <w:r>
        <w:t>.</w:t>
      </w:r>
    </w:p>
    <w:p w:rsidR="00B202D4" w:rsidRDefault="00B202D4" w:rsidP="00B202D4">
      <w:r>
        <w:t>The mummies are portrayed in garments such as they wore in life.  During the first century CE, they seem to prefer Roman dress, with t</w:t>
      </w:r>
      <w:r w:rsidR="0057726F">
        <w:t xml:space="preserve">he </w:t>
      </w:r>
      <w:proofErr w:type="spellStart"/>
      <w:r w:rsidR="0057726F">
        <w:t>clavus</w:t>
      </w:r>
      <w:proofErr w:type="spellEnd"/>
      <w:r w:rsidR="0057726F">
        <w:t xml:space="preserve"> </w:t>
      </w:r>
      <w:r>
        <w:t xml:space="preserve">much in evidence; in Rome, this specified rank and status.  However the usage here is most likely a way to show an affinity with Roman culture and as an expression of loyalty.  Later, in the second century CE, the portraits adopt more Greek styles and mummies from </w:t>
      </w:r>
      <w:proofErr w:type="spellStart"/>
      <w:r>
        <w:t>Antinoopolis</w:t>
      </w:r>
      <w:proofErr w:type="spellEnd"/>
      <w:r>
        <w:t xml:space="preserve"> – founded by Hadrian in memoriam of the Bithynian </w:t>
      </w:r>
      <w:proofErr w:type="spellStart"/>
      <w:r>
        <w:t>Antinous</w:t>
      </w:r>
      <w:proofErr w:type="spellEnd"/>
      <w:r w:rsidR="0057726F">
        <w:t xml:space="preserve"> who drowned in CE 130 </w:t>
      </w:r>
      <w:r>
        <w:t xml:space="preserve"> –</w:t>
      </w:r>
      <w:r w:rsidR="0057726F">
        <w:t xml:space="preserve"> </w:t>
      </w:r>
      <w:r>
        <w:t>followed Greek fashions closely in order to emphasise their classical past</w:t>
      </w:r>
      <w:r w:rsidR="0057726F">
        <w:rPr>
          <w:rStyle w:val="FootnoteReference"/>
        </w:rPr>
        <w:footnoteReference w:id="65"/>
      </w:r>
      <w:r>
        <w:t xml:space="preserve">.  </w:t>
      </w:r>
    </w:p>
    <w:p w:rsidR="00EC35CC" w:rsidRDefault="00EC35CC" w:rsidP="00B202D4">
      <w:pPr>
        <w:rPr>
          <w:b/>
        </w:rPr>
      </w:pPr>
      <w:r>
        <w:rPr>
          <w:b/>
        </w:rPr>
        <w:t>Conclusion</w:t>
      </w:r>
    </w:p>
    <w:p w:rsidR="00EC35CC" w:rsidRPr="00EC35CC" w:rsidRDefault="00EC35CC" w:rsidP="00B202D4">
      <w:r>
        <w:t>Although some have argued that religious practices in Egypt continued with hardly any alteration, while this is undeniably true in the widest sense, there are instances which demonstrate that the actual situation was rather more nuanced.  It has been shown that changes in administration had impacted the priesthood and that the building of imperial temples in Roman style were prominent additio</w:t>
      </w:r>
      <w:r w:rsidR="0057726F">
        <w:t>ns to temple complexes in Egypt even as the Romans continued building temples in traditional Egyptian style.  Changes in burial techniques, in the presentation of mummies took place during the Roman period and it seems to be that continuity and change go hand-in-hand during this interesting period of Egyptian, and Roman history.</w:t>
      </w:r>
    </w:p>
    <w:p w:rsidR="009A1471" w:rsidRDefault="009A1471" w:rsidP="0010541F"/>
    <w:p w:rsidR="00D51317" w:rsidRPr="00BB683B" w:rsidRDefault="00D51317" w:rsidP="0010541F"/>
    <w:p w:rsidR="00046B7D" w:rsidRDefault="00046B7D">
      <w:r>
        <w:br w:type="page"/>
      </w:r>
    </w:p>
    <w:p w:rsidR="00046B7D" w:rsidRDefault="00046B7D" w:rsidP="00046B7D">
      <w:r>
        <w:lastRenderedPageBreak/>
        <w:t>Bibliography</w:t>
      </w:r>
    </w:p>
    <w:p w:rsidR="00046B7D" w:rsidRPr="00E36515" w:rsidRDefault="00046B7D" w:rsidP="00046B7D">
      <w:pPr>
        <w:rPr>
          <w:b/>
        </w:rPr>
      </w:pPr>
      <w:r w:rsidRPr="00E36515">
        <w:rPr>
          <w:b/>
        </w:rPr>
        <w:t>Modern Scholarship</w:t>
      </w:r>
    </w:p>
    <w:p w:rsidR="00046B7D" w:rsidRPr="005F36D1" w:rsidRDefault="00046B7D" w:rsidP="00046B7D">
      <w:proofErr w:type="spellStart"/>
      <w:r>
        <w:t>Assman</w:t>
      </w:r>
      <w:proofErr w:type="spellEnd"/>
      <w:r>
        <w:t>, J and Frankfurter, D</w:t>
      </w:r>
      <w:proofErr w:type="gramStart"/>
      <w:r>
        <w:t>,.</w:t>
      </w:r>
      <w:proofErr w:type="gramEnd"/>
      <w:r>
        <w:t xml:space="preserve"> 2007</w:t>
      </w:r>
      <w:proofErr w:type="gramStart"/>
      <w:r>
        <w:t xml:space="preserve">. </w:t>
      </w:r>
      <w:r w:rsidRPr="005F36D1">
        <w:t>,</w:t>
      </w:r>
      <w:proofErr w:type="gramEnd"/>
      <w:r w:rsidRPr="005F36D1">
        <w:t xml:space="preserve"> in S. Iles Johnston (ed.), </w:t>
      </w:r>
      <w:r w:rsidRPr="005F36D1">
        <w:rPr>
          <w:i/>
        </w:rPr>
        <w:t>Ancient Religions</w:t>
      </w:r>
      <w:r w:rsidRPr="005F36D1">
        <w:t xml:space="preserve">. Massachusetts &amp; </w:t>
      </w:r>
      <w:proofErr w:type="spellStart"/>
      <w:r w:rsidRPr="005F36D1">
        <w:t>London</w:t>
      </w:r>
      <w:proofErr w:type="gramStart"/>
      <w:r w:rsidRPr="005F36D1">
        <w:t>:Belknapp</w:t>
      </w:r>
      <w:proofErr w:type="spellEnd"/>
      <w:proofErr w:type="gramEnd"/>
      <w:r w:rsidRPr="005F36D1">
        <w:t xml:space="preserve"> Pr</w:t>
      </w:r>
      <w:r>
        <w:t>ess of Harvard University 155-164</w:t>
      </w:r>
    </w:p>
    <w:p w:rsidR="00046B7D" w:rsidRDefault="00046B7D" w:rsidP="00046B7D">
      <w:r w:rsidRPr="005F36D1">
        <w:t xml:space="preserve">Beard M.  North, J.  &amp; Price, S. 1998.  </w:t>
      </w:r>
      <w:r w:rsidRPr="005F36D1">
        <w:rPr>
          <w:i/>
        </w:rPr>
        <w:t>Religions of Rome</w:t>
      </w:r>
      <w:r w:rsidRPr="005F36D1">
        <w:t xml:space="preserve"> </w:t>
      </w:r>
      <w:proofErr w:type="spellStart"/>
      <w:r w:rsidRPr="005F36D1">
        <w:t>vol</w:t>
      </w:r>
      <w:proofErr w:type="spellEnd"/>
      <w:r w:rsidRPr="005F36D1">
        <w:t xml:space="preserve">, 1. </w:t>
      </w:r>
      <w:proofErr w:type="spellStart"/>
      <w:r w:rsidRPr="005F36D1">
        <w:t>Cambridge</w:t>
      </w:r>
      <w:proofErr w:type="gramStart"/>
      <w:r w:rsidRPr="005F36D1">
        <w:t>:Cambridge</w:t>
      </w:r>
      <w:proofErr w:type="spellEnd"/>
      <w:proofErr w:type="gramEnd"/>
      <w:r w:rsidRPr="005F36D1">
        <w:t xml:space="preserve"> University Press</w:t>
      </w:r>
    </w:p>
    <w:p w:rsidR="00046B7D" w:rsidRPr="0012581D" w:rsidRDefault="00046B7D" w:rsidP="00046B7D">
      <w:r>
        <w:t xml:space="preserve">Cooney, J. D. ‘Portraits from Roman Egypt’ in </w:t>
      </w:r>
      <w:r>
        <w:rPr>
          <w:i/>
        </w:rPr>
        <w:t xml:space="preserve">The Bulletin of the Cleveland Museum of </w:t>
      </w:r>
      <w:proofErr w:type="gramStart"/>
      <w:r>
        <w:rPr>
          <w:i/>
        </w:rPr>
        <w:t xml:space="preserve">Art </w:t>
      </w:r>
      <w:r>
        <w:t xml:space="preserve"> Vol</w:t>
      </w:r>
      <w:proofErr w:type="gramEnd"/>
      <w:r>
        <w:t>. 59. No. 2 (Feb 1972) 51-55</w:t>
      </w:r>
    </w:p>
    <w:p w:rsidR="00046B7D" w:rsidRDefault="00046B7D" w:rsidP="00046B7D">
      <w:proofErr w:type="spellStart"/>
      <w:r>
        <w:t>Dunand</w:t>
      </w:r>
      <w:proofErr w:type="spellEnd"/>
      <w:r>
        <w:t xml:space="preserve">, F. and </w:t>
      </w:r>
      <w:proofErr w:type="spellStart"/>
      <w:r>
        <w:t>Zivie-Coche</w:t>
      </w:r>
      <w:proofErr w:type="spellEnd"/>
      <w:r>
        <w:t xml:space="preserve">, (C. Trans. David Lorton). 2004. </w:t>
      </w:r>
      <w:r>
        <w:rPr>
          <w:i/>
        </w:rPr>
        <w:t>Gods and Men in Egypt</w:t>
      </w:r>
      <w:r>
        <w:t xml:space="preserve"> Ithaca &amp; London: Cornell University Press</w:t>
      </w:r>
    </w:p>
    <w:p w:rsidR="00046B7D" w:rsidRDefault="00046B7D" w:rsidP="00046B7D">
      <w:r>
        <w:t xml:space="preserve">Frankfurter, D. 1998 </w:t>
      </w:r>
      <w:r>
        <w:rPr>
          <w:i/>
        </w:rPr>
        <w:t xml:space="preserve">Religion in Roman </w:t>
      </w:r>
      <w:proofErr w:type="gramStart"/>
      <w:r>
        <w:rPr>
          <w:i/>
        </w:rPr>
        <w:t xml:space="preserve">Egypt </w:t>
      </w:r>
      <w:r>
        <w:t xml:space="preserve"> New</w:t>
      </w:r>
      <w:proofErr w:type="gramEnd"/>
      <w:r>
        <w:t xml:space="preserve"> Jersey: Princeton University Press</w:t>
      </w:r>
    </w:p>
    <w:p w:rsidR="00046B7D" w:rsidRDefault="00046B7D" w:rsidP="00046B7D">
      <w:r>
        <w:t>B. Gessler-</w:t>
      </w:r>
      <w:proofErr w:type="spellStart"/>
      <w:r>
        <w:t>Lohr</w:t>
      </w:r>
      <w:proofErr w:type="spellEnd"/>
      <w:r>
        <w:t xml:space="preserve"> ‘Mummies and Mummification’. 2012.  in </w:t>
      </w:r>
      <w:r>
        <w:rPr>
          <w:i/>
        </w:rPr>
        <w:t>The Oxford Handbook of Roman Egypt</w:t>
      </w:r>
      <w:r>
        <w:t xml:space="preserve"> Christina </w:t>
      </w:r>
      <w:proofErr w:type="gramStart"/>
      <w:r>
        <w:t>Riggs(</w:t>
      </w:r>
      <w:proofErr w:type="gramEnd"/>
      <w:r>
        <w:t>ed.)Oxford: Oxford University Press 664-683</w:t>
      </w:r>
    </w:p>
    <w:p w:rsidR="00046B7D" w:rsidRPr="0012581D" w:rsidRDefault="00046B7D" w:rsidP="00046B7D">
      <w:r>
        <w:t xml:space="preserve">E.H. </w:t>
      </w:r>
      <w:proofErr w:type="spellStart"/>
      <w:r>
        <w:t>Kantorowicz</w:t>
      </w:r>
      <w:proofErr w:type="spellEnd"/>
      <w:r>
        <w:t xml:space="preserve"> ‘Gods in Uniform’ in</w:t>
      </w:r>
      <w:r>
        <w:rPr>
          <w:i/>
        </w:rPr>
        <w:t xml:space="preserve"> Proceedings of the American Philosophical </w:t>
      </w:r>
      <w:proofErr w:type="gramStart"/>
      <w:r>
        <w:rPr>
          <w:i/>
        </w:rPr>
        <w:t xml:space="preserve">Society </w:t>
      </w:r>
      <w:r>
        <w:t xml:space="preserve"> Vol</w:t>
      </w:r>
      <w:proofErr w:type="gramEnd"/>
      <w:r>
        <w:t>. 105. No. 4 (Aug. 15 1961) 368-393</w:t>
      </w:r>
    </w:p>
    <w:p w:rsidR="00046B7D" w:rsidRDefault="00046B7D" w:rsidP="00046B7D">
      <w:r>
        <w:t>M. Minas-</w:t>
      </w:r>
      <w:proofErr w:type="spellStart"/>
      <w:r>
        <w:t>Nerpal</w:t>
      </w:r>
      <w:proofErr w:type="spellEnd"/>
      <w:r>
        <w:t xml:space="preserve"> ‘Egyptian Temples’. </w:t>
      </w:r>
      <w:r w:rsidRPr="00B833DF">
        <w:t>2012</w:t>
      </w:r>
      <w:r>
        <w:t>.</w:t>
      </w:r>
      <w:r w:rsidRPr="00B833DF">
        <w:t xml:space="preserve"> </w:t>
      </w:r>
      <w:r>
        <w:t>i</w:t>
      </w:r>
      <w:r w:rsidRPr="00B833DF">
        <w:t xml:space="preserve">n </w:t>
      </w:r>
      <w:r w:rsidRPr="00B833DF">
        <w:rPr>
          <w:i/>
        </w:rPr>
        <w:t>The Oxford Handbook of Roman Egypt</w:t>
      </w:r>
      <w:r w:rsidRPr="00B833DF">
        <w:t xml:space="preserve"> Christina </w:t>
      </w:r>
      <w:proofErr w:type="gramStart"/>
      <w:r w:rsidRPr="00B833DF">
        <w:t>Riggs(</w:t>
      </w:r>
      <w:proofErr w:type="gramEnd"/>
      <w:r w:rsidRPr="00B833DF">
        <w:t>ed.)Oxford: Oxford University Press</w:t>
      </w:r>
      <w:r>
        <w:t xml:space="preserve"> 362-382 </w:t>
      </w:r>
    </w:p>
    <w:p w:rsidR="00046B7D" w:rsidRPr="001207A2" w:rsidRDefault="00046B7D" w:rsidP="00046B7D">
      <w:r w:rsidRPr="001207A2">
        <w:rPr>
          <w:i/>
        </w:rPr>
        <w:t>The Oxford Handbook of Roman Egypt</w:t>
      </w:r>
      <w:r w:rsidRPr="001207A2">
        <w:t xml:space="preserve"> Christina </w:t>
      </w:r>
      <w:proofErr w:type="gramStart"/>
      <w:r w:rsidRPr="001207A2">
        <w:t>Riggs(</w:t>
      </w:r>
      <w:proofErr w:type="gramEnd"/>
      <w:r w:rsidRPr="001207A2">
        <w:t>ed.)Oxford: Oxford University Press</w:t>
      </w:r>
    </w:p>
    <w:p w:rsidR="00046B7D" w:rsidRDefault="00046B7D" w:rsidP="00046B7D">
      <w:r>
        <w:t xml:space="preserve">Pfeiffer, S. ‘The Imperial Cult in Egypt’. 2012. in </w:t>
      </w:r>
      <w:r>
        <w:rPr>
          <w:i/>
        </w:rPr>
        <w:t>The Oxford Handbook of Roman Egypt</w:t>
      </w:r>
      <w:r>
        <w:t xml:space="preserve"> Christina </w:t>
      </w:r>
      <w:proofErr w:type="gramStart"/>
      <w:r>
        <w:t>Riggs(</w:t>
      </w:r>
      <w:proofErr w:type="gramEnd"/>
      <w:r>
        <w:t>ed.)Oxford: Oxford University Press 83-100</w:t>
      </w:r>
    </w:p>
    <w:p w:rsidR="00046B7D" w:rsidRPr="0012581D" w:rsidRDefault="00046B7D" w:rsidP="00046B7D">
      <w:r>
        <w:t xml:space="preserve">Riggs, </w:t>
      </w:r>
      <w:proofErr w:type="spellStart"/>
      <w:r>
        <w:t>C.Facing</w:t>
      </w:r>
      <w:proofErr w:type="spellEnd"/>
      <w:r>
        <w:t xml:space="preserve"> the Dead: Recent Research </w:t>
      </w:r>
      <w:proofErr w:type="gramStart"/>
      <w:r>
        <w:t>on  the</w:t>
      </w:r>
      <w:proofErr w:type="gramEnd"/>
      <w:r>
        <w:t xml:space="preserve"> Funerary Art of Ptolemaic and Roman Egypt in </w:t>
      </w:r>
      <w:r>
        <w:rPr>
          <w:i/>
        </w:rPr>
        <w:t>American Journal of Archaeology</w:t>
      </w:r>
      <w:r>
        <w:t xml:space="preserve"> Vol. 6. No. 1. (Jan 2002) 85-101</w:t>
      </w:r>
    </w:p>
    <w:p w:rsidR="00046B7D" w:rsidRDefault="00046B7D" w:rsidP="00046B7D">
      <w:r w:rsidRPr="005F36D1">
        <w:t xml:space="preserve">Rives, J. B. </w:t>
      </w:r>
      <w:r w:rsidRPr="005F36D1">
        <w:rPr>
          <w:i/>
        </w:rPr>
        <w:t>Religion in the Roman Empire</w:t>
      </w:r>
      <w:r w:rsidRPr="005F36D1">
        <w:t xml:space="preserve"> 2007</w:t>
      </w:r>
      <w:proofErr w:type="gramStart"/>
      <w:r w:rsidRPr="005F36D1">
        <w:t>:Maiden</w:t>
      </w:r>
      <w:proofErr w:type="gramEnd"/>
      <w:r w:rsidRPr="005F36D1">
        <w:t xml:space="preserve"> &amp; </w:t>
      </w:r>
      <w:proofErr w:type="spellStart"/>
      <w:r w:rsidRPr="005F36D1">
        <w:t>Oxford:Blackwell</w:t>
      </w:r>
      <w:proofErr w:type="spellEnd"/>
      <w:r w:rsidRPr="005F36D1">
        <w:t xml:space="preserve"> Publis</w:t>
      </w:r>
      <w:r>
        <w:t>h</w:t>
      </w:r>
      <w:r w:rsidRPr="005F36D1">
        <w:t>ing</w:t>
      </w:r>
    </w:p>
    <w:p w:rsidR="00046B7D" w:rsidRDefault="00046B7D" w:rsidP="00046B7D">
      <w:r>
        <w:t xml:space="preserve">M. A. </w:t>
      </w:r>
      <w:proofErr w:type="spellStart"/>
      <w:r>
        <w:t>Stadler</w:t>
      </w:r>
      <w:proofErr w:type="spellEnd"/>
      <w:r>
        <w:t xml:space="preserve"> ‘Egyptian </w:t>
      </w:r>
      <w:proofErr w:type="spellStart"/>
      <w:r>
        <w:t>Culot</w:t>
      </w:r>
      <w:proofErr w:type="spellEnd"/>
      <w:r>
        <w:t xml:space="preserve">: Evidence from Temple Scriptoria and Christian Hagiography in </w:t>
      </w:r>
      <w:r>
        <w:rPr>
          <w:i/>
        </w:rPr>
        <w:t>The Oxford Handbook of Roman Egypt</w:t>
      </w:r>
      <w:r>
        <w:t xml:space="preserve"> Christina </w:t>
      </w:r>
      <w:proofErr w:type="gramStart"/>
      <w:r>
        <w:t>Riggs(</w:t>
      </w:r>
      <w:proofErr w:type="gramEnd"/>
      <w:r>
        <w:t>ed.)Oxford: Oxford University Press p457-473</w:t>
      </w:r>
    </w:p>
    <w:p w:rsidR="00046B7D" w:rsidRDefault="00046B7D" w:rsidP="00046B7D">
      <w:r>
        <w:t xml:space="preserve">Taylor, J. ‘Before the Portraits: Burial Practices in </w:t>
      </w:r>
      <w:proofErr w:type="spellStart"/>
      <w:r>
        <w:t>Pharaonic</w:t>
      </w:r>
      <w:proofErr w:type="spellEnd"/>
      <w:r>
        <w:t xml:space="preserve"> Egypt’ in Walker, S</w:t>
      </w:r>
      <w:proofErr w:type="gramStart"/>
      <w:r>
        <w:t>.  and</w:t>
      </w:r>
      <w:proofErr w:type="gramEnd"/>
      <w:r>
        <w:t xml:space="preserve"> </w:t>
      </w:r>
      <w:proofErr w:type="spellStart"/>
      <w:r>
        <w:t>Bierbrier</w:t>
      </w:r>
      <w:proofErr w:type="spellEnd"/>
      <w:r>
        <w:t xml:space="preserve">, M, (eds.) with Roberts, P, and </w:t>
      </w:r>
      <w:proofErr w:type="spellStart"/>
      <w:r>
        <w:t>Tayor</w:t>
      </w:r>
      <w:proofErr w:type="spellEnd"/>
      <w:r>
        <w:t xml:space="preserve">, J. 1997.  </w:t>
      </w:r>
      <w:r>
        <w:rPr>
          <w:i/>
        </w:rPr>
        <w:t>Ancient Faces</w:t>
      </w:r>
      <w:r>
        <w:t xml:space="preserve"> London: British Museum Press 9-13</w:t>
      </w:r>
    </w:p>
    <w:p w:rsidR="00046B7D" w:rsidRDefault="00046B7D" w:rsidP="00046B7D">
      <w:r>
        <w:t xml:space="preserve">Walker, S ‘Mummy Portraits and Roman Portraiture’ in Walker, S.  </w:t>
      </w:r>
      <w:proofErr w:type="gramStart"/>
      <w:r>
        <w:t>and</w:t>
      </w:r>
      <w:proofErr w:type="gramEnd"/>
      <w:r>
        <w:t xml:space="preserve"> </w:t>
      </w:r>
      <w:proofErr w:type="spellStart"/>
      <w:r>
        <w:t>Bierbrier</w:t>
      </w:r>
      <w:proofErr w:type="spellEnd"/>
      <w:r>
        <w:t xml:space="preserve">, M. (eds.) with Roberts, P, and </w:t>
      </w:r>
      <w:proofErr w:type="spellStart"/>
      <w:r>
        <w:t>Tayor</w:t>
      </w:r>
      <w:proofErr w:type="spellEnd"/>
      <w:r>
        <w:t xml:space="preserve">, J. 1997.  </w:t>
      </w:r>
      <w:r>
        <w:rPr>
          <w:i/>
        </w:rPr>
        <w:t>Ancient Faces</w:t>
      </w:r>
      <w:r>
        <w:t xml:space="preserve"> London: British Museum Press 14-17</w:t>
      </w:r>
    </w:p>
    <w:p w:rsidR="00046B7D" w:rsidRPr="00E36515" w:rsidRDefault="00046B7D" w:rsidP="00046B7D">
      <w:pPr>
        <w:rPr>
          <w:b/>
        </w:rPr>
      </w:pPr>
      <w:r>
        <w:rPr>
          <w:b/>
        </w:rPr>
        <w:t xml:space="preserve">Other </w:t>
      </w:r>
      <w:proofErr w:type="spellStart"/>
      <w:r>
        <w:rPr>
          <w:b/>
        </w:rPr>
        <w:t>Resourses</w:t>
      </w:r>
      <w:proofErr w:type="spellEnd"/>
    </w:p>
    <w:p w:rsidR="00046B7D" w:rsidRDefault="00046B7D" w:rsidP="00046B7D">
      <w:r>
        <w:t>Website of the British Museum</w:t>
      </w:r>
    </w:p>
    <w:p w:rsidR="00046B7D" w:rsidRDefault="00046B7D" w:rsidP="00046B7D">
      <w:hyperlink r:id="rId9" w:history="1">
        <w:r>
          <w:rPr>
            <w:rStyle w:val="Hyperlink"/>
          </w:rPr>
          <w:t>https://www.britishmuseum.org/research/collection_online/collection_object_details.aspx?assetId=1129589001&amp;objectId=155883&amp;partId=1</w:t>
        </w:r>
      </w:hyperlink>
      <w:r>
        <w:t>. Webpage accessed 23/05/2019</w:t>
      </w:r>
    </w:p>
    <w:p w:rsidR="00046B7D" w:rsidRPr="003B3143" w:rsidRDefault="00046B7D" w:rsidP="00046B7D">
      <w:pPr>
        <w:rPr>
          <w:b/>
        </w:rPr>
      </w:pPr>
    </w:p>
    <w:p w:rsidR="00046B7D" w:rsidRDefault="00046B7D" w:rsidP="00046B7D"/>
    <w:p w:rsidR="008E5CDE" w:rsidRPr="008E5CDE" w:rsidRDefault="008E5CDE" w:rsidP="008E5CDE"/>
    <w:p w:rsidR="008E5CDE" w:rsidRDefault="008E5CDE" w:rsidP="007E2621"/>
    <w:p w:rsidR="00885AFB" w:rsidRDefault="00885AFB"/>
    <w:sectPr w:rsidR="00885A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668A" w:rsidRDefault="00A4668A" w:rsidP="00B04301">
      <w:pPr>
        <w:spacing w:after="0" w:line="240" w:lineRule="auto"/>
      </w:pPr>
      <w:r>
        <w:separator/>
      </w:r>
    </w:p>
  </w:endnote>
  <w:endnote w:type="continuationSeparator" w:id="0">
    <w:p w:rsidR="00A4668A" w:rsidRDefault="00A4668A" w:rsidP="00B04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charset w:val="00"/>
    <w:family w:val="swiss"/>
    <w:pitch w:val="variable"/>
    <w:sig w:usb0="E1002EFF" w:usb1="C000605B" w:usb2="00000029" w:usb3="00000000" w:csb0="000101FF" w:csb1="00000000"/>
  </w:font>
  <w:font w:name="Trebuchet MS">
    <w:charset w:val="00"/>
    <w:family w:val="swiss"/>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Calibri Light">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668A" w:rsidRDefault="00A4668A" w:rsidP="00B04301">
      <w:pPr>
        <w:spacing w:after="0" w:line="240" w:lineRule="auto"/>
      </w:pPr>
      <w:r>
        <w:separator/>
      </w:r>
    </w:p>
  </w:footnote>
  <w:footnote w:type="continuationSeparator" w:id="0">
    <w:p w:rsidR="00A4668A" w:rsidRDefault="00A4668A" w:rsidP="00B04301">
      <w:pPr>
        <w:spacing w:after="0" w:line="240" w:lineRule="auto"/>
      </w:pPr>
      <w:r>
        <w:continuationSeparator/>
      </w:r>
    </w:p>
  </w:footnote>
  <w:footnote w:id="1">
    <w:p w:rsidR="00B04301" w:rsidRDefault="00B04301">
      <w:pPr>
        <w:pStyle w:val="FootnoteText"/>
      </w:pPr>
      <w:r>
        <w:rPr>
          <w:rStyle w:val="FootnoteReference"/>
        </w:rPr>
        <w:footnoteRef/>
      </w:r>
      <w:r>
        <w:t xml:space="preserve"> </w:t>
      </w:r>
      <w:r w:rsidR="00221E67">
        <w:t xml:space="preserve">J.B. </w:t>
      </w:r>
      <w:r>
        <w:t>Rives</w:t>
      </w:r>
      <w:r w:rsidR="00221E67">
        <w:t xml:space="preserve"> 2007</w:t>
      </w:r>
      <w:r w:rsidR="00221E67">
        <w:rPr>
          <w:i/>
        </w:rPr>
        <w:t>Religion in the Roman Empire</w:t>
      </w:r>
      <w:r w:rsidR="00221E67">
        <w:t xml:space="preserve"> Maiden &amp; Oxford: Blackwell Publishing</w:t>
      </w:r>
      <w:r>
        <w:t xml:space="preserve"> 67</w:t>
      </w:r>
    </w:p>
  </w:footnote>
  <w:footnote w:id="2">
    <w:p w:rsidR="00B04301" w:rsidRDefault="00B04301">
      <w:pPr>
        <w:pStyle w:val="FootnoteText"/>
      </w:pPr>
      <w:r>
        <w:rPr>
          <w:rStyle w:val="FootnoteReference"/>
        </w:rPr>
        <w:footnoteRef/>
      </w:r>
      <w:r>
        <w:t xml:space="preserve"> Rives 67</w:t>
      </w:r>
    </w:p>
  </w:footnote>
  <w:footnote w:id="3">
    <w:p w:rsidR="00B04301" w:rsidRDefault="00B04301">
      <w:pPr>
        <w:pStyle w:val="FootnoteText"/>
      </w:pPr>
      <w:r>
        <w:rPr>
          <w:rStyle w:val="FootnoteReference"/>
        </w:rPr>
        <w:footnoteRef/>
      </w:r>
      <w:r>
        <w:t xml:space="preserve"> Rives 54</w:t>
      </w:r>
    </w:p>
  </w:footnote>
  <w:footnote w:id="4">
    <w:p w:rsidR="00B04301" w:rsidRDefault="00B04301">
      <w:pPr>
        <w:pStyle w:val="FootnoteText"/>
      </w:pPr>
      <w:r>
        <w:rPr>
          <w:rStyle w:val="FootnoteReference"/>
        </w:rPr>
        <w:footnoteRef/>
      </w:r>
      <w:r>
        <w:t xml:space="preserve"> </w:t>
      </w:r>
      <w:proofErr w:type="spellStart"/>
      <w:r w:rsidR="00B54247" w:rsidRPr="00B54247">
        <w:t>Dunand</w:t>
      </w:r>
      <w:proofErr w:type="spellEnd"/>
      <w:r w:rsidR="00B54247" w:rsidRPr="00B54247">
        <w:t xml:space="preserve">, F. and </w:t>
      </w:r>
      <w:proofErr w:type="spellStart"/>
      <w:r w:rsidR="00B54247" w:rsidRPr="00B54247">
        <w:t>Zivie-Coche</w:t>
      </w:r>
      <w:proofErr w:type="spellEnd"/>
      <w:r w:rsidR="00B54247" w:rsidRPr="00B54247">
        <w:t xml:space="preserve">, (C. Trans. David Lorton). 2004. </w:t>
      </w:r>
      <w:r w:rsidR="00B54247" w:rsidRPr="00B54247">
        <w:rPr>
          <w:i/>
        </w:rPr>
        <w:t>Gods and Men in Egypt</w:t>
      </w:r>
      <w:r w:rsidR="00B54247" w:rsidRPr="00B54247">
        <w:t xml:space="preserve"> Ithaca &amp; London: Cornell University Press</w:t>
      </w:r>
      <w:r w:rsidR="00B54247">
        <w:t xml:space="preserve"> </w:t>
      </w:r>
      <w:r>
        <w:t>200</w:t>
      </w:r>
    </w:p>
  </w:footnote>
  <w:footnote w:id="5">
    <w:p w:rsidR="00B04301" w:rsidRPr="00B54247" w:rsidRDefault="00B04301" w:rsidP="00B54247">
      <w:pPr>
        <w:pStyle w:val="FootnoteText"/>
      </w:pPr>
      <w:r>
        <w:rPr>
          <w:rStyle w:val="FootnoteReference"/>
        </w:rPr>
        <w:footnoteRef/>
      </w:r>
      <w:r>
        <w:t xml:space="preserve"> </w:t>
      </w:r>
      <w:r w:rsidR="00B54247" w:rsidRPr="00B54247">
        <w:t>M. Minas-</w:t>
      </w:r>
      <w:proofErr w:type="spellStart"/>
      <w:r w:rsidR="00B54247" w:rsidRPr="00B54247">
        <w:t>Nerpal</w:t>
      </w:r>
      <w:proofErr w:type="spellEnd"/>
      <w:r w:rsidR="00B54247" w:rsidRPr="00B54247">
        <w:t xml:space="preserve"> ‘Egyptian Temples’. 2012. in </w:t>
      </w:r>
      <w:r w:rsidR="00B54247" w:rsidRPr="00B54247">
        <w:rPr>
          <w:i/>
        </w:rPr>
        <w:t>The Oxford Handbook of Roman Egypt</w:t>
      </w:r>
      <w:r w:rsidR="00B54247" w:rsidRPr="00B54247">
        <w:t xml:space="preserve"> Christina Riggs(ed.)Oxford: Oxford University Press</w:t>
      </w:r>
      <w:r w:rsidR="00B54247">
        <w:t xml:space="preserve"> 669</w:t>
      </w:r>
    </w:p>
  </w:footnote>
  <w:footnote w:id="6">
    <w:p w:rsidR="00B04301" w:rsidRDefault="00B04301">
      <w:pPr>
        <w:pStyle w:val="FootnoteText"/>
      </w:pPr>
      <w:r>
        <w:rPr>
          <w:rStyle w:val="FootnoteReference"/>
        </w:rPr>
        <w:footnoteRef/>
      </w:r>
      <w:r>
        <w:t xml:space="preserve"> Rives 67</w:t>
      </w:r>
    </w:p>
  </w:footnote>
  <w:footnote w:id="7">
    <w:p w:rsidR="00221E67" w:rsidRDefault="00221E67">
      <w:pPr>
        <w:pStyle w:val="FootnoteText"/>
      </w:pPr>
      <w:r>
        <w:rPr>
          <w:rStyle w:val="FootnoteReference"/>
        </w:rPr>
        <w:footnoteRef/>
      </w:r>
      <w:r>
        <w:t xml:space="preserve"> Rives 67</w:t>
      </w:r>
    </w:p>
  </w:footnote>
  <w:footnote w:id="8">
    <w:p w:rsidR="00B54247" w:rsidRPr="00B54247" w:rsidRDefault="00221E67" w:rsidP="00B54247">
      <w:pPr>
        <w:pStyle w:val="FootnoteText"/>
      </w:pPr>
      <w:r>
        <w:rPr>
          <w:rStyle w:val="FootnoteReference"/>
        </w:rPr>
        <w:footnoteRef/>
      </w:r>
      <w:r w:rsidR="00B54247" w:rsidRPr="00B54247">
        <w:t xml:space="preserve">Frankfurter, D. 1998 </w:t>
      </w:r>
      <w:r w:rsidR="00B54247" w:rsidRPr="00B54247">
        <w:rPr>
          <w:i/>
        </w:rPr>
        <w:t xml:space="preserve">Religion in Roman Egypt </w:t>
      </w:r>
      <w:r w:rsidR="00B54247" w:rsidRPr="00B54247">
        <w:t xml:space="preserve"> New Jersey: Princeton University Press</w:t>
      </w:r>
    </w:p>
    <w:p w:rsidR="00221E67" w:rsidRDefault="00B54247">
      <w:pPr>
        <w:pStyle w:val="FootnoteText"/>
      </w:pPr>
      <w:r>
        <w:t xml:space="preserve"> </w:t>
      </w:r>
      <w:r w:rsidR="00221E67">
        <w:t>10</w:t>
      </w:r>
    </w:p>
  </w:footnote>
  <w:footnote w:id="9">
    <w:p w:rsidR="00221E67" w:rsidRDefault="00221E67">
      <w:pPr>
        <w:pStyle w:val="FootnoteText"/>
      </w:pPr>
      <w:r>
        <w:rPr>
          <w:rStyle w:val="FootnoteReference"/>
        </w:rPr>
        <w:footnoteRef/>
      </w:r>
      <w:r w:rsidR="00DB2352">
        <w:t xml:space="preserve"> </w:t>
      </w:r>
      <w:proofErr w:type="spellStart"/>
      <w:r w:rsidR="00DB2352">
        <w:t>Dunand</w:t>
      </w:r>
      <w:proofErr w:type="spellEnd"/>
      <w:r w:rsidR="00DB2352">
        <w:t xml:space="preserve"> &amp; </w:t>
      </w:r>
      <w:proofErr w:type="spellStart"/>
      <w:r w:rsidR="00DB2352">
        <w:t>Zivie-Coche</w:t>
      </w:r>
      <w:proofErr w:type="spellEnd"/>
      <w:r w:rsidR="00DB2352">
        <w:t xml:space="preserve"> </w:t>
      </w:r>
      <w:r>
        <w:t>6</w:t>
      </w:r>
    </w:p>
  </w:footnote>
  <w:footnote w:id="10">
    <w:p w:rsidR="00221E67" w:rsidRDefault="00221E67">
      <w:pPr>
        <w:pStyle w:val="FootnoteText"/>
      </w:pPr>
      <w:r>
        <w:rPr>
          <w:rStyle w:val="FootnoteReference"/>
        </w:rPr>
        <w:footnoteRef/>
      </w:r>
      <w:r w:rsidR="00DB2352">
        <w:t xml:space="preserve"> </w:t>
      </w:r>
      <w:proofErr w:type="spellStart"/>
      <w:r w:rsidR="00DB2352">
        <w:t>Dunand</w:t>
      </w:r>
      <w:proofErr w:type="spellEnd"/>
      <w:r w:rsidR="00DB2352">
        <w:t xml:space="preserve"> &amp; </w:t>
      </w:r>
      <w:proofErr w:type="spellStart"/>
      <w:r w:rsidR="00DB2352">
        <w:t>Zivie-Cochhe</w:t>
      </w:r>
      <w:proofErr w:type="spellEnd"/>
      <w:r w:rsidR="00DB2352">
        <w:t xml:space="preserve"> </w:t>
      </w:r>
      <w:r>
        <w:t>15</w:t>
      </w:r>
    </w:p>
  </w:footnote>
  <w:footnote w:id="11">
    <w:p w:rsidR="00221E67" w:rsidRDefault="00221E67">
      <w:pPr>
        <w:pStyle w:val="FootnoteText"/>
      </w:pPr>
      <w:r>
        <w:rPr>
          <w:rStyle w:val="FootnoteReference"/>
        </w:rPr>
        <w:footnoteRef/>
      </w:r>
      <w:r w:rsidR="00DB2352">
        <w:t xml:space="preserve"> </w:t>
      </w:r>
      <w:r>
        <w:t>1</w:t>
      </w:r>
      <w:r w:rsidR="00DB2352" w:rsidRPr="00DB2352">
        <w:rPr>
          <w:sz w:val="22"/>
          <w:szCs w:val="22"/>
        </w:rPr>
        <w:t xml:space="preserve"> </w:t>
      </w:r>
      <w:proofErr w:type="spellStart"/>
      <w:r w:rsidR="00DB2352" w:rsidRPr="00DB2352">
        <w:t>Assman</w:t>
      </w:r>
      <w:proofErr w:type="spellEnd"/>
      <w:r w:rsidR="00DB2352" w:rsidRPr="00DB2352">
        <w:t>, J and Frankfurter, D</w:t>
      </w:r>
      <w:proofErr w:type="gramStart"/>
      <w:r w:rsidR="00DB2352" w:rsidRPr="00DB2352">
        <w:t>,.</w:t>
      </w:r>
      <w:proofErr w:type="gramEnd"/>
      <w:r w:rsidR="00DB2352" w:rsidRPr="00DB2352">
        <w:t xml:space="preserve"> 2007</w:t>
      </w:r>
      <w:proofErr w:type="gramStart"/>
      <w:r w:rsidR="00DB2352" w:rsidRPr="00DB2352">
        <w:t>. ,</w:t>
      </w:r>
      <w:proofErr w:type="gramEnd"/>
      <w:r w:rsidR="00DB2352" w:rsidRPr="00DB2352">
        <w:t xml:space="preserve"> in S. Iles Johnston (ed.), </w:t>
      </w:r>
      <w:r w:rsidR="00DB2352" w:rsidRPr="00DB2352">
        <w:rPr>
          <w:i/>
        </w:rPr>
        <w:t>Ancient Religions</w:t>
      </w:r>
      <w:r w:rsidR="00DB2352" w:rsidRPr="00DB2352">
        <w:t xml:space="preserve">. Massachusetts &amp; </w:t>
      </w:r>
      <w:proofErr w:type="spellStart"/>
      <w:r w:rsidR="00DB2352" w:rsidRPr="00DB2352">
        <w:t>London:Belknapp</w:t>
      </w:r>
      <w:proofErr w:type="spellEnd"/>
      <w:r w:rsidR="00DB2352" w:rsidRPr="00DB2352">
        <w:t xml:space="preserve"> Press of Harvard University </w:t>
      </w:r>
      <w:r>
        <w:t>56</w:t>
      </w:r>
    </w:p>
  </w:footnote>
  <w:footnote w:id="12">
    <w:p w:rsidR="00627312" w:rsidRDefault="00627312">
      <w:pPr>
        <w:pStyle w:val="FootnoteText"/>
      </w:pPr>
      <w:r>
        <w:rPr>
          <w:rStyle w:val="FootnoteReference"/>
        </w:rPr>
        <w:footnoteRef/>
      </w:r>
      <w:r w:rsidR="00DB2352">
        <w:t xml:space="preserve"> </w:t>
      </w:r>
      <w:proofErr w:type="spellStart"/>
      <w:r w:rsidR="00DB2352">
        <w:t>Assman</w:t>
      </w:r>
      <w:proofErr w:type="spellEnd"/>
      <w:r w:rsidR="00DB2352">
        <w:t xml:space="preserve"> &amp; Frankfurter</w:t>
      </w:r>
      <w:r>
        <w:t>155</w:t>
      </w:r>
    </w:p>
  </w:footnote>
  <w:footnote w:id="13">
    <w:p w:rsidR="00627312" w:rsidRDefault="00627312">
      <w:pPr>
        <w:pStyle w:val="FootnoteText"/>
      </w:pPr>
      <w:r>
        <w:rPr>
          <w:rStyle w:val="FootnoteReference"/>
        </w:rPr>
        <w:footnoteRef/>
      </w:r>
      <w:r>
        <w:t xml:space="preserve"> </w:t>
      </w:r>
      <w:proofErr w:type="spellStart"/>
      <w:r w:rsidR="00DB2352">
        <w:t>Assman</w:t>
      </w:r>
      <w:proofErr w:type="spellEnd"/>
      <w:r w:rsidR="00DB2352">
        <w:t xml:space="preserve"> &amp; Frankfurter</w:t>
      </w:r>
      <w:r>
        <w:t>156</w:t>
      </w:r>
    </w:p>
  </w:footnote>
  <w:footnote w:id="14">
    <w:p w:rsidR="00627312" w:rsidRDefault="00627312">
      <w:pPr>
        <w:pStyle w:val="FootnoteText"/>
      </w:pPr>
      <w:r>
        <w:rPr>
          <w:rStyle w:val="FootnoteReference"/>
        </w:rPr>
        <w:footnoteRef/>
      </w:r>
      <w:r>
        <w:t xml:space="preserve"> Rives 69</w:t>
      </w:r>
    </w:p>
  </w:footnote>
  <w:footnote w:id="15">
    <w:p w:rsidR="00627312" w:rsidRDefault="00627312">
      <w:pPr>
        <w:pStyle w:val="FootnoteText"/>
      </w:pPr>
      <w:r>
        <w:rPr>
          <w:rStyle w:val="FootnoteReference"/>
        </w:rPr>
        <w:footnoteRef/>
      </w:r>
      <w:r>
        <w:t xml:space="preserve"> Rives71</w:t>
      </w:r>
    </w:p>
  </w:footnote>
  <w:footnote w:id="16">
    <w:p w:rsidR="00627312" w:rsidRDefault="00627312">
      <w:pPr>
        <w:pStyle w:val="FootnoteText"/>
      </w:pPr>
      <w:r>
        <w:rPr>
          <w:rStyle w:val="FootnoteReference"/>
        </w:rPr>
        <w:footnoteRef/>
      </w:r>
      <w:r>
        <w:t xml:space="preserve"> Rives 68-9</w:t>
      </w:r>
    </w:p>
  </w:footnote>
  <w:footnote w:id="17">
    <w:p w:rsidR="00627312" w:rsidRDefault="00627312">
      <w:pPr>
        <w:pStyle w:val="FootnoteText"/>
      </w:pPr>
      <w:r>
        <w:rPr>
          <w:rStyle w:val="FootnoteReference"/>
        </w:rPr>
        <w:footnoteRef/>
      </w:r>
      <w:r>
        <w:t xml:space="preserve"> </w:t>
      </w:r>
      <w:r w:rsidR="00DB2352">
        <w:t xml:space="preserve"> M A. </w:t>
      </w:r>
      <w:proofErr w:type="spellStart"/>
      <w:r w:rsidR="00DB2352">
        <w:t>Stadler</w:t>
      </w:r>
      <w:proofErr w:type="spellEnd"/>
      <w:r w:rsidR="00DB2352">
        <w:t xml:space="preserve"> ‘Egyptian Cult: Evidence from Temple Scriptoria and </w:t>
      </w:r>
      <w:proofErr w:type="spellStart"/>
      <w:r w:rsidR="00DB2352">
        <w:t>Christiona</w:t>
      </w:r>
      <w:proofErr w:type="spellEnd"/>
      <w:r w:rsidR="00DB2352">
        <w:t xml:space="preserve"> Hagiographies’ in </w:t>
      </w:r>
      <w:r w:rsidR="00DB2352" w:rsidRPr="00DB2352">
        <w:rPr>
          <w:i/>
        </w:rPr>
        <w:t>The Oxford Handbook of Roman Egypt</w:t>
      </w:r>
      <w:r w:rsidR="00DB2352" w:rsidRPr="00DB2352">
        <w:t xml:space="preserve"> Christina Riggs(ed.)Oxford: Oxford University Press</w:t>
      </w:r>
      <w:r w:rsidR="00DB2352">
        <w:t xml:space="preserve"> </w:t>
      </w:r>
      <w:r>
        <w:t>457</w:t>
      </w:r>
    </w:p>
  </w:footnote>
  <w:footnote w:id="18">
    <w:p w:rsidR="00627312" w:rsidRDefault="00DB2352">
      <w:pPr>
        <w:pStyle w:val="FootnoteText"/>
      </w:pPr>
      <w:r>
        <w:t xml:space="preserve">M. A. </w:t>
      </w:r>
      <w:proofErr w:type="spellStart"/>
      <w:r>
        <w:t>Stadler</w:t>
      </w:r>
      <w:proofErr w:type="spellEnd"/>
      <w:r>
        <w:t xml:space="preserve"> ‘</w:t>
      </w:r>
      <w:proofErr w:type="spellStart"/>
      <w:r>
        <w:t>Eguptian</w:t>
      </w:r>
      <w:proofErr w:type="spellEnd"/>
      <w:r>
        <w:t xml:space="preserve"> </w:t>
      </w:r>
      <w:proofErr w:type="spellStart"/>
      <w:r>
        <w:t>Culot</w:t>
      </w:r>
      <w:proofErr w:type="spellEnd"/>
      <w:r>
        <w:t xml:space="preserve">: Evidence from Temple Scriptoria and Christian Hagiography in </w:t>
      </w:r>
      <w:r>
        <w:rPr>
          <w:i/>
        </w:rPr>
        <w:t>The Oxford Handbook of Roman Egypt</w:t>
      </w:r>
      <w:r>
        <w:t xml:space="preserve"> Christina Riggs(ed.)Oxford: Oxford University Press </w:t>
      </w:r>
      <w:r w:rsidR="00627312">
        <w:rPr>
          <w:rStyle w:val="FootnoteReference"/>
        </w:rPr>
        <w:footnoteRef/>
      </w:r>
      <w:r w:rsidR="00627312">
        <w:t xml:space="preserve"> 458-9</w:t>
      </w:r>
    </w:p>
  </w:footnote>
  <w:footnote w:id="19">
    <w:p w:rsidR="00627312" w:rsidRDefault="00627312">
      <w:pPr>
        <w:pStyle w:val="FootnoteText"/>
      </w:pPr>
      <w:r>
        <w:rPr>
          <w:rStyle w:val="FootnoteReference"/>
        </w:rPr>
        <w:footnoteRef/>
      </w:r>
      <w:r w:rsidR="00DB2352" w:rsidRPr="00DB2352">
        <w:t xml:space="preserve">M. A. </w:t>
      </w:r>
      <w:proofErr w:type="spellStart"/>
      <w:r w:rsidR="00DB2352" w:rsidRPr="00DB2352">
        <w:t>Stadler</w:t>
      </w:r>
      <w:proofErr w:type="spellEnd"/>
      <w:r w:rsidR="00DB2352" w:rsidRPr="00DB2352">
        <w:t xml:space="preserve"> ‘</w:t>
      </w:r>
      <w:proofErr w:type="spellStart"/>
      <w:r w:rsidR="00DB2352" w:rsidRPr="00DB2352">
        <w:t>Eguptian</w:t>
      </w:r>
      <w:proofErr w:type="spellEnd"/>
      <w:r w:rsidR="00DB2352" w:rsidRPr="00DB2352">
        <w:t xml:space="preserve"> </w:t>
      </w:r>
      <w:proofErr w:type="spellStart"/>
      <w:r w:rsidR="00DB2352" w:rsidRPr="00DB2352">
        <w:t>Culot</w:t>
      </w:r>
      <w:proofErr w:type="spellEnd"/>
      <w:r w:rsidR="00DB2352" w:rsidRPr="00DB2352">
        <w:t xml:space="preserve">: Evidence from Temple Scriptoria and Christian Hagiography in </w:t>
      </w:r>
      <w:r w:rsidR="00DB2352" w:rsidRPr="00DB2352">
        <w:rPr>
          <w:i/>
        </w:rPr>
        <w:t>The Oxford Handbook of Roman Egypt</w:t>
      </w:r>
      <w:r w:rsidR="00DB2352" w:rsidRPr="00DB2352">
        <w:t xml:space="preserve"> Christina Riggs(ed.)Oxford: Oxford University Press</w:t>
      </w:r>
      <w:r w:rsidRPr="00DB2352">
        <w:t xml:space="preserve"> </w:t>
      </w:r>
      <w:r>
        <w:t>459</w:t>
      </w:r>
    </w:p>
  </w:footnote>
  <w:footnote w:id="20">
    <w:p w:rsidR="00627312" w:rsidRDefault="00627312">
      <w:pPr>
        <w:pStyle w:val="FootnoteText"/>
      </w:pPr>
      <w:r>
        <w:rPr>
          <w:rStyle w:val="FootnoteReference"/>
        </w:rPr>
        <w:footnoteRef/>
      </w:r>
      <w:r>
        <w:t xml:space="preserve"> </w:t>
      </w:r>
      <w:proofErr w:type="spellStart"/>
      <w:r w:rsidR="00DB2352">
        <w:t>Dunand</w:t>
      </w:r>
      <w:proofErr w:type="spellEnd"/>
      <w:r w:rsidR="00DB2352">
        <w:t xml:space="preserve"> &amp; Zivie-Coche</w:t>
      </w:r>
      <w:r>
        <w:t>201</w:t>
      </w:r>
    </w:p>
  </w:footnote>
  <w:footnote w:id="21">
    <w:p w:rsidR="00627312" w:rsidRDefault="00627312">
      <w:pPr>
        <w:pStyle w:val="FootnoteText"/>
      </w:pPr>
      <w:r>
        <w:rPr>
          <w:rStyle w:val="FootnoteReference"/>
        </w:rPr>
        <w:footnoteRef/>
      </w:r>
      <w:r>
        <w:t xml:space="preserve"> </w:t>
      </w:r>
      <w:proofErr w:type="spellStart"/>
      <w:r w:rsidR="00DB2352">
        <w:t>Dunand</w:t>
      </w:r>
      <w:proofErr w:type="spellEnd"/>
      <w:r w:rsidR="00DB2352">
        <w:t xml:space="preserve"> &amp; Zivie-Coche201</w:t>
      </w:r>
    </w:p>
  </w:footnote>
  <w:footnote w:id="22">
    <w:p w:rsidR="00627312" w:rsidRDefault="00627312">
      <w:pPr>
        <w:pStyle w:val="FootnoteText"/>
      </w:pPr>
      <w:r>
        <w:rPr>
          <w:rStyle w:val="FootnoteReference"/>
        </w:rPr>
        <w:footnoteRef/>
      </w:r>
      <w:r>
        <w:t xml:space="preserve"> Rives 69</w:t>
      </w:r>
    </w:p>
  </w:footnote>
  <w:footnote w:id="23">
    <w:p w:rsidR="00627312" w:rsidRDefault="00627312">
      <w:pPr>
        <w:pStyle w:val="FootnoteText"/>
      </w:pPr>
      <w:r>
        <w:rPr>
          <w:rStyle w:val="FootnoteReference"/>
        </w:rPr>
        <w:footnoteRef/>
      </w:r>
      <w:r>
        <w:t xml:space="preserve"> Beard340</w:t>
      </w:r>
    </w:p>
  </w:footnote>
  <w:footnote w:id="24">
    <w:p w:rsidR="00627312" w:rsidRDefault="00627312">
      <w:pPr>
        <w:pStyle w:val="FootnoteText"/>
      </w:pPr>
      <w:r>
        <w:rPr>
          <w:rStyle w:val="FootnoteReference"/>
        </w:rPr>
        <w:footnoteRef/>
      </w:r>
      <w:r>
        <w:t xml:space="preserve"> Rives 69-70</w:t>
      </w:r>
    </w:p>
  </w:footnote>
  <w:footnote w:id="25">
    <w:p w:rsidR="00627312" w:rsidRDefault="00627312">
      <w:pPr>
        <w:pStyle w:val="FootnoteText"/>
      </w:pPr>
      <w:r>
        <w:rPr>
          <w:rStyle w:val="FootnoteReference"/>
        </w:rPr>
        <w:footnoteRef/>
      </w:r>
      <w:r>
        <w:t xml:space="preserve"> Beard340</w:t>
      </w:r>
    </w:p>
  </w:footnote>
  <w:footnote w:id="26">
    <w:p w:rsidR="00627312" w:rsidRDefault="00627312">
      <w:pPr>
        <w:pStyle w:val="FootnoteText"/>
      </w:pPr>
      <w:r>
        <w:rPr>
          <w:rStyle w:val="FootnoteReference"/>
        </w:rPr>
        <w:footnoteRef/>
      </w:r>
      <w:r>
        <w:t xml:space="preserve"> Oxbk92-3</w:t>
      </w:r>
    </w:p>
  </w:footnote>
  <w:footnote w:id="27">
    <w:p w:rsidR="00D8078A" w:rsidRDefault="00D8078A">
      <w:pPr>
        <w:pStyle w:val="FootnoteText"/>
      </w:pPr>
      <w:r>
        <w:rPr>
          <w:rStyle w:val="FootnoteReference"/>
        </w:rPr>
        <w:footnoteRef/>
      </w:r>
      <w:r>
        <w:t xml:space="preserve"> Beard340</w:t>
      </w:r>
    </w:p>
  </w:footnote>
  <w:footnote w:id="28">
    <w:p w:rsidR="00D8078A" w:rsidRDefault="00D8078A">
      <w:pPr>
        <w:pStyle w:val="FootnoteText"/>
      </w:pPr>
      <w:r>
        <w:rPr>
          <w:rStyle w:val="FootnoteReference"/>
        </w:rPr>
        <w:footnoteRef/>
      </w:r>
      <w:r>
        <w:t xml:space="preserve"> </w:t>
      </w:r>
      <w:proofErr w:type="spellStart"/>
      <w:r w:rsidR="00DB2352" w:rsidRPr="00DB2352">
        <w:t>Dunand</w:t>
      </w:r>
      <w:proofErr w:type="spellEnd"/>
      <w:r w:rsidR="00DB2352" w:rsidRPr="00DB2352">
        <w:t xml:space="preserve"> &amp; Zivie-Coche201</w:t>
      </w:r>
    </w:p>
  </w:footnote>
  <w:footnote w:id="29">
    <w:p w:rsidR="00D8078A" w:rsidRDefault="00D8078A">
      <w:pPr>
        <w:pStyle w:val="FootnoteText"/>
      </w:pPr>
      <w:r>
        <w:rPr>
          <w:rStyle w:val="FootnoteReference"/>
        </w:rPr>
        <w:footnoteRef/>
      </w:r>
      <w:r>
        <w:t xml:space="preserve"> </w:t>
      </w:r>
      <w:proofErr w:type="spellStart"/>
      <w:r w:rsidR="00DB2352">
        <w:t>Dunand</w:t>
      </w:r>
      <w:proofErr w:type="spellEnd"/>
      <w:r w:rsidR="00DB2352">
        <w:t xml:space="preserve"> &amp; Zivie-Coche201</w:t>
      </w:r>
    </w:p>
  </w:footnote>
  <w:footnote w:id="30">
    <w:p w:rsidR="00D8078A" w:rsidRDefault="00D8078A">
      <w:pPr>
        <w:pStyle w:val="FootnoteText"/>
      </w:pPr>
      <w:r>
        <w:rPr>
          <w:rStyle w:val="FootnoteReference"/>
        </w:rPr>
        <w:footnoteRef/>
      </w:r>
      <w:r>
        <w:t xml:space="preserve"> Rives 69</w:t>
      </w:r>
    </w:p>
  </w:footnote>
  <w:footnote w:id="31">
    <w:p w:rsidR="00D8078A" w:rsidRDefault="00D8078A">
      <w:pPr>
        <w:pStyle w:val="FootnoteText"/>
      </w:pPr>
      <w:r>
        <w:rPr>
          <w:rStyle w:val="FootnoteReference"/>
        </w:rPr>
        <w:footnoteRef/>
      </w:r>
      <w:proofErr w:type="spellStart"/>
      <w:r w:rsidR="00DB2352">
        <w:t>Dunand</w:t>
      </w:r>
      <w:proofErr w:type="spellEnd"/>
      <w:r w:rsidR="00DB2352">
        <w:t xml:space="preserve"> &amp; Zivie-Coche201</w:t>
      </w:r>
    </w:p>
  </w:footnote>
  <w:footnote w:id="32">
    <w:p w:rsidR="00D8078A" w:rsidRDefault="00D8078A">
      <w:pPr>
        <w:pStyle w:val="FootnoteText"/>
      </w:pPr>
      <w:r>
        <w:rPr>
          <w:rStyle w:val="FootnoteReference"/>
        </w:rPr>
        <w:footnoteRef/>
      </w:r>
      <w:r>
        <w:t xml:space="preserve"> </w:t>
      </w:r>
      <w:proofErr w:type="spellStart"/>
      <w:r w:rsidR="00DB2352" w:rsidRPr="00DB2352">
        <w:t>Dunand</w:t>
      </w:r>
      <w:proofErr w:type="spellEnd"/>
      <w:r w:rsidR="00DB2352" w:rsidRPr="00DB2352">
        <w:t xml:space="preserve"> &amp; Zivie-Coche201</w:t>
      </w:r>
    </w:p>
  </w:footnote>
  <w:footnote w:id="33">
    <w:p w:rsidR="00D8078A" w:rsidRDefault="00D8078A">
      <w:pPr>
        <w:pStyle w:val="FootnoteText"/>
      </w:pPr>
      <w:r>
        <w:rPr>
          <w:rStyle w:val="FootnoteReference"/>
        </w:rPr>
        <w:footnoteRef/>
      </w:r>
      <w:r>
        <w:t xml:space="preserve"> </w:t>
      </w:r>
      <w:r w:rsidR="00DB2352">
        <w:t>Minas-Nerpal</w:t>
      </w:r>
      <w:r>
        <w:t>362</w:t>
      </w:r>
    </w:p>
  </w:footnote>
  <w:footnote w:id="34">
    <w:p w:rsidR="009E4936" w:rsidRDefault="009E4936">
      <w:pPr>
        <w:pStyle w:val="FootnoteText"/>
      </w:pPr>
      <w:r>
        <w:rPr>
          <w:rStyle w:val="FootnoteReference"/>
        </w:rPr>
        <w:footnoteRef/>
      </w:r>
      <w:r>
        <w:t xml:space="preserve"> </w:t>
      </w:r>
      <w:r w:rsidR="00DB2352">
        <w:t>Minas-Nerpal</w:t>
      </w:r>
      <w:r>
        <w:t>375</w:t>
      </w:r>
    </w:p>
  </w:footnote>
  <w:footnote w:id="35">
    <w:p w:rsidR="009E4936" w:rsidRDefault="009E4936">
      <w:pPr>
        <w:pStyle w:val="FootnoteText"/>
      </w:pPr>
      <w:r>
        <w:rPr>
          <w:rStyle w:val="FootnoteReference"/>
        </w:rPr>
        <w:footnoteRef/>
      </w:r>
      <w:r>
        <w:t xml:space="preserve"> </w:t>
      </w:r>
      <w:r w:rsidR="00DB2352">
        <w:t>Minas-Nerpal</w:t>
      </w:r>
      <w:r>
        <w:t>375</w:t>
      </w:r>
    </w:p>
  </w:footnote>
  <w:footnote w:id="36">
    <w:p w:rsidR="009E4936" w:rsidRDefault="009E4936">
      <w:pPr>
        <w:pStyle w:val="FootnoteText"/>
      </w:pPr>
      <w:r>
        <w:rPr>
          <w:rStyle w:val="FootnoteReference"/>
        </w:rPr>
        <w:footnoteRef/>
      </w:r>
      <w:r>
        <w:t xml:space="preserve"> </w:t>
      </w:r>
      <w:r w:rsidR="00DB2352">
        <w:t>Minas-Nerpal</w:t>
      </w:r>
      <w:r>
        <w:t>375</w:t>
      </w:r>
    </w:p>
  </w:footnote>
  <w:footnote w:id="37">
    <w:p w:rsidR="009E4936" w:rsidRDefault="009E4936">
      <w:pPr>
        <w:pStyle w:val="FootnoteText"/>
      </w:pPr>
      <w:r>
        <w:rPr>
          <w:rStyle w:val="FootnoteReference"/>
        </w:rPr>
        <w:footnoteRef/>
      </w:r>
      <w:r>
        <w:t xml:space="preserve"> </w:t>
      </w:r>
      <w:r w:rsidR="00DB2352">
        <w:t>Minas-Nerpal</w:t>
      </w:r>
      <w:r>
        <w:t>376</w:t>
      </w:r>
    </w:p>
  </w:footnote>
  <w:footnote w:id="38">
    <w:p w:rsidR="009E4936" w:rsidRDefault="009E4936">
      <w:pPr>
        <w:pStyle w:val="FootnoteText"/>
      </w:pPr>
      <w:r>
        <w:rPr>
          <w:rStyle w:val="FootnoteReference"/>
        </w:rPr>
        <w:footnoteRef/>
      </w:r>
      <w:r w:rsidR="00DB2352">
        <w:t xml:space="preserve"> Frankfurter</w:t>
      </w:r>
      <w:r>
        <w:t>10</w:t>
      </w:r>
    </w:p>
  </w:footnote>
  <w:footnote w:id="39">
    <w:p w:rsidR="009E4936" w:rsidRDefault="009E4936">
      <w:pPr>
        <w:pStyle w:val="FootnoteText"/>
      </w:pPr>
      <w:r>
        <w:rPr>
          <w:rStyle w:val="FootnoteReference"/>
        </w:rPr>
        <w:footnoteRef/>
      </w:r>
      <w:r>
        <w:t xml:space="preserve"> </w:t>
      </w:r>
      <w:proofErr w:type="spellStart"/>
      <w:proofErr w:type="gramStart"/>
      <w:r w:rsidR="00DB2352">
        <w:t>Pfeffer</w:t>
      </w:r>
      <w:r w:rsidR="00DB2352">
        <w:t>‘The</w:t>
      </w:r>
      <w:proofErr w:type="spellEnd"/>
      <w:proofErr w:type="gramEnd"/>
      <w:r w:rsidR="00DB2352">
        <w:t xml:space="preserve"> Imperial Cult in Egypt’. 2012. in </w:t>
      </w:r>
      <w:r w:rsidR="00DB2352">
        <w:rPr>
          <w:i/>
        </w:rPr>
        <w:t>The Oxford Handbook of Roman Egypt</w:t>
      </w:r>
      <w:r w:rsidR="00DB2352">
        <w:t xml:space="preserve"> Christina Riggs(ed.)Oxford: Oxford University Press </w:t>
      </w:r>
      <w:r>
        <w:t>86</w:t>
      </w:r>
    </w:p>
  </w:footnote>
  <w:footnote w:id="40">
    <w:p w:rsidR="00B042BE" w:rsidRDefault="00B042BE">
      <w:pPr>
        <w:pStyle w:val="FootnoteText"/>
      </w:pPr>
      <w:r>
        <w:rPr>
          <w:rStyle w:val="FootnoteReference"/>
        </w:rPr>
        <w:footnoteRef/>
      </w:r>
      <w:r>
        <w:t xml:space="preserve"> </w:t>
      </w:r>
      <w:r w:rsidR="00DB2352">
        <w:t>Pfeiffer</w:t>
      </w:r>
      <w:r>
        <w:t>86</w:t>
      </w:r>
    </w:p>
  </w:footnote>
  <w:footnote w:id="41">
    <w:p w:rsidR="00B042BE" w:rsidRDefault="00B042BE">
      <w:pPr>
        <w:pStyle w:val="FootnoteText"/>
      </w:pPr>
      <w:r>
        <w:rPr>
          <w:rStyle w:val="FootnoteReference"/>
        </w:rPr>
        <w:footnoteRef/>
      </w:r>
      <w:r>
        <w:t xml:space="preserve"> </w:t>
      </w:r>
      <w:r w:rsidR="00DB2352">
        <w:t>Pfeiffer</w:t>
      </w:r>
      <w:r>
        <w:t>87</w:t>
      </w:r>
    </w:p>
  </w:footnote>
  <w:footnote w:id="42">
    <w:p w:rsidR="00B042BE" w:rsidRDefault="00B042BE">
      <w:pPr>
        <w:pStyle w:val="FootnoteText"/>
      </w:pPr>
      <w:r>
        <w:rPr>
          <w:rStyle w:val="FootnoteReference"/>
        </w:rPr>
        <w:footnoteRef/>
      </w:r>
      <w:r w:rsidR="00DB2352">
        <w:t>Pfeiffer</w:t>
      </w:r>
      <w:r>
        <w:t>87</w:t>
      </w:r>
    </w:p>
  </w:footnote>
  <w:footnote w:id="43">
    <w:p w:rsidR="00B042BE" w:rsidRDefault="00B042BE">
      <w:pPr>
        <w:pStyle w:val="FootnoteText"/>
      </w:pPr>
      <w:r>
        <w:rPr>
          <w:rStyle w:val="FootnoteReference"/>
        </w:rPr>
        <w:footnoteRef/>
      </w:r>
      <w:r>
        <w:t xml:space="preserve"> </w:t>
      </w:r>
      <w:r w:rsidR="00DB2352">
        <w:t>Pfeiffer</w:t>
      </w:r>
      <w:r>
        <w:t>88-9</w:t>
      </w:r>
    </w:p>
  </w:footnote>
  <w:footnote w:id="44">
    <w:p w:rsidR="00B042BE" w:rsidRDefault="00B042BE">
      <w:pPr>
        <w:pStyle w:val="FootnoteText"/>
      </w:pPr>
      <w:r>
        <w:rPr>
          <w:rStyle w:val="FootnoteReference"/>
        </w:rPr>
        <w:footnoteRef/>
      </w:r>
      <w:r>
        <w:t xml:space="preserve"> </w:t>
      </w:r>
      <w:r w:rsidR="00DB2352">
        <w:t>Pfeiffer</w:t>
      </w:r>
      <w:r>
        <w:t>89-90</w:t>
      </w:r>
    </w:p>
  </w:footnote>
  <w:footnote w:id="45">
    <w:p w:rsidR="00B042BE" w:rsidRDefault="00B042BE">
      <w:pPr>
        <w:pStyle w:val="FootnoteText"/>
      </w:pPr>
      <w:r>
        <w:rPr>
          <w:rStyle w:val="FootnoteReference"/>
        </w:rPr>
        <w:footnoteRef/>
      </w:r>
      <w:r>
        <w:t xml:space="preserve"> </w:t>
      </w:r>
      <w:r w:rsidR="00DB2352">
        <w:t>Frankfurter</w:t>
      </w:r>
      <w:r>
        <w:t>10</w:t>
      </w:r>
    </w:p>
  </w:footnote>
  <w:footnote w:id="46">
    <w:p w:rsidR="00B042BE" w:rsidRDefault="00B042BE">
      <w:pPr>
        <w:pStyle w:val="FootnoteText"/>
      </w:pPr>
      <w:r>
        <w:rPr>
          <w:rStyle w:val="FootnoteReference"/>
        </w:rPr>
        <w:footnoteRef/>
      </w:r>
      <w:r>
        <w:t xml:space="preserve"> </w:t>
      </w:r>
      <w:r w:rsidR="00DB2352">
        <w:t>Pfeiffer</w:t>
      </w:r>
      <w:r>
        <w:t>91</w:t>
      </w:r>
    </w:p>
  </w:footnote>
  <w:footnote w:id="47">
    <w:p w:rsidR="00B042BE" w:rsidRDefault="00B042BE">
      <w:pPr>
        <w:pStyle w:val="FootnoteText"/>
      </w:pPr>
      <w:r>
        <w:rPr>
          <w:rStyle w:val="FootnoteReference"/>
        </w:rPr>
        <w:footnoteRef/>
      </w:r>
      <w:r>
        <w:t xml:space="preserve"> Website of the British Museum</w:t>
      </w:r>
      <w:r w:rsidRPr="00B042BE">
        <w:t xml:space="preserve"> </w:t>
      </w:r>
      <w:hyperlink r:id="rId1" w:history="1">
        <w:r>
          <w:rPr>
            <w:rStyle w:val="Hyperlink"/>
          </w:rPr>
          <w:t>https://www.britishmuseum.org/research/collection_online/collection_object_details.aspx?assetId=1129589001&amp;objectId=155883&amp;partId=1</w:t>
        </w:r>
      </w:hyperlink>
      <w:r>
        <w:t>.</w:t>
      </w:r>
    </w:p>
  </w:footnote>
  <w:footnote w:id="48">
    <w:p w:rsidR="00B042BE" w:rsidRDefault="00B042BE">
      <w:pPr>
        <w:pStyle w:val="FootnoteText"/>
      </w:pPr>
      <w:r>
        <w:rPr>
          <w:rStyle w:val="FootnoteReference"/>
        </w:rPr>
        <w:footnoteRef/>
      </w:r>
      <w:r>
        <w:t>18</w:t>
      </w:r>
      <w:r w:rsidR="00DB2352">
        <w:t xml:space="preserve">Dunand &amp; </w:t>
      </w:r>
      <w:proofErr w:type="spellStart"/>
      <w:r w:rsidR="00DB2352">
        <w:t>Zivie-Coche</w:t>
      </w:r>
      <w:proofErr w:type="spellEnd"/>
    </w:p>
  </w:footnote>
  <w:footnote w:id="49">
    <w:p w:rsidR="0057726F" w:rsidRDefault="0057726F">
      <w:pPr>
        <w:pStyle w:val="FootnoteText"/>
      </w:pPr>
      <w:r>
        <w:rPr>
          <w:rStyle w:val="FootnoteReference"/>
        </w:rPr>
        <w:footnoteRef/>
      </w:r>
      <w:r w:rsidR="00DB2352">
        <w:t xml:space="preserve"> </w:t>
      </w:r>
      <w:proofErr w:type="spellStart"/>
      <w:r w:rsidR="00DB2352">
        <w:t>Assman</w:t>
      </w:r>
      <w:proofErr w:type="spellEnd"/>
      <w:r w:rsidR="00DB2352">
        <w:t xml:space="preserve"> &amp; Frankfurter </w:t>
      </w:r>
      <w:r>
        <w:t>155</w:t>
      </w:r>
    </w:p>
  </w:footnote>
  <w:footnote w:id="50">
    <w:p w:rsidR="0057726F" w:rsidRDefault="0057726F" w:rsidP="00DB2352">
      <w:pPr>
        <w:pStyle w:val="FootnoteText"/>
        <w:tabs>
          <w:tab w:val="left" w:pos="2280"/>
        </w:tabs>
      </w:pPr>
      <w:r>
        <w:rPr>
          <w:rStyle w:val="FootnoteReference"/>
        </w:rPr>
        <w:footnoteRef/>
      </w:r>
      <w:r w:rsidR="00DB2352">
        <w:t xml:space="preserve"> </w:t>
      </w:r>
      <w:r w:rsidR="00DB2352">
        <w:t xml:space="preserve"> </w:t>
      </w:r>
      <w:proofErr w:type="spellStart"/>
      <w:r w:rsidR="00DB2352">
        <w:t>Kantorowicz</w:t>
      </w:r>
      <w:proofErr w:type="spellEnd"/>
      <w:r w:rsidR="00DB2352">
        <w:t xml:space="preserve"> ‘Gods in Uniform’ in</w:t>
      </w:r>
      <w:r w:rsidR="00DB2352">
        <w:rPr>
          <w:i/>
        </w:rPr>
        <w:t xml:space="preserve"> Proceedings of the American Philosophical </w:t>
      </w:r>
      <w:proofErr w:type="gramStart"/>
      <w:r w:rsidR="00DB2352">
        <w:rPr>
          <w:i/>
        </w:rPr>
        <w:t xml:space="preserve">Society </w:t>
      </w:r>
      <w:r w:rsidR="00DB2352">
        <w:t xml:space="preserve"> Vol</w:t>
      </w:r>
      <w:proofErr w:type="gramEnd"/>
      <w:r w:rsidR="00DB2352">
        <w:t xml:space="preserve">. 105. No. 4 (Aug. 15 1961) </w:t>
      </w:r>
      <w:r>
        <w:t>369</w:t>
      </w:r>
      <w:r w:rsidR="00DB2352">
        <w:tab/>
      </w:r>
    </w:p>
  </w:footnote>
  <w:footnote w:id="51">
    <w:p w:rsidR="0057726F" w:rsidRDefault="0057726F">
      <w:pPr>
        <w:pStyle w:val="FootnoteText"/>
      </w:pPr>
      <w:r>
        <w:rPr>
          <w:rStyle w:val="FootnoteReference"/>
        </w:rPr>
        <w:footnoteRef/>
      </w:r>
      <w:r w:rsidR="00DB2352">
        <w:t xml:space="preserve"> Kantorowicz</w:t>
      </w:r>
      <w:r>
        <w:t>371</w:t>
      </w:r>
    </w:p>
  </w:footnote>
  <w:footnote w:id="52">
    <w:p w:rsidR="0057726F" w:rsidRDefault="0057726F">
      <w:pPr>
        <w:pStyle w:val="FootnoteText"/>
      </w:pPr>
      <w:r>
        <w:rPr>
          <w:rStyle w:val="FootnoteReference"/>
        </w:rPr>
        <w:footnoteRef/>
      </w:r>
      <w:r>
        <w:t xml:space="preserve"> Fr</w:t>
      </w:r>
      <w:r w:rsidR="00DB2352">
        <w:t>ankfurter</w:t>
      </w:r>
      <w:r>
        <w:t>3</w:t>
      </w:r>
    </w:p>
  </w:footnote>
  <w:footnote w:id="53">
    <w:p w:rsidR="0057726F" w:rsidRDefault="0057726F">
      <w:pPr>
        <w:pStyle w:val="FootnoteText"/>
      </w:pPr>
      <w:r>
        <w:rPr>
          <w:rStyle w:val="FootnoteReference"/>
        </w:rPr>
        <w:footnoteRef/>
      </w:r>
      <w:r w:rsidR="00DB2352">
        <w:t xml:space="preserve"> Gessler-Lohr</w:t>
      </w:r>
      <w:r>
        <w:t>669</w:t>
      </w:r>
    </w:p>
  </w:footnote>
  <w:footnote w:id="54">
    <w:p w:rsidR="0057726F" w:rsidRDefault="0057726F">
      <w:pPr>
        <w:pStyle w:val="FootnoteText"/>
      </w:pPr>
      <w:r>
        <w:rPr>
          <w:rStyle w:val="FootnoteReference"/>
        </w:rPr>
        <w:footnoteRef/>
      </w:r>
      <w:r w:rsidR="00DB2352">
        <w:t xml:space="preserve"> Taylor ‘Before the Portraits: Burial Practices in </w:t>
      </w:r>
      <w:proofErr w:type="spellStart"/>
      <w:r w:rsidR="00DB2352">
        <w:t>Pharaonic</w:t>
      </w:r>
      <w:proofErr w:type="spellEnd"/>
      <w:r w:rsidR="00DB2352">
        <w:t xml:space="preserve"> Egypt’ </w:t>
      </w:r>
      <w:r w:rsidR="00DB2352">
        <w:t>in Walker, S</w:t>
      </w:r>
      <w:proofErr w:type="gramStart"/>
      <w:r w:rsidR="00DB2352">
        <w:t>.  and</w:t>
      </w:r>
      <w:proofErr w:type="gramEnd"/>
      <w:r w:rsidR="00DB2352">
        <w:t xml:space="preserve"> </w:t>
      </w:r>
      <w:proofErr w:type="spellStart"/>
      <w:r w:rsidR="00DB2352">
        <w:t>Bierbrier</w:t>
      </w:r>
      <w:proofErr w:type="spellEnd"/>
      <w:r w:rsidR="00DB2352">
        <w:t xml:space="preserve">, M. (eds.) with Roberts, P, and </w:t>
      </w:r>
      <w:proofErr w:type="spellStart"/>
      <w:r w:rsidR="00DB2352">
        <w:t>Tayor</w:t>
      </w:r>
      <w:proofErr w:type="spellEnd"/>
      <w:r w:rsidR="00DB2352">
        <w:t xml:space="preserve">, J. 1997.  </w:t>
      </w:r>
      <w:r w:rsidR="00DB2352">
        <w:rPr>
          <w:i/>
        </w:rPr>
        <w:t>Ancient Faces</w:t>
      </w:r>
      <w:r w:rsidR="00DB2352">
        <w:t xml:space="preserve"> London: British Museum Press </w:t>
      </w:r>
      <w:r>
        <w:t>13</w:t>
      </w:r>
    </w:p>
  </w:footnote>
  <w:footnote w:id="55">
    <w:p w:rsidR="0057726F" w:rsidRDefault="0057726F">
      <w:pPr>
        <w:pStyle w:val="FootnoteText"/>
      </w:pPr>
      <w:r>
        <w:rPr>
          <w:rStyle w:val="FootnoteReference"/>
        </w:rPr>
        <w:footnoteRef/>
      </w:r>
      <w:r>
        <w:t xml:space="preserve"> </w:t>
      </w:r>
      <w:r w:rsidR="00DB2352">
        <w:t>Gessler-Lohr</w:t>
      </w:r>
      <w:r>
        <w:t>669</w:t>
      </w:r>
    </w:p>
  </w:footnote>
  <w:footnote w:id="56">
    <w:p w:rsidR="0057726F" w:rsidRDefault="0057726F">
      <w:pPr>
        <w:pStyle w:val="FootnoteText"/>
      </w:pPr>
      <w:r>
        <w:rPr>
          <w:rStyle w:val="FootnoteReference"/>
        </w:rPr>
        <w:footnoteRef/>
      </w:r>
      <w:r w:rsidR="00DB2352">
        <w:t xml:space="preserve"> Taylor</w:t>
      </w:r>
      <w:r>
        <w:t>13</w:t>
      </w:r>
    </w:p>
  </w:footnote>
  <w:footnote w:id="57">
    <w:p w:rsidR="0057726F" w:rsidRDefault="0057726F">
      <w:pPr>
        <w:pStyle w:val="FootnoteText"/>
      </w:pPr>
      <w:r>
        <w:rPr>
          <w:rStyle w:val="FootnoteReference"/>
        </w:rPr>
        <w:footnoteRef/>
      </w:r>
      <w:r>
        <w:t xml:space="preserve"> </w:t>
      </w:r>
      <w:r w:rsidR="00DB2352">
        <w:t>Gessler-Lohr</w:t>
      </w:r>
      <w:r>
        <w:t>670-1</w:t>
      </w:r>
    </w:p>
  </w:footnote>
  <w:footnote w:id="58">
    <w:p w:rsidR="0057726F" w:rsidRDefault="0057726F">
      <w:pPr>
        <w:pStyle w:val="FootnoteText"/>
      </w:pPr>
      <w:r>
        <w:rPr>
          <w:rStyle w:val="FootnoteReference"/>
        </w:rPr>
        <w:footnoteRef/>
      </w:r>
      <w:r w:rsidR="00DB2352">
        <w:t xml:space="preserve"> Gessler-Lohr</w:t>
      </w:r>
      <w:r>
        <w:t>675</w:t>
      </w:r>
    </w:p>
  </w:footnote>
  <w:footnote w:id="59">
    <w:p w:rsidR="0057726F" w:rsidRDefault="0057726F">
      <w:pPr>
        <w:pStyle w:val="FootnoteText"/>
      </w:pPr>
      <w:r>
        <w:rPr>
          <w:rStyle w:val="FootnoteReference"/>
        </w:rPr>
        <w:footnoteRef/>
      </w:r>
      <w:r>
        <w:t xml:space="preserve"> </w:t>
      </w:r>
      <w:r w:rsidR="00DB2352">
        <w:t>Gessler-Lohr</w:t>
      </w:r>
      <w:r>
        <w:t>677-8</w:t>
      </w:r>
    </w:p>
  </w:footnote>
  <w:footnote w:id="60">
    <w:p w:rsidR="0057726F" w:rsidRDefault="0057726F">
      <w:pPr>
        <w:pStyle w:val="FootnoteText"/>
      </w:pPr>
      <w:r>
        <w:rPr>
          <w:rStyle w:val="FootnoteReference"/>
        </w:rPr>
        <w:footnoteRef/>
      </w:r>
      <w:r w:rsidR="00DB2352">
        <w:t xml:space="preserve">Cooney, J. D. ‘Portraits from Roman Egypt’ in </w:t>
      </w:r>
      <w:r w:rsidR="00DB2352">
        <w:rPr>
          <w:i/>
        </w:rPr>
        <w:t xml:space="preserve">The Bulletin of the Cleveland Museum of </w:t>
      </w:r>
      <w:proofErr w:type="gramStart"/>
      <w:r w:rsidR="00DB2352">
        <w:rPr>
          <w:i/>
        </w:rPr>
        <w:t xml:space="preserve">Art </w:t>
      </w:r>
      <w:r w:rsidR="00DB2352">
        <w:t xml:space="preserve"> Vol</w:t>
      </w:r>
      <w:proofErr w:type="gramEnd"/>
      <w:r w:rsidR="00DB2352">
        <w:t xml:space="preserve">. 59. No. 2 (Feb 1972) </w:t>
      </w:r>
      <w:r>
        <w:t>50</w:t>
      </w:r>
    </w:p>
  </w:footnote>
  <w:footnote w:id="61">
    <w:p w:rsidR="0057726F" w:rsidRDefault="0057726F">
      <w:pPr>
        <w:pStyle w:val="FootnoteText"/>
      </w:pPr>
      <w:r>
        <w:rPr>
          <w:rStyle w:val="FootnoteReference"/>
        </w:rPr>
        <w:footnoteRef/>
      </w:r>
      <w:r>
        <w:t xml:space="preserve"> Cooney51</w:t>
      </w:r>
    </w:p>
  </w:footnote>
  <w:footnote w:id="62">
    <w:p w:rsidR="0057726F" w:rsidRDefault="0057726F">
      <w:pPr>
        <w:pStyle w:val="FootnoteText"/>
      </w:pPr>
      <w:r>
        <w:rPr>
          <w:rStyle w:val="FootnoteReference"/>
        </w:rPr>
        <w:footnoteRef/>
      </w:r>
      <w:r>
        <w:t xml:space="preserve"> Walker15</w:t>
      </w:r>
    </w:p>
  </w:footnote>
  <w:footnote w:id="63">
    <w:p w:rsidR="0057726F" w:rsidRDefault="0057726F">
      <w:pPr>
        <w:pStyle w:val="FootnoteText"/>
      </w:pPr>
      <w:r>
        <w:rPr>
          <w:rStyle w:val="FootnoteReference"/>
        </w:rPr>
        <w:footnoteRef/>
      </w:r>
      <w:r>
        <w:t xml:space="preserve"> Walker14</w:t>
      </w:r>
    </w:p>
  </w:footnote>
  <w:footnote w:id="64">
    <w:p w:rsidR="0057726F" w:rsidRDefault="0057726F">
      <w:pPr>
        <w:pStyle w:val="FootnoteText"/>
      </w:pPr>
      <w:r>
        <w:rPr>
          <w:rStyle w:val="FootnoteReference"/>
        </w:rPr>
        <w:footnoteRef/>
      </w:r>
      <w:r>
        <w:t xml:space="preserve"> Walker15</w:t>
      </w:r>
    </w:p>
  </w:footnote>
  <w:footnote w:id="65">
    <w:p w:rsidR="0057726F" w:rsidRDefault="0057726F">
      <w:pPr>
        <w:pStyle w:val="FootnoteText"/>
      </w:pPr>
      <w:r>
        <w:rPr>
          <w:rStyle w:val="FootnoteReference"/>
        </w:rPr>
        <w:footnoteRef/>
      </w:r>
      <w:r>
        <w:t xml:space="preserve"> Walker 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AFB"/>
    <w:rsid w:val="00025F10"/>
    <w:rsid w:val="00046B7D"/>
    <w:rsid w:val="0010541F"/>
    <w:rsid w:val="001C1DFE"/>
    <w:rsid w:val="001F095B"/>
    <w:rsid w:val="00221E67"/>
    <w:rsid w:val="0024528D"/>
    <w:rsid w:val="002C23D4"/>
    <w:rsid w:val="003E1E7C"/>
    <w:rsid w:val="00477FDC"/>
    <w:rsid w:val="004826A2"/>
    <w:rsid w:val="0049312E"/>
    <w:rsid w:val="00512722"/>
    <w:rsid w:val="005278F1"/>
    <w:rsid w:val="0057726F"/>
    <w:rsid w:val="00627312"/>
    <w:rsid w:val="006A4E7A"/>
    <w:rsid w:val="006B18E3"/>
    <w:rsid w:val="007310D5"/>
    <w:rsid w:val="007405BA"/>
    <w:rsid w:val="007E2621"/>
    <w:rsid w:val="00826C4A"/>
    <w:rsid w:val="00885AFB"/>
    <w:rsid w:val="008E5CDE"/>
    <w:rsid w:val="009A1471"/>
    <w:rsid w:val="009E4936"/>
    <w:rsid w:val="00A4668A"/>
    <w:rsid w:val="00AB1D90"/>
    <w:rsid w:val="00AE5CB6"/>
    <w:rsid w:val="00B042BE"/>
    <w:rsid w:val="00B04301"/>
    <w:rsid w:val="00B202D4"/>
    <w:rsid w:val="00B54247"/>
    <w:rsid w:val="00B81218"/>
    <w:rsid w:val="00BC4F82"/>
    <w:rsid w:val="00C42387"/>
    <w:rsid w:val="00D51317"/>
    <w:rsid w:val="00D522F8"/>
    <w:rsid w:val="00D767E3"/>
    <w:rsid w:val="00D8078A"/>
    <w:rsid w:val="00DB2352"/>
    <w:rsid w:val="00DC2744"/>
    <w:rsid w:val="00E315A4"/>
    <w:rsid w:val="00E85C43"/>
    <w:rsid w:val="00EB1B10"/>
    <w:rsid w:val="00EC2E24"/>
    <w:rsid w:val="00EC35CC"/>
    <w:rsid w:val="00F00EE9"/>
    <w:rsid w:val="00F226E2"/>
    <w:rsid w:val="00F9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6C476"/>
  <w15:chartTrackingRefBased/>
  <w15:docId w15:val="{325B1946-7000-4847-8F79-07DE0C947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43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4301"/>
    <w:rPr>
      <w:sz w:val="20"/>
      <w:szCs w:val="20"/>
    </w:rPr>
  </w:style>
  <w:style w:type="character" w:styleId="FootnoteReference">
    <w:name w:val="footnote reference"/>
    <w:basedOn w:val="DefaultParagraphFont"/>
    <w:uiPriority w:val="99"/>
    <w:semiHidden/>
    <w:unhideWhenUsed/>
    <w:rsid w:val="00B04301"/>
    <w:rPr>
      <w:vertAlign w:val="superscript"/>
    </w:rPr>
  </w:style>
  <w:style w:type="character" w:styleId="Hyperlink">
    <w:name w:val="Hyperlink"/>
    <w:basedOn w:val="DefaultParagraphFont"/>
    <w:uiPriority w:val="99"/>
    <w:semiHidden/>
    <w:unhideWhenUsed/>
    <w:rsid w:val="00B042BE"/>
    <w:rPr>
      <w:color w:val="0000FF"/>
      <w:u w:val="single"/>
    </w:rPr>
  </w:style>
  <w:style w:type="paragraph" w:styleId="Header">
    <w:name w:val="header"/>
    <w:basedOn w:val="Normal"/>
    <w:link w:val="HeaderChar"/>
    <w:uiPriority w:val="99"/>
    <w:unhideWhenUsed/>
    <w:rsid w:val="00DB2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352"/>
  </w:style>
  <w:style w:type="paragraph" w:styleId="Footer">
    <w:name w:val="footer"/>
    <w:basedOn w:val="Normal"/>
    <w:link w:val="FooterChar"/>
    <w:uiPriority w:val="99"/>
    <w:unhideWhenUsed/>
    <w:rsid w:val="00DB2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ishmuseum.org/research/collection_online/collection_object_details.aspx?assetId=1129589001&amp;objectId=155883&amp;partId=1"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ishmuseum.org/research/collection_online/collection_object_details.aspx?assetId=1129589001&amp;objectId=155883&amp;partI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37403-B1B5-4098-97E4-CB33D4777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4233</Words>
  <Characters>21760</Characters>
  <Application>Microsoft Office Word</Application>
  <DocSecurity>0</DocSecurity>
  <Lines>298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2</cp:revision>
  <dcterms:created xsi:type="dcterms:W3CDTF">2019-05-24T23:08:00Z</dcterms:created>
  <dcterms:modified xsi:type="dcterms:W3CDTF">2019-05-24T23:08:00Z</dcterms:modified>
</cp:coreProperties>
</file>