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70A9" w:rsidRDefault="00184C83" w:rsidP="004970A9">
      <w:pPr>
        <w:spacing w:after="0" w:line="360" w:lineRule="auto"/>
        <w:rPr>
          <w:sz w:val="50"/>
          <w:szCs w:val="50"/>
          <w:u w:val="single"/>
        </w:rPr>
      </w:pPr>
      <w:r>
        <w:rPr>
          <w:rFonts w:cs="Arial"/>
          <w:noProof/>
          <w:sz w:val="40"/>
          <w:szCs w:val="40"/>
        </w:rPr>
        <mc:AlternateContent>
          <mc:Choice Requires="wps">
            <w:drawing>
              <wp:anchor distT="0" distB="0" distL="114300" distR="114300" simplePos="0" relativeHeight="251661312" behindDoc="0" locked="0" layoutInCell="1" allowOverlap="1" wp14:anchorId="7A8054C0" wp14:editId="28404682">
                <wp:simplePos x="0" y="0"/>
                <wp:positionH relativeFrom="column">
                  <wp:posOffset>-304800</wp:posOffset>
                </wp:positionH>
                <wp:positionV relativeFrom="paragraph">
                  <wp:posOffset>-495300</wp:posOffset>
                </wp:positionV>
                <wp:extent cx="0" cy="979170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0" cy="979170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39pt" to="-24pt,7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" strokecolor="black [3213]" strokeweight="1.5pt"/>
            </w:pict>
          </mc:Fallback>
        </mc:AlternateContent>
      </w:r>
      <w:r>
        <w:rPr>
          <w:noProof/>
        </w:rPr>
        <w:drawing>
          <wp:anchor distT="0" distB="0" distL="114300" distR="114300" simplePos="0" relativeHeight="251664384" behindDoc="1" locked="0" layoutInCell="1" allowOverlap="1" wp14:anchorId="47B220B1" wp14:editId="179CEEC2">
            <wp:simplePos x="0" y="0"/>
            <wp:positionH relativeFrom="column">
              <wp:posOffset>732790</wp:posOffset>
            </wp:positionH>
            <wp:positionV relativeFrom="paragraph">
              <wp:posOffset>361315</wp:posOffset>
            </wp:positionV>
            <wp:extent cx="4276725" cy="1752600"/>
            <wp:effectExtent l="0" t="0" r="9525" b="0"/>
            <wp:wrapNone/>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l="5820" t="13362" r="5820" b="14224"/>
                    <a:stretch>
                      <a:fillRect/>
                    </a:stretch>
                  </pic:blipFill>
                  <pic:spPr bwMode="auto">
                    <a:xfrm>
                      <a:off x="0" y="0"/>
                      <a:ext cx="4276725" cy="1752600"/>
                    </a:xfrm>
                    <a:prstGeom prst="rect">
                      <a:avLst/>
                    </a:prstGeom>
                    <a:noFill/>
                  </pic:spPr>
                </pic:pic>
              </a:graphicData>
            </a:graphic>
            <wp14:sizeRelH relativeFrom="page">
              <wp14:pctWidth>0</wp14:pctWidth>
            </wp14:sizeRelH>
            <wp14:sizeRelV relativeFrom="page">
              <wp14:pctHeight>0</wp14:pctHeight>
            </wp14:sizeRelV>
          </wp:anchor>
        </w:drawing>
      </w:r>
    </w:p>
    <w:p w:rsidR="002B539F" w:rsidRDefault="002B539F" w:rsidP="002B539F">
      <w:pPr>
        <w:pStyle w:val="NoSpacing"/>
      </w:pPr>
    </w:p>
    <w:p w:rsidR="002B539F" w:rsidRDefault="002B539F" w:rsidP="002B539F">
      <w:pPr>
        <w:jc w:val="center"/>
        <w:rPr>
          <w:rFonts w:cs="Arial"/>
          <w:sz w:val="40"/>
          <w:szCs w:val="40"/>
        </w:rPr>
      </w:pPr>
    </w:p>
    <w:p w:rsidR="002B539F" w:rsidRDefault="002B539F" w:rsidP="002B539F">
      <w:pPr>
        <w:jc w:val="center"/>
        <w:rPr>
          <w:rFonts w:cs="Arial"/>
          <w:sz w:val="40"/>
          <w:szCs w:val="40"/>
        </w:rPr>
      </w:pPr>
    </w:p>
    <w:p w:rsidR="002B539F" w:rsidRDefault="002B539F" w:rsidP="002B539F">
      <w:pPr>
        <w:jc w:val="center"/>
        <w:rPr>
          <w:rFonts w:cs="Arial"/>
          <w:sz w:val="40"/>
          <w:szCs w:val="40"/>
        </w:rPr>
      </w:pPr>
    </w:p>
    <w:p w:rsidR="002B539F" w:rsidRDefault="002B539F" w:rsidP="002B539F">
      <w:pPr>
        <w:jc w:val="center"/>
        <w:rPr>
          <w:rFonts w:cs="Arial"/>
          <w:sz w:val="40"/>
          <w:szCs w:val="40"/>
        </w:rPr>
      </w:pPr>
    </w:p>
    <w:p w:rsidR="002B539F" w:rsidRDefault="002B539F" w:rsidP="002B539F">
      <w:pPr>
        <w:rPr>
          <w:rFonts w:cs="Arial"/>
          <w:sz w:val="40"/>
          <w:szCs w:val="40"/>
        </w:rPr>
      </w:pPr>
    </w:p>
    <w:p w:rsidR="002B539F" w:rsidRPr="002B539F" w:rsidRDefault="002B539F" w:rsidP="002B539F">
      <w:pPr>
        <w:pStyle w:val="NoSpacing"/>
      </w:pPr>
    </w:p>
    <w:p w:rsidR="002B539F" w:rsidRPr="002B539F" w:rsidRDefault="002B539F" w:rsidP="002B539F">
      <w:pPr>
        <w:jc w:val="center"/>
        <w:rPr>
          <w:rFonts w:cs="Arial"/>
          <w:sz w:val="50"/>
          <w:szCs w:val="50"/>
        </w:rPr>
      </w:pPr>
      <w:r w:rsidRPr="002B539F">
        <w:rPr>
          <w:rFonts w:cs="Arial"/>
          <w:sz w:val="50"/>
          <w:szCs w:val="50"/>
        </w:rPr>
        <w:t>Denika Brooks</w:t>
      </w:r>
    </w:p>
    <w:p w:rsidR="002B539F" w:rsidRPr="002B539F" w:rsidRDefault="002B539F" w:rsidP="002B539F">
      <w:pPr>
        <w:jc w:val="center"/>
        <w:rPr>
          <w:rFonts w:cs="Arial"/>
          <w:sz w:val="50"/>
          <w:szCs w:val="50"/>
        </w:rPr>
      </w:pPr>
      <w:r w:rsidRPr="002B539F">
        <w:rPr>
          <w:rFonts w:cs="Arial"/>
          <w:sz w:val="50"/>
          <w:szCs w:val="50"/>
        </w:rPr>
        <w:t>P123714</w:t>
      </w:r>
    </w:p>
    <w:p w:rsidR="002B539F" w:rsidRPr="002B539F" w:rsidRDefault="002B539F" w:rsidP="002B539F">
      <w:pPr>
        <w:rPr>
          <w:rFonts w:cs="Arial"/>
          <w:sz w:val="50"/>
          <w:szCs w:val="50"/>
        </w:rPr>
      </w:pPr>
    </w:p>
    <w:p w:rsidR="004B17F0" w:rsidRPr="004B17F0" w:rsidRDefault="004B17F0" w:rsidP="004B17F0">
      <w:pPr>
        <w:jc w:val="center"/>
        <w:rPr>
          <w:rFonts w:cstheme="minorHAnsi"/>
          <w:b/>
          <w:sz w:val="50"/>
          <w:szCs w:val="50"/>
        </w:rPr>
      </w:pPr>
      <w:r w:rsidRPr="004B17F0">
        <w:rPr>
          <w:rFonts w:cstheme="minorHAnsi"/>
          <w:b/>
          <w:sz w:val="50"/>
          <w:szCs w:val="50"/>
        </w:rPr>
        <w:t>How engaged are pupils in Enhanced Provision areas when ICT is introduced?</w:t>
      </w:r>
    </w:p>
    <w:p w:rsidR="002B539F" w:rsidRPr="004B17F0" w:rsidRDefault="002B539F" w:rsidP="004B17F0">
      <w:pPr>
        <w:jc w:val="center"/>
        <w:rPr>
          <w:sz w:val="50"/>
          <w:szCs w:val="50"/>
        </w:rPr>
      </w:pPr>
    </w:p>
    <w:p w:rsidR="004B17F0" w:rsidRPr="004B17F0" w:rsidRDefault="004B17F0" w:rsidP="004B17F0">
      <w:pPr>
        <w:pStyle w:val="NoSpacing"/>
      </w:pPr>
    </w:p>
    <w:p w:rsidR="00184C83" w:rsidRPr="00184C83" w:rsidRDefault="00184C83" w:rsidP="00184C83">
      <w:pPr>
        <w:pStyle w:val="NoSpacing"/>
      </w:pPr>
    </w:p>
    <w:p w:rsidR="00184C83" w:rsidRPr="002B539F" w:rsidRDefault="00184C83" w:rsidP="00184C83">
      <w:pPr>
        <w:pStyle w:val="BodyText3"/>
        <w:ind w:right="-177"/>
        <w:jc w:val="center"/>
        <w:rPr>
          <w:rFonts w:asciiTheme="minorHAnsi" w:hAnsiTheme="minorHAnsi" w:cs="Arial"/>
          <w:sz w:val="50"/>
          <w:szCs w:val="50"/>
          <w:highlight w:val="yellow"/>
        </w:rPr>
      </w:pPr>
      <w:r w:rsidRPr="002B539F">
        <w:rPr>
          <w:rFonts w:asciiTheme="minorHAnsi" w:hAnsiTheme="minorHAnsi" w:cs="Arial"/>
          <w:sz w:val="50"/>
          <w:szCs w:val="50"/>
        </w:rPr>
        <w:t>Module Code: ECPP7001</w:t>
      </w:r>
    </w:p>
    <w:p w:rsidR="00184C83" w:rsidRPr="002B539F" w:rsidRDefault="00184C83" w:rsidP="00184C83">
      <w:pPr>
        <w:pStyle w:val="BodyText3"/>
        <w:ind w:right="-177"/>
        <w:jc w:val="center"/>
        <w:rPr>
          <w:rFonts w:asciiTheme="minorHAnsi" w:hAnsiTheme="minorHAnsi" w:cs="Arial"/>
          <w:sz w:val="50"/>
          <w:szCs w:val="50"/>
        </w:rPr>
      </w:pPr>
      <w:r w:rsidRPr="002B539F">
        <w:rPr>
          <w:rFonts w:asciiTheme="minorHAnsi" w:hAnsiTheme="minorHAnsi" w:cs="Arial"/>
          <w:sz w:val="50"/>
          <w:szCs w:val="50"/>
        </w:rPr>
        <w:t>Module Title: The Enquiring Teacher</w:t>
      </w:r>
    </w:p>
    <w:p w:rsidR="00184C83" w:rsidRPr="002B539F" w:rsidRDefault="00184C83" w:rsidP="00184C83">
      <w:pPr>
        <w:spacing w:after="0" w:line="360" w:lineRule="auto"/>
        <w:jc w:val="center"/>
        <w:rPr>
          <w:sz w:val="50"/>
          <w:szCs w:val="50"/>
        </w:rPr>
      </w:pPr>
      <w:r w:rsidRPr="002B539F">
        <w:rPr>
          <w:sz w:val="50"/>
          <w:szCs w:val="50"/>
        </w:rPr>
        <w:t>Date of submission: 4</w:t>
      </w:r>
      <w:r w:rsidRPr="002B539F">
        <w:rPr>
          <w:sz w:val="50"/>
          <w:szCs w:val="50"/>
          <w:vertAlign w:val="superscript"/>
        </w:rPr>
        <w:t>th</w:t>
      </w:r>
      <w:r w:rsidRPr="002B539F">
        <w:rPr>
          <w:sz w:val="50"/>
          <w:szCs w:val="50"/>
        </w:rPr>
        <w:t xml:space="preserve"> March 2019</w:t>
      </w:r>
    </w:p>
    <w:p w:rsidR="00184C83" w:rsidRDefault="00184C83" w:rsidP="002B539F">
      <w:pPr>
        <w:pStyle w:val="NoSpacing"/>
        <w:rPr>
          <w:sz w:val="50"/>
          <w:szCs w:val="50"/>
        </w:rPr>
      </w:pPr>
    </w:p>
    <w:p w:rsidR="002B539F" w:rsidRDefault="002B539F" w:rsidP="002B539F">
      <w:pPr>
        <w:pStyle w:val="NoSpacing"/>
        <w:rPr>
          <w:sz w:val="50"/>
          <w:szCs w:val="50"/>
        </w:rPr>
      </w:pPr>
      <w:r>
        <w:rPr>
          <w:rFonts w:cs="Arial"/>
          <w:noProof/>
          <w:sz w:val="40"/>
          <w:szCs w:val="40"/>
        </w:rPr>
        <mc:AlternateContent>
          <mc:Choice Requires="wps">
            <w:drawing>
              <wp:anchor distT="0" distB="0" distL="114300" distR="114300" simplePos="0" relativeHeight="251662336" behindDoc="0" locked="0" layoutInCell="1" allowOverlap="1" wp14:anchorId="73D94606" wp14:editId="7160488A">
                <wp:simplePos x="0" y="0"/>
                <wp:positionH relativeFrom="column">
                  <wp:posOffset>-704850</wp:posOffset>
                </wp:positionH>
                <wp:positionV relativeFrom="paragraph">
                  <wp:posOffset>523240</wp:posOffset>
                </wp:positionV>
                <wp:extent cx="7181850" cy="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718185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55.5pt,41.2pt" to="510pt,4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" strokecolor="black [3213]" strokeweight="1.5pt"/>
            </w:pict>
          </mc:Fallback>
        </mc:AlternateContent>
      </w:r>
    </w:p>
    <w:p w:rsidR="002B539F" w:rsidRDefault="002B539F" w:rsidP="002B539F"/>
    <w:p w:rsidR="002B539F" w:rsidRPr="0087426C" w:rsidRDefault="002B539F" w:rsidP="002B539F">
      <w:pPr>
        <w:pStyle w:val="NoSpacing"/>
        <w:rPr>
          <w:sz w:val="30"/>
          <w:szCs w:val="30"/>
        </w:rPr>
      </w:pPr>
    </w:p>
    <w:p w:rsidR="004970A9" w:rsidRPr="0087426C" w:rsidRDefault="004970A9" w:rsidP="004970A9">
      <w:pPr>
        <w:spacing w:after="0" w:line="360" w:lineRule="auto"/>
        <w:rPr>
          <w:b/>
          <w:sz w:val="30"/>
          <w:szCs w:val="30"/>
        </w:rPr>
      </w:pPr>
      <w:r w:rsidRPr="0087426C">
        <w:rPr>
          <w:b/>
          <w:sz w:val="30"/>
          <w:szCs w:val="30"/>
          <w:u w:val="single"/>
        </w:rPr>
        <w:t>Contents Page.</w:t>
      </w:r>
    </w:p>
    <w:p w:rsidR="004970A9" w:rsidRPr="0087426C" w:rsidRDefault="004970A9" w:rsidP="004970A9">
      <w:pPr>
        <w:pStyle w:val="NoSpacing"/>
        <w:spacing w:line="360" w:lineRule="auto"/>
        <w:rPr>
          <w:sz w:val="30"/>
          <w:szCs w:val="30"/>
        </w:rPr>
      </w:pPr>
    </w:p>
    <w:p w:rsidR="004970A9" w:rsidRPr="00966AD2" w:rsidRDefault="004970A9" w:rsidP="004970A9">
      <w:pPr>
        <w:pStyle w:val="NoSpacing"/>
        <w:numPr>
          <w:ilvl w:val="0"/>
          <w:numId w:val="2"/>
        </w:numPr>
        <w:spacing w:line="360" w:lineRule="auto"/>
        <w:ind w:left="0"/>
        <w:rPr>
          <w:color w:val="FF0000"/>
          <w:sz w:val="30"/>
          <w:szCs w:val="30"/>
        </w:rPr>
      </w:pPr>
      <w:r w:rsidRPr="0043750C">
        <w:rPr>
          <w:color w:val="FF0000"/>
          <w:sz w:val="30"/>
          <w:szCs w:val="30"/>
        </w:rPr>
        <w:t xml:space="preserve">Aims </w:t>
      </w:r>
      <w:r w:rsidRPr="00966AD2">
        <w:rPr>
          <w:color w:val="FF0000"/>
          <w:sz w:val="30"/>
          <w:szCs w:val="30"/>
        </w:rPr>
        <w:t>focus and purpose of study.</w:t>
      </w:r>
    </w:p>
    <w:p w:rsidR="004970A9" w:rsidRPr="00966AD2" w:rsidRDefault="004970A9" w:rsidP="004970A9">
      <w:pPr>
        <w:pStyle w:val="NoSpacing"/>
        <w:numPr>
          <w:ilvl w:val="0"/>
          <w:numId w:val="2"/>
        </w:numPr>
        <w:spacing w:line="360" w:lineRule="auto"/>
        <w:ind w:left="0"/>
        <w:rPr>
          <w:color w:val="FF0000"/>
          <w:sz w:val="30"/>
          <w:szCs w:val="30"/>
        </w:rPr>
      </w:pPr>
      <w:r w:rsidRPr="00966AD2">
        <w:rPr>
          <w:color w:val="FF0000"/>
          <w:sz w:val="30"/>
          <w:szCs w:val="30"/>
        </w:rPr>
        <w:t>Research content.</w:t>
      </w:r>
    </w:p>
    <w:p w:rsidR="004970A9" w:rsidRPr="00966AD2" w:rsidRDefault="004970A9" w:rsidP="004970A9">
      <w:pPr>
        <w:pStyle w:val="NoSpacing"/>
        <w:numPr>
          <w:ilvl w:val="0"/>
          <w:numId w:val="2"/>
        </w:numPr>
        <w:spacing w:line="360" w:lineRule="auto"/>
        <w:ind w:left="0"/>
        <w:rPr>
          <w:color w:val="FF0000"/>
          <w:sz w:val="30"/>
          <w:szCs w:val="30"/>
        </w:rPr>
      </w:pPr>
      <w:r w:rsidRPr="00966AD2">
        <w:rPr>
          <w:color w:val="FF0000"/>
          <w:sz w:val="30"/>
          <w:szCs w:val="30"/>
        </w:rPr>
        <w:t>Literature review.</w:t>
      </w:r>
    </w:p>
    <w:p w:rsidR="004970A9" w:rsidRPr="00966AD2" w:rsidRDefault="004970A9" w:rsidP="004970A9">
      <w:pPr>
        <w:pStyle w:val="NoSpacing"/>
        <w:numPr>
          <w:ilvl w:val="0"/>
          <w:numId w:val="2"/>
        </w:numPr>
        <w:spacing w:line="360" w:lineRule="auto"/>
        <w:ind w:left="0"/>
        <w:rPr>
          <w:color w:val="FF0000"/>
          <w:sz w:val="30"/>
          <w:szCs w:val="30"/>
        </w:rPr>
      </w:pPr>
      <w:r w:rsidRPr="00966AD2">
        <w:rPr>
          <w:color w:val="FF0000"/>
          <w:sz w:val="30"/>
          <w:szCs w:val="30"/>
        </w:rPr>
        <w:t>Research methods.</w:t>
      </w:r>
    </w:p>
    <w:p w:rsidR="004970A9" w:rsidRPr="0043750C" w:rsidRDefault="004970A9" w:rsidP="004970A9">
      <w:pPr>
        <w:pStyle w:val="NoSpacing"/>
        <w:numPr>
          <w:ilvl w:val="0"/>
          <w:numId w:val="2"/>
        </w:numPr>
        <w:spacing w:line="360" w:lineRule="auto"/>
        <w:ind w:left="0"/>
        <w:rPr>
          <w:color w:val="FF0000"/>
          <w:sz w:val="30"/>
          <w:szCs w:val="30"/>
        </w:rPr>
      </w:pPr>
      <w:r w:rsidRPr="0043750C">
        <w:rPr>
          <w:color w:val="FF0000"/>
          <w:sz w:val="30"/>
          <w:szCs w:val="30"/>
        </w:rPr>
        <w:t>Ethical consideration.</w:t>
      </w:r>
    </w:p>
    <w:p w:rsidR="004970A9" w:rsidRPr="0087426C" w:rsidRDefault="004970A9" w:rsidP="004970A9">
      <w:pPr>
        <w:pStyle w:val="NoSpacing"/>
        <w:numPr>
          <w:ilvl w:val="0"/>
          <w:numId w:val="2"/>
        </w:numPr>
        <w:spacing w:line="360" w:lineRule="auto"/>
        <w:ind w:left="0"/>
        <w:rPr>
          <w:sz w:val="30"/>
          <w:szCs w:val="30"/>
        </w:rPr>
      </w:pPr>
      <w:r w:rsidRPr="0087426C">
        <w:rPr>
          <w:sz w:val="30"/>
          <w:szCs w:val="30"/>
        </w:rPr>
        <w:t>Results.</w:t>
      </w:r>
    </w:p>
    <w:p w:rsidR="00184C83" w:rsidRPr="0087426C" w:rsidRDefault="00184C83" w:rsidP="00184C83">
      <w:pPr>
        <w:pStyle w:val="NoSpacing"/>
        <w:spacing w:line="360" w:lineRule="auto"/>
        <w:rPr>
          <w:sz w:val="30"/>
          <w:szCs w:val="30"/>
        </w:rPr>
      </w:pPr>
      <w:r w:rsidRPr="0087426C">
        <w:rPr>
          <w:sz w:val="30"/>
          <w:szCs w:val="30"/>
        </w:rPr>
        <w:t>Lesson Study 1</w:t>
      </w:r>
    </w:p>
    <w:p w:rsidR="00184C83" w:rsidRPr="0087426C" w:rsidRDefault="00184C83" w:rsidP="00184C83">
      <w:pPr>
        <w:pStyle w:val="NoSpacing"/>
        <w:spacing w:line="360" w:lineRule="auto"/>
        <w:rPr>
          <w:sz w:val="30"/>
          <w:szCs w:val="30"/>
        </w:rPr>
      </w:pPr>
      <w:r w:rsidRPr="0087426C">
        <w:rPr>
          <w:sz w:val="30"/>
          <w:szCs w:val="30"/>
        </w:rPr>
        <w:t>Lesson Study 2</w:t>
      </w:r>
    </w:p>
    <w:p w:rsidR="004970A9" w:rsidRPr="0087426C" w:rsidRDefault="004970A9" w:rsidP="004970A9">
      <w:pPr>
        <w:pStyle w:val="NoSpacing"/>
        <w:numPr>
          <w:ilvl w:val="0"/>
          <w:numId w:val="2"/>
        </w:numPr>
        <w:spacing w:line="360" w:lineRule="auto"/>
        <w:ind w:left="0"/>
        <w:rPr>
          <w:sz w:val="30"/>
          <w:szCs w:val="30"/>
        </w:rPr>
      </w:pPr>
      <w:r w:rsidRPr="0087426C">
        <w:rPr>
          <w:sz w:val="30"/>
          <w:szCs w:val="30"/>
        </w:rPr>
        <w:t>Discussion of research findings in relation to related literature and research.</w:t>
      </w:r>
    </w:p>
    <w:p w:rsidR="004970A9" w:rsidRPr="0087426C" w:rsidRDefault="004970A9" w:rsidP="004970A9">
      <w:pPr>
        <w:pStyle w:val="NoSpacing"/>
        <w:numPr>
          <w:ilvl w:val="0"/>
          <w:numId w:val="2"/>
        </w:numPr>
        <w:spacing w:line="360" w:lineRule="auto"/>
        <w:ind w:left="0"/>
        <w:rPr>
          <w:sz w:val="30"/>
          <w:szCs w:val="30"/>
        </w:rPr>
      </w:pPr>
      <w:r w:rsidRPr="0087426C">
        <w:rPr>
          <w:sz w:val="30"/>
          <w:szCs w:val="30"/>
        </w:rPr>
        <w:t>Conclusion.</w:t>
      </w:r>
    </w:p>
    <w:p w:rsidR="0043750C" w:rsidRPr="0043750C" w:rsidRDefault="004970A9" w:rsidP="0043750C">
      <w:pPr>
        <w:pStyle w:val="NoSpacing"/>
        <w:numPr>
          <w:ilvl w:val="0"/>
          <w:numId w:val="2"/>
        </w:numPr>
        <w:spacing w:line="360" w:lineRule="auto"/>
        <w:ind w:left="0"/>
        <w:rPr>
          <w:b/>
          <w:sz w:val="24"/>
          <w:szCs w:val="24"/>
          <w:u w:val="single"/>
        </w:rPr>
      </w:pPr>
      <w:r w:rsidRPr="0087426C">
        <w:rPr>
          <w:sz w:val="30"/>
          <w:szCs w:val="30"/>
        </w:rPr>
        <w:t>Recommendations.</w:t>
      </w:r>
    </w:p>
    <w:p w:rsidR="004970A9" w:rsidRDefault="0043750C" w:rsidP="0043750C">
      <w:pPr>
        <w:pStyle w:val="NoSpacing"/>
        <w:numPr>
          <w:ilvl w:val="0"/>
          <w:numId w:val="2"/>
        </w:numPr>
        <w:spacing w:line="360" w:lineRule="auto"/>
        <w:ind w:left="0"/>
        <w:rPr>
          <w:b/>
          <w:sz w:val="24"/>
          <w:szCs w:val="24"/>
          <w:u w:val="single"/>
        </w:rPr>
      </w:pPr>
      <w:r>
        <w:rPr>
          <w:sz w:val="30"/>
          <w:szCs w:val="30"/>
        </w:rPr>
        <w:t>References</w:t>
      </w:r>
      <w:r>
        <w:rPr>
          <w:b/>
          <w:sz w:val="24"/>
          <w:szCs w:val="24"/>
          <w:u w:val="single"/>
        </w:rPr>
        <w:t xml:space="preserve"> </w:t>
      </w: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184C83" w:rsidRDefault="00184C83" w:rsidP="00F65B32">
      <w:pPr>
        <w:pStyle w:val="NoSpacing"/>
        <w:rPr>
          <w:b/>
          <w:sz w:val="24"/>
          <w:szCs w:val="24"/>
          <w:u w:val="single"/>
        </w:rPr>
      </w:pPr>
    </w:p>
    <w:p w:rsidR="004970A9" w:rsidRDefault="004970A9" w:rsidP="00F65B32">
      <w:pPr>
        <w:pStyle w:val="NoSpacing"/>
        <w:rPr>
          <w:b/>
          <w:sz w:val="24"/>
          <w:szCs w:val="24"/>
          <w:u w:val="single"/>
        </w:rPr>
      </w:pPr>
    </w:p>
    <w:p w:rsidR="004970A9" w:rsidRDefault="004970A9" w:rsidP="00F65B32">
      <w:pPr>
        <w:pStyle w:val="NoSpacing"/>
        <w:rPr>
          <w:b/>
          <w:sz w:val="24"/>
          <w:szCs w:val="24"/>
          <w:u w:val="single"/>
        </w:rPr>
      </w:pPr>
    </w:p>
    <w:p w:rsidR="0076280C" w:rsidRDefault="0076280C" w:rsidP="0043750C">
      <w:pPr>
        <w:pStyle w:val="NoSpacing"/>
        <w:spacing w:line="360" w:lineRule="auto"/>
        <w:rPr>
          <w:b/>
          <w:sz w:val="24"/>
          <w:szCs w:val="24"/>
          <w:u w:val="single"/>
        </w:rPr>
      </w:pPr>
    </w:p>
    <w:p w:rsidR="00102CAF" w:rsidRPr="0043750C" w:rsidRDefault="00102CAF" w:rsidP="0043750C">
      <w:pPr>
        <w:pStyle w:val="NoSpacing"/>
        <w:spacing w:line="360" w:lineRule="auto"/>
        <w:rPr>
          <w:b/>
          <w:sz w:val="24"/>
          <w:szCs w:val="24"/>
          <w:u w:val="single"/>
        </w:rPr>
      </w:pPr>
      <w:r w:rsidRPr="0043750C">
        <w:rPr>
          <w:b/>
          <w:sz w:val="24"/>
          <w:szCs w:val="24"/>
          <w:u w:val="single"/>
        </w:rPr>
        <w:lastRenderedPageBreak/>
        <w:t>Aims, focus and purpose of research</w:t>
      </w:r>
    </w:p>
    <w:p w:rsidR="00102CAF" w:rsidRPr="0043750C" w:rsidRDefault="00102CAF" w:rsidP="0043750C">
      <w:pPr>
        <w:pStyle w:val="NoSpacing"/>
        <w:spacing w:line="360" w:lineRule="auto"/>
        <w:rPr>
          <w:b/>
          <w:sz w:val="24"/>
          <w:szCs w:val="24"/>
          <w:u w:val="single"/>
        </w:rPr>
      </w:pPr>
    </w:p>
    <w:p w:rsidR="00102CAF" w:rsidRPr="0043750C" w:rsidRDefault="00102CAF" w:rsidP="0043750C">
      <w:pPr>
        <w:spacing w:after="0" w:line="360" w:lineRule="auto"/>
        <w:rPr>
          <w:sz w:val="24"/>
          <w:szCs w:val="24"/>
        </w:rPr>
      </w:pPr>
      <w:r w:rsidRPr="0043750C">
        <w:rPr>
          <w:sz w:val="24"/>
          <w:szCs w:val="24"/>
        </w:rPr>
        <w:t xml:space="preserve">As practitioners we are responsible for providing tasks that enhance pupils learning and engagement. The research question was devised from a personal interest in how pupils are engaged whilst learning independently. This derived from my recent Primary School placement, where I managed and planned for continuous and enhanced provision tasks in different areas of the classroom. I modelled and modified resources that the class teacher had made available for the pupils, which were continuously non-ICT. Pupils engaged and made progress with the tasks. However, during free choice, I observed the class and found that almost 1/3 of pupils were eager to play on an iPad. When interacting with this </w:t>
      </w:r>
      <w:r w:rsidR="000638DE">
        <w:rPr>
          <w:sz w:val="24"/>
          <w:szCs w:val="24"/>
        </w:rPr>
        <w:t>particular</w:t>
      </w:r>
      <w:r w:rsidRPr="0043750C">
        <w:rPr>
          <w:sz w:val="24"/>
          <w:szCs w:val="24"/>
        </w:rPr>
        <w:t xml:space="preserve"> technology</w:t>
      </w:r>
      <w:r w:rsidR="000638DE">
        <w:rPr>
          <w:sz w:val="24"/>
          <w:szCs w:val="24"/>
        </w:rPr>
        <w:t xml:space="preserve"> device</w:t>
      </w:r>
      <w:r w:rsidRPr="0043750C">
        <w:rPr>
          <w:sz w:val="24"/>
          <w:szCs w:val="24"/>
        </w:rPr>
        <w:t xml:space="preserve">, pupils were fully involved with the apps they had chosen, showing only little signs of distraction. This then brought to my attention, if ICT was incorporated in enhanced provision areas, how would this affect </w:t>
      </w:r>
      <w:r w:rsidR="00972D2C" w:rsidRPr="0043750C">
        <w:rPr>
          <w:sz w:val="24"/>
          <w:szCs w:val="24"/>
        </w:rPr>
        <w:t>pupils’</w:t>
      </w:r>
      <w:r w:rsidRPr="0043750C">
        <w:rPr>
          <w:sz w:val="24"/>
          <w:szCs w:val="24"/>
        </w:rPr>
        <w:t xml:space="preserve"> independent learning?</w:t>
      </w:r>
    </w:p>
    <w:p w:rsidR="00102CAF" w:rsidRPr="0043750C" w:rsidRDefault="00102CAF" w:rsidP="0043750C">
      <w:pPr>
        <w:pStyle w:val="NoSpacing"/>
        <w:spacing w:line="360" w:lineRule="auto"/>
        <w:rPr>
          <w:b/>
          <w:sz w:val="24"/>
          <w:szCs w:val="24"/>
          <w:u w:val="single"/>
        </w:rPr>
      </w:pPr>
    </w:p>
    <w:p w:rsidR="004970A9" w:rsidRPr="0043750C" w:rsidRDefault="004970A9" w:rsidP="004B17F0">
      <w:pPr>
        <w:spacing w:after="0" w:line="360" w:lineRule="auto"/>
        <w:rPr>
          <w:b/>
          <w:sz w:val="24"/>
          <w:szCs w:val="24"/>
          <w:u w:val="single"/>
        </w:rPr>
      </w:pPr>
      <w:r w:rsidRPr="0043750C">
        <w:rPr>
          <w:b/>
          <w:sz w:val="24"/>
          <w:szCs w:val="24"/>
          <w:u w:val="single"/>
        </w:rPr>
        <w:t>Research content</w:t>
      </w:r>
    </w:p>
    <w:p w:rsidR="0076280C" w:rsidRDefault="0076280C" w:rsidP="004B17F0">
      <w:pPr>
        <w:spacing w:after="0" w:line="360" w:lineRule="auto"/>
        <w:rPr>
          <w:sz w:val="24"/>
          <w:szCs w:val="24"/>
        </w:rPr>
      </w:pPr>
    </w:p>
    <w:p w:rsidR="004B17F0" w:rsidRPr="004B17F0" w:rsidRDefault="004970A9" w:rsidP="004B17F0">
      <w:pPr>
        <w:spacing w:after="0" w:line="360" w:lineRule="auto"/>
        <w:rPr>
          <w:rFonts w:cstheme="minorHAnsi"/>
          <w:sz w:val="24"/>
          <w:szCs w:val="24"/>
        </w:rPr>
      </w:pPr>
      <w:r w:rsidRPr="0043750C">
        <w:rPr>
          <w:sz w:val="24"/>
          <w:szCs w:val="24"/>
        </w:rPr>
        <w:t>I discussed my research proposal with my research partner and both agreed that ICT can change the dynamics of the learning environment and the way in which pupils learn and engage (</w:t>
      </w:r>
      <w:r w:rsidRPr="004B17F0">
        <w:rPr>
          <w:sz w:val="24"/>
          <w:szCs w:val="24"/>
        </w:rPr>
        <w:t xml:space="preserve">Weiss, 2006). We collaborated and devised the title for this study, our research question is: </w:t>
      </w:r>
      <w:r w:rsidR="004B17F0" w:rsidRPr="004B17F0">
        <w:rPr>
          <w:rFonts w:cstheme="minorHAnsi"/>
          <w:sz w:val="24"/>
          <w:szCs w:val="24"/>
        </w:rPr>
        <w:t>How engaged are pupils in Enhanced Provision areas when ICT is introduced?</w:t>
      </w:r>
    </w:p>
    <w:p w:rsidR="004970A9" w:rsidRPr="0043750C" w:rsidRDefault="004970A9" w:rsidP="004B17F0">
      <w:pPr>
        <w:pStyle w:val="NoSpacing"/>
        <w:spacing w:line="360" w:lineRule="auto"/>
        <w:rPr>
          <w:sz w:val="24"/>
          <w:szCs w:val="24"/>
        </w:rPr>
      </w:pPr>
      <w:r w:rsidRPr="004B17F0">
        <w:rPr>
          <w:sz w:val="24"/>
          <w:szCs w:val="24"/>
        </w:rPr>
        <w:t xml:space="preserve"> The research question was devised from our interest in how pupils can be engage</w:t>
      </w:r>
      <w:r w:rsidR="00972D2C" w:rsidRPr="004B17F0">
        <w:rPr>
          <w:sz w:val="24"/>
          <w:szCs w:val="24"/>
        </w:rPr>
        <w:t>d whilst learning independently and further</w:t>
      </w:r>
      <w:r w:rsidRPr="004B17F0">
        <w:rPr>
          <w:sz w:val="24"/>
          <w:szCs w:val="24"/>
        </w:rPr>
        <w:t xml:space="preserve"> exploring the changes to engagement when ICT is introduced. Donaldson</w:t>
      </w:r>
      <w:r w:rsidRPr="0043750C">
        <w:rPr>
          <w:sz w:val="24"/>
          <w:szCs w:val="24"/>
        </w:rPr>
        <w:t xml:space="preserve"> (2015), Successful Futures report represents the development of the Digital Competency Framework (DCF) that supports the use of ICT in a cross curricular manner. This research study aims to explore how introducing ICT to areas of Enhanced Provision effects the engagement of children in the Foundation Phase. We aim to investigate whether the introduction of placing ICT devices, namely iPads, cameras, sound buttons and recording devices into a variety of learning areas promotes pupil’s engagement with the focus task planned, in line with Enhanced Provision guidance detailed in the Foundation Phase framework (2015).</w:t>
      </w:r>
    </w:p>
    <w:p w:rsidR="004970A9" w:rsidRPr="0043750C" w:rsidRDefault="004970A9" w:rsidP="0043750C">
      <w:pPr>
        <w:pStyle w:val="NoSpacing"/>
        <w:spacing w:line="360" w:lineRule="auto"/>
        <w:rPr>
          <w:sz w:val="24"/>
          <w:szCs w:val="24"/>
        </w:rPr>
      </w:pPr>
      <w:r w:rsidRPr="0043750C">
        <w:rPr>
          <w:sz w:val="24"/>
          <w:szCs w:val="24"/>
        </w:rPr>
        <w:lastRenderedPageBreak/>
        <w:t xml:space="preserve">This research study will take place in a school context. School </w:t>
      </w:r>
      <w:r w:rsidR="005D63DE">
        <w:rPr>
          <w:sz w:val="24"/>
          <w:szCs w:val="24"/>
        </w:rPr>
        <w:t>1</w:t>
      </w:r>
      <w:r w:rsidRPr="0043750C">
        <w:rPr>
          <w:sz w:val="24"/>
          <w:szCs w:val="24"/>
        </w:rPr>
        <w:t xml:space="preserve"> is a small urban, community school in a village in South Wales. The school currently has approximately 130 pupils from the age of three to eleven. This will be Study 1 and involve pupils in a reception class. School </w:t>
      </w:r>
      <w:r w:rsidR="005D63DE">
        <w:rPr>
          <w:sz w:val="24"/>
          <w:szCs w:val="24"/>
        </w:rPr>
        <w:t>2</w:t>
      </w:r>
      <w:bookmarkStart w:id="0" w:name="_GoBack"/>
      <w:bookmarkEnd w:id="0"/>
      <w:r w:rsidRPr="0043750C">
        <w:rPr>
          <w:sz w:val="24"/>
          <w:szCs w:val="24"/>
        </w:rPr>
        <w:t xml:space="preserve"> </w:t>
      </w:r>
      <w:r w:rsidRPr="0043750C">
        <w:rPr>
          <w:spacing w:val="-3"/>
          <w:sz w:val="24"/>
          <w:szCs w:val="24"/>
        </w:rPr>
        <w:t xml:space="preserve">is </w:t>
      </w:r>
      <w:r w:rsidRPr="0043750C">
        <w:rPr>
          <w:sz w:val="24"/>
          <w:szCs w:val="24"/>
        </w:rPr>
        <w:t xml:space="preserve">larger community school also located </w:t>
      </w:r>
      <w:r w:rsidRPr="0043750C">
        <w:rPr>
          <w:spacing w:val="-3"/>
          <w:sz w:val="24"/>
          <w:szCs w:val="24"/>
        </w:rPr>
        <w:t xml:space="preserve">in </w:t>
      </w:r>
      <w:r w:rsidRPr="0043750C">
        <w:rPr>
          <w:sz w:val="24"/>
          <w:szCs w:val="24"/>
        </w:rPr>
        <w:t>South Wales. There are approximately 400 pupils between the ages of three and eleven, organised into 14 classes. This will be Study 2 and involve pupils in a Year 2 class.</w:t>
      </w:r>
    </w:p>
    <w:p w:rsidR="00102CAF" w:rsidRPr="0043750C" w:rsidRDefault="00102CAF" w:rsidP="0043750C">
      <w:pPr>
        <w:pStyle w:val="NoSpacing"/>
        <w:spacing w:line="360" w:lineRule="auto"/>
        <w:rPr>
          <w:b/>
          <w:sz w:val="24"/>
          <w:szCs w:val="24"/>
          <w:u w:val="single"/>
        </w:rPr>
      </w:pPr>
    </w:p>
    <w:p w:rsidR="00102CAF" w:rsidRPr="0043750C" w:rsidRDefault="00102CAF"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ED589C">
      <w:pPr>
        <w:pStyle w:val="NoSpacing"/>
        <w:spacing w:line="360" w:lineRule="auto"/>
        <w:rPr>
          <w:b/>
          <w:sz w:val="24"/>
          <w:szCs w:val="24"/>
          <w:u w:val="single"/>
        </w:rPr>
      </w:pPr>
    </w:p>
    <w:p w:rsidR="00B74900" w:rsidRPr="0043750C" w:rsidRDefault="00B74900" w:rsidP="00ED589C">
      <w:pPr>
        <w:pStyle w:val="NoSpacing"/>
        <w:spacing w:line="360" w:lineRule="auto"/>
        <w:rPr>
          <w:b/>
          <w:sz w:val="24"/>
          <w:szCs w:val="24"/>
          <w:u w:val="single"/>
        </w:rPr>
      </w:pPr>
    </w:p>
    <w:p w:rsidR="00B74900" w:rsidRDefault="00B74900" w:rsidP="00ED589C">
      <w:pPr>
        <w:pStyle w:val="NoSpacing"/>
        <w:spacing w:line="360" w:lineRule="auto"/>
        <w:rPr>
          <w:b/>
          <w:sz w:val="24"/>
          <w:szCs w:val="24"/>
          <w:u w:val="single"/>
        </w:rPr>
      </w:pPr>
    </w:p>
    <w:p w:rsidR="0076280C" w:rsidRDefault="0076280C" w:rsidP="00ED589C">
      <w:pPr>
        <w:pStyle w:val="NoSpacing"/>
        <w:spacing w:line="360" w:lineRule="auto"/>
        <w:rPr>
          <w:b/>
          <w:sz w:val="24"/>
          <w:szCs w:val="24"/>
          <w:u w:val="single"/>
        </w:rPr>
      </w:pPr>
    </w:p>
    <w:p w:rsidR="0076280C" w:rsidRDefault="0076280C" w:rsidP="00ED589C">
      <w:pPr>
        <w:pStyle w:val="NoSpacing"/>
        <w:spacing w:line="360" w:lineRule="auto"/>
        <w:rPr>
          <w:b/>
          <w:sz w:val="24"/>
          <w:szCs w:val="24"/>
          <w:u w:val="single"/>
        </w:rPr>
      </w:pPr>
    </w:p>
    <w:p w:rsidR="00B74900" w:rsidRPr="0043750C" w:rsidRDefault="00B74900" w:rsidP="00ED589C">
      <w:pPr>
        <w:pStyle w:val="NoSpacing"/>
        <w:spacing w:line="360" w:lineRule="auto"/>
        <w:rPr>
          <w:sz w:val="24"/>
          <w:szCs w:val="24"/>
        </w:rPr>
      </w:pPr>
      <w:r w:rsidRPr="0043750C">
        <w:rPr>
          <w:b/>
          <w:sz w:val="24"/>
          <w:szCs w:val="24"/>
          <w:u w:val="single"/>
        </w:rPr>
        <w:lastRenderedPageBreak/>
        <w:t>Literature review</w:t>
      </w:r>
    </w:p>
    <w:p w:rsidR="00B74900" w:rsidRPr="0043750C" w:rsidRDefault="00B74900" w:rsidP="00ED589C">
      <w:pPr>
        <w:pStyle w:val="NoSpacing"/>
        <w:spacing w:line="360" w:lineRule="auto"/>
        <w:rPr>
          <w:b/>
          <w:sz w:val="24"/>
          <w:szCs w:val="24"/>
          <w:u w:val="single"/>
        </w:rPr>
      </w:pPr>
    </w:p>
    <w:p w:rsidR="007C58F4" w:rsidRDefault="006E3A54" w:rsidP="00ED589C">
      <w:pPr>
        <w:spacing w:after="0" w:line="360" w:lineRule="auto"/>
        <w:rPr>
          <w:sz w:val="24"/>
          <w:szCs w:val="24"/>
        </w:rPr>
      </w:pPr>
      <w:r w:rsidRPr="0043750C">
        <w:rPr>
          <w:sz w:val="24"/>
          <w:szCs w:val="24"/>
        </w:rPr>
        <w:t>There have been many discussions surrounding this studies research question, based on the use of ICT in primary schools and how this can impact on pupils learning. I have looked further into this by reading books, journal articles, government documents and other on-line materials surrounding this area. There are a large number of studies concerning using ICT in schools. However, these will only be referred to when relevant, as th</w:t>
      </w:r>
      <w:r w:rsidR="004A4504">
        <w:rPr>
          <w:sz w:val="24"/>
          <w:szCs w:val="24"/>
        </w:rPr>
        <w:t xml:space="preserve">e focus of this research is how </w:t>
      </w:r>
      <w:r w:rsidRPr="0043750C">
        <w:rPr>
          <w:sz w:val="24"/>
          <w:szCs w:val="24"/>
        </w:rPr>
        <w:t>ICT engage</w:t>
      </w:r>
      <w:r w:rsidR="004A4504">
        <w:rPr>
          <w:sz w:val="24"/>
          <w:szCs w:val="24"/>
        </w:rPr>
        <w:t>s</w:t>
      </w:r>
      <w:r w:rsidRPr="0043750C">
        <w:rPr>
          <w:sz w:val="24"/>
          <w:szCs w:val="24"/>
        </w:rPr>
        <w:t xml:space="preserve"> pupils and does it enhance independent learning. In helping to refine our research question, we took guidance from </w:t>
      </w:r>
      <w:r w:rsidR="004A4504">
        <w:rPr>
          <w:sz w:val="24"/>
          <w:szCs w:val="24"/>
        </w:rPr>
        <w:t xml:space="preserve">an </w:t>
      </w:r>
      <w:r w:rsidRPr="0043750C">
        <w:rPr>
          <w:sz w:val="24"/>
          <w:szCs w:val="24"/>
        </w:rPr>
        <w:t>Ofsted Annual Report which distinguished that pupils involved in an e-learning programme in primary schools using laptops, technology devices and programming devices, had a significant impact on their learning and progression (Ofsted 2017/2018). This study involved group research, pupils’ voice and reflections, finding that pupils learning can be supported and enhanced through the integration of ICT.</w:t>
      </w:r>
    </w:p>
    <w:p w:rsidR="004A4504" w:rsidRPr="004A4504" w:rsidRDefault="004A4504" w:rsidP="00ED589C">
      <w:pPr>
        <w:pStyle w:val="NoSpacing"/>
        <w:spacing w:line="360" w:lineRule="auto"/>
      </w:pPr>
    </w:p>
    <w:p w:rsidR="007C58F4" w:rsidRPr="0043750C" w:rsidRDefault="007C58F4" w:rsidP="00ED589C">
      <w:pPr>
        <w:pStyle w:val="NoSpacing"/>
        <w:spacing w:line="360" w:lineRule="auto"/>
        <w:rPr>
          <w:sz w:val="24"/>
          <w:szCs w:val="24"/>
        </w:rPr>
      </w:pPr>
      <w:r w:rsidRPr="0043750C">
        <w:rPr>
          <w:sz w:val="24"/>
          <w:szCs w:val="24"/>
        </w:rPr>
        <w:t xml:space="preserve">Other investigations into the incorporation of ICT in primary schools have cited extensive evidence into the potential benefits it has on pupils learning (Prensky, 2004; Facer and Owen, 2005; Savill-Smith, 2005). A study carried out by Carol Savill-Smith and Phillip Kent in 2003 investigated the use of palmtop computers to encourage pupils learning. It was established that the palmtop computers enhanced pupils’ self-motivation, assisted in greater responsibility, developed organisational skills and aided pupils when working independently or collaboratively. This study influenced our decision to use iPads as one of the </w:t>
      </w:r>
      <w:r w:rsidR="004A4504">
        <w:rPr>
          <w:sz w:val="24"/>
          <w:szCs w:val="24"/>
        </w:rPr>
        <w:t xml:space="preserve">chosen </w:t>
      </w:r>
      <w:r w:rsidRPr="0043750C">
        <w:rPr>
          <w:sz w:val="24"/>
          <w:szCs w:val="24"/>
        </w:rPr>
        <w:t>pieces of technology that would be primarily used in this study. IPad devices provide a world of exploration in the classroom (Shepard &amp; Reeves, 2011).</w:t>
      </w:r>
    </w:p>
    <w:p w:rsidR="007C58F4" w:rsidRPr="0043750C" w:rsidRDefault="007C58F4" w:rsidP="00ED589C">
      <w:pPr>
        <w:pStyle w:val="NoSpacing"/>
        <w:spacing w:line="360" w:lineRule="auto"/>
        <w:rPr>
          <w:sz w:val="24"/>
          <w:szCs w:val="24"/>
        </w:rPr>
      </w:pPr>
    </w:p>
    <w:p w:rsidR="007C4869" w:rsidRDefault="009959A1" w:rsidP="00ED589C">
      <w:pPr>
        <w:pStyle w:val="NoSpacing"/>
        <w:spacing w:line="360" w:lineRule="auto"/>
        <w:rPr>
          <w:sz w:val="24"/>
          <w:szCs w:val="24"/>
        </w:rPr>
      </w:pPr>
      <w:r w:rsidRPr="0043750C">
        <w:rPr>
          <w:sz w:val="24"/>
          <w:szCs w:val="24"/>
        </w:rPr>
        <w:t xml:space="preserve">Du’mus (2011) stated that there are several factors that are promoted when the use of modern techniques are used in schools through technology devices, one of them being; motivation of the learner. This suggests that students are encouraged to participate and experience a different way of learning, making opportunities available for them to do </w:t>
      </w:r>
      <w:r w:rsidR="004A4504">
        <w:rPr>
          <w:sz w:val="24"/>
          <w:szCs w:val="24"/>
        </w:rPr>
        <w:t xml:space="preserve">so </w:t>
      </w:r>
      <w:r w:rsidRPr="0043750C">
        <w:rPr>
          <w:sz w:val="24"/>
          <w:szCs w:val="24"/>
        </w:rPr>
        <w:t>through ICT. By providing pupils with a wide range of resources, they will be able to identify their preferred way of learning, being motivated to use new and upcoming technologies as a tool to enhance independent learning.</w:t>
      </w:r>
      <w:r w:rsidR="007C4869" w:rsidRPr="0043750C">
        <w:rPr>
          <w:sz w:val="24"/>
          <w:szCs w:val="24"/>
        </w:rPr>
        <w:t xml:space="preserve"> Karsenti and Fievez (2013) agree with Du’mus (2011) </w:t>
      </w:r>
      <w:r w:rsidR="007C4869" w:rsidRPr="0043750C">
        <w:rPr>
          <w:sz w:val="24"/>
          <w:szCs w:val="24"/>
        </w:rPr>
        <w:lastRenderedPageBreak/>
        <w:t>that features of ICT increase pupils’ motivation within education. Additional benefits concerning the use of ICT include; an increased communication between pupils and teachers, an efficient way for information to be shared around the classroom, improves pupils’ technical competence and assists in the learning process of developing various skills (Shepard and Reeves, 2011).</w:t>
      </w:r>
    </w:p>
    <w:p w:rsidR="00C73683" w:rsidRDefault="00C73683" w:rsidP="00ED589C">
      <w:pPr>
        <w:pStyle w:val="NoSpacing"/>
        <w:spacing w:line="360" w:lineRule="auto"/>
        <w:rPr>
          <w:sz w:val="24"/>
          <w:szCs w:val="24"/>
        </w:rPr>
      </w:pPr>
    </w:p>
    <w:p w:rsidR="00C73683" w:rsidRPr="00374534" w:rsidRDefault="00C73683" w:rsidP="00ED589C">
      <w:pPr>
        <w:pStyle w:val="NoSpacing"/>
        <w:spacing w:line="360" w:lineRule="auto"/>
        <w:rPr>
          <w:sz w:val="24"/>
          <w:szCs w:val="24"/>
        </w:rPr>
      </w:pPr>
      <w:r w:rsidRPr="00374534">
        <w:rPr>
          <w:sz w:val="24"/>
          <w:szCs w:val="24"/>
        </w:rPr>
        <w:t>Laptop technology in schools used by pupils, to support their learning, is also the topic of several educational studies. Cunningham (2004) evidenced that laptops help to engage and motivate pupils’ and gain their attention to the learning involved. Also agreeing with this Simpson and Payne (2004) assessed the provision of laptops regarding pupils and teachers. It was founded that, particularly in primary schools, that the approach to using laptops collectively with projectors and interactive whiteboards (IWB) benefited pupils learning, for example, engaging pupils when introducing a topic to the class.</w:t>
      </w:r>
    </w:p>
    <w:p w:rsidR="00C73683" w:rsidRDefault="00C73683" w:rsidP="00ED589C">
      <w:pPr>
        <w:pStyle w:val="NoSpacing"/>
        <w:spacing w:line="360" w:lineRule="auto"/>
        <w:rPr>
          <w:sz w:val="24"/>
          <w:szCs w:val="24"/>
        </w:rPr>
      </w:pPr>
    </w:p>
    <w:p w:rsidR="00FB51AF" w:rsidRDefault="001B3B90" w:rsidP="00ED589C">
      <w:pPr>
        <w:pStyle w:val="NoSpacing"/>
        <w:spacing w:line="360" w:lineRule="auto"/>
        <w:rPr>
          <w:sz w:val="24"/>
          <w:szCs w:val="24"/>
        </w:rPr>
      </w:pPr>
      <w:r w:rsidRPr="00312307">
        <w:rPr>
          <w:sz w:val="24"/>
          <w:szCs w:val="24"/>
        </w:rPr>
        <w:t>Cognitive development is important in the growth of primary schools pupils. When ICT is introduced it changes the characteristics of independent learning activities, becoming an influencing tool and preparing pupils for the future technology and for life in our knowledgeable world. Reeves and Jonassen (1996) suggests that pupils’ that use ICT within independent learning more engrossed in the learning purpose and process. As more schools and pupils’ are using ICT as a cognitive tool, the impact of the use of ICT on supporting how pupils’ learn and engage will continue to develop, becoming and advocate for education.</w:t>
      </w:r>
      <w:r>
        <w:rPr>
          <w:sz w:val="24"/>
          <w:szCs w:val="24"/>
        </w:rPr>
        <w:t xml:space="preserve"> </w:t>
      </w:r>
      <w:r w:rsidRPr="00312307">
        <w:rPr>
          <w:sz w:val="24"/>
          <w:szCs w:val="24"/>
        </w:rPr>
        <w:t xml:space="preserve">Using modern ICT with learning approaches contributes to opportunities for constructivist learning by the support for pupil centred settings, resource based and allowing learning to be </w:t>
      </w:r>
      <w:r w:rsidR="00C95292">
        <w:rPr>
          <w:sz w:val="24"/>
          <w:szCs w:val="24"/>
        </w:rPr>
        <w:t xml:space="preserve">related to practice and context. </w:t>
      </w:r>
      <w:r w:rsidR="00C95292" w:rsidRPr="00AB583B">
        <w:rPr>
          <w:sz w:val="24"/>
          <w:szCs w:val="24"/>
        </w:rPr>
        <w:t>Berge (1998) and Barron (1998) suggested that through teachers incorporating ICT in their lessons, making them more fun and interactive, pupils’ were able to process and obtain the learning with more ease. During the study, the class that was observed were able to retain the information for a longer period of time, which subsequently supported them through examinations.</w:t>
      </w:r>
      <w:r w:rsidR="00C95292">
        <w:rPr>
          <w:sz w:val="24"/>
          <w:szCs w:val="24"/>
        </w:rPr>
        <w:t xml:space="preserve"> Learning that is enhanced through ICT is always pupil directed. Different to traditional education methods of learning, such as writing, ICT enhanced learning identifies that there are opportunities for various learning routes and different ways of developing knowledge and understanding.</w:t>
      </w:r>
    </w:p>
    <w:p w:rsidR="00FB51AF" w:rsidRDefault="00FB51AF" w:rsidP="00ED589C">
      <w:pPr>
        <w:pStyle w:val="NoSpacing"/>
        <w:spacing w:line="360" w:lineRule="auto"/>
        <w:rPr>
          <w:sz w:val="24"/>
          <w:szCs w:val="24"/>
        </w:rPr>
      </w:pPr>
    </w:p>
    <w:p w:rsidR="00ED589C" w:rsidRPr="009C05FF" w:rsidRDefault="00ED589C" w:rsidP="00ED589C">
      <w:pPr>
        <w:pStyle w:val="NoSpacing"/>
        <w:spacing w:line="360" w:lineRule="auto"/>
        <w:rPr>
          <w:sz w:val="24"/>
          <w:szCs w:val="24"/>
        </w:rPr>
      </w:pPr>
      <w:r w:rsidRPr="00104206">
        <w:rPr>
          <w:rStyle w:val="Emphasis"/>
          <w:rFonts w:cs="Arial"/>
          <w:bCs/>
          <w:i w:val="0"/>
          <w:iCs w:val="0"/>
          <w:sz w:val="24"/>
          <w:szCs w:val="24"/>
          <w:shd w:val="clear" w:color="auto" w:fill="FFFFFF"/>
        </w:rPr>
        <w:lastRenderedPageBreak/>
        <w:t>Tapscott</w:t>
      </w:r>
      <w:r w:rsidRPr="00104206">
        <w:rPr>
          <w:rFonts w:cs="Arial"/>
          <w:sz w:val="24"/>
          <w:szCs w:val="24"/>
          <w:shd w:val="clear" w:color="auto" w:fill="FFFFFF"/>
        </w:rPr>
        <w:t xml:space="preserve">, (2008) and </w:t>
      </w:r>
      <w:r w:rsidRPr="00104206">
        <w:rPr>
          <w:rStyle w:val="Emphasis"/>
          <w:rFonts w:cs="Arial"/>
          <w:bCs/>
          <w:i w:val="0"/>
          <w:iCs w:val="0"/>
          <w:sz w:val="24"/>
          <w:szCs w:val="24"/>
          <w:shd w:val="clear" w:color="auto" w:fill="FFFFFF"/>
        </w:rPr>
        <w:t>Prensky</w:t>
      </w:r>
      <w:r w:rsidRPr="00104206">
        <w:rPr>
          <w:rFonts w:cs="Arial"/>
          <w:sz w:val="24"/>
          <w:szCs w:val="24"/>
          <w:shd w:val="clear" w:color="auto" w:fill="FFFFFF"/>
        </w:rPr>
        <w:t xml:space="preserve"> (2010) </w:t>
      </w:r>
      <w:r w:rsidRPr="00104206">
        <w:rPr>
          <w:sz w:val="24"/>
          <w:szCs w:val="24"/>
        </w:rPr>
        <w:t xml:space="preserve">suggested that </w:t>
      </w:r>
      <w:r>
        <w:rPr>
          <w:sz w:val="24"/>
          <w:szCs w:val="24"/>
        </w:rPr>
        <w:t>pupils have different approaches to learning arising from their previous knowledge and experiences. It is debated that pupils’ that have grown up with access to ICT devices and technologies in the home have a different approach to those pupils who have not gained experience with ICT (</w:t>
      </w:r>
      <w:r w:rsidRPr="009C05FF">
        <w:rPr>
          <w:sz w:val="24"/>
          <w:szCs w:val="24"/>
        </w:rPr>
        <w:t>Jukes, 2005</w:t>
      </w:r>
      <w:r>
        <w:rPr>
          <w:sz w:val="24"/>
          <w:szCs w:val="24"/>
        </w:rPr>
        <w:t>). Pupils’ who have had involvement and expanded their knowledge with ICT have an approach to technology, with prospects that it will encourage them to pursue an interest through the access of ICT devices with a high level of engagement.</w:t>
      </w:r>
    </w:p>
    <w:p w:rsidR="00FB51AF" w:rsidRDefault="00FB51AF" w:rsidP="00ED589C">
      <w:pPr>
        <w:pStyle w:val="NoSpacing"/>
        <w:spacing w:line="360" w:lineRule="auto"/>
        <w:rPr>
          <w:sz w:val="24"/>
          <w:szCs w:val="24"/>
        </w:rPr>
      </w:pPr>
    </w:p>
    <w:p w:rsidR="00C73683" w:rsidRPr="00C838E1" w:rsidRDefault="00C73683" w:rsidP="00ED589C">
      <w:pPr>
        <w:pStyle w:val="NoSpacing"/>
        <w:spacing w:line="360" w:lineRule="auto"/>
        <w:rPr>
          <w:sz w:val="24"/>
          <w:szCs w:val="24"/>
        </w:rPr>
      </w:pPr>
      <w:r w:rsidRPr="00C838E1">
        <w:rPr>
          <w:sz w:val="24"/>
          <w:szCs w:val="24"/>
        </w:rPr>
        <w:t>In the extensive range of research literature based on the topic of ICT and pupils’ learning, the way in which pupils’ engage with the task is important. The evidence provided, presents that the use of ICT in primary schools supports a more engaging and richer learning environment, which is to be further developed. However, arguing against this, it is also clear that there are disadvantages to using ICT and this does not always develop a progression in cognitive or emotional engagement with learning. An important step in this research study will be determining how pupils’ interact, engage and independently learn from using ICT, taking into consideration their opinions and feelings.</w:t>
      </w:r>
    </w:p>
    <w:p w:rsidR="009959A1" w:rsidRPr="0043750C" w:rsidRDefault="009959A1" w:rsidP="0043750C">
      <w:pPr>
        <w:pStyle w:val="NoSpacing"/>
        <w:spacing w:line="360" w:lineRule="auto"/>
        <w:rPr>
          <w:sz w:val="24"/>
          <w:szCs w:val="24"/>
        </w:rPr>
      </w:pPr>
    </w:p>
    <w:p w:rsidR="009959A1" w:rsidRPr="0043750C" w:rsidRDefault="009959A1" w:rsidP="0043750C">
      <w:pPr>
        <w:pStyle w:val="NoSpacing"/>
        <w:spacing w:line="360" w:lineRule="auto"/>
        <w:rPr>
          <w:sz w:val="24"/>
          <w:szCs w:val="24"/>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F65B32" w:rsidRPr="0043750C" w:rsidRDefault="00F65B32" w:rsidP="0043750C">
      <w:pPr>
        <w:pStyle w:val="NoSpacing"/>
        <w:spacing w:line="360" w:lineRule="auto"/>
        <w:rPr>
          <w:b/>
          <w:sz w:val="24"/>
          <w:szCs w:val="24"/>
          <w:u w:val="single"/>
        </w:rPr>
      </w:pPr>
      <w:r w:rsidRPr="0043750C">
        <w:rPr>
          <w:b/>
          <w:sz w:val="24"/>
          <w:szCs w:val="24"/>
          <w:u w:val="single"/>
        </w:rPr>
        <w:lastRenderedPageBreak/>
        <w:t>Research Methods</w:t>
      </w:r>
    </w:p>
    <w:p w:rsidR="00F65B32" w:rsidRPr="0043750C" w:rsidRDefault="00F65B32" w:rsidP="0043750C">
      <w:pPr>
        <w:pStyle w:val="NoSpacing"/>
        <w:spacing w:line="360" w:lineRule="auto"/>
        <w:rPr>
          <w:sz w:val="24"/>
          <w:szCs w:val="24"/>
        </w:rPr>
      </w:pPr>
    </w:p>
    <w:p w:rsidR="00F65B32" w:rsidRPr="00E70DEF" w:rsidRDefault="00F65B32" w:rsidP="0043750C">
      <w:pPr>
        <w:pStyle w:val="NoSpacing"/>
        <w:spacing w:line="360" w:lineRule="auto"/>
        <w:rPr>
          <w:sz w:val="24"/>
          <w:szCs w:val="24"/>
        </w:rPr>
      </w:pPr>
      <w:r w:rsidRPr="0043750C">
        <w:rPr>
          <w:sz w:val="24"/>
          <w:szCs w:val="24"/>
        </w:rPr>
        <w:t>The underlying research methodology that will be used is Lesson Study a form of action research, which has been used in Japan since the 1870’s (Dudley, 2014). In the UK, Lesson Study has been shown to be an effective tool, improving teaching practices and student development in core subjects in primary, developing broadness in pedagogical approaches (Dudley, 2011). The main focus of this model is that it is teacher-led research, where teachers collaborate, targeting and directing a study focusing on an influencing factor for developing pupils learning. There are various steps required to be carried out to complete a successful study. The first main focus is to gather data from day to day assessments, identifying a focus for the pupils learning and progress and collaboratively agree on a teaching technique to develop. Personal to this study, I will be working with a student friend in my university group and we will primarily be focusing on how pupils engage with ICT equipment when placed in enhanced provision. The next step is to jointly plan a lesson for each researcher, which both closely concentrates on the importance of ICT engaging pupils. Identifying three ‘focus children’ to partake in the study and to gain consent to be involved, in our study we will choose a child from each ability group</w:t>
      </w:r>
      <w:r w:rsidR="00E70DEF" w:rsidRPr="0043750C">
        <w:rPr>
          <w:sz w:val="24"/>
          <w:szCs w:val="24"/>
        </w:rPr>
        <w:t>, one from higher, middle and lower.</w:t>
      </w:r>
      <w:r w:rsidR="00E70DEF">
        <w:rPr>
          <w:sz w:val="24"/>
          <w:szCs w:val="24"/>
        </w:rPr>
        <w:t xml:space="preserve"> </w:t>
      </w:r>
      <w:r w:rsidRPr="0043750C">
        <w:rPr>
          <w:sz w:val="24"/>
          <w:szCs w:val="24"/>
        </w:rPr>
        <w:t>Next is to teach and jointly observe the lesson, concentrating on the focus children’s learning and progress, taking observational notes. Personal to this study we have chosen to use the Leuven Scale to assess, analyse and select any implications for further improvement (</w:t>
      </w:r>
      <w:r w:rsidRPr="0043750C">
        <w:rPr>
          <w:rFonts w:eastAsia="Times New Roman" w:cs="Times New Roman"/>
          <w:sz w:val="24"/>
          <w:szCs w:val="24"/>
        </w:rPr>
        <w:t>Laevers, 1994)</w:t>
      </w:r>
      <w:r w:rsidRPr="0043750C">
        <w:rPr>
          <w:sz w:val="24"/>
          <w:szCs w:val="24"/>
        </w:rPr>
        <w:t xml:space="preserve">. After the research lesson and observations a focus group interview will take place to gain an insight into their perspective of the research lesson. Researchers will then make reflections and have further discussions, analysing how focus children responded to the directed study, the development or difficulties with the learning observed and possible modifications to be implemented to further the development (Dudley, 2013). The two reflection models that will be used in this study are Kolb’s Learning Cycle (1984) and Brookfield’s Reflective model (1995). After researching Lesson Study we agreed that it was an ideal methodology, </w:t>
      </w:r>
      <w:r w:rsidRPr="0043750C">
        <w:rPr>
          <w:rFonts w:cs="Arial"/>
          <w:sz w:val="24"/>
          <w:szCs w:val="24"/>
        </w:rPr>
        <w:t>in other studies related to teacher and student learning, results have shown that this is an effective approach to enhance lesson planning, assessing and evaluation.</w:t>
      </w:r>
    </w:p>
    <w:p w:rsidR="00F65B32" w:rsidRPr="0043750C" w:rsidRDefault="00F65B32" w:rsidP="0043750C">
      <w:pPr>
        <w:pStyle w:val="NoSpacing"/>
        <w:spacing w:line="360" w:lineRule="auto"/>
        <w:rPr>
          <w:sz w:val="24"/>
          <w:szCs w:val="24"/>
        </w:rPr>
      </w:pPr>
    </w:p>
    <w:p w:rsidR="00F65B32" w:rsidRPr="0043750C" w:rsidRDefault="00F65B32" w:rsidP="0043750C">
      <w:pPr>
        <w:pStyle w:val="NoSpacing"/>
        <w:spacing w:line="360" w:lineRule="auto"/>
        <w:rPr>
          <w:sz w:val="24"/>
          <w:szCs w:val="24"/>
        </w:rPr>
      </w:pPr>
      <w:r w:rsidRPr="0043750C">
        <w:rPr>
          <w:sz w:val="24"/>
          <w:szCs w:val="24"/>
        </w:rPr>
        <w:lastRenderedPageBreak/>
        <w:t xml:space="preserve">When collecting data throughout this study, the methods used will be: non-participant observations based on the Leuven scale (1994), </w:t>
      </w:r>
      <w:r w:rsidRPr="0043750C">
        <w:rPr>
          <w:rStyle w:val="Emphasis"/>
          <w:rFonts w:cs="Arial"/>
          <w:bCs/>
          <w:i w:val="0"/>
          <w:iCs w:val="0"/>
          <w:sz w:val="24"/>
          <w:szCs w:val="24"/>
          <w:shd w:val="clear" w:color="auto" w:fill="FFFFFF"/>
        </w:rPr>
        <w:t>semi</w:t>
      </w:r>
      <w:r w:rsidRPr="0043750C">
        <w:rPr>
          <w:rFonts w:cs="Arial"/>
          <w:sz w:val="24"/>
          <w:szCs w:val="24"/>
          <w:shd w:val="clear" w:color="auto" w:fill="FFFFFF"/>
        </w:rPr>
        <w:t>-</w:t>
      </w:r>
      <w:r w:rsidRPr="0043750C">
        <w:rPr>
          <w:rStyle w:val="Emphasis"/>
          <w:rFonts w:cs="Arial"/>
          <w:bCs/>
          <w:i w:val="0"/>
          <w:iCs w:val="0"/>
          <w:sz w:val="24"/>
          <w:szCs w:val="24"/>
          <w:shd w:val="clear" w:color="auto" w:fill="FFFFFF"/>
        </w:rPr>
        <w:t xml:space="preserve">structured interview with focus group </w:t>
      </w:r>
      <w:r w:rsidRPr="0043750C">
        <w:rPr>
          <w:sz w:val="24"/>
          <w:szCs w:val="24"/>
        </w:rPr>
        <w:t>and reflections based on Kolb’s Learning Cycle (1984) and Brookfield’s Reflective model (1995).</w:t>
      </w:r>
    </w:p>
    <w:p w:rsidR="00F65B32" w:rsidRPr="0043750C" w:rsidRDefault="00F65B32" w:rsidP="0043750C">
      <w:pPr>
        <w:pStyle w:val="NoSpacing"/>
        <w:spacing w:line="360" w:lineRule="auto"/>
        <w:rPr>
          <w:sz w:val="24"/>
          <w:szCs w:val="24"/>
        </w:rPr>
      </w:pPr>
    </w:p>
    <w:p w:rsidR="00F65B32" w:rsidRPr="0043750C" w:rsidRDefault="00F65B32" w:rsidP="0043750C">
      <w:pPr>
        <w:pStyle w:val="TableParagraph"/>
        <w:spacing w:line="360" w:lineRule="auto"/>
        <w:ind w:left="62" w:right="203"/>
        <w:rPr>
          <w:rFonts w:asciiTheme="minorHAnsi" w:hAnsiTheme="minorHAnsi"/>
          <w:sz w:val="24"/>
          <w:szCs w:val="24"/>
        </w:rPr>
      </w:pPr>
      <w:r w:rsidRPr="0043750C">
        <w:rPr>
          <w:rFonts w:asciiTheme="minorHAnsi" w:hAnsiTheme="minorHAnsi"/>
          <w:sz w:val="24"/>
          <w:szCs w:val="24"/>
        </w:rPr>
        <w:t xml:space="preserve">During this study, the researcher and class teacher will observe the three focus children within Enhance Provision areas in the class. The focus children being observed will be identified by the researcher and class teacher and will be chosen according to higher, middle and lower ability. Adhering to BERA (2018) guidelines, the confidentiality of participants will be guaranteed, focus children will be kept anonymous and will be identified as Child A, Child B or Child C. The observer will predominantly focus on how the pupils interact with the available ICT and how this impacts on their levels of engagement helping to develop independent learning. During the observation, researchers will not interact with learners, this </w:t>
      </w:r>
      <w:r w:rsidRPr="0043750C">
        <w:rPr>
          <w:rFonts w:asciiTheme="minorHAnsi" w:hAnsiTheme="minorHAnsi"/>
          <w:spacing w:val="-3"/>
          <w:sz w:val="24"/>
          <w:szCs w:val="24"/>
        </w:rPr>
        <w:t xml:space="preserve">is </w:t>
      </w:r>
      <w:r w:rsidRPr="0043750C">
        <w:rPr>
          <w:rFonts w:asciiTheme="minorHAnsi" w:hAnsiTheme="minorHAnsi"/>
          <w:sz w:val="24"/>
          <w:szCs w:val="24"/>
        </w:rPr>
        <w:t xml:space="preserve">specifically observation only. However, the researcher will always have the well-being of the child at the forefront of this study. To analyse and assess pupils learning and progression throughout the observation, researchers shall note take and record findings following a devised observation schedule according to the Leuven Scale of Involvement (Leavers, 2011). The scale is a five-point scale, ranging from extremely low to extremely high, which measures the involvement of the child. Unique to this study, the Leuven scale will be adapted, ensuring both researchers can understand and establish how the focus children are engaging with ICT in the Enhanced Provision area. </w:t>
      </w:r>
    </w:p>
    <w:p w:rsidR="005851AC" w:rsidRPr="00E70DEF" w:rsidRDefault="005851AC" w:rsidP="00E70DEF">
      <w:pPr>
        <w:pStyle w:val="TableParagraph"/>
        <w:spacing w:line="360" w:lineRule="auto"/>
        <w:ind w:left="62" w:right="92"/>
        <w:rPr>
          <w:rFonts w:asciiTheme="minorHAnsi" w:hAnsiTheme="minorHAnsi"/>
          <w:sz w:val="24"/>
          <w:szCs w:val="24"/>
        </w:rPr>
      </w:pPr>
      <w:r w:rsidRPr="0043750C">
        <w:rPr>
          <w:rFonts w:asciiTheme="minorHAnsi" w:hAnsiTheme="minorHAnsi"/>
          <w:sz w:val="24"/>
          <w:szCs w:val="24"/>
        </w:rPr>
        <w:t xml:space="preserve">Following the lesson observation, a semi-structured interview will take place. This will involve the researcher asking the focus group of children a set of pre-arranged questions, specific to the observation. Child-centred methodology will be considered, the aim is to use a child friendly approach to research methods, ensuring appropriate vocabulary and contexts are used for children of Foundation Phase age. The interview will be audio recorded for the use of the reflection. The researchers intend to promote the use of </w:t>
      </w:r>
      <w:r w:rsidRPr="00E70DEF">
        <w:rPr>
          <w:rFonts w:asciiTheme="minorHAnsi" w:hAnsiTheme="minorHAnsi"/>
          <w:sz w:val="24"/>
          <w:szCs w:val="24"/>
        </w:rPr>
        <w:t>pupils’ voice in line with Article 12 (UNCRC).</w:t>
      </w:r>
      <w:r w:rsidR="0043750C" w:rsidRPr="00E70DEF">
        <w:rPr>
          <w:rFonts w:asciiTheme="minorHAnsi" w:hAnsiTheme="minorHAnsi"/>
          <w:sz w:val="24"/>
          <w:szCs w:val="24"/>
        </w:rPr>
        <w:t xml:space="preserve"> Pupils will be chosen by ability groups, one from higher, middle and lower. </w:t>
      </w:r>
    </w:p>
    <w:p w:rsidR="00E70DEF" w:rsidRPr="00E70DEF" w:rsidRDefault="00E70DEF" w:rsidP="00E70DEF">
      <w:pPr>
        <w:pStyle w:val="TableParagraph"/>
        <w:spacing w:line="360" w:lineRule="auto"/>
        <w:ind w:left="62" w:right="3"/>
        <w:rPr>
          <w:rFonts w:asciiTheme="minorHAnsi" w:hAnsiTheme="minorHAnsi"/>
          <w:sz w:val="24"/>
          <w:szCs w:val="24"/>
        </w:rPr>
      </w:pPr>
      <w:r w:rsidRPr="00E70DEF">
        <w:rPr>
          <w:rFonts w:asciiTheme="minorHAnsi" w:hAnsiTheme="minorHAnsi"/>
          <w:sz w:val="24"/>
          <w:szCs w:val="24"/>
        </w:rPr>
        <w:t xml:space="preserve">Combining data gathered from the observation and interview, researchers will then analyse and interpret </w:t>
      </w:r>
      <w:r w:rsidR="00AB1583">
        <w:rPr>
          <w:rFonts w:asciiTheme="minorHAnsi" w:hAnsiTheme="minorHAnsi"/>
          <w:sz w:val="24"/>
          <w:szCs w:val="24"/>
        </w:rPr>
        <w:t xml:space="preserve">the qualitative data </w:t>
      </w:r>
      <w:r w:rsidRPr="00E70DEF">
        <w:rPr>
          <w:rFonts w:asciiTheme="minorHAnsi" w:hAnsiTheme="minorHAnsi"/>
          <w:sz w:val="24"/>
          <w:szCs w:val="24"/>
        </w:rPr>
        <w:t xml:space="preserve">using a chosen reflection model. The two models that will </w:t>
      </w:r>
      <w:r w:rsidRPr="00E70DEF">
        <w:rPr>
          <w:rFonts w:asciiTheme="minorHAnsi" w:hAnsiTheme="minorHAnsi"/>
          <w:sz w:val="24"/>
          <w:szCs w:val="24"/>
        </w:rPr>
        <w:lastRenderedPageBreak/>
        <w:t>be used are; Kolb’s Learning Cycle (1984) and Brookfield’s Reflective model (1995). The main reflective basis for this study will be the four stages outlined by Kolb, namely concrete experience, reflective observation, abstract conceptualisation and active experimentation. Elements of Brookfield’s model will be incorporated in the reflective observation stage in order to have reflections from numerous sources.</w:t>
      </w:r>
    </w:p>
    <w:p w:rsidR="0043750C" w:rsidRPr="0043750C" w:rsidRDefault="0043750C" w:rsidP="0043750C">
      <w:pPr>
        <w:pStyle w:val="TableParagraph"/>
        <w:spacing w:line="360" w:lineRule="auto"/>
        <w:ind w:left="62" w:right="92"/>
        <w:rPr>
          <w:rFonts w:asciiTheme="minorHAnsi" w:hAnsiTheme="minorHAnsi"/>
          <w:sz w:val="24"/>
          <w:szCs w:val="24"/>
        </w:rPr>
      </w:pPr>
    </w:p>
    <w:p w:rsidR="0076280C" w:rsidRDefault="0076280C" w:rsidP="0043750C">
      <w:pPr>
        <w:pStyle w:val="NoSpacing"/>
        <w:spacing w:line="360" w:lineRule="auto"/>
        <w:rPr>
          <w:rFonts w:cs="Arial"/>
          <w:b/>
          <w:color w:val="00B0F0"/>
          <w:sz w:val="24"/>
          <w:szCs w:val="24"/>
        </w:rPr>
      </w:pPr>
    </w:p>
    <w:p w:rsidR="00F65B32" w:rsidRPr="0043750C" w:rsidRDefault="00F65B32" w:rsidP="0043750C">
      <w:pPr>
        <w:pStyle w:val="NoSpacing"/>
        <w:spacing w:line="360" w:lineRule="auto"/>
        <w:rPr>
          <w:sz w:val="24"/>
          <w:szCs w:val="24"/>
        </w:rPr>
      </w:pPr>
      <w:r w:rsidRPr="0043750C">
        <w:rPr>
          <w:b/>
          <w:sz w:val="24"/>
          <w:szCs w:val="24"/>
          <w:u w:val="single"/>
        </w:rPr>
        <w:t>Ethical Considerations</w:t>
      </w:r>
    </w:p>
    <w:p w:rsidR="004970A9" w:rsidRPr="0043750C" w:rsidRDefault="004970A9" w:rsidP="0043750C">
      <w:pPr>
        <w:spacing w:after="0" w:line="360" w:lineRule="auto"/>
        <w:rPr>
          <w:sz w:val="24"/>
          <w:szCs w:val="24"/>
        </w:rPr>
      </w:pPr>
    </w:p>
    <w:p w:rsidR="00F65B32" w:rsidRPr="0043750C" w:rsidRDefault="00F65B32" w:rsidP="0043750C">
      <w:pPr>
        <w:spacing w:after="0" w:line="360" w:lineRule="auto"/>
        <w:rPr>
          <w:sz w:val="24"/>
          <w:szCs w:val="24"/>
        </w:rPr>
      </w:pPr>
      <w:r w:rsidRPr="0043750C">
        <w:rPr>
          <w:sz w:val="24"/>
          <w:szCs w:val="24"/>
        </w:rPr>
        <w:t>There are potential concerns when carrying out research in a classroom, taking into consideration the risks towards participants and pupils in the class. At all times ethical consideration will be at the forefront of the study to protect researchers, participants, pupils in the class and the university adhering to BERA guidelines (BERA, 2011). Children that are chosen to take part in the study may feel singled out which could result in feelings of sadness or distress. These focus children will be informed of the process and will have the choice to participate or withdraw at any time. During the focus group interviews, these children may feel under pressure as they are required to answer the set questions, this could lead to pupils feeling anxious, which could potentially lead to dishonesty. To make children feel comfortable and safe in the environment, this study will use appropriate child friendly language, will be conveyed in a familiar setting and children will not be pressurised or forced to answer questions and will be able to withdraw at any stage. When conducting the study, focus children may miss out on potential learning opportunities as they are removed from the class. To ensure minimal disruption to learning, researchers will collaborate with the class teacher to discuss appropriate timings for the study. During the study, there is a possible risk that children may disclose sensitive, personal information to the researcher. If this occurs, researches will be prepared, being full aware of the School’s Safe Guarding policy and safeguarding officer and Child Protection policies.</w:t>
      </w:r>
    </w:p>
    <w:p w:rsidR="00F65B32" w:rsidRPr="0043750C" w:rsidRDefault="00F65B32" w:rsidP="0043750C">
      <w:pPr>
        <w:pStyle w:val="NoSpacing"/>
        <w:spacing w:line="360" w:lineRule="auto"/>
        <w:rPr>
          <w:sz w:val="24"/>
          <w:szCs w:val="24"/>
        </w:rPr>
      </w:pPr>
    </w:p>
    <w:p w:rsidR="00F65B32" w:rsidRPr="0043750C" w:rsidRDefault="00F65B32" w:rsidP="0043750C">
      <w:pPr>
        <w:pStyle w:val="NoSpacing"/>
        <w:spacing w:line="360" w:lineRule="auto"/>
        <w:rPr>
          <w:sz w:val="24"/>
          <w:szCs w:val="24"/>
        </w:rPr>
      </w:pPr>
    </w:p>
    <w:p w:rsidR="00F65B32" w:rsidRDefault="00F65B32" w:rsidP="0043750C">
      <w:pPr>
        <w:pStyle w:val="NoSpacing"/>
        <w:spacing w:line="360" w:lineRule="auto"/>
        <w:rPr>
          <w:sz w:val="24"/>
          <w:szCs w:val="24"/>
        </w:rPr>
      </w:pPr>
    </w:p>
    <w:p w:rsidR="0076280C" w:rsidRDefault="0076280C" w:rsidP="0043750C">
      <w:pPr>
        <w:pStyle w:val="NoSpacing"/>
        <w:spacing w:line="360" w:lineRule="auto"/>
        <w:rPr>
          <w:sz w:val="24"/>
          <w:szCs w:val="24"/>
        </w:rPr>
      </w:pPr>
    </w:p>
    <w:p w:rsidR="0076280C" w:rsidRPr="0043750C" w:rsidRDefault="0076280C" w:rsidP="0043750C">
      <w:pPr>
        <w:pStyle w:val="NoSpacing"/>
        <w:spacing w:line="360" w:lineRule="auto"/>
        <w:rPr>
          <w:sz w:val="24"/>
          <w:szCs w:val="24"/>
        </w:rPr>
      </w:pPr>
    </w:p>
    <w:p w:rsidR="00F65B32" w:rsidRPr="0043750C" w:rsidRDefault="00B74900" w:rsidP="0043750C">
      <w:pPr>
        <w:pStyle w:val="NoSpacing"/>
        <w:spacing w:line="360" w:lineRule="auto"/>
        <w:rPr>
          <w:sz w:val="24"/>
          <w:szCs w:val="24"/>
        </w:rPr>
      </w:pPr>
      <w:r w:rsidRPr="0043750C">
        <w:rPr>
          <w:b/>
          <w:sz w:val="24"/>
          <w:szCs w:val="24"/>
          <w:u w:val="single"/>
        </w:rPr>
        <w:lastRenderedPageBreak/>
        <w:t>Results</w:t>
      </w:r>
    </w:p>
    <w:p w:rsidR="00B74900" w:rsidRPr="0043750C" w:rsidRDefault="00B74900" w:rsidP="005C0385">
      <w:pPr>
        <w:pStyle w:val="NoSpacing"/>
        <w:spacing w:line="360" w:lineRule="auto"/>
        <w:rPr>
          <w:sz w:val="24"/>
          <w:szCs w:val="24"/>
        </w:rPr>
      </w:pPr>
      <w:r w:rsidRPr="0043750C">
        <w:rPr>
          <w:b/>
          <w:sz w:val="24"/>
          <w:szCs w:val="24"/>
          <w:u w:val="single"/>
        </w:rPr>
        <w:t>Lesson Study 1</w:t>
      </w:r>
    </w:p>
    <w:p w:rsidR="00BD31E9" w:rsidRDefault="00BD31E9" w:rsidP="00BD31E9">
      <w:pPr>
        <w:pStyle w:val="NoSpacing"/>
        <w:spacing w:line="360" w:lineRule="auto"/>
        <w:rPr>
          <w:sz w:val="24"/>
          <w:szCs w:val="24"/>
        </w:rPr>
      </w:pPr>
      <w:r>
        <w:t xml:space="preserve">Lesson study 1 took place in School </w:t>
      </w:r>
      <w:r w:rsidR="005D63DE">
        <w:t>1</w:t>
      </w:r>
      <w:r>
        <w:t xml:space="preserve"> and </w:t>
      </w:r>
      <w:r w:rsidRPr="0043750C">
        <w:rPr>
          <w:sz w:val="24"/>
          <w:szCs w:val="24"/>
        </w:rPr>
        <w:t>involve</w:t>
      </w:r>
      <w:r>
        <w:rPr>
          <w:sz w:val="24"/>
          <w:szCs w:val="24"/>
        </w:rPr>
        <w:t>d three</w:t>
      </w:r>
      <w:r w:rsidRPr="0043750C">
        <w:rPr>
          <w:sz w:val="24"/>
          <w:szCs w:val="24"/>
        </w:rPr>
        <w:t xml:space="preserve"> pupils in a reception class</w:t>
      </w:r>
      <w:r>
        <w:rPr>
          <w:sz w:val="24"/>
          <w:szCs w:val="24"/>
        </w:rPr>
        <w:t>. The lesson in hand was a phonics based literacy lesson, with the topic being pirates. The learning objective for this lesson was: To identify initial sounds of pirate words. After the input, it was explained and made aware to pupils what was going to happen throughout the duration of the observations and interviews. As the main research for this study is, how ICT engages and encourages independent learning, tasks and resources were set around the classroom in continuous and enhanced provision areas. The ICT available to pupils was iPads and computers, which was on the enhanced provision tables. To complete the tasks, pupils had to choose a pirate themed picture, which was labelled with the corresponding word and identify the initial sound. Pupils were then required to use the software and apps that were set on the ICT equipment and linked to a range of activities. The activities encouraged pupils to find the initial sound matching to their chosen picture, by doing so, pupils would then join in with the song and overwrite the letter. The more pictures pupils chose, the further pupils would progress and move onto more difficult levels. The educational apps chosen were suitable to the lesson and age range, with them being both achievable and challenging. The non-ICT areas were still pirate based themed including; a treasure map on the carpet area where pupils had to give directions to navigate and reach the treasure, letters and pirate items were placed in the sand pit for pupils to explore and pirate outfits in the roleplay area.</w:t>
      </w:r>
    </w:p>
    <w:p w:rsidR="00BD31E9" w:rsidRDefault="00BD31E9" w:rsidP="00BD31E9">
      <w:pPr>
        <w:pStyle w:val="NoSpacing"/>
        <w:spacing w:line="360" w:lineRule="auto"/>
        <w:rPr>
          <w:sz w:val="24"/>
          <w:szCs w:val="24"/>
        </w:rPr>
      </w:pPr>
      <w:r>
        <w:rPr>
          <w:sz w:val="24"/>
          <w:szCs w:val="24"/>
        </w:rPr>
        <w:t>At the start of the observation, pupils were shown what was available, what the activities entailed and then told to choose an area that they wished to engage with.</w:t>
      </w:r>
    </w:p>
    <w:p w:rsidR="00BD31E9" w:rsidRDefault="00BD31E9" w:rsidP="00BD31E9">
      <w:pPr>
        <w:pStyle w:val="NoSpacing"/>
        <w:spacing w:line="360" w:lineRule="auto"/>
        <w:rPr>
          <w:sz w:val="24"/>
          <w:szCs w:val="24"/>
        </w:rPr>
      </w:pPr>
    </w:p>
    <w:p w:rsidR="00BD31E9" w:rsidRDefault="00BD31E9" w:rsidP="00BD31E9">
      <w:pPr>
        <w:pStyle w:val="NoSpacing"/>
        <w:spacing w:line="360" w:lineRule="auto"/>
        <w:rPr>
          <w:sz w:val="24"/>
          <w:szCs w:val="24"/>
        </w:rPr>
      </w:pPr>
      <w:r>
        <w:rPr>
          <w:sz w:val="24"/>
          <w:szCs w:val="24"/>
        </w:rPr>
        <w:t xml:space="preserve">The research partner in this study observed the pupils during this period, note taking according to the devised Leuven scale (1994). When referring to pupils throughout these results; Child A was lower ability, Child B was middle ability and Child C was higher ability. For observation engagement scale, see appendix 1. All pupils chose to use the iPads; this suggests that children were keener to engage with ICT prior to exploring other areas. Child A spent the least amount of time at this area. Child A chose a picture of a parrot, unlocked the iPad and was keen to work independently. Once the activity was accessed the child did not follow the instructions given, to identify the initial sound and find the letter on the app. Child did not choose the correct letter, they listened to the song, however when having to </w:t>
      </w:r>
      <w:r>
        <w:rPr>
          <w:sz w:val="24"/>
          <w:szCs w:val="24"/>
        </w:rPr>
        <w:lastRenderedPageBreak/>
        <w:t>overwrite the letter, child refused and returned to the home page, displaying no energy. Child started to become distracted, looking at what was available yet still sat at the enhanced provision table. Child repeated this process three times then lost concentration, leaving to engage with the roleplay and construction area, encouraging others to follow. This confirmed that the child was not engaged with the activity set and had veered off track. The learning objective had not been reached and the child only spent a short amount of time at the table. In relation to the Leuven scale the child was ‘Lowly’ engaged with the iPad. This shows that the ICT did not promote the Childs independent learning.</w:t>
      </w:r>
    </w:p>
    <w:p w:rsidR="00BD31E9" w:rsidRDefault="00BD31E9" w:rsidP="00BD31E9">
      <w:pPr>
        <w:pStyle w:val="NoSpacing"/>
        <w:spacing w:line="360" w:lineRule="auto"/>
        <w:rPr>
          <w:sz w:val="24"/>
          <w:szCs w:val="24"/>
        </w:rPr>
      </w:pPr>
    </w:p>
    <w:p w:rsidR="00BD31E9" w:rsidRDefault="00BD31E9" w:rsidP="00BD31E9">
      <w:pPr>
        <w:pStyle w:val="NoSpacing"/>
        <w:spacing w:line="360" w:lineRule="auto"/>
        <w:rPr>
          <w:sz w:val="24"/>
          <w:szCs w:val="24"/>
        </w:rPr>
      </w:pPr>
      <w:r>
        <w:rPr>
          <w:sz w:val="24"/>
          <w:szCs w:val="24"/>
        </w:rPr>
        <w:t>Child B chose a pirate picture and identified the initial sound. Child then unlocked the iPad, engaging with the activity and finding the correct letter. Child then stated ‘I am tired’, this could have been the result of lesson being after lunchtime. Proceeding with the activity, instead of overwriting the letter and concentration on letter formation, child used a scribbling action. This was repeated five times; however each time the child took more care when over writing, displaying more concentration. In connection to the Leuven scale, the child was ‘Moderately’ engaged with the iPad, showing signs of real involvement and progression within their learning. The child was then distracted, leaving the area to interact with the role play area along with Child A.</w:t>
      </w:r>
    </w:p>
    <w:p w:rsidR="00BD31E9" w:rsidRDefault="00BD31E9" w:rsidP="00BD31E9">
      <w:pPr>
        <w:pStyle w:val="NoSpacing"/>
        <w:spacing w:line="360" w:lineRule="auto"/>
        <w:rPr>
          <w:sz w:val="24"/>
          <w:szCs w:val="24"/>
        </w:rPr>
      </w:pPr>
    </w:p>
    <w:p w:rsidR="00BD31E9" w:rsidRDefault="00BD31E9" w:rsidP="00BD31E9">
      <w:pPr>
        <w:pStyle w:val="NoSpacing"/>
        <w:spacing w:line="360" w:lineRule="auto"/>
        <w:rPr>
          <w:sz w:val="24"/>
          <w:szCs w:val="24"/>
        </w:rPr>
      </w:pPr>
      <w:r>
        <w:rPr>
          <w:sz w:val="24"/>
          <w:szCs w:val="24"/>
        </w:rPr>
        <w:t xml:space="preserve">Child C engaged with the iPads and stayed at the enhanced provision area for nearly all the observed period. This shows us that the higher ability child engaged with the ICT the most. When starting the activity, child asked for another explanation of instructions, ensuring they knew what they had to achieve. Child C was successful in completing the success criteria, showing a real understanding of the task in hand. According to the Leuven scale, the child was ‘Highly’ engaged. Child shows signs of ‘Extremely High’ engagement as they were showing real signs of involvement and enjoyment. Child had intense moments when interacting with the planned activity however, became distracted when Child A and Child B left to engage with the role play area. Child observed them for only a short period of time, returning to the iPad and continuing by choosing another picture and progressing through numerous levels. </w:t>
      </w:r>
    </w:p>
    <w:p w:rsidR="00BD31E9" w:rsidRDefault="00BD31E9" w:rsidP="00BD31E9">
      <w:pPr>
        <w:pStyle w:val="NoSpacing"/>
        <w:spacing w:line="360" w:lineRule="auto"/>
        <w:rPr>
          <w:sz w:val="24"/>
          <w:szCs w:val="24"/>
        </w:rPr>
      </w:pPr>
    </w:p>
    <w:p w:rsidR="00BD31E9" w:rsidRDefault="00BD31E9" w:rsidP="00BD31E9">
      <w:pPr>
        <w:pStyle w:val="NoSpacing"/>
        <w:spacing w:line="360" w:lineRule="auto"/>
        <w:rPr>
          <w:sz w:val="24"/>
          <w:szCs w:val="24"/>
        </w:rPr>
      </w:pPr>
      <w:r>
        <w:rPr>
          <w:sz w:val="24"/>
          <w:szCs w:val="24"/>
        </w:rPr>
        <w:lastRenderedPageBreak/>
        <w:t>By observing pupils in the Reception class, it has shown that ICT does not always fully engage pupils in the aid of progressing their independent learning. Pupils are at a very young age so can be easily distracted, only spending a few minutes a time at each area. Pupils were interested in engaging with the technology, iPads, but not always following the instructions to successfully reach the learning objective and complete the activity. The results also suggest that pupils with a lower ability have less interest in engaging with ICT.</w:t>
      </w:r>
    </w:p>
    <w:p w:rsidR="00BD31E9" w:rsidRDefault="00BD31E9" w:rsidP="00BD31E9">
      <w:pPr>
        <w:pStyle w:val="NoSpacing"/>
        <w:spacing w:line="360" w:lineRule="auto"/>
        <w:rPr>
          <w:sz w:val="24"/>
          <w:szCs w:val="24"/>
        </w:rPr>
      </w:pPr>
    </w:p>
    <w:p w:rsidR="00BD31E9" w:rsidRDefault="00BD31E9" w:rsidP="00BD31E9">
      <w:pPr>
        <w:pStyle w:val="NoSpacing"/>
        <w:spacing w:line="360" w:lineRule="auto"/>
        <w:rPr>
          <w:sz w:val="24"/>
          <w:szCs w:val="24"/>
        </w:rPr>
      </w:pPr>
      <w:r>
        <w:rPr>
          <w:sz w:val="24"/>
          <w:szCs w:val="24"/>
        </w:rPr>
        <w:t xml:space="preserve">Before the focus group interview, pupils were told they were going to be asked a set of questions about the areas they had recently been interactive with and that any answers given were all correct. Questions were child friendly and simple ensuring that results gathered was clear and understandable, collecting qualitative data. For interview answers, see appendix 2. The first question asked what: What activity did you enjoy playing with? Can you tell me why? Child A did not recognise the ICT available but was drawn to other non-ICT activities. Child B and C claimed that they enjoyed interacting with the iPads, as it was their ‘favourite’ activity. This data correlates with the observation as both Child B and C had the highest engagement with the iPads in relation to the Leuven scale. To further discover if ICT does not only engage pupils but also enhances independent learning, pupils were asked how the ICT equipment was involved in the activity and if it helped them gain further knowledge. Child A, who spent the least amount of time engaging with the ICT, recognised that the activity helped them to learn letters and involved choosing and overwriting letters, even though they did not complete this. The learning objective was not reached however; the child understood that the aim of the lesson was literacy based. This suggests that a lower ability child is still able to understand the learning involved, simply choosing to engage with a different area. Child B had a better understanding of the activity than Child A. Child B understood that the main focus was learning about letters, finding the correct letter on the iPad that matched the picture word. The child showed this during the observation and was able to complete the task successfully. Child C spent the most amount of time engaging with the iPad and successfully interacted with the activity, therefore predicting that they would have the best understanding out of all three pupils. However when asked the question what did you learn, pupil explained that the activity helped them use the iPad well. When asked to explain further about the learning task the child did not reply, which we accepted. This could be seen as an inconclusive answer as the child had continuous activity with intense </w:t>
      </w:r>
      <w:r>
        <w:rPr>
          <w:sz w:val="24"/>
          <w:szCs w:val="24"/>
        </w:rPr>
        <w:lastRenderedPageBreak/>
        <w:t xml:space="preserve">moments with high levels of concentration. However, gave the briefest explanation of all participants. We then wanted to find out pupils views on having ICT in all areas of the classroom and how would they make it better. Child A and B responded positively, explaining that they would play on the iPads and share them out with their peers. This showed that pupils could vision iPads and maybe other technology devices in the classroom, displaying an understanding that ICT can be used for learning. Child C did not acknowledge the ICT and responded that they liked to play in the kitchen. This answer was not related to the ICT equipment available today, which was disappointing. </w:t>
      </w:r>
    </w:p>
    <w:p w:rsidR="00BD31E9" w:rsidRDefault="00BD31E9" w:rsidP="00BD31E9">
      <w:pPr>
        <w:pStyle w:val="NoSpacing"/>
        <w:spacing w:line="360" w:lineRule="auto"/>
        <w:rPr>
          <w:sz w:val="24"/>
          <w:szCs w:val="24"/>
        </w:rPr>
      </w:pPr>
    </w:p>
    <w:p w:rsidR="00E70DEF" w:rsidRDefault="00BD31E9" w:rsidP="00BD31E9">
      <w:pPr>
        <w:pStyle w:val="NoSpacing"/>
        <w:spacing w:line="360" w:lineRule="auto"/>
        <w:rPr>
          <w:sz w:val="24"/>
          <w:szCs w:val="24"/>
        </w:rPr>
      </w:pPr>
      <w:r>
        <w:rPr>
          <w:sz w:val="24"/>
          <w:szCs w:val="24"/>
        </w:rPr>
        <w:t>When reflecting and discussing Study Lesson 1, both myself and research partner agreed that there could be possible changes put in place to improve Study Lesson 2. We decided that the time of the lesson was not ideal as it was straight after lunchtime, where pupils’ behaviour had heightened as they were beginning to feel tired and restless. This could have been an influencing factor to the results gathered, as pupils may have had less concentration. For the next study the lesson will take place first thing in the morning, ensuring pupils are attentive, aware and focused. Another factor that caused disruptions was the layout of the classroom which was largely open planned. Unfortunately, during the observation both nursery and reception were in the class at the same time but in a different area. This also affected pupil’s concentration, making them more distracted. For the next study, if possible, we will ask the class teacher for permission to observe the three focus children in the classroom on their own, ensuring minimum disruptions.</w:t>
      </w:r>
    </w:p>
    <w:p w:rsidR="00BD31E9" w:rsidRPr="0043750C" w:rsidRDefault="00BD31E9" w:rsidP="00BD31E9">
      <w:pPr>
        <w:pStyle w:val="NoSpacing"/>
        <w:spacing w:line="360" w:lineRule="auto"/>
        <w:rPr>
          <w:sz w:val="24"/>
          <w:szCs w:val="24"/>
        </w:rPr>
      </w:pPr>
    </w:p>
    <w:p w:rsidR="00B74900" w:rsidRPr="0043750C" w:rsidRDefault="00B74900" w:rsidP="00BD31E9">
      <w:pPr>
        <w:pStyle w:val="NoSpacing"/>
        <w:spacing w:line="360" w:lineRule="auto"/>
        <w:rPr>
          <w:sz w:val="24"/>
          <w:szCs w:val="24"/>
        </w:rPr>
      </w:pPr>
      <w:r w:rsidRPr="0043750C">
        <w:rPr>
          <w:b/>
          <w:sz w:val="24"/>
          <w:szCs w:val="24"/>
          <w:u w:val="single"/>
        </w:rPr>
        <w:t>Lesson Study 2</w:t>
      </w:r>
    </w:p>
    <w:p w:rsidR="00B74900" w:rsidRPr="0043750C" w:rsidRDefault="00B74900" w:rsidP="00BD31E9">
      <w:pPr>
        <w:pStyle w:val="NoSpacing"/>
        <w:spacing w:line="360" w:lineRule="auto"/>
        <w:rPr>
          <w:sz w:val="24"/>
          <w:szCs w:val="24"/>
        </w:rPr>
      </w:pPr>
    </w:p>
    <w:p w:rsidR="00B74900" w:rsidRPr="0043750C" w:rsidRDefault="00B74900" w:rsidP="00BD31E9">
      <w:pPr>
        <w:pStyle w:val="NoSpacing"/>
        <w:spacing w:line="360" w:lineRule="auto"/>
        <w:rPr>
          <w:b/>
          <w:sz w:val="24"/>
          <w:szCs w:val="24"/>
          <w:u w:val="single"/>
        </w:rPr>
      </w:pPr>
    </w:p>
    <w:p w:rsidR="00B74900" w:rsidRPr="0043750C" w:rsidRDefault="00B74900" w:rsidP="00BD31E9">
      <w:pPr>
        <w:pStyle w:val="NoSpacing"/>
        <w:spacing w:line="360" w:lineRule="auto"/>
        <w:rPr>
          <w:b/>
          <w:sz w:val="24"/>
          <w:szCs w:val="24"/>
          <w:u w:val="single"/>
        </w:rPr>
      </w:pPr>
    </w:p>
    <w:p w:rsidR="00B74900" w:rsidRPr="0043750C" w:rsidRDefault="00B74900" w:rsidP="00BD31E9">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F65B32" w:rsidRPr="0043750C" w:rsidRDefault="00B74900" w:rsidP="0043750C">
      <w:pPr>
        <w:pStyle w:val="NoSpacing"/>
        <w:spacing w:line="360" w:lineRule="auto"/>
        <w:rPr>
          <w:sz w:val="24"/>
          <w:szCs w:val="24"/>
        </w:rPr>
      </w:pPr>
      <w:r w:rsidRPr="0043750C">
        <w:rPr>
          <w:b/>
          <w:sz w:val="24"/>
          <w:szCs w:val="24"/>
          <w:u w:val="single"/>
        </w:rPr>
        <w:t>Findings related to literature</w:t>
      </w:r>
    </w:p>
    <w:p w:rsidR="00B74900" w:rsidRPr="0043750C" w:rsidRDefault="00B74900" w:rsidP="0043750C">
      <w:pPr>
        <w:pStyle w:val="NoSpacing"/>
        <w:spacing w:line="360" w:lineRule="auto"/>
        <w:rPr>
          <w:sz w:val="24"/>
          <w:szCs w:val="24"/>
        </w:rPr>
      </w:pPr>
    </w:p>
    <w:p w:rsidR="00B74900" w:rsidRPr="0043750C" w:rsidRDefault="00B74900" w:rsidP="0043750C">
      <w:pPr>
        <w:pStyle w:val="NoSpacing"/>
        <w:spacing w:line="360" w:lineRule="auto"/>
        <w:rPr>
          <w:sz w:val="24"/>
          <w:szCs w:val="24"/>
        </w:rPr>
      </w:pPr>
    </w:p>
    <w:p w:rsidR="0043750C" w:rsidRDefault="0043750C" w:rsidP="0043750C">
      <w:pPr>
        <w:pStyle w:val="NoSpacing"/>
        <w:spacing w:line="360" w:lineRule="auto"/>
        <w:rPr>
          <w:sz w:val="24"/>
          <w:szCs w:val="24"/>
        </w:rPr>
      </w:pPr>
    </w:p>
    <w:p w:rsidR="00B74900" w:rsidRPr="0043750C" w:rsidRDefault="00B74900" w:rsidP="0043750C">
      <w:pPr>
        <w:pStyle w:val="NoSpacing"/>
        <w:spacing w:line="360" w:lineRule="auto"/>
        <w:rPr>
          <w:sz w:val="24"/>
          <w:szCs w:val="24"/>
        </w:rPr>
      </w:pPr>
      <w:r w:rsidRPr="0043750C">
        <w:rPr>
          <w:b/>
          <w:sz w:val="24"/>
          <w:szCs w:val="24"/>
          <w:u w:val="single"/>
        </w:rPr>
        <w:t>Conclusion</w:t>
      </w:r>
    </w:p>
    <w:p w:rsidR="00B74900" w:rsidRPr="0043750C" w:rsidRDefault="00B74900" w:rsidP="0043750C">
      <w:pPr>
        <w:pStyle w:val="NoSpacing"/>
        <w:spacing w:line="360" w:lineRule="auto"/>
        <w:rPr>
          <w:sz w:val="24"/>
          <w:szCs w:val="24"/>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b/>
          <w:sz w:val="24"/>
          <w:szCs w:val="24"/>
          <w:u w:val="single"/>
        </w:rPr>
      </w:pPr>
    </w:p>
    <w:p w:rsidR="00B74900" w:rsidRPr="0043750C" w:rsidRDefault="00B74900" w:rsidP="0043750C">
      <w:pPr>
        <w:pStyle w:val="NoSpacing"/>
        <w:spacing w:line="360" w:lineRule="auto"/>
        <w:rPr>
          <w:sz w:val="24"/>
          <w:szCs w:val="24"/>
        </w:rPr>
      </w:pPr>
      <w:r w:rsidRPr="0043750C">
        <w:rPr>
          <w:b/>
          <w:sz w:val="24"/>
          <w:szCs w:val="24"/>
          <w:u w:val="single"/>
        </w:rPr>
        <w:t>Recommendations</w:t>
      </w:r>
    </w:p>
    <w:p w:rsidR="00B74900" w:rsidRPr="00B74900" w:rsidRDefault="00B74900" w:rsidP="00F65B32">
      <w:pPr>
        <w:pStyle w:val="NoSpacing"/>
        <w:rPr>
          <w:sz w:val="24"/>
          <w:szCs w:val="24"/>
        </w:rPr>
      </w:pPr>
    </w:p>
    <w:p w:rsidR="004970A9" w:rsidRDefault="004970A9"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B74900" w:rsidRDefault="00B74900" w:rsidP="00F65B32">
      <w:pPr>
        <w:pStyle w:val="NoSpacing"/>
        <w:rPr>
          <w:b/>
          <w:u w:val="single"/>
        </w:rPr>
      </w:pPr>
    </w:p>
    <w:p w:rsidR="004970A9" w:rsidRDefault="004970A9" w:rsidP="00F65B32">
      <w:pPr>
        <w:pStyle w:val="NoSpacing"/>
        <w:rPr>
          <w:b/>
          <w:u w:val="single"/>
        </w:rPr>
      </w:pPr>
    </w:p>
    <w:p w:rsidR="0043750C" w:rsidRDefault="0043750C" w:rsidP="00B74900">
      <w:pPr>
        <w:spacing w:after="0"/>
      </w:pPr>
    </w:p>
    <w:p w:rsidR="004970A9" w:rsidRPr="00817448" w:rsidRDefault="004970A9" w:rsidP="00B74900">
      <w:pPr>
        <w:spacing w:after="0"/>
        <w:rPr>
          <w:b/>
          <w:sz w:val="24"/>
          <w:szCs w:val="24"/>
          <w:u w:val="single"/>
          <w:shd w:val="clear" w:color="auto" w:fill="FFFFFF"/>
        </w:rPr>
      </w:pPr>
      <w:r w:rsidRPr="00817448">
        <w:rPr>
          <w:b/>
          <w:sz w:val="24"/>
          <w:szCs w:val="24"/>
          <w:u w:val="single"/>
          <w:shd w:val="clear" w:color="auto" w:fill="FFFFFF"/>
        </w:rPr>
        <w:t>References</w:t>
      </w:r>
    </w:p>
    <w:p w:rsidR="004970A9" w:rsidRPr="00817448" w:rsidRDefault="004970A9" w:rsidP="00B74900">
      <w:pPr>
        <w:pStyle w:val="NoSpacing"/>
        <w:rPr>
          <w:rFonts w:cs="Helvetica"/>
          <w:sz w:val="24"/>
          <w:szCs w:val="24"/>
          <w:shd w:val="clear" w:color="auto" w:fill="FFFFFF"/>
        </w:rPr>
      </w:pPr>
    </w:p>
    <w:p w:rsidR="001B3B90" w:rsidRPr="00312307" w:rsidRDefault="001B3B90" w:rsidP="001B3B90">
      <w:pPr>
        <w:pStyle w:val="NoSpacing"/>
        <w:rPr>
          <w:sz w:val="24"/>
          <w:szCs w:val="24"/>
        </w:rPr>
      </w:pPr>
      <w:r w:rsidRPr="00312307">
        <w:rPr>
          <w:sz w:val="24"/>
          <w:szCs w:val="24"/>
        </w:rPr>
        <w:t>Barron, A. (1998). Designing Web-based training. British J. Educ. Technol.</w:t>
      </w:r>
    </w:p>
    <w:p w:rsidR="001B3B90" w:rsidRDefault="001B3B90" w:rsidP="001B3B90">
      <w:pPr>
        <w:pStyle w:val="NoSpacing"/>
      </w:pPr>
    </w:p>
    <w:p w:rsidR="001B3B90" w:rsidRPr="00312307" w:rsidRDefault="001B3B90" w:rsidP="001B3B90">
      <w:pPr>
        <w:pStyle w:val="NoSpacing"/>
        <w:rPr>
          <w:sz w:val="24"/>
          <w:szCs w:val="24"/>
        </w:rPr>
      </w:pPr>
      <w:r w:rsidRPr="00312307">
        <w:rPr>
          <w:rStyle w:val="authors"/>
          <w:rFonts w:cs="Arial"/>
          <w:sz w:val="24"/>
          <w:szCs w:val="24"/>
          <w:shd w:val="clear" w:color="auto" w:fill="FFFFFF"/>
        </w:rPr>
        <w:t>Berge, Z, L.</w:t>
      </w:r>
      <w:r w:rsidRPr="00312307">
        <w:rPr>
          <w:rFonts w:cs="Arial"/>
          <w:sz w:val="24"/>
          <w:szCs w:val="24"/>
          <w:shd w:val="clear" w:color="auto" w:fill="FFFFFF"/>
        </w:rPr>
        <w:t> </w:t>
      </w:r>
      <w:r w:rsidRPr="00312307">
        <w:rPr>
          <w:rStyle w:val="Date1"/>
          <w:rFonts w:cs="Arial"/>
          <w:sz w:val="24"/>
          <w:szCs w:val="24"/>
          <w:shd w:val="clear" w:color="auto" w:fill="FFFFFF"/>
        </w:rPr>
        <w:t>(1998).</w:t>
      </w:r>
      <w:r w:rsidRPr="00312307">
        <w:rPr>
          <w:rFonts w:cs="Arial"/>
          <w:sz w:val="24"/>
          <w:szCs w:val="24"/>
          <w:shd w:val="clear" w:color="auto" w:fill="FFFFFF"/>
        </w:rPr>
        <w:t> </w:t>
      </w:r>
      <w:r w:rsidRPr="00312307">
        <w:rPr>
          <w:rStyle w:val="arttitle"/>
          <w:rFonts w:cs="Arial"/>
          <w:sz w:val="24"/>
          <w:szCs w:val="24"/>
          <w:shd w:val="clear" w:color="auto" w:fill="FFFFFF"/>
        </w:rPr>
        <w:t>Guiding Principles in Web</w:t>
      </w:r>
      <w:r w:rsidRPr="00312307">
        <w:rPr>
          <w:rStyle w:val="arttitle"/>
          <w:rFonts w:cs="Cambria Math"/>
          <w:sz w:val="24"/>
          <w:szCs w:val="24"/>
          <w:shd w:val="clear" w:color="auto" w:fill="FFFFFF"/>
        </w:rPr>
        <w:t>‐</w:t>
      </w:r>
      <w:r w:rsidRPr="00312307">
        <w:rPr>
          <w:rStyle w:val="arttitle"/>
          <w:rFonts w:cs="Arial"/>
          <w:sz w:val="24"/>
          <w:szCs w:val="24"/>
          <w:shd w:val="clear" w:color="auto" w:fill="FFFFFF"/>
        </w:rPr>
        <w:t>Based Instructional Design,</w:t>
      </w:r>
      <w:r w:rsidRPr="00312307">
        <w:rPr>
          <w:rFonts w:cs="Arial"/>
          <w:sz w:val="24"/>
          <w:szCs w:val="24"/>
          <w:shd w:val="clear" w:color="auto" w:fill="FFFFFF"/>
        </w:rPr>
        <w:t> </w:t>
      </w:r>
      <w:r w:rsidRPr="00312307">
        <w:rPr>
          <w:rStyle w:val="serialtitle"/>
          <w:rFonts w:cs="Arial"/>
          <w:sz w:val="24"/>
          <w:szCs w:val="24"/>
          <w:shd w:val="clear" w:color="auto" w:fill="FFFFFF"/>
        </w:rPr>
        <w:t>Educational Media International.</w:t>
      </w:r>
    </w:p>
    <w:p w:rsidR="001B3B90" w:rsidRDefault="001B3B90" w:rsidP="00B74900">
      <w:pPr>
        <w:spacing w:after="0"/>
        <w:rPr>
          <w:sz w:val="24"/>
          <w:szCs w:val="24"/>
          <w:shd w:val="clear" w:color="auto" w:fill="FFFFFF"/>
        </w:rPr>
      </w:pPr>
    </w:p>
    <w:p w:rsidR="004970A9" w:rsidRPr="001C7869" w:rsidRDefault="004970A9" w:rsidP="00B74900">
      <w:pPr>
        <w:spacing w:after="0"/>
        <w:rPr>
          <w:sz w:val="24"/>
          <w:szCs w:val="24"/>
        </w:rPr>
      </w:pPr>
      <w:r w:rsidRPr="001C7869">
        <w:rPr>
          <w:sz w:val="24"/>
          <w:szCs w:val="24"/>
          <w:shd w:val="clear" w:color="auto" w:fill="FFFFFF"/>
        </w:rPr>
        <w:lastRenderedPageBreak/>
        <w:t>British Educational Research Association (BERA) (2011) </w:t>
      </w:r>
      <w:r w:rsidRPr="001C7869">
        <w:rPr>
          <w:rStyle w:val="Emphasis"/>
          <w:i w:val="0"/>
          <w:sz w:val="24"/>
          <w:szCs w:val="24"/>
          <w:shd w:val="clear" w:color="auto" w:fill="FFFFFF"/>
        </w:rPr>
        <w:t>Ethical guidelines for educational research</w:t>
      </w:r>
      <w:r w:rsidRPr="001C7869">
        <w:rPr>
          <w:sz w:val="24"/>
          <w:szCs w:val="24"/>
          <w:shd w:val="clear" w:color="auto" w:fill="FFFFFF"/>
        </w:rPr>
        <w:t>. Available at: </w:t>
      </w:r>
      <w:hyperlink r:id="rId9" w:tgtFrame="_blank" w:history="1">
        <w:r w:rsidRPr="001C7869">
          <w:rPr>
            <w:rStyle w:val="Hyperlink"/>
            <w:color w:val="auto"/>
            <w:sz w:val="24"/>
            <w:szCs w:val="24"/>
            <w:u w:val="none"/>
            <w:shd w:val="clear" w:color="auto" w:fill="FFFFFF"/>
          </w:rPr>
          <w:t>https://www.bera.ac.uk/researchers-resources/publications/ethical-guidelines-for-educational-research-2011</w:t>
        </w:r>
      </w:hyperlink>
      <w:r w:rsidRPr="001C7869">
        <w:rPr>
          <w:sz w:val="24"/>
          <w:szCs w:val="24"/>
          <w:shd w:val="clear" w:color="auto" w:fill="FFFFFF"/>
        </w:rPr>
        <w:t> (Accessed: January 2019).</w:t>
      </w:r>
    </w:p>
    <w:p w:rsidR="004970A9" w:rsidRPr="001C7869" w:rsidRDefault="004970A9" w:rsidP="00B74900">
      <w:pPr>
        <w:pStyle w:val="NoSpacing"/>
        <w:rPr>
          <w:sz w:val="24"/>
          <w:szCs w:val="24"/>
        </w:rPr>
      </w:pPr>
    </w:p>
    <w:p w:rsidR="004970A9" w:rsidRPr="001C7869" w:rsidRDefault="004970A9" w:rsidP="00B74900">
      <w:pPr>
        <w:pStyle w:val="NoSpacing"/>
        <w:rPr>
          <w:sz w:val="24"/>
          <w:szCs w:val="24"/>
        </w:rPr>
      </w:pPr>
      <w:r w:rsidRPr="001C7869">
        <w:rPr>
          <w:sz w:val="24"/>
          <w:szCs w:val="24"/>
        </w:rPr>
        <w:t>Brookfield, S. (1995).</w:t>
      </w:r>
      <w:r w:rsidRPr="001C7869">
        <w:rPr>
          <w:rStyle w:val="Emphasis"/>
          <w:i w:val="0"/>
          <w:sz w:val="24"/>
          <w:szCs w:val="24"/>
          <w:bdr w:val="none" w:sz="0" w:space="0" w:color="auto" w:frame="1"/>
        </w:rPr>
        <w:t> Becoming a Critically Reflective Teacher</w:t>
      </w:r>
      <w:r w:rsidRPr="001C7869">
        <w:rPr>
          <w:sz w:val="24"/>
          <w:szCs w:val="24"/>
        </w:rPr>
        <w:t>. San-Francisco: Jossey-Bass.</w:t>
      </w:r>
    </w:p>
    <w:p w:rsidR="004970A9" w:rsidRDefault="004970A9" w:rsidP="00B74900">
      <w:pPr>
        <w:pStyle w:val="NoSpacing"/>
        <w:rPr>
          <w:sz w:val="24"/>
          <w:szCs w:val="24"/>
        </w:rPr>
      </w:pPr>
    </w:p>
    <w:p w:rsidR="00C73683" w:rsidRPr="00374534" w:rsidRDefault="00C73683" w:rsidP="00C73683">
      <w:pPr>
        <w:pStyle w:val="NoSpacing"/>
        <w:rPr>
          <w:sz w:val="24"/>
          <w:szCs w:val="24"/>
        </w:rPr>
      </w:pPr>
      <w:r w:rsidRPr="00374534">
        <w:rPr>
          <w:sz w:val="24"/>
          <w:szCs w:val="24"/>
        </w:rPr>
        <w:t>Cunningham, M, Kerr, K, McEune, R, Smith, P and Harris, S (2004), Laptops for Teachers: an Evaluation of the First Year of the Initiative, ICT in Schools Research and Evaluation Series No. 19. Coventry/London</w:t>
      </w:r>
    </w:p>
    <w:p w:rsidR="00C73683" w:rsidRDefault="00C73683" w:rsidP="001C7869">
      <w:pPr>
        <w:pStyle w:val="NoSpacing"/>
        <w:rPr>
          <w:sz w:val="24"/>
          <w:szCs w:val="24"/>
        </w:rPr>
      </w:pPr>
    </w:p>
    <w:p w:rsidR="001C7869" w:rsidRPr="001C7869" w:rsidRDefault="001C7869" w:rsidP="001C7869">
      <w:pPr>
        <w:pStyle w:val="NoSpacing"/>
        <w:rPr>
          <w:sz w:val="24"/>
          <w:szCs w:val="24"/>
        </w:rPr>
      </w:pPr>
      <w:r w:rsidRPr="001C7869">
        <w:rPr>
          <w:sz w:val="24"/>
          <w:szCs w:val="24"/>
        </w:rPr>
        <w:t>Du’mus, Mustafa Nimr. (2011). Technology of learning and Computerising the education. Oman: Dar Ghaidaa.</w:t>
      </w:r>
    </w:p>
    <w:p w:rsidR="001C7869" w:rsidRPr="001C7869" w:rsidRDefault="001C7869" w:rsidP="00B74900">
      <w:pPr>
        <w:pStyle w:val="NoSpacing"/>
        <w:rPr>
          <w:sz w:val="24"/>
          <w:szCs w:val="24"/>
        </w:rPr>
      </w:pPr>
    </w:p>
    <w:p w:rsidR="001C7869" w:rsidRPr="001C7869" w:rsidRDefault="001C7869" w:rsidP="001C7869">
      <w:pPr>
        <w:pStyle w:val="NoSpacing"/>
        <w:rPr>
          <w:rFonts w:cs="Helvetica"/>
          <w:sz w:val="24"/>
          <w:szCs w:val="24"/>
          <w:shd w:val="clear" w:color="auto" w:fill="FFFFFF"/>
        </w:rPr>
      </w:pPr>
      <w:r w:rsidRPr="001C7869">
        <w:rPr>
          <w:rFonts w:cs="Helvetica"/>
          <w:sz w:val="24"/>
          <w:szCs w:val="24"/>
          <w:shd w:val="clear" w:color="auto" w:fill="FFFFFF"/>
        </w:rPr>
        <w:t>Department for Education (2013) </w:t>
      </w:r>
      <w:r w:rsidRPr="001C7869">
        <w:rPr>
          <w:rStyle w:val="Emphasis"/>
          <w:rFonts w:cs="Helvetica"/>
          <w:i w:val="0"/>
          <w:sz w:val="24"/>
          <w:szCs w:val="24"/>
          <w:shd w:val="clear" w:color="auto" w:fill="FFFFFF"/>
        </w:rPr>
        <w:t>The National Curriculum in Wales: Foundation Phase Framework document.</w:t>
      </w:r>
      <w:r w:rsidRPr="001C7869">
        <w:rPr>
          <w:rFonts w:cs="Helvetica"/>
          <w:sz w:val="24"/>
          <w:szCs w:val="24"/>
          <w:shd w:val="clear" w:color="auto" w:fill="FFFFFF"/>
        </w:rPr>
        <w:t> Available at: </w:t>
      </w:r>
      <w:hyperlink r:id="rId10" w:history="1">
        <w:r w:rsidRPr="001C7869">
          <w:rPr>
            <w:rStyle w:val="Hyperlink"/>
            <w:color w:val="auto"/>
            <w:sz w:val="24"/>
            <w:szCs w:val="24"/>
            <w:u w:val="none"/>
          </w:rPr>
          <w:t>https://beta.gov.wales/sites/default/files/publications/2018-02/foundation-phase-framework-revised-2015.pdf</w:t>
        </w:r>
      </w:hyperlink>
      <w:r w:rsidRPr="001C7869">
        <w:rPr>
          <w:rFonts w:cs="Helvetica"/>
          <w:sz w:val="24"/>
          <w:szCs w:val="24"/>
          <w:shd w:val="clear" w:color="auto" w:fill="FFFFFF"/>
        </w:rPr>
        <w:t xml:space="preserve"> (Accessed: January 2019).</w:t>
      </w:r>
    </w:p>
    <w:p w:rsidR="001C7869" w:rsidRPr="001C7869" w:rsidRDefault="001C7869" w:rsidP="00B74900">
      <w:pPr>
        <w:pStyle w:val="NoSpacing"/>
        <w:rPr>
          <w:sz w:val="24"/>
          <w:szCs w:val="24"/>
        </w:rPr>
      </w:pPr>
    </w:p>
    <w:p w:rsidR="004970A9" w:rsidRPr="003E7AE8" w:rsidRDefault="004970A9" w:rsidP="00B74900">
      <w:pPr>
        <w:pStyle w:val="NoSpacing"/>
        <w:rPr>
          <w:sz w:val="24"/>
          <w:szCs w:val="24"/>
        </w:rPr>
      </w:pPr>
      <w:r w:rsidRPr="001C7869">
        <w:rPr>
          <w:sz w:val="24"/>
          <w:szCs w:val="24"/>
        </w:rPr>
        <w:t>Donaldson, G. (2015). Successful futures: Independent Review of Curriculum and Assessment Arrangements in Wales: February 2015. Crown copyright, Australia.</w:t>
      </w:r>
    </w:p>
    <w:p w:rsidR="004970A9" w:rsidRPr="001C7869" w:rsidRDefault="004970A9" w:rsidP="00B74900">
      <w:pPr>
        <w:pStyle w:val="NoSpacing"/>
        <w:rPr>
          <w:sz w:val="24"/>
          <w:szCs w:val="24"/>
        </w:rPr>
      </w:pPr>
    </w:p>
    <w:p w:rsidR="004970A9" w:rsidRPr="001C7869" w:rsidRDefault="004970A9" w:rsidP="00B74900">
      <w:pPr>
        <w:pStyle w:val="NoSpacing"/>
        <w:rPr>
          <w:sz w:val="24"/>
          <w:szCs w:val="24"/>
        </w:rPr>
      </w:pPr>
      <w:r w:rsidRPr="001C7869">
        <w:rPr>
          <w:sz w:val="24"/>
          <w:szCs w:val="24"/>
        </w:rPr>
        <w:t>Dudley, P. (2011). How Lesson Study orchestrates key features of teacher knowledge and teacher learning to create profound changes in professional practice. Presented at the World Association of Lesson Studies Annual Conference, Tokyo.</w:t>
      </w:r>
    </w:p>
    <w:p w:rsidR="004970A9" w:rsidRPr="001C7869" w:rsidRDefault="004970A9" w:rsidP="00B74900">
      <w:pPr>
        <w:pStyle w:val="NoSpacing"/>
        <w:rPr>
          <w:sz w:val="24"/>
          <w:szCs w:val="24"/>
        </w:rPr>
      </w:pPr>
    </w:p>
    <w:p w:rsidR="004970A9" w:rsidRPr="001C7869" w:rsidRDefault="004970A9" w:rsidP="00B74900">
      <w:pPr>
        <w:pStyle w:val="NoSpacing"/>
        <w:rPr>
          <w:rFonts w:cs="Arial"/>
          <w:sz w:val="24"/>
          <w:szCs w:val="24"/>
        </w:rPr>
      </w:pPr>
      <w:r w:rsidRPr="001C7869">
        <w:rPr>
          <w:sz w:val="24"/>
          <w:szCs w:val="24"/>
        </w:rPr>
        <w:t>Dudley, P. (2013) Teacher Learning in Lesson Study: what interaction-level discourse analysis revealed about how teachers utilised imagination, tacit knowledge of teaching and freshly gathered evidence of pupils learning, to develop their practice knowledge and so enhance their pupils’ learning, Teacher and Teacher Education, Teaching and Teacher Education.</w:t>
      </w:r>
    </w:p>
    <w:p w:rsidR="004970A9" w:rsidRPr="001C7869" w:rsidRDefault="004970A9" w:rsidP="00B74900">
      <w:pPr>
        <w:pStyle w:val="NoSpacing"/>
        <w:rPr>
          <w:sz w:val="24"/>
          <w:szCs w:val="24"/>
          <w:shd w:val="clear" w:color="auto" w:fill="FFFFFF"/>
        </w:rPr>
      </w:pPr>
    </w:p>
    <w:p w:rsidR="004970A9" w:rsidRPr="00C73683" w:rsidRDefault="004970A9" w:rsidP="00B74900">
      <w:pPr>
        <w:pStyle w:val="NoSpacing"/>
        <w:rPr>
          <w:sz w:val="24"/>
          <w:szCs w:val="24"/>
          <w:shd w:val="clear" w:color="auto" w:fill="FFFFFF"/>
        </w:rPr>
      </w:pPr>
      <w:r w:rsidRPr="001C7869">
        <w:rPr>
          <w:sz w:val="24"/>
          <w:szCs w:val="24"/>
          <w:shd w:val="clear" w:color="auto" w:fill="FFFFFF"/>
        </w:rPr>
        <w:t>Dudley, P. (2014) </w:t>
      </w:r>
      <w:r w:rsidRPr="001C7869">
        <w:rPr>
          <w:rStyle w:val="Emphasis"/>
          <w:i w:val="0"/>
          <w:sz w:val="24"/>
          <w:szCs w:val="24"/>
          <w:shd w:val="clear" w:color="auto" w:fill="FFFFFF"/>
        </w:rPr>
        <w:t>Lesson Study: a handbook for teachers and school leaders. </w:t>
      </w:r>
      <w:r w:rsidRPr="001C7869">
        <w:rPr>
          <w:sz w:val="24"/>
          <w:szCs w:val="24"/>
          <w:shd w:val="clear" w:color="auto" w:fill="FFFFFF"/>
        </w:rPr>
        <w:t>Lesson Study UK </w:t>
      </w:r>
      <w:hyperlink r:id="rId11" w:tgtFrame="_blank" w:history="1">
        <w:r w:rsidRPr="00C73683">
          <w:rPr>
            <w:rStyle w:val="Hyperlink"/>
            <w:color w:val="auto"/>
            <w:sz w:val="24"/>
            <w:szCs w:val="24"/>
            <w:u w:val="none"/>
            <w:shd w:val="clear" w:color="auto" w:fill="FFFFFF"/>
          </w:rPr>
          <w:t>www.lessonstudy.co.uk</w:t>
        </w:r>
      </w:hyperlink>
      <w:r w:rsidRPr="00C73683">
        <w:rPr>
          <w:sz w:val="24"/>
          <w:szCs w:val="24"/>
          <w:shd w:val="clear" w:color="auto" w:fill="FFFFFF"/>
        </w:rPr>
        <w:t>  (First published 2003 by NCSL.)</w:t>
      </w:r>
      <w:r w:rsidR="002A2A4D">
        <w:rPr>
          <w:sz w:val="24"/>
          <w:szCs w:val="24"/>
          <w:shd w:val="clear" w:color="auto" w:fill="FFFFFF"/>
        </w:rPr>
        <w:t xml:space="preserve"> </w:t>
      </w:r>
      <w:r w:rsidR="002A2A4D" w:rsidRPr="001C7869">
        <w:rPr>
          <w:rFonts w:cs="Helvetica"/>
          <w:sz w:val="24"/>
          <w:szCs w:val="24"/>
          <w:shd w:val="clear" w:color="auto" w:fill="FFFFFF"/>
        </w:rPr>
        <w:t>(Accessed: January 2019).</w:t>
      </w:r>
    </w:p>
    <w:p w:rsidR="0074551D" w:rsidRPr="00C73683" w:rsidRDefault="0074551D" w:rsidP="00B74900">
      <w:pPr>
        <w:pStyle w:val="NoSpacing"/>
        <w:rPr>
          <w:sz w:val="24"/>
          <w:szCs w:val="24"/>
          <w:shd w:val="clear" w:color="auto" w:fill="FFFFFF"/>
        </w:rPr>
      </w:pPr>
    </w:p>
    <w:p w:rsidR="00C73683" w:rsidRPr="00C73683" w:rsidRDefault="00C73683" w:rsidP="00C73683">
      <w:pPr>
        <w:pStyle w:val="NoSpacing"/>
        <w:rPr>
          <w:sz w:val="24"/>
          <w:szCs w:val="24"/>
        </w:rPr>
      </w:pPr>
      <w:r w:rsidRPr="00C73683">
        <w:rPr>
          <w:sz w:val="24"/>
          <w:szCs w:val="24"/>
        </w:rPr>
        <w:t>Du’mus, Mustafa Nimr. (2011). Technology of learning and Computerising the education. Oman: Dar Ghaidaa.</w:t>
      </w:r>
    </w:p>
    <w:p w:rsidR="00C73683" w:rsidRPr="00C73683" w:rsidRDefault="00C73683" w:rsidP="00B74900">
      <w:pPr>
        <w:pStyle w:val="NoSpacing"/>
        <w:rPr>
          <w:sz w:val="24"/>
          <w:szCs w:val="24"/>
          <w:shd w:val="clear" w:color="auto" w:fill="FFFFFF"/>
        </w:rPr>
      </w:pPr>
    </w:p>
    <w:p w:rsidR="0074551D" w:rsidRPr="001C7869" w:rsidRDefault="0074551D" w:rsidP="00B74900">
      <w:pPr>
        <w:pStyle w:val="NoSpacing"/>
        <w:rPr>
          <w:sz w:val="24"/>
          <w:szCs w:val="24"/>
        </w:rPr>
      </w:pPr>
      <w:r w:rsidRPr="00C73683">
        <w:rPr>
          <w:sz w:val="24"/>
          <w:szCs w:val="24"/>
        </w:rPr>
        <w:t>Facer,</w:t>
      </w:r>
      <w:r w:rsidRPr="001C7869">
        <w:rPr>
          <w:sz w:val="24"/>
          <w:szCs w:val="24"/>
        </w:rPr>
        <w:t xml:space="preserve"> K and Owen, M (2005), The potential role of ICT in modern foreign languages learning 5–19. NESTA Futurelab Discussion Paper </w:t>
      </w:r>
      <w:hyperlink r:id="rId12" w:history="1">
        <w:r w:rsidRPr="001C7869">
          <w:rPr>
            <w:rStyle w:val="Hyperlink"/>
            <w:color w:val="auto"/>
            <w:sz w:val="24"/>
            <w:szCs w:val="24"/>
            <w:u w:val="none"/>
          </w:rPr>
          <w:t>http://www.nestafuturelab.org/research/discuss/03discuss01.htm</w:t>
        </w:r>
      </w:hyperlink>
      <w:r w:rsidR="002A2A4D">
        <w:rPr>
          <w:rStyle w:val="Hyperlink"/>
          <w:color w:val="auto"/>
          <w:sz w:val="24"/>
          <w:szCs w:val="24"/>
          <w:u w:val="none"/>
        </w:rPr>
        <w:t xml:space="preserve"> </w:t>
      </w:r>
      <w:r w:rsidR="002A2A4D" w:rsidRPr="001C7869">
        <w:rPr>
          <w:rFonts w:cs="Helvetica"/>
          <w:sz w:val="24"/>
          <w:szCs w:val="24"/>
          <w:shd w:val="clear" w:color="auto" w:fill="FFFFFF"/>
        </w:rPr>
        <w:t>(Accessed: January 2019).</w:t>
      </w:r>
    </w:p>
    <w:p w:rsidR="004970A9" w:rsidRPr="001C7869" w:rsidRDefault="004970A9" w:rsidP="00B74900">
      <w:pPr>
        <w:pStyle w:val="NoSpacing"/>
        <w:rPr>
          <w:sz w:val="24"/>
          <w:szCs w:val="24"/>
          <w:shd w:val="clear" w:color="auto" w:fill="FFFFFF"/>
        </w:rPr>
      </w:pPr>
    </w:p>
    <w:p w:rsidR="001C7869" w:rsidRPr="001C7869" w:rsidRDefault="001C7869" w:rsidP="001C7869">
      <w:pPr>
        <w:pStyle w:val="NoSpacing"/>
        <w:rPr>
          <w:sz w:val="24"/>
          <w:szCs w:val="24"/>
        </w:rPr>
      </w:pPr>
      <w:r w:rsidRPr="001C7869">
        <w:rPr>
          <w:sz w:val="24"/>
          <w:szCs w:val="24"/>
        </w:rPr>
        <w:t>Karsenti, T., &amp; Fievez, A. (2013). The I pad in education: uses, benefits. and challenges. Library and Archives Canada</w:t>
      </w:r>
    </w:p>
    <w:p w:rsidR="001C7869" w:rsidRPr="001C7869" w:rsidRDefault="001C7869" w:rsidP="00B74900">
      <w:pPr>
        <w:pStyle w:val="NoSpacing"/>
        <w:rPr>
          <w:sz w:val="24"/>
          <w:szCs w:val="24"/>
          <w:shd w:val="clear" w:color="auto" w:fill="FFFFFF"/>
        </w:rPr>
      </w:pPr>
    </w:p>
    <w:p w:rsidR="004970A9" w:rsidRPr="001C7869" w:rsidRDefault="004970A9" w:rsidP="00B74900">
      <w:pPr>
        <w:pStyle w:val="NoSpacing"/>
        <w:rPr>
          <w:sz w:val="24"/>
          <w:szCs w:val="24"/>
          <w:shd w:val="clear" w:color="auto" w:fill="FFFFFF"/>
        </w:rPr>
      </w:pPr>
      <w:r w:rsidRPr="001C7869">
        <w:rPr>
          <w:sz w:val="24"/>
          <w:szCs w:val="24"/>
          <w:shd w:val="clear" w:color="auto" w:fill="FFFFFF"/>
        </w:rPr>
        <w:t>Kolb, D. A. (1984). </w:t>
      </w:r>
      <w:r w:rsidRPr="001C7869">
        <w:rPr>
          <w:rStyle w:val="Emphasis"/>
          <w:i w:val="0"/>
          <w:sz w:val="24"/>
          <w:szCs w:val="24"/>
          <w:shd w:val="clear" w:color="auto" w:fill="FFFFFF"/>
        </w:rPr>
        <w:t>Experiential learning: Experience as the source of learning and development</w:t>
      </w:r>
      <w:r w:rsidRPr="001C7869">
        <w:rPr>
          <w:sz w:val="24"/>
          <w:szCs w:val="24"/>
          <w:shd w:val="clear" w:color="auto" w:fill="FFFFFF"/>
        </w:rPr>
        <w:t> (Vol. 1). Englewood Cliffs, NJ: Prentice-Hall.</w:t>
      </w:r>
    </w:p>
    <w:p w:rsidR="004970A9" w:rsidRPr="001C7869" w:rsidRDefault="004970A9" w:rsidP="00B74900">
      <w:pPr>
        <w:shd w:val="clear" w:color="auto" w:fill="FFFFFF"/>
        <w:spacing w:after="0"/>
        <w:rPr>
          <w:rFonts w:eastAsia="Times New Roman" w:cs="Times New Roman"/>
          <w:sz w:val="24"/>
          <w:szCs w:val="24"/>
        </w:rPr>
      </w:pPr>
    </w:p>
    <w:p w:rsidR="004970A9" w:rsidRPr="001C7869" w:rsidRDefault="004970A9" w:rsidP="00B74900">
      <w:pPr>
        <w:shd w:val="clear" w:color="auto" w:fill="FFFFFF"/>
        <w:spacing w:after="0"/>
        <w:rPr>
          <w:rFonts w:eastAsia="Times New Roman" w:cs="Times New Roman"/>
          <w:sz w:val="24"/>
          <w:szCs w:val="24"/>
        </w:rPr>
      </w:pPr>
      <w:r w:rsidRPr="001C7869">
        <w:rPr>
          <w:rFonts w:eastAsia="Times New Roman" w:cs="Times New Roman"/>
          <w:sz w:val="24"/>
          <w:szCs w:val="24"/>
        </w:rPr>
        <w:lastRenderedPageBreak/>
        <w:t xml:space="preserve">Laevers F. (1994). </w:t>
      </w:r>
      <w:r w:rsidRPr="001C7869">
        <w:rPr>
          <w:rFonts w:eastAsia="Times New Roman" w:cs="Times New Roman"/>
          <w:iCs/>
          <w:sz w:val="24"/>
          <w:szCs w:val="24"/>
        </w:rPr>
        <w:t>The Leuven Involvement Scale for Young Children. Manual and video</w:t>
      </w:r>
      <w:r w:rsidRPr="001C7869">
        <w:rPr>
          <w:rFonts w:eastAsia="Times New Roman" w:cs="Times New Roman"/>
          <w:sz w:val="24"/>
          <w:szCs w:val="24"/>
        </w:rPr>
        <w:t>. Leuven, Belgium: Centre for Experiential Education. Experiential Education Series, No 1.</w:t>
      </w:r>
    </w:p>
    <w:p w:rsidR="004970A9" w:rsidRPr="001C7869" w:rsidRDefault="004970A9" w:rsidP="00B74900">
      <w:pPr>
        <w:pStyle w:val="NoSpacing"/>
        <w:rPr>
          <w:sz w:val="24"/>
          <w:szCs w:val="24"/>
        </w:rPr>
      </w:pPr>
    </w:p>
    <w:p w:rsidR="0074551D" w:rsidRPr="001C7869" w:rsidRDefault="0074551D" w:rsidP="0074551D">
      <w:pPr>
        <w:pStyle w:val="NoSpacing"/>
        <w:rPr>
          <w:sz w:val="24"/>
          <w:szCs w:val="24"/>
        </w:rPr>
      </w:pPr>
      <w:r w:rsidRPr="001C7869">
        <w:rPr>
          <w:sz w:val="24"/>
          <w:szCs w:val="24"/>
        </w:rPr>
        <w:t xml:space="preserve">Prensky, M (2004), Use their tools! Speak their language! In Connected 10. Glasgow: Learning and Teaching Scotland </w:t>
      </w:r>
      <w:hyperlink r:id="rId13" w:history="1">
        <w:r w:rsidRPr="001C7869">
          <w:rPr>
            <w:rStyle w:val="Hyperlink"/>
            <w:color w:val="auto"/>
            <w:sz w:val="24"/>
            <w:szCs w:val="24"/>
            <w:u w:val="none"/>
          </w:rPr>
          <w:t>http://www.ltscotland.org.uk/ictineducation/connected/connected10</w:t>
        </w:r>
      </w:hyperlink>
      <w:r w:rsidR="002A2A4D">
        <w:rPr>
          <w:rStyle w:val="Hyperlink"/>
          <w:color w:val="auto"/>
          <w:sz w:val="24"/>
          <w:szCs w:val="24"/>
          <w:u w:val="none"/>
        </w:rPr>
        <w:t xml:space="preserve"> </w:t>
      </w:r>
      <w:r w:rsidR="002A2A4D" w:rsidRPr="001C7869">
        <w:rPr>
          <w:rFonts w:cs="Helvetica"/>
          <w:sz w:val="24"/>
          <w:szCs w:val="24"/>
          <w:shd w:val="clear" w:color="auto" w:fill="FFFFFF"/>
        </w:rPr>
        <w:t>(Accessed: January 2019).</w:t>
      </w:r>
    </w:p>
    <w:p w:rsidR="0074551D" w:rsidRPr="001C7869" w:rsidRDefault="0074551D" w:rsidP="0074551D">
      <w:pPr>
        <w:pStyle w:val="NoSpacing"/>
        <w:rPr>
          <w:sz w:val="24"/>
          <w:szCs w:val="24"/>
        </w:rPr>
      </w:pPr>
    </w:p>
    <w:p w:rsidR="001C7869" w:rsidRPr="001C7869" w:rsidRDefault="001C7869" w:rsidP="001C7869">
      <w:pPr>
        <w:pStyle w:val="NoSpacing"/>
        <w:rPr>
          <w:sz w:val="24"/>
          <w:szCs w:val="24"/>
        </w:rPr>
      </w:pPr>
      <w:r w:rsidRPr="001C7869">
        <w:rPr>
          <w:sz w:val="24"/>
          <w:szCs w:val="24"/>
        </w:rPr>
        <w:t>Savill-Smith, C and Kent, P (2003), The Use of Palmtop Computers for Learning. London: Learning and Skills Council. London, Learning and Skills Development Agency.</w:t>
      </w:r>
    </w:p>
    <w:p w:rsidR="001C7869" w:rsidRPr="001C7869" w:rsidRDefault="001C7869" w:rsidP="0074551D">
      <w:pPr>
        <w:pStyle w:val="NoSpacing"/>
        <w:rPr>
          <w:sz w:val="24"/>
          <w:szCs w:val="24"/>
        </w:rPr>
      </w:pPr>
    </w:p>
    <w:p w:rsidR="0074551D" w:rsidRPr="001C7869" w:rsidRDefault="0074551D" w:rsidP="0074551D">
      <w:pPr>
        <w:pStyle w:val="NoSpacing"/>
        <w:rPr>
          <w:sz w:val="24"/>
          <w:szCs w:val="24"/>
        </w:rPr>
      </w:pPr>
      <w:r w:rsidRPr="001C7869">
        <w:rPr>
          <w:sz w:val="24"/>
          <w:szCs w:val="24"/>
        </w:rPr>
        <w:t>Savill-Smith, C (2005), The use of palmtop computers for learning: a review of the literature. British Journal of Educational Technology. London, Learning and Skills Development Agency.</w:t>
      </w:r>
    </w:p>
    <w:p w:rsidR="0074551D" w:rsidRPr="001C7869" w:rsidRDefault="0074551D" w:rsidP="0074551D">
      <w:pPr>
        <w:pStyle w:val="NoSpacing"/>
        <w:rPr>
          <w:rFonts w:cs="Arial"/>
          <w:sz w:val="24"/>
          <w:szCs w:val="24"/>
          <w:shd w:val="clear" w:color="auto" w:fill="FFFFFF"/>
        </w:rPr>
      </w:pPr>
    </w:p>
    <w:p w:rsidR="001C7869" w:rsidRPr="001C7869" w:rsidRDefault="001C7869" w:rsidP="001C7869">
      <w:pPr>
        <w:pStyle w:val="NoSpacing"/>
        <w:rPr>
          <w:sz w:val="24"/>
          <w:szCs w:val="24"/>
        </w:rPr>
      </w:pPr>
      <w:r w:rsidRPr="001C7869">
        <w:rPr>
          <w:sz w:val="24"/>
          <w:szCs w:val="24"/>
        </w:rPr>
        <w:t>Shepard, I., &amp; Reeves, B. (2011). Ipad or ifad- the reality of a paperless classroom. Abilene Christian UniversityMobility Conference, 1-24.</w:t>
      </w:r>
    </w:p>
    <w:p w:rsidR="00C73683" w:rsidRPr="00374534" w:rsidRDefault="00C73683" w:rsidP="00C73683">
      <w:pPr>
        <w:pStyle w:val="NoSpacing"/>
        <w:rPr>
          <w:sz w:val="24"/>
          <w:szCs w:val="24"/>
        </w:rPr>
      </w:pPr>
    </w:p>
    <w:p w:rsidR="00C73683" w:rsidRDefault="00C73683" w:rsidP="00C73683">
      <w:pPr>
        <w:pStyle w:val="NoSpacing"/>
        <w:rPr>
          <w:sz w:val="24"/>
          <w:szCs w:val="24"/>
        </w:rPr>
      </w:pPr>
      <w:r w:rsidRPr="00374534">
        <w:rPr>
          <w:sz w:val="24"/>
          <w:szCs w:val="24"/>
        </w:rPr>
        <w:t>Simpson, M and Payne, F (2004) Evaluation of Personal Laptop Provision in School: Final Evaluation Report to Scottish Executive. Edinburgh: SEED</w:t>
      </w:r>
    </w:p>
    <w:p w:rsidR="00C73683" w:rsidRPr="001C7869" w:rsidRDefault="00C73683" w:rsidP="00C73683">
      <w:pPr>
        <w:pStyle w:val="NoSpacing"/>
        <w:rPr>
          <w:sz w:val="24"/>
          <w:szCs w:val="24"/>
        </w:rPr>
      </w:pPr>
    </w:p>
    <w:p w:rsidR="0074551D" w:rsidRPr="001C7869" w:rsidRDefault="0074551D" w:rsidP="0074551D">
      <w:pPr>
        <w:pStyle w:val="NoSpacing"/>
        <w:rPr>
          <w:sz w:val="24"/>
          <w:szCs w:val="24"/>
        </w:rPr>
      </w:pPr>
      <w:r w:rsidRPr="001C7869">
        <w:rPr>
          <w:rFonts w:cs="Arial"/>
          <w:sz w:val="24"/>
          <w:szCs w:val="24"/>
          <w:shd w:val="clear" w:color="auto" w:fill="FFFFFF"/>
        </w:rPr>
        <w:t>The Office for Standards in Education, Children's Services and Skills (</w:t>
      </w:r>
      <w:r w:rsidRPr="001C7869">
        <w:rPr>
          <w:rFonts w:cs="Arial"/>
          <w:bCs/>
          <w:sz w:val="24"/>
          <w:szCs w:val="24"/>
          <w:shd w:val="clear" w:color="auto" w:fill="FFFFFF"/>
        </w:rPr>
        <w:t>Ofsted</w:t>
      </w:r>
      <w:r w:rsidRPr="001C7869">
        <w:rPr>
          <w:rFonts w:cs="Arial"/>
          <w:sz w:val="24"/>
          <w:szCs w:val="24"/>
          <w:shd w:val="clear" w:color="auto" w:fill="FFFFFF"/>
        </w:rPr>
        <w:t xml:space="preserve">). (2017/2018). </w:t>
      </w:r>
      <w:r w:rsidRPr="001C7869">
        <w:rPr>
          <w:sz w:val="24"/>
          <w:szCs w:val="24"/>
        </w:rPr>
        <w:t>The Annual Report of Her Majesty’s Chief Inspector of Education, Children’s Services and Skills. London, Crown copyright 2018</w:t>
      </w:r>
    </w:p>
    <w:p w:rsidR="003E7AE8" w:rsidRDefault="003E7AE8" w:rsidP="00B74900">
      <w:pPr>
        <w:pStyle w:val="NoSpacing"/>
        <w:rPr>
          <w:rFonts w:cs="Helvetica"/>
          <w:sz w:val="24"/>
          <w:szCs w:val="24"/>
        </w:rPr>
      </w:pPr>
    </w:p>
    <w:p w:rsidR="002A2A4D" w:rsidRDefault="002A2A4D" w:rsidP="00B74900">
      <w:pPr>
        <w:pStyle w:val="NoSpacing"/>
        <w:rPr>
          <w:sz w:val="24"/>
          <w:szCs w:val="24"/>
        </w:rPr>
      </w:pPr>
      <w:r>
        <w:rPr>
          <w:rFonts w:cs="Helvetica"/>
          <w:sz w:val="24"/>
          <w:szCs w:val="24"/>
        </w:rPr>
        <w:t xml:space="preserve">The </w:t>
      </w:r>
      <w:r w:rsidR="003E7AE8" w:rsidRPr="00D6109D">
        <w:rPr>
          <w:rFonts w:cs="Helvetica"/>
          <w:sz w:val="24"/>
          <w:szCs w:val="24"/>
        </w:rPr>
        <w:t xml:space="preserve">United Nations Convention on the Rights of the Child (1989) (UNCRC) </w:t>
      </w:r>
      <w:r w:rsidRPr="002A2A4D">
        <w:rPr>
          <w:sz w:val="24"/>
          <w:szCs w:val="24"/>
        </w:rPr>
        <w:t xml:space="preserve">https://www.unicef.org/crc/files/Rights_overview.pdf </w:t>
      </w:r>
      <w:r w:rsidRPr="002A2A4D">
        <w:rPr>
          <w:rFonts w:cs="Helvetica"/>
          <w:sz w:val="24"/>
          <w:szCs w:val="24"/>
          <w:shd w:val="clear" w:color="auto" w:fill="FFFFFF"/>
        </w:rPr>
        <w:t>(Accessed</w:t>
      </w:r>
      <w:r w:rsidRPr="001C7869">
        <w:rPr>
          <w:rFonts w:cs="Helvetica"/>
          <w:sz w:val="24"/>
          <w:szCs w:val="24"/>
          <w:shd w:val="clear" w:color="auto" w:fill="FFFFFF"/>
        </w:rPr>
        <w:t>: January 2019).</w:t>
      </w:r>
    </w:p>
    <w:p w:rsidR="002A2A4D" w:rsidRDefault="002A2A4D" w:rsidP="00B74900">
      <w:pPr>
        <w:pStyle w:val="NoSpacing"/>
        <w:rPr>
          <w:sz w:val="24"/>
          <w:szCs w:val="24"/>
        </w:rPr>
      </w:pPr>
    </w:p>
    <w:p w:rsidR="0074551D" w:rsidRDefault="004970A9">
      <w:pPr>
        <w:pStyle w:val="NoSpacing"/>
      </w:pPr>
      <w:r w:rsidRPr="001C7869">
        <w:rPr>
          <w:sz w:val="24"/>
          <w:szCs w:val="24"/>
        </w:rPr>
        <w:t>Weiss, J. (2006). Introduction: Virtual learning and learning virtually. In Weiss, J., Nolan, J., Hunsinger, J., &amp; Trifonas, P. (Eds.) The International Handbook of Virtual learning Environments. Dordecht, the Netherlands, Springer.</w:t>
      </w:r>
    </w:p>
    <w:sectPr w:rsidR="0074551D" w:rsidSect="00B74900">
      <w:footerReference w:type="default" r:id="rId14"/>
      <w:footerReference w:type="firs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70A9" w:rsidRDefault="004970A9" w:rsidP="004970A9">
      <w:pPr>
        <w:spacing w:after="0"/>
      </w:pPr>
      <w:r>
        <w:separator/>
      </w:r>
    </w:p>
  </w:endnote>
  <w:endnote w:type="continuationSeparator" w:id="0">
    <w:p w:rsidR="004970A9" w:rsidRDefault="004970A9" w:rsidP="004970A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7093937"/>
      <w:docPartObj>
        <w:docPartGallery w:val="Page Numbers (Bottom of Page)"/>
        <w:docPartUnique/>
      </w:docPartObj>
    </w:sdtPr>
    <w:sdtEndPr>
      <w:rPr>
        <w:noProof/>
      </w:rPr>
    </w:sdtEndPr>
    <w:sdtContent>
      <w:p w:rsidR="00B74900" w:rsidRDefault="00B74900">
        <w:pPr>
          <w:pStyle w:val="Footer"/>
          <w:jc w:val="center"/>
        </w:pPr>
        <w:r>
          <w:fldChar w:fldCharType="begin"/>
        </w:r>
        <w:r>
          <w:instrText xml:space="preserve"> PAGE   \* MERGEFORMAT </w:instrText>
        </w:r>
        <w:r>
          <w:fldChar w:fldCharType="separate"/>
        </w:r>
        <w:r w:rsidR="005D63DE">
          <w:rPr>
            <w:noProof/>
          </w:rPr>
          <w:t>4</w:t>
        </w:r>
        <w:r>
          <w:rPr>
            <w:noProof/>
          </w:rPr>
          <w:fldChar w:fldCharType="end"/>
        </w:r>
      </w:p>
    </w:sdtContent>
  </w:sdt>
  <w:p w:rsidR="004970A9" w:rsidRDefault="004970A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8009736"/>
      <w:docPartObj>
        <w:docPartGallery w:val="Page Numbers (Bottom of Page)"/>
        <w:docPartUnique/>
      </w:docPartObj>
    </w:sdtPr>
    <w:sdtEndPr>
      <w:rPr>
        <w:noProof/>
      </w:rPr>
    </w:sdtEndPr>
    <w:sdtContent>
      <w:p w:rsidR="00B74900" w:rsidRDefault="00B7490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4970A9" w:rsidRDefault="004970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70A9" w:rsidRDefault="004970A9" w:rsidP="004970A9">
      <w:pPr>
        <w:spacing w:after="0"/>
      </w:pPr>
      <w:r>
        <w:separator/>
      </w:r>
    </w:p>
  </w:footnote>
  <w:footnote w:type="continuationSeparator" w:id="0">
    <w:p w:rsidR="004970A9" w:rsidRDefault="004970A9" w:rsidP="004970A9">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DC00EE"/>
    <w:multiLevelType w:val="hybridMultilevel"/>
    <w:tmpl w:val="3E9E8BDE"/>
    <w:lvl w:ilvl="0" w:tplc="3F447B54">
      <w:start w:val="1"/>
      <w:numFmt w:val="decimal"/>
      <w:lvlText w:val="%1."/>
      <w:lvlJc w:val="left"/>
      <w:pPr>
        <w:ind w:left="4320" w:hanging="360"/>
      </w:pPr>
      <w:rPr>
        <w:b w:val="0"/>
        <w:sz w:val="30"/>
        <w:szCs w:val="30"/>
      </w:rPr>
    </w:lvl>
    <w:lvl w:ilvl="1" w:tplc="08090019">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1">
    <w:nsid w:val="0D8D0E22"/>
    <w:multiLevelType w:val="multilevel"/>
    <w:tmpl w:val="AC04A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5B32"/>
    <w:rsid w:val="000638DE"/>
    <w:rsid w:val="000675A4"/>
    <w:rsid w:val="00102CAF"/>
    <w:rsid w:val="00150B48"/>
    <w:rsid w:val="00184C83"/>
    <w:rsid w:val="001B3B90"/>
    <w:rsid w:val="001C7869"/>
    <w:rsid w:val="00201620"/>
    <w:rsid w:val="00254112"/>
    <w:rsid w:val="002A2A4D"/>
    <w:rsid w:val="002B539F"/>
    <w:rsid w:val="003E7AE8"/>
    <w:rsid w:val="0043750C"/>
    <w:rsid w:val="004970A9"/>
    <w:rsid w:val="004A4504"/>
    <w:rsid w:val="004B17F0"/>
    <w:rsid w:val="004C134E"/>
    <w:rsid w:val="005851AC"/>
    <w:rsid w:val="005C0385"/>
    <w:rsid w:val="005D63DE"/>
    <w:rsid w:val="006E3A54"/>
    <w:rsid w:val="0074551D"/>
    <w:rsid w:val="0076280C"/>
    <w:rsid w:val="007C4869"/>
    <w:rsid w:val="007C58F4"/>
    <w:rsid w:val="007F451E"/>
    <w:rsid w:val="00840AF9"/>
    <w:rsid w:val="0087426C"/>
    <w:rsid w:val="008F5FF0"/>
    <w:rsid w:val="00966AD2"/>
    <w:rsid w:val="00972D2C"/>
    <w:rsid w:val="009959A1"/>
    <w:rsid w:val="00AB1583"/>
    <w:rsid w:val="00B354E9"/>
    <w:rsid w:val="00B74900"/>
    <w:rsid w:val="00BD31E9"/>
    <w:rsid w:val="00C73683"/>
    <w:rsid w:val="00C95292"/>
    <w:rsid w:val="00D808E4"/>
    <w:rsid w:val="00E70DEF"/>
    <w:rsid w:val="00ED589C"/>
    <w:rsid w:val="00F65B32"/>
    <w:rsid w:val="00FB5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next w:val="NoSpacing"/>
    <w:qFormat/>
    <w:rsid w:val="00F65B32"/>
    <w:pPr>
      <w:spacing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F451E"/>
    <w:pPr>
      <w:spacing w:after="0" w:line="240" w:lineRule="auto"/>
    </w:pPr>
    <w:rPr>
      <w:rFonts w:eastAsiaTheme="minorEastAsia"/>
      <w:lang w:eastAsia="en-GB"/>
    </w:rPr>
  </w:style>
  <w:style w:type="paragraph" w:customStyle="1" w:styleId="TableParagraph">
    <w:name w:val="Table Paragraph"/>
    <w:basedOn w:val="Normal"/>
    <w:uiPriority w:val="1"/>
    <w:qFormat/>
    <w:rsid w:val="00F65B32"/>
    <w:pPr>
      <w:widowControl w:val="0"/>
      <w:autoSpaceDE w:val="0"/>
      <w:autoSpaceDN w:val="0"/>
      <w:spacing w:after="0"/>
    </w:pPr>
    <w:rPr>
      <w:rFonts w:ascii="Arial" w:eastAsia="Arial" w:hAnsi="Arial" w:cs="Arial"/>
      <w:lang w:bidi="en-GB"/>
    </w:rPr>
  </w:style>
  <w:style w:type="character" w:styleId="Hyperlink">
    <w:name w:val="Hyperlink"/>
    <w:basedOn w:val="DefaultParagraphFont"/>
    <w:uiPriority w:val="99"/>
    <w:unhideWhenUsed/>
    <w:rsid w:val="00F65B32"/>
    <w:rPr>
      <w:color w:val="0000FF"/>
      <w:u w:val="single"/>
    </w:rPr>
  </w:style>
  <w:style w:type="character" w:styleId="Emphasis">
    <w:name w:val="Emphasis"/>
    <w:basedOn w:val="DefaultParagraphFont"/>
    <w:uiPriority w:val="20"/>
    <w:qFormat/>
    <w:rsid w:val="00F65B32"/>
    <w:rPr>
      <w:i/>
      <w:iCs/>
    </w:rPr>
  </w:style>
  <w:style w:type="character" w:customStyle="1" w:styleId="a-size-medium">
    <w:name w:val="a-size-medium"/>
    <w:basedOn w:val="DefaultParagraphFont"/>
    <w:rsid w:val="00F65B32"/>
  </w:style>
  <w:style w:type="character" w:styleId="FollowedHyperlink">
    <w:name w:val="FollowedHyperlink"/>
    <w:basedOn w:val="DefaultParagraphFont"/>
    <w:uiPriority w:val="99"/>
    <w:semiHidden/>
    <w:unhideWhenUsed/>
    <w:rsid w:val="004970A9"/>
    <w:rPr>
      <w:color w:val="800080" w:themeColor="followedHyperlink"/>
      <w:u w:val="single"/>
    </w:rPr>
  </w:style>
  <w:style w:type="paragraph" w:styleId="Header">
    <w:name w:val="header"/>
    <w:basedOn w:val="Normal"/>
    <w:link w:val="HeaderChar"/>
    <w:uiPriority w:val="99"/>
    <w:unhideWhenUsed/>
    <w:rsid w:val="004970A9"/>
    <w:pPr>
      <w:tabs>
        <w:tab w:val="center" w:pos="4513"/>
        <w:tab w:val="right" w:pos="9026"/>
      </w:tabs>
      <w:spacing w:after="0"/>
    </w:pPr>
  </w:style>
  <w:style w:type="character" w:customStyle="1" w:styleId="HeaderChar">
    <w:name w:val="Header Char"/>
    <w:basedOn w:val="DefaultParagraphFont"/>
    <w:link w:val="Header"/>
    <w:uiPriority w:val="99"/>
    <w:rsid w:val="004970A9"/>
    <w:rPr>
      <w:rFonts w:eastAsiaTheme="minorEastAsia"/>
      <w:lang w:eastAsia="en-GB"/>
    </w:rPr>
  </w:style>
  <w:style w:type="paragraph" w:styleId="Footer">
    <w:name w:val="footer"/>
    <w:basedOn w:val="Normal"/>
    <w:link w:val="FooterChar"/>
    <w:uiPriority w:val="99"/>
    <w:unhideWhenUsed/>
    <w:rsid w:val="004970A9"/>
    <w:pPr>
      <w:tabs>
        <w:tab w:val="center" w:pos="4513"/>
        <w:tab w:val="right" w:pos="9026"/>
      </w:tabs>
      <w:spacing w:after="0"/>
    </w:pPr>
  </w:style>
  <w:style w:type="character" w:customStyle="1" w:styleId="FooterChar">
    <w:name w:val="Footer Char"/>
    <w:basedOn w:val="DefaultParagraphFont"/>
    <w:link w:val="Footer"/>
    <w:uiPriority w:val="99"/>
    <w:rsid w:val="004970A9"/>
    <w:rPr>
      <w:rFonts w:eastAsiaTheme="minorEastAsia"/>
      <w:lang w:eastAsia="en-GB"/>
    </w:rPr>
  </w:style>
  <w:style w:type="paragraph" w:styleId="BodyText3">
    <w:name w:val="Body Text 3"/>
    <w:basedOn w:val="Normal"/>
    <w:link w:val="BodyText3Char"/>
    <w:rsid w:val="002B539F"/>
    <w:pPr>
      <w:spacing w:after="120"/>
    </w:pPr>
    <w:rPr>
      <w:rFonts w:ascii="Times New Roman" w:eastAsia="Times New Roman" w:hAnsi="Times New Roman" w:cs="Times New Roman"/>
      <w:sz w:val="16"/>
      <w:szCs w:val="16"/>
      <w:lang w:val="en-US" w:eastAsia="en-US"/>
    </w:rPr>
  </w:style>
  <w:style w:type="character" w:customStyle="1" w:styleId="BodyText3Char">
    <w:name w:val="Body Text 3 Char"/>
    <w:basedOn w:val="DefaultParagraphFont"/>
    <w:link w:val="BodyText3"/>
    <w:rsid w:val="002B539F"/>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2B539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539F"/>
    <w:rPr>
      <w:rFonts w:ascii="Tahoma" w:eastAsiaTheme="minorEastAsia" w:hAnsi="Tahoma" w:cs="Tahoma"/>
      <w:sz w:val="16"/>
      <w:szCs w:val="16"/>
      <w:lang w:eastAsia="en-GB"/>
    </w:rPr>
  </w:style>
  <w:style w:type="character" w:customStyle="1" w:styleId="authors">
    <w:name w:val="authors"/>
    <w:basedOn w:val="DefaultParagraphFont"/>
    <w:rsid w:val="001B3B90"/>
  </w:style>
  <w:style w:type="character" w:customStyle="1" w:styleId="Date1">
    <w:name w:val="Date1"/>
    <w:basedOn w:val="DefaultParagraphFont"/>
    <w:rsid w:val="001B3B90"/>
  </w:style>
  <w:style w:type="character" w:customStyle="1" w:styleId="arttitle">
    <w:name w:val="art_title"/>
    <w:basedOn w:val="DefaultParagraphFont"/>
    <w:rsid w:val="001B3B90"/>
  </w:style>
  <w:style w:type="character" w:customStyle="1" w:styleId="serialtitle">
    <w:name w:val="serial_title"/>
    <w:basedOn w:val="DefaultParagraphFont"/>
    <w:rsid w:val="001B3B9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next w:val="NoSpacing"/>
    <w:qFormat/>
    <w:rsid w:val="00F65B32"/>
    <w:pPr>
      <w:spacing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F451E"/>
    <w:pPr>
      <w:spacing w:after="0" w:line="240" w:lineRule="auto"/>
    </w:pPr>
    <w:rPr>
      <w:rFonts w:eastAsiaTheme="minorEastAsia"/>
      <w:lang w:eastAsia="en-GB"/>
    </w:rPr>
  </w:style>
  <w:style w:type="paragraph" w:customStyle="1" w:styleId="TableParagraph">
    <w:name w:val="Table Paragraph"/>
    <w:basedOn w:val="Normal"/>
    <w:uiPriority w:val="1"/>
    <w:qFormat/>
    <w:rsid w:val="00F65B32"/>
    <w:pPr>
      <w:widowControl w:val="0"/>
      <w:autoSpaceDE w:val="0"/>
      <w:autoSpaceDN w:val="0"/>
      <w:spacing w:after="0"/>
    </w:pPr>
    <w:rPr>
      <w:rFonts w:ascii="Arial" w:eastAsia="Arial" w:hAnsi="Arial" w:cs="Arial"/>
      <w:lang w:bidi="en-GB"/>
    </w:rPr>
  </w:style>
  <w:style w:type="character" w:styleId="Hyperlink">
    <w:name w:val="Hyperlink"/>
    <w:basedOn w:val="DefaultParagraphFont"/>
    <w:uiPriority w:val="99"/>
    <w:unhideWhenUsed/>
    <w:rsid w:val="00F65B32"/>
    <w:rPr>
      <w:color w:val="0000FF"/>
      <w:u w:val="single"/>
    </w:rPr>
  </w:style>
  <w:style w:type="character" w:styleId="Emphasis">
    <w:name w:val="Emphasis"/>
    <w:basedOn w:val="DefaultParagraphFont"/>
    <w:uiPriority w:val="20"/>
    <w:qFormat/>
    <w:rsid w:val="00F65B32"/>
    <w:rPr>
      <w:i/>
      <w:iCs/>
    </w:rPr>
  </w:style>
  <w:style w:type="character" w:customStyle="1" w:styleId="a-size-medium">
    <w:name w:val="a-size-medium"/>
    <w:basedOn w:val="DefaultParagraphFont"/>
    <w:rsid w:val="00F65B32"/>
  </w:style>
  <w:style w:type="character" w:styleId="FollowedHyperlink">
    <w:name w:val="FollowedHyperlink"/>
    <w:basedOn w:val="DefaultParagraphFont"/>
    <w:uiPriority w:val="99"/>
    <w:semiHidden/>
    <w:unhideWhenUsed/>
    <w:rsid w:val="004970A9"/>
    <w:rPr>
      <w:color w:val="800080" w:themeColor="followedHyperlink"/>
      <w:u w:val="single"/>
    </w:rPr>
  </w:style>
  <w:style w:type="paragraph" w:styleId="Header">
    <w:name w:val="header"/>
    <w:basedOn w:val="Normal"/>
    <w:link w:val="HeaderChar"/>
    <w:uiPriority w:val="99"/>
    <w:unhideWhenUsed/>
    <w:rsid w:val="004970A9"/>
    <w:pPr>
      <w:tabs>
        <w:tab w:val="center" w:pos="4513"/>
        <w:tab w:val="right" w:pos="9026"/>
      </w:tabs>
      <w:spacing w:after="0"/>
    </w:pPr>
  </w:style>
  <w:style w:type="character" w:customStyle="1" w:styleId="HeaderChar">
    <w:name w:val="Header Char"/>
    <w:basedOn w:val="DefaultParagraphFont"/>
    <w:link w:val="Header"/>
    <w:uiPriority w:val="99"/>
    <w:rsid w:val="004970A9"/>
    <w:rPr>
      <w:rFonts w:eastAsiaTheme="minorEastAsia"/>
      <w:lang w:eastAsia="en-GB"/>
    </w:rPr>
  </w:style>
  <w:style w:type="paragraph" w:styleId="Footer">
    <w:name w:val="footer"/>
    <w:basedOn w:val="Normal"/>
    <w:link w:val="FooterChar"/>
    <w:uiPriority w:val="99"/>
    <w:unhideWhenUsed/>
    <w:rsid w:val="004970A9"/>
    <w:pPr>
      <w:tabs>
        <w:tab w:val="center" w:pos="4513"/>
        <w:tab w:val="right" w:pos="9026"/>
      </w:tabs>
      <w:spacing w:after="0"/>
    </w:pPr>
  </w:style>
  <w:style w:type="character" w:customStyle="1" w:styleId="FooterChar">
    <w:name w:val="Footer Char"/>
    <w:basedOn w:val="DefaultParagraphFont"/>
    <w:link w:val="Footer"/>
    <w:uiPriority w:val="99"/>
    <w:rsid w:val="004970A9"/>
    <w:rPr>
      <w:rFonts w:eastAsiaTheme="minorEastAsia"/>
      <w:lang w:eastAsia="en-GB"/>
    </w:rPr>
  </w:style>
  <w:style w:type="paragraph" w:styleId="BodyText3">
    <w:name w:val="Body Text 3"/>
    <w:basedOn w:val="Normal"/>
    <w:link w:val="BodyText3Char"/>
    <w:rsid w:val="002B539F"/>
    <w:pPr>
      <w:spacing w:after="120"/>
    </w:pPr>
    <w:rPr>
      <w:rFonts w:ascii="Times New Roman" w:eastAsia="Times New Roman" w:hAnsi="Times New Roman" w:cs="Times New Roman"/>
      <w:sz w:val="16"/>
      <w:szCs w:val="16"/>
      <w:lang w:val="en-US" w:eastAsia="en-US"/>
    </w:rPr>
  </w:style>
  <w:style w:type="character" w:customStyle="1" w:styleId="BodyText3Char">
    <w:name w:val="Body Text 3 Char"/>
    <w:basedOn w:val="DefaultParagraphFont"/>
    <w:link w:val="BodyText3"/>
    <w:rsid w:val="002B539F"/>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2B539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539F"/>
    <w:rPr>
      <w:rFonts w:ascii="Tahoma" w:eastAsiaTheme="minorEastAsia" w:hAnsi="Tahoma" w:cs="Tahoma"/>
      <w:sz w:val="16"/>
      <w:szCs w:val="16"/>
      <w:lang w:eastAsia="en-GB"/>
    </w:rPr>
  </w:style>
  <w:style w:type="character" w:customStyle="1" w:styleId="authors">
    <w:name w:val="authors"/>
    <w:basedOn w:val="DefaultParagraphFont"/>
    <w:rsid w:val="001B3B90"/>
  </w:style>
  <w:style w:type="character" w:customStyle="1" w:styleId="Date1">
    <w:name w:val="Date1"/>
    <w:basedOn w:val="DefaultParagraphFont"/>
    <w:rsid w:val="001B3B90"/>
  </w:style>
  <w:style w:type="character" w:customStyle="1" w:styleId="arttitle">
    <w:name w:val="art_title"/>
    <w:basedOn w:val="DefaultParagraphFont"/>
    <w:rsid w:val="001B3B90"/>
  </w:style>
  <w:style w:type="character" w:customStyle="1" w:styleId="serialtitle">
    <w:name w:val="serial_title"/>
    <w:basedOn w:val="DefaultParagraphFont"/>
    <w:rsid w:val="001B3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432929">
      <w:bodyDiv w:val="1"/>
      <w:marLeft w:val="0"/>
      <w:marRight w:val="0"/>
      <w:marTop w:val="0"/>
      <w:marBottom w:val="0"/>
      <w:divBdr>
        <w:top w:val="none" w:sz="0" w:space="0" w:color="auto"/>
        <w:left w:val="none" w:sz="0" w:space="0" w:color="auto"/>
        <w:bottom w:val="none" w:sz="0" w:space="0" w:color="auto"/>
        <w:right w:val="none" w:sz="0" w:space="0" w:color="auto"/>
      </w:divBdr>
    </w:div>
    <w:div w:id="312804872">
      <w:bodyDiv w:val="1"/>
      <w:marLeft w:val="0"/>
      <w:marRight w:val="0"/>
      <w:marTop w:val="0"/>
      <w:marBottom w:val="0"/>
      <w:divBdr>
        <w:top w:val="none" w:sz="0" w:space="0" w:color="auto"/>
        <w:left w:val="none" w:sz="0" w:space="0" w:color="auto"/>
        <w:bottom w:val="none" w:sz="0" w:space="0" w:color="auto"/>
        <w:right w:val="none" w:sz="0" w:space="0" w:color="auto"/>
      </w:divBdr>
    </w:div>
    <w:div w:id="120621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ltscotland.org.uk/ictineducation/connected/connected10"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nestafuturelab.org/research/discuss/03discuss01.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lessonstudy.co.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beta.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216</TotalTime>
  <Pages>18</Pages>
  <Words>4622</Words>
  <Characters>26347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denika brooks</dc:creator>
  <cp:lastModifiedBy>denika brooks</cp:lastModifiedBy>
  <cp:revision>25</cp:revision>
  <dcterms:created xsi:type="dcterms:W3CDTF">2019-02-28T17:12:00Z</dcterms:created>
  <dcterms:modified xsi:type="dcterms:W3CDTF">2019-03-03T21:44:00Z</dcterms:modified>
</cp:coreProperties>
</file>