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F58635" w14:textId="1771CEFB" w:rsidR="008864B8" w:rsidRPr="006349D2" w:rsidRDefault="00371E42" w:rsidP="00371E42">
      <w:pPr>
        <w:pBdr>
          <w:top w:val="nil"/>
          <w:left w:val="nil"/>
          <w:bottom w:val="nil"/>
          <w:right w:val="nil"/>
          <w:between w:val="nil"/>
        </w:pBdr>
        <w:spacing w:after="240" w:line="275" w:lineRule="auto"/>
        <w:jc w:val="both"/>
      </w:pPr>
      <w:r w:rsidRPr="006349D2">
        <w:rPr>
          <w:noProof/>
        </w:rPr>
        <w:drawing>
          <wp:anchor distT="0" distB="0" distL="114300" distR="114300" simplePos="0" relativeHeight="251658240" behindDoc="1" locked="0" layoutInCell="1" allowOverlap="1" wp14:anchorId="25D6DB73" wp14:editId="5ECC128E">
            <wp:simplePos x="0" y="0"/>
            <wp:positionH relativeFrom="margin">
              <wp:align>center</wp:align>
            </wp:positionH>
            <wp:positionV relativeFrom="paragraph">
              <wp:posOffset>33866</wp:posOffset>
            </wp:positionV>
            <wp:extent cx="4732867" cy="1858763"/>
            <wp:effectExtent l="0" t="0" r="0" b="8255"/>
            <wp:wrapNone/>
            <wp:docPr id="828966600"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966600" name="Picture 1" descr="A black text on a white background&#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732867" cy="1858763"/>
                    </a:xfrm>
                    <a:prstGeom prst="rect">
                      <a:avLst/>
                    </a:prstGeom>
                  </pic:spPr>
                </pic:pic>
              </a:graphicData>
            </a:graphic>
            <wp14:sizeRelH relativeFrom="page">
              <wp14:pctWidth>0</wp14:pctWidth>
            </wp14:sizeRelH>
            <wp14:sizeRelV relativeFrom="page">
              <wp14:pctHeight>0</wp14:pctHeight>
            </wp14:sizeRelV>
          </wp:anchor>
        </w:drawing>
      </w:r>
    </w:p>
    <w:p w14:paraId="3CB1202A" w14:textId="77777777" w:rsidR="00371E42" w:rsidRPr="006349D2" w:rsidRDefault="00371E42"/>
    <w:p w14:paraId="118340CC" w14:textId="77777777" w:rsidR="00371E42" w:rsidRPr="006349D2" w:rsidRDefault="00371E42"/>
    <w:p w14:paraId="4B192C2A" w14:textId="77777777" w:rsidR="00371E42" w:rsidRPr="006349D2" w:rsidRDefault="00371E42"/>
    <w:p w14:paraId="2B5D6FC0" w14:textId="77777777" w:rsidR="00371E42" w:rsidRPr="006349D2" w:rsidRDefault="00371E42"/>
    <w:p w14:paraId="7F8D1820" w14:textId="77777777" w:rsidR="00371E42" w:rsidRPr="006349D2" w:rsidRDefault="00371E42"/>
    <w:p w14:paraId="4F339785" w14:textId="77777777" w:rsidR="00371E42" w:rsidRPr="006349D2" w:rsidRDefault="00371E42"/>
    <w:p w14:paraId="40E4BB82" w14:textId="77777777" w:rsidR="00371E42" w:rsidRPr="006349D2" w:rsidRDefault="00371E42"/>
    <w:p w14:paraId="183A7B8D" w14:textId="77777777" w:rsidR="00371E42" w:rsidRPr="006349D2" w:rsidRDefault="00371E42"/>
    <w:p w14:paraId="73E558B9" w14:textId="77777777" w:rsidR="00371E42" w:rsidRPr="006349D2" w:rsidRDefault="00371E42"/>
    <w:p w14:paraId="7AA1DAC2" w14:textId="77777777" w:rsidR="00371E42" w:rsidRPr="006349D2" w:rsidRDefault="00371E42"/>
    <w:p w14:paraId="226158B8" w14:textId="77777777" w:rsidR="00371E42" w:rsidRPr="006349D2" w:rsidRDefault="00371E42"/>
    <w:p w14:paraId="7B5E9519" w14:textId="77777777" w:rsidR="00371E42" w:rsidRPr="006349D2" w:rsidRDefault="00371E42"/>
    <w:p w14:paraId="2C4B1BEB" w14:textId="77777777" w:rsidR="00371E42" w:rsidRPr="006349D2" w:rsidRDefault="00371E42" w:rsidP="00371E42">
      <w:pPr>
        <w:jc w:val="center"/>
        <w:rPr>
          <w:b/>
          <w:bCs/>
          <w:sz w:val="32"/>
          <w:szCs w:val="32"/>
        </w:rPr>
      </w:pPr>
    </w:p>
    <w:p w14:paraId="7C2F1257" w14:textId="77777777" w:rsidR="00371E42" w:rsidRPr="006349D2" w:rsidRDefault="00371E42" w:rsidP="00371E42">
      <w:pPr>
        <w:jc w:val="center"/>
        <w:rPr>
          <w:b/>
          <w:bCs/>
          <w:sz w:val="32"/>
          <w:szCs w:val="32"/>
        </w:rPr>
      </w:pPr>
    </w:p>
    <w:p w14:paraId="7D61DE88" w14:textId="77777777" w:rsidR="00371E42" w:rsidRPr="006349D2" w:rsidRDefault="00371E42" w:rsidP="00371E42">
      <w:pPr>
        <w:jc w:val="center"/>
        <w:rPr>
          <w:b/>
          <w:bCs/>
          <w:sz w:val="32"/>
          <w:szCs w:val="32"/>
        </w:rPr>
      </w:pPr>
    </w:p>
    <w:p w14:paraId="40C94D96" w14:textId="77777777" w:rsidR="00371E42" w:rsidRPr="006349D2" w:rsidRDefault="00371E42" w:rsidP="00371E42">
      <w:pPr>
        <w:jc w:val="center"/>
        <w:rPr>
          <w:b/>
          <w:bCs/>
          <w:sz w:val="32"/>
          <w:szCs w:val="32"/>
        </w:rPr>
      </w:pPr>
    </w:p>
    <w:p w14:paraId="25199E5F" w14:textId="77777777" w:rsidR="00371E42" w:rsidRPr="006349D2" w:rsidRDefault="00371E42" w:rsidP="00371E42">
      <w:pPr>
        <w:jc w:val="center"/>
        <w:rPr>
          <w:b/>
          <w:bCs/>
          <w:sz w:val="32"/>
          <w:szCs w:val="32"/>
        </w:rPr>
      </w:pPr>
    </w:p>
    <w:p w14:paraId="5C5E134F" w14:textId="05B252A8" w:rsidR="00371E42" w:rsidRDefault="00371E42" w:rsidP="00371E42">
      <w:pPr>
        <w:jc w:val="center"/>
        <w:rPr>
          <w:b/>
          <w:bCs/>
          <w:sz w:val="32"/>
          <w:szCs w:val="32"/>
        </w:rPr>
      </w:pPr>
      <w:r w:rsidRPr="006349D2">
        <w:rPr>
          <w:b/>
          <w:bCs/>
          <w:sz w:val="32"/>
          <w:szCs w:val="32"/>
        </w:rPr>
        <w:t>Module: Principles of Health and Social Care Practice</w:t>
      </w:r>
    </w:p>
    <w:p w14:paraId="60534D04" w14:textId="5032DF3C" w:rsidR="009840DB" w:rsidRPr="006349D2" w:rsidRDefault="009840DB" w:rsidP="00371E42">
      <w:pPr>
        <w:jc w:val="center"/>
        <w:rPr>
          <w:b/>
          <w:bCs/>
          <w:sz w:val="32"/>
          <w:szCs w:val="32"/>
        </w:rPr>
      </w:pPr>
      <w:r w:rsidRPr="009840DB">
        <w:rPr>
          <w:b/>
          <w:bCs/>
          <w:sz w:val="32"/>
          <w:szCs w:val="32"/>
        </w:rPr>
        <w:t>Module code: BMHP5016</w:t>
      </w:r>
    </w:p>
    <w:p w14:paraId="4DDBDFB5" w14:textId="77777777" w:rsidR="00371E42" w:rsidRPr="006349D2" w:rsidRDefault="00371E42" w:rsidP="00371E42">
      <w:pPr>
        <w:rPr>
          <w:b/>
          <w:bCs/>
          <w:sz w:val="32"/>
          <w:szCs w:val="32"/>
        </w:rPr>
      </w:pPr>
    </w:p>
    <w:p w14:paraId="3CF58FA0" w14:textId="77777777" w:rsidR="00371E42" w:rsidRPr="006349D2" w:rsidRDefault="00371E42" w:rsidP="00371E42">
      <w:pPr>
        <w:rPr>
          <w:b/>
          <w:bCs/>
          <w:sz w:val="32"/>
          <w:szCs w:val="32"/>
        </w:rPr>
      </w:pPr>
    </w:p>
    <w:p w14:paraId="46B7E9BD" w14:textId="77777777" w:rsidR="00371E42" w:rsidRPr="006349D2" w:rsidRDefault="00371E42" w:rsidP="00371E42">
      <w:pPr>
        <w:rPr>
          <w:b/>
          <w:bCs/>
          <w:sz w:val="32"/>
          <w:szCs w:val="32"/>
        </w:rPr>
      </w:pPr>
    </w:p>
    <w:p w14:paraId="624C64A8" w14:textId="77777777" w:rsidR="00371E42" w:rsidRPr="006349D2" w:rsidRDefault="00371E42" w:rsidP="00371E42">
      <w:pPr>
        <w:rPr>
          <w:b/>
          <w:bCs/>
          <w:sz w:val="32"/>
          <w:szCs w:val="32"/>
        </w:rPr>
      </w:pPr>
    </w:p>
    <w:p w14:paraId="4D5A870E" w14:textId="77777777" w:rsidR="00371E42" w:rsidRPr="006349D2" w:rsidRDefault="00371E42" w:rsidP="00371E42">
      <w:pPr>
        <w:rPr>
          <w:b/>
          <w:bCs/>
          <w:sz w:val="32"/>
          <w:szCs w:val="32"/>
        </w:rPr>
      </w:pPr>
    </w:p>
    <w:p w14:paraId="4487B605" w14:textId="3B7ABC7D" w:rsidR="00371E42" w:rsidRPr="006349D2" w:rsidRDefault="00371E42" w:rsidP="00371E42">
      <w:pPr>
        <w:ind w:left="2160"/>
        <w:rPr>
          <w:b/>
          <w:bCs/>
          <w:sz w:val="32"/>
          <w:szCs w:val="32"/>
        </w:rPr>
      </w:pPr>
      <w:r w:rsidRPr="006349D2">
        <w:rPr>
          <w:b/>
          <w:bCs/>
          <w:sz w:val="32"/>
          <w:szCs w:val="32"/>
        </w:rPr>
        <w:t>Name</w:t>
      </w:r>
      <w:r w:rsidRPr="006349D2">
        <w:rPr>
          <w:b/>
          <w:bCs/>
          <w:sz w:val="32"/>
          <w:szCs w:val="32"/>
        </w:rPr>
        <w:tab/>
      </w:r>
      <w:r w:rsidRPr="006349D2">
        <w:rPr>
          <w:b/>
          <w:bCs/>
          <w:sz w:val="32"/>
          <w:szCs w:val="32"/>
        </w:rPr>
        <w:tab/>
        <w:t>: Busra Akter Rusi</w:t>
      </w:r>
    </w:p>
    <w:p w14:paraId="70D02601" w14:textId="6E9DE644" w:rsidR="00371E42" w:rsidRPr="006349D2" w:rsidRDefault="00371E42" w:rsidP="00371E42">
      <w:pPr>
        <w:ind w:left="2160"/>
        <w:rPr>
          <w:b/>
          <w:bCs/>
          <w:sz w:val="32"/>
          <w:szCs w:val="32"/>
        </w:rPr>
      </w:pPr>
      <w:r w:rsidRPr="006349D2">
        <w:rPr>
          <w:b/>
          <w:bCs/>
          <w:sz w:val="32"/>
          <w:szCs w:val="32"/>
        </w:rPr>
        <w:t>Student ID</w:t>
      </w:r>
      <w:r w:rsidRPr="006349D2">
        <w:rPr>
          <w:b/>
          <w:bCs/>
          <w:sz w:val="32"/>
          <w:szCs w:val="32"/>
        </w:rPr>
        <w:tab/>
        <w:t>: 2413161</w:t>
      </w:r>
    </w:p>
    <w:p w14:paraId="450E1ECF" w14:textId="77777777" w:rsidR="00371E42" w:rsidRPr="006349D2" w:rsidRDefault="00371E42" w:rsidP="00371E42">
      <w:pPr>
        <w:ind w:left="2160"/>
        <w:rPr>
          <w:b/>
          <w:bCs/>
          <w:sz w:val="32"/>
          <w:szCs w:val="32"/>
        </w:rPr>
      </w:pPr>
    </w:p>
    <w:p w14:paraId="05C6861E" w14:textId="5B5106F2" w:rsidR="00371E42" w:rsidRPr="009840DB" w:rsidRDefault="00371E42" w:rsidP="00371E42">
      <w:pPr>
        <w:ind w:left="2160"/>
        <w:rPr>
          <w:b/>
          <w:bCs/>
          <w:sz w:val="32"/>
          <w:szCs w:val="32"/>
        </w:rPr>
      </w:pPr>
      <w:r w:rsidRPr="009840DB">
        <w:rPr>
          <w:b/>
          <w:bCs/>
          <w:sz w:val="32"/>
          <w:szCs w:val="32"/>
        </w:rPr>
        <w:t>Assignment</w:t>
      </w:r>
      <w:r w:rsidRPr="009840DB">
        <w:rPr>
          <w:b/>
          <w:bCs/>
          <w:sz w:val="32"/>
          <w:szCs w:val="32"/>
        </w:rPr>
        <w:tab/>
        <w:t>: 01</w:t>
      </w:r>
    </w:p>
    <w:p w14:paraId="6910E675" w14:textId="77777777" w:rsidR="00371E42" w:rsidRPr="009840DB" w:rsidRDefault="00371E42" w:rsidP="00371E42">
      <w:pPr>
        <w:ind w:left="2160"/>
        <w:rPr>
          <w:b/>
          <w:bCs/>
          <w:sz w:val="32"/>
          <w:szCs w:val="32"/>
        </w:rPr>
      </w:pPr>
    </w:p>
    <w:p w14:paraId="0D150B5D" w14:textId="54744BEE" w:rsidR="00371E42" w:rsidRPr="009840DB" w:rsidRDefault="00371E42" w:rsidP="00371E42">
      <w:pPr>
        <w:ind w:left="2160"/>
        <w:rPr>
          <w:b/>
          <w:bCs/>
          <w:sz w:val="32"/>
          <w:szCs w:val="32"/>
        </w:rPr>
      </w:pPr>
      <w:r w:rsidRPr="009840DB">
        <w:rPr>
          <w:b/>
          <w:bCs/>
          <w:sz w:val="32"/>
          <w:szCs w:val="32"/>
        </w:rPr>
        <w:t>Lecturer Name: Farah Wiita</w:t>
      </w:r>
    </w:p>
    <w:p w14:paraId="6A445EDF" w14:textId="77777777" w:rsidR="00371E42" w:rsidRPr="009840DB" w:rsidRDefault="00371E42" w:rsidP="00371E42">
      <w:pPr>
        <w:ind w:left="2160"/>
        <w:rPr>
          <w:b/>
          <w:bCs/>
          <w:sz w:val="32"/>
          <w:szCs w:val="32"/>
        </w:rPr>
      </w:pPr>
    </w:p>
    <w:p w14:paraId="6738BB8F" w14:textId="49116B3D" w:rsidR="00371E42" w:rsidRPr="009840DB" w:rsidRDefault="00371E42" w:rsidP="00371E42">
      <w:pPr>
        <w:ind w:left="2160"/>
        <w:rPr>
          <w:b/>
          <w:bCs/>
        </w:rPr>
      </w:pPr>
    </w:p>
    <w:p w14:paraId="4AF1578E" w14:textId="19BC0024" w:rsidR="00371E42" w:rsidRPr="009840DB" w:rsidRDefault="00371E42" w:rsidP="00371E42">
      <w:pPr>
        <w:jc w:val="center"/>
        <w:rPr>
          <w:b/>
          <w:bCs/>
        </w:rPr>
      </w:pPr>
      <w:r w:rsidRPr="009840DB">
        <w:rPr>
          <w:b/>
          <w:bCs/>
        </w:rPr>
        <w:br w:type="page"/>
      </w:r>
    </w:p>
    <w:p w14:paraId="69F999BF" w14:textId="56A04D8E" w:rsidR="008864B8" w:rsidRPr="006349D2" w:rsidRDefault="00371E42" w:rsidP="00371E42">
      <w:pPr>
        <w:pBdr>
          <w:top w:val="nil"/>
          <w:left w:val="nil"/>
          <w:bottom w:val="nil"/>
          <w:right w:val="nil"/>
          <w:between w:val="nil"/>
        </w:pBdr>
        <w:spacing w:after="240" w:line="275" w:lineRule="auto"/>
        <w:jc w:val="center"/>
        <w:rPr>
          <w:b/>
          <w:bCs/>
          <w:sz w:val="40"/>
          <w:szCs w:val="40"/>
          <w:lang w:val="fr-FR"/>
        </w:rPr>
      </w:pPr>
      <w:r w:rsidRPr="006349D2">
        <w:rPr>
          <w:b/>
          <w:bCs/>
          <w:sz w:val="40"/>
          <w:szCs w:val="40"/>
          <w:lang w:val="fr-FR"/>
        </w:rPr>
        <w:lastRenderedPageBreak/>
        <w:t xml:space="preserve">Table of Contents </w:t>
      </w:r>
    </w:p>
    <w:sdt>
      <w:sdtPr>
        <w:id w:val="-940186486"/>
        <w:docPartObj>
          <w:docPartGallery w:val="Table of Contents"/>
          <w:docPartUnique/>
        </w:docPartObj>
      </w:sdtPr>
      <w:sdtContent>
        <w:p w14:paraId="495C787C" w14:textId="773C9687" w:rsidR="00371E42" w:rsidRPr="006349D2" w:rsidRDefault="00000000">
          <w:pPr>
            <w:pStyle w:val="TOC2"/>
            <w:tabs>
              <w:tab w:val="right" w:leader="dot" w:pos="9350"/>
            </w:tabs>
            <w:rPr>
              <w:rFonts w:eastAsiaTheme="minorEastAsia"/>
              <w:noProof/>
              <w:kern w:val="2"/>
              <w:sz w:val="24"/>
              <w:szCs w:val="24"/>
              <w14:ligatures w14:val="standardContextual"/>
            </w:rPr>
          </w:pPr>
          <w:r w:rsidRPr="006349D2">
            <w:fldChar w:fldCharType="begin"/>
          </w:r>
          <w:r w:rsidRPr="006349D2">
            <w:instrText xml:space="preserve"> TOC \h \u \z \t "Heading 1,1,Heading 2,2,Heading 3,3,Heading 4,4,Heading 5,5,Heading 6,6,"</w:instrText>
          </w:r>
          <w:r w:rsidRPr="006349D2">
            <w:fldChar w:fldCharType="separate"/>
          </w:r>
          <w:hyperlink w:anchor="_Toc215250332" w:history="1">
            <w:r w:rsidR="00371E42" w:rsidRPr="006349D2">
              <w:rPr>
                <w:rStyle w:val="Hyperlink"/>
                <w:rFonts w:eastAsia="Google Sans"/>
                <w:noProof/>
              </w:rPr>
              <w:t>Part I: Theoretical Foundations and Critical Analysis</w:t>
            </w:r>
            <w:r w:rsidR="00371E42" w:rsidRPr="006349D2">
              <w:rPr>
                <w:noProof/>
                <w:webHidden/>
              </w:rPr>
              <w:tab/>
            </w:r>
            <w:r w:rsidR="00371E42" w:rsidRPr="006349D2">
              <w:rPr>
                <w:noProof/>
                <w:webHidden/>
              </w:rPr>
              <w:fldChar w:fldCharType="begin"/>
            </w:r>
            <w:r w:rsidR="00371E42" w:rsidRPr="006349D2">
              <w:rPr>
                <w:noProof/>
                <w:webHidden/>
              </w:rPr>
              <w:instrText xml:space="preserve"> PAGEREF _Toc215250332 \h </w:instrText>
            </w:r>
            <w:r w:rsidR="00371E42" w:rsidRPr="006349D2">
              <w:rPr>
                <w:noProof/>
                <w:webHidden/>
              </w:rPr>
            </w:r>
            <w:r w:rsidR="00371E42" w:rsidRPr="006349D2">
              <w:rPr>
                <w:noProof/>
                <w:webHidden/>
              </w:rPr>
              <w:fldChar w:fldCharType="separate"/>
            </w:r>
            <w:r w:rsidR="008703E9">
              <w:rPr>
                <w:noProof/>
                <w:webHidden/>
              </w:rPr>
              <w:t>3</w:t>
            </w:r>
            <w:r w:rsidR="00371E42" w:rsidRPr="006349D2">
              <w:rPr>
                <w:noProof/>
                <w:webHidden/>
              </w:rPr>
              <w:fldChar w:fldCharType="end"/>
            </w:r>
          </w:hyperlink>
        </w:p>
        <w:p w14:paraId="7B8717AB" w14:textId="26B6E99D"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33" w:history="1">
            <w:r w:rsidRPr="006349D2">
              <w:rPr>
                <w:rStyle w:val="Hyperlink"/>
                <w:rFonts w:eastAsia="Google Sans"/>
                <w:noProof/>
              </w:rPr>
              <w:t>1.1 The Paradigm of Person-Centred Care</w:t>
            </w:r>
            <w:r w:rsidRPr="006349D2">
              <w:rPr>
                <w:noProof/>
                <w:webHidden/>
              </w:rPr>
              <w:tab/>
            </w:r>
            <w:r w:rsidRPr="006349D2">
              <w:rPr>
                <w:noProof/>
                <w:webHidden/>
              </w:rPr>
              <w:fldChar w:fldCharType="begin"/>
            </w:r>
            <w:r w:rsidRPr="006349D2">
              <w:rPr>
                <w:noProof/>
                <w:webHidden/>
              </w:rPr>
              <w:instrText xml:space="preserve"> PAGEREF _Toc215250333 \h </w:instrText>
            </w:r>
            <w:r w:rsidRPr="006349D2">
              <w:rPr>
                <w:noProof/>
                <w:webHidden/>
              </w:rPr>
            </w:r>
            <w:r w:rsidRPr="006349D2">
              <w:rPr>
                <w:noProof/>
                <w:webHidden/>
              </w:rPr>
              <w:fldChar w:fldCharType="separate"/>
            </w:r>
            <w:r w:rsidR="008703E9">
              <w:rPr>
                <w:noProof/>
                <w:webHidden/>
              </w:rPr>
              <w:t>3</w:t>
            </w:r>
            <w:r w:rsidRPr="006349D2">
              <w:rPr>
                <w:noProof/>
                <w:webHidden/>
              </w:rPr>
              <w:fldChar w:fldCharType="end"/>
            </w:r>
          </w:hyperlink>
        </w:p>
        <w:p w14:paraId="08A3E72C" w14:textId="26490CC6"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34" w:history="1">
            <w:r w:rsidRPr="006349D2">
              <w:rPr>
                <w:rStyle w:val="Hyperlink"/>
                <w:rFonts w:eastAsia="Google Sans"/>
                <w:noProof/>
              </w:rPr>
              <w:t>1.1.1 Historical Evolution and Theoretical Underpinnings</w:t>
            </w:r>
            <w:r w:rsidRPr="006349D2">
              <w:rPr>
                <w:noProof/>
                <w:webHidden/>
              </w:rPr>
              <w:tab/>
            </w:r>
            <w:r w:rsidRPr="006349D2">
              <w:rPr>
                <w:noProof/>
                <w:webHidden/>
              </w:rPr>
              <w:fldChar w:fldCharType="begin"/>
            </w:r>
            <w:r w:rsidRPr="006349D2">
              <w:rPr>
                <w:noProof/>
                <w:webHidden/>
              </w:rPr>
              <w:instrText xml:space="preserve"> PAGEREF _Toc215250334 \h </w:instrText>
            </w:r>
            <w:r w:rsidRPr="006349D2">
              <w:rPr>
                <w:noProof/>
                <w:webHidden/>
              </w:rPr>
            </w:r>
            <w:r w:rsidRPr="006349D2">
              <w:rPr>
                <w:noProof/>
                <w:webHidden/>
              </w:rPr>
              <w:fldChar w:fldCharType="separate"/>
            </w:r>
            <w:r w:rsidR="008703E9">
              <w:rPr>
                <w:noProof/>
                <w:webHidden/>
              </w:rPr>
              <w:t>3</w:t>
            </w:r>
            <w:r w:rsidRPr="006349D2">
              <w:rPr>
                <w:noProof/>
                <w:webHidden/>
              </w:rPr>
              <w:fldChar w:fldCharType="end"/>
            </w:r>
          </w:hyperlink>
        </w:p>
        <w:p w14:paraId="12E833C4" w14:textId="67B127F3"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35" w:history="1">
            <w:r w:rsidRPr="006349D2">
              <w:rPr>
                <w:rStyle w:val="Hyperlink"/>
                <w:rFonts w:eastAsia="Google Sans"/>
                <w:noProof/>
              </w:rPr>
              <w:t>1.1.2 The Biopsychosocial Model and Maslow’s Hierarchy</w:t>
            </w:r>
            <w:r w:rsidRPr="006349D2">
              <w:rPr>
                <w:noProof/>
                <w:webHidden/>
              </w:rPr>
              <w:tab/>
            </w:r>
            <w:r w:rsidRPr="006349D2">
              <w:rPr>
                <w:noProof/>
                <w:webHidden/>
              </w:rPr>
              <w:fldChar w:fldCharType="begin"/>
            </w:r>
            <w:r w:rsidRPr="006349D2">
              <w:rPr>
                <w:noProof/>
                <w:webHidden/>
              </w:rPr>
              <w:instrText xml:space="preserve"> PAGEREF _Toc215250335 \h </w:instrText>
            </w:r>
            <w:r w:rsidRPr="006349D2">
              <w:rPr>
                <w:noProof/>
                <w:webHidden/>
              </w:rPr>
            </w:r>
            <w:r w:rsidRPr="006349D2">
              <w:rPr>
                <w:noProof/>
                <w:webHidden/>
              </w:rPr>
              <w:fldChar w:fldCharType="separate"/>
            </w:r>
            <w:r w:rsidR="008703E9">
              <w:rPr>
                <w:noProof/>
                <w:webHidden/>
              </w:rPr>
              <w:t>3</w:t>
            </w:r>
            <w:r w:rsidRPr="006349D2">
              <w:rPr>
                <w:noProof/>
                <w:webHidden/>
              </w:rPr>
              <w:fldChar w:fldCharType="end"/>
            </w:r>
          </w:hyperlink>
        </w:p>
        <w:p w14:paraId="7116A331" w14:textId="3E3FE768"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36" w:history="1">
            <w:r w:rsidRPr="006349D2">
              <w:rPr>
                <w:rStyle w:val="Hyperlink"/>
                <w:rFonts w:eastAsia="Google Sans"/>
                <w:noProof/>
              </w:rPr>
              <w:t>1.1.3 Critique of Person-Centredness</w:t>
            </w:r>
            <w:r w:rsidRPr="006349D2">
              <w:rPr>
                <w:noProof/>
                <w:webHidden/>
              </w:rPr>
              <w:tab/>
            </w:r>
            <w:r w:rsidRPr="006349D2">
              <w:rPr>
                <w:noProof/>
                <w:webHidden/>
              </w:rPr>
              <w:fldChar w:fldCharType="begin"/>
            </w:r>
            <w:r w:rsidRPr="006349D2">
              <w:rPr>
                <w:noProof/>
                <w:webHidden/>
              </w:rPr>
              <w:instrText xml:space="preserve"> PAGEREF _Toc215250336 \h </w:instrText>
            </w:r>
            <w:r w:rsidRPr="006349D2">
              <w:rPr>
                <w:noProof/>
                <w:webHidden/>
              </w:rPr>
            </w:r>
            <w:r w:rsidRPr="006349D2">
              <w:rPr>
                <w:noProof/>
                <w:webHidden/>
              </w:rPr>
              <w:fldChar w:fldCharType="separate"/>
            </w:r>
            <w:r w:rsidR="008703E9">
              <w:rPr>
                <w:noProof/>
                <w:webHidden/>
              </w:rPr>
              <w:t>4</w:t>
            </w:r>
            <w:r w:rsidRPr="006349D2">
              <w:rPr>
                <w:noProof/>
                <w:webHidden/>
              </w:rPr>
              <w:fldChar w:fldCharType="end"/>
            </w:r>
          </w:hyperlink>
        </w:p>
        <w:p w14:paraId="0C7F8976" w14:textId="593796B7"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37" w:history="1">
            <w:r w:rsidRPr="006349D2">
              <w:rPr>
                <w:rStyle w:val="Hyperlink"/>
                <w:rFonts w:eastAsia="Google Sans"/>
                <w:noProof/>
              </w:rPr>
              <w:t>1.2 The Imperative of Partnership Working</w:t>
            </w:r>
            <w:r w:rsidRPr="006349D2">
              <w:rPr>
                <w:noProof/>
                <w:webHidden/>
              </w:rPr>
              <w:tab/>
            </w:r>
            <w:r w:rsidRPr="006349D2">
              <w:rPr>
                <w:noProof/>
                <w:webHidden/>
              </w:rPr>
              <w:fldChar w:fldCharType="begin"/>
            </w:r>
            <w:r w:rsidRPr="006349D2">
              <w:rPr>
                <w:noProof/>
                <w:webHidden/>
              </w:rPr>
              <w:instrText xml:space="preserve"> PAGEREF _Toc215250337 \h </w:instrText>
            </w:r>
            <w:r w:rsidRPr="006349D2">
              <w:rPr>
                <w:noProof/>
                <w:webHidden/>
              </w:rPr>
            </w:r>
            <w:r w:rsidRPr="006349D2">
              <w:rPr>
                <w:noProof/>
                <w:webHidden/>
              </w:rPr>
              <w:fldChar w:fldCharType="separate"/>
            </w:r>
            <w:r w:rsidR="008703E9">
              <w:rPr>
                <w:noProof/>
                <w:webHidden/>
              </w:rPr>
              <w:t>5</w:t>
            </w:r>
            <w:r w:rsidRPr="006349D2">
              <w:rPr>
                <w:noProof/>
                <w:webHidden/>
              </w:rPr>
              <w:fldChar w:fldCharType="end"/>
            </w:r>
          </w:hyperlink>
        </w:p>
        <w:p w14:paraId="13C934AF" w14:textId="655FA624"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38" w:history="1">
            <w:r w:rsidRPr="006349D2">
              <w:rPr>
                <w:rStyle w:val="Hyperlink"/>
                <w:rFonts w:eastAsia="Google Sans"/>
                <w:noProof/>
              </w:rPr>
              <w:t>1.2.1 Defining Partnership in a Fragmented System</w:t>
            </w:r>
            <w:r w:rsidRPr="006349D2">
              <w:rPr>
                <w:noProof/>
                <w:webHidden/>
              </w:rPr>
              <w:tab/>
            </w:r>
            <w:r w:rsidRPr="006349D2">
              <w:rPr>
                <w:noProof/>
                <w:webHidden/>
              </w:rPr>
              <w:fldChar w:fldCharType="begin"/>
            </w:r>
            <w:r w:rsidRPr="006349D2">
              <w:rPr>
                <w:noProof/>
                <w:webHidden/>
              </w:rPr>
              <w:instrText xml:space="preserve"> PAGEREF _Toc215250338 \h </w:instrText>
            </w:r>
            <w:r w:rsidRPr="006349D2">
              <w:rPr>
                <w:noProof/>
                <w:webHidden/>
              </w:rPr>
            </w:r>
            <w:r w:rsidRPr="006349D2">
              <w:rPr>
                <w:noProof/>
                <w:webHidden/>
              </w:rPr>
              <w:fldChar w:fldCharType="separate"/>
            </w:r>
            <w:r w:rsidR="008703E9">
              <w:rPr>
                <w:noProof/>
                <w:webHidden/>
              </w:rPr>
              <w:t>5</w:t>
            </w:r>
            <w:r w:rsidRPr="006349D2">
              <w:rPr>
                <w:noProof/>
                <w:webHidden/>
              </w:rPr>
              <w:fldChar w:fldCharType="end"/>
            </w:r>
          </w:hyperlink>
        </w:p>
        <w:p w14:paraId="28F6D59F" w14:textId="058FA3A9"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39" w:history="1">
            <w:r w:rsidRPr="006349D2">
              <w:rPr>
                <w:rStyle w:val="Hyperlink"/>
                <w:rFonts w:eastAsia="Google Sans"/>
                <w:noProof/>
              </w:rPr>
              <w:t>1.2.2 Collaborative Advantage and "Wicked Problems"</w:t>
            </w:r>
            <w:r w:rsidRPr="006349D2">
              <w:rPr>
                <w:noProof/>
                <w:webHidden/>
              </w:rPr>
              <w:tab/>
            </w:r>
            <w:r w:rsidRPr="006349D2">
              <w:rPr>
                <w:noProof/>
                <w:webHidden/>
              </w:rPr>
              <w:fldChar w:fldCharType="begin"/>
            </w:r>
            <w:r w:rsidRPr="006349D2">
              <w:rPr>
                <w:noProof/>
                <w:webHidden/>
              </w:rPr>
              <w:instrText xml:space="preserve"> PAGEREF _Toc215250339 \h </w:instrText>
            </w:r>
            <w:r w:rsidRPr="006349D2">
              <w:rPr>
                <w:noProof/>
                <w:webHidden/>
              </w:rPr>
            </w:r>
            <w:r w:rsidRPr="006349D2">
              <w:rPr>
                <w:noProof/>
                <w:webHidden/>
              </w:rPr>
              <w:fldChar w:fldCharType="separate"/>
            </w:r>
            <w:r w:rsidR="008703E9">
              <w:rPr>
                <w:noProof/>
                <w:webHidden/>
              </w:rPr>
              <w:t>5</w:t>
            </w:r>
            <w:r w:rsidRPr="006349D2">
              <w:rPr>
                <w:noProof/>
                <w:webHidden/>
              </w:rPr>
              <w:fldChar w:fldCharType="end"/>
            </w:r>
          </w:hyperlink>
        </w:p>
        <w:p w14:paraId="206E0982" w14:textId="4107FED1"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40" w:history="1">
            <w:r w:rsidRPr="006349D2">
              <w:rPr>
                <w:rStyle w:val="Hyperlink"/>
                <w:rFonts w:eastAsia="Google Sans"/>
                <w:noProof/>
              </w:rPr>
              <w:t>1.2.3 Barriers to Partnership</w:t>
            </w:r>
            <w:r w:rsidRPr="006349D2">
              <w:rPr>
                <w:noProof/>
                <w:webHidden/>
              </w:rPr>
              <w:tab/>
            </w:r>
            <w:r w:rsidRPr="006349D2">
              <w:rPr>
                <w:noProof/>
                <w:webHidden/>
              </w:rPr>
              <w:fldChar w:fldCharType="begin"/>
            </w:r>
            <w:r w:rsidRPr="006349D2">
              <w:rPr>
                <w:noProof/>
                <w:webHidden/>
              </w:rPr>
              <w:instrText xml:space="preserve"> PAGEREF _Toc215250340 \h </w:instrText>
            </w:r>
            <w:r w:rsidRPr="006349D2">
              <w:rPr>
                <w:noProof/>
                <w:webHidden/>
              </w:rPr>
            </w:r>
            <w:r w:rsidRPr="006349D2">
              <w:rPr>
                <w:noProof/>
                <w:webHidden/>
              </w:rPr>
              <w:fldChar w:fldCharType="separate"/>
            </w:r>
            <w:r w:rsidR="008703E9">
              <w:rPr>
                <w:noProof/>
                <w:webHidden/>
              </w:rPr>
              <w:t>5</w:t>
            </w:r>
            <w:r w:rsidRPr="006349D2">
              <w:rPr>
                <w:noProof/>
                <w:webHidden/>
              </w:rPr>
              <w:fldChar w:fldCharType="end"/>
            </w:r>
          </w:hyperlink>
        </w:p>
        <w:p w14:paraId="386F8469" w14:textId="297B4B8C"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41" w:history="1">
            <w:r w:rsidRPr="006349D2">
              <w:rPr>
                <w:rStyle w:val="Hyperlink"/>
                <w:rFonts w:eastAsia="Google Sans"/>
                <w:noProof/>
              </w:rPr>
              <w:t>1.3 Ethical Frameworks and Decision-Making</w:t>
            </w:r>
            <w:r w:rsidRPr="006349D2">
              <w:rPr>
                <w:noProof/>
                <w:webHidden/>
              </w:rPr>
              <w:tab/>
            </w:r>
            <w:r w:rsidRPr="006349D2">
              <w:rPr>
                <w:noProof/>
                <w:webHidden/>
              </w:rPr>
              <w:fldChar w:fldCharType="begin"/>
            </w:r>
            <w:r w:rsidRPr="006349D2">
              <w:rPr>
                <w:noProof/>
                <w:webHidden/>
              </w:rPr>
              <w:instrText xml:space="preserve"> PAGEREF _Toc215250341 \h </w:instrText>
            </w:r>
            <w:r w:rsidRPr="006349D2">
              <w:rPr>
                <w:noProof/>
                <w:webHidden/>
              </w:rPr>
            </w:r>
            <w:r w:rsidRPr="006349D2">
              <w:rPr>
                <w:noProof/>
                <w:webHidden/>
              </w:rPr>
              <w:fldChar w:fldCharType="separate"/>
            </w:r>
            <w:r w:rsidR="008703E9">
              <w:rPr>
                <w:noProof/>
                <w:webHidden/>
              </w:rPr>
              <w:t>6</w:t>
            </w:r>
            <w:r w:rsidRPr="006349D2">
              <w:rPr>
                <w:noProof/>
                <w:webHidden/>
              </w:rPr>
              <w:fldChar w:fldCharType="end"/>
            </w:r>
          </w:hyperlink>
        </w:p>
        <w:p w14:paraId="29379539" w14:textId="4FEA0DD6"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42" w:history="1">
            <w:r w:rsidRPr="006349D2">
              <w:rPr>
                <w:rStyle w:val="Hyperlink"/>
                <w:rFonts w:eastAsia="Google Sans"/>
                <w:noProof/>
              </w:rPr>
              <w:t>1.3.1 Principlism: The Four Pillars</w:t>
            </w:r>
            <w:r w:rsidRPr="006349D2">
              <w:rPr>
                <w:noProof/>
                <w:webHidden/>
              </w:rPr>
              <w:tab/>
            </w:r>
            <w:r w:rsidRPr="006349D2">
              <w:rPr>
                <w:noProof/>
                <w:webHidden/>
              </w:rPr>
              <w:fldChar w:fldCharType="begin"/>
            </w:r>
            <w:r w:rsidRPr="006349D2">
              <w:rPr>
                <w:noProof/>
                <w:webHidden/>
              </w:rPr>
              <w:instrText xml:space="preserve"> PAGEREF _Toc215250342 \h </w:instrText>
            </w:r>
            <w:r w:rsidRPr="006349D2">
              <w:rPr>
                <w:noProof/>
                <w:webHidden/>
              </w:rPr>
            </w:r>
            <w:r w:rsidRPr="006349D2">
              <w:rPr>
                <w:noProof/>
                <w:webHidden/>
              </w:rPr>
              <w:fldChar w:fldCharType="separate"/>
            </w:r>
            <w:r w:rsidR="008703E9">
              <w:rPr>
                <w:noProof/>
                <w:webHidden/>
              </w:rPr>
              <w:t>6</w:t>
            </w:r>
            <w:r w:rsidRPr="006349D2">
              <w:rPr>
                <w:noProof/>
                <w:webHidden/>
              </w:rPr>
              <w:fldChar w:fldCharType="end"/>
            </w:r>
          </w:hyperlink>
        </w:p>
        <w:p w14:paraId="546486D2" w14:textId="2461898E"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43" w:history="1">
            <w:r w:rsidRPr="006349D2">
              <w:rPr>
                <w:rStyle w:val="Hyperlink"/>
                <w:rFonts w:eastAsia="Google Sans"/>
                <w:noProof/>
              </w:rPr>
              <w:t>1.3.2 The Conflict of Principles</w:t>
            </w:r>
            <w:r w:rsidRPr="006349D2">
              <w:rPr>
                <w:noProof/>
                <w:webHidden/>
              </w:rPr>
              <w:tab/>
            </w:r>
            <w:r w:rsidRPr="006349D2">
              <w:rPr>
                <w:noProof/>
                <w:webHidden/>
              </w:rPr>
              <w:fldChar w:fldCharType="begin"/>
            </w:r>
            <w:r w:rsidRPr="006349D2">
              <w:rPr>
                <w:noProof/>
                <w:webHidden/>
              </w:rPr>
              <w:instrText xml:space="preserve"> PAGEREF _Toc215250343 \h </w:instrText>
            </w:r>
            <w:r w:rsidRPr="006349D2">
              <w:rPr>
                <w:noProof/>
                <w:webHidden/>
              </w:rPr>
            </w:r>
            <w:r w:rsidRPr="006349D2">
              <w:rPr>
                <w:noProof/>
                <w:webHidden/>
              </w:rPr>
              <w:fldChar w:fldCharType="separate"/>
            </w:r>
            <w:r w:rsidR="008703E9">
              <w:rPr>
                <w:noProof/>
                <w:webHidden/>
              </w:rPr>
              <w:t>6</w:t>
            </w:r>
            <w:r w:rsidRPr="006349D2">
              <w:rPr>
                <w:noProof/>
                <w:webHidden/>
              </w:rPr>
              <w:fldChar w:fldCharType="end"/>
            </w:r>
          </w:hyperlink>
        </w:p>
        <w:p w14:paraId="2F94FB56" w14:textId="61315EC9"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44" w:history="1">
            <w:r w:rsidRPr="006349D2">
              <w:rPr>
                <w:rStyle w:val="Hyperlink"/>
                <w:rFonts w:eastAsia="Google Sans"/>
                <w:noProof/>
              </w:rPr>
              <w:t>1.3.3 The Duty of Candour</w:t>
            </w:r>
            <w:r w:rsidRPr="006349D2">
              <w:rPr>
                <w:noProof/>
                <w:webHidden/>
              </w:rPr>
              <w:tab/>
            </w:r>
            <w:r w:rsidRPr="006349D2">
              <w:rPr>
                <w:noProof/>
                <w:webHidden/>
              </w:rPr>
              <w:fldChar w:fldCharType="begin"/>
            </w:r>
            <w:r w:rsidRPr="006349D2">
              <w:rPr>
                <w:noProof/>
                <w:webHidden/>
              </w:rPr>
              <w:instrText xml:space="preserve"> PAGEREF _Toc215250344 \h </w:instrText>
            </w:r>
            <w:r w:rsidRPr="006349D2">
              <w:rPr>
                <w:noProof/>
                <w:webHidden/>
              </w:rPr>
            </w:r>
            <w:r w:rsidRPr="006349D2">
              <w:rPr>
                <w:noProof/>
                <w:webHidden/>
              </w:rPr>
              <w:fldChar w:fldCharType="separate"/>
            </w:r>
            <w:r w:rsidR="008703E9">
              <w:rPr>
                <w:noProof/>
                <w:webHidden/>
              </w:rPr>
              <w:t>6</w:t>
            </w:r>
            <w:r w:rsidRPr="006349D2">
              <w:rPr>
                <w:noProof/>
                <w:webHidden/>
              </w:rPr>
              <w:fldChar w:fldCharType="end"/>
            </w:r>
          </w:hyperlink>
        </w:p>
        <w:p w14:paraId="017ACBF1" w14:textId="64AB0D7D"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45" w:history="1">
            <w:r w:rsidRPr="006349D2">
              <w:rPr>
                <w:rStyle w:val="Hyperlink"/>
                <w:rFonts w:eastAsia="Google Sans"/>
                <w:noProof/>
              </w:rPr>
              <w:t>1.4 The Legislative Architecture</w:t>
            </w:r>
            <w:r w:rsidRPr="006349D2">
              <w:rPr>
                <w:noProof/>
                <w:webHidden/>
              </w:rPr>
              <w:tab/>
            </w:r>
            <w:r w:rsidRPr="006349D2">
              <w:rPr>
                <w:noProof/>
                <w:webHidden/>
              </w:rPr>
              <w:fldChar w:fldCharType="begin"/>
            </w:r>
            <w:r w:rsidRPr="006349D2">
              <w:rPr>
                <w:noProof/>
                <w:webHidden/>
              </w:rPr>
              <w:instrText xml:space="preserve"> PAGEREF _Toc215250345 \h </w:instrText>
            </w:r>
            <w:r w:rsidRPr="006349D2">
              <w:rPr>
                <w:noProof/>
                <w:webHidden/>
              </w:rPr>
            </w:r>
            <w:r w:rsidRPr="006349D2">
              <w:rPr>
                <w:noProof/>
                <w:webHidden/>
              </w:rPr>
              <w:fldChar w:fldCharType="separate"/>
            </w:r>
            <w:r w:rsidR="008703E9">
              <w:rPr>
                <w:noProof/>
                <w:webHidden/>
              </w:rPr>
              <w:t>7</w:t>
            </w:r>
            <w:r w:rsidRPr="006349D2">
              <w:rPr>
                <w:noProof/>
                <w:webHidden/>
              </w:rPr>
              <w:fldChar w:fldCharType="end"/>
            </w:r>
          </w:hyperlink>
        </w:p>
        <w:p w14:paraId="5EEE8AC8" w14:textId="2112683C" w:rsidR="00371E42" w:rsidRPr="006349D2" w:rsidRDefault="00371E42">
          <w:pPr>
            <w:pStyle w:val="TOC2"/>
            <w:tabs>
              <w:tab w:val="right" w:leader="dot" w:pos="9350"/>
            </w:tabs>
            <w:rPr>
              <w:rFonts w:eastAsiaTheme="minorEastAsia"/>
              <w:noProof/>
              <w:kern w:val="2"/>
              <w:sz w:val="24"/>
              <w:szCs w:val="24"/>
              <w14:ligatures w14:val="standardContextual"/>
            </w:rPr>
          </w:pPr>
          <w:hyperlink w:anchor="_Toc215250346" w:history="1">
            <w:r w:rsidRPr="006349D2">
              <w:rPr>
                <w:rStyle w:val="Hyperlink"/>
                <w:rFonts w:eastAsia="Google Sans"/>
                <w:noProof/>
              </w:rPr>
              <w:t>Part II: Practical Application and Case Studies</w:t>
            </w:r>
            <w:r w:rsidRPr="006349D2">
              <w:rPr>
                <w:noProof/>
                <w:webHidden/>
              </w:rPr>
              <w:tab/>
            </w:r>
            <w:r w:rsidRPr="006349D2">
              <w:rPr>
                <w:noProof/>
                <w:webHidden/>
              </w:rPr>
              <w:fldChar w:fldCharType="begin"/>
            </w:r>
            <w:r w:rsidRPr="006349D2">
              <w:rPr>
                <w:noProof/>
                <w:webHidden/>
              </w:rPr>
              <w:instrText xml:space="preserve"> PAGEREF _Toc215250346 \h </w:instrText>
            </w:r>
            <w:r w:rsidRPr="006349D2">
              <w:rPr>
                <w:noProof/>
                <w:webHidden/>
              </w:rPr>
            </w:r>
            <w:r w:rsidRPr="006349D2">
              <w:rPr>
                <w:noProof/>
                <w:webHidden/>
              </w:rPr>
              <w:fldChar w:fldCharType="separate"/>
            </w:r>
            <w:r w:rsidR="008703E9">
              <w:rPr>
                <w:noProof/>
                <w:webHidden/>
              </w:rPr>
              <w:t>8</w:t>
            </w:r>
            <w:r w:rsidRPr="006349D2">
              <w:rPr>
                <w:noProof/>
                <w:webHidden/>
              </w:rPr>
              <w:fldChar w:fldCharType="end"/>
            </w:r>
          </w:hyperlink>
        </w:p>
        <w:p w14:paraId="004EF746" w14:textId="74BF1634"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47" w:history="1">
            <w:r w:rsidRPr="006349D2">
              <w:rPr>
                <w:rStyle w:val="Hyperlink"/>
                <w:rFonts w:eastAsia="Google Sans"/>
                <w:noProof/>
              </w:rPr>
              <w:t>2.1 Implementing Principles in Complex Scenarios</w:t>
            </w:r>
            <w:r w:rsidRPr="006349D2">
              <w:rPr>
                <w:noProof/>
                <w:webHidden/>
              </w:rPr>
              <w:tab/>
            </w:r>
            <w:r w:rsidRPr="006349D2">
              <w:rPr>
                <w:noProof/>
                <w:webHidden/>
              </w:rPr>
              <w:fldChar w:fldCharType="begin"/>
            </w:r>
            <w:r w:rsidRPr="006349D2">
              <w:rPr>
                <w:noProof/>
                <w:webHidden/>
              </w:rPr>
              <w:instrText xml:space="preserve"> PAGEREF _Toc215250347 \h </w:instrText>
            </w:r>
            <w:r w:rsidRPr="006349D2">
              <w:rPr>
                <w:noProof/>
                <w:webHidden/>
              </w:rPr>
            </w:r>
            <w:r w:rsidRPr="006349D2">
              <w:rPr>
                <w:noProof/>
                <w:webHidden/>
              </w:rPr>
              <w:fldChar w:fldCharType="separate"/>
            </w:r>
            <w:r w:rsidR="008703E9">
              <w:rPr>
                <w:noProof/>
                <w:webHidden/>
              </w:rPr>
              <w:t>8</w:t>
            </w:r>
            <w:r w:rsidRPr="006349D2">
              <w:rPr>
                <w:noProof/>
                <w:webHidden/>
              </w:rPr>
              <w:fldChar w:fldCharType="end"/>
            </w:r>
          </w:hyperlink>
        </w:p>
        <w:p w14:paraId="7070E47C" w14:textId="470C1F20"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48" w:history="1">
            <w:r w:rsidRPr="006349D2">
              <w:rPr>
                <w:rStyle w:val="Hyperlink"/>
                <w:rFonts w:eastAsia="Google Sans"/>
                <w:noProof/>
              </w:rPr>
              <w:t>2.1.1 Case Study A: The Sefton Partnership (Successful Integration)</w:t>
            </w:r>
            <w:r w:rsidRPr="006349D2">
              <w:rPr>
                <w:noProof/>
                <w:webHidden/>
              </w:rPr>
              <w:tab/>
            </w:r>
            <w:r w:rsidRPr="006349D2">
              <w:rPr>
                <w:noProof/>
                <w:webHidden/>
              </w:rPr>
              <w:fldChar w:fldCharType="begin"/>
            </w:r>
            <w:r w:rsidRPr="006349D2">
              <w:rPr>
                <w:noProof/>
                <w:webHidden/>
              </w:rPr>
              <w:instrText xml:space="preserve"> PAGEREF _Toc215250348 \h </w:instrText>
            </w:r>
            <w:r w:rsidRPr="006349D2">
              <w:rPr>
                <w:noProof/>
                <w:webHidden/>
              </w:rPr>
            </w:r>
            <w:r w:rsidRPr="006349D2">
              <w:rPr>
                <w:noProof/>
                <w:webHidden/>
              </w:rPr>
              <w:fldChar w:fldCharType="separate"/>
            </w:r>
            <w:r w:rsidR="008703E9">
              <w:rPr>
                <w:noProof/>
                <w:webHidden/>
              </w:rPr>
              <w:t>8</w:t>
            </w:r>
            <w:r w:rsidRPr="006349D2">
              <w:rPr>
                <w:noProof/>
                <w:webHidden/>
              </w:rPr>
              <w:fldChar w:fldCharType="end"/>
            </w:r>
          </w:hyperlink>
        </w:p>
        <w:p w14:paraId="35FA61C2" w14:textId="441BAC31"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49" w:history="1">
            <w:r w:rsidRPr="006349D2">
              <w:rPr>
                <w:rStyle w:val="Hyperlink"/>
                <w:rFonts w:eastAsia="Google Sans"/>
                <w:noProof/>
              </w:rPr>
              <w:t>2.1.2 Case Study B: Safeguarding Adult Review - 'Nigel' (Failure of Integration)</w:t>
            </w:r>
            <w:r w:rsidRPr="006349D2">
              <w:rPr>
                <w:noProof/>
                <w:webHidden/>
              </w:rPr>
              <w:tab/>
            </w:r>
            <w:r w:rsidRPr="006349D2">
              <w:rPr>
                <w:noProof/>
                <w:webHidden/>
              </w:rPr>
              <w:fldChar w:fldCharType="begin"/>
            </w:r>
            <w:r w:rsidRPr="006349D2">
              <w:rPr>
                <w:noProof/>
                <w:webHidden/>
              </w:rPr>
              <w:instrText xml:space="preserve"> PAGEREF _Toc215250349 \h </w:instrText>
            </w:r>
            <w:r w:rsidRPr="006349D2">
              <w:rPr>
                <w:noProof/>
                <w:webHidden/>
              </w:rPr>
            </w:r>
            <w:r w:rsidRPr="006349D2">
              <w:rPr>
                <w:noProof/>
                <w:webHidden/>
              </w:rPr>
              <w:fldChar w:fldCharType="separate"/>
            </w:r>
            <w:r w:rsidR="008703E9">
              <w:rPr>
                <w:noProof/>
                <w:webHidden/>
              </w:rPr>
              <w:t>9</w:t>
            </w:r>
            <w:r w:rsidRPr="006349D2">
              <w:rPr>
                <w:noProof/>
                <w:webHidden/>
              </w:rPr>
              <w:fldChar w:fldCharType="end"/>
            </w:r>
          </w:hyperlink>
        </w:p>
        <w:p w14:paraId="61852950" w14:textId="0EF6281A"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50" w:history="1">
            <w:r w:rsidRPr="006349D2">
              <w:rPr>
                <w:rStyle w:val="Hyperlink"/>
                <w:rFonts w:eastAsia="Google Sans"/>
                <w:noProof/>
              </w:rPr>
              <w:t>2.2 Addressing Challenges Through Policy Guidelines</w:t>
            </w:r>
            <w:r w:rsidRPr="006349D2">
              <w:rPr>
                <w:noProof/>
                <w:webHidden/>
              </w:rPr>
              <w:tab/>
            </w:r>
            <w:r w:rsidRPr="006349D2">
              <w:rPr>
                <w:noProof/>
                <w:webHidden/>
              </w:rPr>
              <w:fldChar w:fldCharType="begin"/>
            </w:r>
            <w:r w:rsidRPr="006349D2">
              <w:rPr>
                <w:noProof/>
                <w:webHidden/>
              </w:rPr>
              <w:instrText xml:space="preserve"> PAGEREF _Toc215250350 \h </w:instrText>
            </w:r>
            <w:r w:rsidRPr="006349D2">
              <w:rPr>
                <w:noProof/>
                <w:webHidden/>
              </w:rPr>
            </w:r>
            <w:r w:rsidRPr="006349D2">
              <w:rPr>
                <w:noProof/>
                <w:webHidden/>
              </w:rPr>
              <w:fldChar w:fldCharType="separate"/>
            </w:r>
            <w:r w:rsidR="008703E9">
              <w:rPr>
                <w:noProof/>
                <w:webHidden/>
              </w:rPr>
              <w:t>9</w:t>
            </w:r>
            <w:r w:rsidRPr="006349D2">
              <w:rPr>
                <w:noProof/>
                <w:webHidden/>
              </w:rPr>
              <w:fldChar w:fldCharType="end"/>
            </w:r>
          </w:hyperlink>
        </w:p>
        <w:p w14:paraId="4C8EDA19" w14:textId="137CA64C" w:rsidR="00371E42" w:rsidRPr="006349D2" w:rsidRDefault="00371E42">
          <w:pPr>
            <w:pStyle w:val="TOC2"/>
            <w:tabs>
              <w:tab w:val="right" w:leader="dot" w:pos="9350"/>
            </w:tabs>
            <w:rPr>
              <w:rFonts w:eastAsiaTheme="minorEastAsia"/>
              <w:noProof/>
              <w:kern w:val="2"/>
              <w:sz w:val="24"/>
              <w:szCs w:val="24"/>
              <w14:ligatures w14:val="standardContextual"/>
            </w:rPr>
          </w:pPr>
          <w:hyperlink w:anchor="_Toc215250351" w:history="1">
            <w:r w:rsidRPr="006349D2">
              <w:rPr>
                <w:rStyle w:val="Hyperlink"/>
                <w:rFonts w:eastAsia="Google Sans"/>
                <w:noProof/>
              </w:rPr>
              <w:t>Part III: Reflective Practice and Professional Development</w:t>
            </w:r>
            <w:r w:rsidRPr="006349D2">
              <w:rPr>
                <w:noProof/>
                <w:webHidden/>
              </w:rPr>
              <w:tab/>
            </w:r>
            <w:r w:rsidRPr="006349D2">
              <w:rPr>
                <w:noProof/>
                <w:webHidden/>
              </w:rPr>
              <w:fldChar w:fldCharType="begin"/>
            </w:r>
            <w:r w:rsidRPr="006349D2">
              <w:rPr>
                <w:noProof/>
                <w:webHidden/>
              </w:rPr>
              <w:instrText xml:space="preserve"> PAGEREF _Toc215250351 \h </w:instrText>
            </w:r>
            <w:r w:rsidRPr="006349D2">
              <w:rPr>
                <w:noProof/>
                <w:webHidden/>
              </w:rPr>
            </w:r>
            <w:r w:rsidRPr="006349D2">
              <w:rPr>
                <w:noProof/>
                <w:webHidden/>
              </w:rPr>
              <w:fldChar w:fldCharType="separate"/>
            </w:r>
            <w:r w:rsidR="008703E9">
              <w:rPr>
                <w:noProof/>
                <w:webHidden/>
              </w:rPr>
              <w:t>10</w:t>
            </w:r>
            <w:r w:rsidRPr="006349D2">
              <w:rPr>
                <w:noProof/>
                <w:webHidden/>
              </w:rPr>
              <w:fldChar w:fldCharType="end"/>
            </w:r>
          </w:hyperlink>
        </w:p>
        <w:p w14:paraId="1F51CA79" w14:textId="41E2F875"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52" w:history="1">
            <w:r w:rsidRPr="006349D2">
              <w:rPr>
                <w:rStyle w:val="Hyperlink"/>
                <w:rFonts w:eastAsia="Google Sans"/>
                <w:noProof/>
              </w:rPr>
              <w:t>3.1 The Practitioner’s Journey: A Reflective Analysis</w:t>
            </w:r>
            <w:r w:rsidRPr="006349D2">
              <w:rPr>
                <w:noProof/>
                <w:webHidden/>
              </w:rPr>
              <w:tab/>
            </w:r>
            <w:r w:rsidRPr="006349D2">
              <w:rPr>
                <w:noProof/>
                <w:webHidden/>
              </w:rPr>
              <w:fldChar w:fldCharType="begin"/>
            </w:r>
            <w:r w:rsidRPr="006349D2">
              <w:rPr>
                <w:noProof/>
                <w:webHidden/>
              </w:rPr>
              <w:instrText xml:space="preserve"> PAGEREF _Toc215250352 \h </w:instrText>
            </w:r>
            <w:r w:rsidRPr="006349D2">
              <w:rPr>
                <w:noProof/>
                <w:webHidden/>
              </w:rPr>
            </w:r>
            <w:r w:rsidRPr="006349D2">
              <w:rPr>
                <w:noProof/>
                <w:webHidden/>
              </w:rPr>
              <w:fldChar w:fldCharType="separate"/>
            </w:r>
            <w:r w:rsidR="008703E9">
              <w:rPr>
                <w:noProof/>
                <w:webHidden/>
              </w:rPr>
              <w:t>10</w:t>
            </w:r>
            <w:r w:rsidRPr="006349D2">
              <w:rPr>
                <w:noProof/>
                <w:webHidden/>
              </w:rPr>
              <w:fldChar w:fldCharType="end"/>
            </w:r>
          </w:hyperlink>
        </w:p>
        <w:p w14:paraId="1FD1522F" w14:textId="0F4B0163"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53" w:history="1">
            <w:r w:rsidRPr="006349D2">
              <w:rPr>
                <w:rStyle w:val="Hyperlink"/>
                <w:rFonts w:eastAsia="Google Sans"/>
                <w:noProof/>
              </w:rPr>
              <w:t>3.1.1 Reflective Models: Gibbs and Schön</w:t>
            </w:r>
            <w:r w:rsidRPr="006349D2">
              <w:rPr>
                <w:noProof/>
                <w:webHidden/>
              </w:rPr>
              <w:tab/>
            </w:r>
            <w:r w:rsidRPr="006349D2">
              <w:rPr>
                <w:noProof/>
                <w:webHidden/>
              </w:rPr>
              <w:fldChar w:fldCharType="begin"/>
            </w:r>
            <w:r w:rsidRPr="006349D2">
              <w:rPr>
                <w:noProof/>
                <w:webHidden/>
              </w:rPr>
              <w:instrText xml:space="preserve"> PAGEREF _Toc215250353 \h </w:instrText>
            </w:r>
            <w:r w:rsidRPr="006349D2">
              <w:rPr>
                <w:noProof/>
                <w:webHidden/>
              </w:rPr>
            </w:r>
            <w:r w:rsidRPr="006349D2">
              <w:rPr>
                <w:noProof/>
                <w:webHidden/>
              </w:rPr>
              <w:fldChar w:fldCharType="separate"/>
            </w:r>
            <w:r w:rsidR="008703E9">
              <w:rPr>
                <w:noProof/>
                <w:webHidden/>
              </w:rPr>
              <w:t>10</w:t>
            </w:r>
            <w:r w:rsidRPr="006349D2">
              <w:rPr>
                <w:noProof/>
                <w:webHidden/>
              </w:rPr>
              <w:fldChar w:fldCharType="end"/>
            </w:r>
          </w:hyperlink>
        </w:p>
        <w:p w14:paraId="3C4AA0D4" w14:textId="230ED9B5" w:rsidR="00371E42" w:rsidRPr="006349D2" w:rsidRDefault="00371E42">
          <w:pPr>
            <w:pStyle w:val="TOC4"/>
            <w:tabs>
              <w:tab w:val="right" w:leader="dot" w:pos="9350"/>
            </w:tabs>
            <w:rPr>
              <w:rFonts w:eastAsiaTheme="minorEastAsia"/>
              <w:noProof/>
              <w:kern w:val="2"/>
              <w:sz w:val="24"/>
              <w:szCs w:val="24"/>
              <w14:ligatures w14:val="standardContextual"/>
            </w:rPr>
          </w:pPr>
          <w:hyperlink w:anchor="_Toc215250354" w:history="1">
            <w:r w:rsidRPr="006349D2">
              <w:rPr>
                <w:rStyle w:val="Hyperlink"/>
                <w:rFonts w:eastAsia="Google Sans"/>
                <w:noProof/>
              </w:rPr>
              <w:t>3.1.2 Reflective Narrative: The Challenge of "Unwise Decisions"</w:t>
            </w:r>
            <w:r w:rsidRPr="006349D2">
              <w:rPr>
                <w:noProof/>
                <w:webHidden/>
              </w:rPr>
              <w:tab/>
            </w:r>
            <w:r w:rsidRPr="006349D2">
              <w:rPr>
                <w:noProof/>
                <w:webHidden/>
              </w:rPr>
              <w:fldChar w:fldCharType="begin"/>
            </w:r>
            <w:r w:rsidRPr="006349D2">
              <w:rPr>
                <w:noProof/>
                <w:webHidden/>
              </w:rPr>
              <w:instrText xml:space="preserve"> PAGEREF _Toc215250354 \h </w:instrText>
            </w:r>
            <w:r w:rsidRPr="006349D2">
              <w:rPr>
                <w:noProof/>
                <w:webHidden/>
              </w:rPr>
            </w:r>
            <w:r w:rsidRPr="006349D2">
              <w:rPr>
                <w:noProof/>
                <w:webHidden/>
              </w:rPr>
              <w:fldChar w:fldCharType="separate"/>
            </w:r>
            <w:r w:rsidR="008703E9">
              <w:rPr>
                <w:noProof/>
                <w:webHidden/>
              </w:rPr>
              <w:t>10</w:t>
            </w:r>
            <w:r w:rsidRPr="006349D2">
              <w:rPr>
                <w:noProof/>
                <w:webHidden/>
              </w:rPr>
              <w:fldChar w:fldCharType="end"/>
            </w:r>
          </w:hyperlink>
        </w:p>
        <w:p w14:paraId="1608B0FF" w14:textId="4EBCE75F"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55" w:history="1">
            <w:r w:rsidRPr="006349D2">
              <w:rPr>
                <w:rStyle w:val="Hyperlink"/>
                <w:rFonts w:eastAsia="Google Sans"/>
                <w:noProof/>
              </w:rPr>
              <w:t>3.2 Professional Skills Audit</w:t>
            </w:r>
            <w:r w:rsidRPr="006349D2">
              <w:rPr>
                <w:noProof/>
                <w:webHidden/>
              </w:rPr>
              <w:tab/>
            </w:r>
            <w:r w:rsidRPr="006349D2">
              <w:rPr>
                <w:noProof/>
                <w:webHidden/>
              </w:rPr>
              <w:fldChar w:fldCharType="begin"/>
            </w:r>
            <w:r w:rsidRPr="006349D2">
              <w:rPr>
                <w:noProof/>
                <w:webHidden/>
              </w:rPr>
              <w:instrText xml:space="preserve"> PAGEREF _Toc215250355 \h </w:instrText>
            </w:r>
            <w:r w:rsidRPr="006349D2">
              <w:rPr>
                <w:noProof/>
                <w:webHidden/>
              </w:rPr>
            </w:r>
            <w:r w:rsidRPr="006349D2">
              <w:rPr>
                <w:noProof/>
                <w:webHidden/>
              </w:rPr>
              <w:fldChar w:fldCharType="separate"/>
            </w:r>
            <w:r w:rsidR="008703E9">
              <w:rPr>
                <w:noProof/>
                <w:webHidden/>
              </w:rPr>
              <w:t>11</w:t>
            </w:r>
            <w:r w:rsidRPr="006349D2">
              <w:rPr>
                <w:noProof/>
                <w:webHidden/>
              </w:rPr>
              <w:fldChar w:fldCharType="end"/>
            </w:r>
          </w:hyperlink>
        </w:p>
        <w:p w14:paraId="667AE127" w14:textId="59DAC2F2"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56" w:history="1">
            <w:r w:rsidRPr="006349D2">
              <w:rPr>
                <w:rStyle w:val="Hyperlink"/>
                <w:rFonts w:eastAsia="Google Sans"/>
                <w:noProof/>
              </w:rPr>
              <w:t>3.3 Personal Development Plan (PDP)</w:t>
            </w:r>
            <w:r w:rsidRPr="006349D2">
              <w:rPr>
                <w:noProof/>
                <w:webHidden/>
              </w:rPr>
              <w:tab/>
            </w:r>
            <w:r w:rsidRPr="006349D2">
              <w:rPr>
                <w:noProof/>
                <w:webHidden/>
              </w:rPr>
              <w:fldChar w:fldCharType="begin"/>
            </w:r>
            <w:r w:rsidRPr="006349D2">
              <w:rPr>
                <w:noProof/>
                <w:webHidden/>
              </w:rPr>
              <w:instrText xml:space="preserve"> PAGEREF _Toc215250356 \h </w:instrText>
            </w:r>
            <w:r w:rsidRPr="006349D2">
              <w:rPr>
                <w:noProof/>
                <w:webHidden/>
              </w:rPr>
            </w:r>
            <w:r w:rsidRPr="006349D2">
              <w:rPr>
                <w:noProof/>
                <w:webHidden/>
              </w:rPr>
              <w:fldChar w:fldCharType="separate"/>
            </w:r>
            <w:r w:rsidR="008703E9">
              <w:rPr>
                <w:noProof/>
                <w:webHidden/>
              </w:rPr>
              <w:t>13</w:t>
            </w:r>
            <w:r w:rsidRPr="006349D2">
              <w:rPr>
                <w:noProof/>
                <w:webHidden/>
              </w:rPr>
              <w:fldChar w:fldCharType="end"/>
            </w:r>
          </w:hyperlink>
        </w:p>
        <w:p w14:paraId="131C900E" w14:textId="741CB9A1" w:rsidR="00371E42" w:rsidRPr="006349D2" w:rsidRDefault="00371E42">
          <w:pPr>
            <w:pStyle w:val="TOC3"/>
            <w:tabs>
              <w:tab w:val="right" w:leader="dot" w:pos="9350"/>
            </w:tabs>
            <w:rPr>
              <w:rFonts w:eastAsiaTheme="minorEastAsia"/>
              <w:noProof/>
              <w:kern w:val="2"/>
              <w:sz w:val="24"/>
              <w:szCs w:val="24"/>
              <w14:ligatures w14:val="standardContextual"/>
            </w:rPr>
          </w:pPr>
          <w:hyperlink w:anchor="_Toc215250357" w:history="1">
            <w:r w:rsidRPr="006349D2">
              <w:rPr>
                <w:rStyle w:val="Hyperlink"/>
                <w:rFonts w:eastAsia="Google Sans"/>
                <w:noProof/>
              </w:rPr>
              <w:t>3.4 Future Outlook: The Professional in 2026 and Beyond</w:t>
            </w:r>
            <w:r w:rsidRPr="006349D2">
              <w:rPr>
                <w:noProof/>
                <w:webHidden/>
              </w:rPr>
              <w:tab/>
            </w:r>
            <w:r w:rsidRPr="006349D2">
              <w:rPr>
                <w:noProof/>
                <w:webHidden/>
              </w:rPr>
              <w:fldChar w:fldCharType="begin"/>
            </w:r>
            <w:r w:rsidRPr="006349D2">
              <w:rPr>
                <w:noProof/>
                <w:webHidden/>
              </w:rPr>
              <w:instrText xml:space="preserve"> PAGEREF _Toc215250357 \h </w:instrText>
            </w:r>
            <w:r w:rsidRPr="006349D2">
              <w:rPr>
                <w:noProof/>
                <w:webHidden/>
              </w:rPr>
            </w:r>
            <w:r w:rsidRPr="006349D2">
              <w:rPr>
                <w:noProof/>
                <w:webHidden/>
              </w:rPr>
              <w:fldChar w:fldCharType="separate"/>
            </w:r>
            <w:r w:rsidR="008703E9">
              <w:rPr>
                <w:noProof/>
                <w:webHidden/>
              </w:rPr>
              <w:t>15</w:t>
            </w:r>
            <w:r w:rsidRPr="006349D2">
              <w:rPr>
                <w:noProof/>
                <w:webHidden/>
              </w:rPr>
              <w:fldChar w:fldCharType="end"/>
            </w:r>
          </w:hyperlink>
        </w:p>
        <w:p w14:paraId="49CF185E" w14:textId="784B5922" w:rsidR="00371E42" w:rsidRPr="006349D2" w:rsidRDefault="00371E42">
          <w:pPr>
            <w:pStyle w:val="TOC2"/>
            <w:tabs>
              <w:tab w:val="right" w:leader="dot" w:pos="9350"/>
            </w:tabs>
            <w:rPr>
              <w:rFonts w:eastAsiaTheme="minorEastAsia"/>
              <w:noProof/>
              <w:kern w:val="2"/>
              <w:sz w:val="24"/>
              <w:szCs w:val="24"/>
              <w14:ligatures w14:val="standardContextual"/>
            </w:rPr>
          </w:pPr>
          <w:hyperlink w:anchor="_Toc215250358" w:history="1">
            <w:r w:rsidRPr="006349D2">
              <w:rPr>
                <w:rStyle w:val="Hyperlink"/>
                <w:rFonts w:eastAsia="Google Sans"/>
                <w:noProof/>
              </w:rPr>
              <w:t>Conclusion</w:t>
            </w:r>
            <w:r w:rsidRPr="006349D2">
              <w:rPr>
                <w:noProof/>
                <w:webHidden/>
              </w:rPr>
              <w:tab/>
            </w:r>
            <w:r w:rsidRPr="006349D2">
              <w:rPr>
                <w:noProof/>
                <w:webHidden/>
              </w:rPr>
              <w:fldChar w:fldCharType="begin"/>
            </w:r>
            <w:r w:rsidRPr="006349D2">
              <w:rPr>
                <w:noProof/>
                <w:webHidden/>
              </w:rPr>
              <w:instrText xml:space="preserve"> PAGEREF _Toc215250358 \h </w:instrText>
            </w:r>
            <w:r w:rsidRPr="006349D2">
              <w:rPr>
                <w:noProof/>
                <w:webHidden/>
              </w:rPr>
            </w:r>
            <w:r w:rsidRPr="006349D2">
              <w:rPr>
                <w:noProof/>
                <w:webHidden/>
              </w:rPr>
              <w:fldChar w:fldCharType="separate"/>
            </w:r>
            <w:r w:rsidR="008703E9">
              <w:rPr>
                <w:noProof/>
                <w:webHidden/>
              </w:rPr>
              <w:t>15</w:t>
            </w:r>
            <w:r w:rsidRPr="006349D2">
              <w:rPr>
                <w:noProof/>
                <w:webHidden/>
              </w:rPr>
              <w:fldChar w:fldCharType="end"/>
            </w:r>
          </w:hyperlink>
        </w:p>
        <w:p w14:paraId="28E6993A" w14:textId="1C93C043" w:rsidR="00371E42" w:rsidRPr="006349D2" w:rsidRDefault="00371E42">
          <w:pPr>
            <w:pStyle w:val="TOC2"/>
            <w:tabs>
              <w:tab w:val="right" w:leader="dot" w:pos="9350"/>
            </w:tabs>
            <w:rPr>
              <w:rFonts w:eastAsiaTheme="minorEastAsia"/>
              <w:noProof/>
              <w:kern w:val="2"/>
              <w:sz w:val="24"/>
              <w:szCs w:val="24"/>
              <w14:ligatures w14:val="standardContextual"/>
            </w:rPr>
          </w:pPr>
          <w:hyperlink w:anchor="_Toc215250359" w:history="1">
            <w:r w:rsidRPr="006349D2">
              <w:rPr>
                <w:rStyle w:val="Hyperlink"/>
                <w:rFonts w:eastAsia="Google Sans"/>
                <w:i/>
                <w:iCs/>
                <w:noProof/>
              </w:rPr>
              <w:t>References</w:t>
            </w:r>
            <w:r w:rsidRPr="006349D2">
              <w:rPr>
                <w:noProof/>
                <w:webHidden/>
              </w:rPr>
              <w:tab/>
            </w:r>
            <w:r w:rsidRPr="006349D2">
              <w:rPr>
                <w:noProof/>
                <w:webHidden/>
              </w:rPr>
              <w:fldChar w:fldCharType="begin"/>
            </w:r>
            <w:r w:rsidRPr="006349D2">
              <w:rPr>
                <w:noProof/>
                <w:webHidden/>
              </w:rPr>
              <w:instrText xml:space="preserve"> PAGEREF _Toc215250359 \h </w:instrText>
            </w:r>
            <w:r w:rsidRPr="006349D2">
              <w:rPr>
                <w:noProof/>
                <w:webHidden/>
              </w:rPr>
            </w:r>
            <w:r w:rsidRPr="006349D2">
              <w:rPr>
                <w:noProof/>
                <w:webHidden/>
              </w:rPr>
              <w:fldChar w:fldCharType="separate"/>
            </w:r>
            <w:r w:rsidR="008703E9">
              <w:rPr>
                <w:noProof/>
                <w:webHidden/>
              </w:rPr>
              <w:t>17</w:t>
            </w:r>
            <w:r w:rsidRPr="006349D2">
              <w:rPr>
                <w:noProof/>
                <w:webHidden/>
              </w:rPr>
              <w:fldChar w:fldCharType="end"/>
            </w:r>
          </w:hyperlink>
        </w:p>
        <w:p w14:paraId="48BA4F57" w14:textId="3191200F" w:rsidR="008864B8" w:rsidRPr="006349D2" w:rsidRDefault="00000000" w:rsidP="00371E42">
          <w:pPr>
            <w:tabs>
              <w:tab w:val="right" w:leader="dot" w:pos="12000"/>
            </w:tabs>
            <w:spacing w:before="60"/>
            <w:jc w:val="both"/>
            <w:rPr>
              <w:b/>
              <w:bCs/>
              <w:color w:val="000000"/>
            </w:rPr>
          </w:pPr>
          <w:r w:rsidRPr="006349D2">
            <w:fldChar w:fldCharType="end"/>
          </w:r>
        </w:p>
      </w:sdtContent>
    </w:sdt>
    <w:p w14:paraId="2E82A97A" w14:textId="77777777" w:rsidR="008864B8" w:rsidRPr="006349D2" w:rsidRDefault="008864B8" w:rsidP="00371E42">
      <w:pPr>
        <w:pBdr>
          <w:top w:val="nil"/>
          <w:left w:val="nil"/>
          <w:bottom w:val="nil"/>
          <w:right w:val="nil"/>
          <w:between w:val="nil"/>
        </w:pBdr>
        <w:spacing w:after="240" w:line="275" w:lineRule="auto"/>
        <w:jc w:val="both"/>
        <w:rPr>
          <w:color w:val="000000"/>
        </w:rPr>
      </w:pPr>
    </w:p>
    <w:p w14:paraId="65AC843C" w14:textId="77777777" w:rsidR="008864B8" w:rsidRPr="006349D2" w:rsidRDefault="00000000" w:rsidP="00371E42">
      <w:pPr>
        <w:pStyle w:val="Heading2"/>
        <w:spacing w:before="0" w:after="120" w:line="275" w:lineRule="auto"/>
        <w:jc w:val="both"/>
        <w:rPr>
          <w:rFonts w:eastAsia="Google Sans"/>
          <w:color w:val="1F1F1F"/>
        </w:rPr>
      </w:pPr>
      <w:r w:rsidRPr="006349D2">
        <w:br w:type="page"/>
      </w:r>
    </w:p>
    <w:p w14:paraId="2659E69D" w14:textId="22F95C11" w:rsidR="008864B8" w:rsidRPr="006349D2" w:rsidRDefault="00000000" w:rsidP="00371E42">
      <w:pPr>
        <w:pStyle w:val="Heading2"/>
        <w:spacing w:before="0" w:after="120" w:line="275" w:lineRule="auto"/>
        <w:jc w:val="both"/>
        <w:rPr>
          <w:rFonts w:eastAsia="Google Sans"/>
          <w:color w:val="1F1F1F"/>
        </w:rPr>
      </w:pPr>
      <w:bookmarkStart w:id="0" w:name="_Toc215250332"/>
      <w:r w:rsidRPr="006349D2">
        <w:rPr>
          <w:rFonts w:eastAsia="Google Sans"/>
          <w:color w:val="1F1F1F"/>
        </w:rPr>
        <w:lastRenderedPageBreak/>
        <w:t>Part I: Theoretical Foundations and Critical Analysis</w:t>
      </w:r>
      <w:bookmarkEnd w:id="0"/>
      <w:r w:rsidRPr="006349D2">
        <w:rPr>
          <w:rFonts w:eastAsia="Google Sans"/>
          <w:color w:val="1F1F1F"/>
        </w:rPr>
        <w:t xml:space="preserve"> </w:t>
      </w:r>
    </w:p>
    <w:p w14:paraId="6E4EAF7E"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70A1009C" w14:textId="4E8456EB" w:rsidR="008864B8" w:rsidRPr="006349D2" w:rsidRDefault="00000000" w:rsidP="00371E42">
      <w:pPr>
        <w:pStyle w:val="Heading3"/>
        <w:spacing w:before="0" w:after="120" w:line="275" w:lineRule="auto"/>
        <w:jc w:val="both"/>
        <w:rPr>
          <w:rFonts w:eastAsia="Google Sans"/>
          <w:color w:val="1F1F1F"/>
        </w:rPr>
      </w:pPr>
      <w:bookmarkStart w:id="1" w:name="_Toc215250333"/>
      <w:r w:rsidRPr="006349D2">
        <w:rPr>
          <w:rFonts w:eastAsia="Google Sans"/>
          <w:color w:val="1F1F1F"/>
        </w:rPr>
        <w:t>1.1 The Paradigm of Person-</w:t>
      </w:r>
      <w:proofErr w:type="spellStart"/>
      <w:r w:rsidRPr="006349D2">
        <w:rPr>
          <w:rFonts w:eastAsia="Google Sans"/>
          <w:color w:val="1F1F1F"/>
        </w:rPr>
        <w:t>Centred</w:t>
      </w:r>
      <w:proofErr w:type="spellEnd"/>
      <w:r w:rsidRPr="006349D2">
        <w:rPr>
          <w:rFonts w:eastAsia="Google Sans"/>
          <w:color w:val="1F1F1F"/>
        </w:rPr>
        <w:t xml:space="preserve"> Care</w:t>
      </w:r>
      <w:bookmarkEnd w:id="1"/>
    </w:p>
    <w:p w14:paraId="6BA14539"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24E992EC" w14:textId="77777777" w:rsidR="008864B8" w:rsidRPr="006349D2" w:rsidRDefault="00000000" w:rsidP="00371E42">
      <w:pPr>
        <w:pStyle w:val="Heading4"/>
        <w:spacing w:before="0" w:after="120" w:line="275" w:lineRule="auto"/>
        <w:jc w:val="both"/>
        <w:rPr>
          <w:rFonts w:eastAsia="Google Sans"/>
          <w:color w:val="1F1F1F"/>
        </w:rPr>
      </w:pPr>
      <w:bookmarkStart w:id="2" w:name="_Toc215250334"/>
      <w:r w:rsidRPr="006349D2">
        <w:rPr>
          <w:rFonts w:eastAsia="Google Sans"/>
          <w:color w:val="1F1F1F"/>
        </w:rPr>
        <w:t>1.1.1 Historical Evolution and Theoretical Underpinnings</w:t>
      </w:r>
      <w:bookmarkEnd w:id="2"/>
    </w:p>
    <w:p w14:paraId="2FB61AE9"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783338CE"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Person-</w:t>
      </w:r>
      <w:proofErr w:type="spellStart"/>
      <w:r w:rsidRPr="006349D2">
        <w:rPr>
          <w:rFonts w:eastAsia="Google Sans Text"/>
          <w:color w:val="1F1F1F"/>
        </w:rPr>
        <w:t>centred</w:t>
      </w:r>
      <w:proofErr w:type="spellEnd"/>
      <w:r w:rsidRPr="006349D2">
        <w:rPr>
          <w:rFonts w:eastAsia="Google Sans Text"/>
          <w:color w:val="1F1F1F"/>
        </w:rPr>
        <w:t xml:space="preserve"> care (PCC) represents a fundamental paradigm shift from the historical "biomedical model," which dominated healthcare for much of the 20th century. The biomedical model reduced the patient to a set of biological dysfunctions to be corrected by an expert practitioner (Forsgren et al., 2025). In contrast, PCC is rooted in the </w:t>
      </w:r>
      <w:r w:rsidRPr="006349D2">
        <w:rPr>
          <w:rFonts w:eastAsia="Google Sans Text"/>
          <w:b/>
          <w:bCs/>
          <w:color w:val="1F1F1F"/>
        </w:rPr>
        <w:t>humanistic psychology</w:t>
      </w:r>
      <w:r w:rsidRPr="006349D2">
        <w:rPr>
          <w:rFonts w:eastAsia="Google Sans Text"/>
          <w:color w:val="1F1F1F"/>
        </w:rPr>
        <w:t xml:space="preserve"> of </w:t>
      </w:r>
      <w:r w:rsidRPr="006349D2">
        <w:rPr>
          <w:rFonts w:eastAsia="Google Sans Text"/>
          <w:b/>
          <w:bCs/>
          <w:color w:val="1F1F1F"/>
        </w:rPr>
        <w:t>Carl Rogers</w:t>
      </w:r>
      <w:r w:rsidRPr="006349D2">
        <w:rPr>
          <w:rFonts w:eastAsia="Google Sans Text"/>
          <w:color w:val="1F1F1F"/>
        </w:rPr>
        <w:t xml:space="preserve">, who, in the 1940s and 50s, challenged the prevailing psychoanalytic and </w:t>
      </w:r>
      <w:proofErr w:type="spellStart"/>
      <w:r w:rsidRPr="006349D2">
        <w:rPr>
          <w:rFonts w:eastAsia="Google Sans Text"/>
          <w:color w:val="1F1F1F"/>
        </w:rPr>
        <w:t>behavioural</w:t>
      </w:r>
      <w:proofErr w:type="spellEnd"/>
      <w:r w:rsidRPr="006349D2">
        <w:rPr>
          <w:rFonts w:eastAsia="Google Sans Text"/>
          <w:color w:val="1F1F1F"/>
        </w:rPr>
        <w:t xml:space="preserve"> traditions (Jain and Rubin, 2023).</w:t>
      </w:r>
    </w:p>
    <w:p w14:paraId="601720B5"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Rogers posited that individuals possess an innate drive towards "self-actualization"—the realization of their full potential. He argued that for therapeutic growth to occur, three "core conditions" must be present: </w:t>
      </w:r>
      <w:r w:rsidRPr="006349D2">
        <w:rPr>
          <w:rFonts w:eastAsia="Google Sans Text"/>
          <w:b/>
          <w:bCs/>
          <w:color w:val="1F1F1F"/>
        </w:rPr>
        <w:t>congruence</w:t>
      </w:r>
      <w:r w:rsidRPr="006349D2">
        <w:rPr>
          <w:rFonts w:eastAsia="Google Sans Text"/>
          <w:color w:val="1F1F1F"/>
        </w:rPr>
        <w:t xml:space="preserve"> (genuineness), </w:t>
      </w:r>
      <w:r w:rsidRPr="006349D2">
        <w:rPr>
          <w:rFonts w:eastAsia="Google Sans Text"/>
          <w:b/>
          <w:bCs/>
          <w:color w:val="1F1F1F"/>
        </w:rPr>
        <w:t>unconditional positive regard</w:t>
      </w:r>
      <w:r w:rsidRPr="006349D2">
        <w:rPr>
          <w:rFonts w:eastAsia="Google Sans Text"/>
          <w:color w:val="1F1F1F"/>
        </w:rPr>
        <w:t xml:space="preserve"> (acceptance without judgment), and </w:t>
      </w:r>
      <w:r w:rsidRPr="006349D2">
        <w:rPr>
          <w:rFonts w:eastAsia="Google Sans Text"/>
          <w:b/>
          <w:bCs/>
          <w:color w:val="1F1F1F"/>
        </w:rPr>
        <w:t>empathic understanding</w:t>
      </w:r>
      <w:r w:rsidRPr="006349D2">
        <w:rPr>
          <w:rFonts w:eastAsia="Google Sans Text"/>
          <w:color w:val="1F1F1F"/>
        </w:rPr>
        <w:t xml:space="preserve"> (Rogers, 1959; McLeod, 2023). In the context of modern UK health and social care, these conditions translate into a professional mandate to view the service user not as a passive recipient of care but as an expert on their own life, possessing the resources for their own recovery if provided with the right facilitative environment (Nursing and Midwifery Council, 2018).</w:t>
      </w:r>
    </w:p>
    <w:p w14:paraId="724EB2EA"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While Rogers laid the psychological groundwork, the sociological and political dimensions of PCC have evolved significantly. The </w:t>
      </w:r>
      <w:r w:rsidRPr="006349D2">
        <w:rPr>
          <w:rFonts w:eastAsia="Google Sans Text"/>
          <w:b/>
          <w:bCs/>
          <w:color w:val="1F1F1F"/>
        </w:rPr>
        <w:t>Picker Principles</w:t>
      </w:r>
      <w:r w:rsidRPr="006349D2">
        <w:rPr>
          <w:rFonts w:eastAsia="Google Sans Text"/>
          <w:color w:val="1F1F1F"/>
        </w:rPr>
        <w:t>, developed through extensive research into patient experience, operationalize Rogers’ theory into eight tangible domains for healthcare delivery, including "involvement in decisions" and "support for self-care" (Picker Institute Europe, 2024). These principles recognize that high-quality care is defined not just by clinical efficacy but by the quality of the human interaction and the respect for individual preferences (Picker Institute Europe, 2024).</w:t>
      </w:r>
    </w:p>
    <w:p w14:paraId="5032C22E" w14:textId="77777777" w:rsidR="008864B8" w:rsidRPr="006349D2" w:rsidRDefault="008864B8" w:rsidP="00371E42">
      <w:pPr>
        <w:pBdr>
          <w:top w:val="nil"/>
          <w:left w:val="nil"/>
          <w:bottom w:val="nil"/>
          <w:right w:val="nil"/>
          <w:between w:val="nil"/>
        </w:pBdr>
        <w:spacing w:after="240" w:line="275" w:lineRule="auto"/>
        <w:jc w:val="both"/>
        <w:rPr>
          <w:rFonts w:eastAsia="Google Sans Text"/>
          <w:color w:val="1F1F1F"/>
        </w:rPr>
      </w:pPr>
    </w:p>
    <w:p w14:paraId="7046B5EB" w14:textId="77777777" w:rsidR="00371E42" w:rsidRPr="006349D2" w:rsidRDefault="00371E42" w:rsidP="00371E42">
      <w:pPr>
        <w:pBdr>
          <w:top w:val="nil"/>
          <w:left w:val="nil"/>
          <w:bottom w:val="nil"/>
          <w:right w:val="nil"/>
          <w:between w:val="nil"/>
        </w:pBdr>
        <w:spacing w:after="240" w:line="275" w:lineRule="auto"/>
        <w:jc w:val="both"/>
        <w:rPr>
          <w:rFonts w:eastAsia="Google Sans Text"/>
          <w:color w:val="1F1F1F"/>
        </w:rPr>
      </w:pPr>
    </w:p>
    <w:p w14:paraId="05754516" w14:textId="77777777" w:rsidR="00371E42" w:rsidRPr="006349D2" w:rsidRDefault="00371E42" w:rsidP="00371E42">
      <w:pPr>
        <w:pBdr>
          <w:top w:val="nil"/>
          <w:left w:val="nil"/>
          <w:bottom w:val="nil"/>
          <w:right w:val="nil"/>
          <w:between w:val="nil"/>
        </w:pBdr>
        <w:spacing w:after="240" w:line="275" w:lineRule="auto"/>
        <w:jc w:val="both"/>
        <w:rPr>
          <w:rFonts w:eastAsia="Google Sans Text"/>
          <w:color w:val="1F1F1F"/>
        </w:rPr>
      </w:pPr>
    </w:p>
    <w:p w14:paraId="46502C43" w14:textId="77777777" w:rsidR="008864B8" w:rsidRPr="006349D2" w:rsidRDefault="00000000" w:rsidP="00371E42">
      <w:pPr>
        <w:pStyle w:val="Heading4"/>
        <w:spacing w:before="0" w:after="120" w:line="275" w:lineRule="auto"/>
        <w:jc w:val="both"/>
        <w:rPr>
          <w:rFonts w:eastAsia="Google Sans"/>
          <w:color w:val="1F1F1F"/>
        </w:rPr>
      </w:pPr>
      <w:bookmarkStart w:id="3" w:name="_Toc215250335"/>
      <w:r w:rsidRPr="006349D2">
        <w:rPr>
          <w:rFonts w:eastAsia="Google Sans"/>
          <w:color w:val="1F1F1F"/>
        </w:rPr>
        <w:t>1.1.2 The Biopsychosocial Model and Maslow’s Hierarchy</w:t>
      </w:r>
      <w:bookmarkEnd w:id="3"/>
    </w:p>
    <w:p w14:paraId="0CBEE01B"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11A83684"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To fully understand the necessity of PCC, one must engage with the </w:t>
      </w:r>
      <w:r w:rsidRPr="006349D2">
        <w:rPr>
          <w:rFonts w:eastAsia="Google Sans Text"/>
          <w:b/>
          <w:bCs/>
          <w:color w:val="1F1F1F"/>
        </w:rPr>
        <w:t>biopsychosocial model</w:t>
      </w:r>
      <w:r w:rsidRPr="006349D2">
        <w:rPr>
          <w:rFonts w:eastAsia="Google Sans Text"/>
          <w:color w:val="1F1F1F"/>
        </w:rPr>
        <w:t xml:space="preserve">, </w:t>
      </w:r>
      <w:r w:rsidRPr="006349D2">
        <w:rPr>
          <w:rFonts w:eastAsia="Google Sans Text"/>
          <w:color w:val="1F1F1F"/>
        </w:rPr>
        <w:lastRenderedPageBreak/>
        <w:t>championed by George Engel. This model integrates biological factors with psychological states and social contexts, acknowledging that health outcomes are determined by a complex interplay of these domains (The Health Foundation, 2014).</w:t>
      </w:r>
    </w:p>
    <w:p w14:paraId="7D401D19"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b/>
          <w:bCs/>
          <w:color w:val="1F1F1F"/>
        </w:rPr>
        <w:t>Maslow’s Hierarchy of Needs</w:t>
      </w:r>
      <w:r w:rsidRPr="006349D2">
        <w:rPr>
          <w:rFonts w:eastAsia="Google Sans Text"/>
          <w:color w:val="1F1F1F"/>
        </w:rPr>
        <w:t xml:space="preserve"> provides a critical theoretical lens for applying this model in practice. Maslow argued that human motivation is hierarchical, with fundamental </w:t>
      </w:r>
      <w:r w:rsidRPr="006349D2">
        <w:rPr>
          <w:rFonts w:eastAsia="Google Sans Text"/>
          <w:b/>
          <w:bCs/>
          <w:color w:val="1F1F1F"/>
        </w:rPr>
        <w:t>physiological needs</w:t>
      </w:r>
      <w:r w:rsidRPr="006349D2">
        <w:rPr>
          <w:rFonts w:eastAsia="Google Sans Text"/>
          <w:color w:val="1F1F1F"/>
        </w:rPr>
        <w:t xml:space="preserve"> (food, warmth, shelter) forming the base, followed by </w:t>
      </w:r>
      <w:r w:rsidRPr="006349D2">
        <w:rPr>
          <w:rFonts w:eastAsia="Google Sans Text"/>
          <w:b/>
          <w:bCs/>
          <w:color w:val="1F1F1F"/>
        </w:rPr>
        <w:t>safety</w:t>
      </w:r>
      <w:r w:rsidRPr="006349D2">
        <w:rPr>
          <w:rFonts w:eastAsia="Google Sans Text"/>
          <w:color w:val="1F1F1F"/>
        </w:rPr>
        <w:t xml:space="preserve">, </w:t>
      </w:r>
      <w:r w:rsidRPr="006349D2">
        <w:rPr>
          <w:rFonts w:eastAsia="Google Sans Text"/>
          <w:b/>
          <w:bCs/>
          <w:color w:val="1F1F1F"/>
        </w:rPr>
        <w:t>belonging/love</w:t>
      </w:r>
      <w:r w:rsidRPr="006349D2">
        <w:rPr>
          <w:rFonts w:eastAsia="Google Sans Text"/>
          <w:color w:val="1F1F1F"/>
        </w:rPr>
        <w:t xml:space="preserve">, </w:t>
      </w:r>
      <w:r w:rsidRPr="006349D2">
        <w:rPr>
          <w:rFonts w:eastAsia="Google Sans Text"/>
          <w:b/>
          <w:bCs/>
          <w:color w:val="1F1F1F"/>
        </w:rPr>
        <w:t>esteem</w:t>
      </w:r>
      <w:r w:rsidRPr="006349D2">
        <w:rPr>
          <w:rFonts w:eastAsia="Google Sans Text"/>
          <w:color w:val="1F1F1F"/>
        </w:rPr>
        <w:t xml:space="preserve">, and finally </w:t>
      </w:r>
      <w:r w:rsidRPr="006349D2">
        <w:rPr>
          <w:rFonts w:eastAsia="Google Sans Text"/>
          <w:b/>
          <w:bCs/>
          <w:color w:val="1F1F1F"/>
        </w:rPr>
        <w:t>self-actualization</w:t>
      </w:r>
      <w:r w:rsidRPr="006349D2">
        <w:rPr>
          <w:rFonts w:eastAsia="Google Sans Text"/>
          <w:color w:val="1F1F1F"/>
        </w:rPr>
        <w:t xml:space="preserve"> (Maslow, 1943; </w:t>
      </w:r>
      <w:proofErr w:type="spellStart"/>
      <w:r w:rsidRPr="006349D2">
        <w:rPr>
          <w:rFonts w:eastAsia="Google Sans Text"/>
          <w:color w:val="1F1F1F"/>
        </w:rPr>
        <w:t>HealthTeamWorks</w:t>
      </w:r>
      <w:proofErr w:type="spellEnd"/>
      <w:r w:rsidRPr="006349D2">
        <w:rPr>
          <w:rFonts w:eastAsia="Google Sans Text"/>
          <w:color w:val="1F1F1F"/>
        </w:rPr>
        <w:t>, 2025).</w:t>
      </w:r>
    </w:p>
    <w:p w14:paraId="1FA93C4C" w14:textId="77777777" w:rsidR="008864B8" w:rsidRPr="006349D2" w:rsidRDefault="00000000" w:rsidP="00371E42">
      <w:pPr>
        <w:numPr>
          <w:ilvl w:val="0"/>
          <w:numId w:val="2"/>
        </w:numPr>
        <w:pBdr>
          <w:top w:val="nil"/>
          <w:left w:val="nil"/>
          <w:bottom w:val="nil"/>
          <w:right w:val="nil"/>
          <w:between w:val="nil"/>
        </w:pBdr>
        <w:spacing w:line="275" w:lineRule="auto"/>
        <w:jc w:val="both"/>
      </w:pPr>
      <w:r w:rsidRPr="006349D2">
        <w:rPr>
          <w:rFonts w:eastAsia="Google Sans Text"/>
          <w:b/>
          <w:bCs/>
          <w:color w:val="1F1F1F"/>
        </w:rPr>
        <w:t>Application in 2025:</w:t>
      </w:r>
      <w:r w:rsidRPr="006349D2">
        <w:rPr>
          <w:rFonts w:eastAsia="Google Sans Text"/>
          <w:color w:val="1F1F1F"/>
        </w:rPr>
        <w:t xml:space="preserve"> In the current UK context of the cost-of-living crisis, practitioners frequently encounter service users whose "higher-level" needs (such as engaging with preventative health advice) are eclipsed by "lower-level" deficits (such as fuel poverty or housing insecurity) (Jackson et al., 2021). A person-</w:t>
      </w:r>
      <w:proofErr w:type="spellStart"/>
      <w:r w:rsidRPr="006349D2">
        <w:rPr>
          <w:rFonts w:eastAsia="Google Sans Text"/>
          <w:color w:val="1F1F1F"/>
        </w:rPr>
        <w:t>centred</w:t>
      </w:r>
      <w:proofErr w:type="spellEnd"/>
      <w:r w:rsidRPr="006349D2">
        <w:rPr>
          <w:rFonts w:eastAsia="Google Sans Text"/>
          <w:color w:val="1F1F1F"/>
        </w:rPr>
        <w:t xml:space="preserve"> approach acknowledges that expecting a patient to focus on self-actualization (e.g., stopping smoking for long-term health) is futile if their safety needs (e.g., risk of eviction) are unmet.</w:t>
      </w:r>
    </w:p>
    <w:p w14:paraId="3A7AFEF6" w14:textId="77777777" w:rsidR="008864B8" w:rsidRPr="006349D2" w:rsidRDefault="00000000" w:rsidP="00371E42">
      <w:pPr>
        <w:numPr>
          <w:ilvl w:val="0"/>
          <w:numId w:val="2"/>
        </w:numPr>
        <w:pBdr>
          <w:top w:val="nil"/>
          <w:left w:val="nil"/>
          <w:bottom w:val="nil"/>
          <w:right w:val="nil"/>
          <w:between w:val="nil"/>
        </w:pBdr>
        <w:spacing w:after="120" w:line="275" w:lineRule="auto"/>
        <w:jc w:val="both"/>
      </w:pPr>
      <w:r w:rsidRPr="006349D2">
        <w:rPr>
          <w:rFonts w:eastAsia="Google Sans Text"/>
          <w:b/>
          <w:bCs/>
          <w:color w:val="1F1F1F"/>
        </w:rPr>
        <w:t>Critique:</w:t>
      </w:r>
      <w:r w:rsidRPr="006349D2">
        <w:rPr>
          <w:rFonts w:eastAsia="Google Sans Text"/>
          <w:color w:val="1F1F1F"/>
        </w:rPr>
        <w:t xml:space="preserve"> While valuable, Maslow’s model has faced criticism for its cultural specificity and rigidity. In many cultures, community and belonging may prioritize over individual esteem. Furthermore, in palliative care, individuals often prioritize spiritual self-actualization over physiological comfort, inverting the pyramid (McLeod, 2024). Thus, the astute practitioner uses Maslow as a guide, not a dogma, adapting it to the individual's unique value system (Sigma Medical, 2024).</w:t>
      </w:r>
    </w:p>
    <w:p w14:paraId="1B93E48F"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13B3F67A" w14:textId="77777777" w:rsidR="008864B8" w:rsidRPr="006349D2" w:rsidRDefault="00000000" w:rsidP="00371E42">
      <w:pPr>
        <w:pStyle w:val="Heading4"/>
        <w:spacing w:before="0" w:after="120" w:line="275" w:lineRule="auto"/>
        <w:jc w:val="both"/>
        <w:rPr>
          <w:rFonts w:eastAsia="Google Sans"/>
          <w:color w:val="1F1F1F"/>
        </w:rPr>
      </w:pPr>
      <w:bookmarkStart w:id="4" w:name="_Toc215250336"/>
      <w:r w:rsidRPr="006349D2">
        <w:rPr>
          <w:rFonts w:eastAsia="Google Sans"/>
          <w:color w:val="1F1F1F"/>
        </w:rPr>
        <w:t>1.1.3 Critique of Person-</w:t>
      </w:r>
      <w:proofErr w:type="spellStart"/>
      <w:r w:rsidRPr="006349D2">
        <w:rPr>
          <w:rFonts w:eastAsia="Google Sans"/>
          <w:color w:val="1F1F1F"/>
        </w:rPr>
        <w:t>Centredness</w:t>
      </w:r>
      <w:bookmarkEnd w:id="4"/>
      <w:proofErr w:type="spellEnd"/>
    </w:p>
    <w:p w14:paraId="7A036675"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6F7E82EC"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Despite its ubiquity in policy, PCC is not without its critics. Some argue that the concept is often reduced to a buzzword, with "surface-level" implementation that fails to address deep structural power imbalances (Forsgren et al., 2025). Additionally, the Rogerian emphasis on individual autonomy can be problematic in cultures that value collective decision-making or in situations of crisis (e.g., a pandemic or acute trauma) where paternalistic, expert-led intervention may be temporarily necessary to preserve life (McLeod, 2023). The challenge for the modern practitioner is to balance the </w:t>
      </w:r>
      <w:r w:rsidRPr="006349D2">
        <w:rPr>
          <w:rFonts w:eastAsia="Google Sans Text"/>
          <w:i/>
          <w:iCs/>
          <w:color w:val="1F1F1F"/>
        </w:rPr>
        <w:t>ideal</w:t>
      </w:r>
      <w:r w:rsidRPr="006349D2">
        <w:rPr>
          <w:rFonts w:eastAsia="Google Sans Text"/>
          <w:color w:val="1F1F1F"/>
        </w:rPr>
        <w:t xml:space="preserve"> of PCC with the </w:t>
      </w:r>
      <w:r w:rsidRPr="006349D2">
        <w:rPr>
          <w:rFonts w:eastAsia="Google Sans Text"/>
          <w:i/>
          <w:iCs/>
          <w:color w:val="1F1F1F"/>
        </w:rPr>
        <w:t>reality</w:t>
      </w:r>
      <w:r w:rsidRPr="006349D2">
        <w:rPr>
          <w:rFonts w:eastAsia="Google Sans Text"/>
          <w:color w:val="1F1F1F"/>
        </w:rPr>
        <w:t xml:space="preserve"> of resource constraints and clinical urgency (Forsgren et al., 2025).</w:t>
      </w:r>
    </w:p>
    <w:p w14:paraId="637191A4" w14:textId="77777777" w:rsidR="008864B8" w:rsidRDefault="008864B8" w:rsidP="00371E42">
      <w:pPr>
        <w:pBdr>
          <w:top w:val="nil"/>
          <w:left w:val="nil"/>
          <w:bottom w:val="nil"/>
          <w:right w:val="nil"/>
          <w:between w:val="nil"/>
        </w:pBdr>
        <w:spacing w:after="240" w:line="275" w:lineRule="auto"/>
        <w:jc w:val="both"/>
        <w:rPr>
          <w:rFonts w:eastAsia="Google Sans Text"/>
          <w:color w:val="1F1F1F"/>
        </w:rPr>
      </w:pPr>
    </w:p>
    <w:p w14:paraId="55DBCEFC" w14:textId="77777777" w:rsidR="006349D2" w:rsidRDefault="006349D2" w:rsidP="00371E42">
      <w:pPr>
        <w:pBdr>
          <w:top w:val="nil"/>
          <w:left w:val="nil"/>
          <w:bottom w:val="nil"/>
          <w:right w:val="nil"/>
          <w:between w:val="nil"/>
        </w:pBdr>
        <w:spacing w:after="240" w:line="275" w:lineRule="auto"/>
        <w:jc w:val="both"/>
        <w:rPr>
          <w:rFonts w:eastAsia="Google Sans Text"/>
          <w:color w:val="1F1F1F"/>
        </w:rPr>
      </w:pPr>
    </w:p>
    <w:p w14:paraId="620A338D" w14:textId="77777777" w:rsidR="006349D2" w:rsidRDefault="006349D2" w:rsidP="00371E42">
      <w:pPr>
        <w:pBdr>
          <w:top w:val="nil"/>
          <w:left w:val="nil"/>
          <w:bottom w:val="nil"/>
          <w:right w:val="nil"/>
          <w:between w:val="nil"/>
        </w:pBdr>
        <w:spacing w:after="240" w:line="275" w:lineRule="auto"/>
        <w:jc w:val="both"/>
        <w:rPr>
          <w:rFonts w:eastAsia="Google Sans Text"/>
          <w:color w:val="1F1F1F"/>
        </w:rPr>
      </w:pPr>
    </w:p>
    <w:p w14:paraId="34DA19F3" w14:textId="77777777" w:rsidR="006349D2" w:rsidRDefault="006349D2" w:rsidP="00371E42">
      <w:pPr>
        <w:pBdr>
          <w:top w:val="nil"/>
          <w:left w:val="nil"/>
          <w:bottom w:val="nil"/>
          <w:right w:val="nil"/>
          <w:between w:val="nil"/>
        </w:pBdr>
        <w:spacing w:after="240" w:line="275" w:lineRule="auto"/>
        <w:jc w:val="both"/>
        <w:rPr>
          <w:rFonts w:eastAsia="Google Sans Text"/>
          <w:color w:val="1F1F1F"/>
        </w:rPr>
      </w:pPr>
    </w:p>
    <w:p w14:paraId="4A8269E0" w14:textId="77777777" w:rsidR="006349D2" w:rsidRPr="006349D2" w:rsidRDefault="006349D2" w:rsidP="00371E42">
      <w:pPr>
        <w:pBdr>
          <w:top w:val="nil"/>
          <w:left w:val="nil"/>
          <w:bottom w:val="nil"/>
          <w:right w:val="nil"/>
          <w:between w:val="nil"/>
        </w:pBdr>
        <w:spacing w:after="240" w:line="275" w:lineRule="auto"/>
        <w:jc w:val="both"/>
        <w:rPr>
          <w:rFonts w:eastAsia="Google Sans Text"/>
          <w:color w:val="1F1F1F"/>
        </w:rPr>
      </w:pPr>
    </w:p>
    <w:p w14:paraId="16ED2ECD" w14:textId="77777777" w:rsidR="008864B8" w:rsidRPr="006349D2" w:rsidRDefault="00000000" w:rsidP="00371E42">
      <w:pPr>
        <w:pStyle w:val="Heading3"/>
        <w:spacing w:before="0" w:after="120" w:line="275" w:lineRule="auto"/>
        <w:jc w:val="both"/>
        <w:rPr>
          <w:rFonts w:eastAsia="Google Sans"/>
          <w:color w:val="1F1F1F"/>
        </w:rPr>
      </w:pPr>
      <w:bookmarkStart w:id="5" w:name="_Toc215250337"/>
      <w:r w:rsidRPr="006349D2">
        <w:rPr>
          <w:rFonts w:eastAsia="Google Sans"/>
          <w:color w:val="1F1F1F"/>
        </w:rPr>
        <w:lastRenderedPageBreak/>
        <w:t>1.2 The Imperative of Partnership Working</w:t>
      </w:r>
      <w:bookmarkEnd w:id="5"/>
    </w:p>
    <w:p w14:paraId="5A24CC25"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50B88ED7" w14:textId="77777777" w:rsidR="008864B8" w:rsidRPr="006349D2" w:rsidRDefault="00000000" w:rsidP="00371E42">
      <w:pPr>
        <w:pStyle w:val="Heading4"/>
        <w:spacing w:before="0" w:after="120" w:line="275" w:lineRule="auto"/>
        <w:jc w:val="both"/>
        <w:rPr>
          <w:rFonts w:eastAsia="Google Sans"/>
          <w:color w:val="1F1F1F"/>
        </w:rPr>
      </w:pPr>
      <w:bookmarkStart w:id="6" w:name="_Toc215250338"/>
      <w:r w:rsidRPr="006349D2">
        <w:rPr>
          <w:rFonts w:eastAsia="Google Sans"/>
          <w:color w:val="1F1F1F"/>
        </w:rPr>
        <w:t>1.2.1 Defining Partnership in a Fragmented System</w:t>
      </w:r>
      <w:bookmarkEnd w:id="6"/>
    </w:p>
    <w:p w14:paraId="534CC16B"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42A5149E"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Partnership working is the strategic response to the fragmentation of services. In the UK, health (NHS) and social care (Local Authorities) have historically operated in "silos," with distinct funding streams, governance structures, and organizational cultures (Glasby et al., 2011). This fragmentation often leads to the "revolving door" phenomenon, where a patient is discharged from medical care only to deteriorate due to a lack of social support (NHS England, 2024).</w:t>
      </w:r>
    </w:p>
    <w:p w14:paraId="5214B6B5"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color w:val="1F1F1F"/>
        </w:rPr>
        <w:t>Partnership is defined as a relationship where two or more parties share compatible goals, mutual respect, and a willingness to share risks and resources (Bridge Support, 2023). Theoretical models of partnership include:</w:t>
      </w:r>
    </w:p>
    <w:p w14:paraId="7FB21844" w14:textId="77777777" w:rsidR="008864B8" w:rsidRPr="006349D2" w:rsidRDefault="00000000" w:rsidP="00371E42">
      <w:pPr>
        <w:numPr>
          <w:ilvl w:val="0"/>
          <w:numId w:val="3"/>
        </w:numPr>
        <w:pBdr>
          <w:top w:val="nil"/>
          <w:left w:val="nil"/>
          <w:bottom w:val="nil"/>
          <w:right w:val="nil"/>
          <w:between w:val="nil"/>
        </w:pBdr>
        <w:spacing w:line="275" w:lineRule="auto"/>
        <w:jc w:val="both"/>
      </w:pPr>
      <w:r w:rsidRPr="006349D2">
        <w:rPr>
          <w:rFonts w:eastAsia="Google Sans Text"/>
          <w:b/>
          <w:bCs/>
          <w:color w:val="1F1F1F"/>
        </w:rPr>
        <w:t>Networking:</w:t>
      </w:r>
      <w:r w:rsidRPr="006349D2">
        <w:rPr>
          <w:rFonts w:eastAsia="Google Sans Text"/>
          <w:color w:val="1F1F1F"/>
        </w:rPr>
        <w:t xml:space="preserve"> Loose information exchange.</w:t>
      </w:r>
    </w:p>
    <w:p w14:paraId="6E59D2B9" w14:textId="77777777" w:rsidR="008864B8" w:rsidRPr="006349D2" w:rsidRDefault="00000000" w:rsidP="00371E42">
      <w:pPr>
        <w:numPr>
          <w:ilvl w:val="0"/>
          <w:numId w:val="3"/>
        </w:numPr>
        <w:pBdr>
          <w:top w:val="nil"/>
          <w:left w:val="nil"/>
          <w:bottom w:val="nil"/>
          <w:right w:val="nil"/>
          <w:between w:val="nil"/>
        </w:pBdr>
        <w:spacing w:line="275" w:lineRule="auto"/>
        <w:jc w:val="both"/>
      </w:pPr>
      <w:r w:rsidRPr="006349D2">
        <w:rPr>
          <w:rFonts w:eastAsia="Google Sans Text"/>
          <w:b/>
          <w:bCs/>
          <w:color w:val="1F1F1F"/>
        </w:rPr>
        <w:t>Coordination:</w:t>
      </w:r>
      <w:r w:rsidRPr="006349D2">
        <w:rPr>
          <w:rFonts w:eastAsia="Google Sans Text"/>
          <w:color w:val="1F1F1F"/>
        </w:rPr>
        <w:t xml:space="preserve"> Altering activities to achieve a common purpose.</w:t>
      </w:r>
    </w:p>
    <w:p w14:paraId="06F60450" w14:textId="77777777" w:rsidR="008864B8" w:rsidRPr="006349D2" w:rsidRDefault="00000000" w:rsidP="00371E42">
      <w:pPr>
        <w:numPr>
          <w:ilvl w:val="0"/>
          <w:numId w:val="3"/>
        </w:numPr>
        <w:pBdr>
          <w:top w:val="nil"/>
          <w:left w:val="nil"/>
          <w:bottom w:val="nil"/>
          <w:right w:val="nil"/>
          <w:between w:val="nil"/>
        </w:pBdr>
        <w:spacing w:line="275" w:lineRule="auto"/>
        <w:jc w:val="both"/>
      </w:pPr>
      <w:r w:rsidRPr="006349D2">
        <w:rPr>
          <w:rFonts w:eastAsia="Google Sans Text"/>
          <w:b/>
          <w:bCs/>
          <w:color w:val="1F1F1F"/>
        </w:rPr>
        <w:t>Collaboration:</w:t>
      </w:r>
      <w:r w:rsidRPr="006349D2">
        <w:rPr>
          <w:rFonts w:eastAsia="Google Sans Text"/>
          <w:color w:val="1F1F1F"/>
        </w:rPr>
        <w:t xml:space="preserve"> Enhancing the capacity of the other partner for mutual benefit.</w:t>
      </w:r>
    </w:p>
    <w:p w14:paraId="27102357" w14:textId="77777777" w:rsidR="008864B8" w:rsidRPr="006349D2" w:rsidRDefault="00000000" w:rsidP="00371E42">
      <w:pPr>
        <w:numPr>
          <w:ilvl w:val="0"/>
          <w:numId w:val="3"/>
        </w:numPr>
        <w:pBdr>
          <w:top w:val="nil"/>
          <w:left w:val="nil"/>
          <w:bottom w:val="nil"/>
          <w:right w:val="nil"/>
          <w:between w:val="nil"/>
        </w:pBdr>
        <w:spacing w:after="120" w:line="275" w:lineRule="auto"/>
        <w:jc w:val="both"/>
      </w:pPr>
      <w:r w:rsidRPr="006349D2">
        <w:rPr>
          <w:rFonts w:eastAsia="Google Sans Text"/>
          <w:b/>
          <w:bCs/>
          <w:color w:val="1F1F1F"/>
        </w:rPr>
        <w:t>Integration:</w:t>
      </w:r>
      <w:r w:rsidRPr="006349D2">
        <w:rPr>
          <w:rFonts w:eastAsia="Google Sans Text"/>
          <w:color w:val="1F1F1F"/>
        </w:rPr>
        <w:t xml:space="preserve"> Merging structures and identities (Bridge Support, 2023).</w:t>
      </w:r>
    </w:p>
    <w:p w14:paraId="312895E0"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7D0A80F9" w14:textId="77777777" w:rsidR="008864B8" w:rsidRPr="006349D2" w:rsidRDefault="00000000" w:rsidP="00371E42">
      <w:pPr>
        <w:pStyle w:val="Heading4"/>
        <w:spacing w:before="0" w:after="120" w:line="275" w:lineRule="auto"/>
        <w:jc w:val="both"/>
        <w:rPr>
          <w:rFonts w:eastAsia="Google Sans"/>
          <w:color w:val="1F1F1F"/>
        </w:rPr>
      </w:pPr>
      <w:bookmarkStart w:id="7" w:name="_Toc215250339"/>
      <w:r w:rsidRPr="006349D2">
        <w:rPr>
          <w:rFonts w:eastAsia="Google Sans"/>
          <w:color w:val="1F1F1F"/>
        </w:rPr>
        <w:t>1.2.2 Collaborative Advantage and "Wicked Problems"</w:t>
      </w:r>
      <w:bookmarkEnd w:id="7"/>
    </w:p>
    <w:p w14:paraId="1702BF0E"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5F683375"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The theoretical justification for partnership is "collaborative advantage"—the idea that outcomes can be achieved together that no single agency could achieve alone (SCIE, 2023). This is particularly relevant for "wicked problems" like homelessness, substance misuse, or frail elderly care, which defy single-agency solutions. The </w:t>
      </w:r>
      <w:r w:rsidRPr="006349D2">
        <w:rPr>
          <w:rFonts w:eastAsia="Google Sans Text"/>
          <w:b/>
          <w:bCs/>
          <w:color w:val="1F1F1F"/>
        </w:rPr>
        <w:t>Sefton Partnership</w:t>
      </w:r>
      <w:r w:rsidRPr="006349D2">
        <w:rPr>
          <w:rFonts w:eastAsia="Google Sans Text"/>
          <w:color w:val="1F1F1F"/>
        </w:rPr>
        <w:t xml:space="preserve"> provides empirical evidence of this, where collaboration between the NHS and the Voluntary, Community, Faith, and Social Enterprise (VCFSE) sector successfully reduced hospital readmissions by addressing non-clinical needs (NHS England, 2024).</w:t>
      </w:r>
    </w:p>
    <w:p w14:paraId="3B8AF243" w14:textId="77777777" w:rsidR="008864B8" w:rsidRPr="006349D2" w:rsidRDefault="008864B8" w:rsidP="00371E42">
      <w:pPr>
        <w:pBdr>
          <w:top w:val="nil"/>
          <w:left w:val="nil"/>
          <w:bottom w:val="nil"/>
          <w:right w:val="nil"/>
          <w:between w:val="nil"/>
        </w:pBdr>
        <w:spacing w:after="240" w:line="275" w:lineRule="auto"/>
        <w:jc w:val="both"/>
        <w:rPr>
          <w:rFonts w:eastAsia="Google Sans Text"/>
          <w:color w:val="1F1F1F"/>
        </w:rPr>
      </w:pPr>
    </w:p>
    <w:p w14:paraId="5C7CB740" w14:textId="77777777" w:rsidR="008864B8" w:rsidRPr="006349D2" w:rsidRDefault="00000000" w:rsidP="00371E42">
      <w:pPr>
        <w:pStyle w:val="Heading4"/>
        <w:spacing w:before="0" w:after="120" w:line="275" w:lineRule="auto"/>
        <w:jc w:val="both"/>
        <w:rPr>
          <w:rFonts w:eastAsia="Google Sans"/>
          <w:color w:val="1F1F1F"/>
        </w:rPr>
      </w:pPr>
      <w:bookmarkStart w:id="8" w:name="_Toc215250340"/>
      <w:r w:rsidRPr="006349D2">
        <w:rPr>
          <w:rFonts w:eastAsia="Google Sans"/>
          <w:color w:val="1F1F1F"/>
        </w:rPr>
        <w:t>1.2.3 Barriers to Partnership</w:t>
      </w:r>
      <w:bookmarkEnd w:id="8"/>
    </w:p>
    <w:p w14:paraId="378EF3F5"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0231D274"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color w:val="1F1F1F"/>
        </w:rPr>
        <w:t>Despite the logic of collaboration, significant barriers persist in the UK landscape of 2024/25:</w:t>
      </w:r>
    </w:p>
    <w:p w14:paraId="4C635474" w14:textId="77777777" w:rsidR="008864B8" w:rsidRPr="006349D2" w:rsidRDefault="00000000" w:rsidP="00371E42">
      <w:pPr>
        <w:numPr>
          <w:ilvl w:val="0"/>
          <w:numId w:val="4"/>
        </w:numPr>
        <w:pBdr>
          <w:top w:val="nil"/>
          <w:left w:val="nil"/>
          <w:bottom w:val="nil"/>
          <w:right w:val="nil"/>
          <w:between w:val="nil"/>
        </w:pBdr>
        <w:spacing w:line="275" w:lineRule="auto"/>
        <w:jc w:val="both"/>
      </w:pPr>
      <w:r w:rsidRPr="006349D2">
        <w:rPr>
          <w:rFonts w:eastAsia="Google Sans Text"/>
          <w:b/>
          <w:bCs/>
          <w:color w:val="1F1F1F"/>
        </w:rPr>
        <w:t>Financial Competition:</w:t>
      </w:r>
      <w:r w:rsidRPr="006349D2">
        <w:rPr>
          <w:rFonts w:eastAsia="Google Sans Text"/>
          <w:color w:val="1F1F1F"/>
        </w:rPr>
        <w:t xml:space="preserve"> The "State of Integrated Care Systems 2024/25" report highlights that insufficient funding and the struggle to shift resources from acute to community settings remain dominant barriers (NHS Confederation, 2024).</w:t>
      </w:r>
    </w:p>
    <w:p w14:paraId="19ABB558" w14:textId="77777777" w:rsidR="008864B8" w:rsidRPr="006349D2" w:rsidRDefault="00000000" w:rsidP="00371E42">
      <w:pPr>
        <w:numPr>
          <w:ilvl w:val="0"/>
          <w:numId w:val="4"/>
        </w:numPr>
        <w:pBdr>
          <w:top w:val="nil"/>
          <w:left w:val="nil"/>
          <w:bottom w:val="nil"/>
          <w:right w:val="nil"/>
          <w:between w:val="nil"/>
        </w:pBdr>
        <w:spacing w:line="275" w:lineRule="auto"/>
        <w:jc w:val="both"/>
      </w:pPr>
      <w:r w:rsidRPr="006349D2">
        <w:rPr>
          <w:rFonts w:eastAsia="Google Sans Text"/>
          <w:b/>
          <w:bCs/>
          <w:color w:val="1F1F1F"/>
        </w:rPr>
        <w:t>Cultural Dissonance:</w:t>
      </w:r>
      <w:r w:rsidRPr="006349D2">
        <w:rPr>
          <w:rFonts w:eastAsia="Google Sans Text"/>
          <w:color w:val="1F1F1F"/>
        </w:rPr>
        <w:t xml:space="preserve"> The medical model of the NHS often clashes with the social model of </w:t>
      </w:r>
      <w:r w:rsidRPr="006349D2">
        <w:rPr>
          <w:rFonts w:eastAsia="Google Sans Text"/>
          <w:color w:val="1F1F1F"/>
        </w:rPr>
        <w:lastRenderedPageBreak/>
        <w:t>Local Authorities.</w:t>
      </w:r>
    </w:p>
    <w:p w14:paraId="6B58BB38" w14:textId="77777777" w:rsidR="008864B8" w:rsidRPr="006349D2" w:rsidRDefault="00000000" w:rsidP="00371E42">
      <w:pPr>
        <w:numPr>
          <w:ilvl w:val="0"/>
          <w:numId w:val="4"/>
        </w:numPr>
        <w:pBdr>
          <w:top w:val="nil"/>
          <w:left w:val="nil"/>
          <w:bottom w:val="nil"/>
          <w:right w:val="nil"/>
          <w:between w:val="nil"/>
        </w:pBdr>
        <w:spacing w:after="120" w:line="275" w:lineRule="auto"/>
        <w:jc w:val="both"/>
      </w:pPr>
      <w:r w:rsidRPr="006349D2">
        <w:rPr>
          <w:rFonts w:eastAsia="Google Sans Text"/>
          <w:b/>
          <w:bCs/>
          <w:color w:val="1F1F1F"/>
        </w:rPr>
        <w:t>Information Governance:</w:t>
      </w:r>
      <w:r w:rsidRPr="006349D2">
        <w:rPr>
          <w:rFonts w:eastAsia="Google Sans Text"/>
          <w:color w:val="1F1F1F"/>
        </w:rPr>
        <w:t xml:space="preserve"> Fear of breaching data protection laws often paralyses information sharing, despite the Caldicott Principles advocating that "the duty to share information can be as important as the duty to protect patient confidentiality" (Department for Education, 2023).</w:t>
      </w:r>
    </w:p>
    <w:p w14:paraId="461353C5"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6E81934A" w14:textId="77777777" w:rsidR="008864B8" w:rsidRPr="006349D2" w:rsidRDefault="00000000" w:rsidP="00371E42">
      <w:pPr>
        <w:pStyle w:val="Heading3"/>
        <w:spacing w:before="0" w:after="120" w:line="275" w:lineRule="auto"/>
        <w:jc w:val="both"/>
        <w:rPr>
          <w:rFonts w:eastAsia="Google Sans"/>
          <w:color w:val="1F1F1F"/>
        </w:rPr>
      </w:pPr>
      <w:bookmarkStart w:id="9" w:name="_Toc215250341"/>
      <w:r w:rsidRPr="006349D2">
        <w:rPr>
          <w:rFonts w:eastAsia="Google Sans"/>
          <w:color w:val="1F1F1F"/>
        </w:rPr>
        <w:t>1.3 Ethical Frameworks and Decision-Making</w:t>
      </w:r>
      <w:bookmarkEnd w:id="9"/>
    </w:p>
    <w:p w14:paraId="20A901E0"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0EB9BE54" w14:textId="77777777" w:rsidR="008864B8" w:rsidRPr="006349D2" w:rsidRDefault="00000000" w:rsidP="00371E42">
      <w:pPr>
        <w:pStyle w:val="Heading4"/>
        <w:spacing w:before="0" w:after="120" w:line="275" w:lineRule="auto"/>
        <w:jc w:val="both"/>
        <w:rPr>
          <w:rFonts w:eastAsia="Google Sans"/>
          <w:color w:val="1F1F1F"/>
        </w:rPr>
      </w:pPr>
      <w:bookmarkStart w:id="10" w:name="_Toc215250342"/>
      <w:r w:rsidRPr="006349D2">
        <w:rPr>
          <w:rFonts w:eastAsia="Google Sans"/>
          <w:color w:val="1F1F1F"/>
        </w:rPr>
        <w:t xml:space="preserve">1.3.1 </w:t>
      </w:r>
      <w:proofErr w:type="spellStart"/>
      <w:r w:rsidRPr="006349D2">
        <w:rPr>
          <w:rFonts w:eastAsia="Google Sans"/>
          <w:color w:val="1F1F1F"/>
        </w:rPr>
        <w:t>Principlism</w:t>
      </w:r>
      <w:proofErr w:type="spellEnd"/>
      <w:r w:rsidRPr="006349D2">
        <w:rPr>
          <w:rFonts w:eastAsia="Google Sans"/>
          <w:color w:val="1F1F1F"/>
        </w:rPr>
        <w:t>: The Four Pillars</w:t>
      </w:r>
      <w:bookmarkEnd w:id="10"/>
    </w:p>
    <w:p w14:paraId="06C748BA"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263DC17E"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color w:val="1F1F1F"/>
        </w:rPr>
        <w:t xml:space="preserve">The ethical landscape of UK health and social care is largely navigated using the framework of </w:t>
      </w:r>
      <w:proofErr w:type="spellStart"/>
      <w:r w:rsidRPr="006349D2">
        <w:rPr>
          <w:rFonts w:eastAsia="Google Sans Text"/>
          <w:b/>
          <w:bCs/>
          <w:color w:val="1F1F1F"/>
        </w:rPr>
        <w:t>Principlism</w:t>
      </w:r>
      <w:proofErr w:type="spellEnd"/>
      <w:r w:rsidRPr="006349D2">
        <w:rPr>
          <w:rFonts w:eastAsia="Google Sans Text"/>
          <w:color w:val="1F1F1F"/>
        </w:rPr>
        <w:t xml:space="preserve"> (Beauchamp and Childress). The four pillars provide a common language for analyzing dilemmas:</w:t>
      </w:r>
    </w:p>
    <w:p w14:paraId="2A34C1E9" w14:textId="77777777" w:rsidR="008864B8" w:rsidRPr="006349D2" w:rsidRDefault="00000000" w:rsidP="00371E42">
      <w:pPr>
        <w:numPr>
          <w:ilvl w:val="0"/>
          <w:numId w:val="5"/>
        </w:numPr>
        <w:pBdr>
          <w:top w:val="nil"/>
          <w:left w:val="nil"/>
          <w:bottom w:val="nil"/>
          <w:right w:val="nil"/>
          <w:between w:val="nil"/>
        </w:pBdr>
        <w:spacing w:line="275" w:lineRule="auto"/>
        <w:jc w:val="both"/>
      </w:pPr>
      <w:r w:rsidRPr="006349D2">
        <w:rPr>
          <w:rFonts w:eastAsia="Google Sans Text"/>
          <w:b/>
          <w:bCs/>
          <w:color w:val="1F1F1F"/>
        </w:rPr>
        <w:t>Autonomy:</w:t>
      </w:r>
      <w:r w:rsidRPr="006349D2">
        <w:rPr>
          <w:rFonts w:eastAsia="Google Sans Text"/>
          <w:color w:val="1F1F1F"/>
        </w:rPr>
        <w:t xml:space="preserve"> The right to self-determination. This principle has ascended to primacy in Western bioethics, underpinning the laws on consent and the rejection of paternalism (Sokol, 2008).</w:t>
      </w:r>
    </w:p>
    <w:p w14:paraId="44FFD7E5" w14:textId="77777777" w:rsidR="008864B8" w:rsidRPr="006349D2" w:rsidRDefault="00000000" w:rsidP="00371E42">
      <w:pPr>
        <w:numPr>
          <w:ilvl w:val="0"/>
          <w:numId w:val="5"/>
        </w:numPr>
        <w:pBdr>
          <w:top w:val="nil"/>
          <w:left w:val="nil"/>
          <w:bottom w:val="nil"/>
          <w:right w:val="nil"/>
          <w:between w:val="nil"/>
        </w:pBdr>
        <w:spacing w:line="275" w:lineRule="auto"/>
        <w:jc w:val="both"/>
      </w:pPr>
      <w:r w:rsidRPr="006349D2">
        <w:rPr>
          <w:rFonts w:eastAsia="Google Sans Text"/>
          <w:b/>
          <w:bCs/>
          <w:color w:val="1F1F1F"/>
        </w:rPr>
        <w:t>Beneficence:</w:t>
      </w:r>
      <w:r w:rsidRPr="006349D2">
        <w:rPr>
          <w:rFonts w:eastAsia="Google Sans Text"/>
          <w:color w:val="1F1F1F"/>
        </w:rPr>
        <w:t xml:space="preserve"> The duty to act in the patient’s best interest.</w:t>
      </w:r>
    </w:p>
    <w:p w14:paraId="260A3446" w14:textId="77777777" w:rsidR="008864B8" w:rsidRPr="006349D2" w:rsidRDefault="00000000" w:rsidP="00371E42">
      <w:pPr>
        <w:numPr>
          <w:ilvl w:val="0"/>
          <w:numId w:val="5"/>
        </w:numPr>
        <w:pBdr>
          <w:top w:val="nil"/>
          <w:left w:val="nil"/>
          <w:bottom w:val="nil"/>
          <w:right w:val="nil"/>
          <w:between w:val="nil"/>
        </w:pBdr>
        <w:spacing w:line="275" w:lineRule="auto"/>
        <w:jc w:val="both"/>
      </w:pPr>
      <w:r w:rsidRPr="006349D2">
        <w:rPr>
          <w:rFonts w:eastAsia="Google Sans Text"/>
          <w:b/>
          <w:bCs/>
          <w:color w:val="1F1F1F"/>
        </w:rPr>
        <w:t>Non-maleficence:</w:t>
      </w:r>
      <w:r w:rsidRPr="006349D2">
        <w:rPr>
          <w:rFonts w:eastAsia="Google Sans Text"/>
          <w:color w:val="1F1F1F"/>
        </w:rPr>
        <w:t xml:space="preserve"> The duty to do no harm (</w:t>
      </w:r>
      <w:r w:rsidRPr="006349D2">
        <w:rPr>
          <w:rFonts w:eastAsia="Google Sans Text"/>
          <w:i/>
          <w:iCs/>
          <w:color w:val="1F1F1F"/>
        </w:rPr>
        <w:t xml:space="preserve">primum non </w:t>
      </w:r>
      <w:proofErr w:type="spellStart"/>
      <w:r w:rsidRPr="006349D2">
        <w:rPr>
          <w:rFonts w:eastAsia="Google Sans Text"/>
          <w:i/>
          <w:iCs/>
          <w:color w:val="1F1F1F"/>
        </w:rPr>
        <w:t>nocere</w:t>
      </w:r>
      <w:proofErr w:type="spellEnd"/>
      <w:r w:rsidRPr="006349D2">
        <w:rPr>
          <w:rFonts w:eastAsia="Google Sans Text"/>
          <w:color w:val="1F1F1F"/>
        </w:rPr>
        <w:t>) (Sokol, 2008).</w:t>
      </w:r>
    </w:p>
    <w:p w14:paraId="7084313A" w14:textId="77777777" w:rsidR="008864B8" w:rsidRPr="006349D2" w:rsidRDefault="00000000" w:rsidP="00371E42">
      <w:pPr>
        <w:numPr>
          <w:ilvl w:val="0"/>
          <w:numId w:val="5"/>
        </w:numPr>
        <w:pBdr>
          <w:top w:val="nil"/>
          <w:left w:val="nil"/>
          <w:bottom w:val="nil"/>
          <w:right w:val="nil"/>
          <w:between w:val="nil"/>
        </w:pBdr>
        <w:spacing w:after="120" w:line="275" w:lineRule="auto"/>
        <w:jc w:val="both"/>
      </w:pPr>
      <w:r w:rsidRPr="006349D2">
        <w:rPr>
          <w:rFonts w:eastAsia="Google Sans Text"/>
          <w:b/>
          <w:bCs/>
          <w:color w:val="1F1F1F"/>
        </w:rPr>
        <w:t>Justice:</w:t>
      </w:r>
      <w:r w:rsidRPr="006349D2">
        <w:rPr>
          <w:rFonts w:eastAsia="Google Sans Text"/>
          <w:color w:val="1F1F1F"/>
        </w:rPr>
        <w:t xml:space="preserve"> The equitable distribution of benefits and burdens (distributive justice) and fair treatment (rights-based justice) (Sokol, 2008).</w:t>
      </w:r>
    </w:p>
    <w:p w14:paraId="1A616912"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260899B4" w14:textId="77777777" w:rsidR="008864B8" w:rsidRPr="006349D2" w:rsidRDefault="00000000" w:rsidP="00371E42">
      <w:pPr>
        <w:pStyle w:val="Heading4"/>
        <w:spacing w:before="0" w:after="120" w:line="275" w:lineRule="auto"/>
        <w:jc w:val="both"/>
        <w:rPr>
          <w:rFonts w:eastAsia="Google Sans"/>
          <w:color w:val="1F1F1F"/>
        </w:rPr>
      </w:pPr>
      <w:bookmarkStart w:id="11" w:name="_Toc215250343"/>
      <w:r w:rsidRPr="006349D2">
        <w:rPr>
          <w:rFonts w:eastAsia="Google Sans"/>
          <w:color w:val="1F1F1F"/>
        </w:rPr>
        <w:t>1.3.2 The Conflict of Principles</w:t>
      </w:r>
      <w:bookmarkEnd w:id="11"/>
    </w:p>
    <w:p w14:paraId="32FD50C7"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3B10B996"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The complexity of practice arises when these principles collide. A classic scenario involves a patient making an "unwise decision" (protected by Autonomy) that risks their health (challenging Beneficence/Non-maleficence). For example, a diabetic patient refusing amputation of a gangrenous limb (Wilkinson, 2017). Here, the practitioner must navigate the tension between preserving life (sanctity of life) and respecting the individual's values (quality of life).</w:t>
      </w:r>
    </w:p>
    <w:p w14:paraId="0BAC7A6D" w14:textId="77777777" w:rsidR="008864B8" w:rsidRPr="006349D2" w:rsidRDefault="008864B8" w:rsidP="00371E42">
      <w:pPr>
        <w:pBdr>
          <w:top w:val="nil"/>
          <w:left w:val="nil"/>
          <w:bottom w:val="nil"/>
          <w:right w:val="nil"/>
          <w:between w:val="nil"/>
        </w:pBdr>
        <w:spacing w:after="240" w:line="275" w:lineRule="auto"/>
        <w:jc w:val="both"/>
        <w:rPr>
          <w:rFonts w:eastAsia="Google Sans Text"/>
          <w:color w:val="1F1F1F"/>
        </w:rPr>
      </w:pPr>
    </w:p>
    <w:p w14:paraId="72E14D49" w14:textId="77777777" w:rsidR="008864B8" w:rsidRPr="006349D2" w:rsidRDefault="00000000" w:rsidP="00371E42">
      <w:pPr>
        <w:pStyle w:val="Heading4"/>
        <w:spacing w:before="0" w:after="120" w:line="275" w:lineRule="auto"/>
        <w:jc w:val="both"/>
        <w:rPr>
          <w:rFonts w:eastAsia="Google Sans"/>
          <w:color w:val="1F1F1F"/>
        </w:rPr>
      </w:pPr>
      <w:bookmarkStart w:id="12" w:name="_Toc215250344"/>
      <w:r w:rsidRPr="006349D2">
        <w:rPr>
          <w:rFonts w:eastAsia="Google Sans"/>
          <w:color w:val="1F1F1F"/>
        </w:rPr>
        <w:t xml:space="preserve">1.3.3 The Duty of </w:t>
      </w:r>
      <w:proofErr w:type="spellStart"/>
      <w:r w:rsidRPr="006349D2">
        <w:rPr>
          <w:rFonts w:eastAsia="Google Sans"/>
          <w:color w:val="1F1F1F"/>
        </w:rPr>
        <w:t>Candour</w:t>
      </w:r>
      <w:bookmarkEnd w:id="12"/>
      <w:proofErr w:type="spellEnd"/>
    </w:p>
    <w:p w14:paraId="485ED15F"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7892FA0E"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A critical addition to the ethical landscape in the wake of the Mid Staffordshire scandal is the </w:t>
      </w:r>
      <w:r w:rsidRPr="006349D2">
        <w:rPr>
          <w:rFonts w:eastAsia="Google Sans Text"/>
          <w:b/>
          <w:bCs/>
          <w:color w:val="1F1F1F"/>
        </w:rPr>
        <w:t xml:space="preserve">Duty of </w:t>
      </w:r>
      <w:proofErr w:type="spellStart"/>
      <w:r w:rsidRPr="006349D2">
        <w:rPr>
          <w:rFonts w:eastAsia="Google Sans Text"/>
          <w:b/>
          <w:bCs/>
          <w:color w:val="1F1F1F"/>
        </w:rPr>
        <w:t>Candour</w:t>
      </w:r>
      <w:proofErr w:type="spellEnd"/>
      <w:r w:rsidRPr="006349D2">
        <w:rPr>
          <w:rFonts w:eastAsia="Google Sans Text"/>
          <w:color w:val="1F1F1F"/>
        </w:rPr>
        <w:t xml:space="preserve">. Jointly guided by the </w:t>
      </w:r>
      <w:r w:rsidRPr="006349D2">
        <w:rPr>
          <w:rFonts w:eastAsia="Google Sans Text"/>
          <w:b/>
          <w:bCs/>
          <w:color w:val="1F1F1F"/>
        </w:rPr>
        <w:t>NMC</w:t>
      </w:r>
      <w:r w:rsidRPr="006349D2">
        <w:rPr>
          <w:rFonts w:eastAsia="Google Sans Text"/>
          <w:color w:val="1F1F1F"/>
        </w:rPr>
        <w:t xml:space="preserve"> and </w:t>
      </w:r>
      <w:r w:rsidRPr="006349D2">
        <w:rPr>
          <w:rFonts w:eastAsia="Google Sans Text"/>
          <w:b/>
          <w:bCs/>
          <w:color w:val="1F1F1F"/>
        </w:rPr>
        <w:t>GMC</w:t>
      </w:r>
      <w:r w:rsidRPr="006349D2">
        <w:rPr>
          <w:rFonts w:eastAsia="Google Sans Text"/>
          <w:color w:val="1F1F1F"/>
        </w:rPr>
        <w:t xml:space="preserve">, this professional duty mandates openness </w:t>
      </w:r>
      <w:r w:rsidRPr="006349D2">
        <w:rPr>
          <w:rFonts w:eastAsia="Google Sans Text"/>
          <w:color w:val="1F1F1F"/>
        </w:rPr>
        <w:lastRenderedPageBreak/>
        <w:t xml:space="preserve">and honesty when things go wrong (NMC and GMC, 2022). It requires an apology, an explanation, and support for the service user, fundamentally shifting the culture from "deny and defend" to "admit and learn" (Nursing and Midwifery Council, 2022). This aligns with the principle of </w:t>
      </w:r>
      <w:r w:rsidRPr="006349D2">
        <w:rPr>
          <w:rFonts w:eastAsia="Google Sans Text"/>
          <w:b/>
          <w:bCs/>
          <w:color w:val="1F1F1F"/>
        </w:rPr>
        <w:t>Justice</w:t>
      </w:r>
      <w:r w:rsidRPr="006349D2">
        <w:rPr>
          <w:rFonts w:eastAsia="Google Sans Text"/>
          <w:color w:val="1F1F1F"/>
        </w:rPr>
        <w:t xml:space="preserve"> (the patient’s right to know) and is essential for maintaining public trust.</w:t>
      </w:r>
    </w:p>
    <w:p w14:paraId="398FF567" w14:textId="77777777" w:rsidR="008864B8" w:rsidRPr="006349D2" w:rsidRDefault="008864B8" w:rsidP="00371E42">
      <w:pPr>
        <w:pBdr>
          <w:top w:val="nil"/>
          <w:left w:val="nil"/>
          <w:bottom w:val="nil"/>
          <w:right w:val="nil"/>
          <w:between w:val="nil"/>
        </w:pBdr>
        <w:spacing w:after="240" w:line="275" w:lineRule="auto"/>
        <w:jc w:val="both"/>
        <w:rPr>
          <w:rFonts w:eastAsia="Google Sans Text"/>
          <w:color w:val="1F1F1F"/>
        </w:rPr>
      </w:pPr>
    </w:p>
    <w:p w14:paraId="62C6563E" w14:textId="77777777" w:rsidR="008864B8" w:rsidRPr="006349D2" w:rsidRDefault="00000000" w:rsidP="00371E42">
      <w:pPr>
        <w:pStyle w:val="Heading3"/>
        <w:spacing w:before="0" w:after="120" w:line="275" w:lineRule="auto"/>
        <w:jc w:val="both"/>
        <w:rPr>
          <w:rFonts w:eastAsia="Google Sans"/>
          <w:color w:val="1F1F1F"/>
        </w:rPr>
      </w:pPr>
      <w:bookmarkStart w:id="13" w:name="_Toc215250345"/>
      <w:r w:rsidRPr="006349D2">
        <w:rPr>
          <w:rFonts w:eastAsia="Google Sans"/>
          <w:color w:val="1F1F1F"/>
        </w:rPr>
        <w:t>1.4 The Legislative Architecture</w:t>
      </w:r>
      <w:bookmarkEnd w:id="13"/>
    </w:p>
    <w:p w14:paraId="6DE782F4"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6597C333"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The principles of PCC, partnership, and ethics are codified in a robust legislative framework that governs UK practice.</w:t>
      </w:r>
    </w:p>
    <w:tbl>
      <w:tblPr>
        <w:tblStyle w:val="a"/>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680"/>
        <w:gridCol w:w="4680"/>
      </w:tblGrid>
      <w:tr w:rsidR="008864B8" w:rsidRPr="006349D2" w14:paraId="56836707" w14:textId="77777777">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A285F69"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Legislation</w:t>
            </w:r>
          </w:p>
        </w:tc>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49E0F77E"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Key Provisions &amp; Impact on Principles</w:t>
            </w:r>
          </w:p>
        </w:tc>
      </w:tr>
      <w:tr w:rsidR="008864B8" w:rsidRPr="006349D2" w14:paraId="28CBB3D0" w14:textId="77777777">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A14519C"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The Care Act 2014</w:t>
            </w:r>
          </w:p>
        </w:tc>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488B8DE3"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b/>
                <w:bCs/>
                <w:color w:val="1F1F1F"/>
              </w:rPr>
              <w:t>Section 1 (Wellbeing Principle):</w:t>
            </w:r>
            <w:r w:rsidRPr="006349D2">
              <w:rPr>
                <w:rFonts w:eastAsia="Google Sans Text"/>
                <w:color w:val="1F1F1F"/>
              </w:rPr>
              <w:t xml:space="preserve"> Places a duty on local authorities to promote individual wellbeing, defined broadly (e.g., dignity, control). Explicitly states there is </w:t>
            </w:r>
            <w:r w:rsidRPr="006349D2">
              <w:rPr>
                <w:rFonts w:eastAsia="Google Sans Text"/>
                <w:b/>
                <w:bCs/>
                <w:color w:val="1F1F1F"/>
              </w:rPr>
              <w:t>no hierarchy</w:t>
            </w:r>
            <w:r w:rsidRPr="006349D2">
              <w:rPr>
                <w:rFonts w:eastAsia="Google Sans Text"/>
                <w:color w:val="1F1F1F"/>
              </w:rPr>
              <w:t xml:space="preserve"> of needs and the individual is best placed to judge their wellbeing (Department of Health and Social Care, 2014; Lancashire County Council, 2024).</w:t>
            </w:r>
          </w:p>
          <w:p w14:paraId="2CCF0A7E"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1DD25320"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b/>
                <w:bCs/>
                <w:color w:val="1F1F1F"/>
              </w:rPr>
              <w:t>Section 42 (Safeguarding):</w:t>
            </w:r>
            <w:r w:rsidRPr="006349D2">
              <w:rPr>
                <w:rFonts w:eastAsia="Google Sans Text"/>
                <w:color w:val="1F1F1F"/>
              </w:rPr>
              <w:t xml:space="preserve"> Mandates enquiry when an adult with care needs is at risk of abuse/neglect (including self-neglect) (Hampshire Safeguarding Adults Board, 2022).</w:t>
            </w:r>
          </w:p>
        </w:tc>
      </w:tr>
      <w:tr w:rsidR="008864B8" w:rsidRPr="006349D2" w14:paraId="70A886D2" w14:textId="77777777">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29BE0D74"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Health and Care Act 2022</w:t>
            </w:r>
          </w:p>
        </w:tc>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B16DB47"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b/>
                <w:bCs/>
                <w:color w:val="1F1F1F"/>
              </w:rPr>
              <w:t>Integration:</w:t>
            </w:r>
            <w:r w:rsidRPr="006349D2">
              <w:rPr>
                <w:rFonts w:eastAsia="Google Sans Text"/>
                <w:color w:val="1F1F1F"/>
              </w:rPr>
              <w:t xml:space="preserve"> Formally established </w:t>
            </w:r>
            <w:r w:rsidRPr="006349D2">
              <w:rPr>
                <w:rFonts w:eastAsia="Google Sans Text"/>
                <w:b/>
                <w:bCs/>
                <w:color w:val="1F1F1F"/>
              </w:rPr>
              <w:t>Integrated Care Systems (ICSs)</w:t>
            </w:r>
            <w:r w:rsidRPr="006349D2">
              <w:rPr>
                <w:rFonts w:eastAsia="Google Sans Text"/>
                <w:color w:val="1F1F1F"/>
              </w:rPr>
              <w:t xml:space="preserve">, creating statutory </w:t>
            </w:r>
            <w:r w:rsidRPr="006349D2">
              <w:rPr>
                <w:rFonts w:eastAsia="Google Sans Text"/>
                <w:b/>
                <w:bCs/>
                <w:color w:val="1F1F1F"/>
              </w:rPr>
              <w:t>Integrated Care Boards (ICBs)</w:t>
            </w:r>
            <w:r w:rsidRPr="006349D2">
              <w:rPr>
                <w:rFonts w:eastAsia="Google Sans Text"/>
                <w:color w:val="1F1F1F"/>
              </w:rPr>
              <w:t xml:space="preserve"> and </w:t>
            </w:r>
            <w:r w:rsidRPr="006349D2">
              <w:rPr>
                <w:rFonts w:eastAsia="Google Sans Text"/>
                <w:b/>
                <w:bCs/>
                <w:color w:val="1F1F1F"/>
              </w:rPr>
              <w:t>Integrated Care Partnerships (ICPs)</w:t>
            </w:r>
            <w:r w:rsidRPr="006349D2">
              <w:rPr>
                <w:rFonts w:eastAsia="Google Sans Text"/>
                <w:color w:val="1F1F1F"/>
              </w:rPr>
              <w:t xml:space="preserve"> (Department of Health and Social Care, 2022).</w:t>
            </w:r>
          </w:p>
          <w:p w14:paraId="36E71F37"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5BA55486"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b/>
                <w:bCs/>
                <w:color w:val="1F1F1F"/>
              </w:rPr>
              <w:t>Aim:</w:t>
            </w:r>
            <w:r w:rsidRPr="006349D2">
              <w:rPr>
                <w:rFonts w:eastAsia="Google Sans Text"/>
                <w:color w:val="1F1F1F"/>
              </w:rPr>
              <w:t xml:space="preserve"> To remove barriers to partnership, facilitate joint funding, and improve population health outcomes (The King's Fund, 2022).</w:t>
            </w:r>
          </w:p>
        </w:tc>
      </w:tr>
      <w:tr w:rsidR="008864B8" w:rsidRPr="006349D2" w14:paraId="205AC9FC" w14:textId="77777777">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C4926F2"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lastRenderedPageBreak/>
              <w:t>Mental Capacity Act 2005 (MCA)</w:t>
            </w:r>
          </w:p>
        </w:tc>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6D67C0BE"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b/>
                <w:bCs/>
                <w:color w:val="1F1F1F"/>
              </w:rPr>
              <w:t>Autonomy &amp; Protection:</w:t>
            </w:r>
            <w:r w:rsidRPr="006349D2">
              <w:rPr>
                <w:rFonts w:eastAsia="Google Sans Text"/>
                <w:color w:val="1F1F1F"/>
              </w:rPr>
              <w:t xml:space="preserve"> Provides the legal framework for decision-making. Key principles include the </w:t>
            </w:r>
            <w:r w:rsidRPr="006349D2">
              <w:rPr>
                <w:rFonts w:eastAsia="Google Sans Text"/>
                <w:b/>
                <w:bCs/>
                <w:color w:val="1F1F1F"/>
              </w:rPr>
              <w:t>presumption of capacity</w:t>
            </w:r>
            <w:r w:rsidRPr="006349D2">
              <w:rPr>
                <w:rFonts w:eastAsia="Google Sans Text"/>
                <w:color w:val="1F1F1F"/>
              </w:rPr>
              <w:t xml:space="preserve"> and the right to make </w:t>
            </w:r>
            <w:r w:rsidRPr="006349D2">
              <w:rPr>
                <w:rFonts w:eastAsia="Google Sans Text"/>
                <w:b/>
                <w:bCs/>
                <w:color w:val="1F1F1F"/>
              </w:rPr>
              <w:t>unwise decisions</w:t>
            </w:r>
            <w:r w:rsidRPr="006349D2">
              <w:rPr>
                <w:rFonts w:eastAsia="Google Sans Text"/>
                <w:color w:val="1F1F1F"/>
              </w:rPr>
              <w:t xml:space="preserve"> (SCIE, 2017).</w:t>
            </w:r>
          </w:p>
          <w:p w14:paraId="405A2705"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5D97B72B"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b/>
                <w:bCs/>
                <w:color w:val="1F1F1F"/>
              </w:rPr>
              <w:t>Best Interests (Section 4):</w:t>
            </w:r>
            <w:r w:rsidRPr="006349D2">
              <w:rPr>
                <w:rFonts w:eastAsia="Google Sans Text"/>
                <w:color w:val="1F1F1F"/>
              </w:rPr>
              <w:t xml:space="preserve"> Requires decision-makers to consider the person’s past wishes and feelings, not just medical necessity (BMA, 2025).</w:t>
            </w:r>
          </w:p>
        </w:tc>
      </w:tr>
      <w:tr w:rsidR="008864B8" w:rsidRPr="006349D2" w14:paraId="19440570" w14:textId="77777777">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6038876"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Data Protection Act 2018 / GDPR</w:t>
            </w:r>
          </w:p>
        </w:tc>
        <w:tc>
          <w:tcPr>
            <w:tcW w:w="4680"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6096EE62"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b/>
                <w:bCs/>
                <w:color w:val="1F1F1F"/>
              </w:rPr>
              <w:t>Information Sharing:</w:t>
            </w:r>
            <w:r w:rsidRPr="006349D2">
              <w:rPr>
                <w:rFonts w:eastAsia="Google Sans Text"/>
                <w:color w:val="1F1F1F"/>
              </w:rPr>
              <w:t xml:space="preserve"> while protecting privacy, it allows for sharing data for "direct care" and "safeguarding," supporting partnership working (Department for Education, 2023).</w:t>
            </w:r>
          </w:p>
        </w:tc>
      </w:tr>
    </w:tbl>
    <w:p w14:paraId="61915960" w14:textId="1D975D29" w:rsidR="008864B8" w:rsidRPr="006349D2" w:rsidRDefault="008864B8" w:rsidP="00371E42">
      <w:pPr>
        <w:pBdr>
          <w:top w:val="nil"/>
          <w:left w:val="nil"/>
          <w:bottom w:val="nil"/>
          <w:right w:val="nil"/>
          <w:between w:val="nil"/>
        </w:pBdr>
        <w:spacing w:before="120" w:after="240" w:line="275" w:lineRule="auto"/>
        <w:jc w:val="both"/>
        <w:rPr>
          <w:rFonts w:eastAsia="Google Sans Text"/>
          <w:color w:val="1F1F1F"/>
        </w:rPr>
      </w:pPr>
    </w:p>
    <w:p w14:paraId="201EA0DA" w14:textId="4720F31C" w:rsidR="008864B8" w:rsidRPr="006349D2" w:rsidRDefault="00000000" w:rsidP="00371E42">
      <w:pPr>
        <w:pStyle w:val="Heading2"/>
        <w:spacing w:before="0" w:after="120" w:line="275" w:lineRule="auto"/>
        <w:jc w:val="both"/>
        <w:rPr>
          <w:rFonts w:eastAsia="Google Sans"/>
          <w:color w:val="1F1F1F"/>
        </w:rPr>
      </w:pPr>
      <w:bookmarkStart w:id="14" w:name="_Toc215250346"/>
      <w:r w:rsidRPr="006349D2">
        <w:rPr>
          <w:rFonts w:eastAsia="Google Sans"/>
          <w:color w:val="1F1F1F"/>
        </w:rPr>
        <w:t>Part II: Practical Application and Case Studies</w:t>
      </w:r>
      <w:bookmarkEnd w:id="14"/>
      <w:r w:rsidRPr="006349D2">
        <w:rPr>
          <w:rFonts w:eastAsia="Google Sans"/>
          <w:color w:val="1F1F1F"/>
        </w:rPr>
        <w:t xml:space="preserve"> </w:t>
      </w:r>
    </w:p>
    <w:p w14:paraId="520D9107"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6D819E78"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20A95523" w14:textId="77777777" w:rsidR="008864B8" w:rsidRPr="006349D2" w:rsidRDefault="00000000" w:rsidP="00371E42">
      <w:pPr>
        <w:pStyle w:val="Heading3"/>
        <w:spacing w:before="0" w:after="120" w:line="275" w:lineRule="auto"/>
        <w:jc w:val="both"/>
        <w:rPr>
          <w:rFonts w:eastAsia="Google Sans"/>
          <w:color w:val="1F1F1F"/>
        </w:rPr>
      </w:pPr>
      <w:bookmarkStart w:id="15" w:name="_Toc215250347"/>
      <w:r w:rsidRPr="006349D2">
        <w:rPr>
          <w:rFonts w:eastAsia="Google Sans"/>
          <w:color w:val="1F1F1F"/>
        </w:rPr>
        <w:t>2.1 Implementing Principles in Complex Scenarios</w:t>
      </w:r>
      <w:bookmarkEnd w:id="15"/>
    </w:p>
    <w:p w14:paraId="1B33D6CA"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2EC3CA44"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To demonstrate how these principles improve patient care and address challenges, we must examine real-world applications where theory meets the complexity of human life.</w:t>
      </w:r>
    </w:p>
    <w:p w14:paraId="2833661A" w14:textId="77777777" w:rsidR="008864B8" w:rsidRPr="006349D2" w:rsidRDefault="008864B8" w:rsidP="00371E42">
      <w:pPr>
        <w:pBdr>
          <w:top w:val="nil"/>
          <w:left w:val="nil"/>
          <w:bottom w:val="nil"/>
          <w:right w:val="nil"/>
          <w:between w:val="nil"/>
        </w:pBdr>
        <w:spacing w:after="240" w:line="275" w:lineRule="auto"/>
        <w:jc w:val="both"/>
        <w:rPr>
          <w:rFonts w:eastAsia="Google Sans Text"/>
          <w:color w:val="1F1F1F"/>
        </w:rPr>
      </w:pPr>
    </w:p>
    <w:p w14:paraId="56E0AD4A" w14:textId="77777777" w:rsidR="008864B8" w:rsidRPr="006349D2" w:rsidRDefault="00000000" w:rsidP="00371E42">
      <w:pPr>
        <w:pStyle w:val="Heading4"/>
        <w:spacing w:before="0" w:after="120" w:line="275" w:lineRule="auto"/>
        <w:jc w:val="both"/>
        <w:rPr>
          <w:rFonts w:eastAsia="Google Sans"/>
          <w:color w:val="1F1F1F"/>
        </w:rPr>
      </w:pPr>
      <w:bookmarkStart w:id="16" w:name="_Toc215250348"/>
      <w:r w:rsidRPr="006349D2">
        <w:rPr>
          <w:rFonts w:eastAsia="Google Sans"/>
          <w:color w:val="1F1F1F"/>
        </w:rPr>
        <w:t>2.1.1 Case Study A: The Sefton Partnership (Successful Integration)</w:t>
      </w:r>
      <w:bookmarkEnd w:id="16"/>
    </w:p>
    <w:p w14:paraId="0464D26B"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2AE900E1"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Context: Hospital discharge is a critical pressure point in the NHS, often delayed by non-clinical factors (e.g., lack of home support).</w:t>
      </w:r>
    </w:p>
    <w:p w14:paraId="47D37F72"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Action: The Sefton Partnership integrated the NHS, Local Authority, and the Voluntary Sector (Sefton CVS/Carers Centre) into a holistic discharge service (NHS England, 2024).</w:t>
      </w:r>
    </w:p>
    <w:p w14:paraId="17CD0BBD" w14:textId="77777777" w:rsidR="008864B8" w:rsidRPr="006349D2" w:rsidRDefault="00000000" w:rsidP="00371E42">
      <w:pPr>
        <w:numPr>
          <w:ilvl w:val="0"/>
          <w:numId w:val="6"/>
        </w:numPr>
        <w:pBdr>
          <w:top w:val="nil"/>
          <w:left w:val="nil"/>
          <w:bottom w:val="nil"/>
          <w:right w:val="nil"/>
          <w:between w:val="nil"/>
        </w:pBdr>
        <w:spacing w:line="275" w:lineRule="auto"/>
        <w:jc w:val="both"/>
      </w:pPr>
      <w:r w:rsidRPr="006349D2">
        <w:rPr>
          <w:rFonts w:eastAsia="Google Sans Text"/>
          <w:b/>
          <w:bCs/>
          <w:color w:val="1F1F1F"/>
        </w:rPr>
        <w:t>Person-</w:t>
      </w:r>
      <w:proofErr w:type="spellStart"/>
      <w:r w:rsidRPr="006349D2">
        <w:rPr>
          <w:rFonts w:eastAsia="Google Sans Text"/>
          <w:b/>
          <w:bCs/>
          <w:color w:val="1F1F1F"/>
        </w:rPr>
        <w:t>Centredness</w:t>
      </w:r>
      <w:proofErr w:type="spellEnd"/>
      <w:r w:rsidRPr="006349D2">
        <w:rPr>
          <w:rFonts w:eastAsia="Google Sans Text"/>
          <w:b/>
          <w:bCs/>
          <w:color w:val="1F1F1F"/>
        </w:rPr>
        <w:t>:</w:t>
      </w:r>
      <w:r w:rsidRPr="006349D2">
        <w:rPr>
          <w:rFonts w:eastAsia="Google Sans Text"/>
          <w:color w:val="1F1F1F"/>
        </w:rPr>
        <w:t xml:space="preserve"> The service focused on "what matters to the patient"—often practical concerns like "who will feed my cat?" or "is the heating on?" Addressing these anxieties (Maslow’s safety needs) facilitated faster, safer discharge (Nuffield Trust, 2011).</w:t>
      </w:r>
    </w:p>
    <w:p w14:paraId="3048048A" w14:textId="77777777" w:rsidR="008864B8" w:rsidRPr="006349D2" w:rsidRDefault="00000000" w:rsidP="00371E42">
      <w:pPr>
        <w:numPr>
          <w:ilvl w:val="0"/>
          <w:numId w:val="6"/>
        </w:numPr>
        <w:pBdr>
          <w:top w:val="nil"/>
          <w:left w:val="nil"/>
          <w:bottom w:val="nil"/>
          <w:right w:val="nil"/>
          <w:between w:val="nil"/>
        </w:pBdr>
        <w:spacing w:line="275" w:lineRule="auto"/>
        <w:jc w:val="both"/>
      </w:pPr>
      <w:r w:rsidRPr="006349D2">
        <w:rPr>
          <w:rFonts w:eastAsia="Google Sans Text"/>
          <w:b/>
          <w:bCs/>
          <w:color w:val="1F1F1F"/>
        </w:rPr>
        <w:lastRenderedPageBreak/>
        <w:t>Partnership:</w:t>
      </w:r>
      <w:r w:rsidRPr="006349D2">
        <w:rPr>
          <w:rFonts w:eastAsia="Google Sans Text"/>
          <w:color w:val="1F1F1F"/>
        </w:rPr>
        <w:t xml:space="preserve"> By leveraging the VCFSE sector, the partnership accessed resources (volunteers, community grants) unavailable to the NHS. The outcomes were significant: a readmission rate below 5% and over £250,000 in financial benefits secured for patients (NHS England, 2024).</w:t>
      </w:r>
    </w:p>
    <w:p w14:paraId="55E2E26C" w14:textId="77777777" w:rsidR="008864B8" w:rsidRPr="006349D2" w:rsidRDefault="00000000" w:rsidP="00371E42">
      <w:pPr>
        <w:numPr>
          <w:ilvl w:val="0"/>
          <w:numId w:val="6"/>
        </w:numPr>
        <w:pBdr>
          <w:top w:val="nil"/>
          <w:left w:val="nil"/>
          <w:bottom w:val="nil"/>
          <w:right w:val="nil"/>
          <w:between w:val="nil"/>
        </w:pBdr>
        <w:spacing w:after="120" w:line="275" w:lineRule="auto"/>
        <w:jc w:val="both"/>
      </w:pPr>
      <w:r w:rsidRPr="006349D2">
        <w:rPr>
          <w:rFonts w:eastAsia="Google Sans Text"/>
          <w:b/>
          <w:bCs/>
          <w:color w:val="1F1F1F"/>
        </w:rPr>
        <w:t>Impact:</w:t>
      </w:r>
      <w:r w:rsidRPr="006349D2">
        <w:rPr>
          <w:rFonts w:eastAsia="Google Sans Text"/>
          <w:color w:val="1F1F1F"/>
        </w:rPr>
        <w:t xml:space="preserve"> This example illustrates that </w:t>
      </w:r>
      <w:r w:rsidRPr="006349D2">
        <w:rPr>
          <w:rFonts w:eastAsia="Google Sans Text"/>
          <w:b/>
          <w:bCs/>
          <w:color w:val="1F1F1F"/>
        </w:rPr>
        <w:t>partnership working</w:t>
      </w:r>
      <w:r w:rsidRPr="006349D2">
        <w:rPr>
          <w:rFonts w:eastAsia="Google Sans Text"/>
          <w:color w:val="1F1F1F"/>
        </w:rPr>
        <w:t xml:space="preserve"> acts as a force multiplier for </w:t>
      </w:r>
      <w:r w:rsidRPr="006349D2">
        <w:rPr>
          <w:rFonts w:eastAsia="Google Sans Text"/>
          <w:b/>
          <w:bCs/>
          <w:color w:val="1F1F1F"/>
        </w:rPr>
        <w:t>person-</w:t>
      </w:r>
      <w:proofErr w:type="spellStart"/>
      <w:r w:rsidRPr="006349D2">
        <w:rPr>
          <w:rFonts w:eastAsia="Google Sans Text"/>
          <w:b/>
          <w:bCs/>
          <w:color w:val="1F1F1F"/>
        </w:rPr>
        <w:t>centred</w:t>
      </w:r>
      <w:proofErr w:type="spellEnd"/>
      <w:r w:rsidRPr="006349D2">
        <w:rPr>
          <w:rFonts w:eastAsia="Google Sans Text"/>
          <w:b/>
          <w:bCs/>
          <w:color w:val="1F1F1F"/>
        </w:rPr>
        <w:t xml:space="preserve"> care</w:t>
      </w:r>
      <w:r w:rsidRPr="006349D2">
        <w:rPr>
          <w:rFonts w:eastAsia="Google Sans Text"/>
          <w:color w:val="1F1F1F"/>
        </w:rPr>
        <w:t xml:space="preserve">. The NHS treats the </w:t>
      </w:r>
      <w:r w:rsidRPr="006349D2">
        <w:rPr>
          <w:rFonts w:eastAsia="Google Sans Text"/>
          <w:i/>
          <w:iCs/>
          <w:color w:val="1F1F1F"/>
        </w:rPr>
        <w:t>condition</w:t>
      </w:r>
      <w:r w:rsidRPr="006349D2">
        <w:rPr>
          <w:rFonts w:eastAsia="Google Sans Text"/>
          <w:color w:val="1F1F1F"/>
        </w:rPr>
        <w:t xml:space="preserve">, but the partnership treats the </w:t>
      </w:r>
      <w:r w:rsidRPr="006349D2">
        <w:rPr>
          <w:rFonts w:eastAsia="Google Sans Text"/>
          <w:i/>
          <w:iCs/>
          <w:color w:val="1F1F1F"/>
        </w:rPr>
        <w:t>life</w:t>
      </w:r>
      <w:r w:rsidRPr="006349D2">
        <w:rPr>
          <w:rFonts w:eastAsia="Google Sans Text"/>
          <w:color w:val="1F1F1F"/>
        </w:rPr>
        <w:t>, resulting in improved flow (efficiency) and wellbeing (quality).</w:t>
      </w:r>
    </w:p>
    <w:p w14:paraId="7C151D3A"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510F2BA9" w14:textId="77777777" w:rsidR="008864B8" w:rsidRPr="006349D2" w:rsidRDefault="00000000" w:rsidP="00371E42">
      <w:pPr>
        <w:pStyle w:val="Heading4"/>
        <w:spacing w:before="0" w:after="120" w:line="275" w:lineRule="auto"/>
        <w:jc w:val="both"/>
        <w:rPr>
          <w:rFonts w:eastAsia="Google Sans"/>
          <w:color w:val="1F1F1F"/>
        </w:rPr>
      </w:pPr>
      <w:bookmarkStart w:id="17" w:name="_Toc215250349"/>
      <w:r w:rsidRPr="006349D2">
        <w:rPr>
          <w:rFonts w:eastAsia="Google Sans"/>
          <w:color w:val="1F1F1F"/>
        </w:rPr>
        <w:t>2.1.2 Case Study B: Safeguarding Adult Review - 'Nigel' (Failure of Integration)</w:t>
      </w:r>
      <w:bookmarkEnd w:id="17"/>
    </w:p>
    <w:p w14:paraId="4E0ADA52"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11665329"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Context: 'Nigel' (pseudonym from a West Berkshire SAR) lived in self-neglect with necrotic wounds and squalid conditions. He refused care and eventually died (Berkshire West Safeguarding Adults Board, 2021).</w:t>
      </w:r>
    </w:p>
    <w:p w14:paraId="1D90F76E"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Analysis of Failure:</w:t>
      </w:r>
    </w:p>
    <w:p w14:paraId="5D70FEE4" w14:textId="77777777" w:rsidR="008864B8" w:rsidRPr="006349D2" w:rsidRDefault="00000000" w:rsidP="00371E42">
      <w:pPr>
        <w:numPr>
          <w:ilvl w:val="0"/>
          <w:numId w:val="7"/>
        </w:numPr>
        <w:pBdr>
          <w:top w:val="nil"/>
          <w:left w:val="nil"/>
          <w:bottom w:val="nil"/>
          <w:right w:val="nil"/>
          <w:between w:val="nil"/>
        </w:pBdr>
        <w:spacing w:line="275" w:lineRule="auto"/>
        <w:jc w:val="both"/>
      </w:pPr>
      <w:r w:rsidRPr="006349D2">
        <w:rPr>
          <w:rFonts w:eastAsia="Google Sans Text"/>
          <w:b/>
          <w:bCs/>
          <w:color w:val="1F1F1F"/>
        </w:rPr>
        <w:t>Misapplication of Autonomy:</w:t>
      </w:r>
      <w:r w:rsidRPr="006349D2">
        <w:rPr>
          <w:rFonts w:eastAsia="Google Sans Text"/>
          <w:color w:val="1F1F1F"/>
        </w:rPr>
        <w:t xml:space="preserve"> Professionals accepted Nigel’s refusal of care as an expression of autonomy (MCA Principle 3) without sufficient "professional curiosity" to explore </w:t>
      </w:r>
      <w:r w:rsidRPr="006349D2">
        <w:rPr>
          <w:rFonts w:eastAsia="Google Sans Text"/>
          <w:i/>
          <w:iCs/>
          <w:color w:val="1F1F1F"/>
        </w:rPr>
        <w:t>why</w:t>
      </w:r>
      <w:r w:rsidRPr="006349D2">
        <w:rPr>
          <w:rFonts w:eastAsia="Google Sans Text"/>
          <w:color w:val="1F1F1F"/>
        </w:rPr>
        <w:t xml:space="preserve"> he was refusing (e.g., trauma, executive dysfunction) (Berkshire West Safeguarding Adults Board, 2021).</w:t>
      </w:r>
    </w:p>
    <w:p w14:paraId="52EF590D" w14:textId="77777777" w:rsidR="008864B8" w:rsidRPr="006349D2" w:rsidRDefault="00000000" w:rsidP="00371E42">
      <w:pPr>
        <w:numPr>
          <w:ilvl w:val="0"/>
          <w:numId w:val="7"/>
        </w:numPr>
        <w:pBdr>
          <w:top w:val="nil"/>
          <w:left w:val="nil"/>
          <w:bottom w:val="nil"/>
          <w:right w:val="nil"/>
          <w:between w:val="nil"/>
        </w:pBdr>
        <w:spacing w:line="275" w:lineRule="auto"/>
        <w:jc w:val="both"/>
      </w:pPr>
      <w:r w:rsidRPr="006349D2">
        <w:rPr>
          <w:rFonts w:eastAsia="Google Sans Text"/>
          <w:b/>
          <w:bCs/>
          <w:color w:val="1F1F1F"/>
        </w:rPr>
        <w:t>Silo Working:</w:t>
      </w:r>
      <w:r w:rsidRPr="006349D2">
        <w:rPr>
          <w:rFonts w:eastAsia="Google Sans Text"/>
          <w:color w:val="1F1F1F"/>
        </w:rPr>
        <w:t xml:space="preserve"> The review found that agencies worked in isolation. Housing saw the squalor; Health saw the wound. No one connected the dots to see the pattern of high-risk self-neglect. This represents a catastrophic failure of </w:t>
      </w:r>
      <w:r w:rsidRPr="006349D2">
        <w:rPr>
          <w:rFonts w:eastAsia="Google Sans Text"/>
          <w:b/>
          <w:bCs/>
          <w:color w:val="1F1F1F"/>
        </w:rPr>
        <w:t>partnership working</w:t>
      </w:r>
      <w:r w:rsidRPr="006349D2">
        <w:rPr>
          <w:rFonts w:eastAsia="Google Sans Text"/>
          <w:color w:val="1F1F1F"/>
        </w:rPr>
        <w:t xml:space="preserve"> (Berkshire West Safeguarding Adults Board, 2021).</w:t>
      </w:r>
    </w:p>
    <w:p w14:paraId="43383AF6" w14:textId="77777777" w:rsidR="008864B8" w:rsidRPr="006349D2" w:rsidRDefault="00000000" w:rsidP="00371E42">
      <w:pPr>
        <w:numPr>
          <w:ilvl w:val="0"/>
          <w:numId w:val="7"/>
        </w:numPr>
        <w:pBdr>
          <w:top w:val="nil"/>
          <w:left w:val="nil"/>
          <w:bottom w:val="nil"/>
          <w:right w:val="nil"/>
          <w:between w:val="nil"/>
        </w:pBdr>
        <w:spacing w:after="120" w:line="275" w:lineRule="auto"/>
        <w:jc w:val="both"/>
      </w:pPr>
      <w:r w:rsidRPr="006349D2">
        <w:rPr>
          <w:rFonts w:eastAsia="Google Sans Text"/>
          <w:b/>
          <w:bCs/>
          <w:color w:val="1F1F1F"/>
        </w:rPr>
        <w:t>Improving Practice:</w:t>
      </w:r>
      <w:r w:rsidRPr="006349D2">
        <w:rPr>
          <w:rFonts w:eastAsia="Google Sans Text"/>
          <w:color w:val="1F1F1F"/>
        </w:rPr>
        <w:t xml:space="preserve"> Future practice must utilize </w:t>
      </w:r>
      <w:r w:rsidRPr="006349D2">
        <w:rPr>
          <w:rFonts w:eastAsia="Google Sans Text"/>
          <w:b/>
          <w:bCs/>
          <w:color w:val="1F1F1F"/>
        </w:rPr>
        <w:t>Multi-Agency Risk Management (MARM)</w:t>
      </w:r>
      <w:r w:rsidRPr="006349D2">
        <w:rPr>
          <w:rFonts w:eastAsia="Google Sans Text"/>
          <w:color w:val="1F1F1F"/>
        </w:rPr>
        <w:t xml:space="preserve"> meetings. When a patient refuses care that is critical for life (Beneficence), the ethical response is not to walk away but to engage in "negotiated autonomy"—building a relationship (PCC) to find acceptable compromises, sharing risk across the partnership rather than leaving it with the individual or a single professional (Hampshire Safeguarding Adults Board, 2022).</w:t>
      </w:r>
    </w:p>
    <w:p w14:paraId="5F3AD724"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6F5C6FDE" w14:textId="77777777" w:rsidR="008864B8" w:rsidRPr="006349D2" w:rsidRDefault="00000000" w:rsidP="00371E42">
      <w:pPr>
        <w:pStyle w:val="Heading3"/>
        <w:spacing w:before="0" w:after="120" w:line="275" w:lineRule="auto"/>
        <w:jc w:val="both"/>
        <w:rPr>
          <w:rFonts w:eastAsia="Google Sans"/>
          <w:color w:val="1F1F1F"/>
        </w:rPr>
      </w:pPr>
      <w:bookmarkStart w:id="18" w:name="_Toc215250350"/>
      <w:r w:rsidRPr="006349D2">
        <w:rPr>
          <w:rFonts w:eastAsia="Google Sans"/>
          <w:color w:val="1F1F1F"/>
        </w:rPr>
        <w:t>2.2 Addressing Challenges Through Policy Guidelines</w:t>
      </w:r>
      <w:bookmarkEnd w:id="18"/>
    </w:p>
    <w:p w14:paraId="483C9826"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57A5D76C"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color w:val="1F1F1F"/>
        </w:rPr>
        <w:t xml:space="preserve">Current policies provide tools to navigate these challenges. The </w:t>
      </w:r>
      <w:r w:rsidRPr="006349D2">
        <w:rPr>
          <w:rFonts w:eastAsia="Google Sans Text"/>
          <w:b/>
          <w:bCs/>
          <w:color w:val="1F1F1F"/>
        </w:rPr>
        <w:t>NICE Guidelines on Shared Decision Making</w:t>
      </w:r>
      <w:r w:rsidRPr="006349D2">
        <w:rPr>
          <w:rFonts w:eastAsia="Google Sans Text"/>
          <w:color w:val="1F1F1F"/>
        </w:rPr>
        <w:t xml:space="preserve"> and the </w:t>
      </w:r>
      <w:proofErr w:type="spellStart"/>
      <w:r w:rsidRPr="006349D2">
        <w:rPr>
          <w:rFonts w:eastAsia="Google Sans Text"/>
          <w:b/>
          <w:bCs/>
          <w:color w:val="1F1F1F"/>
        </w:rPr>
        <w:t>Personalised</w:t>
      </w:r>
      <w:proofErr w:type="spellEnd"/>
      <w:r w:rsidRPr="006349D2">
        <w:rPr>
          <w:rFonts w:eastAsia="Google Sans Text"/>
          <w:b/>
          <w:bCs/>
          <w:color w:val="1F1F1F"/>
        </w:rPr>
        <w:t xml:space="preserve"> Care Institute</w:t>
      </w:r>
      <w:r w:rsidRPr="006349D2">
        <w:rPr>
          <w:rFonts w:eastAsia="Google Sans Text"/>
          <w:color w:val="1F1F1F"/>
        </w:rPr>
        <w:t xml:space="preserve"> frameworks emphasize:</w:t>
      </w:r>
    </w:p>
    <w:p w14:paraId="10464079" w14:textId="77777777" w:rsidR="008864B8" w:rsidRPr="006349D2" w:rsidRDefault="00000000" w:rsidP="00371E42">
      <w:pPr>
        <w:numPr>
          <w:ilvl w:val="0"/>
          <w:numId w:val="8"/>
        </w:numPr>
        <w:pBdr>
          <w:top w:val="nil"/>
          <w:left w:val="nil"/>
          <w:bottom w:val="nil"/>
          <w:right w:val="nil"/>
          <w:between w:val="nil"/>
        </w:pBdr>
        <w:spacing w:line="275" w:lineRule="auto"/>
        <w:jc w:val="both"/>
      </w:pPr>
      <w:r w:rsidRPr="006349D2">
        <w:rPr>
          <w:rFonts w:eastAsia="Google Sans Text"/>
          <w:b/>
          <w:bCs/>
          <w:color w:val="1F1F1F"/>
        </w:rPr>
        <w:t>Teach-Back Method:</w:t>
      </w:r>
      <w:r w:rsidRPr="006349D2">
        <w:rPr>
          <w:rFonts w:eastAsia="Google Sans Text"/>
          <w:color w:val="1F1F1F"/>
        </w:rPr>
        <w:t xml:space="preserve"> To ensure information is understood (addressing communication barriers) (Health Policy Partnership, 2015).</w:t>
      </w:r>
    </w:p>
    <w:p w14:paraId="72242D8F" w14:textId="77777777" w:rsidR="008864B8" w:rsidRPr="006349D2" w:rsidRDefault="00000000" w:rsidP="00371E42">
      <w:pPr>
        <w:numPr>
          <w:ilvl w:val="0"/>
          <w:numId w:val="8"/>
        </w:numPr>
        <w:pBdr>
          <w:top w:val="nil"/>
          <w:left w:val="nil"/>
          <w:bottom w:val="nil"/>
          <w:right w:val="nil"/>
          <w:between w:val="nil"/>
        </w:pBdr>
        <w:spacing w:after="120" w:line="275" w:lineRule="auto"/>
        <w:jc w:val="both"/>
      </w:pPr>
      <w:r w:rsidRPr="006349D2">
        <w:rPr>
          <w:rFonts w:eastAsia="Google Sans Text"/>
          <w:b/>
          <w:bCs/>
          <w:color w:val="1F1F1F"/>
        </w:rPr>
        <w:t>Care Planning:</w:t>
      </w:r>
      <w:r w:rsidRPr="006349D2">
        <w:rPr>
          <w:rFonts w:eastAsia="Google Sans Text"/>
          <w:color w:val="1F1F1F"/>
        </w:rPr>
        <w:t xml:space="preserve"> Moving from reactive care to proactive, anticipatory care plans (e.g., </w:t>
      </w:r>
      <w:proofErr w:type="spellStart"/>
      <w:r w:rsidRPr="006349D2">
        <w:rPr>
          <w:rFonts w:eastAsia="Google Sans Text"/>
          <w:color w:val="1F1F1F"/>
        </w:rPr>
        <w:t>ReSPECT</w:t>
      </w:r>
      <w:proofErr w:type="spellEnd"/>
      <w:r w:rsidRPr="006349D2">
        <w:rPr>
          <w:rFonts w:eastAsia="Google Sans Text"/>
          <w:color w:val="1F1F1F"/>
        </w:rPr>
        <w:t xml:space="preserve"> forms) that document patient wishes before a crisis (Resuscitation Council UK, 2022).</w:t>
      </w:r>
    </w:p>
    <w:p w14:paraId="70F4AB5A" w14:textId="77777777" w:rsidR="008864B8" w:rsidRPr="006349D2" w:rsidRDefault="00000000" w:rsidP="00371E42">
      <w:pPr>
        <w:pBdr>
          <w:top w:val="nil"/>
          <w:left w:val="nil"/>
          <w:bottom w:val="nil"/>
          <w:right w:val="nil"/>
          <w:between w:val="nil"/>
        </w:pBdr>
        <w:spacing w:before="240" w:after="240" w:line="275" w:lineRule="auto"/>
        <w:jc w:val="both"/>
        <w:rPr>
          <w:rFonts w:eastAsia="Google Sans Text"/>
          <w:color w:val="1F1F1F"/>
        </w:rPr>
      </w:pPr>
      <w:r w:rsidRPr="006349D2">
        <w:rPr>
          <w:rFonts w:eastAsia="Google Sans Text"/>
          <w:color w:val="1F1F1F"/>
        </w:rPr>
        <w:lastRenderedPageBreak/>
        <w:t xml:space="preserve">By embedding these tools, practitioners can operationalize the </w:t>
      </w:r>
      <w:r w:rsidRPr="006349D2">
        <w:rPr>
          <w:rFonts w:eastAsia="Google Sans Text"/>
          <w:b/>
          <w:bCs/>
          <w:color w:val="1F1F1F"/>
        </w:rPr>
        <w:t>Picker Principles</w:t>
      </w:r>
      <w:r w:rsidRPr="006349D2">
        <w:rPr>
          <w:rFonts w:eastAsia="Google Sans Text"/>
          <w:color w:val="1F1F1F"/>
        </w:rPr>
        <w:t>—specifically "involvement in decisions"—ensuring that even in complex systems, the individual remains the architect of their own care (Picker Institute Europe, 2024).</w:t>
      </w:r>
    </w:p>
    <w:p w14:paraId="755E84D1" w14:textId="52DDC051" w:rsidR="008864B8" w:rsidRPr="006349D2" w:rsidRDefault="008864B8" w:rsidP="00371E42">
      <w:pPr>
        <w:pBdr>
          <w:top w:val="nil"/>
          <w:left w:val="nil"/>
          <w:bottom w:val="nil"/>
          <w:right w:val="nil"/>
          <w:between w:val="nil"/>
        </w:pBdr>
        <w:spacing w:before="120" w:after="240" w:line="275" w:lineRule="auto"/>
        <w:jc w:val="both"/>
        <w:rPr>
          <w:rFonts w:eastAsia="Google Sans Text"/>
          <w:color w:val="1F1F1F"/>
        </w:rPr>
      </w:pPr>
    </w:p>
    <w:p w14:paraId="461A4022" w14:textId="7480E37D" w:rsidR="008864B8" w:rsidRPr="006349D2" w:rsidRDefault="00000000" w:rsidP="00371E42">
      <w:pPr>
        <w:pStyle w:val="Heading2"/>
        <w:spacing w:before="0" w:after="120" w:line="275" w:lineRule="auto"/>
        <w:jc w:val="both"/>
        <w:rPr>
          <w:rFonts w:eastAsia="Google Sans"/>
          <w:color w:val="1F1F1F"/>
        </w:rPr>
      </w:pPr>
      <w:bookmarkStart w:id="19" w:name="_Toc215250351"/>
      <w:r w:rsidRPr="006349D2">
        <w:rPr>
          <w:rFonts w:eastAsia="Google Sans"/>
          <w:color w:val="1F1F1F"/>
        </w:rPr>
        <w:t>Part III: Reflective Practice and Professional Development</w:t>
      </w:r>
      <w:bookmarkEnd w:id="19"/>
      <w:r w:rsidRPr="006349D2">
        <w:rPr>
          <w:rFonts w:eastAsia="Google Sans"/>
          <w:color w:val="1F1F1F"/>
        </w:rPr>
        <w:t xml:space="preserve"> </w:t>
      </w:r>
    </w:p>
    <w:p w14:paraId="781B3C14"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47DCC267"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7B1ABC10" w14:textId="77777777" w:rsidR="008864B8" w:rsidRPr="006349D2" w:rsidRDefault="00000000" w:rsidP="00371E42">
      <w:pPr>
        <w:pStyle w:val="Heading3"/>
        <w:spacing w:before="0" w:after="120" w:line="275" w:lineRule="auto"/>
        <w:jc w:val="both"/>
        <w:rPr>
          <w:rFonts w:eastAsia="Google Sans"/>
          <w:color w:val="1F1F1F"/>
        </w:rPr>
      </w:pPr>
      <w:bookmarkStart w:id="20" w:name="_Toc215250352"/>
      <w:r w:rsidRPr="006349D2">
        <w:rPr>
          <w:rFonts w:eastAsia="Google Sans"/>
          <w:color w:val="1F1F1F"/>
        </w:rPr>
        <w:t>3.1 The Practitioner’s Journey: A Reflective Analysis</w:t>
      </w:r>
      <w:bookmarkEnd w:id="20"/>
    </w:p>
    <w:p w14:paraId="4BAD9910"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5DD5E057"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Reflective practice is the engine of professional competence. It transforms raw experience into learning and wisdom. In the UK context, regulators like the </w:t>
      </w:r>
      <w:r w:rsidRPr="006349D2">
        <w:rPr>
          <w:rFonts w:eastAsia="Google Sans Text"/>
          <w:b/>
          <w:bCs/>
          <w:color w:val="1F1F1F"/>
        </w:rPr>
        <w:t>NMC</w:t>
      </w:r>
      <w:r w:rsidRPr="006349D2">
        <w:rPr>
          <w:rFonts w:eastAsia="Google Sans Text"/>
          <w:color w:val="1F1F1F"/>
        </w:rPr>
        <w:t xml:space="preserve"> and </w:t>
      </w:r>
      <w:r w:rsidRPr="006349D2">
        <w:rPr>
          <w:rFonts w:eastAsia="Google Sans Text"/>
          <w:b/>
          <w:bCs/>
          <w:color w:val="1F1F1F"/>
        </w:rPr>
        <w:t>HCPC</w:t>
      </w:r>
      <w:r w:rsidRPr="006349D2">
        <w:rPr>
          <w:rFonts w:eastAsia="Google Sans Text"/>
          <w:color w:val="1F1F1F"/>
        </w:rPr>
        <w:t xml:space="preserve"> mandate reflection as a condition of registration (Nursing and Midwifery Council, 2024).</w:t>
      </w:r>
    </w:p>
    <w:p w14:paraId="710C482A" w14:textId="77777777" w:rsidR="008864B8" w:rsidRPr="006349D2" w:rsidRDefault="008864B8" w:rsidP="00371E42">
      <w:pPr>
        <w:pBdr>
          <w:top w:val="nil"/>
          <w:left w:val="nil"/>
          <w:bottom w:val="nil"/>
          <w:right w:val="nil"/>
          <w:between w:val="nil"/>
        </w:pBdr>
        <w:spacing w:after="240" w:line="275" w:lineRule="auto"/>
        <w:jc w:val="both"/>
        <w:rPr>
          <w:rFonts w:eastAsia="Google Sans Text"/>
          <w:color w:val="1F1F1F"/>
        </w:rPr>
      </w:pPr>
    </w:p>
    <w:p w14:paraId="7F3955EF" w14:textId="77777777" w:rsidR="008864B8" w:rsidRPr="006349D2" w:rsidRDefault="00000000" w:rsidP="00371E42">
      <w:pPr>
        <w:pStyle w:val="Heading4"/>
        <w:spacing w:before="0" w:after="120" w:line="275" w:lineRule="auto"/>
        <w:jc w:val="both"/>
        <w:rPr>
          <w:rFonts w:eastAsia="Google Sans"/>
          <w:color w:val="1F1F1F"/>
        </w:rPr>
      </w:pPr>
      <w:bookmarkStart w:id="21" w:name="_Toc215250353"/>
      <w:r w:rsidRPr="006349D2">
        <w:rPr>
          <w:rFonts w:eastAsia="Google Sans"/>
          <w:color w:val="1F1F1F"/>
        </w:rPr>
        <w:t>3.1.1 Reflective Models: Gibbs and Schön</w:t>
      </w:r>
      <w:bookmarkEnd w:id="21"/>
    </w:p>
    <w:p w14:paraId="55A2BA91"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5EDC398C"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color w:val="1F1F1F"/>
        </w:rPr>
        <w:t>To structure this reflection, two models are paramount:</w:t>
      </w:r>
    </w:p>
    <w:p w14:paraId="419886C7" w14:textId="77777777" w:rsidR="008864B8" w:rsidRPr="006349D2" w:rsidRDefault="00000000" w:rsidP="00371E42">
      <w:pPr>
        <w:numPr>
          <w:ilvl w:val="0"/>
          <w:numId w:val="9"/>
        </w:numPr>
        <w:pBdr>
          <w:top w:val="nil"/>
          <w:left w:val="nil"/>
          <w:bottom w:val="nil"/>
          <w:right w:val="nil"/>
          <w:between w:val="nil"/>
        </w:pBdr>
        <w:spacing w:line="275" w:lineRule="auto"/>
        <w:jc w:val="both"/>
      </w:pPr>
      <w:r w:rsidRPr="006349D2">
        <w:rPr>
          <w:rFonts w:eastAsia="Google Sans Text"/>
          <w:b/>
          <w:bCs/>
          <w:color w:val="1F1F1F"/>
        </w:rPr>
        <w:t>Gibbs’ Reflective Cycle (1988):</w:t>
      </w:r>
      <w:r w:rsidRPr="006349D2">
        <w:rPr>
          <w:rFonts w:eastAsia="Google Sans Text"/>
          <w:color w:val="1F1F1F"/>
        </w:rPr>
        <w:t xml:space="preserve"> A structured, iterative process (Description, Feelings, Evaluation, Analysis, Conclusion, Action Plan) ideal for post-hoc analysis of specific events (University of Cumbria, 2020).</w:t>
      </w:r>
    </w:p>
    <w:p w14:paraId="13774EBF" w14:textId="77777777" w:rsidR="008864B8" w:rsidRPr="006349D2" w:rsidRDefault="00000000" w:rsidP="00371E42">
      <w:pPr>
        <w:numPr>
          <w:ilvl w:val="0"/>
          <w:numId w:val="9"/>
        </w:numPr>
        <w:pBdr>
          <w:top w:val="nil"/>
          <w:left w:val="nil"/>
          <w:bottom w:val="nil"/>
          <w:right w:val="nil"/>
          <w:between w:val="nil"/>
        </w:pBdr>
        <w:spacing w:after="120" w:line="275" w:lineRule="auto"/>
        <w:jc w:val="both"/>
      </w:pPr>
      <w:r w:rsidRPr="006349D2">
        <w:rPr>
          <w:rFonts w:eastAsia="Google Sans Text"/>
          <w:b/>
          <w:bCs/>
          <w:color w:val="1F1F1F"/>
        </w:rPr>
        <w:t>Schön’s Reflection-in-Action (1983):</w:t>
      </w:r>
      <w:r w:rsidRPr="006349D2">
        <w:rPr>
          <w:rFonts w:eastAsia="Google Sans Text"/>
          <w:color w:val="1F1F1F"/>
        </w:rPr>
        <w:t xml:space="preserve"> The ability to "think on one's feet" during an interaction. This is the mark of the expert—modifying communication in real-time when noticing a patient’s confusion or distress (</w:t>
      </w:r>
      <w:proofErr w:type="spellStart"/>
      <w:r w:rsidRPr="006349D2">
        <w:rPr>
          <w:rFonts w:eastAsia="Google Sans Text"/>
          <w:color w:val="1F1F1F"/>
        </w:rPr>
        <w:t>Coursebox</w:t>
      </w:r>
      <w:proofErr w:type="spellEnd"/>
      <w:r w:rsidRPr="006349D2">
        <w:rPr>
          <w:rFonts w:eastAsia="Google Sans Text"/>
          <w:color w:val="1F1F1F"/>
        </w:rPr>
        <w:t>, 2024).</w:t>
      </w:r>
    </w:p>
    <w:p w14:paraId="6314AFAE"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2BA48C31" w14:textId="77777777" w:rsidR="008864B8" w:rsidRPr="006349D2" w:rsidRDefault="00000000" w:rsidP="00371E42">
      <w:pPr>
        <w:pStyle w:val="Heading4"/>
        <w:spacing w:before="0" w:after="120" w:line="275" w:lineRule="auto"/>
        <w:jc w:val="both"/>
        <w:rPr>
          <w:rFonts w:eastAsia="Google Sans"/>
          <w:color w:val="1F1F1F"/>
        </w:rPr>
      </w:pPr>
      <w:bookmarkStart w:id="22" w:name="_Toc215250354"/>
      <w:r w:rsidRPr="006349D2">
        <w:rPr>
          <w:rFonts w:eastAsia="Google Sans"/>
          <w:color w:val="1F1F1F"/>
        </w:rPr>
        <w:t>3.1.2 Reflective Narrative: The Challenge of "Unwise Decisions"</w:t>
      </w:r>
      <w:bookmarkEnd w:id="22"/>
    </w:p>
    <w:p w14:paraId="62A2EF71"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1FC8B25F" w14:textId="77777777" w:rsidR="008864B8" w:rsidRPr="006349D2" w:rsidRDefault="00000000" w:rsidP="00371E42">
      <w:pPr>
        <w:pBdr>
          <w:top w:val="nil"/>
          <w:left w:val="nil"/>
          <w:bottom w:val="nil"/>
          <w:right w:val="nil"/>
          <w:between w:val="nil"/>
        </w:pBdr>
        <w:spacing w:after="240" w:line="275" w:lineRule="auto"/>
        <w:jc w:val="both"/>
        <w:rPr>
          <w:rFonts w:eastAsia="Google Sans Text"/>
          <w:i/>
          <w:iCs/>
          <w:color w:val="1F1F1F"/>
        </w:rPr>
      </w:pPr>
      <w:r w:rsidRPr="006349D2">
        <w:rPr>
          <w:rFonts w:eastAsia="Google Sans Text"/>
          <w:i/>
          <w:iCs/>
          <w:color w:val="1F1F1F"/>
        </w:rPr>
        <w:t>The following reflection utilizes Gibbs' cycle to analyze a common practice scenario involving the Mental Capacity Act.</w:t>
      </w:r>
    </w:p>
    <w:p w14:paraId="716FA4B3"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Description: The practitioner was supporting 'Mark', a service user with a learning disability and Type 2 diabetes. Mark purchased a large quantity of sugary snacks for his birthday. The practitioner initially considered confiscating the items due to health risks but paused to reconsider.</w:t>
      </w:r>
    </w:p>
    <w:p w14:paraId="630E5E16"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lastRenderedPageBreak/>
        <w:t>Feelings: The practitioner experienced anxiety regarding the Duty of Care and fear of professional censure if Mark’s health deteriorated. This created an internal conflict between the desire to protect (paternalism) and the duty to respect choice (autonomy).</w:t>
      </w:r>
    </w:p>
    <w:p w14:paraId="393C63F5"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Evaluation: The positive aspect was the pause—preventing an immediate, authoritarian response. The negative aspect was the initial internal judgment, viewing Mark’s choice solely through a medical lens rather than a holistic one.</w:t>
      </w:r>
    </w:p>
    <w:p w14:paraId="5CD39268"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Analysis: This scenario highlights the tension between Safety (Maslow’s second tier) and Esteem/Belonging (Maslow’s third/fourth tier). For Mark, the social value of the birthday celebration outweighed the physiological risk (</w:t>
      </w:r>
      <w:proofErr w:type="spellStart"/>
      <w:r w:rsidRPr="006349D2">
        <w:rPr>
          <w:rFonts w:eastAsia="Google Sans Text"/>
        </w:rPr>
        <w:t>HealthTeamWorks</w:t>
      </w:r>
      <w:proofErr w:type="spellEnd"/>
      <w:r w:rsidRPr="006349D2">
        <w:rPr>
          <w:rFonts w:eastAsia="Google Sans Text"/>
        </w:rPr>
        <w:t>, 2025). Legally, under the MCA 2005, Mark had the capacity to make this "unwise decision" (SCIE, 2017). The practitioner’s initial instinct was a legacy of the paternalistic model. A true person-</w:t>
      </w:r>
      <w:proofErr w:type="spellStart"/>
      <w:r w:rsidRPr="006349D2">
        <w:rPr>
          <w:rFonts w:eastAsia="Google Sans Text"/>
        </w:rPr>
        <w:t>centred</w:t>
      </w:r>
      <w:proofErr w:type="spellEnd"/>
      <w:r w:rsidRPr="006349D2">
        <w:rPr>
          <w:rFonts w:eastAsia="Google Sans Text"/>
        </w:rPr>
        <w:t xml:space="preserve"> approach involves supported decision-making—discussing the risks and perhaps negotiating a "middle way" (e.g., diet soda but regular cake) rather than enforcing a ban.</w:t>
      </w:r>
    </w:p>
    <w:p w14:paraId="3BA488E8"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Conclusion: The practitioner learned that risk is subjective and that preserving the therapeutic relationship (PCC) is often more valuable for long-term health than winning a short-term battle over snacks.</w:t>
      </w:r>
    </w:p>
    <w:p w14:paraId="3225000D" w14:textId="77777777" w:rsidR="008864B8" w:rsidRPr="006349D2" w:rsidRDefault="00000000" w:rsidP="00371E42">
      <w:pPr>
        <w:pBdr>
          <w:top w:val="nil"/>
          <w:left w:val="nil"/>
          <w:bottom w:val="nil"/>
          <w:right w:val="nil"/>
          <w:between w:val="nil"/>
        </w:pBdr>
        <w:spacing w:line="275" w:lineRule="auto"/>
        <w:jc w:val="both"/>
        <w:rPr>
          <w:rFonts w:eastAsia="Google Sans Text"/>
        </w:rPr>
      </w:pPr>
      <w:r w:rsidRPr="006349D2">
        <w:rPr>
          <w:rFonts w:eastAsia="Google Sans Text"/>
        </w:rPr>
        <w:t>Action Plan: In future, the practitioner will utilize Motivational Interviewing techniques to explore the patient's motivations and engage the wider multi-disciplinary team (Partnership) to develop consistent, non-punitive support plans.</w:t>
      </w:r>
    </w:p>
    <w:p w14:paraId="507FCF69" w14:textId="77777777" w:rsidR="008864B8" w:rsidRPr="006349D2" w:rsidRDefault="008864B8" w:rsidP="00371E42">
      <w:pPr>
        <w:pBdr>
          <w:top w:val="nil"/>
          <w:left w:val="nil"/>
          <w:bottom w:val="nil"/>
          <w:right w:val="nil"/>
          <w:between w:val="nil"/>
        </w:pBdr>
        <w:spacing w:after="240" w:line="275" w:lineRule="auto"/>
        <w:jc w:val="both"/>
        <w:rPr>
          <w:rFonts w:eastAsia="Google Sans Text"/>
        </w:rPr>
      </w:pPr>
    </w:p>
    <w:p w14:paraId="5244BD12" w14:textId="77777777" w:rsidR="008864B8" w:rsidRPr="006349D2" w:rsidRDefault="00000000" w:rsidP="00371E42">
      <w:pPr>
        <w:pStyle w:val="Heading3"/>
        <w:spacing w:before="0" w:after="120" w:line="275" w:lineRule="auto"/>
        <w:jc w:val="both"/>
        <w:rPr>
          <w:rFonts w:eastAsia="Google Sans"/>
          <w:color w:val="1F1F1F"/>
        </w:rPr>
      </w:pPr>
      <w:bookmarkStart w:id="23" w:name="_Toc215250355"/>
      <w:r w:rsidRPr="006349D2">
        <w:rPr>
          <w:rFonts w:eastAsia="Google Sans"/>
          <w:color w:val="1F1F1F"/>
        </w:rPr>
        <w:t>3.2 Professional Skills Audit</w:t>
      </w:r>
      <w:bookmarkEnd w:id="23"/>
    </w:p>
    <w:p w14:paraId="321631C8"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1880A21F"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 xml:space="preserve">A critical self-assessment against the </w:t>
      </w:r>
      <w:r w:rsidRPr="006349D2">
        <w:rPr>
          <w:rFonts w:eastAsia="Google Sans Text"/>
          <w:b/>
          <w:bCs/>
          <w:color w:val="1F1F1F"/>
        </w:rPr>
        <w:t>Skills for Health Core Skills Training Framework (CSTF)</w:t>
      </w:r>
      <w:r w:rsidRPr="006349D2">
        <w:rPr>
          <w:rFonts w:eastAsia="Google Sans Text"/>
          <w:color w:val="1F1F1F"/>
        </w:rPr>
        <w:t xml:space="preserve"> and the </w:t>
      </w:r>
      <w:r w:rsidRPr="006349D2">
        <w:rPr>
          <w:rFonts w:eastAsia="Google Sans Text"/>
          <w:b/>
          <w:bCs/>
          <w:color w:val="1F1F1F"/>
        </w:rPr>
        <w:t>NMC Code</w:t>
      </w:r>
      <w:r w:rsidRPr="006349D2">
        <w:rPr>
          <w:rFonts w:eastAsia="Google Sans Text"/>
          <w:color w:val="1F1F1F"/>
        </w:rPr>
        <w:t xml:space="preserve"> reveals the following profile for the developing practitioner (Skills for Health, 2024).</w:t>
      </w:r>
    </w:p>
    <w:p w14:paraId="19D83849" w14:textId="77777777" w:rsidR="008864B8" w:rsidRPr="006349D2" w:rsidRDefault="00000000" w:rsidP="00371E42">
      <w:pPr>
        <w:pBdr>
          <w:top w:val="nil"/>
          <w:left w:val="nil"/>
          <w:bottom w:val="nil"/>
          <w:right w:val="nil"/>
          <w:between w:val="nil"/>
        </w:pBdr>
        <w:spacing w:after="240" w:line="275" w:lineRule="auto"/>
        <w:jc w:val="both"/>
        <w:rPr>
          <w:rFonts w:eastAsia="Google Sans Text"/>
          <w:b/>
          <w:bCs/>
          <w:color w:val="1F1F1F"/>
        </w:rPr>
      </w:pPr>
      <w:r w:rsidRPr="006349D2">
        <w:rPr>
          <w:rFonts w:eastAsia="Google Sans Text"/>
          <w:b/>
          <w:bCs/>
          <w:color w:val="1F1F1F"/>
        </w:rPr>
        <w:t>Table 1: Comprehensive Skills Audit</w:t>
      </w:r>
    </w:p>
    <w:tbl>
      <w:tblPr>
        <w:tblStyle w:val="a0"/>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72"/>
        <w:gridCol w:w="1872"/>
        <w:gridCol w:w="1872"/>
        <w:gridCol w:w="1872"/>
        <w:gridCol w:w="1872"/>
      </w:tblGrid>
      <w:tr w:rsidR="008864B8" w:rsidRPr="006349D2" w14:paraId="675A1821"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6F404C4"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Skill Domain</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2A67882E"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Current Competency Level</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60E0104B"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Evidence of Strength</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EDE074F"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Areas for Improvement</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6CB110D"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Link to Principle</w:t>
            </w:r>
          </w:p>
        </w:tc>
      </w:tr>
      <w:tr w:rsidR="008864B8" w:rsidRPr="006349D2" w14:paraId="37A9E93C"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65CA64C"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Person-</w:t>
            </w:r>
            <w:proofErr w:type="spellStart"/>
            <w:r w:rsidRPr="006349D2">
              <w:rPr>
                <w:rFonts w:eastAsia="Google Sans Text"/>
                <w:b/>
                <w:bCs/>
                <w:color w:val="1F1F1F"/>
              </w:rPr>
              <w:t>Centred</w:t>
            </w:r>
            <w:proofErr w:type="spellEnd"/>
            <w:r w:rsidRPr="006349D2">
              <w:rPr>
                <w:rFonts w:eastAsia="Google Sans Text"/>
                <w:b/>
                <w:bCs/>
                <w:color w:val="1F1F1F"/>
              </w:rPr>
              <w:t xml:space="preserve"> Communication</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2B647233"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Competent</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477DD808"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 xml:space="preserve">consistently uses active listening; builds rapport effectively (Picker Principle 2) (Picker Institute </w:t>
            </w:r>
            <w:r w:rsidRPr="006349D2">
              <w:rPr>
                <w:rFonts w:eastAsia="Google Sans Text"/>
                <w:color w:val="1F1F1F"/>
              </w:rPr>
              <w:lastRenderedPageBreak/>
              <w:t>Europe, 2024).</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41D58C03"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lastRenderedPageBreak/>
              <w:t>Struggling with "Teach Back" techniques for complex medical information.</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38693884"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PCC</w:t>
            </w:r>
          </w:p>
        </w:tc>
      </w:tr>
      <w:tr w:rsidR="008864B8" w:rsidRPr="006349D2" w14:paraId="7FEE7AEE"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C656F01"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Partnership &amp; Collaboration</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2A60226D"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Developing</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451577C1"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Understands the roles of the MDT; attends huddles.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639FFDE1"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Limited knowledge of VCFSE sector assets; rarely initiates referrals to non-statutory partners.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BDB879E"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Partnership</w:t>
            </w:r>
          </w:p>
        </w:tc>
      </w:tr>
      <w:tr w:rsidR="008864B8" w:rsidRPr="006349D2" w14:paraId="1A5997BE"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AEF080D"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Ethical Decision Making</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3F14C3D9"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Developing</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AAA2FAE"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Can identify basic ethical conflicts (Autonomy vs Beneficence).</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DF3E381"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 xml:space="preserve">Lacks confidence in documenting formal </w:t>
            </w:r>
            <w:r w:rsidRPr="006349D2">
              <w:rPr>
                <w:rFonts w:eastAsia="Google Sans Text"/>
                <w:b/>
                <w:bCs/>
                <w:color w:val="1F1F1F"/>
              </w:rPr>
              <w:t>Mental Capacity Assessments</w:t>
            </w:r>
            <w:r w:rsidRPr="006349D2">
              <w:rPr>
                <w:rFonts w:eastAsia="Google Sans Text"/>
                <w:color w:val="1F1F1F"/>
              </w:rPr>
              <w:t>; hesitant in "Best Interests" meetings.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606B95AA"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Ethics / Law</w:t>
            </w:r>
          </w:p>
        </w:tc>
      </w:tr>
      <w:tr w:rsidR="008864B8" w:rsidRPr="006349D2" w14:paraId="7065641B"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A1F0699"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Safeguarding &amp; Risk</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34D0CBA"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Competent</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DEDF9D7"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Recognizes signs of abuse; knows the referral pathway.</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D965E68"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Needs to develop "professional curiosity" regarding self-neglect (as per 'Nigel' SAR learning) (Berkshire West Safeguarding Adults Board, 2021).</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CB0A98E"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Ethics / Safety</w:t>
            </w:r>
          </w:p>
        </w:tc>
      </w:tr>
      <w:tr w:rsidR="008864B8" w:rsidRPr="006349D2" w14:paraId="25C3425A"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CBE507F"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Reflective Practice</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2C231F89"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Competent</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A7D86F0"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Uses Gibbs cycle regularly for written assignments.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CAE798F"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 xml:space="preserve">Needs to develop </w:t>
            </w:r>
            <w:r w:rsidRPr="006349D2">
              <w:rPr>
                <w:rFonts w:eastAsia="Google Sans Text"/>
                <w:b/>
                <w:bCs/>
                <w:color w:val="1F1F1F"/>
              </w:rPr>
              <w:t>Reflection-in-Action</w:t>
            </w:r>
            <w:r w:rsidRPr="006349D2">
              <w:rPr>
                <w:rFonts w:eastAsia="Google Sans Text"/>
                <w:color w:val="1F1F1F"/>
              </w:rPr>
              <w:t xml:space="preserve"> (Schön) to adapt during </w:t>
            </w:r>
            <w:r w:rsidRPr="006349D2">
              <w:rPr>
                <w:rFonts w:eastAsia="Google Sans Text"/>
                <w:color w:val="1F1F1F"/>
              </w:rPr>
              <w:lastRenderedPageBreak/>
              <w:t>high-pressure moments (Schön, 1983).</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6C7A2AA7"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lastRenderedPageBreak/>
              <w:t>Professionalism</w:t>
            </w:r>
          </w:p>
        </w:tc>
      </w:tr>
    </w:tbl>
    <w:p w14:paraId="4ED54FEF" w14:textId="77777777" w:rsidR="008864B8" w:rsidRPr="006349D2" w:rsidRDefault="008864B8" w:rsidP="00371E42">
      <w:pPr>
        <w:pBdr>
          <w:top w:val="nil"/>
          <w:left w:val="nil"/>
          <w:bottom w:val="nil"/>
          <w:right w:val="nil"/>
          <w:between w:val="nil"/>
        </w:pBdr>
        <w:spacing w:before="480" w:after="240" w:line="275" w:lineRule="auto"/>
        <w:jc w:val="both"/>
        <w:rPr>
          <w:rFonts w:eastAsia="Google Sans Text"/>
          <w:b/>
          <w:bCs/>
          <w:color w:val="1F1F1F"/>
        </w:rPr>
      </w:pPr>
    </w:p>
    <w:p w14:paraId="68686A79" w14:textId="77777777" w:rsidR="008864B8" w:rsidRPr="006349D2" w:rsidRDefault="00000000" w:rsidP="00371E42">
      <w:pPr>
        <w:pStyle w:val="Heading3"/>
        <w:spacing w:before="0" w:after="120" w:line="275" w:lineRule="auto"/>
        <w:jc w:val="both"/>
        <w:rPr>
          <w:rFonts w:eastAsia="Google Sans"/>
          <w:color w:val="1F1F1F"/>
        </w:rPr>
      </w:pPr>
      <w:bookmarkStart w:id="24" w:name="_Toc215250356"/>
      <w:r w:rsidRPr="006349D2">
        <w:rPr>
          <w:rFonts w:eastAsia="Google Sans"/>
          <w:color w:val="1F1F1F"/>
        </w:rPr>
        <w:t>3.3 Personal Development Plan (PDP)</w:t>
      </w:r>
      <w:bookmarkEnd w:id="24"/>
    </w:p>
    <w:p w14:paraId="08C99E52"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39CB54A8" w14:textId="77777777" w:rsidR="008864B8" w:rsidRPr="006349D2" w:rsidRDefault="00000000" w:rsidP="00371E42">
      <w:pPr>
        <w:pBdr>
          <w:top w:val="nil"/>
          <w:left w:val="nil"/>
          <w:bottom w:val="nil"/>
          <w:right w:val="nil"/>
          <w:between w:val="nil"/>
        </w:pBdr>
        <w:spacing w:after="240" w:line="275" w:lineRule="auto"/>
        <w:jc w:val="both"/>
        <w:rPr>
          <w:rFonts w:eastAsia="Google Sans Text"/>
          <w:color w:val="1F1F1F"/>
        </w:rPr>
      </w:pPr>
      <w:r w:rsidRPr="006349D2">
        <w:rPr>
          <w:rFonts w:eastAsia="Google Sans Text"/>
          <w:color w:val="1F1F1F"/>
        </w:rPr>
        <w:t>To bridge the gap between current competency and expert practice, a SMART (Specific, Measurable, Achievable, Relevant, Time-bound) Personal Development Plan is proposed (SNHU, 2023; High Speed Training, 2024).</w:t>
      </w:r>
    </w:p>
    <w:p w14:paraId="487B7298" w14:textId="77777777" w:rsidR="008864B8" w:rsidRPr="006349D2" w:rsidRDefault="00000000" w:rsidP="00371E42">
      <w:pPr>
        <w:pBdr>
          <w:top w:val="nil"/>
          <w:left w:val="nil"/>
          <w:bottom w:val="nil"/>
          <w:right w:val="nil"/>
          <w:between w:val="nil"/>
        </w:pBdr>
        <w:spacing w:after="240" w:line="275" w:lineRule="auto"/>
        <w:jc w:val="both"/>
        <w:rPr>
          <w:rFonts w:eastAsia="Google Sans Text"/>
          <w:b/>
          <w:bCs/>
          <w:color w:val="1F1F1F"/>
        </w:rPr>
      </w:pPr>
      <w:r w:rsidRPr="006349D2">
        <w:rPr>
          <w:rFonts w:eastAsia="Google Sans Text"/>
          <w:b/>
          <w:bCs/>
          <w:color w:val="1F1F1F"/>
        </w:rPr>
        <w:t>Table 2: Strategic Personal Development Plan (2025-2026)</w:t>
      </w:r>
    </w:p>
    <w:tbl>
      <w:tblPr>
        <w:tblStyle w:val="a1"/>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872"/>
        <w:gridCol w:w="1872"/>
        <w:gridCol w:w="1872"/>
        <w:gridCol w:w="1872"/>
        <w:gridCol w:w="1872"/>
      </w:tblGrid>
      <w:tr w:rsidR="008864B8" w:rsidRPr="006349D2" w14:paraId="3450ACFC"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42E80896"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Goal</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A9E3463"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Action Steps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24CA843"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Resources Required</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1DFD433"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Target Date</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2DC9BC6"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Evaluation Method</w:t>
            </w:r>
          </w:p>
        </w:tc>
      </w:tr>
      <w:tr w:rsidR="008864B8" w:rsidRPr="006349D2" w14:paraId="5F4CB087"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608FFEA"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1. Master Mental Capacity Assessments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24E689B"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 xml:space="preserve">1. Attend Level 2/3 MCA &amp; </w:t>
            </w:r>
            <w:proofErr w:type="spellStart"/>
            <w:r w:rsidRPr="006349D2">
              <w:rPr>
                <w:rFonts w:eastAsia="Google Sans Text"/>
                <w:color w:val="1F1F1F"/>
              </w:rPr>
              <w:t>DoLS</w:t>
            </w:r>
            <w:proofErr w:type="spellEnd"/>
            <w:r w:rsidRPr="006349D2">
              <w:rPr>
                <w:rFonts w:eastAsia="Google Sans Text"/>
                <w:color w:val="1F1F1F"/>
              </w:rPr>
              <w:t xml:space="preserve"> training (Skills for Health, 2024).</w:t>
            </w:r>
          </w:p>
          <w:p w14:paraId="450FEFC7"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0F6E8DAC"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2. Shadow a Best Interests Assessor (BIA) on 3 assessments.</w:t>
            </w:r>
          </w:p>
          <w:p w14:paraId="1F3DB3F0"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1D2CB75C"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3. Reflect on a complex case using the "two-stage test".</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7830E9A"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Local Authority Training Hub; BIA Mentor.</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9D3FD0A"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Oct 2025</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349F5355"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Successfully lead a capacity assessment under supervision; accurately document MCA forms 1 &amp; 2.</w:t>
            </w:r>
          </w:p>
        </w:tc>
      </w:tr>
      <w:tr w:rsidR="008864B8" w:rsidRPr="006349D2" w14:paraId="0525923A"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C1D2448"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2. Enhance Integrated Working Capabilities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25058D96"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 xml:space="preserve">1. Map the local VCFSE ecosystem (e.g., food banks, befriending </w:t>
            </w:r>
            <w:r w:rsidRPr="006349D2">
              <w:rPr>
                <w:rFonts w:eastAsia="Google Sans Text"/>
                <w:color w:val="1F1F1F"/>
              </w:rPr>
              <w:lastRenderedPageBreak/>
              <w:t>services).</w:t>
            </w:r>
          </w:p>
          <w:p w14:paraId="61158C81"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12BC28FA"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2. Spend a "spoke" day with a Social Prescribing Link Worker.</w:t>
            </w:r>
          </w:p>
          <w:p w14:paraId="577CB8D0"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66CAF407"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3. Present findings on "Community Assets" to the team.</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300A309"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lastRenderedPageBreak/>
              <w:t>Local CVS Directory; ICS Partnership Board minutes.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A7B58BA"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Dec 2025</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907A3DA"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 xml:space="preserve">Increase in appropriate referrals to voluntary sector partners </w:t>
            </w:r>
            <w:r w:rsidRPr="006349D2">
              <w:rPr>
                <w:rFonts w:eastAsia="Google Sans Text"/>
                <w:color w:val="1F1F1F"/>
              </w:rPr>
              <w:lastRenderedPageBreak/>
              <w:t>by 20%.</w:t>
            </w:r>
          </w:p>
        </w:tc>
      </w:tr>
      <w:tr w:rsidR="008864B8" w:rsidRPr="006349D2" w14:paraId="6D05F419"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D677F1C"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lastRenderedPageBreak/>
              <w:t>3. Develop Advanced Communication Skills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68405F3"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1. Complete "Advanced Communication Skills Training" (ACST).</w:t>
            </w:r>
          </w:p>
          <w:p w14:paraId="21E51EA2"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6DD50125"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2. Role-play "breaking bad news" and "challenging conversations".</w:t>
            </w:r>
          </w:p>
          <w:p w14:paraId="1F99CF8C"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6ABBDEEF"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 xml:space="preserve">3. Utilize the </w:t>
            </w:r>
            <w:r w:rsidRPr="006349D2">
              <w:rPr>
                <w:rFonts w:eastAsia="Google Sans Text"/>
                <w:b/>
                <w:bCs/>
                <w:color w:val="1F1F1F"/>
              </w:rPr>
              <w:t>SBAR</w:t>
            </w:r>
            <w:r w:rsidRPr="006349D2">
              <w:rPr>
                <w:rFonts w:eastAsia="Google Sans Text"/>
                <w:color w:val="1F1F1F"/>
              </w:rPr>
              <w:t xml:space="preserve"> tool for all professional handovers.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4464760D"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e-Learning for Health; Simulation Lab.</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D11BAE5"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Jan 2026</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C3BCBCB"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Positive feedback from colleagues on clarity of handovers; increased confidence in advocacy.</w:t>
            </w:r>
          </w:p>
        </w:tc>
      </w:tr>
      <w:tr w:rsidR="008864B8" w:rsidRPr="006349D2" w14:paraId="34485CEA" w14:textId="77777777">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18725C9E"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b/>
                <w:bCs/>
                <w:color w:val="1F1F1F"/>
              </w:rPr>
            </w:pPr>
            <w:r w:rsidRPr="006349D2">
              <w:rPr>
                <w:rFonts w:eastAsia="Google Sans Text"/>
                <w:b/>
                <w:bCs/>
                <w:color w:val="1F1F1F"/>
              </w:rPr>
              <w:t>4. Deepen Understanding of Health Inequalities</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7657E4D9"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1. Analyze the local Joint Strategic Needs Assessment (JSNA).</w:t>
            </w:r>
          </w:p>
          <w:p w14:paraId="24F355AA"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262A25EA"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t>2. Read the "State of Care" report 2024/25 (CQC, 2024).</w:t>
            </w:r>
          </w:p>
          <w:p w14:paraId="39FD3C9A" w14:textId="77777777" w:rsidR="008864B8" w:rsidRPr="006349D2" w:rsidRDefault="008864B8" w:rsidP="00371E42">
            <w:pPr>
              <w:pBdr>
                <w:top w:val="nil"/>
                <w:left w:val="nil"/>
                <w:bottom w:val="nil"/>
                <w:right w:val="nil"/>
                <w:between w:val="nil"/>
              </w:pBdr>
              <w:spacing w:line="275" w:lineRule="auto"/>
              <w:jc w:val="both"/>
              <w:rPr>
                <w:rFonts w:eastAsia="Google Sans Text"/>
                <w:color w:val="1F1F1F"/>
              </w:rPr>
            </w:pPr>
          </w:p>
          <w:p w14:paraId="430ABB6F" w14:textId="77777777" w:rsidR="008864B8" w:rsidRPr="006349D2" w:rsidRDefault="00000000" w:rsidP="00371E42">
            <w:pPr>
              <w:pBdr>
                <w:top w:val="nil"/>
                <w:left w:val="nil"/>
                <w:bottom w:val="nil"/>
                <w:right w:val="nil"/>
                <w:between w:val="nil"/>
              </w:pBdr>
              <w:spacing w:line="275" w:lineRule="auto"/>
              <w:jc w:val="both"/>
              <w:rPr>
                <w:rFonts w:eastAsia="Google Sans Text"/>
                <w:color w:val="1F1F1F"/>
              </w:rPr>
            </w:pPr>
            <w:r w:rsidRPr="006349D2">
              <w:rPr>
                <w:rFonts w:eastAsia="Google Sans Text"/>
                <w:color w:val="1F1F1F"/>
              </w:rPr>
              <w:lastRenderedPageBreak/>
              <w:t>3. Reflect on how social determinants impact my caseload.</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0DC562D9"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lastRenderedPageBreak/>
              <w:t>CQC Reports; Public Health England data.</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686DEA48"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Ongoing</w:t>
            </w:r>
          </w:p>
        </w:tc>
        <w:tc>
          <w:tcPr>
            <w:tcW w:w="1872" w:type="dxa"/>
            <w:tcBorders>
              <w:top w:val="single" w:sz="6" w:space="0" w:color="000000"/>
              <w:left w:val="single" w:sz="6" w:space="0" w:color="000000"/>
              <w:bottom w:val="single" w:sz="6" w:space="0" w:color="000000"/>
              <w:right w:val="single" w:sz="6" w:space="0" w:color="000000"/>
            </w:tcBorders>
            <w:shd w:val="clear" w:color="auto" w:fill="F8FAFD"/>
            <w:tcMar>
              <w:top w:w="120" w:type="dxa"/>
              <w:left w:w="180" w:type="dxa"/>
              <w:bottom w:w="120" w:type="dxa"/>
              <w:right w:w="180" w:type="dxa"/>
            </w:tcMar>
          </w:tcPr>
          <w:p w14:paraId="5BC1C8FC" w14:textId="77777777" w:rsidR="008864B8" w:rsidRPr="006349D2" w:rsidRDefault="00000000" w:rsidP="00371E42">
            <w:pPr>
              <w:pBdr>
                <w:top w:val="nil"/>
                <w:left w:val="nil"/>
                <w:bottom w:val="nil"/>
                <w:right w:val="nil"/>
                <w:between w:val="nil"/>
              </w:pBdr>
              <w:spacing w:before="120" w:after="120" w:line="275" w:lineRule="auto"/>
              <w:jc w:val="both"/>
              <w:rPr>
                <w:rFonts w:eastAsia="Google Sans Text"/>
                <w:color w:val="1F1F1F"/>
              </w:rPr>
            </w:pPr>
            <w:r w:rsidRPr="006349D2">
              <w:rPr>
                <w:rFonts w:eastAsia="Google Sans Text"/>
                <w:color w:val="1F1F1F"/>
              </w:rPr>
              <w:t>Integration of socio-economic factors into all care plans (Biopsychosocial approach).</w:t>
            </w:r>
          </w:p>
        </w:tc>
      </w:tr>
    </w:tbl>
    <w:p w14:paraId="57215007" w14:textId="77777777" w:rsidR="008864B8" w:rsidRPr="006349D2" w:rsidRDefault="008864B8" w:rsidP="00371E42">
      <w:pPr>
        <w:pBdr>
          <w:top w:val="nil"/>
          <w:left w:val="nil"/>
          <w:bottom w:val="nil"/>
          <w:right w:val="nil"/>
          <w:between w:val="nil"/>
        </w:pBdr>
        <w:spacing w:before="480" w:after="240" w:line="275" w:lineRule="auto"/>
        <w:jc w:val="both"/>
        <w:rPr>
          <w:rFonts w:eastAsia="Google Sans Text"/>
          <w:color w:val="1F1F1F"/>
        </w:rPr>
      </w:pPr>
    </w:p>
    <w:p w14:paraId="34080046" w14:textId="77777777" w:rsidR="008864B8" w:rsidRPr="006349D2" w:rsidRDefault="00000000" w:rsidP="00371E42">
      <w:pPr>
        <w:pStyle w:val="Heading3"/>
        <w:spacing w:before="0" w:after="120" w:line="275" w:lineRule="auto"/>
        <w:jc w:val="both"/>
        <w:rPr>
          <w:rFonts w:eastAsia="Google Sans"/>
          <w:color w:val="1F1F1F"/>
        </w:rPr>
      </w:pPr>
      <w:bookmarkStart w:id="25" w:name="_Toc215250357"/>
      <w:r w:rsidRPr="006349D2">
        <w:rPr>
          <w:rFonts w:eastAsia="Google Sans"/>
          <w:color w:val="1F1F1F"/>
        </w:rPr>
        <w:t>3.4 Future Outlook: The Professional in 2026 and Beyond</w:t>
      </w:r>
      <w:bookmarkEnd w:id="25"/>
    </w:p>
    <w:p w14:paraId="31FF4E34" w14:textId="77777777" w:rsidR="008864B8" w:rsidRPr="006349D2" w:rsidRDefault="008864B8" w:rsidP="00371E42">
      <w:pPr>
        <w:pBdr>
          <w:top w:val="nil"/>
          <w:left w:val="nil"/>
          <w:bottom w:val="nil"/>
          <w:right w:val="nil"/>
          <w:between w:val="nil"/>
        </w:pBdr>
        <w:spacing w:after="240" w:line="275" w:lineRule="auto"/>
        <w:jc w:val="both"/>
        <w:rPr>
          <w:rFonts w:eastAsia="Google Sans"/>
          <w:color w:val="1F1F1F"/>
        </w:rPr>
      </w:pPr>
    </w:p>
    <w:p w14:paraId="2A67F363"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color w:val="1F1F1F"/>
        </w:rPr>
        <w:t xml:space="preserve">As the UK health and social care sector evolves, the practitioner of the future must be agile, digitally literate, and system-aware. The move towards </w:t>
      </w:r>
      <w:r w:rsidRPr="006349D2">
        <w:rPr>
          <w:rFonts w:eastAsia="Google Sans Text"/>
          <w:b/>
          <w:bCs/>
          <w:color w:val="1F1F1F"/>
        </w:rPr>
        <w:t>Integrated Care Systems</w:t>
      </w:r>
      <w:r w:rsidRPr="006349D2">
        <w:rPr>
          <w:rFonts w:eastAsia="Google Sans Text"/>
          <w:color w:val="1F1F1F"/>
        </w:rPr>
        <w:t xml:space="preserve"> requires professionals to look beyond their own organization and understand the wider "system of care" (NHS Confederation, 2024).</w:t>
      </w:r>
    </w:p>
    <w:p w14:paraId="70F0F647" w14:textId="77777777" w:rsidR="008864B8" w:rsidRPr="006349D2" w:rsidRDefault="00000000" w:rsidP="00371E42">
      <w:pPr>
        <w:numPr>
          <w:ilvl w:val="0"/>
          <w:numId w:val="10"/>
        </w:numPr>
        <w:pBdr>
          <w:top w:val="nil"/>
          <w:left w:val="nil"/>
          <w:bottom w:val="nil"/>
          <w:right w:val="nil"/>
          <w:between w:val="nil"/>
        </w:pBdr>
        <w:spacing w:line="275" w:lineRule="auto"/>
        <w:jc w:val="both"/>
      </w:pPr>
      <w:r w:rsidRPr="006349D2">
        <w:rPr>
          <w:rFonts w:eastAsia="Google Sans Text"/>
          <w:b/>
          <w:bCs/>
          <w:color w:val="1F1F1F"/>
        </w:rPr>
        <w:t>Digital Ethics:</w:t>
      </w:r>
      <w:r w:rsidRPr="006349D2">
        <w:rPr>
          <w:rFonts w:eastAsia="Google Sans Text"/>
          <w:color w:val="1F1F1F"/>
        </w:rPr>
        <w:t xml:space="preserve"> With the rise of AI and remote monitoring, professionals must apply ethical principles to digital interactions—ensuring that technology enhances, rather than replaces, the human connection (PCC) (</w:t>
      </w:r>
      <w:proofErr w:type="spellStart"/>
      <w:r w:rsidRPr="006349D2">
        <w:rPr>
          <w:rFonts w:eastAsia="Google Sans Text"/>
          <w:color w:val="1F1F1F"/>
        </w:rPr>
        <w:t>Puthenpurakal</w:t>
      </w:r>
      <w:proofErr w:type="spellEnd"/>
      <w:r w:rsidRPr="006349D2">
        <w:rPr>
          <w:rFonts w:eastAsia="Google Sans Text"/>
          <w:color w:val="1F1F1F"/>
        </w:rPr>
        <w:t>, 2024).</w:t>
      </w:r>
    </w:p>
    <w:p w14:paraId="6724EF69" w14:textId="77777777" w:rsidR="008864B8" w:rsidRPr="006349D2" w:rsidRDefault="00000000" w:rsidP="00371E42">
      <w:pPr>
        <w:numPr>
          <w:ilvl w:val="0"/>
          <w:numId w:val="10"/>
        </w:numPr>
        <w:pBdr>
          <w:top w:val="nil"/>
          <w:left w:val="nil"/>
          <w:bottom w:val="nil"/>
          <w:right w:val="nil"/>
          <w:between w:val="nil"/>
        </w:pBdr>
        <w:spacing w:after="120" w:line="275" w:lineRule="auto"/>
        <w:jc w:val="both"/>
      </w:pPr>
      <w:r w:rsidRPr="006349D2">
        <w:rPr>
          <w:rFonts w:eastAsia="Google Sans Text"/>
          <w:b/>
          <w:bCs/>
          <w:color w:val="1F1F1F"/>
        </w:rPr>
        <w:t>Workforce Resilience:</w:t>
      </w:r>
      <w:r w:rsidRPr="006349D2">
        <w:rPr>
          <w:rFonts w:eastAsia="Google Sans Text"/>
          <w:color w:val="1F1F1F"/>
        </w:rPr>
        <w:t xml:space="preserve"> In a high-pressure environment, maintaining personal resilience is an ethical duty to oneself and one's patients. This requires a commitment to supervision and a rejection of the "hero narrative" in favor of sustainable, team-based working (Jackson et al., 2021).</w:t>
      </w:r>
    </w:p>
    <w:p w14:paraId="0F018576" w14:textId="77777777" w:rsidR="008864B8" w:rsidRPr="006349D2" w:rsidRDefault="008864B8" w:rsidP="00371E42">
      <w:pPr>
        <w:pBdr>
          <w:top w:val="nil"/>
          <w:left w:val="nil"/>
          <w:bottom w:val="nil"/>
          <w:right w:val="nil"/>
          <w:between w:val="nil"/>
        </w:pBdr>
        <w:spacing w:before="240" w:after="240" w:line="275" w:lineRule="auto"/>
        <w:jc w:val="both"/>
        <w:rPr>
          <w:rFonts w:eastAsia="Google Sans Text"/>
          <w:color w:val="1F1F1F"/>
        </w:rPr>
      </w:pPr>
    </w:p>
    <w:p w14:paraId="18FB3530" w14:textId="3D9EEFB2" w:rsidR="008864B8" w:rsidRPr="006349D2" w:rsidRDefault="00000000" w:rsidP="008703E9">
      <w:pPr>
        <w:pStyle w:val="Heading2"/>
        <w:spacing w:before="0" w:after="120" w:line="275" w:lineRule="auto"/>
        <w:jc w:val="both"/>
        <w:rPr>
          <w:rFonts w:eastAsia="Google Sans"/>
          <w:color w:val="1F1F1F"/>
        </w:rPr>
      </w:pPr>
      <w:bookmarkStart w:id="26" w:name="_Toc215250358"/>
      <w:r w:rsidRPr="006349D2">
        <w:rPr>
          <w:rFonts w:eastAsia="Google Sans"/>
          <w:color w:val="1F1F1F"/>
        </w:rPr>
        <w:t>Conclusion</w:t>
      </w:r>
      <w:bookmarkEnd w:id="26"/>
    </w:p>
    <w:p w14:paraId="78343592" w14:textId="77777777" w:rsidR="008864B8" w:rsidRPr="006349D2" w:rsidRDefault="00000000" w:rsidP="00371E42">
      <w:pPr>
        <w:pBdr>
          <w:top w:val="nil"/>
          <w:left w:val="nil"/>
          <w:bottom w:val="nil"/>
          <w:right w:val="nil"/>
          <w:between w:val="nil"/>
        </w:pBdr>
        <w:spacing w:after="120" w:line="275" w:lineRule="auto"/>
        <w:jc w:val="both"/>
        <w:rPr>
          <w:rFonts w:eastAsia="Google Sans Text"/>
          <w:color w:val="1F1F1F"/>
        </w:rPr>
      </w:pPr>
      <w:r w:rsidRPr="006349D2">
        <w:rPr>
          <w:rFonts w:eastAsia="Google Sans Text"/>
          <w:color w:val="1F1F1F"/>
        </w:rPr>
        <w:t>The principles of health and social care—Person-</w:t>
      </w:r>
      <w:proofErr w:type="spellStart"/>
      <w:r w:rsidRPr="006349D2">
        <w:rPr>
          <w:rFonts w:eastAsia="Google Sans Text"/>
          <w:color w:val="1F1F1F"/>
        </w:rPr>
        <w:t>Centred</w:t>
      </w:r>
      <w:proofErr w:type="spellEnd"/>
      <w:r w:rsidRPr="006349D2">
        <w:rPr>
          <w:rFonts w:eastAsia="Google Sans Text"/>
          <w:color w:val="1F1F1F"/>
        </w:rPr>
        <w:t xml:space="preserve"> Care, Partnership Working, and Ethics—are the DNA of high-quality practice. They are inextricably linked: one cannot be person-</w:t>
      </w:r>
      <w:proofErr w:type="spellStart"/>
      <w:r w:rsidRPr="006349D2">
        <w:rPr>
          <w:rFonts w:eastAsia="Google Sans Text"/>
          <w:color w:val="1F1F1F"/>
        </w:rPr>
        <w:t>centred</w:t>
      </w:r>
      <w:proofErr w:type="spellEnd"/>
      <w:r w:rsidRPr="006349D2">
        <w:rPr>
          <w:rFonts w:eastAsia="Google Sans Text"/>
          <w:color w:val="1F1F1F"/>
        </w:rPr>
        <w:t xml:space="preserve"> without being ethical; one cannot be ethical without working in partnership to secure the best outcomes.</w:t>
      </w:r>
    </w:p>
    <w:p w14:paraId="05F818A8" w14:textId="77777777" w:rsidR="008864B8" w:rsidRPr="006349D2" w:rsidRDefault="00000000" w:rsidP="00371E42">
      <w:pPr>
        <w:numPr>
          <w:ilvl w:val="0"/>
          <w:numId w:val="11"/>
        </w:numPr>
        <w:pBdr>
          <w:top w:val="nil"/>
          <w:left w:val="nil"/>
          <w:bottom w:val="nil"/>
          <w:right w:val="nil"/>
          <w:between w:val="nil"/>
        </w:pBdr>
        <w:spacing w:line="275" w:lineRule="auto"/>
        <w:jc w:val="both"/>
      </w:pPr>
      <w:r w:rsidRPr="006349D2">
        <w:rPr>
          <w:rFonts w:eastAsia="Google Sans Text"/>
          <w:b/>
          <w:bCs/>
          <w:color w:val="1F1F1F"/>
        </w:rPr>
        <w:t>Person-</w:t>
      </w:r>
      <w:proofErr w:type="spellStart"/>
      <w:r w:rsidRPr="006349D2">
        <w:rPr>
          <w:rFonts w:eastAsia="Google Sans Text"/>
          <w:b/>
          <w:bCs/>
          <w:color w:val="1F1F1F"/>
        </w:rPr>
        <w:t>Centred</w:t>
      </w:r>
      <w:proofErr w:type="spellEnd"/>
      <w:r w:rsidRPr="006349D2">
        <w:rPr>
          <w:rFonts w:eastAsia="Google Sans Text"/>
          <w:b/>
          <w:bCs/>
          <w:color w:val="1F1F1F"/>
        </w:rPr>
        <w:t xml:space="preserve"> Care</w:t>
      </w:r>
      <w:r w:rsidRPr="006349D2">
        <w:rPr>
          <w:rFonts w:eastAsia="Google Sans Text"/>
          <w:color w:val="1F1F1F"/>
        </w:rPr>
        <w:t xml:space="preserve"> ensures that the system serves the individual, not the other way around, respecting dignity and diversity.</w:t>
      </w:r>
    </w:p>
    <w:p w14:paraId="19D686D4" w14:textId="77777777" w:rsidR="008864B8" w:rsidRPr="006349D2" w:rsidRDefault="00000000" w:rsidP="00371E42">
      <w:pPr>
        <w:numPr>
          <w:ilvl w:val="0"/>
          <w:numId w:val="11"/>
        </w:numPr>
        <w:pBdr>
          <w:top w:val="nil"/>
          <w:left w:val="nil"/>
          <w:bottom w:val="nil"/>
          <w:right w:val="nil"/>
          <w:between w:val="nil"/>
        </w:pBdr>
        <w:spacing w:line="275" w:lineRule="auto"/>
        <w:jc w:val="both"/>
      </w:pPr>
      <w:r w:rsidRPr="006349D2">
        <w:rPr>
          <w:rFonts w:eastAsia="Google Sans Text"/>
          <w:b/>
          <w:bCs/>
          <w:color w:val="1F1F1F"/>
        </w:rPr>
        <w:t>Partnership Working</w:t>
      </w:r>
      <w:r w:rsidRPr="006349D2">
        <w:rPr>
          <w:rFonts w:eastAsia="Google Sans Text"/>
          <w:color w:val="1F1F1F"/>
        </w:rPr>
        <w:t xml:space="preserve"> ensures that the fragmented parts of the system cohere around the individual, providing safety and continuity.</w:t>
      </w:r>
    </w:p>
    <w:p w14:paraId="55FF236B" w14:textId="77777777" w:rsidR="008864B8" w:rsidRPr="006349D2" w:rsidRDefault="00000000" w:rsidP="00371E42">
      <w:pPr>
        <w:numPr>
          <w:ilvl w:val="0"/>
          <w:numId w:val="11"/>
        </w:numPr>
        <w:pBdr>
          <w:top w:val="nil"/>
          <w:left w:val="nil"/>
          <w:bottom w:val="nil"/>
          <w:right w:val="nil"/>
          <w:between w:val="nil"/>
        </w:pBdr>
        <w:spacing w:after="120" w:line="275" w:lineRule="auto"/>
        <w:jc w:val="both"/>
      </w:pPr>
      <w:r w:rsidRPr="006349D2">
        <w:rPr>
          <w:rFonts w:eastAsia="Google Sans Text"/>
          <w:b/>
          <w:bCs/>
          <w:color w:val="1F1F1F"/>
        </w:rPr>
        <w:t>Ethics</w:t>
      </w:r>
      <w:r w:rsidRPr="006349D2">
        <w:rPr>
          <w:rFonts w:eastAsia="Google Sans Text"/>
          <w:color w:val="1F1F1F"/>
        </w:rPr>
        <w:t xml:space="preserve"> provides the moral courage to navigate the conflicts between these aims, ensuring that power is exercised with justice and compassion.</w:t>
      </w:r>
    </w:p>
    <w:p w14:paraId="37FEA6C0" w14:textId="77777777" w:rsidR="008864B8" w:rsidRPr="006349D2" w:rsidRDefault="00000000" w:rsidP="00371E42">
      <w:pPr>
        <w:pBdr>
          <w:top w:val="nil"/>
          <w:left w:val="nil"/>
          <w:bottom w:val="nil"/>
          <w:right w:val="nil"/>
          <w:between w:val="nil"/>
        </w:pBdr>
        <w:spacing w:before="240" w:after="240" w:line="275" w:lineRule="auto"/>
        <w:jc w:val="both"/>
        <w:rPr>
          <w:rFonts w:eastAsia="Google Sans Text"/>
          <w:color w:val="1F1F1F"/>
        </w:rPr>
      </w:pPr>
      <w:r w:rsidRPr="006349D2">
        <w:rPr>
          <w:rFonts w:eastAsia="Google Sans Text"/>
          <w:color w:val="1F1F1F"/>
        </w:rPr>
        <w:t>By internalizing these principles through rigorous reflective practice and continuous development, the health and social care professional transforms from a mere functionary of the state into a true agent of healing and support, capable of navigating the complexities of the 21st-century landscape with wisdom and humanity.</w:t>
      </w:r>
    </w:p>
    <w:p w14:paraId="3F4FD649" w14:textId="77777777" w:rsidR="008864B8" w:rsidRPr="006349D2" w:rsidRDefault="00000000" w:rsidP="00371E42">
      <w:pPr>
        <w:pBdr>
          <w:top w:val="nil"/>
          <w:left w:val="nil"/>
          <w:bottom w:val="nil"/>
          <w:right w:val="nil"/>
          <w:between w:val="nil"/>
        </w:pBdr>
        <w:spacing w:before="120" w:after="240" w:line="275" w:lineRule="auto"/>
        <w:jc w:val="both"/>
        <w:rPr>
          <w:rFonts w:eastAsia="Google Sans Text"/>
          <w:i/>
          <w:iCs/>
          <w:color w:val="1F1F1F"/>
        </w:rPr>
      </w:pPr>
      <w:r w:rsidRPr="006349D2">
        <w:lastRenderedPageBreak/>
        <w:br w:type="page"/>
      </w:r>
    </w:p>
    <w:p w14:paraId="74DC93BF" w14:textId="77777777" w:rsidR="008864B8" w:rsidRPr="006349D2" w:rsidRDefault="00000000" w:rsidP="00371E42">
      <w:pPr>
        <w:pStyle w:val="Heading2"/>
        <w:shd w:val="clear" w:color="auto" w:fill="FFFFFF"/>
        <w:spacing w:before="420" w:after="120" w:line="335" w:lineRule="auto"/>
        <w:jc w:val="both"/>
        <w:rPr>
          <w:rFonts w:eastAsia="Google Sans"/>
          <w:i/>
          <w:iCs/>
          <w:color w:val="1F1F1F"/>
          <w:sz w:val="30"/>
          <w:szCs w:val="30"/>
        </w:rPr>
      </w:pPr>
      <w:bookmarkStart w:id="27" w:name="_Toc215250359"/>
      <w:r w:rsidRPr="006349D2">
        <w:rPr>
          <w:rFonts w:eastAsia="Google Sans"/>
          <w:i/>
          <w:iCs/>
          <w:color w:val="1F1F1F"/>
          <w:sz w:val="30"/>
          <w:szCs w:val="30"/>
        </w:rPr>
        <w:lastRenderedPageBreak/>
        <w:t>References</w:t>
      </w:r>
      <w:bookmarkEnd w:id="27"/>
    </w:p>
    <w:p w14:paraId="4D1CEF70" w14:textId="77777777" w:rsidR="008864B8" w:rsidRPr="006349D2" w:rsidRDefault="00000000" w:rsidP="00371E42">
      <w:pPr>
        <w:numPr>
          <w:ilvl w:val="0"/>
          <w:numId w:val="1"/>
        </w:numPr>
        <w:shd w:val="clear" w:color="auto" w:fill="FFFFFF"/>
        <w:spacing w:before="240" w:line="275" w:lineRule="auto"/>
        <w:jc w:val="both"/>
        <w:rPr>
          <w:i/>
          <w:iCs/>
        </w:rPr>
      </w:pPr>
      <w:r w:rsidRPr="006349D2">
        <w:rPr>
          <w:rFonts w:eastAsia="Google Sans"/>
          <w:b/>
          <w:bCs/>
          <w:i/>
          <w:iCs/>
          <w:color w:val="1F1F1F"/>
          <w:sz w:val="24"/>
          <w:szCs w:val="24"/>
        </w:rPr>
        <w:t>Berkshire West Safeguarding Adults Board</w:t>
      </w:r>
      <w:r w:rsidRPr="006349D2">
        <w:rPr>
          <w:rFonts w:eastAsia="Google Sans"/>
          <w:i/>
          <w:iCs/>
          <w:color w:val="1F1F1F"/>
          <w:sz w:val="24"/>
          <w:szCs w:val="24"/>
        </w:rPr>
        <w:t xml:space="preserve"> (2021) Safeguarding Adult Review: Nigel. Available at: </w:t>
      </w:r>
      <w:hyperlink r:id="rId7">
        <w:r w:rsidR="008864B8" w:rsidRPr="006349D2">
          <w:rPr>
            <w:rFonts w:eastAsia="Google Sans"/>
            <w:i/>
            <w:iCs/>
            <w:color w:val="0B57D0"/>
            <w:sz w:val="24"/>
            <w:szCs w:val="24"/>
            <w:u w:val="single"/>
          </w:rPr>
          <w:t>https://sabberkshirewest.co.uk/professionals/practice-guidance/case-studies</w:t>
        </w:r>
      </w:hyperlink>
      <w:r w:rsidRPr="006349D2">
        <w:rPr>
          <w:rFonts w:eastAsia="Google Sans"/>
          <w:i/>
          <w:iCs/>
          <w:color w:val="1F1F1F"/>
          <w:sz w:val="24"/>
          <w:szCs w:val="24"/>
        </w:rPr>
        <w:t xml:space="preserve"> (Accessed: 28 November 2025).</w:t>
      </w:r>
    </w:p>
    <w:p w14:paraId="6A1A68A3"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Department of Health and Social Care</w:t>
      </w:r>
      <w:r w:rsidRPr="006349D2">
        <w:rPr>
          <w:rFonts w:eastAsia="Google Sans"/>
          <w:i/>
          <w:iCs/>
          <w:color w:val="1F1F1F"/>
          <w:sz w:val="24"/>
          <w:szCs w:val="24"/>
        </w:rPr>
        <w:t xml:space="preserve"> (2014) Care Act 2014. London: HMSO.</w:t>
      </w:r>
    </w:p>
    <w:p w14:paraId="122D23F6"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Department of Health and Social Care</w:t>
      </w:r>
      <w:r w:rsidRPr="006349D2">
        <w:rPr>
          <w:rFonts w:eastAsia="Google Sans"/>
          <w:i/>
          <w:iCs/>
          <w:color w:val="1F1F1F"/>
          <w:sz w:val="24"/>
          <w:szCs w:val="24"/>
        </w:rPr>
        <w:t xml:space="preserve"> (2022) Health and Care Act 2022. London: HMSO.</w:t>
      </w:r>
    </w:p>
    <w:p w14:paraId="68C959AC"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 xml:space="preserve">Forsgren, E., Feldthusen, C., </w:t>
      </w:r>
      <w:proofErr w:type="spellStart"/>
      <w:r w:rsidRPr="006349D2">
        <w:rPr>
          <w:rFonts w:eastAsia="Google Sans"/>
          <w:b/>
          <w:bCs/>
          <w:i/>
          <w:iCs/>
          <w:color w:val="1F1F1F"/>
          <w:sz w:val="24"/>
          <w:szCs w:val="24"/>
        </w:rPr>
        <w:t>Wallström</w:t>
      </w:r>
      <w:proofErr w:type="spellEnd"/>
      <w:r w:rsidRPr="006349D2">
        <w:rPr>
          <w:rFonts w:eastAsia="Google Sans"/>
          <w:b/>
          <w:bCs/>
          <w:i/>
          <w:iCs/>
          <w:color w:val="1F1F1F"/>
          <w:sz w:val="24"/>
          <w:szCs w:val="24"/>
        </w:rPr>
        <w:t xml:space="preserve">, S., </w:t>
      </w:r>
      <w:proofErr w:type="spellStart"/>
      <w:r w:rsidRPr="006349D2">
        <w:rPr>
          <w:rFonts w:eastAsia="Google Sans"/>
          <w:b/>
          <w:bCs/>
          <w:i/>
          <w:iCs/>
          <w:color w:val="1F1F1F"/>
          <w:sz w:val="24"/>
          <w:szCs w:val="24"/>
        </w:rPr>
        <w:t>Thunström</w:t>
      </w:r>
      <w:proofErr w:type="spellEnd"/>
      <w:r w:rsidRPr="006349D2">
        <w:rPr>
          <w:rFonts w:eastAsia="Google Sans"/>
          <w:b/>
          <w:bCs/>
          <w:i/>
          <w:iCs/>
          <w:color w:val="1F1F1F"/>
          <w:sz w:val="24"/>
          <w:szCs w:val="24"/>
        </w:rPr>
        <w:t xml:space="preserve">, L., Kullman, L., Sawatzky, R. and </w:t>
      </w:r>
      <w:proofErr w:type="spellStart"/>
      <w:r w:rsidRPr="006349D2">
        <w:rPr>
          <w:rFonts w:eastAsia="Google Sans"/>
          <w:b/>
          <w:bCs/>
          <w:i/>
          <w:iCs/>
          <w:color w:val="1F1F1F"/>
          <w:sz w:val="24"/>
          <w:szCs w:val="24"/>
        </w:rPr>
        <w:t>Öhlén</w:t>
      </w:r>
      <w:proofErr w:type="spellEnd"/>
      <w:r w:rsidRPr="006349D2">
        <w:rPr>
          <w:rFonts w:eastAsia="Google Sans"/>
          <w:b/>
          <w:bCs/>
          <w:i/>
          <w:iCs/>
          <w:color w:val="1F1F1F"/>
          <w:sz w:val="24"/>
          <w:szCs w:val="24"/>
        </w:rPr>
        <w:t>, J.</w:t>
      </w:r>
      <w:r w:rsidRPr="006349D2">
        <w:rPr>
          <w:rFonts w:eastAsia="Google Sans"/>
          <w:i/>
          <w:iCs/>
          <w:color w:val="1F1F1F"/>
          <w:sz w:val="24"/>
          <w:szCs w:val="24"/>
        </w:rPr>
        <w:t xml:space="preserve"> (2025) 'Person-</w:t>
      </w:r>
      <w:proofErr w:type="spellStart"/>
      <w:r w:rsidRPr="006349D2">
        <w:rPr>
          <w:rFonts w:eastAsia="Google Sans"/>
          <w:i/>
          <w:iCs/>
          <w:color w:val="1F1F1F"/>
          <w:sz w:val="24"/>
          <w:szCs w:val="24"/>
        </w:rPr>
        <w:t>centred</w:t>
      </w:r>
      <w:proofErr w:type="spellEnd"/>
      <w:r w:rsidRPr="006349D2">
        <w:rPr>
          <w:rFonts w:eastAsia="Google Sans"/>
          <w:i/>
          <w:iCs/>
          <w:color w:val="1F1F1F"/>
          <w:sz w:val="24"/>
          <w:szCs w:val="24"/>
        </w:rPr>
        <w:t xml:space="preserve"> care as an evolving field of research: a scoping review', Frontiers in Health Services, 5, p. 1534178.</w:t>
      </w:r>
    </w:p>
    <w:p w14:paraId="0F821C5D"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Gibbs, G.</w:t>
      </w:r>
      <w:r w:rsidRPr="006349D2">
        <w:rPr>
          <w:rFonts w:eastAsia="Google Sans"/>
          <w:i/>
          <w:iCs/>
          <w:color w:val="1F1F1F"/>
          <w:sz w:val="24"/>
          <w:szCs w:val="24"/>
        </w:rPr>
        <w:t xml:space="preserve"> (1988) Learning by Doing: A Guide to Teaching and Learning Methods. Oxford: Further Education Unit.</w:t>
      </w:r>
    </w:p>
    <w:p w14:paraId="0D86DF73"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Health and Care Professions Council (HCPC)</w:t>
      </w:r>
      <w:r w:rsidRPr="006349D2">
        <w:rPr>
          <w:rFonts w:eastAsia="Google Sans"/>
          <w:i/>
          <w:iCs/>
          <w:color w:val="1F1F1F"/>
          <w:sz w:val="24"/>
          <w:szCs w:val="24"/>
        </w:rPr>
        <w:t xml:space="preserve"> (2024) Standards of conduct, performance and ethics. London: HCPC.</w:t>
      </w:r>
    </w:p>
    <w:p w14:paraId="0A36F315"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Maslow, A.H.</w:t>
      </w:r>
      <w:r w:rsidRPr="006349D2">
        <w:rPr>
          <w:rFonts w:eastAsia="Google Sans"/>
          <w:i/>
          <w:iCs/>
          <w:color w:val="1F1F1F"/>
          <w:sz w:val="24"/>
          <w:szCs w:val="24"/>
        </w:rPr>
        <w:t xml:space="preserve"> (1943) 'A theory of human motivation', Psychological Review, 50(4), pp. 370–396.</w:t>
      </w:r>
    </w:p>
    <w:p w14:paraId="791817DC"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NHS England</w:t>
      </w:r>
      <w:r w:rsidRPr="006349D2">
        <w:rPr>
          <w:rFonts w:eastAsia="Google Sans"/>
          <w:i/>
          <w:iCs/>
          <w:color w:val="1F1F1F"/>
          <w:sz w:val="24"/>
          <w:szCs w:val="24"/>
        </w:rPr>
        <w:t xml:space="preserve"> (2024) Case study: How partnership working in Sefton is creating a person-</w:t>
      </w:r>
      <w:proofErr w:type="spellStart"/>
      <w:r w:rsidRPr="006349D2">
        <w:rPr>
          <w:rFonts w:eastAsia="Google Sans"/>
          <w:i/>
          <w:iCs/>
          <w:color w:val="1F1F1F"/>
          <w:sz w:val="24"/>
          <w:szCs w:val="24"/>
        </w:rPr>
        <w:t>centred</w:t>
      </w:r>
      <w:proofErr w:type="spellEnd"/>
      <w:r w:rsidRPr="006349D2">
        <w:rPr>
          <w:rFonts w:eastAsia="Google Sans"/>
          <w:i/>
          <w:iCs/>
          <w:color w:val="1F1F1F"/>
          <w:sz w:val="24"/>
          <w:szCs w:val="24"/>
        </w:rPr>
        <w:t xml:space="preserve"> approach to hospital discharge. Available at: </w:t>
      </w:r>
      <w:hyperlink r:id="rId8">
        <w:r w:rsidR="008864B8" w:rsidRPr="006349D2">
          <w:rPr>
            <w:rFonts w:eastAsia="Google Sans"/>
            <w:i/>
            <w:iCs/>
            <w:color w:val="0B57D0"/>
            <w:sz w:val="24"/>
            <w:szCs w:val="24"/>
            <w:u w:val="single"/>
          </w:rPr>
          <w:t>https://www.england.nhs.uk/publication/case-study-how-partnership-working-in-sefton-is-creating-a-person-centred-approach-to-hospital-discharge/</w:t>
        </w:r>
      </w:hyperlink>
      <w:r w:rsidRPr="006349D2">
        <w:rPr>
          <w:rFonts w:eastAsia="Google Sans"/>
          <w:i/>
          <w:iCs/>
          <w:color w:val="1F1F1F"/>
          <w:sz w:val="24"/>
          <w:szCs w:val="24"/>
        </w:rPr>
        <w:t xml:space="preserve"> (Accessed: 28 November 2025).</w:t>
      </w:r>
    </w:p>
    <w:p w14:paraId="2C584BB5"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Nursing and Midwifery Council (NMC)</w:t>
      </w:r>
      <w:r w:rsidRPr="006349D2">
        <w:rPr>
          <w:rFonts w:eastAsia="Google Sans"/>
          <w:i/>
          <w:iCs/>
          <w:color w:val="1F1F1F"/>
          <w:sz w:val="24"/>
          <w:szCs w:val="24"/>
        </w:rPr>
        <w:t xml:space="preserve"> (2024) The Code: Professional standards of practice and </w:t>
      </w:r>
      <w:proofErr w:type="spellStart"/>
      <w:r w:rsidRPr="006349D2">
        <w:rPr>
          <w:rFonts w:eastAsia="Google Sans"/>
          <w:i/>
          <w:iCs/>
          <w:color w:val="1F1F1F"/>
          <w:sz w:val="24"/>
          <w:szCs w:val="24"/>
        </w:rPr>
        <w:t>behaviour</w:t>
      </w:r>
      <w:proofErr w:type="spellEnd"/>
      <w:r w:rsidRPr="006349D2">
        <w:rPr>
          <w:rFonts w:eastAsia="Google Sans"/>
          <w:i/>
          <w:iCs/>
          <w:color w:val="1F1F1F"/>
          <w:sz w:val="24"/>
          <w:szCs w:val="24"/>
        </w:rPr>
        <w:t xml:space="preserve"> for nurses, midwives and nursing associates. London: NMC.</w:t>
      </w:r>
    </w:p>
    <w:p w14:paraId="525D3119"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Picker Institute Europe</w:t>
      </w:r>
      <w:r w:rsidRPr="006349D2">
        <w:rPr>
          <w:rFonts w:eastAsia="Google Sans"/>
          <w:i/>
          <w:iCs/>
          <w:color w:val="1F1F1F"/>
          <w:sz w:val="24"/>
          <w:szCs w:val="24"/>
        </w:rPr>
        <w:t xml:space="preserve"> (2024) The Picker Principles of Person </w:t>
      </w:r>
      <w:proofErr w:type="spellStart"/>
      <w:r w:rsidRPr="006349D2">
        <w:rPr>
          <w:rFonts w:eastAsia="Google Sans"/>
          <w:i/>
          <w:iCs/>
          <w:color w:val="1F1F1F"/>
          <w:sz w:val="24"/>
          <w:szCs w:val="24"/>
        </w:rPr>
        <w:t>Centred</w:t>
      </w:r>
      <w:proofErr w:type="spellEnd"/>
      <w:r w:rsidRPr="006349D2">
        <w:rPr>
          <w:rFonts w:eastAsia="Google Sans"/>
          <w:i/>
          <w:iCs/>
          <w:color w:val="1F1F1F"/>
          <w:sz w:val="24"/>
          <w:szCs w:val="24"/>
        </w:rPr>
        <w:t xml:space="preserve"> Care. Available at: </w:t>
      </w:r>
      <w:hyperlink r:id="rId9">
        <w:r w:rsidR="008864B8" w:rsidRPr="006349D2">
          <w:rPr>
            <w:rFonts w:eastAsia="Google Sans"/>
            <w:i/>
            <w:iCs/>
            <w:color w:val="0B57D0"/>
            <w:sz w:val="24"/>
            <w:szCs w:val="24"/>
            <w:u w:val="single"/>
          </w:rPr>
          <w:t>https://picker.org/who-we-are/the-picker-principles-of-person-centred-care/</w:t>
        </w:r>
      </w:hyperlink>
      <w:r w:rsidRPr="006349D2">
        <w:rPr>
          <w:rFonts w:eastAsia="Google Sans"/>
          <w:i/>
          <w:iCs/>
          <w:color w:val="1F1F1F"/>
          <w:sz w:val="24"/>
          <w:szCs w:val="24"/>
        </w:rPr>
        <w:t xml:space="preserve"> (Accessed: 28 November 2025).</w:t>
      </w:r>
    </w:p>
    <w:p w14:paraId="5C317DD2" w14:textId="77777777" w:rsidR="008864B8" w:rsidRPr="006349D2" w:rsidRDefault="00000000" w:rsidP="00371E42">
      <w:pPr>
        <w:numPr>
          <w:ilvl w:val="0"/>
          <w:numId w:val="1"/>
        </w:numPr>
        <w:shd w:val="clear" w:color="auto" w:fill="FFFFFF"/>
        <w:spacing w:line="275" w:lineRule="auto"/>
        <w:jc w:val="both"/>
        <w:rPr>
          <w:i/>
          <w:iCs/>
        </w:rPr>
      </w:pPr>
      <w:r w:rsidRPr="006349D2">
        <w:rPr>
          <w:rFonts w:eastAsia="Google Sans"/>
          <w:b/>
          <w:bCs/>
          <w:i/>
          <w:iCs/>
          <w:color w:val="1F1F1F"/>
          <w:sz w:val="24"/>
          <w:szCs w:val="24"/>
        </w:rPr>
        <w:t>Schön, D.A.</w:t>
      </w:r>
      <w:r w:rsidRPr="006349D2">
        <w:rPr>
          <w:rFonts w:eastAsia="Google Sans"/>
          <w:i/>
          <w:iCs/>
          <w:color w:val="1F1F1F"/>
          <w:sz w:val="24"/>
          <w:szCs w:val="24"/>
        </w:rPr>
        <w:t xml:space="preserve"> (1983) The Reflective Practitioner: How Professionals Think in Action. New York: Basic Books.</w:t>
      </w:r>
    </w:p>
    <w:p w14:paraId="71B4D726" w14:textId="77777777" w:rsidR="008864B8" w:rsidRPr="006349D2" w:rsidRDefault="00000000" w:rsidP="00371E42">
      <w:pPr>
        <w:numPr>
          <w:ilvl w:val="0"/>
          <w:numId w:val="1"/>
        </w:numPr>
        <w:shd w:val="clear" w:color="auto" w:fill="FFFFFF"/>
        <w:spacing w:after="360" w:line="275" w:lineRule="auto"/>
        <w:jc w:val="both"/>
        <w:rPr>
          <w:i/>
          <w:iCs/>
        </w:rPr>
      </w:pPr>
      <w:r w:rsidRPr="006349D2">
        <w:rPr>
          <w:rFonts w:eastAsia="Google Sans"/>
          <w:b/>
          <w:bCs/>
          <w:i/>
          <w:iCs/>
          <w:color w:val="1F1F1F"/>
          <w:sz w:val="24"/>
          <w:szCs w:val="24"/>
        </w:rPr>
        <w:t>Skills for Health</w:t>
      </w:r>
      <w:r w:rsidRPr="006349D2">
        <w:rPr>
          <w:rFonts w:eastAsia="Google Sans"/>
          <w:i/>
          <w:iCs/>
          <w:color w:val="1F1F1F"/>
          <w:sz w:val="24"/>
          <w:szCs w:val="24"/>
        </w:rPr>
        <w:t xml:space="preserve"> (2024) Core Skills Training Framework (CSTF). Available at: </w:t>
      </w:r>
      <w:hyperlink r:id="rId10">
        <w:r w:rsidR="008864B8" w:rsidRPr="006349D2">
          <w:rPr>
            <w:rFonts w:eastAsia="Google Sans"/>
            <w:i/>
            <w:iCs/>
            <w:color w:val="0B57D0"/>
            <w:sz w:val="24"/>
            <w:szCs w:val="24"/>
            <w:u w:val="single"/>
          </w:rPr>
          <w:t>https://www.skillsforhealth.org.uk/core-skills-training-framework/</w:t>
        </w:r>
      </w:hyperlink>
      <w:r w:rsidRPr="006349D2">
        <w:rPr>
          <w:rFonts w:eastAsia="Google Sans"/>
          <w:i/>
          <w:iCs/>
          <w:color w:val="1F1F1F"/>
          <w:sz w:val="24"/>
          <w:szCs w:val="24"/>
        </w:rPr>
        <w:t xml:space="preserve"> (Accessed: 28 November 2025).</w:t>
      </w:r>
    </w:p>
    <w:p w14:paraId="41AEC24B" w14:textId="77777777" w:rsidR="008864B8" w:rsidRPr="006349D2" w:rsidRDefault="008864B8" w:rsidP="00371E42">
      <w:pPr>
        <w:pBdr>
          <w:top w:val="nil"/>
          <w:left w:val="nil"/>
          <w:bottom w:val="nil"/>
          <w:right w:val="nil"/>
          <w:between w:val="nil"/>
        </w:pBdr>
        <w:spacing w:before="120" w:after="240" w:line="275" w:lineRule="auto"/>
        <w:jc w:val="both"/>
        <w:rPr>
          <w:rFonts w:eastAsia="Google Sans Text"/>
          <w:i/>
          <w:iCs/>
          <w:color w:val="1F1F1F"/>
        </w:rPr>
      </w:pPr>
    </w:p>
    <w:sectPr w:rsidR="008864B8" w:rsidRPr="006349D2">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Google Sans">
    <w:altName w:val="Calibri"/>
    <w:charset w:val="00"/>
    <w:family w:val="auto"/>
    <w:pitch w:val="default"/>
    <w:embedRegular r:id="rId1" w:fontKey="{51439B22-3A6A-456F-B0B5-A8473B3DCF53}"/>
    <w:embedBold r:id="rId2" w:fontKey="{E31E0627-1490-42B2-9E43-570AE4EE837F}"/>
    <w:embedItalic r:id="rId3" w:fontKey="{82AE8513-BF69-4644-8D6C-ECCEFB8A60B0}"/>
    <w:embedBoldItalic r:id="rId4" w:fontKey="{FBC83FDA-0D2A-4083-A7BA-7AEE399A676F}"/>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5" w:fontKey="{47C26314-CEDD-4E80-97DA-1C214F0A3A64}"/>
  </w:font>
  <w:font w:name="Google Sans Text">
    <w:charset w:val="00"/>
    <w:family w:val="auto"/>
    <w:pitch w:val="default"/>
    <w:embedRegular r:id="rId6" w:fontKey="{77C28331-3A76-43FA-BDFE-17B29C830C2D}"/>
    <w:embedBold r:id="rId7" w:fontKey="{89C45779-91F0-4D69-954F-7247C153B1EF}"/>
    <w:embedItalic r:id="rId8" w:fontKey="{84A77008-6B23-49BD-AA02-0D3988814EBC}"/>
  </w:font>
  <w:font w:name="Calibri">
    <w:panose1 w:val="020F0502020204030204"/>
    <w:charset w:val="00"/>
    <w:family w:val="swiss"/>
    <w:pitch w:val="variable"/>
    <w:sig w:usb0="E4002EFF" w:usb1="C200247B" w:usb2="00000009" w:usb3="00000000" w:csb0="000001FF" w:csb1="00000000"/>
    <w:embedRegular r:id="rId9" w:fontKey="{D691BE61-1891-4D4F-8C4C-0744A0B54601}"/>
  </w:font>
  <w:font w:name="Cambria">
    <w:panose1 w:val="02040503050406030204"/>
    <w:charset w:val="00"/>
    <w:family w:val="roman"/>
    <w:pitch w:val="variable"/>
    <w:sig w:usb0="E00006FF" w:usb1="420024FF" w:usb2="02000000" w:usb3="00000000" w:csb0="0000019F" w:csb1="00000000"/>
    <w:embedRegular r:id="rId10" w:fontKey="{D19929B3-7145-4A13-9366-A662535A59C5}"/>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26DA1"/>
    <w:multiLevelType w:val="multilevel"/>
    <w:tmpl w:val="F444590A"/>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09CC784D"/>
    <w:multiLevelType w:val="multilevel"/>
    <w:tmpl w:val="CA2A2A02"/>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15:restartNumberingAfterBreak="0">
    <w:nsid w:val="194643B0"/>
    <w:multiLevelType w:val="multilevel"/>
    <w:tmpl w:val="FA948310"/>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2CF44A9D"/>
    <w:multiLevelType w:val="multilevel"/>
    <w:tmpl w:val="4F98D55E"/>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4" w15:restartNumberingAfterBreak="0">
    <w:nsid w:val="317C233D"/>
    <w:multiLevelType w:val="multilevel"/>
    <w:tmpl w:val="2FB800D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5" w15:restartNumberingAfterBreak="0">
    <w:nsid w:val="35006F2E"/>
    <w:multiLevelType w:val="multilevel"/>
    <w:tmpl w:val="24B6B104"/>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6" w15:restartNumberingAfterBreak="0">
    <w:nsid w:val="3C2400D8"/>
    <w:multiLevelType w:val="multilevel"/>
    <w:tmpl w:val="10AE2D96"/>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7" w15:restartNumberingAfterBreak="0">
    <w:nsid w:val="63CD7316"/>
    <w:multiLevelType w:val="multilevel"/>
    <w:tmpl w:val="A5D8BCAA"/>
    <w:lvl w:ilvl="0">
      <w:start w:val="1"/>
      <w:numFmt w:val="decimal"/>
      <w:lvlText w:val="%1."/>
      <w:lvlJc w:val="left"/>
      <w:pPr>
        <w:ind w:left="720" w:hanging="360"/>
      </w:pPr>
      <w:rPr>
        <w:rFonts w:ascii="Google Sans" w:eastAsia="Google Sans" w:hAnsi="Google Sans" w:cs="Google Sans"/>
        <w:color w:val="1F1F1F"/>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8" w15:restartNumberingAfterBreak="0">
    <w:nsid w:val="65C17891"/>
    <w:multiLevelType w:val="multilevel"/>
    <w:tmpl w:val="49D251B6"/>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9" w15:restartNumberingAfterBreak="0">
    <w:nsid w:val="693F7568"/>
    <w:multiLevelType w:val="multilevel"/>
    <w:tmpl w:val="D93C66A6"/>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0" w15:restartNumberingAfterBreak="0">
    <w:nsid w:val="6E742539"/>
    <w:multiLevelType w:val="multilevel"/>
    <w:tmpl w:val="7E3426E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511143721">
    <w:abstractNumId w:val="7"/>
  </w:num>
  <w:num w:numId="2" w16cid:durableId="1048721233">
    <w:abstractNumId w:val="9"/>
  </w:num>
  <w:num w:numId="3" w16cid:durableId="401371654">
    <w:abstractNumId w:val="5"/>
  </w:num>
  <w:num w:numId="4" w16cid:durableId="237449806">
    <w:abstractNumId w:val="0"/>
  </w:num>
  <w:num w:numId="5" w16cid:durableId="2118986190">
    <w:abstractNumId w:val="1"/>
  </w:num>
  <w:num w:numId="6" w16cid:durableId="800540188">
    <w:abstractNumId w:val="8"/>
  </w:num>
  <w:num w:numId="7" w16cid:durableId="1801025059">
    <w:abstractNumId w:val="10"/>
  </w:num>
  <w:num w:numId="8" w16cid:durableId="1781995019">
    <w:abstractNumId w:val="2"/>
  </w:num>
  <w:num w:numId="9" w16cid:durableId="683944624">
    <w:abstractNumId w:val="3"/>
  </w:num>
  <w:num w:numId="10" w16cid:durableId="426120517">
    <w:abstractNumId w:val="4"/>
  </w:num>
  <w:num w:numId="11" w16cid:durableId="10255971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64B8"/>
    <w:rsid w:val="00320A6F"/>
    <w:rsid w:val="00371E42"/>
    <w:rsid w:val="006349D2"/>
    <w:rsid w:val="008703E9"/>
    <w:rsid w:val="008864B8"/>
    <w:rsid w:val="009840DB"/>
    <w:rsid w:val="00BF03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9575A"/>
  <w15:docId w15:val="{4EA4DDD6-EC65-4065-8C1E-0A1F2684F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2">
    <w:name w:val="toc 2"/>
    <w:basedOn w:val="Normal"/>
    <w:next w:val="Normal"/>
    <w:autoRedefine/>
    <w:uiPriority w:val="39"/>
    <w:unhideWhenUsed/>
    <w:rsid w:val="00371E42"/>
    <w:pPr>
      <w:spacing w:after="100"/>
      <w:ind w:left="220"/>
    </w:pPr>
  </w:style>
  <w:style w:type="paragraph" w:styleId="TOC3">
    <w:name w:val="toc 3"/>
    <w:basedOn w:val="Normal"/>
    <w:next w:val="Normal"/>
    <w:autoRedefine/>
    <w:uiPriority w:val="39"/>
    <w:unhideWhenUsed/>
    <w:rsid w:val="00371E42"/>
    <w:pPr>
      <w:spacing w:after="100"/>
      <w:ind w:left="440"/>
    </w:pPr>
  </w:style>
  <w:style w:type="paragraph" w:styleId="TOC4">
    <w:name w:val="toc 4"/>
    <w:basedOn w:val="Normal"/>
    <w:next w:val="Normal"/>
    <w:autoRedefine/>
    <w:uiPriority w:val="39"/>
    <w:unhideWhenUsed/>
    <w:rsid w:val="00371E42"/>
    <w:pPr>
      <w:spacing w:after="100"/>
      <w:ind w:left="660"/>
    </w:pPr>
  </w:style>
  <w:style w:type="character" w:styleId="Hyperlink">
    <w:name w:val="Hyperlink"/>
    <w:basedOn w:val="DefaultParagraphFont"/>
    <w:uiPriority w:val="99"/>
    <w:unhideWhenUsed/>
    <w:rsid w:val="00371E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ngland.nhs.uk/publication/case-study-how-partnership-working-in-sefton-is-creating-a-person-centred-approach-to-hospital-discharge/" TargetMode="External"/><Relationship Id="rId3" Type="http://schemas.openxmlformats.org/officeDocument/2006/relationships/styles" Target="styles.xml"/><Relationship Id="rId7" Type="http://schemas.openxmlformats.org/officeDocument/2006/relationships/hyperlink" Target="https://sabberkshirewest.co.uk/professionals/practice-guidance/case-studie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killsforhealth.org.uk/core-skills-training-framework/" TargetMode="External"/><Relationship Id="rId4" Type="http://schemas.openxmlformats.org/officeDocument/2006/relationships/settings" Target="settings.xml"/><Relationship Id="rId9" Type="http://schemas.openxmlformats.org/officeDocument/2006/relationships/hyperlink" Target="https://picker.org/who-we-are/the-picker-principles-of-person-centred-care/"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A394AD-9695-495B-9C3F-E137BEDE9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4140</Words>
  <Characters>23603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Masum Ahmed</cp:lastModifiedBy>
  <cp:revision>7</cp:revision>
  <dcterms:created xsi:type="dcterms:W3CDTF">2025-11-28T19:16:00Z</dcterms:created>
  <dcterms:modified xsi:type="dcterms:W3CDTF">2025-11-28T19:32:00Z</dcterms:modified>
</cp:coreProperties>
</file>