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FBA0B2" w14:textId="7288CDE9" w:rsidR="005411D0" w:rsidRDefault="005411D0">
      <w:pPr>
        <w:rPr>
          <w:b/>
          <w:bCs/>
          <w:u w:val="single"/>
        </w:rPr>
      </w:pPr>
      <w:r w:rsidRPr="005411D0">
        <w:rPr>
          <w:b/>
          <w:bCs/>
          <w:u w:val="single"/>
        </w:rPr>
        <w:t>Introduction</w:t>
      </w:r>
    </w:p>
    <w:p w14:paraId="0DE007A6" w14:textId="153AD758" w:rsidR="004E317F" w:rsidRDefault="00310A71">
      <w:r w:rsidRPr="00310A71">
        <w:t xml:space="preserve">The purpose of this assignment is to reinforce the importance of hand washing within children aged 7-11 by learning about ‘stop the spread’ and using this information via scaffolding and observation to create their own hand washing device. This activity will be taught within five sessions which demonstrate the purpose of safe hand washing for learners aged 7-11. </w:t>
      </w:r>
      <w:r w:rsidRPr="00310A71">
        <w:t xml:space="preserve">Building a handwashing machine in the classroom as part of a </w:t>
      </w:r>
      <w:r w:rsidR="00FE769A">
        <w:t>‘</w:t>
      </w:r>
      <w:r w:rsidRPr="00310A71">
        <w:t>Stop the Spread</w:t>
      </w:r>
      <w:r w:rsidR="00FE769A">
        <w:t xml:space="preserve">’ </w:t>
      </w:r>
      <w:r w:rsidRPr="00310A71">
        <w:t>STEM project provides an authentic, hands-on learning experience that helps pupils aged 7–11 understand the science of hygiene, the engineering design process, and broader health education. This interdisciplinary task connects practical learning with real-world relevance and supports curriculum goals in science</w:t>
      </w:r>
      <w:r w:rsidRPr="00310A71">
        <w:t xml:space="preserve"> with</w:t>
      </w:r>
      <w:r w:rsidRPr="00310A71">
        <w:t xml:space="preserve"> design and technology (D&amp;T)</w:t>
      </w:r>
      <w:r>
        <w:t>.</w:t>
      </w:r>
    </w:p>
    <w:p w14:paraId="55B8B22B" w14:textId="1611EBED" w:rsidR="00310A71" w:rsidRDefault="00310A71">
      <w:r w:rsidRPr="004E317F">
        <w:t xml:space="preserve">The </w:t>
      </w:r>
      <w:r>
        <w:t>‘</w:t>
      </w:r>
      <w:r w:rsidRPr="004E317F">
        <w:t>Stop the Spread</w:t>
      </w:r>
      <w:r>
        <w:t>’</w:t>
      </w:r>
      <w:r w:rsidRPr="004E317F">
        <w:t xml:space="preserve"> </w:t>
      </w:r>
      <w:r>
        <w:t>project</w:t>
      </w:r>
      <w:r w:rsidRPr="004E317F">
        <w:t xml:space="preserve"> capitalises on children’s ability to make sense of cause-effect relationships by physically observing how germs can transfer through touch. This practical component supports constructivist learning by allowing students to build personal meaning from their experience (Fosnot, 2013).</w:t>
      </w:r>
      <w:r>
        <w:t xml:space="preserve"> </w:t>
      </w:r>
      <w:r w:rsidRPr="004E317F">
        <w:t xml:space="preserve">Fosnot argues that constructivist classrooms should engage learners in problem-solving situations that challenge their current understanding </w:t>
      </w:r>
      <w:r>
        <w:t xml:space="preserve">which is </w:t>
      </w:r>
      <w:r w:rsidRPr="004E317F">
        <w:t>a principle embodied in asking children to determine which handwashing method works best.</w:t>
      </w:r>
      <w:r>
        <w:t xml:space="preserve"> </w:t>
      </w:r>
      <w:r w:rsidRPr="00310A71">
        <w:t>According to the World Health Organization (WHO, 2020), effective hand hygiene is the single most important measure to reduce the spread of infections. Teaching this through hands-on experience deepens retention and comprehension.</w:t>
      </w:r>
    </w:p>
    <w:p w14:paraId="2CE147F7" w14:textId="061FF8B0" w:rsidR="00C23C44" w:rsidRDefault="00C23C44" w:rsidP="00C23C44">
      <w:r w:rsidRPr="00C23C44">
        <w:t>Building a handwashing machine introduces students to basic engineering design principles, such as</w:t>
      </w:r>
      <w:r w:rsidRPr="00C23C44">
        <w:t>, p</w:t>
      </w:r>
      <w:r w:rsidRPr="00C23C44">
        <w:t xml:space="preserve">lanning, drawing designs, selecting </w:t>
      </w:r>
      <w:r w:rsidRPr="00C23C44">
        <w:t>materials, testing</w:t>
      </w:r>
      <w:r w:rsidRPr="00C23C44">
        <w:t xml:space="preserve"> for functionality and improving designs</w:t>
      </w:r>
      <w:r w:rsidRPr="00C23C44">
        <w:t>, a</w:t>
      </w:r>
      <w:r w:rsidRPr="00C23C44">
        <w:t>pplying mechanisms and systems thinking (e.g., using levers, pulleys, or gravity-fed water)</w:t>
      </w:r>
      <w:r w:rsidRPr="00C23C44">
        <w:t xml:space="preserve"> </w:t>
      </w:r>
      <w:r w:rsidR="000A2E8C" w:rsidRPr="000A2E8C">
        <w:t xml:space="preserve">This reflects the Design, Make, </w:t>
      </w:r>
      <w:proofErr w:type="gramStart"/>
      <w:r w:rsidR="000A2E8C" w:rsidRPr="000A2E8C">
        <w:t>Evaluate</w:t>
      </w:r>
      <w:proofErr w:type="gramEnd"/>
      <w:r w:rsidR="000A2E8C" w:rsidRPr="000A2E8C">
        <w:t xml:space="preserve"> cycle outlined in the UK Design &amp; Technology curriculum (DfE, 2013).</w:t>
      </w:r>
    </w:p>
    <w:p w14:paraId="0F8327FC" w14:textId="7424A498" w:rsidR="002C3D75" w:rsidRPr="00C23C44" w:rsidRDefault="002C3D75" w:rsidP="00C23C44">
      <w:r>
        <w:t>As this is a reflective journal, there will be themes touching on reflective practice to delve on personal development as an emerging practitioner.</w:t>
      </w:r>
    </w:p>
    <w:p w14:paraId="68BD599C" w14:textId="43568FBA" w:rsidR="00C23C44" w:rsidRPr="00C23C44" w:rsidRDefault="00C23C44">
      <w:r w:rsidRPr="00C23C44">
        <w:rPr>
          <w:b/>
          <w:bCs/>
          <w:u w:val="single"/>
        </w:rPr>
        <w:t xml:space="preserve">Literature review </w:t>
      </w:r>
    </w:p>
    <w:p w14:paraId="3F8A7BF7" w14:textId="5B84F8AF" w:rsidR="00C508D1" w:rsidRPr="00523A64" w:rsidRDefault="00E95DB2">
      <w:r w:rsidRPr="00523A64">
        <w:t xml:space="preserve">STEM- science, technology, engineering and mathematics activities have been encouraged for </w:t>
      </w:r>
      <w:r w:rsidR="000A2E8C">
        <w:t>learners in the focus group</w:t>
      </w:r>
      <w:r w:rsidRPr="00523A64">
        <w:t xml:space="preserve"> from research by Caspi et, al (2022) due to its development in pursuing career aspirations in the subject. </w:t>
      </w:r>
    </w:p>
    <w:p w14:paraId="216A09EB" w14:textId="3206BAD2" w:rsidR="00C61343" w:rsidRPr="00523A64" w:rsidRDefault="00C61343" w:rsidP="00C61343">
      <w:r w:rsidRPr="00523A64">
        <w:t xml:space="preserve">There are many constructivist theorists who encourage the use of STEM projects for </w:t>
      </w:r>
      <w:r w:rsidR="000A2E8C">
        <w:t>the learners</w:t>
      </w:r>
      <w:r w:rsidRPr="00523A64">
        <w:t xml:space="preserve"> due to its fundamental requirements such as critical thinking and physical learning. The c</w:t>
      </w:r>
      <w:r w:rsidRPr="00523A64">
        <w:t xml:space="preserve">onstructivist learning theory, largely </w:t>
      </w:r>
      <w:r w:rsidR="00523A64" w:rsidRPr="00523A64">
        <w:t>credited</w:t>
      </w:r>
      <w:r w:rsidRPr="00523A64">
        <w:t xml:space="preserve"> to Jean Piaget and Lev Vygotsky, emphasi</w:t>
      </w:r>
      <w:r w:rsidR="00523A64" w:rsidRPr="00523A64">
        <w:t>s</w:t>
      </w:r>
      <w:r w:rsidRPr="00523A64">
        <w:t>es that children actively construct their understanding of the world through experiences and reflection (Piaget, 1952; Vygotsky, 1978). In the context of STEM education, this approach supports hands-on learning and encourages pupils to make connections between new knowledge and existing understanding.</w:t>
      </w:r>
    </w:p>
    <w:p w14:paraId="7C0B3B62" w14:textId="3361542C" w:rsidR="00C61343" w:rsidRPr="00523A64" w:rsidRDefault="00C61343" w:rsidP="00C61343">
      <w:r w:rsidRPr="00C61343">
        <w:t xml:space="preserve">For </w:t>
      </w:r>
      <w:r w:rsidR="005411D0">
        <w:t>the learners in question</w:t>
      </w:r>
      <w:r w:rsidRPr="00C61343">
        <w:t>, who are typically in Piaget’s concrete operational stage, learning is most effective when it involves manipulation of concrete objects and real-world problem solving. Constructivist strategies in STEM might include model building, experiments, and group discussions, which enable learners to form and revise their conceptual frameworks (Bruner, 1961).</w:t>
      </w:r>
    </w:p>
    <w:p w14:paraId="6F106089" w14:textId="5801BC66" w:rsidR="00D63BB7" w:rsidRPr="00D63BB7" w:rsidRDefault="00523A64" w:rsidP="00D63BB7">
      <w:r w:rsidRPr="00523A64">
        <w:t>Enquiry</w:t>
      </w:r>
      <w:r w:rsidRPr="00523A64">
        <w:t>-Based Learning is rooted in constructivist principles and promotes learning through questioning, investigation, and evidence-based reasoning (</w:t>
      </w:r>
      <w:proofErr w:type="spellStart"/>
      <w:r w:rsidRPr="00523A64">
        <w:t>Pedaste</w:t>
      </w:r>
      <w:proofErr w:type="spellEnd"/>
      <w:r w:rsidRPr="00523A64">
        <w:t xml:space="preserve"> et al., 2015). It aligns well with STEM because it mirrors the processes scientists and</w:t>
      </w:r>
      <w:r w:rsidR="00FE769A">
        <w:t xml:space="preserve"> </w:t>
      </w:r>
      <w:r w:rsidRPr="00523A64">
        <w:lastRenderedPageBreak/>
        <w:t>engineers use to explore and solve problems.</w:t>
      </w:r>
      <w:r w:rsidR="00D63BB7">
        <w:t xml:space="preserve"> E</w:t>
      </w:r>
      <w:r w:rsidR="00D63BB7" w:rsidRPr="00D63BB7">
        <w:t xml:space="preserve">nquiry-Based Learning encourages pupils to investigate problems, generate questions, and develop solutions through experimentation and reflection. The </w:t>
      </w:r>
      <w:r w:rsidR="00FE769A">
        <w:t>‘</w:t>
      </w:r>
      <w:r w:rsidR="00D63BB7" w:rsidRPr="00D63BB7">
        <w:t>Stop the Spread</w:t>
      </w:r>
      <w:r w:rsidR="00FE769A">
        <w:t>’</w:t>
      </w:r>
      <w:r w:rsidR="00D63BB7" w:rsidRPr="00D63BB7">
        <w:t xml:space="preserve"> project exemplifies this through a guided inquiry process in which pupils ask: “How can we design a device that encourages effective handwashing?” They hypothesise, build, test, and evaluate their machines, engaging in scientific reasoning and iterative learning.</w:t>
      </w:r>
    </w:p>
    <w:p w14:paraId="62546A5E" w14:textId="770174BE" w:rsidR="00D63BB7" w:rsidRPr="00D63BB7" w:rsidRDefault="00D63BB7" w:rsidP="00D63BB7">
      <w:proofErr w:type="spellStart"/>
      <w:r w:rsidRPr="00D63BB7">
        <w:t>Pedaste</w:t>
      </w:r>
      <w:proofErr w:type="spellEnd"/>
      <w:r w:rsidRPr="00D63BB7">
        <w:t xml:space="preserve"> et al. (2015) describe a five-phase </w:t>
      </w:r>
      <w:r>
        <w:t>enquiry-based learning</w:t>
      </w:r>
      <w:r w:rsidRPr="00D63BB7">
        <w:t xml:space="preserve"> cycle</w:t>
      </w:r>
      <w:r>
        <w:t xml:space="preserve"> </w:t>
      </w:r>
      <w:r w:rsidRPr="00D63BB7">
        <w:t xml:space="preserve">orientation, </w:t>
      </w:r>
      <w:r>
        <w:t>using concept in context</w:t>
      </w:r>
      <w:r w:rsidRPr="00D63BB7">
        <w:t xml:space="preserve"> investigation, conclusion, and discussion</w:t>
      </w:r>
      <w:r>
        <w:t xml:space="preserve"> </w:t>
      </w:r>
      <w:r w:rsidRPr="00D63BB7">
        <w:t>which can be applied here. However, younger pupils may initially lack the confidence or skills to manage open inquiry independently (</w:t>
      </w:r>
      <w:proofErr w:type="spellStart"/>
      <w:r w:rsidRPr="00D63BB7">
        <w:t>Hmelo</w:t>
      </w:r>
      <w:proofErr w:type="spellEnd"/>
      <w:r w:rsidRPr="00D63BB7">
        <w:t>-Silver et al., 2007). To mitigate this, teachers can scaffold the process using sentence starters, structured worksheets, and group role allocation to guide learning while still promoting autonomy. This aligns with Bruner’s (1961) notion of scaffolding as a method for supporting learners through increasingly complex tasks.</w:t>
      </w:r>
    </w:p>
    <w:p w14:paraId="5661EC41" w14:textId="11B12E59" w:rsidR="00523A64" w:rsidRPr="00523A64" w:rsidRDefault="00523A64" w:rsidP="00523A64">
      <w:r w:rsidRPr="00523A64">
        <w:t>In primary education (K</w:t>
      </w:r>
      <w:r w:rsidR="00D63BB7">
        <w:t>S2)</w:t>
      </w:r>
      <w:r w:rsidRPr="00523A64">
        <w:t xml:space="preserve">, </w:t>
      </w:r>
      <w:r w:rsidRPr="00523A64">
        <w:t>enquiry-based learning</w:t>
      </w:r>
      <w:r w:rsidRPr="00523A64">
        <w:t xml:space="preserve"> encourages curiosity and helps children develop critical thinking skills. Teachers act as facilitators, guiding </w:t>
      </w:r>
      <w:r w:rsidRPr="00523A64">
        <w:t>their learners</w:t>
      </w:r>
      <w:r w:rsidRPr="00523A64">
        <w:t xml:space="preserve"> as they pose questions, form hypotheses, conduct investigations, and draw conclusions. This method fosters deeper understanding and engagement with STEM content (</w:t>
      </w:r>
      <w:proofErr w:type="spellStart"/>
      <w:r w:rsidRPr="00523A64">
        <w:t>Hmelo</w:t>
      </w:r>
      <w:proofErr w:type="spellEnd"/>
      <w:r w:rsidRPr="00523A64">
        <w:t>-Silver et al., 2007).</w:t>
      </w:r>
    </w:p>
    <w:p w14:paraId="32A2BD8F" w14:textId="33ED7368" w:rsidR="00570486" w:rsidRPr="00570486" w:rsidRDefault="00570486" w:rsidP="00570486">
      <w:r w:rsidRPr="00570486">
        <w:t xml:space="preserve">Developmental psychology provides insight into the cognitive, emotional, and social characteristics of children aged </w:t>
      </w:r>
      <w:r>
        <w:t>in within the focus group,</w:t>
      </w:r>
      <w:r w:rsidRPr="00570486">
        <w:t xml:space="preserve"> guiding the design of appropriate STEM learning experiences. At this age, children are increasingly capable of logical thought, classification, and reversible operations, according to Piaget's stages of cognitive development (Piaget, 1952).</w:t>
      </w:r>
    </w:p>
    <w:p w14:paraId="284EF270" w14:textId="070F347C" w:rsidR="00570486" w:rsidRPr="00570486" w:rsidRDefault="00570486" w:rsidP="00570486">
      <w:r w:rsidRPr="00570486">
        <w:t xml:space="preserve">Vygotsky's concept of the Zone of Proximal Development (ZPD) is also highly relevant. It suggests that with appropriate scaffolding from teachers or peers, children can perform tasks they could not complete independently (Vygotsky, 1978). In STEM, this means using tools like guided questioning, peer collaboration, and </w:t>
      </w:r>
      <w:r w:rsidRPr="00570486">
        <w:t>modelling</w:t>
      </w:r>
      <w:r w:rsidRPr="00570486">
        <w:t xml:space="preserve"> to support learning</w:t>
      </w:r>
      <w:r>
        <w:t xml:space="preserve"> within both practices of experimenting and collating their work in the classroom. </w:t>
      </w:r>
      <w:r w:rsidR="00974B9E">
        <w:t xml:space="preserve">This will be done through creating group mind maps and constant collaborating and </w:t>
      </w:r>
      <w:r w:rsidR="001B7A89">
        <w:t>open-ended</w:t>
      </w:r>
      <w:r w:rsidR="00974B9E">
        <w:t xml:space="preserve"> questions strategized throughout the five sessions which this project will be completed in. </w:t>
      </w:r>
    </w:p>
    <w:p w14:paraId="7DBF28C0" w14:textId="00487BB8" w:rsidR="00570486" w:rsidRDefault="00570486" w:rsidP="00570486">
      <w:r>
        <w:t xml:space="preserve">In addition to this, </w:t>
      </w:r>
      <w:r w:rsidR="00963A5D">
        <w:t>Erikson’s</w:t>
      </w:r>
      <w:r>
        <w:t xml:space="preserve"> psychological theory indicates that children within this age group begin to master new skills such as critical problem solving and ‘thinking outside the box’ (Erikson, 1963). </w:t>
      </w:r>
      <w:r w:rsidR="00963A5D">
        <w:t xml:space="preserve">This is not only a lifelong skill but plays a pivotal role in STEM projects and tasks that builds confidence and motivates independent learning. </w:t>
      </w:r>
      <w:r w:rsidR="002C3D75">
        <w:t xml:space="preserve">By doing so, using assessment for learning practices such as ‘questioning and live marking’ will be implemented by gaging learner understanding to create an atmosphere of overall understanding and a positive learning environment. </w:t>
      </w:r>
      <w:r w:rsidR="00974B9E">
        <w:t xml:space="preserve">Testing learner knowledge alludes to a plethora of the ‘less able’ learners enquiring about the topic to create overall confidence. </w:t>
      </w:r>
    </w:p>
    <w:p w14:paraId="4CB28EA8" w14:textId="594FB177" w:rsidR="000A2E8C" w:rsidRDefault="000A2E8C" w:rsidP="000A2E8C">
      <w:r w:rsidRPr="000A2E8C">
        <w:t xml:space="preserve">The </w:t>
      </w:r>
      <w:r>
        <w:t>‘</w:t>
      </w:r>
      <w:r w:rsidRPr="000A2E8C">
        <w:t>Stop the Spread</w:t>
      </w:r>
      <w:r>
        <w:t>’</w:t>
      </w:r>
      <w:r w:rsidRPr="000A2E8C">
        <w:t xml:space="preserve"> STEM project, designed for </w:t>
      </w:r>
      <w:r w:rsidR="00AF6343">
        <w:t>the focus group</w:t>
      </w:r>
      <w:r w:rsidRPr="000A2E8C">
        <w:t>, draws on key educational theories to support learning. Constructivist theory (Piaget, 1952; Fosnot, 2013) underpins the project’s hands-on approach. By simulating germ transmission using glitter or UV gel and designing handwashing machines, pupils engage in concrete experiences that help them understand abstract concepts like hygiene and disease prevention.</w:t>
      </w:r>
      <w:r w:rsidR="00974B9E">
        <w:t xml:space="preserve"> By doing so, it is creating a visible and physical reality of the importance of </w:t>
      </w:r>
      <w:r w:rsidR="00974B9E">
        <w:lastRenderedPageBreak/>
        <w:t xml:space="preserve">safe hand washing and hygiene. There may be potential challenges which need to be addressed such as a ‘hypersensitivity’ to germs. As an emerging practitioner, it is my job to treat every learner with caution as not to cause psychological harm </w:t>
      </w:r>
      <w:r w:rsidR="001B7A89">
        <w:t xml:space="preserve">nor leave a fear of germs ‘germaphobe’ in the sessions. </w:t>
      </w:r>
    </w:p>
    <w:p w14:paraId="4CFDE61E" w14:textId="77777777" w:rsidR="009C002A" w:rsidRPr="009C002A" w:rsidRDefault="009C002A" w:rsidP="009C002A">
      <w:r w:rsidRPr="009C002A">
        <w:t>The theoretical foundations of constructivism, inquiry-based learning, and developmental psychology closely align with the Curriculum for Wales (Welsh Government, 2022) and the Professional Standards for Teaching and Leadership in Wales (Welsh Government, 2017). The curriculum promotes a holistic, learner-centred approach that nurtures ambitious, capable learners who are ready to learn throughout life. This mirrors Piaget’s (1952) and Fosnot’s (2013) constructivist view that children build understanding through active engagement and concrete experience.</w:t>
      </w:r>
    </w:p>
    <w:p w14:paraId="4371F6C6" w14:textId="5BD6C372" w:rsidR="009C002A" w:rsidRPr="009C002A" w:rsidRDefault="009C002A" w:rsidP="009C002A">
      <w:r w:rsidRPr="009C002A">
        <w:t xml:space="preserve">The </w:t>
      </w:r>
      <w:r w:rsidRPr="002C3D75">
        <w:t>‘</w:t>
      </w:r>
      <w:r w:rsidRPr="009C002A">
        <w:t>Stop the Spread</w:t>
      </w:r>
      <w:r w:rsidRPr="002C3D75">
        <w:t>’</w:t>
      </w:r>
      <w:r w:rsidRPr="009C002A">
        <w:t xml:space="preserve"> STEM activity reflects the ‘Science and Technology’ Area of Learning and Experience (</w:t>
      </w:r>
      <w:proofErr w:type="spellStart"/>
      <w:r w:rsidRPr="009C002A">
        <w:t>AoLE</w:t>
      </w:r>
      <w:proofErr w:type="spellEnd"/>
      <w:r w:rsidRPr="009C002A">
        <w:t xml:space="preserve">), encouraging pupils to solve real-world problems through exploration and critical thinking. Inquiry-based learning, as outlined by </w:t>
      </w:r>
      <w:proofErr w:type="spellStart"/>
      <w:r w:rsidRPr="009C002A">
        <w:t>Pedaste</w:t>
      </w:r>
      <w:proofErr w:type="spellEnd"/>
      <w:r w:rsidRPr="009C002A">
        <w:t xml:space="preserve"> et al. (2015), aligns with the curriculum’s emphasis on developing ethical, informed </w:t>
      </w:r>
      <w:r w:rsidRPr="002C3D75">
        <w:t>citizens</w:t>
      </w:r>
      <w:r w:rsidRPr="009C002A">
        <w:t xml:space="preserve"> and enterprising, creative contributors. </w:t>
      </w:r>
      <w:r w:rsidRPr="002C3D75">
        <w:t>learners</w:t>
      </w:r>
      <w:r w:rsidRPr="009C002A">
        <w:t xml:space="preserve"> investigate disease prevention, promoting both scientific literacy and social responsibility.</w:t>
      </w:r>
    </w:p>
    <w:p w14:paraId="0614D6A9" w14:textId="4D90DD91" w:rsidR="009C002A" w:rsidRPr="009C002A" w:rsidRDefault="009C002A" w:rsidP="009C002A">
      <w:r w:rsidRPr="009C002A">
        <w:t>Developmental theories from Vygotsky (1978) and Erikson (1963) also underpin the professional standard of understanding how learners develop, especially regarding collaboration, confidence-building, and differentiated support. Scaffolding within the Zone of Proximal Development (ZPD) reflects inclusive, responsive pedagogy, meeting pupils where they are and helping them progress</w:t>
      </w:r>
      <w:r w:rsidRPr="002C3D75">
        <w:t xml:space="preserve"> as aspiring STEM enthusiasts.</w:t>
      </w:r>
    </w:p>
    <w:p w14:paraId="7CBBC2F6" w14:textId="65AD0679" w:rsidR="009C002A" w:rsidRPr="009C002A" w:rsidRDefault="009C002A" w:rsidP="009C002A">
      <w:r w:rsidRPr="009C002A">
        <w:t>This project has deepened my understanding of how theory informs curriculum-aligned practice. I have gained insight into how child development theories support differentiation and how inquiry fosters independence and problem-solving. Going forward, I intend to strengthen my competence in formative assessment and questioning strategies</w:t>
      </w:r>
      <w:r w:rsidRPr="002C3D75">
        <w:t xml:space="preserve">, </w:t>
      </w:r>
      <w:r w:rsidRPr="009C002A">
        <w:t>key professional standards</w:t>
      </w:r>
      <w:r w:rsidRPr="002C3D75">
        <w:t xml:space="preserve">, </w:t>
      </w:r>
      <w:r w:rsidRPr="009C002A">
        <w:t>by engaging with further</w:t>
      </w:r>
      <w:r w:rsidR="002C3D75" w:rsidRPr="002C3D75">
        <w:t xml:space="preserve"> with reflective practices.</w:t>
      </w:r>
    </w:p>
    <w:p w14:paraId="4A334C08" w14:textId="77777777" w:rsidR="009C002A" w:rsidRPr="009C002A" w:rsidRDefault="009C002A" w:rsidP="009C002A">
      <w:r w:rsidRPr="009C002A">
        <w:t>Furthermore, I plan to explore digital learning tools to enhance STEM inquiry and to contribute to a collaborative professional learning community, which is central to the Curriculum for Wales’s vision of a dynamic and evolving teaching profession.</w:t>
      </w:r>
    </w:p>
    <w:p w14:paraId="2E7D3C0F" w14:textId="150341A3" w:rsidR="00D63BB7" w:rsidRDefault="00D63BB7" w:rsidP="000A2E8C">
      <w:pPr>
        <w:rPr>
          <w:b/>
          <w:bCs/>
          <w:u w:val="single"/>
        </w:rPr>
      </w:pPr>
      <w:r w:rsidRPr="00D63BB7">
        <w:rPr>
          <w:b/>
          <w:bCs/>
          <w:u w:val="single"/>
        </w:rPr>
        <w:t xml:space="preserve">Conclusion </w:t>
      </w:r>
    </w:p>
    <w:p w14:paraId="2768D56F" w14:textId="77777777" w:rsidR="00D63BB7" w:rsidRPr="00D63BB7" w:rsidRDefault="00D63BB7" w:rsidP="00D63BB7">
      <w:r w:rsidRPr="00D63BB7">
        <w:t>The application of educational theory in practical STEM contexts such as the “Stop the Spread” project demonstrates the value of aligning pedagogy with developmental stages and cognitive processes. Constructivist learning, inquiry-based strategies, and principles of developmental psychology collectively support effective, engaging, and meaningful learning experiences for pupils aged 7–11. While challenges such as conceptual abstraction, group dynamics, and communication barriers exist, thoughtful scaffolding and inclusive teaching strategies can ensure the success of such projects. Ultimately, integrating theory into practice not only enhances learning outcomes but also empowers pupils to become scientifically literate, collaborative problem-solvers.</w:t>
      </w:r>
    </w:p>
    <w:p w14:paraId="6C3A3F1A" w14:textId="77777777" w:rsidR="00D63BB7" w:rsidRPr="000A2E8C" w:rsidRDefault="00D63BB7" w:rsidP="000A2E8C"/>
    <w:p w14:paraId="7534C816" w14:textId="77777777" w:rsidR="004E317F" w:rsidRPr="004E317F" w:rsidRDefault="004E317F" w:rsidP="00570486"/>
    <w:p w14:paraId="7170B36D" w14:textId="77777777" w:rsidR="00963A5D" w:rsidRPr="00570486" w:rsidRDefault="00963A5D" w:rsidP="00570486"/>
    <w:p w14:paraId="0FA07D7C" w14:textId="77777777" w:rsidR="00523A64" w:rsidRPr="00C61343" w:rsidRDefault="00523A64" w:rsidP="00C61343"/>
    <w:p w14:paraId="772A426E" w14:textId="55F21596" w:rsidR="00E95DB2" w:rsidRPr="00523A64" w:rsidRDefault="00E95DB2" w:rsidP="00E95DB2"/>
    <w:p w14:paraId="558381BB" w14:textId="77777777" w:rsidR="00E95DB2" w:rsidRPr="00E95DB2" w:rsidRDefault="00E95DB2" w:rsidP="00E95DB2"/>
    <w:p w14:paraId="0C826529" w14:textId="7C0AADF7" w:rsidR="00E95DB2" w:rsidRDefault="00E95DB2" w:rsidP="00E95DB2">
      <w:pPr>
        <w:rPr>
          <w:b/>
          <w:bCs/>
          <w:u w:val="single"/>
        </w:rPr>
      </w:pPr>
      <w:r w:rsidRPr="002C3D75">
        <w:rPr>
          <w:b/>
          <w:bCs/>
          <w:u w:val="single"/>
        </w:rPr>
        <w:lastRenderedPageBreak/>
        <w:t xml:space="preserve">References </w:t>
      </w:r>
    </w:p>
    <w:p w14:paraId="023CBBF7" w14:textId="77777777" w:rsidR="001B7A89" w:rsidRPr="002C3D75" w:rsidRDefault="001B7A89" w:rsidP="00E95DB2">
      <w:pPr>
        <w:rPr>
          <w:b/>
          <w:bCs/>
          <w:u w:val="single"/>
        </w:rPr>
      </w:pPr>
    </w:p>
    <w:p w14:paraId="23905B49" w14:textId="77777777" w:rsidR="001B7A89" w:rsidRPr="001B7A89" w:rsidRDefault="001B7A89" w:rsidP="001B7A89">
      <w:r w:rsidRPr="001B7A89">
        <w:t xml:space="preserve">Piaget, J. (1952) </w:t>
      </w:r>
      <w:r w:rsidRPr="001B7A89">
        <w:rPr>
          <w:i/>
          <w:iCs/>
        </w:rPr>
        <w:t>The Origins of Intelligence in Children</w:t>
      </w:r>
      <w:r w:rsidRPr="001B7A89">
        <w:t>. New York: International Universities Press.</w:t>
      </w:r>
    </w:p>
    <w:p w14:paraId="740AC75F" w14:textId="77777777" w:rsidR="001B7A89" w:rsidRPr="001B7A89" w:rsidRDefault="001B7A89" w:rsidP="001B7A89">
      <w:r w:rsidRPr="001B7A89">
        <w:t xml:space="preserve">Erikson, E.H. (1963) </w:t>
      </w:r>
      <w:r w:rsidRPr="001B7A89">
        <w:rPr>
          <w:i/>
          <w:iCs/>
        </w:rPr>
        <w:t>Childhood and Society</w:t>
      </w:r>
      <w:r w:rsidRPr="001B7A89">
        <w:t>. New York: Norton.</w:t>
      </w:r>
    </w:p>
    <w:p w14:paraId="5C8F8F21" w14:textId="77777777" w:rsidR="001B7A89" w:rsidRPr="001B7A89" w:rsidRDefault="001B7A89" w:rsidP="001B7A89">
      <w:r w:rsidRPr="001B7A89">
        <w:t xml:space="preserve">Bruner, J.S. (1961) ‘The Act of Discovery’, </w:t>
      </w:r>
      <w:r w:rsidRPr="001B7A89">
        <w:rPr>
          <w:i/>
          <w:iCs/>
        </w:rPr>
        <w:t>Harvard Educational Review</w:t>
      </w:r>
      <w:r w:rsidRPr="001B7A89">
        <w:t>, 31(1), pp. 21–32.</w:t>
      </w:r>
    </w:p>
    <w:p w14:paraId="0A72DC81" w14:textId="77777777" w:rsidR="001B7A89" w:rsidRPr="001B7A89" w:rsidRDefault="001B7A89" w:rsidP="001B7A89">
      <w:r w:rsidRPr="001B7A89">
        <w:t xml:space="preserve">Vygotsky, L.S. (1978) </w:t>
      </w:r>
      <w:r w:rsidRPr="001B7A89">
        <w:rPr>
          <w:i/>
          <w:iCs/>
        </w:rPr>
        <w:t>Mind in Society: The Development of Higher Psychological Processes</w:t>
      </w:r>
      <w:r w:rsidRPr="001B7A89">
        <w:t>. Cambridge, MA: Harvard University Press.</w:t>
      </w:r>
    </w:p>
    <w:p w14:paraId="7381E979" w14:textId="77777777" w:rsidR="001B7A89" w:rsidRPr="001B7A89" w:rsidRDefault="001B7A89" w:rsidP="001B7A89">
      <w:r w:rsidRPr="001B7A89">
        <w:t xml:space="preserve">Department for Education (DfE) (2013) </w:t>
      </w:r>
      <w:r w:rsidRPr="001B7A89">
        <w:rPr>
          <w:i/>
          <w:iCs/>
        </w:rPr>
        <w:t>National Curriculum in England: Design and Technology Programmes of Study</w:t>
      </w:r>
      <w:r w:rsidRPr="001B7A89">
        <w:t>. Available at: https://www.gov.uk/government/publications/national-curriculum-in-england-design-and-technology-programmes-of-study (Accessed: [insert date]).</w:t>
      </w:r>
    </w:p>
    <w:p w14:paraId="59E6B207" w14:textId="77777777" w:rsidR="001B7A89" w:rsidRPr="001B7A89" w:rsidRDefault="001B7A89" w:rsidP="001B7A89">
      <w:r w:rsidRPr="001B7A89">
        <w:t xml:space="preserve">Fosnot, C.T. (2013) </w:t>
      </w:r>
      <w:r w:rsidRPr="001B7A89">
        <w:rPr>
          <w:i/>
          <w:iCs/>
        </w:rPr>
        <w:t>Constructivism: Theory, Perspectives, and Practice</w:t>
      </w:r>
      <w:r w:rsidRPr="001B7A89">
        <w:t>. New York: Teachers College Press.</w:t>
      </w:r>
    </w:p>
    <w:p w14:paraId="0248A61E" w14:textId="77777777" w:rsidR="001B7A89" w:rsidRPr="001B7A89" w:rsidRDefault="001B7A89" w:rsidP="001B7A89">
      <w:proofErr w:type="spellStart"/>
      <w:r w:rsidRPr="001B7A89">
        <w:t>Hmelo</w:t>
      </w:r>
      <w:proofErr w:type="spellEnd"/>
      <w:r w:rsidRPr="001B7A89">
        <w:t xml:space="preserve">-Silver, C.E., Duncan, R.G. and Chinn, C.A. (2007) ‘Scaffolding and achievement in problem-based and inquiry learning: A response to Kirschner, </w:t>
      </w:r>
      <w:proofErr w:type="spellStart"/>
      <w:r w:rsidRPr="001B7A89">
        <w:t>Sweller</w:t>
      </w:r>
      <w:proofErr w:type="spellEnd"/>
      <w:r w:rsidRPr="001B7A89">
        <w:t xml:space="preserve">, and Clark (2006)’, </w:t>
      </w:r>
      <w:r w:rsidRPr="001B7A89">
        <w:rPr>
          <w:i/>
          <w:iCs/>
        </w:rPr>
        <w:t>Educational Psychologist</w:t>
      </w:r>
      <w:r w:rsidRPr="001B7A89">
        <w:t>, 42(2), pp. 99–107.</w:t>
      </w:r>
    </w:p>
    <w:p w14:paraId="38196BC5" w14:textId="77777777" w:rsidR="001B7A89" w:rsidRPr="001B7A89" w:rsidRDefault="001B7A89" w:rsidP="001B7A89">
      <w:proofErr w:type="spellStart"/>
      <w:r w:rsidRPr="001B7A89">
        <w:t>Pedaste</w:t>
      </w:r>
      <w:proofErr w:type="spellEnd"/>
      <w:r w:rsidRPr="001B7A89">
        <w:t xml:space="preserve">, M. et al. (2015) ‘Phases of inquiry-based learning: Definitions and the inquiry cycle’, </w:t>
      </w:r>
      <w:r w:rsidRPr="001B7A89">
        <w:rPr>
          <w:i/>
          <w:iCs/>
        </w:rPr>
        <w:t>Educational Research Review</w:t>
      </w:r>
      <w:r w:rsidRPr="001B7A89">
        <w:t>, 14, pp. 47–61.</w:t>
      </w:r>
    </w:p>
    <w:p w14:paraId="4248381D" w14:textId="0FADFD2B" w:rsidR="001B7A89" w:rsidRPr="001B7A89" w:rsidRDefault="001B7A89" w:rsidP="001B7A89">
      <w:r w:rsidRPr="001B7A89">
        <w:t xml:space="preserve">World Health Organization (WHO) (2020) </w:t>
      </w:r>
      <w:r w:rsidRPr="001B7A89">
        <w:rPr>
          <w:i/>
          <w:iCs/>
        </w:rPr>
        <w:t>WHO Guidelines on Hand Hygiene in Health Care</w:t>
      </w:r>
      <w:r w:rsidRPr="001B7A89">
        <w:t xml:space="preserve">. Available at: </w:t>
      </w:r>
      <w:hyperlink r:id="rId7" w:tgtFrame="_new" w:history="1">
        <w:r w:rsidRPr="001B7A89">
          <w:rPr>
            <w:rStyle w:val="Hyperlink"/>
          </w:rPr>
          <w:t>https://www.who.int/publications/i/item/9789240015246</w:t>
        </w:r>
      </w:hyperlink>
      <w:r>
        <w:t>.</w:t>
      </w:r>
    </w:p>
    <w:p w14:paraId="679D8F51" w14:textId="20D61631" w:rsidR="001B7A89" w:rsidRPr="001B7A89" w:rsidRDefault="001B7A89" w:rsidP="001B7A89">
      <w:r w:rsidRPr="001B7A89">
        <w:t xml:space="preserve">Welsh Government (2017) </w:t>
      </w:r>
      <w:r w:rsidRPr="001B7A89">
        <w:rPr>
          <w:i/>
          <w:iCs/>
        </w:rPr>
        <w:t>Professional Standards for Teaching and Leadership</w:t>
      </w:r>
      <w:r w:rsidRPr="001B7A89">
        <w:t xml:space="preserve">. Available at: </w:t>
      </w:r>
      <w:hyperlink r:id="rId8" w:tgtFrame="_new" w:history="1">
        <w:r w:rsidRPr="001B7A89">
          <w:rPr>
            <w:rStyle w:val="Hyperlink"/>
          </w:rPr>
          <w:t>https://hwb.gov.wales/professional-development/professional-standards/</w:t>
        </w:r>
      </w:hyperlink>
      <w:r w:rsidRPr="001B7A89">
        <w:t xml:space="preserve"> </w:t>
      </w:r>
    </w:p>
    <w:p w14:paraId="22900E03" w14:textId="2DA9BFB2" w:rsidR="001B7A89" w:rsidRPr="001B7A89" w:rsidRDefault="001B7A89" w:rsidP="001B7A89">
      <w:r w:rsidRPr="001B7A89">
        <w:t xml:space="preserve">Welsh Government (2022) </w:t>
      </w:r>
      <w:r w:rsidRPr="001B7A89">
        <w:rPr>
          <w:i/>
          <w:iCs/>
        </w:rPr>
        <w:t>Curriculum for Wales Guidance</w:t>
      </w:r>
      <w:r w:rsidRPr="001B7A89">
        <w:t xml:space="preserve">. </w:t>
      </w:r>
      <w:hyperlink r:id="rId9" w:tgtFrame="_new" w:history="1">
        <w:r w:rsidRPr="001B7A89">
          <w:rPr>
            <w:rStyle w:val="Hyperlink"/>
          </w:rPr>
          <w:t>https://hwb.gov.wales/curriculum-for-wales/</w:t>
        </w:r>
      </w:hyperlink>
      <w:r w:rsidRPr="001B7A89">
        <w:t xml:space="preserve"> </w:t>
      </w:r>
    </w:p>
    <w:p w14:paraId="0B765F09" w14:textId="77777777" w:rsidR="001B7A89" w:rsidRPr="001B7A89" w:rsidRDefault="001B7A89" w:rsidP="001B7A89">
      <w:r w:rsidRPr="001B7A89">
        <w:t xml:space="preserve">Caspi, A., </w:t>
      </w:r>
      <w:proofErr w:type="spellStart"/>
      <w:r w:rsidRPr="001B7A89">
        <w:t>Gorsky</w:t>
      </w:r>
      <w:proofErr w:type="spellEnd"/>
      <w:r w:rsidRPr="001B7A89">
        <w:t xml:space="preserve">, P., </w:t>
      </w:r>
      <w:proofErr w:type="spellStart"/>
      <w:r w:rsidRPr="001B7A89">
        <w:t>Nitzani</w:t>
      </w:r>
      <w:proofErr w:type="spellEnd"/>
      <w:r w:rsidRPr="001B7A89">
        <w:t xml:space="preserve">-Hendel, R. and </w:t>
      </w:r>
      <w:proofErr w:type="spellStart"/>
      <w:r w:rsidRPr="001B7A89">
        <w:t>Shildhouse</w:t>
      </w:r>
      <w:proofErr w:type="spellEnd"/>
      <w:r w:rsidRPr="001B7A89">
        <w:t xml:space="preserve">, B. (2023) ‘STEM-oriented primary school children: participation in informal STEM programmes and career aspirations’, </w:t>
      </w:r>
      <w:r w:rsidRPr="001B7A89">
        <w:rPr>
          <w:i/>
          <w:iCs/>
        </w:rPr>
        <w:t>International Journal of Science Education</w:t>
      </w:r>
      <w:r w:rsidRPr="001B7A89">
        <w:t>, 45(11), pp. 923–945.</w:t>
      </w:r>
    </w:p>
    <w:p w14:paraId="0F6AAC2A" w14:textId="77777777" w:rsidR="00C23C44" w:rsidRPr="00523A64" w:rsidRDefault="00C23C44" w:rsidP="00523A64"/>
    <w:p w14:paraId="4BE4B226" w14:textId="77777777" w:rsidR="00523A64" w:rsidRPr="00523A64" w:rsidRDefault="00523A64" w:rsidP="00523A64"/>
    <w:p w14:paraId="37936A06" w14:textId="77777777" w:rsidR="00523A64" w:rsidRPr="00E95DB2" w:rsidRDefault="00523A64" w:rsidP="00E95DB2"/>
    <w:sectPr w:rsidR="00523A64" w:rsidRPr="00E95DB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DBC30B" w14:textId="77777777" w:rsidR="001A3060" w:rsidRDefault="001A3060" w:rsidP="00E95DB2">
      <w:r>
        <w:separator/>
      </w:r>
    </w:p>
  </w:endnote>
  <w:endnote w:type="continuationSeparator" w:id="0">
    <w:p w14:paraId="65000446" w14:textId="77777777" w:rsidR="001A3060" w:rsidRDefault="001A3060" w:rsidP="00E95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2ED550" w14:textId="77777777" w:rsidR="001A3060" w:rsidRDefault="001A3060" w:rsidP="00E95DB2">
      <w:r>
        <w:separator/>
      </w:r>
    </w:p>
  </w:footnote>
  <w:footnote w:type="continuationSeparator" w:id="0">
    <w:p w14:paraId="75C64432" w14:textId="77777777" w:rsidR="001A3060" w:rsidRDefault="001A3060" w:rsidP="00E95D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1922B5" w14:textId="3F1383F6" w:rsidR="00E95DB2" w:rsidRDefault="00E95DB2">
    <w:pPr>
      <w:pStyle w:val="Header"/>
    </w:pPr>
    <w:r>
      <w:t>ECAD501</w:t>
    </w:r>
    <w:r w:rsidR="001B7A89">
      <w:t>7-C</w:t>
    </w:r>
  </w:p>
  <w:p w14:paraId="05AAF7B6" w14:textId="344207E0" w:rsidR="001B7A89" w:rsidRDefault="001B7A89">
    <w:pPr>
      <w:pStyle w:val="Header"/>
    </w:pPr>
    <w:r>
      <w:t>2417359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073DE4"/>
    <w:multiLevelType w:val="multilevel"/>
    <w:tmpl w:val="05EA4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E50D4D"/>
    <w:multiLevelType w:val="multilevel"/>
    <w:tmpl w:val="D1A05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DE2FF9"/>
    <w:multiLevelType w:val="multilevel"/>
    <w:tmpl w:val="4D5AF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1F2F32"/>
    <w:multiLevelType w:val="multilevel"/>
    <w:tmpl w:val="9D22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7969982">
    <w:abstractNumId w:val="1"/>
  </w:num>
  <w:num w:numId="2" w16cid:durableId="685981622">
    <w:abstractNumId w:val="2"/>
  </w:num>
  <w:num w:numId="3" w16cid:durableId="1704286017">
    <w:abstractNumId w:val="0"/>
  </w:num>
  <w:num w:numId="4" w16cid:durableId="5257564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DB2"/>
    <w:rsid w:val="000A2E8C"/>
    <w:rsid w:val="001A3060"/>
    <w:rsid w:val="001B7A89"/>
    <w:rsid w:val="002C3D75"/>
    <w:rsid w:val="00310A71"/>
    <w:rsid w:val="003D1171"/>
    <w:rsid w:val="004E317F"/>
    <w:rsid w:val="0050073C"/>
    <w:rsid w:val="00523A64"/>
    <w:rsid w:val="005411D0"/>
    <w:rsid w:val="00570486"/>
    <w:rsid w:val="005D1AF3"/>
    <w:rsid w:val="0071450D"/>
    <w:rsid w:val="00753BDC"/>
    <w:rsid w:val="00947D8E"/>
    <w:rsid w:val="00963A5D"/>
    <w:rsid w:val="00974B9E"/>
    <w:rsid w:val="009C002A"/>
    <w:rsid w:val="00A37C3D"/>
    <w:rsid w:val="00AF6343"/>
    <w:rsid w:val="00C23C44"/>
    <w:rsid w:val="00C508D1"/>
    <w:rsid w:val="00C61343"/>
    <w:rsid w:val="00C6139A"/>
    <w:rsid w:val="00D63BB7"/>
    <w:rsid w:val="00E95DB2"/>
    <w:rsid w:val="00EC3853"/>
    <w:rsid w:val="00FA20B1"/>
    <w:rsid w:val="00FE7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A8A84"/>
  <w15:chartTrackingRefBased/>
  <w15:docId w15:val="{55C8AF5B-9BDB-944A-A7A9-9D673F904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5D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5D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5D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5D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5D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5DB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5DB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5DB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5DB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5D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5D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5D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5D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5D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5D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5D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5D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5DB2"/>
    <w:rPr>
      <w:rFonts w:eastAsiaTheme="majorEastAsia" w:cstheme="majorBidi"/>
      <w:color w:val="272727" w:themeColor="text1" w:themeTint="D8"/>
    </w:rPr>
  </w:style>
  <w:style w:type="paragraph" w:styleId="Title">
    <w:name w:val="Title"/>
    <w:basedOn w:val="Normal"/>
    <w:next w:val="Normal"/>
    <w:link w:val="TitleChar"/>
    <w:uiPriority w:val="10"/>
    <w:qFormat/>
    <w:rsid w:val="00E95DB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5D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5DB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5D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5DB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95DB2"/>
    <w:rPr>
      <w:i/>
      <w:iCs/>
      <w:color w:val="404040" w:themeColor="text1" w:themeTint="BF"/>
    </w:rPr>
  </w:style>
  <w:style w:type="paragraph" w:styleId="ListParagraph">
    <w:name w:val="List Paragraph"/>
    <w:basedOn w:val="Normal"/>
    <w:uiPriority w:val="34"/>
    <w:qFormat/>
    <w:rsid w:val="00E95DB2"/>
    <w:pPr>
      <w:ind w:left="720"/>
      <w:contextualSpacing/>
    </w:pPr>
  </w:style>
  <w:style w:type="character" w:styleId="IntenseEmphasis">
    <w:name w:val="Intense Emphasis"/>
    <w:basedOn w:val="DefaultParagraphFont"/>
    <w:uiPriority w:val="21"/>
    <w:qFormat/>
    <w:rsid w:val="00E95DB2"/>
    <w:rPr>
      <w:i/>
      <w:iCs/>
      <w:color w:val="0F4761" w:themeColor="accent1" w:themeShade="BF"/>
    </w:rPr>
  </w:style>
  <w:style w:type="paragraph" w:styleId="IntenseQuote">
    <w:name w:val="Intense Quote"/>
    <w:basedOn w:val="Normal"/>
    <w:next w:val="Normal"/>
    <w:link w:val="IntenseQuoteChar"/>
    <w:uiPriority w:val="30"/>
    <w:qFormat/>
    <w:rsid w:val="00E95D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5DB2"/>
    <w:rPr>
      <w:i/>
      <w:iCs/>
      <w:color w:val="0F4761" w:themeColor="accent1" w:themeShade="BF"/>
    </w:rPr>
  </w:style>
  <w:style w:type="character" w:styleId="IntenseReference">
    <w:name w:val="Intense Reference"/>
    <w:basedOn w:val="DefaultParagraphFont"/>
    <w:uiPriority w:val="32"/>
    <w:qFormat/>
    <w:rsid w:val="00E95DB2"/>
    <w:rPr>
      <w:b/>
      <w:bCs/>
      <w:smallCaps/>
      <w:color w:val="0F4761" w:themeColor="accent1" w:themeShade="BF"/>
      <w:spacing w:val="5"/>
    </w:rPr>
  </w:style>
  <w:style w:type="paragraph" w:styleId="Header">
    <w:name w:val="header"/>
    <w:basedOn w:val="Normal"/>
    <w:link w:val="HeaderChar"/>
    <w:uiPriority w:val="99"/>
    <w:unhideWhenUsed/>
    <w:rsid w:val="00E95DB2"/>
    <w:pPr>
      <w:tabs>
        <w:tab w:val="center" w:pos="4513"/>
        <w:tab w:val="right" w:pos="9026"/>
      </w:tabs>
    </w:pPr>
  </w:style>
  <w:style w:type="character" w:customStyle="1" w:styleId="HeaderChar">
    <w:name w:val="Header Char"/>
    <w:basedOn w:val="DefaultParagraphFont"/>
    <w:link w:val="Header"/>
    <w:uiPriority w:val="99"/>
    <w:rsid w:val="00E95DB2"/>
  </w:style>
  <w:style w:type="paragraph" w:styleId="Footer">
    <w:name w:val="footer"/>
    <w:basedOn w:val="Normal"/>
    <w:link w:val="FooterChar"/>
    <w:uiPriority w:val="99"/>
    <w:unhideWhenUsed/>
    <w:rsid w:val="00E95DB2"/>
    <w:pPr>
      <w:tabs>
        <w:tab w:val="center" w:pos="4513"/>
        <w:tab w:val="right" w:pos="9026"/>
      </w:tabs>
    </w:pPr>
  </w:style>
  <w:style w:type="character" w:customStyle="1" w:styleId="FooterChar">
    <w:name w:val="Footer Char"/>
    <w:basedOn w:val="DefaultParagraphFont"/>
    <w:link w:val="Footer"/>
    <w:uiPriority w:val="99"/>
    <w:rsid w:val="00E95DB2"/>
  </w:style>
  <w:style w:type="paragraph" w:styleId="NormalWeb">
    <w:name w:val="Normal (Web)"/>
    <w:basedOn w:val="Normal"/>
    <w:uiPriority w:val="99"/>
    <w:semiHidden/>
    <w:unhideWhenUsed/>
    <w:rsid w:val="00C61343"/>
    <w:rPr>
      <w:rFonts w:ascii="Times New Roman" w:hAnsi="Times New Roman" w:cs="Times New Roman"/>
    </w:rPr>
  </w:style>
  <w:style w:type="character" w:styleId="Hyperlink">
    <w:name w:val="Hyperlink"/>
    <w:basedOn w:val="DefaultParagraphFont"/>
    <w:uiPriority w:val="99"/>
    <w:unhideWhenUsed/>
    <w:rsid w:val="001B7A89"/>
    <w:rPr>
      <w:color w:val="467886" w:themeColor="hyperlink"/>
      <w:u w:val="single"/>
    </w:rPr>
  </w:style>
  <w:style w:type="character" w:styleId="UnresolvedMention">
    <w:name w:val="Unresolved Mention"/>
    <w:basedOn w:val="DefaultParagraphFont"/>
    <w:uiPriority w:val="99"/>
    <w:semiHidden/>
    <w:unhideWhenUsed/>
    <w:rsid w:val="001B7A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231181">
      <w:bodyDiv w:val="1"/>
      <w:marLeft w:val="0"/>
      <w:marRight w:val="0"/>
      <w:marTop w:val="0"/>
      <w:marBottom w:val="0"/>
      <w:divBdr>
        <w:top w:val="none" w:sz="0" w:space="0" w:color="auto"/>
        <w:left w:val="none" w:sz="0" w:space="0" w:color="auto"/>
        <w:bottom w:val="none" w:sz="0" w:space="0" w:color="auto"/>
        <w:right w:val="none" w:sz="0" w:space="0" w:color="auto"/>
      </w:divBdr>
    </w:div>
    <w:div w:id="157117041">
      <w:bodyDiv w:val="1"/>
      <w:marLeft w:val="0"/>
      <w:marRight w:val="0"/>
      <w:marTop w:val="0"/>
      <w:marBottom w:val="0"/>
      <w:divBdr>
        <w:top w:val="none" w:sz="0" w:space="0" w:color="auto"/>
        <w:left w:val="none" w:sz="0" w:space="0" w:color="auto"/>
        <w:bottom w:val="none" w:sz="0" w:space="0" w:color="auto"/>
        <w:right w:val="none" w:sz="0" w:space="0" w:color="auto"/>
      </w:divBdr>
    </w:div>
    <w:div w:id="221216393">
      <w:bodyDiv w:val="1"/>
      <w:marLeft w:val="0"/>
      <w:marRight w:val="0"/>
      <w:marTop w:val="0"/>
      <w:marBottom w:val="0"/>
      <w:divBdr>
        <w:top w:val="none" w:sz="0" w:space="0" w:color="auto"/>
        <w:left w:val="none" w:sz="0" w:space="0" w:color="auto"/>
        <w:bottom w:val="none" w:sz="0" w:space="0" w:color="auto"/>
        <w:right w:val="none" w:sz="0" w:space="0" w:color="auto"/>
      </w:divBdr>
    </w:div>
    <w:div w:id="256863632">
      <w:bodyDiv w:val="1"/>
      <w:marLeft w:val="0"/>
      <w:marRight w:val="0"/>
      <w:marTop w:val="0"/>
      <w:marBottom w:val="0"/>
      <w:divBdr>
        <w:top w:val="none" w:sz="0" w:space="0" w:color="auto"/>
        <w:left w:val="none" w:sz="0" w:space="0" w:color="auto"/>
        <w:bottom w:val="none" w:sz="0" w:space="0" w:color="auto"/>
        <w:right w:val="none" w:sz="0" w:space="0" w:color="auto"/>
      </w:divBdr>
    </w:div>
    <w:div w:id="278607508">
      <w:bodyDiv w:val="1"/>
      <w:marLeft w:val="0"/>
      <w:marRight w:val="0"/>
      <w:marTop w:val="0"/>
      <w:marBottom w:val="0"/>
      <w:divBdr>
        <w:top w:val="none" w:sz="0" w:space="0" w:color="auto"/>
        <w:left w:val="none" w:sz="0" w:space="0" w:color="auto"/>
        <w:bottom w:val="none" w:sz="0" w:space="0" w:color="auto"/>
        <w:right w:val="none" w:sz="0" w:space="0" w:color="auto"/>
      </w:divBdr>
    </w:div>
    <w:div w:id="309528016">
      <w:bodyDiv w:val="1"/>
      <w:marLeft w:val="0"/>
      <w:marRight w:val="0"/>
      <w:marTop w:val="0"/>
      <w:marBottom w:val="0"/>
      <w:divBdr>
        <w:top w:val="none" w:sz="0" w:space="0" w:color="auto"/>
        <w:left w:val="none" w:sz="0" w:space="0" w:color="auto"/>
        <w:bottom w:val="none" w:sz="0" w:space="0" w:color="auto"/>
        <w:right w:val="none" w:sz="0" w:space="0" w:color="auto"/>
      </w:divBdr>
    </w:div>
    <w:div w:id="440685812">
      <w:bodyDiv w:val="1"/>
      <w:marLeft w:val="0"/>
      <w:marRight w:val="0"/>
      <w:marTop w:val="0"/>
      <w:marBottom w:val="0"/>
      <w:divBdr>
        <w:top w:val="none" w:sz="0" w:space="0" w:color="auto"/>
        <w:left w:val="none" w:sz="0" w:space="0" w:color="auto"/>
        <w:bottom w:val="none" w:sz="0" w:space="0" w:color="auto"/>
        <w:right w:val="none" w:sz="0" w:space="0" w:color="auto"/>
      </w:divBdr>
    </w:div>
    <w:div w:id="455024253">
      <w:bodyDiv w:val="1"/>
      <w:marLeft w:val="0"/>
      <w:marRight w:val="0"/>
      <w:marTop w:val="0"/>
      <w:marBottom w:val="0"/>
      <w:divBdr>
        <w:top w:val="none" w:sz="0" w:space="0" w:color="auto"/>
        <w:left w:val="none" w:sz="0" w:space="0" w:color="auto"/>
        <w:bottom w:val="none" w:sz="0" w:space="0" w:color="auto"/>
        <w:right w:val="none" w:sz="0" w:space="0" w:color="auto"/>
      </w:divBdr>
    </w:div>
    <w:div w:id="494227977">
      <w:bodyDiv w:val="1"/>
      <w:marLeft w:val="0"/>
      <w:marRight w:val="0"/>
      <w:marTop w:val="0"/>
      <w:marBottom w:val="0"/>
      <w:divBdr>
        <w:top w:val="none" w:sz="0" w:space="0" w:color="auto"/>
        <w:left w:val="none" w:sz="0" w:space="0" w:color="auto"/>
        <w:bottom w:val="none" w:sz="0" w:space="0" w:color="auto"/>
        <w:right w:val="none" w:sz="0" w:space="0" w:color="auto"/>
      </w:divBdr>
    </w:div>
    <w:div w:id="566064649">
      <w:bodyDiv w:val="1"/>
      <w:marLeft w:val="0"/>
      <w:marRight w:val="0"/>
      <w:marTop w:val="0"/>
      <w:marBottom w:val="0"/>
      <w:divBdr>
        <w:top w:val="none" w:sz="0" w:space="0" w:color="auto"/>
        <w:left w:val="none" w:sz="0" w:space="0" w:color="auto"/>
        <w:bottom w:val="none" w:sz="0" w:space="0" w:color="auto"/>
        <w:right w:val="none" w:sz="0" w:space="0" w:color="auto"/>
      </w:divBdr>
    </w:div>
    <w:div w:id="600842164">
      <w:bodyDiv w:val="1"/>
      <w:marLeft w:val="0"/>
      <w:marRight w:val="0"/>
      <w:marTop w:val="0"/>
      <w:marBottom w:val="0"/>
      <w:divBdr>
        <w:top w:val="none" w:sz="0" w:space="0" w:color="auto"/>
        <w:left w:val="none" w:sz="0" w:space="0" w:color="auto"/>
        <w:bottom w:val="none" w:sz="0" w:space="0" w:color="auto"/>
        <w:right w:val="none" w:sz="0" w:space="0" w:color="auto"/>
      </w:divBdr>
    </w:div>
    <w:div w:id="659187930">
      <w:bodyDiv w:val="1"/>
      <w:marLeft w:val="0"/>
      <w:marRight w:val="0"/>
      <w:marTop w:val="0"/>
      <w:marBottom w:val="0"/>
      <w:divBdr>
        <w:top w:val="none" w:sz="0" w:space="0" w:color="auto"/>
        <w:left w:val="none" w:sz="0" w:space="0" w:color="auto"/>
        <w:bottom w:val="none" w:sz="0" w:space="0" w:color="auto"/>
        <w:right w:val="none" w:sz="0" w:space="0" w:color="auto"/>
      </w:divBdr>
    </w:div>
    <w:div w:id="704257906">
      <w:bodyDiv w:val="1"/>
      <w:marLeft w:val="0"/>
      <w:marRight w:val="0"/>
      <w:marTop w:val="0"/>
      <w:marBottom w:val="0"/>
      <w:divBdr>
        <w:top w:val="none" w:sz="0" w:space="0" w:color="auto"/>
        <w:left w:val="none" w:sz="0" w:space="0" w:color="auto"/>
        <w:bottom w:val="none" w:sz="0" w:space="0" w:color="auto"/>
        <w:right w:val="none" w:sz="0" w:space="0" w:color="auto"/>
      </w:divBdr>
    </w:div>
    <w:div w:id="742875705">
      <w:bodyDiv w:val="1"/>
      <w:marLeft w:val="0"/>
      <w:marRight w:val="0"/>
      <w:marTop w:val="0"/>
      <w:marBottom w:val="0"/>
      <w:divBdr>
        <w:top w:val="none" w:sz="0" w:space="0" w:color="auto"/>
        <w:left w:val="none" w:sz="0" w:space="0" w:color="auto"/>
        <w:bottom w:val="none" w:sz="0" w:space="0" w:color="auto"/>
        <w:right w:val="none" w:sz="0" w:space="0" w:color="auto"/>
      </w:divBdr>
    </w:div>
    <w:div w:id="918709891">
      <w:bodyDiv w:val="1"/>
      <w:marLeft w:val="0"/>
      <w:marRight w:val="0"/>
      <w:marTop w:val="0"/>
      <w:marBottom w:val="0"/>
      <w:divBdr>
        <w:top w:val="none" w:sz="0" w:space="0" w:color="auto"/>
        <w:left w:val="none" w:sz="0" w:space="0" w:color="auto"/>
        <w:bottom w:val="none" w:sz="0" w:space="0" w:color="auto"/>
        <w:right w:val="none" w:sz="0" w:space="0" w:color="auto"/>
      </w:divBdr>
    </w:div>
    <w:div w:id="942147900">
      <w:bodyDiv w:val="1"/>
      <w:marLeft w:val="0"/>
      <w:marRight w:val="0"/>
      <w:marTop w:val="0"/>
      <w:marBottom w:val="0"/>
      <w:divBdr>
        <w:top w:val="none" w:sz="0" w:space="0" w:color="auto"/>
        <w:left w:val="none" w:sz="0" w:space="0" w:color="auto"/>
        <w:bottom w:val="none" w:sz="0" w:space="0" w:color="auto"/>
        <w:right w:val="none" w:sz="0" w:space="0" w:color="auto"/>
      </w:divBdr>
    </w:div>
    <w:div w:id="1068772904">
      <w:bodyDiv w:val="1"/>
      <w:marLeft w:val="0"/>
      <w:marRight w:val="0"/>
      <w:marTop w:val="0"/>
      <w:marBottom w:val="0"/>
      <w:divBdr>
        <w:top w:val="none" w:sz="0" w:space="0" w:color="auto"/>
        <w:left w:val="none" w:sz="0" w:space="0" w:color="auto"/>
        <w:bottom w:val="none" w:sz="0" w:space="0" w:color="auto"/>
        <w:right w:val="none" w:sz="0" w:space="0" w:color="auto"/>
      </w:divBdr>
    </w:div>
    <w:div w:id="1136532942">
      <w:bodyDiv w:val="1"/>
      <w:marLeft w:val="0"/>
      <w:marRight w:val="0"/>
      <w:marTop w:val="0"/>
      <w:marBottom w:val="0"/>
      <w:divBdr>
        <w:top w:val="none" w:sz="0" w:space="0" w:color="auto"/>
        <w:left w:val="none" w:sz="0" w:space="0" w:color="auto"/>
        <w:bottom w:val="none" w:sz="0" w:space="0" w:color="auto"/>
        <w:right w:val="none" w:sz="0" w:space="0" w:color="auto"/>
      </w:divBdr>
    </w:div>
    <w:div w:id="1363169705">
      <w:bodyDiv w:val="1"/>
      <w:marLeft w:val="0"/>
      <w:marRight w:val="0"/>
      <w:marTop w:val="0"/>
      <w:marBottom w:val="0"/>
      <w:divBdr>
        <w:top w:val="none" w:sz="0" w:space="0" w:color="auto"/>
        <w:left w:val="none" w:sz="0" w:space="0" w:color="auto"/>
        <w:bottom w:val="none" w:sz="0" w:space="0" w:color="auto"/>
        <w:right w:val="none" w:sz="0" w:space="0" w:color="auto"/>
      </w:divBdr>
    </w:div>
    <w:div w:id="1404713850">
      <w:bodyDiv w:val="1"/>
      <w:marLeft w:val="0"/>
      <w:marRight w:val="0"/>
      <w:marTop w:val="0"/>
      <w:marBottom w:val="0"/>
      <w:divBdr>
        <w:top w:val="none" w:sz="0" w:space="0" w:color="auto"/>
        <w:left w:val="none" w:sz="0" w:space="0" w:color="auto"/>
        <w:bottom w:val="none" w:sz="0" w:space="0" w:color="auto"/>
        <w:right w:val="none" w:sz="0" w:space="0" w:color="auto"/>
      </w:divBdr>
    </w:div>
    <w:div w:id="1422800246">
      <w:bodyDiv w:val="1"/>
      <w:marLeft w:val="0"/>
      <w:marRight w:val="0"/>
      <w:marTop w:val="0"/>
      <w:marBottom w:val="0"/>
      <w:divBdr>
        <w:top w:val="none" w:sz="0" w:space="0" w:color="auto"/>
        <w:left w:val="none" w:sz="0" w:space="0" w:color="auto"/>
        <w:bottom w:val="none" w:sz="0" w:space="0" w:color="auto"/>
        <w:right w:val="none" w:sz="0" w:space="0" w:color="auto"/>
      </w:divBdr>
    </w:div>
    <w:div w:id="1756895003">
      <w:bodyDiv w:val="1"/>
      <w:marLeft w:val="0"/>
      <w:marRight w:val="0"/>
      <w:marTop w:val="0"/>
      <w:marBottom w:val="0"/>
      <w:divBdr>
        <w:top w:val="none" w:sz="0" w:space="0" w:color="auto"/>
        <w:left w:val="none" w:sz="0" w:space="0" w:color="auto"/>
        <w:bottom w:val="none" w:sz="0" w:space="0" w:color="auto"/>
        <w:right w:val="none" w:sz="0" w:space="0" w:color="auto"/>
      </w:divBdr>
    </w:div>
    <w:div w:id="1872452269">
      <w:bodyDiv w:val="1"/>
      <w:marLeft w:val="0"/>
      <w:marRight w:val="0"/>
      <w:marTop w:val="0"/>
      <w:marBottom w:val="0"/>
      <w:divBdr>
        <w:top w:val="none" w:sz="0" w:space="0" w:color="auto"/>
        <w:left w:val="none" w:sz="0" w:space="0" w:color="auto"/>
        <w:bottom w:val="none" w:sz="0" w:space="0" w:color="auto"/>
        <w:right w:val="none" w:sz="0" w:space="0" w:color="auto"/>
      </w:divBdr>
    </w:div>
    <w:div w:id="1907446772">
      <w:bodyDiv w:val="1"/>
      <w:marLeft w:val="0"/>
      <w:marRight w:val="0"/>
      <w:marTop w:val="0"/>
      <w:marBottom w:val="0"/>
      <w:divBdr>
        <w:top w:val="none" w:sz="0" w:space="0" w:color="auto"/>
        <w:left w:val="none" w:sz="0" w:space="0" w:color="auto"/>
        <w:bottom w:val="none" w:sz="0" w:space="0" w:color="auto"/>
        <w:right w:val="none" w:sz="0" w:space="0" w:color="auto"/>
      </w:divBdr>
    </w:div>
    <w:div w:id="1929539487">
      <w:bodyDiv w:val="1"/>
      <w:marLeft w:val="0"/>
      <w:marRight w:val="0"/>
      <w:marTop w:val="0"/>
      <w:marBottom w:val="0"/>
      <w:divBdr>
        <w:top w:val="none" w:sz="0" w:space="0" w:color="auto"/>
        <w:left w:val="none" w:sz="0" w:space="0" w:color="auto"/>
        <w:bottom w:val="none" w:sz="0" w:space="0" w:color="auto"/>
        <w:right w:val="none" w:sz="0" w:space="0" w:color="auto"/>
      </w:divBdr>
    </w:div>
    <w:div w:id="2145270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professional-development/professional-standards/" TargetMode="External"/><Relationship Id="rId3" Type="http://schemas.openxmlformats.org/officeDocument/2006/relationships/settings" Target="settings.xml"/><Relationship Id="rId7" Type="http://schemas.openxmlformats.org/officeDocument/2006/relationships/hyperlink" Target="https://www.who.int/publications/i/item/978924001524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hwb.gov.wales/curriculum-for-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4</Pages>
  <Words>1681</Words>
  <Characters>10845</Characters>
  <Application>Microsoft Office Word</Application>
  <DocSecurity>0</DocSecurity>
  <Lines>174</Lines>
  <Paragraphs>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12484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Khadiza Mosabbir (2417359)</dc:creator>
  <cp:keywords/>
  <dc:description/>
  <cp:lastModifiedBy>Khadiza Mosabbir (2417359)</cp:lastModifiedBy>
  <cp:revision>2</cp:revision>
  <dcterms:created xsi:type="dcterms:W3CDTF">2025-05-27T10:23:00Z</dcterms:created>
  <dcterms:modified xsi:type="dcterms:W3CDTF">2025-05-27T12:11:00Z</dcterms:modified>
  <cp:category/>
</cp:coreProperties>
</file>