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B9605" w14:textId="77777777" w:rsidR="00266D61" w:rsidRDefault="00266D61" w:rsidP="005D579C">
      <w:pPr>
        <w:spacing w:line="360" w:lineRule="auto"/>
        <w:rPr>
          <w:rFonts w:ascii="Arial" w:hAnsi="Arial" w:cs="Arial"/>
          <w:b/>
          <w:bCs/>
          <w:sz w:val="24"/>
          <w:szCs w:val="24"/>
          <w:u w:val="single"/>
        </w:rPr>
      </w:pPr>
    </w:p>
    <w:p w14:paraId="06275DB7" w14:textId="3C2DB78C" w:rsidR="00266D61" w:rsidRDefault="00266D61" w:rsidP="00266D61">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46675B53" wp14:editId="3DD8AB3A">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2F42F1CD" w14:textId="77777777" w:rsidR="00266D61" w:rsidRDefault="00266D61" w:rsidP="00266D61">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66D61" w14:paraId="439A2556" w14:textId="77777777" w:rsidTr="00266D61">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643016B" w14:textId="77777777" w:rsidR="00266D61" w:rsidRDefault="00266D61">
            <w:pPr>
              <w:pStyle w:val="Heading4"/>
              <w:rPr>
                <w:rFonts w:ascii="Arial" w:hAnsi="Arial" w:cs="Arial"/>
                <w:b/>
                <w:lang w:eastAsia="en-US"/>
              </w:rPr>
            </w:pPr>
            <w:r>
              <w:rPr>
                <w:rFonts w:ascii="Arial" w:hAnsi="Arial" w:cs="Arial"/>
                <w:b/>
                <w:lang w:eastAsia="en-US"/>
              </w:rPr>
              <w:t xml:space="preserve">LEVEL 4 ASSESSMENT SPECIFICATION </w:t>
            </w:r>
          </w:p>
        </w:tc>
      </w:tr>
    </w:tbl>
    <w:p w14:paraId="0B972851" w14:textId="77777777" w:rsidR="00266D61" w:rsidRDefault="00266D61" w:rsidP="00266D61">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66D61" w14:paraId="7EACEAA6"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0F25742" w14:textId="77777777" w:rsidR="00266D61" w:rsidRDefault="00266D61">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2C0A62C8" w14:textId="6E544AC7" w:rsidR="00266D61" w:rsidRDefault="00266D61">
            <w:pPr>
              <w:spacing w:before="120" w:after="120"/>
              <w:jc w:val="both"/>
              <w:rPr>
                <w:rFonts w:ascii="Arial" w:hAnsi="Arial" w:cs="Arial"/>
                <w:b/>
              </w:rPr>
            </w:pPr>
            <w:r>
              <w:rPr>
                <w:rFonts w:ascii="Arial" w:hAnsi="Arial" w:cs="Arial"/>
                <w:b/>
              </w:rPr>
              <w:t>Ionut-Marius Pantiru</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57C6A66" w14:textId="77777777" w:rsidR="00266D61" w:rsidRDefault="00266D61">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310A996E" w14:textId="163D1366" w:rsidR="00266D61" w:rsidRPr="00266D61" w:rsidRDefault="00266D61">
            <w:pPr>
              <w:spacing w:before="120" w:after="120"/>
              <w:jc w:val="both"/>
              <w:rPr>
                <w:rFonts w:ascii="Arial" w:hAnsi="Arial" w:cs="Arial"/>
                <w:b/>
                <w:sz w:val="24"/>
                <w:szCs w:val="24"/>
              </w:rPr>
            </w:pPr>
            <w:r w:rsidRPr="00266D61">
              <w:rPr>
                <w:rFonts w:ascii="Arial" w:hAnsi="Arial" w:cs="Arial"/>
                <w:color w:val="333333"/>
                <w:sz w:val="24"/>
                <w:szCs w:val="24"/>
                <w:shd w:val="clear" w:color="auto" w:fill="F0F3F4"/>
              </w:rPr>
              <w:t>2213443</w:t>
            </w:r>
          </w:p>
        </w:tc>
      </w:tr>
      <w:tr w:rsidR="00266D61" w14:paraId="035C5934"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AB2CC67" w14:textId="77777777" w:rsidR="00266D61" w:rsidRDefault="00266D61">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8586D0D" w14:textId="77777777" w:rsidR="00266D61" w:rsidRDefault="00266D61">
            <w:pPr>
              <w:spacing w:before="120" w:after="120"/>
              <w:jc w:val="both"/>
              <w:rPr>
                <w:rFonts w:ascii="Arial" w:hAnsi="Arial" w:cs="Arial"/>
                <w:b/>
              </w:rPr>
            </w:pPr>
            <w:r>
              <w:rPr>
                <w:rFonts w:ascii="Arial" w:hAnsi="Arial" w:cs="Arial"/>
                <w:b/>
              </w:rPr>
              <w:t>Law and Legal Practice</w:t>
            </w:r>
          </w:p>
        </w:tc>
      </w:tr>
      <w:tr w:rsidR="00266D61" w14:paraId="6BD405F4"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8D6CC54" w14:textId="77777777" w:rsidR="00266D61" w:rsidRDefault="00266D61">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33695AFA" w14:textId="77777777" w:rsidR="00266D61" w:rsidRDefault="00266D61">
            <w:pPr>
              <w:spacing w:before="120" w:after="120"/>
              <w:jc w:val="both"/>
              <w:rPr>
                <w:rFonts w:ascii="Arial" w:hAnsi="Arial" w:cs="Arial"/>
                <w:b/>
              </w:rPr>
            </w:pPr>
            <w:r>
              <w:rPr>
                <w:rFonts w:ascii="Arial" w:hAnsi="Arial" w:cs="Arial"/>
                <w:b/>
              </w:rPr>
              <w:t>Criminal Litigation</w:t>
            </w:r>
          </w:p>
        </w:tc>
      </w:tr>
      <w:tr w:rsidR="00266D61" w14:paraId="12A0A7C1"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FF55960" w14:textId="77777777" w:rsidR="00266D61" w:rsidRDefault="00266D61">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42729BE8" w14:textId="77777777" w:rsidR="00266D61" w:rsidRDefault="00266D61">
            <w:pPr>
              <w:spacing w:before="120" w:after="120"/>
              <w:jc w:val="both"/>
              <w:rPr>
                <w:rFonts w:ascii="Arial" w:hAnsi="Arial" w:cs="Arial"/>
                <w:b/>
              </w:rPr>
            </w:pPr>
            <w:r>
              <w:rPr>
                <w:rFonts w:ascii="Arial" w:hAnsi="Arial" w:cs="Arial"/>
                <w:b/>
              </w:rPr>
              <w:t>BMLW4000</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1D3D990" w14:textId="77777777" w:rsidR="00266D61" w:rsidRDefault="00266D61">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774E51AF" w14:textId="77777777" w:rsidR="00266D61" w:rsidRDefault="00266D61">
            <w:pPr>
              <w:spacing w:before="120" w:after="120"/>
              <w:jc w:val="both"/>
              <w:rPr>
                <w:rFonts w:ascii="Arial" w:hAnsi="Arial" w:cs="Arial"/>
                <w:b/>
              </w:rPr>
            </w:pPr>
            <w:r>
              <w:rPr>
                <w:rFonts w:ascii="Arial" w:hAnsi="Arial" w:cs="Arial"/>
                <w:b/>
              </w:rPr>
              <w:t>50%</w:t>
            </w:r>
          </w:p>
        </w:tc>
      </w:tr>
      <w:tr w:rsidR="00266D61" w14:paraId="2606C4E4"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8505049" w14:textId="77777777" w:rsidR="00266D61" w:rsidRDefault="00266D61">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7C24CAB2" w14:textId="77777777" w:rsidR="00266D61" w:rsidRDefault="00266D61">
            <w:pPr>
              <w:spacing w:before="120" w:after="120"/>
              <w:jc w:val="both"/>
              <w:rPr>
                <w:rFonts w:ascii="Arial" w:hAnsi="Arial" w:cs="Arial"/>
                <w:b/>
              </w:rPr>
            </w:pPr>
            <w:r>
              <w:rPr>
                <w:rFonts w:ascii="Arial" w:hAnsi="Arial" w:cs="Arial"/>
                <w:b/>
              </w:rPr>
              <w:t>James Drew</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A810820" w14:textId="77777777" w:rsidR="00266D61" w:rsidRDefault="00266D61">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33217809" w14:textId="77777777" w:rsidR="00266D61" w:rsidRDefault="00266D61">
            <w:pPr>
              <w:spacing w:before="120" w:after="120"/>
              <w:jc w:val="both"/>
              <w:rPr>
                <w:rFonts w:ascii="Arial" w:hAnsi="Arial" w:cs="Arial"/>
                <w:b/>
              </w:rPr>
            </w:pPr>
            <w:r>
              <w:rPr>
                <w:rFonts w:ascii="Arial" w:hAnsi="Arial" w:cs="Arial"/>
                <w:b/>
              </w:rPr>
              <w:t>Sian Turvey</w:t>
            </w:r>
          </w:p>
        </w:tc>
      </w:tr>
      <w:tr w:rsidR="00266D61" w14:paraId="1B3BB07A" w14:textId="77777777" w:rsidTr="00266D61">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CBC2D93" w14:textId="77777777" w:rsidR="00266D61" w:rsidRDefault="00266D61">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0A2D5CF0" w14:textId="77777777" w:rsidR="00266D61" w:rsidRDefault="00266D61">
            <w:pPr>
              <w:spacing w:before="120" w:after="120"/>
              <w:jc w:val="both"/>
              <w:rPr>
                <w:rFonts w:ascii="Arial" w:hAnsi="Arial" w:cs="Arial"/>
                <w:b/>
              </w:rPr>
            </w:pPr>
            <w:r>
              <w:rPr>
                <w:rFonts w:ascii="Arial" w:hAnsi="Arial" w:cs="Arial"/>
                <w:b/>
              </w:rPr>
              <w:t xml:space="preserve">The Case of Miss Sarah Jones </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09531279" w14:textId="77777777" w:rsidR="00266D61" w:rsidRDefault="00266D61">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52F850AC" w14:textId="77777777" w:rsidR="00266D61" w:rsidRDefault="00266D61">
            <w:pPr>
              <w:spacing w:before="120" w:after="120"/>
              <w:jc w:val="both"/>
              <w:rPr>
                <w:rFonts w:ascii="Arial" w:hAnsi="Arial" w:cs="Arial"/>
                <w:b/>
              </w:rPr>
            </w:pPr>
            <w:r>
              <w:rPr>
                <w:rFonts w:ascii="Arial" w:hAnsi="Arial" w:cs="Arial"/>
                <w:b/>
              </w:rPr>
              <w:t>1500</w:t>
            </w:r>
          </w:p>
        </w:tc>
      </w:tr>
    </w:tbl>
    <w:p w14:paraId="3E14D93E" w14:textId="77777777" w:rsidR="00266D61" w:rsidRDefault="00266D61">
      <w:pPr>
        <w:rPr>
          <w:rFonts w:ascii="Arial" w:hAnsi="Arial" w:cs="Arial"/>
          <w:b/>
          <w:bCs/>
          <w:sz w:val="24"/>
          <w:szCs w:val="24"/>
          <w:u w:val="single"/>
        </w:rPr>
      </w:pPr>
      <w:r>
        <w:rPr>
          <w:rFonts w:ascii="Arial" w:hAnsi="Arial" w:cs="Arial"/>
          <w:b/>
          <w:bCs/>
          <w:sz w:val="24"/>
          <w:szCs w:val="24"/>
          <w:u w:val="single"/>
        </w:rPr>
        <w:br w:type="page"/>
      </w:r>
    </w:p>
    <w:p w14:paraId="388BF34C" w14:textId="0EA72A77" w:rsidR="00AD4D62" w:rsidRPr="005D579C" w:rsidRDefault="00AD4D62" w:rsidP="005D579C">
      <w:pPr>
        <w:spacing w:line="360" w:lineRule="auto"/>
        <w:rPr>
          <w:rFonts w:ascii="Arial" w:hAnsi="Arial" w:cs="Arial"/>
          <w:b/>
          <w:bCs/>
          <w:sz w:val="24"/>
          <w:szCs w:val="24"/>
          <w:u w:val="single"/>
        </w:rPr>
      </w:pPr>
      <w:r w:rsidRPr="005D579C">
        <w:rPr>
          <w:rFonts w:ascii="Arial" w:hAnsi="Arial" w:cs="Arial"/>
          <w:b/>
          <w:bCs/>
          <w:sz w:val="24"/>
          <w:szCs w:val="24"/>
          <w:u w:val="single"/>
        </w:rPr>
        <w:lastRenderedPageBreak/>
        <w:t>INTERNAL MEMORANDUM</w:t>
      </w:r>
    </w:p>
    <w:p w14:paraId="28DABF3E" w14:textId="3E03F2F2" w:rsidR="00966045" w:rsidRPr="005D579C" w:rsidRDefault="00AD4D62" w:rsidP="005D579C">
      <w:pPr>
        <w:spacing w:line="360" w:lineRule="auto"/>
        <w:rPr>
          <w:rFonts w:ascii="Arial" w:hAnsi="Arial" w:cs="Arial"/>
          <w:b/>
          <w:bCs/>
          <w:sz w:val="24"/>
          <w:szCs w:val="24"/>
        </w:rPr>
      </w:pPr>
      <w:r w:rsidRPr="005D579C">
        <w:rPr>
          <w:rFonts w:ascii="Arial" w:hAnsi="Arial" w:cs="Arial"/>
          <w:b/>
          <w:bCs/>
          <w:sz w:val="24"/>
          <w:szCs w:val="24"/>
        </w:rPr>
        <w:t>To: Thomas Trinity</w:t>
      </w:r>
    </w:p>
    <w:p w14:paraId="4913DB2A" w14:textId="62F1C45D" w:rsidR="00AD4D62" w:rsidRPr="005D579C" w:rsidRDefault="00AD4D62" w:rsidP="005D579C">
      <w:pPr>
        <w:spacing w:line="360" w:lineRule="auto"/>
        <w:rPr>
          <w:rFonts w:ascii="Arial" w:hAnsi="Arial" w:cs="Arial"/>
          <w:b/>
          <w:bCs/>
          <w:sz w:val="24"/>
          <w:szCs w:val="24"/>
        </w:rPr>
      </w:pPr>
      <w:r w:rsidRPr="005D579C">
        <w:rPr>
          <w:rFonts w:ascii="Arial" w:hAnsi="Arial" w:cs="Arial"/>
          <w:b/>
          <w:bCs/>
          <w:sz w:val="24"/>
          <w:szCs w:val="24"/>
        </w:rPr>
        <w:t>From: Ionut-Marius Pantiru</w:t>
      </w:r>
    </w:p>
    <w:p w14:paraId="70071CA4" w14:textId="2A461374" w:rsidR="00AD4D62" w:rsidRPr="005D579C" w:rsidRDefault="00AD4D62" w:rsidP="005D579C">
      <w:pPr>
        <w:spacing w:line="360" w:lineRule="auto"/>
        <w:rPr>
          <w:rFonts w:ascii="Arial" w:hAnsi="Arial" w:cs="Arial"/>
          <w:b/>
          <w:bCs/>
          <w:sz w:val="24"/>
          <w:szCs w:val="24"/>
        </w:rPr>
      </w:pPr>
      <w:r w:rsidRPr="005D579C">
        <w:rPr>
          <w:rFonts w:ascii="Arial" w:hAnsi="Arial" w:cs="Arial"/>
          <w:b/>
          <w:bCs/>
          <w:sz w:val="24"/>
          <w:szCs w:val="24"/>
        </w:rPr>
        <w:t>MATTER: The case of Sarah Jones</w:t>
      </w:r>
    </w:p>
    <w:p w14:paraId="5D652048" w14:textId="3CD3D5C9" w:rsidR="00AD4D62" w:rsidRPr="005D579C" w:rsidRDefault="00AD4D62" w:rsidP="005D579C">
      <w:pPr>
        <w:spacing w:line="360" w:lineRule="auto"/>
        <w:rPr>
          <w:rFonts w:ascii="Arial" w:hAnsi="Arial" w:cs="Arial"/>
          <w:b/>
          <w:bCs/>
          <w:sz w:val="24"/>
          <w:szCs w:val="24"/>
        </w:rPr>
      </w:pPr>
      <w:r w:rsidRPr="005D579C">
        <w:rPr>
          <w:rFonts w:ascii="Arial" w:hAnsi="Arial" w:cs="Arial"/>
          <w:b/>
          <w:bCs/>
          <w:sz w:val="24"/>
          <w:szCs w:val="24"/>
        </w:rPr>
        <w:t>Date: 11</w:t>
      </w:r>
      <w:r w:rsidRPr="005D579C">
        <w:rPr>
          <w:rFonts w:ascii="Arial" w:hAnsi="Arial" w:cs="Arial"/>
          <w:b/>
          <w:bCs/>
          <w:sz w:val="24"/>
          <w:szCs w:val="24"/>
          <w:vertAlign w:val="superscript"/>
        </w:rPr>
        <w:t>th</w:t>
      </w:r>
      <w:r w:rsidRPr="005D579C">
        <w:rPr>
          <w:rFonts w:ascii="Arial" w:hAnsi="Arial" w:cs="Arial"/>
          <w:b/>
          <w:bCs/>
          <w:sz w:val="24"/>
          <w:szCs w:val="24"/>
        </w:rPr>
        <w:t xml:space="preserve"> of November 2022</w:t>
      </w:r>
    </w:p>
    <w:p w14:paraId="25BD5969" w14:textId="19996836" w:rsidR="00AD4D62" w:rsidRPr="005D579C" w:rsidRDefault="00AD4D62" w:rsidP="005D579C">
      <w:pPr>
        <w:spacing w:line="360" w:lineRule="auto"/>
        <w:rPr>
          <w:rFonts w:ascii="Arial" w:hAnsi="Arial" w:cs="Arial"/>
          <w:sz w:val="24"/>
          <w:szCs w:val="24"/>
        </w:rPr>
      </w:pPr>
      <w:r w:rsidRPr="005D579C">
        <w:rPr>
          <w:rFonts w:ascii="Arial" w:hAnsi="Arial" w:cs="Arial"/>
          <w:sz w:val="24"/>
          <w:szCs w:val="24"/>
        </w:rPr>
        <w:t xml:space="preserve">This is the case of Miss Sarah Jones. I will set out below the following: </w:t>
      </w:r>
    </w:p>
    <w:p w14:paraId="2D3FAB4C" w14:textId="4EA05714" w:rsidR="00AD4D62" w:rsidRPr="005D579C" w:rsidRDefault="00AD4D62" w:rsidP="005D579C">
      <w:pPr>
        <w:pStyle w:val="ListParagraph"/>
        <w:numPr>
          <w:ilvl w:val="0"/>
          <w:numId w:val="1"/>
        </w:numPr>
        <w:spacing w:line="360" w:lineRule="auto"/>
        <w:rPr>
          <w:rFonts w:ascii="Arial" w:hAnsi="Arial" w:cs="Arial"/>
          <w:sz w:val="24"/>
          <w:szCs w:val="24"/>
        </w:rPr>
      </w:pPr>
      <w:r w:rsidRPr="005D579C">
        <w:rPr>
          <w:rFonts w:ascii="Arial" w:hAnsi="Arial" w:cs="Arial"/>
          <w:sz w:val="24"/>
          <w:szCs w:val="24"/>
        </w:rPr>
        <w:t xml:space="preserve">The offences Miss Sarah Jones is being charged with and the elements required for such crimes to have occurred. </w:t>
      </w:r>
    </w:p>
    <w:p w14:paraId="78397886" w14:textId="1B653F82" w:rsidR="00AD4D62" w:rsidRPr="005D579C" w:rsidRDefault="00AD4D62" w:rsidP="005D579C">
      <w:pPr>
        <w:pStyle w:val="ListParagraph"/>
        <w:numPr>
          <w:ilvl w:val="0"/>
          <w:numId w:val="1"/>
        </w:numPr>
        <w:spacing w:line="360" w:lineRule="auto"/>
        <w:rPr>
          <w:rFonts w:ascii="Arial" w:hAnsi="Arial" w:cs="Arial"/>
          <w:sz w:val="24"/>
          <w:szCs w:val="24"/>
        </w:rPr>
      </w:pPr>
      <w:r w:rsidRPr="005D579C">
        <w:rPr>
          <w:rFonts w:ascii="Arial" w:hAnsi="Arial" w:cs="Arial"/>
          <w:sz w:val="24"/>
          <w:szCs w:val="24"/>
        </w:rPr>
        <w:t>The strength of the evidence against the client.</w:t>
      </w:r>
    </w:p>
    <w:p w14:paraId="1DF8BC6B" w14:textId="489351AC" w:rsidR="00AD4D62" w:rsidRPr="005D579C" w:rsidRDefault="00AD4D62" w:rsidP="005D579C">
      <w:pPr>
        <w:pStyle w:val="ListParagraph"/>
        <w:numPr>
          <w:ilvl w:val="0"/>
          <w:numId w:val="1"/>
        </w:numPr>
        <w:spacing w:line="360" w:lineRule="auto"/>
        <w:rPr>
          <w:rFonts w:ascii="Arial" w:hAnsi="Arial" w:cs="Arial"/>
          <w:sz w:val="24"/>
          <w:szCs w:val="24"/>
        </w:rPr>
      </w:pPr>
      <w:r w:rsidRPr="005D579C">
        <w:rPr>
          <w:rFonts w:ascii="Arial" w:hAnsi="Arial" w:cs="Arial"/>
          <w:sz w:val="24"/>
          <w:szCs w:val="24"/>
        </w:rPr>
        <w:t>The claims of Miss Davies (the victim) and how they could affect Miss Jones’ case.</w:t>
      </w:r>
    </w:p>
    <w:p w14:paraId="56B120E1" w14:textId="3AF89B89" w:rsidR="00AD4D62" w:rsidRPr="005D579C" w:rsidRDefault="00AD4D62" w:rsidP="005D579C">
      <w:pPr>
        <w:pStyle w:val="ListParagraph"/>
        <w:numPr>
          <w:ilvl w:val="0"/>
          <w:numId w:val="1"/>
        </w:numPr>
        <w:spacing w:line="360" w:lineRule="auto"/>
        <w:rPr>
          <w:rFonts w:ascii="Arial" w:hAnsi="Arial" w:cs="Arial"/>
          <w:sz w:val="24"/>
          <w:szCs w:val="24"/>
        </w:rPr>
      </w:pPr>
      <w:r w:rsidRPr="005D579C">
        <w:rPr>
          <w:rFonts w:ascii="Arial" w:hAnsi="Arial" w:cs="Arial"/>
          <w:sz w:val="24"/>
          <w:szCs w:val="24"/>
        </w:rPr>
        <w:t>The advantages and disadvantages of Miss Sarah Jones if she is to remain silent during the police interview.</w:t>
      </w:r>
    </w:p>
    <w:p w14:paraId="6B0B6B77" w14:textId="77777777" w:rsidR="00AD4D62" w:rsidRPr="005D579C" w:rsidRDefault="00AD4D62" w:rsidP="005D579C">
      <w:pPr>
        <w:pStyle w:val="ListParagraph"/>
        <w:numPr>
          <w:ilvl w:val="0"/>
          <w:numId w:val="1"/>
        </w:numPr>
        <w:spacing w:line="360" w:lineRule="auto"/>
        <w:rPr>
          <w:rFonts w:ascii="Arial" w:hAnsi="Arial" w:cs="Arial"/>
          <w:sz w:val="24"/>
          <w:szCs w:val="24"/>
        </w:rPr>
      </w:pPr>
      <w:r w:rsidRPr="005D579C">
        <w:rPr>
          <w:rFonts w:ascii="Arial" w:hAnsi="Arial" w:cs="Arial"/>
          <w:sz w:val="24"/>
          <w:szCs w:val="24"/>
        </w:rPr>
        <w:t xml:space="preserve">How the courts are likely to treat the case of Miss Sarah Jones and allocate the case for trial. </w:t>
      </w:r>
    </w:p>
    <w:p w14:paraId="200AAE7D" w14:textId="7F2FDB9C" w:rsidR="00AD4D62" w:rsidRPr="005D579C" w:rsidRDefault="00AD4D62" w:rsidP="005D579C">
      <w:pPr>
        <w:spacing w:line="360" w:lineRule="auto"/>
        <w:rPr>
          <w:rFonts w:ascii="Arial" w:hAnsi="Arial" w:cs="Arial"/>
          <w:sz w:val="24"/>
          <w:szCs w:val="24"/>
          <w:u w:val="single"/>
        </w:rPr>
      </w:pPr>
      <w:r w:rsidRPr="005D579C">
        <w:rPr>
          <w:rFonts w:ascii="Arial" w:hAnsi="Arial" w:cs="Arial"/>
          <w:sz w:val="24"/>
          <w:szCs w:val="24"/>
          <w:u w:val="single"/>
        </w:rPr>
        <w:t>The offences at hand</w:t>
      </w:r>
    </w:p>
    <w:p w14:paraId="6A08EDD9" w14:textId="74A375F6"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t xml:space="preserve">Miss Sarah Jones is being charged with theft and assault. I will outline the offences and their requirements below </w:t>
      </w:r>
      <w:proofErr w:type="gramStart"/>
      <w:r w:rsidRPr="005D579C">
        <w:rPr>
          <w:rFonts w:ascii="Arial" w:hAnsi="Arial" w:cs="Arial"/>
          <w:sz w:val="24"/>
          <w:szCs w:val="24"/>
        </w:rPr>
        <w:t>in order to</w:t>
      </w:r>
      <w:proofErr w:type="gramEnd"/>
      <w:r w:rsidRPr="005D579C">
        <w:rPr>
          <w:rFonts w:ascii="Arial" w:hAnsi="Arial" w:cs="Arial"/>
          <w:sz w:val="24"/>
          <w:szCs w:val="24"/>
        </w:rPr>
        <w:t xml:space="preserve"> be able to advise the client correctly in the matter. </w:t>
      </w:r>
    </w:p>
    <w:p w14:paraId="3DF14AF0" w14:textId="04396A54" w:rsidR="006A127D" w:rsidRPr="005D579C" w:rsidRDefault="006A127D" w:rsidP="005D579C">
      <w:pPr>
        <w:pStyle w:val="ListParagraph"/>
        <w:numPr>
          <w:ilvl w:val="0"/>
          <w:numId w:val="2"/>
        </w:numPr>
        <w:spacing w:line="360" w:lineRule="auto"/>
        <w:rPr>
          <w:rFonts w:ascii="Arial" w:hAnsi="Arial" w:cs="Arial"/>
          <w:i/>
          <w:iCs/>
          <w:sz w:val="24"/>
          <w:szCs w:val="24"/>
        </w:rPr>
      </w:pPr>
      <w:r w:rsidRPr="005D579C">
        <w:rPr>
          <w:rFonts w:ascii="Arial" w:hAnsi="Arial" w:cs="Arial"/>
          <w:i/>
          <w:iCs/>
          <w:sz w:val="24"/>
          <w:szCs w:val="24"/>
        </w:rPr>
        <w:t>Theft</w:t>
      </w:r>
    </w:p>
    <w:p w14:paraId="29B0DAFB" w14:textId="3D4C5BDF"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t>Theft is outlined in section 1(1) of the Theft Act 1968 as “a person is guilty of theft if he dishonestly appropriates property belonging to another with the intention of permanently depriving the other of it”.</w:t>
      </w:r>
    </w:p>
    <w:p w14:paraId="5564747C" w14:textId="2C308856"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t xml:space="preserve">The </w:t>
      </w:r>
      <w:r w:rsidRPr="005D579C">
        <w:rPr>
          <w:rFonts w:ascii="Arial" w:hAnsi="Arial" w:cs="Arial"/>
          <w:i/>
          <w:iCs/>
          <w:sz w:val="24"/>
          <w:szCs w:val="24"/>
        </w:rPr>
        <w:t>actus reus</w:t>
      </w:r>
      <w:r w:rsidRPr="005D579C">
        <w:rPr>
          <w:rFonts w:ascii="Arial" w:hAnsi="Arial" w:cs="Arial"/>
          <w:sz w:val="24"/>
          <w:szCs w:val="24"/>
        </w:rPr>
        <w:t xml:space="preserve"> of theft requires three elements to be satisfied: appropriation, property, and property belonging to another. The </w:t>
      </w:r>
      <w:r w:rsidRPr="005D579C">
        <w:rPr>
          <w:rFonts w:ascii="Arial" w:hAnsi="Arial" w:cs="Arial"/>
          <w:i/>
          <w:iCs/>
          <w:sz w:val="24"/>
          <w:szCs w:val="24"/>
        </w:rPr>
        <w:t>mens rea</w:t>
      </w:r>
      <w:r w:rsidRPr="005D579C">
        <w:rPr>
          <w:rFonts w:ascii="Arial" w:hAnsi="Arial" w:cs="Arial"/>
          <w:sz w:val="24"/>
          <w:szCs w:val="24"/>
        </w:rPr>
        <w:t xml:space="preserve"> required two elements to be satisfied: dishonesty and the intention to permanently deprive the other of their property.</w:t>
      </w:r>
    </w:p>
    <w:p w14:paraId="5CEB0589" w14:textId="665DD8D2"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lastRenderedPageBreak/>
        <w:t>The sentencing for this crime, according to the CPS sentencing guidelines, starts from a Band C fine to the category range Band B fine and/or low-level community order</w:t>
      </w:r>
      <w:r w:rsidR="005D579C">
        <w:rPr>
          <w:rFonts w:ascii="Arial" w:hAnsi="Arial" w:cs="Arial"/>
          <w:sz w:val="24"/>
          <w:szCs w:val="24"/>
        </w:rPr>
        <w:t xml:space="preserve"> (Theft – general).</w:t>
      </w:r>
    </w:p>
    <w:p w14:paraId="134664F5" w14:textId="28A12FB5" w:rsidR="006A127D" w:rsidRPr="005D579C" w:rsidRDefault="006A127D" w:rsidP="005D579C">
      <w:pPr>
        <w:pStyle w:val="ListParagraph"/>
        <w:numPr>
          <w:ilvl w:val="0"/>
          <w:numId w:val="2"/>
        </w:numPr>
        <w:spacing w:line="360" w:lineRule="auto"/>
        <w:rPr>
          <w:rFonts w:ascii="Arial" w:hAnsi="Arial" w:cs="Arial"/>
          <w:sz w:val="24"/>
          <w:szCs w:val="24"/>
        </w:rPr>
      </w:pPr>
      <w:r w:rsidRPr="005D579C">
        <w:rPr>
          <w:rFonts w:ascii="Arial" w:hAnsi="Arial" w:cs="Arial"/>
          <w:sz w:val="24"/>
          <w:szCs w:val="24"/>
        </w:rPr>
        <w:t>Assault</w:t>
      </w:r>
    </w:p>
    <w:p w14:paraId="4AAFEF39" w14:textId="51FF0F49"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t xml:space="preserve">Assault is outlined in the common law and in section 39 of the Criminal Justice Act 1988. It is described in </w:t>
      </w:r>
      <w:r w:rsidR="005D579C">
        <w:rPr>
          <w:rFonts w:ascii="Arial" w:hAnsi="Arial" w:cs="Arial"/>
          <w:sz w:val="24"/>
          <w:szCs w:val="24"/>
        </w:rPr>
        <w:t>‘</w:t>
      </w:r>
      <w:r w:rsidRPr="005D579C">
        <w:rPr>
          <w:rFonts w:ascii="Arial" w:hAnsi="Arial" w:cs="Arial"/>
          <w:sz w:val="24"/>
          <w:szCs w:val="24"/>
        </w:rPr>
        <w:t>Fagan v Metropolitan Police Commissioner</w:t>
      </w:r>
      <w:r w:rsidR="005D579C">
        <w:rPr>
          <w:rFonts w:ascii="Arial" w:hAnsi="Arial" w:cs="Arial"/>
          <w:sz w:val="24"/>
          <w:szCs w:val="24"/>
        </w:rPr>
        <w:t>’</w:t>
      </w:r>
      <w:r w:rsidRPr="005D579C">
        <w:rPr>
          <w:rFonts w:ascii="Arial" w:hAnsi="Arial" w:cs="Arial"/>
          <w:sz w:val="24"/>
          <w:szCs w:val="24"/>
        </w:rPr>
        <w:t xml:space="preserve"> (1968) as committing “an assault where he intentionally or recklessly causes the victim to apprehend immediate unlawful personal violence”. The C</w:t>
      </w:r>
      <w:r w:rsidR="005D579C">
        <w:rPr>
          <w:rFonts w:ascii="Arial" w:hAnsi="Arial" w:cs="Arial"/>
          <w:sz w:val="24"/>
          <w:szCs w:val="24"/>
        </w:rPr>
        <w:t>riminal Justice Act</w:t>
      </w:r>
      <w:r w:rsidRPr="005D579C">
        <w:rPr>
          <w:rFonts w:ascii="Arial" w:hAnsi="Arial" w:cs="Arial"/>
          <w:sz w:val="24"/>
          <w:szCs w:val="24"/>
        </w:rPr>
        <w:t xml:space="preserve"> 1988 classifies assault as a summary offence.</w:t>
      </w:r>
    </w:p>
    <w:p w14:paraId="68478E17" w14:textId="51BB71F0" w:rsidR="006A127D" w:rsidRPr="005D579C" w:rsidRDefault="006A127D" w:rsidP="005D579C">
      <w:pPr>
        <w:spacing w:line="360" w:lineRule="auto"/>
        <w:rPr>
          <w:rFonts w:ascii="Arial" w:hAnsi="Arial" w:cs="Arial"/>
          <w:sz w:val="24"/>
          <w:szCs w:val="24"/>
        </w:rPr>
      </w:pPr>
      <w:r w:rsidRPr="005D579C">
        <w:rPr>
          <w:rFonts w:ascii="Arial" w:hAnsi="Arial" w:cs="Arial"/>
          <w:sz w:val="24"/>
          <w:szCs w:val="24"/>
        </w:rPr>
        <w:t xml:space="preserve">The </w:t>
      </w:r>
      <w:r w:rsidRPr="005D579C">
        <w:rPr>
          <w:rFonts w:ascii="Arial" w:hAnsi="Arial" w:cs="Arial"/>
          <w:i/>
          <w:iCs/>
          <w:sz w:val="24"/>
          <w:szCs w:val="24"/>
        </w:rPr>
        <w:t>actus reus</w:t>
      </w:r>
      <w:r w:rsidRPr="005D579C">
        <w:rPr>
          <w:rFonts w:ascii="Arial" w:hAnsi="Arial" w:cs="Arial"/>
          <w:sz w:val="24"/>
          <w:szCs w:val="24"/>
        </w:rPr>
        <w:t xml:space="preserve"> of assault </w:t>
      </w:r>
      <w:r w:rsidR="007276D9" w:rsidRPr="005D579C">
        <w:rPr>
          <w:rFonts w:ascii="Arial" w:hAnsi="Arial" w:cs="Arial"/>
          <w:sz w:val="24"/>
          <w:szCs w:val="24"/>
        </w:rPr>
        <w:t xml:space="preserve">has five elements which must be satisfied: </w:t>
      </w:r>
    </w:p>
    <w:p w14:paraId="0DA0294D" w14:textId="44298172" w:rsidR="007276D9" w:rsidRPr="005D579C" w:rsidRDefault="007276D9" w:rsidP="005D579C">
      <w:pPr>
        <w:pStyle w:val="ListParagraph"/>
        <w:numPr>
          <w:ilvl w:val="0"/>
          <w:numId w:val="3"/>
        </w:numPr>
        <w:spacing w:line="360" w:lineRule="auto"/>
        <w:rPr>
          <w:rFonts w:ascii="Arial" w:hAnsi="Arial" w:cs="Arial"/>
          <w:sz w:val="24"/>
          <w:szCs w:val="24"/>
        </w:rPr>
      </w:pPr>
      <w:r w:rsidRPr="005D579C">
        <w:rPr>
          <w:rFonts w:ascii="Arial" w:hAnsi="Arial" w:cs="Arial"/>
          <w:sz w:val="24"/>
          <w:szCs w:val="24"/>
        </w:rPr>
        <w:t xml:space="preserve">There was some conduct on part of D – </w:t>
      </w:r>
      <w:r w:rsidR="005D579C">
        <w:rPr>
          <w:rFonts w:ascii="Arial" w:hAnsi="Arial" w:cs="Arial"/>
          <w:sz w:val="24"/>
          <w:szCs w:val="24"/>
        </w:rPr>
        <w:t>‘</w:t>
      </w:r>
      <w:r w:rsidRPr="005D579C">
        <w:rPr>
          <w:rFonts w:ascii="Arial" w:hAnsi="Arial" w:cs="Arial"/>
          <w:sz w:val="24"/>
          <w:szCs w:val="24"/>
        </w:rPr>
        <w:t>Meade v Belt</w:t>
      </w:r>
      <w:r w:rsidR="005D579C">
        <w:rPr>
          <w:rFonts w:ascii="Arial" w:hAnsi="Arial" w:cs="Arial"/>
          <w:sz w:val="24"/>
          <w:szCs w:val="24"/>
        </w:rPr>
        <w:t>’</w:t>
      </w:r>
      <w:r w:rsidRPr="005D579C">
        <w:rPr>
          <w:rFonts w:ascii="Arial" w:hAnsi="Arial" w:cs="Arial"/>
          <w:sz w:val="24"/>
          <w:szCs w:val="24"/>
        </w:rPr>
        <w:t xml:space="preserve"> (1823) </w:t>
      </w:r>
    </w:p>
    <w:p w14:paraId="545D1F4D" w14:textId="77777777" w:rsidR="007276D9" w:rsidRPr="005D579C" w:rsidRDefault="007276D9" w:rsidP="005D579C">
      <w:pPr>
        <w:pStyle w:val="ListParagraph"/>
        <w:numPr>
          <w:ilvl w:val="0"/>
          <w:numId w:val="3"/>
        </w:numPr>
        <w:spacing w:line="360" w:lineRule="auto"/>
        <w:rPr>
          <w:rFonts w:ascii="Arial" w:hAnsi="Arial" w:cs="Arial"/>
          <w:sz w:val="24"/>
          <w:szCs w:val="24"/>
        </w:rPr>
      </w:pPr>
      <w:r w:rsidRPr="005D579C">
        <w:rPr>
          <w:rFonts w:ascii="Arial" w:hAnsi="Arial" w:cs="Arial"/>
          <w:sz w:val="24"/>
          <w:szCs w:val="24"/>
        </w:rPr>
        <w:t xml:space="preserve">V apprehended immediate unlawful personal violence (a battery) </w:t>
      </w:r>
    </w:p>
    <w:p w14:paraId="1386ACE2" w14:textId="77777777" w:rsidR="007276D9" w:rsidRPr="005D579C" w:rsidRDefault="007276D9" w:rsidP="005D579C">
      <w:pPr>
        <w:pStyle w:val="ListParagraph"/>
        <w:numPr>
          <w:ilvl w:val="0"/>
          <w:numId w:val="3"/>
        </w:numPr>
        <w:spacing w:line="360" w:lineRule="auto"/>
        <w:rPr>
          <w:rFonts w:ascii="Arial" w:hAnsi="Arial" w:cs="Arial"/>
          <w:sz w:val="24"/>
          <w:szCs w:val="24"/>
        </w:rPr>
      </w:pPr>
      <w:r w:rsidRPr="005D579C">
        <w:rPr>
          <w:rFonts w:ascii="Arial" w:hAnsi="Arial" w:cs="Arial"/>
          <w:sz w:val="24"/>
          <w:szCs w:val="24"/>
        </w:rPr>
        <w:t xml:space="preserve">Apprehension </w:t>
      </w:r>
    </w:p>
    <w:p w14:paraId="30A320C3" w14:textId="5E58CEA4" w:rsidR="007276D9" w:rsidRPr="005D579C" w:rsidRDefault="007276D9" w:rsidP="005D579C">
      <w:pPr>
        <w:pStyle w:val="ListParagraph"/>
        <w:numPr>
          <w:ilvl w:val="0"/>
          <w:numId w:val="3"/>
        </w:numPr>
        <w:spacing w:line="360" w:lineRule="auto"/>
        <w:rPr>
          <w:rFonts w:ascii="Arial" w:hAnsi="Arial" w:cs="Arial"/>
          <w:sz w:val="24"/>
          <w:szCs w:val="24"/>
        </w:rPr>
      </w:pPr>
      <w:r w:rsidRPr="005D579C">
        <w:rPr>
          <w:rFonts w:ascii="Arial" w:hAnsi="Arial" w:cs="Arial"/>
          <w:sz w:val="24"/>
          <w:szCs w:val="24"/>
        </w:rPr>
        <w:t xml:space="preserve">Immediate – </w:t>
      </w:r>
      <w:r w:rsidR="005D579C">
        <w:rPr>
          <w:rFonts w:ascii="Arial" w:hAnsi="Arial" w:cs="Arial"/>
          <w:sz w:val="24"/>
          <w:szCs w:val="24"/>
        </w:rPr>
        <w:t>‘</w:t>
      </w:r>
      <w:r w:rsidRPr="005D579C">
        <w:rPr>
          <w:rFonts w:ascii="Arial" w:hAnsi="Arial" w:cs="Arial"/>
          <w:sz w:val="24"/>
          <w:szCs w:val="24"/>
        </w:rPr>
        <w:t>Thomas v National Union of Mineworkers</w:t>
      </w:r>
      <w:r w:rsidR="005D579C">
        <w:rPr>
          <w:rFonts w:ascii="Arial" w:hAnsi="Arial" w:cs="Arial"/>
          <w:sz w:val="24"/>
          <w:szCs w:val="24"/>
        </w:rPr>
        <w:t>’</w:t>
      </w:r>
      <w:r w:rsidRPr="005D579C">
        <w:rPr>
          <w:rFonts w:ascii="Arial" w:hAnsi="Arial" w:cs="Arial"/>
          <w:i/>
          <w:iCs/>
          <w:sz w:val="24"/>
          <w:szCs w:val="24"/>
        </w:rPr>
        <w:t xml:space="preserve"> (</w:t>
      </w:r>
      <w:r w:rsidRPr="005D579C">
        <w:rPr>
          <w:rFonts w:ascii="Arial" w:hAnsi="Arial" w:cs="Arial"/>
          <w:sz w:val="24"/>
          <w:szCs w:val="24"/>
        </w:rPr>
        <w:t xml:space="preserve">1986) </w:t>
      </w:r>
    </w:p>
    <w:p w14:paraId="7D2C9754" w14:textId="77777777" w:rsidR="007276D9" w:rsidRPr="005D579C" w:rsidRDefault="007276D9" w:rsidP="005D579C">
      <w:pPr>
        <w:pStyle w:val="ListParagraph"/>
        <w:numPr>
          <w:ilvl w:val="0"/>
          <w:numId w:val="3"/>
        </w:numPr>
        <w:spacing w:line="360" w:lineRule="auto"/>
        <w:rPr>
          <w:rFonts w:ascii="Arial" w:hAnsi="Arial" w:cs="Arial"/>
          <w:sz w:val="24"/>
          <w:szCs w:val="24"/>
        </w:rPr>
      </w:pPr>
      <w:r w:rsidRPr="005D579C">
        <w:rPr>
          <w:rFonts w:ascii="Arial" w:hAnsi="Arial" w:cs="Arial"/>
          <w:sz w:val="24"/>
          <w:szCs w:val="24"/>
        </w:rPr>
        <w:t xml:space="preserve">This was caused </w:t>
      </w:r>
      <w:proofErr w:type="gramStart"/>
      <w:r w:rsidRPr="005D579C">
        <w:rPr>
          <w:rFonts w:ascii="Arial" w:hAnsi="Arial" w:cs="Arial"/>
          <w:sz w:val="24"/>
          <w:szCs w:val="24"/>
        </w:rPr>
        <w:t>as a result of</w:t>
      </w:r>
      <w:proofErr w:type="gramEnd"/>
      <w:r w:rsidRPr="005D579C">
        <w:rPr>
          <w:rFonts w:ascii="Arial" w:hAnsi="Arial" w:cs="Arial"/>
          <w:sz w:val="24"/>
          <w:szCs w:val="24"/>
        </w:rPr>
        <w:t xml:space="preserve"> D’s conduct</w:t>
      </w:r>
    </w:p>
    <w:p w14:paraId="45A6FD16" w14:textId="310681CB" w:rsidR="007276D9" w:rsidRPr="005D579C" w:rsidRDefault="007276D9" w:rsidP="005D579C">
      <w:pPr>
        <w:spacing w:line="360" w:lineRule="auto"/>
        <w:rPr>
          <w:rFonts w:ascii="Arial" w:hAnsi="Arial" w:cs="Arial"/>
          <w:sz w:val="24"/>
          <w:szCs w:val="24"/>
        </w:rPr>
      </w:pPr>
      <w:r w:rsidRPr="005D579C">
        <w:rPr>
          <w:rFonts w:ascii="Arial" w:hAnsi="Arial" w:cs="Arial"/>
          <w:sz w:val="24"/>
          <w:szCs w:val="24"/>
        </w:rPr>
        <w:t xml:space="preserve">The </w:t>
      </w:r>
      <w:r w:rsidRPr="005D579C">
        <w:rPr>
          <w:rFonts w:ascii="Arial" w:hAnsi="Arial" w:cs="Arial"/>
          <w:i/>
          <w:iCs/>
          <w:sz w:val="24"/>
          <w:szCs w:val="24"/>
        </w:rPr>
        <w:t>mens rea</w:t>
      </w:r>
      <w:r w:rsidRPr="005D579C">
        <w:rPr>
          <w:rFonts w:ascii="Arial" w:hAnsi="Arial" w:cs="Arial"/>
          <w:sz w:val="24"/>
          <w:szCs w:val="24"/>
        </w:rPr>
        <w:t xml:space="preserve"> of assault can be carried out through direct intention, indirect intention or the subjective recklessness outlined in </w:t>
      </w:r>
      <w:r w:rsidR="005D579C">
        <w:rPr>
          <w:rFonts w:ascii="Arial" w:hAnsi="Arial" w:cs="Arial"/>
          <w:sz w:val="24"/>
          <w:szCs w:val="24"/>
        </w:rPr>
        <w:t xml:space="preserve">‘R v </w:t>
      </w:r>
      <w:r w:rsidRPr="005D579C">
        <w:rPr>
          <w:rFonts w:ascii="Arial" w:hAnsi="Arial" w:cs="Arial"/>
          <w:sz w:val="24"/>
          <w:szCs w:val="24"/>
        </w:rPr>
        <w:t>Cunningham</w:t>
      </w:r>
      <w:r w:rsidR="005D579C">
        <w:rPr>
          <w:rFonts w:ascii="Arial" w:hAnsi="Arial" w:cs="Arial"/>
          <w:sz w:val="24"/>
          <w:szCs w:val="24"/>
        </w:rPr>
        <w:t>’</w:t>
      </w:r>
      <w:r w:rsidRPr="005D579C">
        <w:rPr>
          <w:rFonts w:ascii="Arial" w:hAnsi="Arial" w:cs="Arial"/>
          <w:sz w:val="24"/>
          <w:szCs w:val="24"/>
        </w:rPr>
        <w:t xml:space="preserve"> (1957).</w:t>
      </w:r>
    </w:p>
    <w:p w14:paraId="6172084E" w14:textId="1B9471CA" w:rsidR="007276D9" w:rsidRPr="005D579C" w:rsidRDefault="007276D9" w:rsidP="005D579C">
      <w:pPr>
        <w:spacing w:line="360" w:lineRule="auto"/>
        <w:rPr>
          <w:rFonts w:ascii="Arial" w:hAnsi="Arial" w:cs="Arial"/>
          <w:sz w:val="24"/>
          <w:szCs w:val="24"/>
        </w:rPr>
      </w:pPr>
      <w:r w:rsidRPr="005D579C">
        <w:rPr>
          <w:rFonts w:ascii="Arial" w:hAnsi="Arial" w:cs="Arial"/>
          <w:sz w:val="24"/>
          <w:szCs w:val="24"/>
        </w:rPr>
        <w:t>The sentence of assault is outlined in section 39 of the Criminal Justice Act 1988 which recommends a maximum level five fine and/or a maximum of six months sentencing.</w:t>
      </w:r>
    </w:p>
    <w:p w14:paraId="1F3DF588" w14:textId="5D6120A6" w:rsidR="007276D9" w:rsidRPr="005D579C" w:rsidRDefault="007276D9" w:rsidP="005D579C">
      <w:pPr>
        <w:spacing w:line="360" w:lineRule="auto"/>
        <w:rPr>
          <w:rFonts w:ascii="Arial" w:hAnsi="Arial" w:cs="Arial"/>
          <w:sz w:val="24"/>
          <w:szCs w:val="24"/>
        </w:rPr>
      </w:pPr>
      <w:r w:rsidRPr="005D579C">
        <w:rPr>
          <w:rFonts w:ascii="Arial" w:hAnsi="Arial" w:cs="Arial"/>
          <w:sz w:val="24"/>
          <w:szCs w:val="24"/>
        </w:rPr>
        <w:t xml:space="preserve">Nevertheless, there are aggravating and mitigating factors to be considered by the courts when passing Miss Jones’ sentencing. The aggravating factor would be that Miss Jones has a previous offence for which she was paroled for good behaviour. The mitigating factors would be that since her release she has maintained that good behaviour and character by volunteering for charities, has found religion, and is an active member of society. </w:t>
      </w:r>
    </w:p>
    <w:p w14:paraId="722E6036" w14:textId="6A9FC017" w:rsidR="007276D9" w:rsidRPr="005D579C" w:rsidRDefault="007276D9" w:rsidP="005D579C">
      <w:pPr>
        <w:spacing w:line="360" w:lineRule="auto"/>
        <w:rPr>
          <w:rFonts w:ascii="Arial" w:hAnsi="Arial" w:cs="Arial"/>
          <w:sz w:val="24"/>
          <w:szCs w:val="24"/>
          <w:u w:val="single"/>
        </w:rPr>
      </w:pPr>
      <w:r w:rsidRPr="005D579C">
        <w:rPr>
          <w:rFonts w:ascii="Arial" w:hAnsi="Arial" w:cs="Arial"/>
          <w:sz w:val="24"/>
          <w:szCs w:val="24"/>
          <w:u w:val="single"/>
        </w:rPr>
        <w:t xml:space="preserve">Strength of the evidence against the client </w:t>
      </w:r>
    </w:p>
    <w:p w14:paraId="0D991125" w14:textId="32F62D32" w:rsidR="007276D9" w:rsidRPr="005D579C" w:rsidRDefault="007276D9" w:rsidP="005D579C">
      <w:pPr>
        <w:spacing w:line="360" w:lineRule="auto"/>
        <w:rPr>
          <w:rFonts w:ascii="Arial" w:hAnsi="Arial" w:cs="Arial"/>
          <w:sz w:val="24"/>
          <w:szCs w:val="24"/>
        </w:rPr>
      </w:pPr>
      <w:r w:rsidRPr="005D579C">
        <w:rPr>
          <w:rFonts w:ascii="Arial" w:hAnsi="Arial" w:cs="Arial"/>
          <w:sz w:val="24"/>
          <w:szCs w:val="24"/>
        </w:rPr>
        <w:t xml:space="preserve">The evidence against the client is the statement of Miss Davies and that of PC Norman Jenkins who arrested Miss Jones on the night of the charges. Moreover, we </w:t>
      </w:r>
      <w:r w:rsidRPr="005D579C">
        <w:rPr>
          <w:rFonts w:ascii="Arial" w:hAnsi="Arial" w:cs="Arial"/>
          <w:sz w:val="24"/>
          <w:szCs w:val="24"/>
        </w:rPr>
        <w:lastRenderedPageBreak/>
        <w:t>also have the facts as given by our client, Miss Sarah Jones. I will proceed to outline how the value of the evidence and its strength.</w:t>
      </w:r>
    </w:p>
    <w:p w14:paraId="2930980E" w14:textId="12A7DE5F" w:rsidR="007276D9" w:rsidRPr="005D579C" w:rsidRDefault="007276D9" w:rsidP="005D579C">
      <w:pPr>
        <w:pStyle w:val="ListParagraph"/>
        <w:numPr>
          <w:ilvl w:val="0"/>
          <w:numId w:val="4"/>
        </w:numPr>
        <w:spacing w:line="360" w:lineRule="auto"/>
        <w:rPr>
          <w:rFonts w:ascii="Arial" w:hAnsi="Arial" w:cs="Arial"/>
          <w:sz w:val="24"/>
          <w:szCs w:val="24"/>
        </w:rPr>
      </w:pPr>
      <w:r w:rsidRPr="005D579C">
        <w:rPr>
          <w:rFonts w:ascii="Arial" w:hAnsi="Arial" w:cs="Arial"/>
          <w:sz w:val="24"/>
          <w:szCs w:val="24"/>
        </w:rPr>
        <w:t xml:space="preserve">Theft </w:t>
      </w:r>
    </w:p>
    <w:p w14:paraId="4D0A9AEF" w14:textId="65D9FCB3" w:rsidR="007276D9" w:rsidRPr="005D579C" w:rsidRDefault="00FD3560" w:rsidP="005D579C">
      <w:pPr>
        <w:spacing w:line="360" w:lineRule="auto"/>
        <w:rPr>
          <w:rFonts w:ascii="Arial" w:hAnsi="Arial" w:cs="Arial"/>
          <w:sz w:val="24"/>
          <w:szCs w:val="24"/>
        </w:rPr>
      </w:pPr>
      <w:r w:rsidRPr="005D579C">
        <w:rPr>
          <w:rFonts w:ascii="Arial" w:hAnsi="Arial" w:cs="Arial"/>
          <w:sz w:val="24"/>
          <w:szCs w:val="24"/>
        </w:rPr>
        <w:t>Regarding the matter of theft, Miss Jones has told us that she found it on the street whilst on a night out. According to Miss Jones, as she was picking up the bag, Miss Davies attacked her and snatched the bag from her, shouting and claiming that the bag belongs to her.</w:t>
      </w:r>
    </w:p>
    <w:p w14:paraId="76C043E1" w14:textId="18502086" w:rsidR="00FD3560" w:rsidRPr="005D579C" w:rsidRDefault="00FD3560" w:rsidP="005D579C">
      <w:pPr>
        <w:spacing w:line="360" w:lineRule="auto"/>
        <w:rPr>
          <w:rFonts w:ascii="Arial" w:hAnsi="Arial" w:cs="Arial"/>
          <w:sz w:val="24"/>
          <w:szCs w:val="24"/>
        </w:rPr>
      </w:pPr>
      <w:r w:rsidRPr="005D579C">
        <w:rPr>
          <w:rFonts w:ascii="Arial" w:hAnsi="Arial" w:cs="Arial"/>
          <w:sz w:val="24"/>
          <w:szCs w:val="24"/>
        </w:rPr>
        <w:t xml:space="preserve">The </w:t>
      </w:r>
      <w:r w:rsidRPr="005D579C">
        <w:rPr>
          <w:rFonts w:ascii="Arial" w:hAnsi="Arial" w:cs="Arial"/>
          <w:i/>
          <w:iCs/>
          <w:sz w:val="24"/>
          <w:szCs w:val="24"/>
        </w:rPr>
        <w:t>actus reus</w:t>
      </w:r>
      <w:r w:rsidRPr="005D579C">
        <w:rPr>
          <w:rFonts w:ascii="Arial" w:hAnsi="Arial" w:cs="Arial"/>
          <w:sz w:val="24"/>
          <w:szCs w:val="24"/>
        </w:rPr>
        <w:t xml:space="preserve"> of theft is satisfied if the defendant ‘appropriates’ the property by assuming the ‘rights of the owner’ as per section 3(1) Theft Act 1968. </w:t>
      </w:r>
      <w:r w:rsidR="005D579C">
        <w:rPr>
          <w:rFonts w:ascii="Arial" w:hAnsi="Arial" w:cs="Arial"/>
          <w:sz w:val="24"/>
          <w:szCs w:val="24"/>
        </w:rPr>
        <w:t xml:space="preserve">‘R v </w:t>
      </w:r>
      <w:r w:rsidRPr="005D579C">
        <w:rPr>
          <w:rFonts w:ascii="Arial" w:hAnsi="Arial" w:cs="Arial"/>
          <w:sz w:val="24"/>
          <w:szCs w:val="24"/>
        </w:rPr>
        <w:t>McPherson</w:t>
      </w:r>
      <w:r w:rsidR="005D579C">
        <w:rPr>
          <w:rFonts w:ascii="Arial" w:hAnsi="Arial" w:cs="Arial"/>
          <w:sz w:val="24"/>
          <w:szCs w:val="24"/>
        </w:rPr>
        <w:t>’</w:t>
      </w:r>
      <w:r w:rsidRPr="005D579C">
        <w:rPr>
          <w:rFonts w:ascii="Arial" w:hAnsi="Arial" w:cs="Arial"/>
          <w:sz w:val="24"/>
          <w:szCs w:val="24"/>
        </w:rPr>
        <w:t xml:space="preserve"> (1973) outlines that the assumption of the rights of an owner include the right to possess the property, the right to use it to consume it, destroy it, give it away, lend it, move </w:t>
      </w:r>
      <w:proofErr w:type="gramStart"/>
      <w:r w:rsidRPr="005D579C">
        <w:rPr>
          <w:rFonts w:ascii="Arial" w:hAnsi="Arial" w:cs="Arial"/>
          <w:sz w:val="24"/>
          <w:szCs w:val="24"/>
        </w:rPr>
        <w:t>it</w:t>
      </w:r>
      <w:proofErr w:type="gramEnd"/>
      <w:r w:rsidRPr="005D579C">
        <w:rPr>
          <w:rFonts w:ascii="Arial" w:hAnsi="Arial" w:cs="Arial"/>
          <w:sz w:val="24"/>
          <w:szCs w:val="24"/>
        </w:rPr>
        <w:t xml:space="preserve"> and price it. Considering Miss Jones was just picking up the bag, as any curious by-passer would do, she could not have appropriated the property bec</w:t>
      </w:r>
      <w:r w:rsidR="00973A95" w:rsidRPr="005D579C">
        <w:rPr>
          <w:rFonts w:ascii="Arial" w:hAnsi="Arial" w:cs="Arial"/>
          <w:sz w:val="24"/>
          <w:szCs w:val="24"/>
        </w:rPr>
        <w:t>ause her actions do not imply that she was willing to appropriate the property.</w:t>
      </w:r>
    </w:p>
    <w:p w14:paraId="3E0E2DB1" w14:textId="0612EAA1" w:rsidR="00973A95" w:rsidRPr="005D579C" w:rsidRDefault="00973A95" w:rsidP="005D579C">
      <w:pPr>
        <w:spacing w:line="360" w:lineRule="auto"/>
        <w:rPr>
          <w:rFonts w:ascii="Arial" w:hAnsi="Arial" w:cs="Arial"/>
          <w:sz w:val="24"/>
          <w:szCs w:val="24"/>
        </w:rPr>
      </w:pPr>
      <w:r w:rsidRPr="005D579C">
        <w:rPr>
          <w:rFonts w:ascii="Arial" w:hAnsi="Arial" w:cs="Arial"/>
          <w:sz w:val="24"/>
          <w:szCs w:val="24"/>
        </w:rPr>
        <w:t>The bag is classified as ‘property’ according to section 4(1) T</w:t>
      </w:r>
      <w:r w:rsidR="005D579C">
        <w:rPr>
          <w:rFonts w:ascii="Arial" w:hAnsi="Arial" w:cs="Arial"/>
          <w:sz w:val="24"/>
          <w:szCs w:val="24"/>
        </w:rPr>
        <w:t>heft Act</w:t>
      </w:r>
      <w:r w:rsidRPr="005D579C">
        <w:rPr>
          <w:rFonts w:ascii="Arial" w:hAnsi="Arial" w:cs="Arial"/>
          <w:sz w:val="24"/>
          <w:szCs w:val="24"/>
        </w:rPr>
        <w:t xml:space="preserve"> 1968. </w:t>
      </w:r>
    </w:p>
    <w:p w14:paraId="46494527" w14:textId="51FC93C7" w:rsidR="00973A95" w:rsidRPr="005D579C" w:rsidRDefault="00973A95" w:rsidP="005D579C">
      <w:pPr>
        <w:spacing w:line="360" w:lineRule="auto"/>
        <w:rPr>
          <w:rFonts w:ascii="Arial" w:hAnsi="Arial" w:cs="Arial"/>
          <w:sz w:val="24"/>
          <w:szCs w:val="24"/>
        </w:rPr>
      </w:pPr>
      <w:r w:rsidRPr="005D579C">
        <w:rPr>
          <w:rFonts w:ascii="Arial" w:hAnsi="Arial" w:cs="Arial"/>
          <w:sz w:val="24"/>
          <w:szCs w:val="24"/>
        </w:rPr>
        <w:t>It is still not yet known if the property belongs to another as required by section 5(1) T</w:t>
      </w:r>
      <w:r w:rsidR="005D579C">
        <w:rPr>
          <w:rFonts w:ascii="Arial" w:hAnsi="Arial" w:cs="Arial"/>
          <w:sz w:val="24"/>
          <w:szCs w:val="24"/>
        </w:rPr>
        <w:t>heft Act</w:t>
      </w:r>
      <w:r w:rsidRPr="005D579C">
        <w:rPr>
          <w:rFonts w:ascii="Arial" w:hAnsi="Arial" w:cs="Arial"/>
          <w:sz w:val="24"/>
          <w:szCs w:val="24"/>
        </w:rPr>
        <w:t xml:space="preserve"> 1968</w:t>
      </w:r>
      <w:r w:rsidR="007B42C9" w:rsidRPr="005D579C">
        <w:rPr>
          <w:rFonts w:ascii="Arial" w:hAnsi="Arial" w:cs="Arial"/>
          <w:sz w:val="24"/>
          <w:szCs w:val="24"/>
        </w:rPr>
        <w:t xml:space="preserve"> as Miss Davies has not yet shown proof of ownership. </w:t>
      </w:r>
    </w:p>
    <w:p w14:paraId="336DA8E6" w14:textId="6BC297A6" w:rsidR="007B42C9" w:rsidRPr="005D579C" w:rsidRDefault="007B42C9" w:rsidP="005D579C">
      <w:pPr>
        <w:spacing w:line="360" w:lineRule="auto"/>
        <w:rPr>
          <w:rFonts w:ascii="Arial" w:hAnsi="Arial" w:cs="Arial"/>
          <w:sz w:val="24"/>
          <w:szCs w:val="24"/>
        </w:rPr>
      </w:pPr>
      <w:r w:rsidRPr="005D579C">
        <w:rPr>
          <w:rFonts w:ascii="Arial" w:hAnsi="Arial" w:cs="Arial"/>
          <w:sz w:val="24"/>
          <w:szCs w:val="24"/>
        </w:rPr>
        <w:t xml:space="preserve">In terms of </w:t>
      </w:r>
      <w:r w:rsidRPr="005D579C">
        <w:rPr>
          <w:rFonts w:ascii="Arial" w:hAnsi="Arial" w:cs="Arial"/>
          <w:i/>
          <w:iCs/>
          <w:sz w:val="24"/>
          <w:szCs w:val="24"/>
        </w:rPr>
        <w:t>mens rea</w:t>
      </w:r>
      <w:r w:rsidRPr="005D579C">
        <w:rPr>
          <w:rFonts w:ascii="Arial" w:hAnsi="Arial" w:cs="Arial"/>
          <w:sz w:val="24"/>
          <w:szCs w:val="24"/>
        </w:rPr>
        <w:t xml:space="preserve">, dishonesty is assessed based on the </w:t>
      </w:r>
      <w:r w:rsidR="005D579C">
        <w:rPr>
          <w:rFonts w:ascii="Arial" w:hAnsi="Arial" w:cs="Arial"/>
          <w:sz w:val="24"/>
          <w:szCs w:val="24"/>
        </w:rPr>
        <w:t xml:space="preserve">‘R v </w:t>
      </w:r>
      <w:r w:rsidRPr="005D579C">
        <w:rPr>
          <w:rFonts w:ascii="Arial" w:hAnsi="Arial" w:cs="Arial"/>
          <w:sz w:val="24"/>
          <w:szCs w:val="24"/>
        </w:rPr>
        <w:t>Ivey</w:t>
      </w:r>
      <w:r w:rsidR="005D579C">
        <w:rPr>
          <w:rFonts w:ascii="Arial" w:hAnsi="Arial" w:cs="Arial"/>
          <w:sz w:val="24"/>
          <w:szCs w:val="24"/>
        </w:rPr>
        <w:t>’</w:t>
      </w:r>
      <w:r w:rsidRPr="005D579C">
        <w:rPr>
          <w:rFonts w:ascii="Arial" w:hAnsi="Arial" w:cs="Arial"/>
          <w:sz w:val="24"/>
          <w:szCs w:val="24"/>
        </w:rPr>
        <w:t xml:space="preserve"> (2017) test. It is assessed if the defendant’s conduct was dishonest by the standards of ordinary decent people. Miss Jones merely picked up an expensive bag which was left on an alleyway – this would be common conduct by any by-passer who would see such an expensive item on the street. Moreover, there is no indication of intention to permanently deprive anyone of the item.</w:t>
      </w:r>
    </w:p>
    <w:p w14:paraId="588D1922" w14:textId="6D8F8D7D" w:rsidR="007B42C9" w:rsidRPr="005D579C" w:rsidRDefault="007B42C9" w:rsidP="005D579C">
      <w:pPr>
        <w:pStyle w:val="ListParagraph"/>
        <w:numPr>
          <w:ilvl w:val="0"/>
          <w:numId w:val="4"/>
        </w:numPr>
        <w:spacing w:line="360" w:lineRule="auto"/>
        <w:rPr>
          <w:rFonts w:ascii="Arial" w:hAnsi="Arial" w:cs="Arial"/>
          <w:sz w:val="24"/>
          <w:szCs w:val="24"/>
        </w:rPr>
      </w:pPr>
      <w:r w:rsidRPr="005D579C">
        <w:rPr>
          <w:rFonts w:ascii="Arial" w:hAnsi="Arial" w:cs="Arial"/>
          <w:sz w:val="24"/>
          <w:szCs w:val="24"/>
        </w:rPr>
        <w:t>Assault</w:t>
      </w:r>
    </w:p>
    <w:p w14:paraId="0199E163" w14:textId="2DFCC4D4" w:rsidR="007B42C9" w:rsidRPr="005D579C" w:rsidRDefault="0080609B" w:rsidP="005D579C">
      <w:pPr>
        <w:spacing w:line="360" w:lineRule="auto"/>
        <w:rPr>
          <w:rFonts w:ascii="Arial" w:hAnsi="Arial" w:cs="Arial"/>
          <w:sz w:val="24"/>
          <w:szCs w:val="24"/>
        </w:rPr>
      </w:pPr>
      <w:r w:rsidRPr="005D579C">
        <w:rPr>
          <w:rFonts w:ascii="Arial" w:hAnsi="Arial" w:cs="Arial"/>
          <w:sz w:val="24"/>
          <w:szCs w:val="24"/>
        </w:rPr>
        <w:t xml:space="preserve">The </w:t>
      </w:r>
      <w:r w:rsidRPr="005D579C">
        <w:rPr>
          <w:rFonts w:ascii="Arial" w:hAnsi="Arial" w:cs="Arial"/>
          <w:i/>
          <w:iCs/>
          <w:sz w:val="24"/>
          <w:szCs w:val="24"/>
        </w:rPr>
        <w:t>actus reus</w:t>
      </w:r>
      <w:r w:rsidRPr="005D579C">
        <w:rPr>
          <w:rFonts w:ascii="Arial" w:hAnsi="Arial" w:cs="Arial"/>
          <w:sz w:val="24"/>
          <w:szCs w:val="24"/>
        </w:rPr>
        <w:t xml:space="preserve"> of assault is not so clear in the case of Miss Jones. Miss Jones has told us that as she was picking up the item, she was attacked by Miss Davies. </w:t>
      </w:r>
      <w:proofErr w:type="gramStart"/>
      <w:r w:rsidRPr="005D579C">
        <w:rPr>
          <w:rFonts w:ascii="Arial" w:hAnsi="Arial" w:cs="Arial"/>
          <w:sz w:val="24"/>
          <w:szCs w:val="24"/>
        </w:rPr>
        <w:t>It would seem that Miss Jones</w:t>
      </w:r>
      <w:proofErr w:type="gramEnd"/>
      <w:r w:rsidRPr="005D579C">
        <w:rPr>
          <w:rFonts w:ascii="Arial" w:hAnsi="Arial" w:cs="Arial"/>
          <w:sz w:val="24"/>
          <w:szCs w:val="24"/>
        </w:rPr>
        <w:t xml:space="preserve"> did not commit an assault which would cause the victim to apprehend immediate unlawful personal violence as the victim was the first to act in this instance.</w:t>
      </w:r>
    </w:p>
    <w:p w14:paraId="5517CEF5" w14:textId="61AFDF35" w:rsidR="0080609B" w:rsidRPr="005D579C" w:rsidRDefault="0080609B" w:rsidP="005D579C">
      <w:pPr>
        <w:spacing w:line="360" w:lineRule="auto"/>
        <w:rPr>
          <w:rFonts w:ascii="Arial" w:hAnsi="Arial" w:cs="Arial"/>
          <w:sz w:val="24"/>
          <w:szCs w:val="24"/>
        </w:rPr>
      </w:pPr>
      <w:r w:rsidRPr="005D579C">
        <w:rPr>
          <w:rFonts w:ascii="Arial" w:hAnsi="Arial" w:cs="Arial"/>
          <w:sz w:val="24"/>
          <w:szCs w:val="24"/>
        </w:rPr>
        <w:lastRenderedPageBreak/>
        <w:t xml:space="preserve">In terms of </w:t>
      </w:r>
      <w:r w:rsidRPr="005D579C">
        <w:rPr>
          <w:rFonts w:ascii="Arial" w:hAnsi="Arial" w:cs="Arial"/>
          <w:i/>
          <w:iCs/>
          <w:sz w:val="24"/>
          <w:szCs w:val="24"/>
        </w:rPr>
        <w:t>mens rea</w:t>
      </w:r>
      <w:r w:rsidRPr="005D579C">
        <w:rPr>
          <w:rFonts w:ascii="Arial" w:hAnsi="Arial" w:cs="Arial"/>
          <w:sz w:val="24"/>
          <w:szCs w:val="24"/>
        </w:rPr>
        <w:t xml:space="preserve">, there seems to have been no direct or indirect action of Miss Jones as she was picking up the item when was attacked by Miss Davies. The </w:t>
      </w:r>
      <w:r w:rsidR="005D579C">
        <w:rPr>
          <w:rFonts w:ascii="Arial" w:hAnsi="Arial" w:cs="Arial"/>
          <w:sz w:val="24"/>
          <w:szCs w:val="24"/>
        </w:rPr>
        <w:t>‘</w:t>
      </w:r>
      <w:r w:rsidRPr="005D579C">
        <w:rPr>
          <w:rFonts w:ascii="Arial" w:hAnsi="Arial" w:cs="Arial"/>
          <w:sz w:val="24"/>
          <w:szCs w:val="24"/>
        </w:rPr>
        <w:t>Cunningham</w:t>
      </w:r>
      <w:r w:rsidR="005D579C">
        <w:rPr>
          <w:rFonts w:ascii="Arial" w:hAnsi="Arial" w:cs="Arial"/>
          <w:sz w:val="24"/>
          <w:szCs w:val="24"/>
        </w:rPr>
        <w:t>’</w:t>
      </w:r>
      <w:r w:rsidRPr="005D579C">
        <w:rPr>
          <w:rFonts w:ascii="Arial" w:hAnsi="Arial" w:cs="Arial"/>
          <w:sz w:val="24"/>
          <w:szCs w:val="24"/>
        </w:rPr>
        <w:t xml:space="preserve"> subjective recklessness does not apply here because picking up an object from the street would not cause anyone immediate unlawful violence.</w:t>
      </w:r>
    </w:p>
    <w:p w14:paraId="04E730B2" w14:textId="71D03A88" w:rsidR="007276D9" w:rsidRPr="005D579C" w:rsidRDefault="0080609B" w:rsidP="005D579C">
      <w:pPr>
        <w:spacing w:line="360" w:lineRule="auto"/>
        <w:rPr>
          <w:rFonts w:ascii="Arial" w:hAnsi="Arial" w:cs="Arial"/>
          <w:sz w:val="24"/>
          <w:szCs w:val="24"/>
          <w:u w:val="single"/>
        </w:rPr>
      </w:pPr>
      <w:r w:rsidRPr="005D579C">
        <w:rPr>
          <w:rFonts w:ascii="Arial" w:hAnsi="Arial" w:cs="Arial"/>
          <w:sz w:val="24"/>
          <w:szCs w:val="24"/>
          <w:u w:val="single"/>
        </w:rPr>
        <w:t xml:space="preserve">Miss Davies’ claims </w:t>
      </w:r>
    </w:p>
    <w:p w14:paraId="725F7944" w14:textId="77777777" w:rsidR="0080609B" w:rsidRPr="005D579C" w:rsidRDefault="0080609B" w:rsidP="005D579C">
      <w:pPr>
        <w:spacing w:line="360" w:lineRule="auto"/>
        <w:rPr>
          <w:rFonts w:ascii="Arial" w:hAnsi="Arial" w:cs="Arial"/>
          <w:sz w:val="24"/>
          <w:szCs w:val="24"/>
        </w:rPr>
      </w:pPr>
      <w:r w:rsidRPr="005D579C">
        <w:rPr>
          <w:rFonts w:ascii="Arial" w:hAnsi="Arial" w:cs="Arial"/>
          <w:sz w:val="24"/>
          <w:szCs w:val="24"/>
        </w:rPr>
        <w:t xml:space="preserve">Miss Davies has told PC Jenkins that the bag belongs to her, and it was a gift from her grandmother. Nevertheless, she does not have a receipt and her grandmother has passed away. In such a situation and in the case at present, the burden of proof rests with the prosecution to prove to that the bag is Miss Davies’ property and she has property rights to it </w:t>
      </w:r>
      <w:proofErr w:type="gramStart"/>
      <w:r w:rsidRPr="005D579C">
        <w:rPr>
          <w:rFonts w:ascii="Arial" w:hAnsi="Arial" w:cs="Arial"/>
          <w:sz w:val="24"/>
          <w:szCs w:val="24"/>
        </w:rPr>
        <w:t>in order for</w:t>
      </w:r>
      <w:proofErr w:type="gramEnd"/>
      <w:r w:rsidRPr="005D579C">
        <w:rPr>
          <w:rFonts w:ascii="Arial" w:hAnsi="Arial" w:cs="Arial"/>
          <w:sz w:val="24"/>
          <w:szCs w:val="24"/>
        </w:rPr>
        <w:t xml:space="preserve"> the theft charge to be upheld. </w:t>
      </w:r>
    </w:p>
    <w:p w14:paraId="567BBAD2" w14:textId="72C7F54E" w:rsidR="0080609B" w:rsidRPr="005D579C" w:rsidRDefault="0080609B" w:rsidP="005D579C">
      <w:pPr>
        <w:spacing w:line="360" w:lineRule="auto"/>
        <w:rPr>
          <w:rFonts w:ascii="Arial" w:hAnsi="Arial" w:cs="Arial"/>
          <w:sz w:val="24"/>
          <w:szCs w:val="24"/>
          <w:u w:val="single"/>
        </w:rPr>
      </w:pPr>
      <w:r w:rsidRPr="005D579C">
        <w:rPr>
          <w:rFonts w:ascii="Arial" w:hAnsi="Arial" w:cs="Arial"/>
          <w:sz w:val="24"/>
          <w:szCs w:val="24"/>
          <w:u w:val="single"/>
        </w:rPr>
        <w:t xml:space="preserve">Advantages/disadvantages of remaining silent during the police interview </w:t>
      </w:r>
    </w:p>
    <w:p w14:paraId="1CAB247E" w14:textId="1113C758" w:rsidR="00AE72A5" w:rsidRPr="005D579C" w:rsidRDefault="00AE72A5" w:rsidP="005D579C">
      <w:pPr>
        <w:spacing w:line="360" w:lineRule="auto"/>
        <w:rPr>
          <w:rFonts w:ascii="Arial" w:hAnsi="Arial" w:cs="Arial"/>
          <w:sz w:val="24"/>
          <w:szCs w:val="24"/>
        </w:rPr>
      </w:pPr>
      <w:r w:rsidRPr="005D579C">
        <w:rPr>
          <w:rFonts w:ascii="Arial" w:hAnsi="Arial" w:cs="Arial"/>
          <w:sz w:val="24"/>
          <w:szCs w:val="24"/>
        </w:rPr>
        <w:t xml:space="preserve">The right to silence and how it operates is outlined in section 34 of the Criminal Justice and Public Order Act 1994.  Throughout my research into the matter and deciding which advice to give the client, I have outlined certain advantages and disadvantages of the right to silence during the police interview. </w:t>
      </w:r>
    </w:p>
    <w:p w14:paraId="1CC2C6DA" w14:textId="4F6E8956" w:rsidR="00AE72A5" w:rsidRPr="005D579C" w:rsidRDefault="00AE72A5" w:rsidP="005D579C">
      <w:pPr>
        <w:spacing w:line="360" w:lineRule="auto"/>
        <w:rPr>
          <w:rFonts w:ascii="Arial" w:hAnsi="Arial" w:cs="Arial"/>
          <w:sz w:val="24"/>
          <w:szCs w:val="24"/>
        </w:rPr>
      </w:pPr>
      <w:r w:rsidRPr="005D579C">
        <w:rPr>
          <w:rFonts w:ascii="Arial" w:hAnsi="Arial" w:cs="Arial"/>
          <w:sz w:val="24"/>
          <w:szCs w:val="24"/>
        </w:rPr>
        <w:t>One of the disadvantages is that according to section 34(1) and (2), if the accused relies on any facts in the trial which were not mentioned in the interview, the court and/or jury may draw such inferences as appear proper in determining guilt.</w:t>
      </w:r>
      <w:r w:rsidR="00B621F9" w:rsidRPr="005D579C">
        <w:rPr>
          <w:rFonts w:ascii="Arial" w:hAnsi="Arial" w:cs="Arial"/>
          <w:sz w:val="24"/>
          <w:szCs w:val="24"/>
        </w:rPr>
        <w:t xml:space="preserve"> Nevertheless, section 38(3) Criminal Justice and Public Order Act 1994 outlines that a person cannot be solely convicted on inference.</w:t>
      </w:r>
    </w:p>
    <w:p w14:paraId="0583D1DD" w14:textId="19E383C7" w:rsidR="00B621F9" w:rsidRPr="005D579C" w:rsidRDefault="00B621F9" w:rsidP="005D579C">
      <w:pPr>
        <w:spacing w:line="360" w:lineRule="auto"/>
        <w:rPr>
          <w:rFonts w:ascii="Arial" w:hAnsi="Arial" w:cs="Arial"/>
          <w:sz w:val="24"/>
          <w:szCs w:val="24"/>
        </w:rPr>
      </w:pPr>
      <w:r w:rsidRPr="005D579C">
        <w:rPr>
          <w:rFonts w:ascii="Arial" w:hAnsi="Arial" w:cs="Arial"/>
          <w:sz w:val="24"/>
          <w:szCs w:val="24"/>
        </w:rPr>
        <w:t xml:space="preserve">The advantages are that the interferences drawn differ on the particulars of each case and the advice from the solicitor as per </w:t>
      </w:r>
      <w:r w:rsidR="005D579C">
        <w:rPr>
          <w:rFonts w:ascii="Arial" w:hAnsi="Arial" w:cs="Arial"/>
          <w:sz w:val="24"/>
          <w:szCs w:val="24"/>
        </w:rPr>
        <w:t xml:space="preserve">‘R v </w:t>
      </w:r>
      <w:r w:rsidRPr="005D579C">
        <w:rPr>
          <w:rFonts w:ascii="Arial" w:hAnsi="Arial" w:cs="Arial"/>
          <w:sz w:val="24"/>
          <w:szCs w:val="24"/>
        </w:rPr>
        <w:t>Argent</w:t>
      </w:r>
      <w:r w:rsidR="005D579C">
        <w:rPr>
          <w:rFonts w:ascii="Arial" w:hAnsi="Arial" w:cs="Arial"/>
          <w:sz w:val="24"/>
          <w:szCs w:val="24"/>
        </w:rPr>
        <w:t>’</w:t>
      </w:r>
      <w:r w:rsidRPr="005D579C">
        <w:rPr>
          <w:rFonts w:ascii="Arial" w:hAnsi="Arial" w:cs="Arial"/>
          <w:sz w:val="24"/>
          <w:szCs w:val="24"/>
        </w:rPr>
        <w:t xml:space="preserve"> (1997).</w:t>
      </w:r>
    </w:p>
    <w:p w14:paraId="7AE9F95D" w14:textId="505E3D2D" w:rsidR="00B621F9" w:rsidRPr="005D579C" w:rsidRDefault="00B621F9" w:rsidP="005D579C">
      <w:pPr>
        <w:spacing w:line="360" w:lineRule="auto"/>
        <w:rPr>
          <w:rFonts w:ascii="Arial" w:hAnsi="Arial" w:cs="Arial"/>
          <w:sz w:val="24"/>
          <w:szCs w:val="24"/>
        </w:rPr>
      </w:pPr>
      <w:r w:rsidRPr="005D579C">
        <w:rPr>
          <w:rFonts w:ascii="Arial" w:hAnsi="Arial" w:cs="Arial"/>
          <w:sz w:val="24"/>
          <w:szCs w:val="24"/>
        </w:rPr>
        <w:t xml:space="preserve">If the client is to rely upon advice from the solicitor, the advice must be ‘genuinely relied upon’ and the ‘real reasons’ for remaining silent as outlined in </w:t>
      </w:r>
      <w:r w:rsidR="005D579C">
        <w:rPr>
          <w:rFonts w:ascii="Arial" w:hAnsi="Arial" w:cs="Arial"/>
          <w:sz w:val="24"/>
          <w:szCs w:val="24"/>
        </w:rPr>
        <w:t xml:space="preserve">‘R v </w:t>
      </w:r>
      <w:r w:rsidRPr="005D579C">
        <w:rPr>
          <w:rFonts w:ascii="Arial" w:hAnsi="Arial" w:cs="Arial"/>
          <w:sz w:val="24"/>
          <w:szCs w:val="24"/>
        </w:rPr>
        <w:t>Howell</w:t>
      </w:r>
      <w:r w:rsidR="005D579C">
        <w:rPr>
          <w:rFonts w:ascii="Arial" w:hAnsi="Arial" w:cs="Arial"/>
          <w:sz w:val="24"/>
          <w:szCs w:val="24"/>
        </w:rPr>
        <w:t>’</w:t>
      </w:r>
      <w:r w:rsidRPr="005D579C">
        <w:rPr>
          <w:rFonts w:ascii="Arial" w:hAnsi="Arial" w:cs="Arial"/>
          <w:sz w:val="24"/>
          <w:szCs w:val="24"/>
        </w:rPr>
        <w:t xml:space="preserve"> (2005). Thus, we must exercise caution if we are to instruct Miss Jones to exercise her right to remain silent. If we are to err in giving appropriate direction, Miss Jones’ right to a fair trial under Article 6 of the European Convention on Human Rights can be breached as outlined in </w:t>
      </w:r>
      <w:r w:rsidR="005D579C">
        <w:rPr>
          <w:rFonts w:ascii="Arial" w:hAnsi="Arial" w:cs="Arial"/>
          <w:sz w:val="24"/>
          <w:szCs w:val="24"/>
        </w:rPr>
        <w:t>‘</w:t>
      </w:r>
      <w:r w:rsidRPr="005D579C">
        <w:rPr>
          <w:rFonts w:ascii="Arial" w:hAnsi="Arial" w:cs="Arial"/>
          <w:sz w:val="24"/>
          <w:szCs w:val="24"/>
        </w:rPr>
        <w:t>Condron</w:t>
      </w:r>
      <w:r w:rsidR="005D579C">
        <w:rPr>
          <w:rFonts w:ascii="Arial" w:hAnsi="Arial" w:cs="Arial"/>
          <w:sz w:val="24"/>
          <w:szCs w:val="24"/>
        </w:rPr>
        <w:t xml:space="preserve"> v UK’ (2000)</w:t>
      </w:r>
      <w:r w:rsidRPr="005D579C">
        <w:rPr>
          <w:rFonts w:ascii="Arial" w:hAnsi="Arial" w:cs="Arial"/>
          <w:sz w:val="24"/>
          <w:szCs w:val="24"/>
        </w:rPr>
        <w:t>.</w:t>
      </w:r>
    </w:p>
    <w:p w14:paraId="74CDD827" w14:textId="764B3D10" w:rsidR="00B621F9" w:rsidRPr="005D579C" w:rsidRDefault="00B621F9" w:rsidP="005D579C">
      <w:pPr>
        <w:spacing w:line="360" w:lineRule="auto"/>
        <w:rPr>
          <w:rFonts w:ascii="Arial" w:hAnsi="Arial" w:cs="Arial"/>
          <w:sz w:val="24"/>
          <w:szCs w:val="24"/>
          <w:u w:val="single"/>
        </w:rPr>
      </w:pPr>
      <w:r w:rsidRPr="005D579C">
        <w:rPr>
          <w:rFonts w:ascii="Arial" w:hAnsi="Arial" w:cs="Arial"/>
          <w:sz w:val="24"/>
          <w:szCs w:val="24"/>
          <w:u w:val="single"/>
        </w:rPr>
        <w:t>Allocating the case for trial</w:t>
      </w:r>
    </w:p>
    <w:p w14:paraId="78490C57" w14:textId="6FCD8B01" w:rsidR="00B621F9" w:rsidRPr="005D579C" w:rsidRDefault="00B621F9" w:rsidP="005D579C">
      <w:pPr>
        <w:spacing w:line="360" w:lineRule="auto"/>
        <w:rPr>
          <w:rFonts w:ascii="Arial" w:hAnsi="Arial" w:cs="Arial"/>
          <w:sz w:val="24"/>
          <w:szCs w:val="24"/>
        </w:rPr>
      </w:pPr>
      <w:r w:rsidRPr="005D579C">
        <w:rPr>
          <w:rFonts w:ascii="Arial" w:hAnsi="Arial" w:cs="Arial"/>
          <w:sz w:val="24"/>
          <w:szCs w:val="24"/>
        </w:rPr>
        <w:lastRenderedPageBreak/>
        <w:t xml:space="preserve">The Magistrates’ Court Act 1980 outlines the three categories of offences: indictable offences, triable either-way offences, and summary offences. </w:t>
      </w:r>
    </w:p>
    <w:p w14:paraId="3B5AA438" w14:textId="75055232" w:rsidR="00B621F9" w:rsidRPr="005D579C" w:rsidRDefault="00B621F9" w:rsidP="005D579C">
      <w:pPr>
        <w:spacing w:line="360" w:lineRule="auto"/>
        <w:rPr>
          <w:rFonts w:ascii="Arial" w:hAnsi="Arial" w:cs="Arial"/>
          <w:sz w:val="24"/>
          <w:szCs w:val="24"/>
        </w:rPr>
      </w:pPr>
      <w:r w:rsidRPr="005D579C">
        <w:rPr>
          <w:rFonts w:ascii="Arial" w:hAnsi="Arial" w:cs="Arial"/>
          <w:sz w:val="24"/>
          <w:szCs w:val="24"/>
        </w:rPr>
        <w:t xml:space="preserve">The </w:t>
      </w:r>
      <w:r w:rsidR="00465864" w:rsidRPr="005D579C">
        <w:rPr>
          <w:rFonts w:ascii="Arial" w:hAnsi="Arial" w:cs="Arial"/>
          <w:sz w:val="24"/>
          <w:szCs w:val="24"/>
        </w:rPr>
        <w:t>offence</w:t>
      </w:r>
      <w:r w:rsidRPr="005D579C">
        <w:rPr>
          <w:rFonts w:ascii="Arial" w:hAnsi="Arial" w:cs="Arial"/>
          <w:sz w:val="24"/>
          <w:szCs w:val="24"/>
        </w:rPr>
        <w:t xml:space="preserve"> of assault is outlined as a summary offence in section 39 of the Criminal Justice Act 1988 which automatically makes the offence triable in the Magistrates Court. </w:t>
      </w:r>
    </w:p>
    <w:p w14:paraId="09607F25" w14:textId="4A5DC1F0" w:rsidR="00B621F9" w:rsidRDefault="00465864" w:rsidP="005D579C">
      <w:pPr>
        <w:spacing w:line="360" w:lineRule="auto"/>
        <w:rPr>
          <w:rFonts w:ascii="Arial" w:hAnsi="Arial" w:cs="Arial"/>
          <w:sz w:val="24"/>
          <w:szCs w:val="24"/>
        </w:rPr>
      </w:pPr>
      <w:r w:rsidRPr="005D579C">
        <w:rPr>
          <w:rFonts w:ascii="Arial" w:hAnsi="Arial" w:cs="Arial"/>
          <w:sz w:val="24"/>
          <w:szCs w:val="24"/>
        </w:rPr>
        <w:t xml:space="preserve">The offence of theft is a triable </w:t>
      </w:r>
      <w:proofErr w:type="gramStart"/>
      <w:r w:rsidRPr="005D579C">
        <w:rPr>
          <w:rFonts w:ascii="Arial" w:hAnsi="Arial" w:cs="Arial"/>
          <w:sz w:val="24"/>
          <w:szCs w:val="24"/>
        </w:rPr>
        <w:t>either-</w:t>
      </w:r>
      <w:proofErr w:type="gramEnd"/>
      <w:r w:rsidRPr="005D579C">
        <w:rPr>
          <w:rFonts w:ascii="Arial" w:hAnsi="Arial" w:cs="Arial"/>
          <w:sz w:val="24"/>
          <w:szCs w:val="24"/>
        </w:rPr>
        <w:t xml:space="preserve">way offence. This means that the magistrates can order to have the case trial in the Magistrates’ Court or in the Crown Court, depending on the severity of the case. The item allegedly stolen in this case is a medium-value item as it is valued at £5000. This would not make this a difficult or high-profile case; </w:t>
      </w:r>
      <w:proofErr w:type="gramStart"/>
      <w:r w:rsidRPr="005D579C">
        <w:rPr>
          <w:rFonts w:ascii="Arial" w:hAnsi="Arial" w:cs="Arial"/>
          <w:sz w:val="24"/>
          <w:szCs w:val="24"/>
        </w:rPr>
        <w:t>thus</w:t>
      </w:r>
      <w:proofErr w:type="gramEnd"/>
      <w:r w:rsidRPr="005D579C">
        <w:rPr>
          <w:rFonts w:ascii="Arial" w:hAnsi="Arial" w:cs="Arial"/>
          <w:sz w:val="24"/>
          <w:szCs w:val="24"/>
        </w:rPr>
        <w:t xml:space="preserve"> the magistrates can order to have this case trial in the Magistrates’ Court alongside the assault charge.</w:t>
      </w:r>
    </w:p>
    <w:p w14:paraId="09E5DED2" w14:textId="0FE1C094" w:rsidR="005D579C" w:rsidRDefault="005D579C" w:rsidP="005D579C">
      <w:pPr>
        <w:spacing w:line="360" w:lineRule="auto"/>
        <w:rPr>
          <w:rFonts w:ascii="Arial" w:hAnsi="Arial" w:cs="Arial"/>
          <w:sz w:val="24"/>
          <w:szCs w:val="24"/>
        </w:rPr>
      </w:pPr>
    </w:p>
    <w:p w14:paraId="62A5AB81" w14:textId="77777777" w:rsidR="005D579C" w:rsidRDefault="005D579C">
      <w:pPr>
        <w:rPr>
          <w:rFonts w:ascii="Arial" w:hAnsi="Arial" w:cs="Arial"/>
          <w:sz w:val="24"/>
          <w:szCs w:val="24"/>
        </w:rPr>
      </w:pPr>
      <w:r>
        <w:rPr>
          <w:rFonts w:ascii="Arial" w:hAnsi="Arial" w:cs="Arial"/>
          <w:sz w:val="24"/>
          <w:szCs w:val="24"/>
        </w:rPr>
        <w:br w:type="page"/>
      </w:r>
    </w:p>
    <w:p w14:paraId="247AA391" w14:textId="6A31B22B" w:rsidR="005D579C" w:rsidRDefault="005D579C" w:rsidP="005D579C">
      <w:pPr>
        <w:spacing w:line="360" w:lineRule="auto"/>
        <w:rPr>
          <w:rFonts w:ascii="Arial" w:hAnsi="Arial" w:cs="Arial"/>
          <w:b/>
          <w:bCs/>
          <w:sz w:val="24"/>
          <w:szCs w:val="24"/>
        </w:rPr>
      </w:pPr>
      <w:r w:rsidRPr="005D579C">
        <w:rPr>
          <w:rFonts w:ascii="Arial" w:hAnsi="Arial" w:cs="Arial"/>
          <w:b/>
          <w:bCs/>
          <w:sz w:val="24"/>
          <w:szCs w:val="24"/>
        </w:rPr>
        <w:lastRenderedPageBreak/>
        <w:t>Bibliography</w:t>
      </w:r>
    </w:p>
    <w:p w14:paraId="5FE41FE7"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Condron v UK (2000)</w:t>
      </w:r>
    </w:p>
    <w:p w14:paraId="4DA8B85C"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Criminal Justice Act 1988</w:t>
      </w:r>
    </w:p>
    <w:p w14:paraId="5CB57A49"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Fagan v Metropolitan Police Commissioner (1968)</w:t>
      </w:r>
    </w:p>
    <w:p w14:paraId="39212CB2"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Magistrates’ Court Act 1980</w:t>
      </w:r>
    </w:p>
    <w:p w14:paraId="48BC6AE7"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Meade v Belt (1823)</w:t>
      </w:r>
    </w:p>
    <w:p w14:paraId="7F5DE945"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R v Argent (1997</w:t>
      </w:r>
      <w:r w:rsidRPr="00356730">
        <w:rPr>
          <w:rFonts w:ascii="Arial" w:hAnsi="Arial" w:cs="Arial"/>
          <w:sz w:val="24"/>
          <w:szCs w:val="24"/>
        </w:rPr>
        <w:t>)</w:t>
      </w:r>
    </w:p>
    <w:p w14:paraId="50CAF599"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R v Cunningham (1957)</w:t>
      </w:r>
    </w:p>
    <w:p w14:paraId="153CE067"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R v Howell (2005)</w:t>
      </w:r>
    </w:p>
    <w:p w14:paraId="5B797F85"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R v Ivey (2017)</w:t>
      </w:r>
    </w:p>
    <w:p w14:paraId="5F1E02AE"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R v McPherson (1973)</w:t>
      </w:r>
    </w:p>
    <w:p w14:paraId="1D59C699" w14:textId="77777777" w:rsidR="00356730" w:rsidRPr="00356730" w:rsidRDefault="00356730" w:rsidP="005D579C">
      <w:pPr>
        <w:pStyle w:val="NormalWeb"/>
        <w:ind w:left="567" w:hanging="567"/>
        <w:rPr>
          <w:rFonts w:ascii="Arial" w:hAnsi="Arial" w:cs="Arial"/>
        </w:rPr>
      </w:pPr>
      <w:r w:rsidRPr="00356730">
        <w:rPr>
          <w:rFonts w:ascii="Arial" w:hAnsi="Arial" w:cs="Arial"/>
          <w:i/>
          <w:iCs/>
        </w:rPr>
        <w:t>Theft - general</w:t>
      </w:r>
      <w:r w:rsidRPr="00356730">
        <w:rPr>
          <w:rFonts w:ascii="Arial" w:hAnsi="Arial" w:cs="Arial"/>
        </w:rPr>
        <w:t xml:space="preserve"> (no date) </w:t>
      </w:r>
      <w:r w:rsidRPr="00356730">
        <w:rPr>
          <w:rFonts w:ascii="Arial" w:hAnsi="Arial" w:cs="Arial"/>
          <w:i/>
          <w:iCs/>
        </w:rPr>
        <w:t>Sentencing</w:t>
      </w:r>
      <w:r w:rsidRPr="00356730">
        <w:rPr>
          <w:rFonts w:ascii="Arial" w:hAnsi="Arial" w:cs="Arial"/>
        </w:rPr>
        <w:t xml:space="preserve">. Available at: https://www.sentencingcouncil.org.uk/offences/magistrates-court/item/theft-general/ (Accessed: November 7, 2022). </w:t>
      </w:r>
    </w:p>
    <w:p w14:paraId="182498F3"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Theft Act 1968</w:t>
      </w:r>
    </w:p>
    <w:p w14:paraId="4F0C730D" w14:textId="77777777" w:rsidR="00356730" w:rsidRPr="00356730" w:rsidRDefault="00356730" w:rsidP="005D579C">
      <w:pPr>
        <w:spacing w:line="360" w:lineRule="auto"/>
        <w:rPr>
          <w:rFonts w:ascii="Arial" w:hAnsi="Arial" w:cs="Arial"/>
          <w:sz w:val="24"/>
          <w:szCs w:val="24"/>
        </w:rPr>
      </w:pPr>
      <w:r w:rsidRPr="00356730">
        <w:rPr>
          <w:rFonts w:ascii="Arial" w:hAnsi="Arial" w:cs="Arial"/>
          <w:sz w:val="24"/>
          <w:szCs w:val="24"/>
        </w:rPr>
        <w:t>Thomas v National Union of Mineworkers</w:t>
      </w:r>
      <w:r w:rsidRPr="00356730">
        <w:rPr>
          <w:rFonts w:ascii="Arial" w:hAnsi="Arial" w:cs="Arial"/>
          <w:i/>
          <w:iCs/>
          <w:sz w:val="24"/>
          <w:szCs w:val="24"/>
        </w:rPr>
        <w:t xml:space="preserve"> (</w:t>
      </w:r>
      <w:r w:rsidRPr="00356730">
        <w:rPr>
          <w:rFonts w:ascii="Arial" w:hAnsi="Arial" w:cs="Arial"/>
          <w:sz w:val="24"/>
          <w:szCs w:val="24"/>
        </w:rPr>
        <w:t xml:space="preserve">1986) </w:t>
      </w:r>
    </w:p>
    <w:p w14:paraId="5F4A97E1" w14:textId="77777777" w:rsidR="005D579C" w:rsidRDefault="005D579C" w:rsidP="005D579C">
      <w:pPr>
        <w:spacing w:line="360" w:lineRule="auto"/>
        <w:rPr>
          <w:rFonts w:ascii="Arial" w:hAnsi="Arial" w:cs="Arial"/>
          <w:sz w:val="24"/>
          <w:szCs w:val="24"/>
        </w:rPr>
      </w:pPr>
    </w:p>
    <w:p w14:paraId="1D637C04" w14:textId="77777777" w:rsidR="005D579C" w:rsidRPr="005D579C" w:rsidRDefault="005D579C" w:rsidP="005D579C">
      <w:pPr>
        <w:spacing w:line="360" w:lineRule="auto"/>
        <w:rPr>
          <w:rFonts w:ascii="Arial" w:hAnsi="Arial" w:cs="Arial"/>
          <w:sz w:val="24"/>
          <w:szCs w:val="24"/>
        </w:rPr>
      </w:pPr>
    </w:p>
    <w:p w14:paraId="67071D43" w14:textId="77777777" w:rsidR="005D579C" w:rsidRPr="005D579C" w:rsidRDefault="005D579C" w:rsidP="005D579C">
      <w:pPr>
        <w:spacing w:line="360" w:lineRule="auto"/>
        <w:rPr>
          <w:rFonts w:ascii="Arial" w:hAnsi="Arial" w:cs="Arial"/>
          <w:b/>
          <w:bCs/>
          <w:sz w:val="24"/>
          <w:szCs w:val="24"/>
        </w:rPr>
      </w:pPr>
    </w:p>
    <w:sectPr w:rsidR="005D579C" w:rsidRPr="005D5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55C79"/>
    <w:multiLevelType w:val="hybridMultilevel"/>
    <w:tmpl w:val="9684ABDA"/>
    <w:lvl w:ilvl="0" w:tplc="740C87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825B93"/>
    <w:multiLevelType w:val="hybridMultilevel"/>
    <w:tmpl w:val="6A188718"/>
    <w:lvl w:ilvl="0" w:tplc="0B4E304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291C0D"/>
    <w:multiLevelType w:val="hybridMultilevel"/>
    <w:tmpl w:val="9684ABD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9663159"/>
    <w:multiLevelType w:val="hybridMultilevel"/>
    <w:tmpl w:val="B924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782825"/>
    <w:multiLevelType w:val="hybridMultilevel"/>
    <w:tmpl w:val="BDC247F2"/>
    <w:lvl w:ilvl="0" w:tplc="FC0C0D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4031511">
    <w:abstractNumId w:val="3"/>
  </w:num>
  <w:num w:numId="2" w16cid:durableId="416906601">
    <w:abstractNumId w:val="1"/>
  </w:num>
  <w:num w:numId="3" w16cid:durableId="1696154594">
    <w:abstractNumId w:val="0"/>
  </w:num>
  <w:num w:numId="4" w16cid:durableId="1744571138">
    <w:abstractNumId w:val="4"/>
  </w:num>
  <w:num w:numId="5" w16cid:durableId="1327900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91"/>
    <w:rsid w:val="00266D61"/>
    <w:rsid w:val="00356730"/>
    <w:rsid w:val="00465864"/>
    <w:rsid w:val="005D579C"/>
    <w:rsid w:val="006A127D"/>
    <w:rsid w:val="007276D9"/>
    <w:rsid w:val="007B42C9"/>
    <w:rsid w:val="0080609B"/>
    <w:rsid w:val="00966045"/>
    <w:rsid w:val="00973A95"/>
    <w:rsid w:val="00AD4D62"/>
    <w:rsid w:val="00AE72A5"/>
    <w:rsid w:val="00B621F9"/>
    <w:rsid w:val="00E64D91"/>
    <w:rsid w:val="00FD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2453"/>
  <w15:chartTrackingRefBased/>
  <w15:docId w15:val="{DA8E3CD9-A33C-4604-98DA-B2CB0A736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266D61"/>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266D61"/>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D62"/>
    <w:pPr>
      <w:ind w:left="720"/>
      <w:contextualSpacing/>
    </w:pPr>
  </w:style>
  <w:style w:type="character" w:styleId="Hyperlink">
    <w:name w:val="Hyperlink"/>
    <w:basedOn w:val="DefaultParagraphFont"/>
    <w:uiPriority w:val="99"/>
    <w:unhideWhenUsed/>
    <w:rsid w:val="006A127D"/>
    <w:rPr>
      <w:color w:val="0563C1" w:themeColor="hyperlink"/>
      <w:u w:val="single"/>
    </w:rPr>
  </w:style>
  <w:style w:type="character" w:styleId="UnresolvedMention">
    <w:name w:val="Unresolved Mention"/>
    <w:basedOn w:val="DefaultParagraphFont"/>
    <w:uiPriority w:val="99"/>
    <w:semiHidden/>
    <w:unhideWhenUsed/>
    <w:rsid w:val="006A127D"/>
    <w:rPr>
      <w:color w:val="605E5C"/>
      <w:shd w:val="clear" w:color="auto" w:fill="E1DFDD"/>
    </w:rPr>
  </w:style>
  <w:style w:type="paragraph" w:styleId="NormalWeb">
    <w:name w:val="Normal (Web)"/>
    <w:basedOn w:val="Normal"/>
    <w:uiPriority w:val="99"/>
    <w:semiHidden/>
    <w:unhideWhenUsed/>
    <w:rsid w:val="005D57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semiHidden/>
    <w:rsid w:val="00266D6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266D61"/>
    <w:rPr>
      <w:rFonts w:ascii="Times New Roman" w:eastAsia="Times New Roman" w:hAnsi="Times New Roman" w:cs="Times New Roman"/>
      <w:sz w:val="40"/>
      <w:szCs w:val="20"/>
      <w:lang w:eastAsia="en-GB"/>
    </w:rPr>
  </w:style>
  <w:style w:type="paragraph" w:styleId="Header">
    <w:name w:val="header"/>
    <w:basedOn w:val="Normal"/>
    <w:link w:val="HeaderChar"/>
    <w:semiHidden/>
    <w:unhideWhenUsed/>
    <w:rsid w:val="00266D61"/>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semiHidden/>
    <w:rsid w:val="00266D6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96664">
      <w:bodyDiv w:val="1"/>
      <w:marLeft w:val="0"/>
      <w:marRight w:val="0"/>
      <w:marTop w:val="0"/>
      <w:marBottom w:val="0"/>
      <w:divBdr>
        <w:top w:val="none" w:sz="0" w:space="0" w:color="auto"/>
        <w:left w:val="none" w:sz="0" w:space="0" w:color="auto"/>
        <w:bottom w:val="none" w:sz="0" w:space="0" w:color="auto"/>
        <w:right w:val="none" w:sz="0" w:space="0" w:color="auto"/>
      </w:divBdr>
    </w:div>
    <w:div w:id="1920630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7</Pages>
  <Words>1349</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Pantiru (2213443)</dc:creator>
  <cp:keywords/>
  <dc:description/>
  <cp:lastModifiedBy>Ionut Pantiru (2213443)</cp:lastModifiedBy>
  <cp:revision>4</cp:revision>
  <dcterms:created xsi:type="dcterms:W3CDTF">2022-11-09T11:49:00Z</dcterms:created>
  <dcterms:modified xsi:type="dcterms:W3CDTF">2022-11-11T00:55:00Z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015448ab590037e38d29d8e05da1872c471ad6f9f606cb4229ddf4952d20558f</vt:lpwstr>
  </property>
</Properties>
</file>