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7D3F" w14:textId="3EE92EE7" w:rsidR="004E78AB" w:rsidRPr="00BC2E03" w:rsidRDefault="1DA2DA37" w:rsidP="00963DE3">
      <w:pPr>
        <w:jc w:val="both"/>
        <w:rPr>
          <w:rFonts w:ascii="Century Gothic" w:hAnsi="Century Gothic"/>
          <w:b/>
          <w:bCs/>
          <w:sz w:val="24"/>
          <w:szCs w:val="24"/>
          <w:u w:val="single"/>
        </w:rPr>
      </w:pPr>
      <w:r w:rsidRPr="00BC2E03">
        <w:rPr>
          <w:rFonts w:ascii="Century Gothic" w:hAnsi="Century Gothic"/>
          <w:b/>
          <w:bCs/>
          <w:sz w:val="24"/>
          <w:szCs w:val="24"/>
          <w:u w:val="single"/>
        </w:rPr>
        <w:t xml:space="preserve">Task 1 </w:t>
      </w:r>
    </w:p>
    <w:p w14:paraId="37FF46CD" w14:textId="1294A9A8"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Within this essay I will be evaluating the concept of the professionalism in the police force and why abiding by professional standards, ethics, and inclusion, coaching and mentoring is an important aspect within any police force. </w:t>
      </w:r>
    </w:p>
    <w:p w14:paraId="7A8F2235" w14:textId="64C1AF3E"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Police officers adhere to a code of conduct which they are attested to adhere to within the initial training. This states officers agree to adhere to this code and to behave correctly by maintaining integrity. </w:t>
      </w:r>
    </w:p>
    <w:p w14:paraId="6975BD42" w14:textId="77777777" w:rsidR="00963DE3"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Police Officers are newsworthy and are always a prominent topic within the news channels and media. </w:t>
      </w:r>
      <w:proofErr w:type="spellStart"/>
      <w:r w:rsidRPr="00BC2E03">
        <w:rPr>
          <w:rFonts w:ascii="Century Gothic" w:hAnsi="Century Gothic"/>
          <w:sz w:val="24"/>
          <w:szCs w:val="24"/>
        </w:rPr>
        <w:t>Staubli</w:t>
      </w:r>
      <w:proofErr w:type="spellEnd"/>
      <w:r w:rsidRPr="00BC2E03">
        <w:rPr>
          <w:rFonts w:ascii="Century Gothic" w:hAnsi="Century Gothic"/>
          <w:sz w:val="24"/>
          <w:szCs w:val="24"/>
        </w:rPr>
        <w:t xml:space="preserve"> 2017 states police “are described positively, </w:t>
      </w:r>
    </w:p>
    <w:p w14:paraId="0DA5DD28" w14:textId="67D820F8"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such as when successfully apprehending a criminal, or they were portrayed critically, due to inappropriate behaviour”. It is paramount that the police are trusted and any “policing should be delivered in as open, honest and respectful a manner as possible” (Bradford et al, 2014). Additionally, “in ethical terms but also is likely to garner greater public cooperation, deference and compliance” (Tyler et al, 2002). Francis et al, 2021 stated there has been “recent attention focusing on ‘bad apples’ in police departments across the country, police behaviours have been the subject of considerable controversy and protest”. </w:t>
      </w:r>
    </w:p>
    <w:p w14:paraId="3FD5B065" w14:textId="0C7228E5"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As a result of officer misconduct over the past couple of years this has had a detrimental effect of confidence between the police and members within the communities. “The thin blue line ideology that seemingly widespread sense among police officers that they are a small force standing between order and chaos, suggests an affective gap between police and public” (Reiner 2010).</w:t>
      </w:r>
    </w:p>
    <w:p w14:paraId="77FEB7E6" w14:textId="091A9E8B"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It is well known that officers should challenge their colleagues’ bad behaviour. The old regulations “stipulated</w:t>
      </w:r>
      <w:r w:rsidR="007B488E" w:rsidRPr="00BC2E03">
        <w:rPr>
          <w:rFonts w:ascii="Century Gothic" w:hAnsi="Century Gothic"/>
          <w:sz w:val="24"/>
          <w:szCs w:val="24"/>
        </w:rPr>
        <w:t xml:space="preserve"> </w:t>
      </w:r>
      <w:r w:rsidRPr="00BC2E03">
        <w:rPr>
          <w:rFonts w:ascii="Century Gothic" w:hAnsi="Century Gothic"/>
          <w:sz w:val="24"/>
          <w:szCs w:val="24"/>
        </w:rPr>
        <w:t xml:space="preserve">officers should not ignore colleague’s rule breaking, the new code strengthens and makes more explicit the requirement for officers to report their colleagues’ misdemeanours” (Rowe et al, 2016).  The College of Policing 2014, states that it ‘requires everyone in policing to prevent unprofessional conduct by questioning behaviour which falls below expected standards. Additionally, it supports reporting or </w:t>
      </w:r>
      <w:proofErr w:type="gramStart"/>
      <w:r w:rsidRPr="00BC2E03">
        <w:rPr>
          <w:rFonts w:ascii="Century Gothic" w:hAnsi="Century Gothic"/>
          <w:sz w:val="24"/>
          <w:szCs w:val="24"/>
        </w:rPr>
        <w:t>taking action</w:t>
      </w:r>
      <w:proofErr w:type="gramEnd"/>
      <w:r w:rsidRPr="00BC2E03">
        <w:rPr>
          <w:rFonts w:ascii="Century Gothic" w:hAnsi="Century Gothic"/>
          <w:sz w:val="24"/>
          <w:szCs w:val="24"/>
        </w:rPr>
        <w:t xml:space="preserve"> against such behaviour’ </w:t>
      </w:r>
    </w:p>
    <w:p w14:paraId="41D94A20" w14:textId="21CA9A8A"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It is important to remember, officers are human and because of this mistake will be made from time to time. However, it is important to remain truthful, impartial, and professional when on and off duty. </w:t>
      </w:r>
      <w:r w:rsidR="007B488E" w:rsidRPr="00BC2E03">
        <w:rPr>
          <w:rFonts w:ascii="Century Gothic" w:hAnsi="Century Gothic"/>
          <w:sz w:val="24"/>
          <w:szCs w:val="24"/>
        </w:rPr>
        <w:t>For</w:t>
      </w:r>
      <w:r w:rsidRPr="00BC2E03">
        <w:rPr>
          <w:rFonts w:ascii="Century Gothic" w:hAnsi="Century Gothic"/>
          <w:sz w:val="24"/>
          <w:szCs w:val="24"/>
        </w:rPr>
        <w:t xml:space="preserve"> officers to be ethical in their duties they must ensure they are accountable for their decisions and behaviour which will uphold the public’s expectations and confidence.</w:t>
      </w:r>
    </w:p>
    <w:p w14:paraId="5D0DABCD" w14:textId="012E26A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It is well known; the public are not informed of the frequent successes of high-profile investigations and the justice served for victims through the Judicial Systems. I believe if there were more publications of these successes the more </w:t>
      </w:r>
      <w:r w:rsidRPr="00BC2E03">
        <w:rPr>
          <w:rFonts w:ascii="Century Gothic" w:hAnsi="Century Gothic"/>
          <w:sz w:val="24"/>
          <w:szCs w:val="24"/>
        </w:rPr>
        <w:lastRenderedPageBreak/>
        <w:t>trust and relationships could be built. It is often, the wrongdoing and misconduct from police is published and displayed in the public eye. I feel this is because it makes better news.</w:t>
      </w:r>
    </w:p>
    <w:p w14:paraId="65E1507E" w14:textId="1BB7E61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The brutal murder of Stephen Lawrence in 1993 had a substantive impact on British Policing. “The subsequent inquiry by Lord Macpherson into the Metropolitan Police’s mishandling of the investigation (</w:t>
      </w:r>
      <w:proofErr w:type="spellStart"/>
      <w:r w:rsidRPr="00BC2E03">
        <w:rPr>
          <w:rFonts w:ascii="Century Gothic" w:hAnsi="Century Gothic"/>
          <w:sz w:val="24"/>
          <w:szCs w:val="24"/>
        </w:rPr>
        <w:t>Bourne</w:t>
      </w:r>
      <w:proofErr w:type="spellEnd"/>
      <w:r w:rsidRPr="00BC2E03">
        <w:rPr>
          <w:rFonts w:ascii="Century Gothic" w:hAnsi="Century Gothic"/>
          <w:sz w:val="24"/>
          <w:szCs w:val="24"/>
        </w:rPr>
        <w:t xml:space="preserve">, 2001). This inquiry was “responsible for the branding of the police as institutionally racist” (O’Neill, 2015). </w:t>
      </w:r>
    </w:p>
    <w:p w14:paraId="61BED56E" w14:textId="681E5F50"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It was </w:t>
      </w:r>
      <w:proofErr w:type="gramStart"/>
      <w:r w:rsidRPr="00BC2E03">
        <w:rPr>
          <w:rFonts w:ascii="Century Gothic" w:hAnsi="Century Gothic"/>
          <w:sz w:val="24"/>
          <w:szCs w:val="24"/>
        </w:rPr>
        <w:t>as a result of</w:t>
      </w:r>
      <w:proofErr w:type="gramEnd"/>
      <w:r w:rsidRPr="00BC2E03">
        <w:rPr>
          <w:rFonts w:ascii="Century Gothic" w:hAnsi="Century Gothic"/>
          <w:sz w:val="24"/>
          <w:szCs w:val="24"/>
        </w:rPr>
        <w:t xml:space="preserve"> this unfortunate incident the Lawrence Report was produced and it is known as the “most extensive programme of reform in the history of the relationship between the police and ethnic minority communities” (Foster et al, 2005).  Loftus (2007) found that from the Lawrence Report, “police officers were highly sensitive to words or behaviour that might label them as racist, what this developed was not a new appreciation for diversity awareness, but well-developed strategies to avoid getting caught”.</w:t>
      </w:r>
    </w:p>
    <w:p w14:paraId="2DCAD601" w14:textId="2CAC1B66"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The report has helped “a rather isolated and insular force to being integrated members of the public sector and their communities, working collaboratively with partner agencies, community groups and with a dedicated team of mobile support staff to address local issues of crime and disorder” (O’Neil, 2015). </w:t>
      </w:r>
    </w:p>
    <w:p w14:paraId="59928379" w14:textId="390FA855"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In 2010, the Equality Act was presented as a standardised framework used to protect persons against unfair treatment and discrimination if they have certain characteristics.  To value difference and inclusion, the force has become an inclusive workplace which have been developed to assist persons who have a protected characteristic. Being inclusive builds relationships and one particularly with the community. For an enhanced workforce, it is important all persons are treated fairly. An example how the force has become inclusive is, canteens in police stations now prepare and serve Halal meals to cater for Islamic officers. </w:t>
      </w:r>
    </w:p>
    <w:p w14:paraId="76D1FA3F" w14:textId="7907A30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In a police force, the coaching and mentoring opportunities which has raised to ‘teach’ student officers. Student officers depend heavily on work-based learning and learning whilst on the job. Brennan 2005, states WBL has an increased focus primarily on learning over teaching. More recently, students rely profoundly on reflection, experimental learning, and guidance from mentors. Within officers’ probation, it is expected to complete several secondments into more specialised departments. Secondment “allows to gain invaluable experiential learning and enhance professional development” (</w:t>
      </w:r>
      <w:proofErr w:type="spellStart"/>
      <w:r w:rsidRPr="00BC2E03">
        <w:rPr>
          <w:rFonts w:ascii="Century Gothic" w:hAnsi="Century Gothic"/>
          <w:sz w:val="24"/>
          <w:szCs w:val="24"/>
        </w:rPr>
        <w:t>Caverner</w:t>
      </w:r>
      <w:proofErr w:type="spellEnd"/>
      <w:r w:rsidRPr="00BC2E03">
        <w:rPr>
          <w:rFonts w:ascii="Century Gothic" w:hAnsi="Century Gothic"/>
          <w:sz w:val="24"/>
          <w:szCs w:val="24"/>
        </w:rPr>
        <w:t xml:space="preserve"> et al 2020).    </w:t>
      </w:r>
    </w:p>
    <w:p w14:paraId="5108EEE4" w14:textId="2F286A79"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As part of Policing Vision 2025 and 2030, The College of Policing and National Police Chiefs Council have been active in their efforts to professionalize policing (Crawford et al, 2017). “The rationale for this is to attract certain </w:t>
      </w:r>
      <w:r w:rsidRPr="00BC2E03">
        <w:rPr>
          <w:rFonts w:ascii="Century Gothic" w:hAnsi="Century Gothic"/>
          <w:sz w:val="24"/>
          <w:szCs w:val="24"/>
        </w:rPr>
        <w:lastRenderedPageBreak/>
        <w:t xml:space="preserve">recruits with particular abilities” (Hough et al, 2019). However, this is scrutinised and Hough et al, 2019 argue there “needs to be a balance struck ‘between theory and practice in police learning”, as academic policing programmes can focus more on the academic elements, such as academic literature and referencing (Wood, 2020). Wood (2018) “claims that research indicates that student officers’ value on the street learning much more than classroom learning”. </w:t>
      </w:r>
    </w:p>
    <w:p w14:paraId="3819ABBB" w14:textId="7A4B7901"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To conclude, it is essential to follow the codes of conduct and to always act with integrity and professional whilst being an officer in any police force. This enables not only trust among communities but also amongst colleagues. It is crucial for officers to conduct themselves inclusively and to treat all members of the public and colleagues equally. </w:t>
      </w:r>
    </w:p>
    <w:p w14:paraId="65DF98A6" w14:textId="67400647"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9EF37A9" w14:textId="536CDCF3" w:rsidR="004E78AB" w:rsidRPr="006D7893" w:rsidRDefault="006D7893" w:rsidP="006D7893">
      <w:pPr>
        <w:jc w:val="center"/>
        <w:rPr>
          <w:rFonts w:ascii="Century Gothic" w:hAnsi="Century Gothic"/>
          <w:b/>
          <w:bCs/>
          <w:sz w:val="24"/>
          <w:szCs w:val="24"/>
          <w:u w:val="single"/>
        </w:rPr>
      </w:pPr>
      <w:r w:rsidRPr="006D7893">
        <w:rPr>
          <w:rFonts w:ascii="Century Gothic" w:hAnsi="Century Gothic"/>
          <w:b/>
          <w:bCs/>
          <w:sz w:val="24"/>
          <w:szCs w:val="24"/>
          <w:u w:val="single"/>
        </w:rPr>
        <w:t>Word Count: 981</w:t>
      </w:r>
    </w:p>
    <w:p w14:paraId="782BB2FB" w14:textId="2E40BB36"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54496047" w14:textId="73B09427"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E2B159B" w14:textId="5A1A30F5"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78C94ABA" w14:textId="17A5984C"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8A8381C" w14:textId="55C76B71"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4853BE05" w14:textId="067DB66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416CC9E1" w14:textId="41531D6C"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B3A55F6" w14:textId="3A7B43F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736EC4D2" w14:textId="709BA5FF"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314A56EE" w14:textId="12620E8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10EE9ED1" w14:textId="6846108F"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645BD76D" w14:textId="7A5ABC14"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52741014" w14:textId="7F694AC9"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47DB414E" w14:textId="5A28D26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64D1ED2" w14:textId="0F83AB10"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36973A6C" w14:textId="08CCFDF3"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66F6E30C" w14:textId="3A8D0DF5"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97A6B83" w14:textId="1AC76E26"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6DA6046A" w14:textId="4C407892" w:rsidR="004E78AB" w:rsidRPr="00BC2E03" w:rsidRDefault="1DA2DA37" w:rsidP="00963DE3">
      <w:pPr>
        <w:jc w:val="both"/>
        <w:rPr>
          <w:rFonts w:ascii="Century Gothic" w:hAnsi="Century Gothic"/>
          <w:b/>
          <w:bCs/>
          <w:sz w:val="24"/>
          <w:szCs w:val="24"/>
          <w:u w:val="single"/>
        </w:rPr>
      </w:pPr>
      <w:r w:rsidRPr="00BC2E03">
        <w:rPr>
          <w:rFonts w:ascii="Century Gothic" w:hAnsi="Century Gothic"/>
          <w:b/>
          <w:bCs/>
          <w:sz w:val="24"/>
          <w:szCs w:val="24"/>
          <w:u w:val="single"/>
        </w:rPr>
        <w:lastRenderedPageBreak/>
        <w:t xml:space="preserve">Task 2 </w:t>
      </w:r>
    </w:p>
    <w:p w14:paraId="29AEC418" w14:textId="6EA3EC3E"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Within this essay, I will be evaluating the role of the police with regards to policing the roads.</w:t>
      </w:r>
    </w:p>
    <w:p w14:paraId="19A523DA" w14:textId="09F12D36"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Within policing there are specialist officers who are specifically trained to deal with traffic and any road related incidents. It is the safe running of these roads is what makes lives easier. ‘Roads, arguably, represent the public space shared and </w:t>
      </w:r>
      <w:proofErr w:type="gramStart"/>
      <w:r w:rsidRPr="00BC2E03">
        <w:rPr>
          <w:rFonts w:ascii="Century Gothic" w:hAnsi="Century Gothic"/>
          <w:sz w:val="24"/>
          <w:szCs w:val="24"/>
        </w:rPr>
        <w:t>used most commonly</w:t>
      </w:r>
      <w:proofErr w:type="gramEnd"/>
      <w:r w:rsidRPr="00BC2E03">
        <w:rPr>
          <w:rFonts w:ascii="Century Gothic" w:hAnsi="Century Gothic"/>
          <w:sz w:val="24"/>
          <w:szCs w:val="24"/>
        </w:rPr>
        <w:t xml:space="preserve"> by the population comprising pedestrians, cyclists, passengers, and drivers’ (Corbett, 2008). Therefore, maintaining the safety of all users is paramount and officers must have specialist knowledge and professional attributes. </w:t>
      </w:r>
    </w:p>
    <w:p w14:paraId="64951618" w14:textId="27F31E3E"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In 2022, the National Police Chiefs’ Council (NPCC) published its latest national roads policing strategy 2022 – 2025, ‘policing together’. This strategy is built around four main areas. The NPCC state the UK ‘sees more than 5 deaths and many more serious injuries on our roads everyday’. This leaves victims and their family affected for life.</w:t>
      </w:r>
    </w:p>
    <w:p w14:paraId="593CDF6D" w14:textId="63306BD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The role of roads policing officers is to reduce the number of members of the public getting killed or seriously injured whilst on the roads. In England and Wales, 23,931 people in England and Wales suffered from serious injuries because of traffic collisions in 2018 (Hub, 2022). A road’s officer is expected to investigate the cause of the serious road accidents where they would determine what has happened and whether any further lines of enquiry are required such as the scenes of crime team.</w:t>
      </w:r>
    </w:p>
    <w:p w14:paraId="735BA14F" w14:textId="31046990"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Officers try to reduce the number of collisions and fatalities on the road, and they work on community engagement initiatives, such as ‘bike safe’ for example.  This stemmed from a ‘high number of motorcyclists being involved in collisions in North Wales in 2000/2001’ (Bike Social 2020). This initiative improves the skill and safety of motorcyclists within the UK and there ‘are currently 26 forces involved within the UK who deliver this workshop’ (Hub, 2022). </w:t>
      </w:r>
    </w:p>
    <w:p w14:paraId="54518E21" w14:textId="2A6502F3"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It is important to understand how fatalities and serious injury can occur on the road so the likelihood of this can be reduced. To reduce the number of road traffic collisions, there should be the following strategies: reduction of speed limits, visual presence of officers, increased education of drivers, increased awareness of the consequences and a no tolerance approach to offences committed on the road. </w:t>
      </w:r>
    </w:p>
    <w:p w14:paraId="707B8C4F" w14:textId="618EA6D1"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The ‘Fatal 5’ has been identified as being a contributor of road traffic accidents causing death or serious injury. The ‘Fatal 5’ include driving under the influence of alcohol or illegal substances, not wearing a seatbelt, using a mobile phone, speeding, or not concentrating or paying attention. </w:t>
      </w:r>
    </w:p>
    <w:p w14:paraId="2247EC18" w14:textId="73C2644F"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lastRenderedPageBreak/>
        <w:t xml:space="preserve">Road’s officers deliver ‘fatal 5’ campaigns into the local areas by holding open days and by attending the local schools to advised what can be responsible for causing injuries to other persons and the driver themselves. Furthermore, for an officer to improve this issue they carry out targeted patrols. For example, one week is to focus on the rate of speeding on the roads and the next targets lack of wearing of seatbelts. The same is done for using a mobile phone. This has the effect of sending a positive message to the community by making the statement committing an offence against the Fatal 5 is not acceptable and it will not be tolerated.  </w:t>
      </w:r>
    </w:p>
    <w:p w14:paraId="462A632A" w14:textId="0D65BD18"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Officers also complete targeted patrols based on local intelligence to disrupt the amount of crime on the road. This could simply mean a there is intelligence on a vehicle stating it currently does not have insurance or without tax therefore the vehicle could be seized, and the driver dealt with appropriately. </w:t>
      </w:r>
    </w:p>
    <w:p w14:paraId="747A3FB4" w14:textId="63157CB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One of the primary aims is to disrupt criminality on the roads. Criminality on the roads is present everywhere as every person uses the roads at some point. This could be using the roads for minor crime or organised crime groups which could operate internationally. High visibility patrols aids disrupting criminology as this can out offenders under pressure or put them off committing the offence. If they are put </w:t>
      </w:r>
      <w:proofErr w:type="spellStart"/>
      <w:r w:rsidRPr="00BC2E03">
        <w:rPr>
          <w:rFonts w:ascii="Century Gothic" w:hAnsi="Century Gothic"/>
          <w:sz w:val="24"/>
          <w:szCs w:val="24"/>
        </w:rPr>
        <w:t>of</w:t>
      </w:r>
      <w:proofErr w:type="spellEnd"/>
      <w:r w:rsidRPr="00BC2E03">
        <w:rPr>
          <w:rFonts w:ascii="Century Gothic" w:hAnsi="Century Gothic"/>
          <w:sz w:val="24"/>
          <w:szCs w:val="24"/>
        </w:rPr>
        <w:t xml:space="preserve"> and do not commit the crime because of visibility, then who other has also done the same. </w:t>
      </w:r>
    </w:p>
    <w:p w14:paraId="4E1967BB" w14:textId="52358931"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Automatic Number Plate Recognition (APNR) is a popular piece of technology officers used to detect, deter, and disrupt any offences which are being committed locally, nationally, and internationally. APNR is used to identify intelligence and it enables lines of enquiry and evidence of crime and is used by all forces within Great Britain. Any intelligence on vehicles can allow officers to plan and prepare targeted stops on vehicles which have come to their attention for committing an offence or if there’s appropriate intelligence linked to the vehicle. This stop can be used under 163 of the Road Traffic Act 1988. This is responsible for disruption and preventing the offence from occurring. </w:t>
      </w:r>
    </w:p>
    <w:p w14:paraId="6155BFFD" w14:textId="639BA2E3"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Officers attend the local schools to highlight their jobs and to give an insight into the duties of a roads officer and to highlight the dangerous of driving and committing against the Fatal 5 and the shock factor and seriousness of what can happen behind the wheel when a person drives under the influence. </w:t>
      </w:r>
    </w:p>
    <w:p w14:paraId="13C2F537" w14:textId="10B7428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Road’s officers must also work in partnership with the Driver and Vehicle Standards Agency (DVSA).  This governing body monitors the safety of commercial vehicles on the road (Hub, 2022). This enables the DVSA to stop vehicles driving along a road to carry out checks on the vehicle and driver to ensure its safety which can establish offences being committed by the driver. In turn, police have more legal powers to use and can seize and arrest individuals should it be necessary or for lower end offences, officers can issue a fixed penalty notice or a traffic offence report. </w:t>
      </w:r>
    </w:p>
    <w:p w14:paraId="3B9107DD" w14:textId="4C96B13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lastRenderedPageBreak/>
        <w:t xml:space="preserve">Officers also work in cooperation with the local council to work on initiatives to approach issues on the road. This could be to discuss speed limits and potential roads which have a high rate of collisions or a high rate of speeding. </w:t>
      </w:r>
    </w:p>
    <w:p w14:paraId="05A273BA" w14:textId="76B29824"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Even though there is a specialist role for the roads, it is vitally important all police officers play a part in some way to assist with the road’s unit. Ultimately, the common aim is ’to reduce criminal activity, network disruption and, most importantly, save lives. Effective policing of our roads is an essential means to achieving this’ (Shiner, 2022). </w:t>
      </w:r>
    </w:p>
    <w:p w14:paraId="00BCA2F6" w14:textId="60B549A2" w:rsidR="004E78AB" w:rsidRPr="006D7893" w:rsidRDefault="006D7893" w:rsidP="006D7893">
      <w:pPr>
        <w:jc w:val="center"/>
        <w:rPr>
          <w:rFonts w:ascii="Century Gothic" w:hAnsi="Century Gothic"/>
          <w:b/>
          <w:bCs/>
          <w:sz w:val="24"/>
          <w:szCs w:val="24"/>
          <w:u w:val="single"/>
        </w:rPr>
      </w:pPr>
      <w:r w:rsidRPr="006D7893">
        <w:rPr>
          <w:rFonts w:ascii="Century Gothic" w:hAnsi="Century Gothic"/>
          <w:b/>
          <w:bCs/>
          <w:sz w:val="24"/>
          <w:szCs w:val="24"/>
          <w:u w:val="single"/>
        </w:rPr>
        <w:t>Word Count: 1031</w:t>
      </w:r>
    </w:p>
    <w:p w14:paraId="6850D11F" w14:textId="25D6A9BD" w:rsidR="004E78AB" w:rsidRPr="006D7893" w:rsidRDefault="004E78AB" w:rsidP="006D7893">
      <w:pPr>
        <w:jc w:val="center"/>
        <w:rPr>
          <w:rFonts w:ascii="Century Gothic" w:hAnsi="Century Gothic"/>
          <w:b/>
          <w:bCs/>
          <w:sz w:val="24"/>
          <w:szCs w:val="24"/>
          <w:u w:val="single"/>
        </w:rPr>
      </w:pPr>
    </w:p>
    <w:p w14:paraId="69C11B92" w14:textId="00059209"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A684701" w14:textId="13B664D5"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51DEA3F8" w14:textId="19496A5C"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0ACDA9A5" w14:textId="0EAA4FB1"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066C74BB" w14:textId="5F66766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0BB1A9DB" w14:textId="7E982CA9"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00C2DEB9" w14:textId="02ED895F"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1509B50E" w14:textId="58A39EB0"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0467C63B" w14:textId="22E459F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B8DF407" w14:textId="75860661"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18A07D5" w14:textId="4A9099B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46E0AE6D" w14:textId="71EC5376"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63FD6D49" w14:textId="1064517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64D8EABF" w14:textId="64EA6DC8"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10828593" w14:textId="7A4B0BCD" w:rsidR="00963DE3" w:rsidRPr="00BC2E03" w:rsidRDefault="00963DE3" w:rsidP="00963DE3">
      <w:pPr>
        <w:jc w:val="both"/>
        <w:rPr>
          <w:rFonts w:ascii="Century Gothic" w:hAnsi="Century Gothic"/>
          <w:sz w:val="24"/>
          <w:szCs w:val="24"/>
        </w:rPr>
      </w:pPr>
    </w:p>
    <w:p w14:paraId="2C10A88A" w14:textId="161E93B9" w:rsidR="00963DE3" w:rsidRPr="00BC2E03" w:rsidRDefault="00963DE3" w:rsidP="00963DE3">
      <w:pPr>
        <w:jc w:val="both"/>
        <w:rPr>
          <w:rFonts w:ascii="Century Gothic" w:hAnsi="Century Gothic"/>
          <w:sz w:val="24"/>
          <w:szCs w:val="24"/>
        </w:rPr>
      </w:pPr>
    </w:p>
    <w:p w14:paraId="2E15CEAA" w14:textId="77777777" w:rsidR="00963DE3" w:rsidRPr="00BC2E03" w:rsidRDefault="00963DE3" w:rsidP="00963DE3">
      <w:pPr>
        <w:jc w:val="both"/>
        <w:rPr>
          <w:rFonts w:ascii="Century Gothic" w:hAnsi="Century Gothic"/>
          <w:sz w:val="24"/>
          <w:szCs w:val="24"/>
        </w:rPr>
      </w:pPr>
    </w:p>
    <w:p w14:paraId="3A744434" w14:textId="3BBEF31C"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714F08A2" w14:textId="502ACA5B"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996D251" w14:textId="653364BB"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5FDAFC3D" w14:textId="316B90A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1E6142F7" w14:textId="48C33FE3" w:rsidR="004E78AB" w:rsidRPr="00BC2E03" w:rsidRDefault="1DA2DA37" w:rsidP="00963DE3">
      <w:pPr>
        <w:jc w:val="both"/>
        <w:rPr>
          <w:rFonts w:ascii="Century Gothic" w:hAnsi="Century Gothic"/>
          <w:b/>
          <w:bCs/>
          <w:sz w:val="24"/>
          <w:szCs w:val="24"/>
          <w:u w:val="single"/>
        </w:rPr>
      </w:pPr>
      <w:r w:rsidRPr="00BC2E03">
        <w:rPr>
          <w:rFonts w:ascii="Century Gothic" w:hAnsi="Century Gothic"/>
          <w:b/>
          <w:bCs/>
          <w:sz w:val="24"/>
          <w:szCs w:val="24"/>
          <w:u w:val="single"/>
        </w:rPr>
        <w:lastRenderedPageBreak/>
        <w:t xml:space="preserve">Task 3 </w:t>
      </w:r>
    </w:p>
    <w:p w14:paraId="27F06603" w14:textId="06828A2B"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This essay contains a critical evaluation of how police gather information and intelligence and how this is tasked and coordinated and communicated to officers.</w:t>
      </w:r>
    </w:p>
    <w:p w14:paraId="4E656BD7" w14:textId="6CE830F8"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Information and intelligence are essential within police work as it allows for appropriate decisions to be made and identifies what should be a priority and can inform planning for tactical selections. In its simplest definition, intelligence is described as “Information designed for action” (Sims et al, 1993).</w:t>
      </w:r>
    </w:p>
    <w:p w14:paraId="0C19634C" w14:textId="5A6001A9"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Officers have a responsibility and are bound by the code which outlines the responsibilities of officers regarding the National Intelligence Model (NIR). This model sets out ethics and establishes values for how intelligence is managed. Officers from all departments are responsible for the gathering of information, which is often obtained from engagement within the community. This information can be used for development. </w:t>
      </w:r>
    </w:p>
    <w:p w14:paraId="108BE207" w14:textId="381C336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Information which is collected should only be used in line with the APP guidance and only used for a policing purpose. The information could be collected by routine operational collection by means of officers responding to incidents, arrests, stop and search and targeted patrol. Another method information can be collected is by the public or community contacts volunteering details without being prompted by officers. This can be volunteered as the community want an issue resolved. This can be obtained through various approaches such as </w:t>
      </w:r>
      <w:r w:rsidR="006B10BE" w:rsidRPr="00BC2E03">
        <w:rPr>
          <w:rFonts w:ascii="Century Gothic" w:hAnsi="Century Gothic"/>
          <w:sz w:val="24"/>
          <w:szCs w:val="24"/>
        </w:rPr>
        <w:t>neighbourhood</w:t>
      </w:r>
      <w:r w:rsidRPr="00BC2E03">
        <w:rPr>
          <w:rFonts w:ascii="Century Gothic" w:hAnsi="Century Gothic"/>
          <w:sz w:val="24"/>
          <w:szCs w:val="24"/>
        </w:rPr>
        <w:t xml:space="preserve"> watch or social media. Certain departments such as the Counter Terrorism have specialist equipment and software which caters for trawling through social media to identify certain words or slang used by individuals which could flag up as a concern to the department. Response officers only establish intelligence from community engagement, targeted patrols and through victims / witnesses of crime. </w:t>
      </w:r>
    </w:p>
    <w:p w14:paraId="4A123764" w14:textId="3302F2C2"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There are numerous ways can be recorded in different formats and held in different business areas, according to the purpose for which the information has been recorded. Intelligence can be identified and submitted for the following reasons: Domestic Abuse aggressors, Child abuse perpetrators, investigations, public protection, and offensive weapons. </w:t>
      </w:r>
    </w:p>
    <w:p w14:paraId="62768D18" w14:textId="124F9A3A"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The intelligence report (IR) is used to submit and evaluate information, intelligence, and to manage dissemination of intelligence </w:t>
      </w:r>
      <w:r w:rsidRPr="00BC2E03">
        <w:rPr>
          <w:rFonts w:ascii="Century Gothic" w:hAnsi="Century Gothic"/>
          <w:sz w:val="24"/>
          <w:szCs w:val="24"/>
          <w:highlight w:val="yellow"/>
        </w:rPr>
        <w:t>(College of Policing 2015).</w:t>
      </w:r>
      <w:r w:rsidRPr="00BC2E03">
        <w:rPr>
          <w:rFonts w:ascii="Century Gothic" w:hAnsi="Century Gothic"/>
          <w:sz w:val="24"/>
          <w:szCs w:val="24"/>
        </w:rPr>
        <w:t xml:space="preserve"> The source is protected and can remain anonymous which allows for calibration between the community and police force. </w:t>
      </w:r>
    </w:p>
    <w:p w14:paraId="4CA8389F" w14:textId="767D6F29"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In addition to submitting intelligence this needs to be investigated to distinguish the trustworthiness. Therefore, the information needs to be analysed using the 3x5x2 Model. This model identifies the reliability of the intelligence, the first part to the model assesses the source. The second aspect evaluates the </w:t>
      </w:r>
      <w:r w:rsidRPr="00BC2E03">
        <w:rPr>
          <w:rFonts w:ascii="Century Gothic" w:hAnsi="Century Gothic"/>
          <w:sz w:val="24"/>
          <w:szCs w:val="24"/>
        </w:rPr>
        <w:lastRenderedPageBreak/>
        <w:t xml:space="preserve">relationship between the source and the subject to establish how well known they are to each other. The third aspect are the handling conditions and whether the information is reliable and valid and therefore can be shared or not. </w:t>
      </w:r>
    </w:p>
    <w:p w14:paraId="3F1BAF76" w14:textId="0AEA8E0F"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Intelligence which has been tested and found to be reliable and trustworthy can be shared to officers for a ‘policing purpose and if there is ‘a legitimate need to receive it’ (College of Policing, 2015). There is a purpose should the intelligence </w:t>
      </w:r>
    </w:p>
    <w:p w14:paraId="79824614" w14:textId="42446FB9"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‘During the 1990s, serious and organised crime became a top priority internationally, which saw the development of Intelligence-led Policing (ILP)’ (</w:t>
      </w:r>
      <w:proofErr w:type="spellStart"/>
      <w:r w:rsidRPr="00BC2E03">
        <w:rPr>
          <w:rFonts w:ascii="Century Gothic" w:hAnsi="Century Gothic"/>
          <w:sz w:val="24"/>
          <w:szCs w:val="24"/>
        </w:rPr>
        <w:t>Keningale</w:t>
      </w:r>
      <w:proofErr w:type="spellEnd"/>
      <w:r w:rsidRPr="00BC2E03">
        <w:rPr>
          <w:rFonts w:ascii="Century Gothic" w:hAnsi="Century Gothic"/>
          <w:sz w:val="24"/>
          <w:szCs w:val="24"/>
        </w:rPr>
        <w:t xml:space="preserve">, 2020). However, ‘in the twenty-first century, intelligence-led policing (ILP) has become firmly established as a principal policing model’ Cotter. (2017). The traditional reactive approach to policing is being supplanted by a more preventative policing strategy involving the reduction, </w:t>
      </w:r>
      <w:proofErr w:type="gramStart"/>
      <w:r w:rsidRPr="00BC2E03">
        <w:rPr>
          <w:rFonts w:ascii="Century Gothic" w:hAnsi="Century Gothic"/>
          <w:sz w:val="24"/>
          <w:szCs w:val="24"/>
        </w:rPr>
        <w:t>disruption</w:t>
      </w:r>
      <w:proofErr w:type="gramEnd"/>
      <w:r w:rsidRPr="00BC2E03">
        <w:rPr>
          <w:rFonts w:ascii="Century Gothic" w:hAnsi="Century Gothic"/>
          <w:sz w:val="24"/>
          <w:szCs w:val="24"/>
        </w:rPr>
        <w:t xml:space="preserve"> and prevention of crime (Ratcliffe 2008, p. 266). </w:t>
      </w:r>
    </w:p>
    <w:p w14:paraId="18257903" w14:textId="3435329D"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The National Intelligence Model was therefore introduced and according to </w:t>
      </w:r>
      <w:proofErr w:type="spellStart"/>
      <w:r w:rsidRPr="00BC2E03">
        <w:rPr>
          <w:rFonts w:ascii="Century Gothic" w:hAnsi="Century Gothic"/>
          <w:sz w:val="24"/>
          <w:szCs w:val="24"/>
        </w:rPr>
        <w:t>Keningale</w:t>
      </w:r>
      <w:proofErr w:type="spellEnd"/>
      <w:r w:rsidRPr="00BC2E03">
        <w:rPr>
          <w:rFonts w:ascii="Century Gothic" w:hAnsi="Century Gothic"/>
          <w:sz w:val="24"/>
          <w:szCs w:val="24"/>
        </w:rPr>
        <w:t xml:space="preserve"> 2020, it ‘provides structure in a police investigation to process information and turn this into actionable intelligence’. </w:t>
      </w:r>
      <w:r w:rsidR="006B10BE" w:rsidRPr="00BC2E03">
        <w:rPr>
          <w:rFonts w:ascii="Century Gothic" w:hAnsi="Century Gothic"/>
          <w:sz w:val="24"/>
          <w:szCs w:val="24"/>
        </w:rPr>
        <w:t>However, according</w:t>
      </w:r>
      <w:r w:rsidRPr="00BC2E03">
        <w:rPr>
          <w:rFonts w:ascii="Century Gothic" w:hAnsi="Century Gothic"/>
          <w:sz w:val="24"/>
          <w:szCs w:val="24"/>
        </w:rPr>
        <w:t xml:space="preserve"> to Gill et al, (2012), ‘police forces are at varying stages of development with the NIM, which means it is interpreted differently in different places, with police investigators having a varied approach, thereby contradicting consistency the model promotes’. ‘ILP reinforces problem solving ways of dealing with increasingly sophisticated offenders and to reinforce this, in the UK, the National Criminal Intelligence Service created the National Intelligence Model (NIM) in 2000’ (Ratcliff, 2008). </w:t>
      </w:r>
    </w:p>
    <w:p w14:paraId="58309F0F" w14:textId="7FEFD1B1"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‘Implementing ILP requires police agencies to shift away from the traditional practices of routine patrol and responding to calls for service’ (Ratcliffe, 2008).  ‘ILP is examined by identifying aspects representative of police agency </w:t>
      </w:r>
      <w:proofErr w:type="spellStart"/>
      <w:r w:rsidRPr="00BC2E03">
        <w:rPr>
          <w:rFonts w:ascii="Century Gothic" w:hAnsi="Century Gothic"/>
          <w:sz w:val="24"/>
          <w:szCs w:val="24"/>
        </w:rPr>
        <w:t>behavior</w:t>
      </w:r>
      <w:proofErr w:type="spellEnd"/>
      <w:r w:rsidRPr="00BC2E03">
        <w:rPr>
          <w:rFonts w:ascii="Century Gothic" w:hAnsi="Century Gothic"/>
          <w:sz w:val="24"/>
          <w:szCs w:val="24"/>
        </w:rPr>
        <w:t xml:space="preserve"> that may contribute to the connection, or disconnection, between what police are expected to do and what is actually being done with respect to ILP’ (Carter 2014). It is said by the Bureau of Justice Assistance, 2010 the ‘application of ILP is believed to be an effective approach to target and reduce violent crime in urban </w:t>
      </w:r>
      <w:proofErr w:type="gramStart"/>
      <w:r w:rsidRPr="00BC2E03">
        <w:rPr>
          <w:rFonts w:ascii="Century Gothic" w:hAnsi="Century Gothic"/>
          <w:sz w:val="24"/>
          <w:szCs w:val="24"/>
        </w:rPr>
        <w:t>areas’</w:t>
      </w:r>
      <w:proofErr w:type="gramEnd"/>
      <w:r w:rsidRPr="00BC2E03">
        <w:rPr>
          <w:rFonts w:ascii="Century Gothic" w:hAnsi="Century Gothic"/>
          <w:sz w:val="24"/>
          <w:szCs w:val="24"/>
        </w:rPr>
        <w:t xml:space="preserve">. </w:t>
      </w:r>
    </w:p>
    <w:p w14:paraId="12E6E897" w14:textId="3742884E"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‘Prior to the 1990s, policing across the West was largely conducted through what is known as the ‘standard model’ of policing (Sherman, 2013)’. However, </w:t>
      </w:r>
      <w:r w:rsidRPr="00BC2E03">
        <w:rPr>
          <w:rFonts w:ascii="Century Gothic" w:hAnsi="Century Gothic"/>
          <w:sz w:val="24"/>
          <w:szCs w:val="24"/>
          <w:highlight w:val="yellow"/>
        </w:rPr>
        <w:t>Braga et al (2010</w:t>
      </w:r>
      <w:r w:rsidRPr="00BC2E03">
        <w:rPr>
          <w:rFonts w:ascii="Century Gothic" w:hAnsi="Century Gothic"/>
          <w:sz w:val="24"/>
          <w:szCs w:val="24"/>
        </w:rPr>
        <w:t xml:space="preserve">), state that an </w:t>
      </w:r>
      <w:r w:rsidR="006B10BE" w:rsidRPr="00BC2E03">
        <w:rPr>
          <w:rFonts w:ascii="Century Gothic" w:hAnsi="Century Gothic"/>
          <w:sz w:val="24"/>
          <w:szCs w:val="24"/>
        </w:rPr>
        <w:t>‘</w:t>
      </w:r>
      <w:r w:rsidRPr="00BC2E03">
        <w:rPr>
          <w:rFonts w:ascii="Century Gothic" w:hAnsi="Century Gothic"/>
          <w:sz w:val="24"/>
          <w:szCs w:val="24"/>
        </w:rPr>
        <w:t>evidence-based approach was effective in reducing crime when adopted by police services in the USA by helping officers to focus on areas with a greater incidence of crime’.</w:t>
      </w:r>
    </w:p>
    <w:p w14:paraId="2235BE62" w14:textId="7ECB7474"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Within policing, officers require both information and intelligence as a way of keeping themselves and their colleagues safe throughout their duty. It also enables officers to assess threat risk and harm before attending calls. Officer </w:t>
      </w:r>
      <w:r w:rsidRPr="00BC2E03">
        <w:rPr>
          <w:rFonts w:ascii="Century Gothic" w:hAnsi="Century Gothic"/>
          <w:sz w:val="24"/>
          <w:szCs w:val="24"/>
        </w:rPr>
        <w:lastRenderedPageBreak/>
        <w:t xml:space="preserve">do not only assess the threat and risk implications of the potential victim but also to be aware and to protect themselves. </w:t>
      </w:r>
    </w:p>
    <w:p w14:paraId="0E9E69AD" w14:textId="69C2AD1B"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Officers receive intelligence whilst making their way to an emergency incident. Officers require this information, so they are aware of the persons history and warning markers. Furthermore, for example, if a person conceals or hides offensive weapons in their address it is vital officers are aware of this before arriving at the property. Additionally, if a person has a violent offending history of assaulting emergency workers it is important for attending officers to be aware to ensure they can prepare tactically. </w:t>
      </w:r>
    </w:p>
    <w:p w14:paraId="686CE480" w14:textId="5343A1FA"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Officers also use information and intelligence to inform other officers such as NPT, PSCO’s and Public Protection Departments to name but a few. This is to notify other persons who require this information as a way of tracking, monitoring, and disrupting crime. </w:t>
      </w:r>
    </w:p>
    <w:p w14:paraId="2A31A2D3" w14:textId="6C675028"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To conclude, ILP contributes and allows for the presence of proactive policing to help reduce crime and offending. Intelligence is the main thrust of policing and officers rely on it heavily to provide lines of enquiry. It also plays a part in raising confidence between police and the community. Sharing intelligence to partner agencies concerning vulnerable victims is vital to ensuring their safeguarding and to allow for appropriate plans to be put in place. </w:t>
      </w:r>
    </w:p>
    <w:p w14:paraId="5C8995DC" w14:textId="196A9FED" w:rsidR="004E78AB" w:rsidRPr="006D7893" w:rsidRDefault="006D7893" w:rsidP="006D7893">
      <w:pPr>
        <w:jc w:val="center"/>
        <w:rPr>
          <w:rFonts w:ascii="Century Gothic" w:hAnsi="Century Gothic"/>
          <w:b/>
          <w:bCs/>
          <w:sz w:val="24"/>
          <w:szCs w:val="24"/>
          <w:u w:val="single"/>
        </w:rPr>
      </w:pPr>
      <w:r w:rsidRPr="006D7893">
        <w:rPr>
          <w:rFonts w:ascii="Century Gothic" w:hAnsi="Century Gothic"/>
          <w:b/>
          <w:bCs/>
          <w:sz w:val="24"/>
          <w:szCs w:val="24"/>
          <w:u w:val="single"/>
        </w:rPr>
        <w:t>Word Count: 10</w:t>
      </w:r>
      <w:r>
        <w:rPr>
          <w:rFonts w:ascii="Century Gothic" w:hAnsi="Century Gothic"/>
          <w:b/>
          <w:bCs/>
          <w:sz w:val="24"/>
          <w:szCs w:val="24"/>
          <w:u w:val="single"/>
        </w:rPr>
        <w:t>67</w:t>
      </w:r>
    </w:p>
    <w:p w14:paraId="57488714" w14:textId="72D0A267"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4DCF719" w14:textId="7EF645C3"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4484425A" w14:textId="7CBB26F4"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481B3FF" w14:textId="46F116DF"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6768D01D" w14:textId="3D0C4050"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16AB260F" w14:textId="6E5B7956"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3F21995C" w14:textId="15A61AEA"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20633D9B" w14:textId="1A3F186F" w:rsidR="00963DE3" w:rsidRPr="00BC2E03" w:rsidRDefault="00963DE3" w:rsidP="00963DE3">
      <w:pPr>
        <w:jc w:val="both"/>
        <w:rPr>
          <w:rFonts w:ascii="Century Gothic" w:hAnsi="Century Gothic"/>
          <w:sz w:val="24"/>
          <w:szCs w:val="24"/>
        </w:rPr>
      </w:pPr>
    </w:p>
    <w:p w14:paraId="01992BDA" w14:textId="6C33EF48" w:rsidR="00963DE3" w:rsidRPr="00BC2E03" w:rsidRDefault="00963DE3" w:rsidP="00963DE3">
      <w:pPr>
        <w:jc w:val="both"/>
        <w:rPr>
          <w:rFonts w:ascii="Century Gothic" w:hAnsi="Century Gothic"/>
          <w:sz w:val="24"/>
          <w:szCs w:val="24"/>
        </w:rPr>
      </w:pPr>
    </w:p>
    <w:p w14:paraId="1F6F99FE" w14:textId="77777777" w:rsidR="00963DE3" w:rsidRPr="00BC2E03" w:rsidRDefault="00963DE3" w:rsidP="00963DE3">
      <w:pPr>
        <w:jc w:val="both"/>
        <w:rPr>
          <w:rFonts w:ascii="Century Gothic" w:hAnsi="Century Gothic"/>
          <w:sz w:val="24"/>
          <w:szCs w:val="24"/>
        </w:rPr>
      </w:pPr>
    </w:p>
    <w:p w14:paraId="79660FDE" w14:textId="2A860404" w:rsidR="004E78AB"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7254DAC7" w14:textId="77777777" w:rsidR="006D7893" w:rsidRPr="00BC2E03" w:rsidRDefault="006D7893" w:rsidP="00963DE3">
      <w:pPr>
        <w:jc w:val="both"/>
        <w:rPr>
          <w:rFonts w:ascii="Century Gothic" w:hAnsi="Century Gothic"/>
          <w:sz w:val="24"/>
          <w:szCs w:val="24"/>
        </w:rPr>
      </w:pPr>
    </w:p>
    <w:p w14:paraId="72763DDF" w14:textId="043D75D5"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6C99FA43" w14:textId="1FA61506" w:rsidR="004E78AB" w:rsidRPr="00BC2E03" w:rsidRDefault="1DA2DA37" w:rsidP="00963DE3">
      <w:pPr>
        <w:jc w:val="both"/>
        <w:rPr>
          <w:rFonts w:ascii="Century Gothic" w:hAnsi="Century Gothic"/>
          <w:sz w:val="24"/>
          <w:szCs w:val="24"/>
        </w:rPr>
      </w:pPr>
      <w:r w:rsidRPr="00BC2E03">
        <w:rPr>
          <w:rFonts w:ascii="Century Gothic" w:hAnsi="Century Gothic"/>
          <w:sz w:val="24"/>
          <w:szCs w:val="24"/>
        </w:rPr>
        <w:t xml:space="preserve"> </w:t>
      </w:r>
    </w:p>
    <w:p w14:paraId="1656CDD9" w14:textId="02566DE9" w:rsidR="004E78AB" w:rsidRPr="00BC2E03" w:rsidRDefault="1DA2DA37" w:rsidP="00963DE3">
      <w:pPr>
        <w:jc w:val="both"/>
        <w:rPr>
          <w:rFonts w:ascii="Century Gothic" w:hAnsi="Century Gothic"/>
          <w:b/>
          <w:bCs/>
          <w:sz w:val="24"/>
          <w:szCs w:val="24"/>
          <w:u w:val="single"/>
        </w:rPr>
      </w:pPr>
      <w:r w:rsidRPr="00BC2E03">
        <w:rPr>
          <w:rFonts w:ascii="Century Gothic" w:hAnsi="Century Gothic"/>
          <w:b/>
          <w:bCs/>
          <w:sz w:val="24"/>
          <w:szCs w:val="24"/>
          <w:u w:val="single"/>
        </w:rPr>
        <w:lastRenderedPageBreak/>
        <w:t xml:space="preserve">Task 4 </w:t>
      </w:r>
    </w:p>
    <w:p w14:paraId="1DE6AD57" w14:textId="4C919BAB" w:rsidR="004E78AB" w:rsidRPr="00FB3470" w:rsidRDefault="1DA2DA37" w:rsidP="00FB3470">
      <w:pPr>
        <w:jc w:val="both"/>
        <w:rPr>
          <w:rFonts w:ascii="Century Gothic" w:hAnsi="Century Gothic"/>
          <w:sz w:val="24"/>
          <w:szCs w:val="24"/>
        </w:rPr>
      </w:pPr>
      <w:r w:rsidRPr="00FB3470">
        <w:rPr>
          <w:rFonts w:ascii="Century Gothic" w:hAnsi="Century Gothic"/>
          <w:sz w:val="24"/>
          <w:szCs w:val="24"/>
        </w:rPr>
        <w:t xml:space="preserve">Throughout this essay I will evaluate the strategies used for dealing with incidents involved in the protection of the public, the impact abuse has on </w:t>
      </w:r>
      <w:r w:rsidR="005C073E" w:rsidRPr="00FB3470">
        <w:rPr>
          <w:rFonts w:ascii="Century Gothic" w:hAnsi="Century Gothic"/>
          <w:sz w:val="24"/>
          <w:szCs w:val="24"/>
        </w:rPr>
        <w:t xml:space="preserve">young </w:t>
      </w:r>
      <w:r w:rsidRPr="00FB3470">
        <w:rPr>
          <w:rFonts w:ascii="Century Gothic" w:hAnsi="Century Gothic"/>
          <w:sz w:val="24"/>
          <w:szCs w:val="24"/>
        </w:rPr>
        <w:t xml:space="preserve">victims and the effect of victim’s attitude and values of the investigation process. I will also look at the link between serious and organised crime groups and public protection issues. </w:t>
      </w:r>
    </w:p>
    <w:p w14:paraId="0A7B9EC4" w14:textId="699C67D6" w:rsidR="004E78AB" w:rsidRPr="00FB3470" w:rsidRDefault="1DA2DA37" w:rsidP="00FB3470">
      <w:pPr>
        <w:jc w:val="both"/>
        <w:rPr>
          <w:rFonts w:ascii="Century Gothic" w:hAnsi="Century Gothic"/>
          <w:sz w:val="24"/>
          <w:szCs w:val="24"/>
        </w:rPr>
      </w:pPr>
      <w:r w:rsidRPr="00FB3470">
        <w:rPr>
          <w:rFonts w:ascii="Century Gothic" w:hAnsi="Century Gothic"/>
          <w:sz w:val="24"/>
          <w:szCs w:val="24"/>
        </w:rPr>
        <w:t xml:space="preserve">Police officers’ main priority is to protect a person from harm or damage. Officers implement various strategies to provide a victim with effective support who can provide a victim with support for a longer period. Response officers provide an initial response to public protection incidents. Strategies in which victims can include submitting a Public Protection Notification (PPN) to be shared with partner agencies. </w:t>
      </w:r>
      <w:r w:rsidR="00E95655" w:rsidRPr="00FB3470">
        <w:rPr>
          <w:rFonts w:ascii="Century Gothic" w:hAnsi="Century Gothic"/>
          <w:sz w:val="24"/>
          <w:szCs w:val="24"/>
        </w:rPr>
        <w:t xml:space="preserve">All professionals need to be aware of the risks posed to victims of DA and how to identify those risks (Wate 2015). </w:t>
      </w:r>
      <w:r w:rsidR="00BC2E03" w:rsidRPr="00FB3470">
        <w:rPr>
          <w:rFonts w:ascii="Century Gothic" w:hAnsi="Century Gothic"/>
          <w:sz w:val="24"/>
          <w:szCs w:val="24"/>
        </w:rPr>
        <w:t>To</w:t>
      </w:r>
      <w:r w:rsidR="00E95655" w:rsidRPr="00FB3470">
        <w:rPr>
          <w:rFonts w:ascii="Century Gothic" w:hAnsi="Century Gothic"/>
          <w:sz w:val="24"/>
          <w:szCs w:val="24"/>
        </w:rPr>
        <w:t xml:space="preserve"> do this, most areas and organisations are now using ‘domestic abuse, stalking and harassment’ (DASH) risk identification, </w:t>
      </w:r>
      <w:proofErr w:type="gramStart"/>
      <w:r w:rsidR="00E95655" w:rsidRPr="00FB3470">
        <w:rPr>
          <w:rFonts w:ascii="Century Gothic" w:hAnsi="Century Gothic"/>
          <w:sz w:val="24"/>
          <w:szCs w:val="24"/>
        </w:rPr>
        <w:t>assessment</w:t>
      </w:r>
      <w:proofErr w:type="gramEnd"/>
      <w:r w:rsidR="00E95655" w:rsidRPr="00FB3470">
        <w:rPr>
          <w:rFonts w:ascii="Century Gothic" w:hAnsi="Century Gothic"/>
          <w:sz w:val="24"/>
          <w:szCs w:val="24"/>
        </w:rPr>
        <w:t xml:space="preserve"> and management model, which was developed from a research and evidence base (Wate 2015). </w:t>
      </w:r>
      <w:r w:rsidRPr="00FB3470">
        <w:rPr>
          <w:rFonts w:ascii="Century Gothic" w:hAnsi="Century Gothic"/>
          <w:sz w:val="24"/>
          <w:szCs w:val="24"/>
        </w:rPr>
        <w:t xml:space="preserve">A PPN can initiate a Multi-Agency Risk Assessment Meeting (MARAC) whereby police, Independent Domestic Violence Advisors (IDVAs), Children’s Social Services, Health Visitors and GPs, amongst others (Domestic Abuse Services 2022). </w:t>
      </w:r>
    </w:p>
    <w:p w14:paraId="1DC6177C" w14:textId="1860ED88" w:rsidR="004E78AB" w:rsidRPr="00FB3470" w:rsidRDefault="1DA2DA37" w:rsidP="00FB3470">
      <w:pPr>
        <w:jc w:val="both"/>
        <w:rPr>
          <w:rFonts w:ascii="Century Gothic" w:hAnsi="Century Gothic"/>
          <w:sz w:val="24"/>
          <w:szCs w:val="24"/>
        </w:rPr>
      </w:pPr>
      <w:r w:rsidRPr="00FB3470">
        <w:rPr>
          <w:rFonts w:ascii="Century Gothic" w:hAnsi="Century Gothic"/>
          <w:sz w:val="24"/>
          <w:szCs w:val="24"/>
        </w:rPr>
        <w:t xml:space="preserve">The purpose of MARAC is to collectively discuss high risk domestic abuse vases, and to identify potential risks so an appropriate safety plan can be advised to keep a victim and children safe from harm. This can mean referrals to make the victims home safer or to inform other services. </w:t>
      </w:r>
    </w:p>
    <w:p w14:paraId="4539A864" w14:textId="74821282" w:rsidR="004E78AB" w:rsidRPr="00FB3470" w:rsidRDefault="1DA2DA37" w:rsidP="00FB3470">
      <w:pPr>
        <w:jc w:val="both"/>
        <w:rPr>
          <w:rFonts w:ascii="Century Gothic" w:hAnsi="Century Gothic"/>
          <w:sz w:val="24"/>
          <w:szCs w:val="24"/>
        </w:rPr>
      </w:pPr>
      <w:r w:rsidRPr="00FB3470">
        <w:rPr>
          <w:rFonts w:ascii="Century Gothic" w:hAnsi="Century Gothic"/>
          <w:sz w:val="24"/>
          <w:szCs w:val="24"/>
        </w:rPr>
        <w:t xml:space="preserve">Community engagement can also assist police in identifying victims of abuse. It can also enable to further safeguarding if neighbours, friends, or family are aware and can therefore provide safeguarding or simply advise or support. Officers also refer a person to Victim Support (VS) whereby they can guide and support the victim through the impact of abuse, and they can support a victim through the court process which will help some victims as they are too afraid to go to court but with some persuasion they attend. </w:t>
      </w:r>
    </w:p>
    <w:p w14:paraId="7E703EBF" w14:textId="502A65B5" w:rsidR="005E5826" w:rsidRPr="00FB3470" w:rsidRDefault="1DA2DA37" w:rsidP="00FB3470">
      <w:pPr>
        <w:jc w:val="both"/>
        <w:rPr>
          <w:rFonts w:ascii="Century Gothic" w:hAnsi="Century Gothic"/>
          <w:sz w:val="24"/>
          <w:szCs w:val="24"/>
        </w:rPr>
      </w:pPr>
      <w:r w:rsidRPr="00FB3470">
        <w:rPr>
          <w:rFonts w:ascii="Century Gothic" w:hAnsi="Century Gothic"/>
          <w:sz w:val="24"/>
          <w:szCs w:val="24"/>
        </w:rPr>
        <w:t xml:space="preserve">Victims regardless of age are informed of the incentive ‘Live Fear Free’, their aim is to provide help and advice about violence against women, domestic abuse, and sexual violence (Live Fear Free, 2022). </w:t>
      </w:r>
      <w:r w:rsidR="005E5826" w:rsidRPr="00FB3470">
        <w:rPr>
          <w:rFonts w:ascii="Century Gothic" w:hAnsi="Century Gothic"/>
          <w:sz w:val="24"/>
          <w:szCs w:val="24"/>
        </w:rPr>
        <w:t xml:space="preserve">Officers who respond to domestic emergency calls use a strategy to split members of the household up as a way of giving a person the confidence to confide in police confidentially if they are seeking safeguarding. </w:t>
      </w:r>
    </w:p>
    <w:p w14:paraId="4A76D344" w14:textId="77777777" w:rsidR="009C4A7D" w:rsidRPr="00EC2B48" w:rsidRDefault="00A8130A" w:rsidP="00FB3470">
      <w:pPr>
        <w:jc w:val="both"/>
        <w:rPr>
          <w:rFonts w:ascii="Century Gothic" w:hAnsi="Century Gothic"/>
          <w:sz w:val="24"/>
          <w:szCs w:val="24"/>
        </w:rPr>
      </w:pPr>
      <w:r w:rsidRPr="00FB3470">
        <w:rPr>
          <w:rFonts w:ascii="Century Gothic" w:hAnsi="Century Gothic"/>
          <w:sz w:val="24"/>
          <w:szCs w:val="24"/>
        </w:rPr>
        <w:t xml:space="preserve">There are ways in which abuse can have an adverse effect on victims such as physical, behavioural, and emotional harm </w:t>
      </w:r>
      <w:sdt>
        <w:sdtPr>
          <w:rPr>
            <w:rFonts w:ascii="Century Gothic" w:hAnsi="Century Gothic"/>
            <w:sz w:val="24"/>
            <w:szCs w:val="24"/>
          </w:rPr>
          <w:id w:val="-515151243"/>
          <w:citation/>
        </w:sdtPr>
        <w:sdtEndPr/>
        <w:sdtContent>
          <w:r w:rsidRPr="00FB3470">
            <w:rPr>
              <w:rFonts w:ascii="Century Gothic" w:hAnsi="Century Gothic"/>
              <w:sz w:val="24"/>
              <w:szCs w:val="24"/>
            </w:rPr>
            <w:fldChar w:fldCharType="begin"/>
          </w:r>
          <w:r w:rsidRPr="00FB3470">
            <w:rPr>
              <w:rFonts w:ascii="Century Gothic" w:hAnsi="Century Gothic"/>
              <w:sz w:val="24"/>
              <w:szCs w:val="24"/>
            </w:rPr>
            <w:instrText xml:space="preserve"> CITATION Min21 \l 2057 </w:instrText>
          </w:r>
          <w:r w:rsidRPr="00FB3470">
            <w:rPr>
              <w:rFonts w:ascii="Century Gothic" w:hAnsi="Century Gothic"/>
              <w:sz w:val="24"/>
              <w:szCs w:val="24"/>
            </w:rPr>
            <w:fldChar w:fldCharType="separate"/>
          </w:r>
          <w:r w:rsidRPr="00FB3470">
            <w:rPr>
              <w:rFonts w:ascii="Century Gothic" w:hAnsi="Century Gothic"/>
              <w:noProof/>
              <w:sz w:val="24"/>
              <w:szCs w:val="24"/>
            </w:rPr>
            <w:t>(Ministry of Justice, 2021)</w:t>
          </w:r>
          <w:r w:rsidRPr="00FB3470">
            <w:rPr>
              <w:rFonts w:ascii="Century Gothic" w:hAnsi="Century Gothic"/>
              <w:sz w:val="24"/>
              <w:szCs w:val="24"/>
            </w:rPr>
            <w:fldChar w:fldCharType="end"/>
          </w:r>
        </w:sdtContent>
      </w:sdt>
      <w:r w:rsidRPr="00FB3470">
        <w:rPr>
          <w:rFonts w:ascii="Century Gothic" w:hAnsi="Century Gothic"/>
          <w:sz w:val="24"/>
          <w:szCs w:val="24"/>
        </w:rPr>
        <w:t xml:space="preserve">. </w:t>
      </w:r>
      <w:proofErr w:type="spellStart"/>
      <w:r w:rsidR="00963DE3" w:rsidRPr="00FB3470">
        <w:rPr>
          <w:rFonts w:ascii="Century Gothic" w:hAnsi="Century Gothic"/>
          <w:sz w:val="24"/>
          <w:szCs w:val="24"/>
        </w:rPr>
        <w:t>Lindert</w:t>
      </w:r>
      <w:proofErr w:type="spellEnd"/>
      <w:r w:rsidR="00963DE3" w:rsidRPr="00FB3470">
        <w:rPr>
          <w:rFonts w:ascii="Century Gothic" w:hAnsi="Century Gothic"/>
          <w:sz w:val="24"/>
          <w:szCs w:val="24"/>
        </w:rPr>
        <w:t xml:space="preserve"> 2013 states ‘</w:t>
      </w:r>
      <w:r w:rsidR="00963DE3" w:rsidRPr="00FB3470">
        <w:rPr>
          <w:rFonts w:ascii="Century Gothic" w:hAnsi="Century Gothic"/>
          <w:sz w:val="24"/>
          <w:szCs w:val="24"/>
          <w:shd w:val="clear" w:color="auto" w:fill="FFFFFF"/>
        </w:rPr>
        <w:t xml:space="preserve">Early life abuse is associated with an increased risk of depression </w:t>
      </w:r>
      <w:r w:rsidR="00963DE3" w:rsidRPr="00EC2B48">
        <w:rPr>
          <w:rFonts w:ascii="Century Gothic" w:hAnsi="Century Gothic"/>
          <w:sz w:val="24"/>
          <w:szCs w:val="24"/>
          <w:shd w:val="clear" w:color="auto" w:fill="FFFFFF"/>
        </w:rPr>
        <w:t xml:space="preserve">and anxiety over the life course and Intervention strategies should be developed to improve the life prospects of individuals exposed to early life </w:t>
      </w:r>
      <w:r w:rsidR="00963DE3" w:rsidRPr="00EC2B48">
        <w:rPr>
          <w:rFonts w:ascii="Century Gothic" w:hAnsi="Century Gothic"/>
          <w:sz w:val="24"/>
          <w:szCs w:val="24"/>
          <w:shd w:val="clear" w:color="auto" w:fill="FFFFFF"/>
        </w:rPr>
        <w:lastRenderedPageBreak/>
        <w:t xml:space="preserve">abuse’. Additionally, </w:t>
      </w:r>
      <w:r w:rsidR="00963DE3" w:rsidRPr="00EC2B48">
        <w:rPr>
          <w:rFonts w:ascii="Century Gothic" w:hAnsi="Century Gothic"/>
          <w:sz w:val="24"/>
          <w:szCs w:val="24"/>
        </w:rPr>
        <w:t xml:space="preserve">A history of childhood sexual abuse (CSA) has been associated with high rates of psychological problems in clinical and non-clinical populations (Browne et al, 1986). However, according to </w:t>
      </w:r>
      <w:proofErr w:type="spellStart"/>
      <w:r w:rsidR="00963DE3" w:rsidRPr="00EC2B48">
        <w:rPr>
          <w:rFonts w:ascii="Century Gothic" w:hAnsi="Century Gothic"/>
          <w:sz w:val="24"/>
          <w:szCs w:val="24"/>
        </w:rPr>
        <w:t>Erbes</w:t>
      </w:r>
      <w:proofErr w:type="spellEnd"/>
      <w:r w:rsidR="00963DE3" w:rsidRPr="00EC2B48">
        <w:rPr>
          <w:rFonts w:ascii="Century Gothic" w:hAnsi="Century Gothic"/>
          <w:sz w:val="24"/>
          <w:szCs w:val="24"/>
        </w:rPr>
        <w:t xml:space="preserve"> et al, 2005 ‘not all adults who have experienced CSA suffer from these </w:t>
      </w:r>
      <w:proofErr w:type="gramStart"/>
      <w:r w:rsidR="005C073E" w:rsidRPr="00EC2B48">
        <w:rPr>
          <w:rFonts w:ascii="Century Gothic" w:hAnsi="Century Gothic"/>
          <w:sz w:val="24"/>
          <w:szCs w:val="24"/>
        </w:rPr>
        <w:t>difficulties’</w:t>
      </w:r>
      <w:proofErr w:type="gramEnd"/>
      <w:r w:rsidR="00963DE3" w:rsidRPr="00EC2B48">
        <w:rPr>
          <w:rFonts w:ascii="Century Gothic" w:hAnsi="Century Gothic"/>
          <w:sz w:val="24"/>
          <w:szCs w:val="24"/>
        </w:rPr>
        <w:t xml:space="preserve">. </w:t>
      </w:r>
    </w:p>
    <w:p w14:paraId="478A462E" w14:textId="4B93B12B" w:rsidR="00963DE3" w:rsidRPr="00EC2B48" w:rsidRDefault="005C073E" w:rsidP="00FB3470">
      <w:pPr>
        <w:jc w:val="both"/>
        <w:rPr>
          <w:rFonts w:ascii="Century Gothic" w:hAnsi="Century Gothic"/>
          <w:sz w:val="24"/>
          <w:szCs w:val="24"/>
        </w:rPr>
      </w:pPr>
      <w:r w:rsidRPr="00EC2B48">
        <w:rPr>
          <w:rFonts w:ascii="Century Gothic" w:hAnsi="Century Gothic"/>
          <w:sz w:val="24"/>
          <w:szCs w:val="24"/>
        </w:rPr>
        <w:t>Short-term effects of physical abuse may consist of physical health problems, trauma symptoms, mental health problems, and substance abuse (Swenson 2010). Interestingly, men who were victims of physical abuse were more likely than women who were victims of physical abuse to have abused alcohol and illegal drugs (Knowles 2013). Women victims were more likely than men to have used tranquilizers and anti-depressants in the past month (Thompson et al, 2004).</w:t>
      </w:r>
    </w:p>
    <w:p w14:paraId="7C0093D0" w14:textId="79981141" w:rsidR="009C4A7D" w:rsidRPr="00EC2B48" w:rsidRDefault="009C4A7D" w:rsidP="00FB3470">
      <w:pPr>
        <w:jc w:val="both"/>
        <w:rPr>
          <w:rFonts w:ascii="Century Gothic" w:hAnsi="Century Gothic"/>
          <w:sz w:val="24"/>
          <w:szCs w:val="24"/>
          <w:shd w:val="clear" w:color="auto" w:fill="FFFFFF"/>
        </w:rPr>
      </w:pPr>
      <w:r w:rsidRPr="00EC2B48">
        <w:rPr>
          <w:rFonts w:ascii="Century Gothic" w:hAnsi="Century Gothic"/>
          <w:sz w:val="24"/>
          <w:szCs w:val="24"/>
        </w:rPr>
        <w:t>‘Childhood abuse, rather than childhood neglect, has been more associated with severe </w:t>
      </w:r>
      <w:hyperlink r:id="rId8" w:tooltip="Learn more about post traumatic stress disorder from ScienceDirect's AI-generated Topic Pages" w:history="1">
        <w:r w:rsidRPr="00EC2B48">
          <w:rPr>
            <w:rStyle w:val="Hyperlink"/>
            <w:rFonts w:ascii="Century Gothic" w:hAnsi="Century Gothic"/>
            <w:color w:val="auto"/>
            <w:sz w:val="24"/>
            <w:szCs w:val="24"/>
            <w:u w:val="none"/>
          </w:rPr>
          <w:t>PTSD</w:t>
        </w:r>
      </w:hyperlink>
      <w:r w:rsidRPr="00EC2B48">
        <w:rPr>
          <w:rFonts w:ascii="Century Gothic" w:hAnsi="Century Gothic"/>
          <w:sz w:val="24"/>
          <w:szCs w:val="24"/>
        </w:rPr>
        <w:t> symptoms and suicide attempts in individuals with lifetime diagnosis of PTSD’ (</w:t>
      </w:r>
      <w:bookmarkStart w:id="0" w:name="bbb0020"/>
      <w:r w:rsidRPr="00EC2B48">
        <w:rPr>
          <w:rFonts w:ascii="Century Gothic" w:hAnsi="Century Gothic"/>
          <w:sz w:val="24"/>
          <w:szCs w:val="24"/>
        </w:rPr>
        <w:fldChar w:fldCharType="begin"/>
      </w:r>
      <w:r w:rsidRPr="00EC2B48">
        <w:rPr>
          <w:rFonts w:ascii="Century Gothic" w:hAnsi="Century Gothic"/>
          <w:sz w:val="24"/>
          <w:szCs w:val="24"/>
        </w:rPr>
        <w:instrText xml:space="preserve"> HYPERLINK "https://www-sciencedirect-com.ezproxy.uwtsd.ac.uk/science/article/pii/S0145213421002271" \l "bb0020" </w:instrText>
      </w:r>
      <w:r w:rsidRPr="00EC2B48">
        <w:rPr>
          <w:rFonts w:ascii="Century Gothic" w:hAnsi="Century Gothic"/>
          <w:sz w:val="24"/>
          <w:szCs w:val="24"/>
        </w:rPr>
        <w:fldChar w:fldCharType="separate"/>
      </w:r>
      <w:r w:rsidRPr="00EC2B48">
        <w:rPr>
          <w:rStyle w:val="Hyperlink"/>
          <w:rFonts w:ascii="Century Gothic" w:hAnsi="Century Gothic"/>
          <w:color w:val="auto"/>
          <w:sz w:val="24"/>
          <w:szCs w:val="24"/>
          <w:u w:val="none"/>
        </w:rPr>
        <w:t>Andrews et al, 2000</w:t>
      </w:r>
      <w:r w:rsidRPr="00EC2B48">
        <w:rPr>
          <w:rFonts w:ascii="Century Gothic" w:hAnsi="Century Gothic"/>
          <w:sz w:val="24"/>
          <w:szCs w:val="24"/>
        </w:rPr>
        <w:fldChar w:fldCharType="end"/>
      </w:r>
      <w:bookmarkEnd w:id="0"/>
      <w:r w:rsidRPr="00EC2B48">
        <w:rPr>
          <w:rFonts w:ascii="Century Gothic" w:hAnsi="Century Gothic"/>
          <w:sz w:val="24"/>
          <w:szCs w:val="24"/>
        </w:rPr>
        <w:t xml:space="preserve">). </w:t>
      </w:r>
    </w:p>
    <w:p w14:paraId="15D3DB6D" w14:textId="1FEEC6E4" w:rsidR="004E78AB" w:rsidRPr="00EC2B48" w:rsidRDefault="00FB4AF4" w:rsidP="00FB3470">
      <w:pPr>
        <w:jc w:val="both"/>
        <w:rPr>
          <w:rFonts w:ascii="Century Gothic" w:hAnsi="Century Gothic"/>
          <w:sz w:val="24"/>
          <w:szCs w:val="24"/>
          <w:shd w:val="clear" w:color="auto" w:fill="FFFFFF"/>
        </w:rPr>
      </w:pPr>
      <w:r w:rsidRPr="00EC2B48">
        <w:rPr>
          <w:rFonts w:ascii="Century Gothic" w:hAnsi="Century Gothic"/>
          <w:sz w:val="24"/>
          <w:szCs w:val="24"/>
          <w:shd w:val="clear" w:color="auto" w:fill="FFFFFF"/>
        </w:rPr>
        <w:t>‘</w:t>
      </w:r>
      <w:r w:rsidR="007B488E" w:rsidRPr="00EC2B48">
        <w:rPr>
          <w:rFonts w:ascii="Century Gothic" w:hAnsi="Century Gothic"/>
          <w:sz w:val="24"/>
          <w:szCs w:val="24"/>
          <w:shd w:val="clear" w:color="auto" w:fill="FFFFFF"/>
        </w:rPr>
        <w:t>Investigative interviewing is one of the most effective tools for obtaining accurate, complete, and detailed interviewee accounts</w:t>
      </w:r>
      <w:r w:rsidRPr="00EC2B48">
        <w:rPr>
          <w:rFonts w:ascii="Century Gothic" w:hAnsi="Century Gothic"/>
          <w:sz w:val="24"/>
          <w:szCs w:val="24"/>
          <w:shd w:val="clear" w:color="auto" w:fill="FFFFFF"/>
        </w:rPr>
        <w:t>’</w:t>
      </w:r>
      <w:r w:rsidR="007B488E" w:rsidRPr="00EC2B48">
        <w:rPr>
          <w:rFonts w:ascii="Century Gothic" w:hAnsi="Century Gothic"/>
          <w:sz w:val="24"/>
          <w:szCs w:val="24"/>
          <w:shd w:val="clear" w:color="auto" w:fill="FFFFFF"/>
        </w:rPr>
        <w:t xml:space="preserve"> (</w:t>
      </w:r>
      <w:hyperlink r:id="rId9" w:history="1">
        <w:r w:rsidR="007B488E" w:rsidRPr="00EC2B48">
          <w:rPr>
            <w:rStyle w:val="Hyperlink"/>
            <w:rFonts w:ascii="Century Gothic" w:hAnsi="Century Gothic"/>
            <w:color w:val="auto"/>
            <w:sz w:val="24"/>
            <w:szCs w:val="24"/>
            <w:u w:val="none"/>
            <w:bdr w:val="none" w:sz="0" w:space="0" w:color="auto" w:frame="1"/>
            <w:shd w:val="clear" w:color="auto" w:fill="FFFFFF"/>
          </w:rPr>
          <w:t xml:space="preserve">Milne </w:t>
        </w:r>
        <w:r w:rsidRPr="00EC2B48">
          <w:rPr>
            <w:rStyle w:val="Hyperlink"/>
            <w:rFonts w:ascii="Century Gothic" w:hAnsi="Century Gothic"/>
            <w:color w:val="auto"/>
            <w:sz w:val="24"/>
            <w:szCs w:val="24"/>
            <w:u w:val="none"/>
            <w:bdr w:val="none" w:sz="0" w:space="0" w:color="auto" w:frame="1"/>
            <w:shd w:val="clear" w:color="auto" w:fill="FFFFFF"/>
          </w:rPr>
          <w:t xml:space="preserve">et al, </w:t>
        </w:r>
        <w:r w:rsidR="007B488E" w:rsidRPr="00EC2B48">
          <w:rPr>
            <w:rStyle w:val="Hyperlink"/>
            <w:rFonts w:ascii="Century Gothic" w:hAnsi="Century Gothic"/>
            <w:color w:val="auto"/>
            <w:sz w:val="24"/>
            <w:szCs w:val="24"/>
            <w:u w:val="none"/>
            <w:bdr w:val="none" w:sz="0" w:space="0" w:color="auto" w:frame="1"/>
            <w:shd w:val="clear" w:color="auto" w:fill="FFFFFF"/>
          </w:rPr>
          <w:t>2010</w:t>
        </w:r>
      </w:hyperlink>
      <w:r w:rsidR="007B488E" w:rsidRPr="00EC2B48">
        <w:rPr>
          <w:rFonts w:ascii="Century Gothic" w:hAnsi="Century Gothic"/>
          <w:sz w:val="24"/>
          <w:szCs w:val="24"/>
          <w:shd w:val="clear" w:color="auto" w:fill="FFFFFF"/>
        </w:rPr>
        <w:t>). </w:t>
      </w:r>
      <w:r w:rsidRPr="00EC2B48">
        <w:rPr>
          <w:rFonts w:ascii="Century Gothic" w:hAnsi="Century Gothic"/>
          <w:sz w:val="24"/>
          <w:szCs w:val="24"/>
          <w:shd w:val="clear" w:color="auto" w:fill="FFFFFF"/>
        </w:rPr>
        <w:t xml:space="preserve"> According to </w:t>
      </w:r>
      <w:proofErr w:type="spellStart"/>
      <w:r w:rsidRPr="00EC2B48">
        <w:rPr>
          <w:rFonts w:ascii="Century Gothic" w:hAnsi="Century Gothic"/>
          <w:sz w:val="24"/>
          <w:szCs w:val="24"/>
          <w:shd w:val="clear" w:color="auto" w:fill="FFFFFF"/>
        </w:rPr>
        <w:t>Risan</w:t>
      </w:r>
      <w:proofErr w:type="spellEnd"/>
      <w:r w:rsidRPr="00EC2B48">
        <w:rPr>
          <w:rFonts w:ascii="Century Gothic" w:hAnsi="Century Gothic"/>
          <w:sz w:val="24"/>
          <w:szCs w:val="24"/>
          <w:shd w:val="clear" w:color="auto" w:fill="FFFFFF"/>
        </w:rPr>
        <w:t xml:space="preserve"> 2018, the ‘interviewee may be subjected to painful sadness that may cause him/her to be reticent, </w:t>
      </w:r>
      <w:proofErr w:type="gramStart"/>
      <w:r w:rsidRPr="00EC2B48">
        <w:rPr>
          <w:rFonts w:ascii="Century Gothic" w:hAnsi="Century Gothic"/>
          <w:sz w:val="24"/>
          <w:szCs w:val="24"/>
          <w:shd w:val="clear" w:color="auto" w:fill="FFFFFF"/>
        </w:rPr>
        <w:t>or,</w:t>
      </w:r>
      <w:proofErr w:type="gramEnd"/>
      <w:r w:rsidRPr="00EC2B48">
        <w:rPr>
          <w:rFonts w:ascii="Century Gothic" w:hAnsi="Century Gothic"/>
          <w:sz w:val="24"/>
          <w:szCs w:val="24"/>
          <w:shd w:val="clear" w:color="auto" w:fill="FFFFFF"/>
        </w:rPr>
        <w:t xml:space="preserve"> he/she may experience agitation and intrusive thoughts making it difficult to concentrate and communicate’. Within policing, interviewing traumatized interviewees can also be emotionally demanding for the police interviewer and, thus represent a potential strain to his/her health and well-being (</w:t>
      </w:r>
      <w:hyperlink r:id="rId10" w:history="1">
        <w:r w:rsidRPr="00EC2B48">
          <w:rPr>
            <w:rStyle w:val="Hyperlink"/>
            <w:rFonts w:ascii="Century Gothic" w:hAnsi="Century Gothic"/>
            <w:color w:val="auto"/>
            <w:sz w:val="24"/>
            <w:szCs w:val="24"/>
            <w:u w:val="none"/>
            <w:bdr w:val="none" w:sz="0" w:space="0" w:color="auto" w:frame="1"/>
            <w:shd w:val="clear" w:color="auto" w:fill="FFFFFF"/>
          </w:rPr>
          <w:t>Bakker et al, 2006</w:t>
        </w:r>
      </w:hyperlink>
      <w:r w:rsidRPr="00EC2B48">
        <w:rPr>
          <w:rFonts w:ascii="Century Gothic" w:hAnsi="Century Gothic"/>
          <w:sz w:val="24"/>
          <w:szCs w:val="24"/>
          <w:shd w:val="clear" w:color="auto" w:fill="FFFFFF"/>
        </w:rPr>
        <w:t>).</w:t>
      </w:r>
    </w:p>
    <w:p w14:paraId="16701CFA" w14:textId="6C9A1E92" w:rsidR="009C4A7D" w:rsidRPr="00EC2B48" w:rsidRDefault="00866CB8" w:rsidP="00FB3470">
      <w:pPr>
        <w:jc w:val="both"/>
        <w:rPr>
          <w:rFonts w:ascii="Century Gothic" w:hAnsi="Century Gothic" w:cs="Helvetica"/>
          <w:sz w:val="24"/>
          <w:szCs w:val="24"/>
          <w:shd w:val="clear" w:color="auto" w:fill="FFFFFF"/>
        </w:rPr>
      </w:pPr>
      <w:r w:rsidRPr="00EC2B48">
        <w:rPr>
          <w:rFonts w:ascii="Century Gothic" w:hAnsi="Century Gothic"/>
          <w:sz w:val="24"/>
          <w:szCs w:val="24"/>
        </w:rPr>
        <w:t xml:space="preserve">Since the police are the ‘first representatives of the criminal justice system that victims encounter, police–victim relationship is often viewed as the most important link in the criminal justice process’ </w:t>
      </w:r>
      <w:r w:rsidRPr="00EC2B48">
        <w:rPr>
          <w:rFonts w:ascii="Century Gothic" w:hAnsi="Century Gothic"/>
          <w:sz w:val="24"/>
          <w:szCs w:val="24"/>
          <w:highlight w:val="yellow"/>
        </w:rPr>
        <w:t>(</w:t>
      </w:r>
      <w:proofErr w:type="spellStart"/>
      <w:r w:rsidRPr="00EC2B48">
        <w:rPr>
          <w:rFonts w:ascii="Century Gothic" w:hAnsi="Century Gothic"/>
          <w:sz w:val="24"/>
          <w:szCs w:val="24"/>
          <w:highlight w:val="yellow"/>
        </w:rPr>
        <w:t>Hindelang</w:t>
      </w:r>
      <w:proofErr w:type="spellEnd"/>
      <w:r w:rsidRPr="00EC2B48">
        <w:rPr>
          <w:rFonts w:ascii="Century Gothic" w:hAnsi="Century Gothic"/>
          <w:sz w:val="24"/>
          <w:szCs w:val="24"/>
          <w:highlight w:val="yellow"/>
        </w:rPr>
        <w:t xml:space="preserve"> et al, 2002).</w:t>
      </w:r>
      <w:r w:rsidRPr="00EC2B48">
        <w:rPr>
          <w:rFonts w:ascii="Century Gothic" w:hAnsi="Century Gothic"/>
          <w:sz w:val="24"/>
          <w:szCs w:val="24"/>
        </w:rPr>
        <w:t xml:space="preserve"> However, without the interaction from victims, police would not be able to ‘identify and apprehend criminals and control crime would diminish’ (</w:t>
      </w:r>
      <w:proofErr w:type="spellStart"/>
      <w:r w:rsidRPr="00EC2B48">
        <w:rPr>
          <w:rFonts w:ascii="Century Gothic" w:hAnsi="Century Gothic"/>
          <w:sz w:val="24"/>
          <w:szCs w:val="24"/>
        </w:rPr>
        <w:t>Brandl</w:t>
      </w:r>
      <w:proofErr w:type="spellEnd"/>
      <w:r w:rsidRPr="00EC2B48">
        <w:rPr>
          <w:rFonts w:ascii="Century Gothic" w:hAnsi="Century Gothic"/>
          <w:sz w:val="24"/>
          <w:szCs w:val="24"/>
        </w:rPr>
        <w:t xml:space="preserve"> et al, 1991). </w:t>
      </w:r>
      <w:r w:rsidR="0014202A" w:rsidRPr="00EC2B48">
        <w:rPr>
          <w:rFonts w:ascii="Century Gothic" w:hAnsi="Century Gothic"/>
          <w:sz w:val="24"/>
          <w:szCs w:val="24"/>
        </w:rPr>
        <w:t xml:space="preserve">Robinson et al, 2005 state victims of domestic abuse </w:t>
      </w:r>
      <w:r w:rsidR="0014202A" w:rsidRPr="00EC2B48">
        <w:rPr>
          <w:rFonts w:ascii="Century Gothic" w:hAnsi="Century Gothic" w:cs="Helvetica"/>
          <w:sz w:val="24"/>
          <w:szCs w:val="24"/>
          <w:shd w:val="clear" w:color="auto" w:fill="FFFFFF"/>
        </w:rPr>
        <w:t xml:space="preserve">found that victims were most satisfied with police responses when expectations around being heard and given the opportunity to express their concerns were me. </w:t>
      </w:r>
    </w:p>
    <w:p w14:paraId="6F93BE66" w14:textId="591618F9" w:rsidR="00353E43" w:rsidRPr="00EC2B48" w:rsidRDefault="00353E43" w:rsidP="00FB3470">
      <w:pPr>
        <w:jc w:val="both"/>
        <w:rPr>
          <w:rFonts w:ascii="Century Gothic" w:hAnsi="Century Gothic" w:cs="Helvetica"/>
          <w:sz w:val="24"/>
          <w:szCs w:val="24"/>
          <w:shd w:val="clear" w:color="auto" w:fill="FFFFFF"/>
        </w:rPr>
      </w:pPr>
      <w:r w:rsidRPr="00EC2B48">
        <w:rPr>
          <w:rFonts w:ascii="Century Gothic" w:hAnsi="Century Gothic" w:cs="Helvetica"/>
          <w:sz w:val="24"/>
          <w:szCs w:val="24"/>
          <w:shd w:val="clear" w:color="auto" w:fill="FFFFFF"/>
        </w:rPr>
        <w:t xml:space="preserve">There is a link between serious organised crime gangs and victim of crimes, and this can be </w:t>
      </w:r>
      <w:r w:rsidR="00BC2E03" w:rsidRPr="00EC2B48">
        <w:rPr>
          <w:rFonts w:ascii="Century Gothic" w:hAnsi="Century Gothic" w:cs="Helvetica"/>
          <w:sz w:val="24"/>
          <w:szCs w:val="24"/>
          <w:shd w:val="clear" w:color="auto" w:fill="FFFFFF"/>
        </w:rPr>
        <w:t>acknowledged</w:t>
      </w:r>
      <w:r w:rsidRPr="00EC2B48">
        <w:rPr>
          <w:rFonts w:ascii="Century Gothic" w:hAnsi="Century Gothic" w:cs="Helvetica"/>
          <w:sz w:val="24"/>
          <w:szCs w:val="24"/>
          <w:shd w:val="clear" w:color="auto" w:fill="FFFFFF"/>
        </w:rPr>
        <w:t xml:space="preserve"> for example in county lines where mobile phones are used to </w:t>
      </w:r>
      <w:r w:rsidR="00BC2E03" w:rsidRPr="00EC2B48">
        <w:rPr>
          <w:rFonts w:ascii="Century Gothic" w:hAnsi="Century Gothic" w:cs="Helvetica"/>
          <w:sz w:val="24"/>
          <w:szCs w:val="24"/>
          <w:shd w:val="clear" w:color="auto" w:fill="FFFFFF"/>
        </w:rPr>
        <w:t>‘</w:t>
      </w:r>
      <w:r w:rsidRPr="00EC2B48">
        <w:rPr>
          <w:rFonts w:ascii="Century Gothic" w:hAnsi="Century Gothic" w:cs="Helvetica"/>
          <w:sz w:val="24"/>
          <w:szCs w:val="24"/>
          <w:shd w:val="clear" w:color="auto" w:fill="FFFFFF"/>
        </w:rPr>
        <w:t xml:space="preserve">supply drugs from </w:t>
      </w:r>
      <w:r w:rsidRPr="00EC2B48">
        <w:rPr>
          <w:rFonts w:ascii="Century Gothic" w:hAnsi="Century Gothic"/>
          <w:sz w:val="24"/>
          <w:szCs w:val="24"/>
        </w:rPr>
        <w:t>major urban centres to other communities within the UK</w:t>
      </w:r>
      <w:r w:rsidR="00BC2E03" w:rsidRPr="00EC2B48">
        <w:rPr>
          <w:rFonts w:ascii="Century Gothic" w:hAnsi="Century Gothic"/>
          <w:sz w:val="24"/>
          <w:szCs w:val="24"/>
        </w:rPr>
        <w:t>’</w:t>
      </w:r>
      <w:r w:rsidRPr="00EC2B48">
        <w:rPr>
          <w:rFonts w:ascii="Century Gothic" w:hAnsi="Century Gothic"/>
          <w:sz w:val="24"/>
          <w:szCs w:val="24"/>
        </w:rPr>
        <w:t xml:space="preserve"> (Home Office, 2018a, 2018b).</w:t>
      </w:r>
      <w:r w:rsidR="00CD2D2B" w:rsidRPr="00EC2B48">
        <w:rPr>
          <w:rFonts w:ascii="Century Gothic" w:hAnsi="Century Gothic"/>
          <w:sz w:val="24"/>
          <w:szCs w:val="24"/>
        </w:rPr>
        <w:t xml:space="preserve"> ‘A</w:t>
      </w:r>
      <w:r w:rsidRPr="00EC2B48">
        <w:rPr>
          <w:rFonts w:ascii="Century Gothic" w:hAnsi="Century Gothic"/>
          <w:sz w:val="24"/>
          <w:szCs w:val="24"/>
        </w:rPr>
        <w:t xml:space="preserve">cross all 43 territorial police forces in England and </w:t>
      </w:r>
      <w:proofErr w:type="spellStart"/>
      <w:r w:rsidRPr="00EC2B48">
        <w:rPr>
          <w:rFonts w:ascii="Century Gothic" w:hAnsi="Century Gothic"/>
          <w:sz w:val="24"/>
          <w:szCs w:val="24"/>
        </w:rPr>
        <w:t>Wales</w:t>
      </w:r>
      <w:r w:rsidR="00CD2D2B" w:rsidRPr="00EC2B48">
        <w:rPr>
          <w:rFonts w:ascii="Century Gothic" w:hAnsi="Century Gothic"/>
          <w:sz w:val="24"/>
          <w:szCs w:val="24"/>
        </w:rPr>
        <w:t>’</w:t>
      </w:r>
      <w:proofErr w:type="spellEnd"/>
      <w:r w:rsidRPr="00EC2B48">
        <w:rPr>
          <w:rFonts w:ascii="Century Gothic" w:hAnsi="Century Gothic"/>
          <w:sz w:val="24"/>
          <w:szCs w:val="24"/>
        </w:rPr>
        <w:t xml:space="preserve"> (National Crime Agency (NCA), 2019)</w:t>
      </w:r>
      <w:r w:rsidR="00CD2D2B" w:rsidRPr="00EC2B48">
        <w:rPr>
          <w:rFonts w:ascii="Century Gothic" w:hAnsi="Century Gothic"/>
          <w:sz w:val="24"/>
          <w:szCs w:val="24"/>
        </w:rPr>
        <w:t xml:space="preserve">. Within </w:t>
      </w:r>
      <w:r w:rsidRPr="00EC2B48">
        <w:rPr>
          <w:rFonts w:ascii="Century Gothic" w:hAnsi="Century Gothic"/>
          <w:sz w:val="24"/>
          <w:szCs w:val="24"/>
        </w:rPr>
        <w:t>county lines</w:t>
      </w:r>
      <w:r w:rsidR="00CD2D2B" w:rsidRPr="00EC2B48">
        <w:rPr>
          <w:rFonts w:ascii="Century Gothic" w:hAnsi="Century Gothic"/>
          <w:sz w:val="24"/>
          <w:szCs w:val="24"/>
        </w:rPr>
        <w:t xml:space="preserve">, </w:t>
      </w:r>
      <w:r w:rsidRPr="00EC2B48">
        <w:rPr>
          <w:rFonts w:ascii="Century Gothic" w:hAnsi="Century Gothic"/>
          <w:sz w:val="24"/>
          <w:szCs w:val="24"/>
        </w:rPr>
        <w:t>i</w:t>
      </w:r>
      <w:r w:rsidR="00CD2D2B" w:rsidRPr="00EC2B48">
        <w:rPr>
          <w:rFonts w:ascii="Century Gothic" w:hAnsi="Century Gothic"/>
          <w:sz w:val="24"/>
          <w:szCs w:val="24"/>
        </w:rPr>
        <w:t>t’s ‘</w:t>
      </w:r>
      <w:r w:rsidRPr="00EC2B48">
        <w:rPr>
          <w:rFonts w:ascii="Century Gothic" w:hAnsi="Century Gothic"/>
          <w:sz w:val="24"/>
          <w:szCs w:val="24"/>
        </w:rPr>
        <w:t xml:space="preserve">said to involve grooming, </w:t>
      </w:r>
      <w:r w:rsidR="00FB3470" w:rsidRPr="00EC2B48">
        <w:rPr>
          <w:rFonts w:ascii="Century Gothic" w:hAnsi="Century Gothic"/>
          <w:sz w:val="24"/>
          <w:szCs w:val="24"/>
        </w:rPr>
        <w:t>trafficking,</w:t>
      </w:r>
      <w:r w:rsidRPr="00EC2B48">
        <w:rPr>
          <w:rFonts w:ascii="Century Gothic" w:hAnsi="Century Gothic"/>
          <w:sz w:val="24"/>
          <w:szCs w:val="24"/>
        </w:rPr>
        <w:t xml:space="preserve"> and exploitation of children, particularly 15–17-year-old boys</w:t>
      </w:r>
      <w:r w:rsidR="00BC2E03" w:rsidRPr="00EC2B48">
        <w:rPr>
          <w:rFonts w:ascii="Century Gothic" w:hAnsi="Century Gothic"/>
          <w:sz w:val="24"/>
          <w:szCs w:val="24"/>
        </w:rPr>
        <w:t>’</w:t>
      </w:r>
      <w:r w:rsidRPr="00EC2B48">
        <w:rPr>
          <w:rFonts w:ascii="Century Gothic" w:hAnsi="Century Gothic"/>
          <w:sz w:val="24"/>
          <w:szCs w:val="24"/>
        </w:rPr>
        <w:t xml:space="preserve"> (NCA, 2017)</w:t>
      </w:r>
      <w:r w:rsidR="00BC2E03" w:rsidRPr="00EC2B48">
        <w:rPr>
          <w:rFonts w:ascii="Century Gothic" w:hAnsi="Century Gothic"/>
          <w:sz w:val="24"/>
          <w:szCs w:val="24"/>
        </w:rPr>
        <w:t xml:space="preserve">. </w:t>
      </w:r>
      <w:r w:rsidR="00CD2D2B" w:rsidRPr="00EC2B48">
        <w:rPr>
          <w:rFonts w:ascii="Century Gothic" w:hAnsi="Century Gothic"/>
          <w:sz w:val="24"/>
          <w:szCs w:val="24"/>
        </w:rPr>
        <w:t xml:space="preserve">Within policing, there is limited knowledge amongst officers that the ‘drug runners’ are not criminals they are in fact victims of exploitation. Ford 2018 states </w:t>
      </w:r>
      <w:r w:rsidR="00FB3470" w:rsidRPr="00EC2B48">
        <w:rPr>
          <w:rFonts w:ascii="Century Gothic" w:hAnsi="Century Gothic"/>
          <w:sz w:val="24"/>
          <w:szCs w:val="24"/>
        </w:rPr>
        <w:t>r</w:t>
      </w:r>
      <w:r w:rsidR="00CD2D2B" w:rsidRPr="00EC2B48">
        <w:rPr>
          <w:rFonts w:ascii="Century Gothic" w:hAnsi="Century Gothic"/>
          <w:sz w:val="24"/>
          <w:szCs w:val="24"/>
        </w:rPr>
        <w:t>espon</w:t>
      </w:r>
      <w:r w:rsidR="00FB3470" w:rsidRPr="00EC2B48">
        <w:rPr>
          <w:rFonts w:ascii="Century Gothic" w:hAnsi="Century Gothic"/>
          <w:sz w:val="24"/>
          <w:szCs w:val="24"/>
        </w:rPr>
        <w:t>ding</w:t>
      </w:r>
      <w:r w:rsidR="00CD2D2B" w:rsidRPr="00EC2B48">
        <w:rPr>
          <w:rFonts w:ascii="Century Gothic" w:hAnsi="Century Gothic"/>
          <w:sz w:val="24"/>
          <w:szCs w:val="24"/>
        </w:rPr>
        <w:t xml:space="preserve"> to </w:t>
      </w:r>
      <w:r w:rsidR="00FB3470" w:rsidRPr="00EC2B48">
        <w:rPr>
          <w:rFonts w:ascii="Century Gothic" w:hAnsi="Century Gothic"/>
          <w:sz w:val="24"/>
          <w:szCs w:val="24"/>
        </w:rPr>
        <w:t>‘</w:t>
      </w:r>
      <w:r w:rsidR="00CD2D2B" w:rsidRPr="00EC2B48">
        <w:rPr>
          <w:rFonts w:ascii="Century Gothic" w:hAnsi="Century Gothic"/>
          <w:sz w:val="24"/>
          <w:szCs w:val="24"/>
        </w:rPr>
        <w:t xml:space="preserve">children and vulnerable adults exploited in county lines will likely need to be tailored differently, not least because of the different legal and statutory frameworks </w:t>
      </w:r>
      <w:r w:rsidR="00CD2D2B" w:rsidRPr="00246B2C">
        <w:rPr>
          <w:rFonts w:ascii="Century Gothic" w:hAnsi="Century Gothic"/>
          <w:sz w:val="24"/>
          <w:szCs w:val="24"/>
        </w:rPr>
        <w:lastRenderedPageBreak/>
        <w:t>involved</w:t>
      </w:r>
      <w:r w:rsidR="00FB3470" w:rsidRPr="00246B2C">
        <w:rPr>
          <w:rFonts w:ascii="Century Gothic" w:hAnsi="Century Gothic"/>
          <w:sz w:val="24"/>
          <w:szCs w:val="24"/>
        </w:rPr>
        <w:t>’</w:t>
      </w:r>
      <w:r w:rsidR="00CD2D2B" w:rsidRPr="00246B2C">
        <w:rPr>
          <w:rFonts w:ascii="Century Gothic" w:hAnsi="Century Gothic"/>
          <w:sz w:val="24"/>
          <w:szCs w:val="24"/>
        </w:rPr>
        <w:t xml:space="preserve"> (Ford, 2018).</w:t>
      </w:r>
      <w:r w:rsidR="00FB3470" w:rsidRPr="00EC2B48">
        <w:rPr>
          <w:rFonts w:ascii="Century Gothic" w:hAnsi="Century Gothic"/>
          <w:sz w:val="24"/>
          <w:szCs w:val="24"/>
        </w:rPr>
        <w:t xml:space="preserve"> Therefore, there needs to be an increased awareness into victims of exploitation to understand that when coming across a 15-year-old in possession of class a drug with the intention to supply should consider the possibility of exploitation. </w:t>
      </w:r>
      <w:r w:rsidR="00EC2B48" w:rsidRPr="00EC2B48">
        <w:rPr>
          <w:rFonts w:ascii="Century Gothic" w:hAnsi="Century Gothic"/>
          <w:sz w:val="24"/>
          <w:szCs w:val="24"/>
        </w:rPr>
        <w:t>Another important reason to identify victims so they can be safeguarded as they could feel they are unable to get out of the exploitation, Briggs et al, 2015 has recognised there are gaps and a requirement and there is a need for more research with those directly affected by county lines.</w:t>
      </w:r>
    </w:p>
    <w:p w14:paraId="3C59EF84" w14:textId="0D255AAA" w:rsidR="006D7893" w:rsidRPr="006D7893" w:rsidRDefault="006D7893" w:rsidP="006D7893">
      <w:pPr>
        <w:jc w:val="center"/>
        <w:rPr>
          <w:rFonts w:ascii="Century Gothic" w:hAnsi="Century Gothic"/>
          <w:b/>
          <w:bCs/>
          <w:sz w:val="24"/>
          <w:szCs w:val="24"/>
          <w:u w:val="single"/>
        </w:rPr>
      </w:pPr>
      <w:r w:rsidRPr="006D7893">
        <w:rPr>
          <w:rFonts w:ascii="Century Gothic" w:hAnsi="Century Gothic"/>
          <w:b/>
          <w:bCs/>
          <w:sz w:val="24"/>
          <w:szCs w:val="24"/>
          <w:u w:val="single"/>
        </w:rPr>
        <w:t>Word Count: 1</w:t>
      </w:r>
      <w:r>
        <w:rPr>
          <w:rFonts w:ascii="Century Gothic" w:hAnsi="Century Gothic"/>
          <w:b/>
          <w:bCs/>
          <w:sz w:val="24"/>
          <w:szCs w:val="24"/>
          <w:u w:val="single"/>
        </w:rPr>
        <w:t>013</w:t>
      </w:r>
    </w:p>
    <w:p w14:paraId="61467218" w14:textId="77777777" w:rsidR="006D7893" w:rsidRPr="006D7893" w:rsidRDefault="006D7893" w:rsidP="006D7893">
      <w:pPr>
        <w:jc w:val="center"/>
        <w:rPr>
          <w:rFonts w:ascii="Century Gothic" w:hAnsi="Century Gothic"/>
          <w:b/>
          <w:bCs/>
          <w:sz w:val="24"/>
          <w:szCs w:val="24"/>
          <w:u w:val="single"/>
        </w:rPr>
      </w:pPr>
    </w:p>
    <w:p w14:paraId="16B154B4" w14:textId="2C0B45EC"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478641FB" w14:textId="049E0C75"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3E50A8EA" w14:textId="376CECA1"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68BEAB3C" w14:textId="75BC1953"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4C248102" w14:textId="2F760D4F"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5EE95289" w14:textId="38102C82"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5F884FCA" w14:textId="0B69ED0D"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79B7B814" w14:textId="181DC57D"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492E0761" w14:textId="05DDEC35"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2DBB6A2C" w14:textId="09E4E750"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2D8AACEC" w14:textId="3C18B0CD"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1A4384DD" w14:textId="2B4CC457"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3B14FDF8" w14:textId="2F5FEE0F"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0E3C7C8F" w14:textId="41833BE3"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629D474F" w14:textId="46C5855B"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2299BDDD" w14:textId="7F159DE6"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7B577FDB" w14:textId="66D0E5C6"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770BC873" w14:textId="1A15D6B8"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52DB1CE5" w14:textId="3AF0650B"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33612765" w14:textId="313123B6"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4533C4AC" w14:textId="6E0CE63B"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7FE946E9" w14:textId="335264FC"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7AF8F9A0" w14:textId="3C8D6669"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179EAA94" w14:textId="3D02C0D7"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2DACC01D" w14:textId="5752E15D"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219C9BE8" w14:textId="1015D512"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309BD973" w14:textId="65F1D64F"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09B7841F" w14:textId="6054508F"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1DA359BD" w14:textId="1EB66EB2"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57C15DA2" w14:textId="3031E7D2"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05972036" w14:textId="11BB5E95"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5C283EFD" w14:textId="6D13D591"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2CF50327" w14:textId="4E86C329" w:rsidR="006D7893" w:rsidRDefault="006D7893" w:rsidP="00012E66">
      <w:pPr>
        <w:shd w:val="clear" w:color="auto" w:fill="FFFFFF"/>
        <w:spacing w:after="0" w:line="240" w:lineRule="auto"/>
        <w:jc w:val="both"/>
        <w:textAlignment w:val="baseline"/>
        <w:rPr>
          <w:rFonts w:ascii="Century Gothic" w:hAnsi="Century Gothic"/>
          <w:sz w:val="24"/>
          <w:szCs w:val="24"/>
        </w:rPr>
      </w:pPr>
    </w:p>
    <w:p w14:paraId="22F9ED7D" w14:textId="691895F8" w:rsidR="006D7893" w:rsidRDefault="006D7893" w:rsidP="00012E66">
      <w:pPr>
        <w:shd w:val="clear" w:color="auto" w:fill="FFFFFF"/>
        <w:spacing w:after="0" w:line="240" w:lineRule="auto"/>
        <w:jc w:val="both"/>
        <w:textAlignment w:val="baseline"/>
        <w:rPr>
          <w:rFonts w:ascii="Century Gothic" w:hAnsi="Century Gothic"/>
          <w:sz w:val="24"/>
          <w:szCs w:val="24"/>
        </w:rPr>
      </w:pPr>
    </w:p>
    <w:p w14:paraId="6F3E48D2" w14:textId="437C988D" w:rsidR="006D7893" w:rsidRDefault="006D7893" w:rsidP="00012E66">
      <w:pPr>
        <w:shd w:val="clear" w:color="auto" w:fill="FFFFFF"/>
        <w:spacing w:after="0" w:line="240" w:lineRule="auto"/>
        <w:jc w:val="both"/>
        <w:textAlignment w:val="baseline"/>
        <w:rPr>
          <w:rFonts w:ascii="Century Gothic" w:hAnsi="Century Gothic"/>
          <w:sz w:val="24"/>
          <w:szCs w:val="24"/>
        </w:rPr>
      </w:pPr>
    </w:p>
    <w:p w14:paraId="1DF5213B" w14:textId="2C47600C" w:rsidR="006D7893" w:rsidRPr="006D7893" w:rsidRDefault="006D7893" w:rsidP="00012E66">
      <w:pPr>
        <w:shd w:val="clear" w:color="auto" w:fill="FFFFFF"/>
        <w:spacing w:after="0" w:line="240" w:lineRule="auto"/>
        <w:jc w:val="both"/>
        <w:textAlignment w:val="baseline"/>
        <w:rPr>
          <w:rFonts w:ascii="Century Gothic" w:hAnsi="Century Gothic"/>
          <w:b/>
          <w:bCs/>
          <w:sz w:val="24"/>
          <w:szCs w:val="24"/>
          <w:u w:val="single"/>
        </w:rPr>
      </w:pPr>
      <w:r w:rsidRPr="006D7893">
        <w:rPr>
          <w:rFonts w:ascii="Century Gothic" w:hAnsi="Century Gothic"/>
          <w:b/>
          <w:bCs/>
          <w:sz w:val="24"/>
          <w:szCs w:val="24"/>
          <w:u w:val="single"/>
        </w:rPr>
        <w:lastRenderedPageBreak/>
        <w:t>Task 5</w:t>
      </w:r>
    </w:p>
    <w:p w14:paraId="5880C135" w14:textId="5E80E6AB" w:rsidR="00EC2B48" w:rsidRDefault="00EC2B48" w:rsidP="00012E66">
      <w:pPr>
        <w:shd w:val="clear" w:color="auto" w:fill="FFFFFF"/>
        <w:spacing w:after="0" w:line="240" w:lineRule="auto"/>
        <w:jc w:val="both"/>
        <w:textAlignment w:val="baseline"/>
        <w:rPr>
          <w:rFonts w:ascii="Century Gothic" w:hAnsi="Century Gothic"/>
          <w:sz w:val="24"/>
          <w:szCs w:val="24"/>
        </w:rPr>
      </w:pPr>
    </w:p>
    <w:p w14:paraId="121E14DA" w14:textId="77777777" w:rsidR="00EC2B48" w:rsidRPr="00EC2B48" w:rsidRDefault="00EC2B48" w:rsidP="00012E66">
      <w:pPr>
        <w:shd w:val="clear" w:color="auto" w:fill="FFFFFF"/>
        <w:spacing w:after="0" w:line="240" w:lineRule="auto"/>
        <w:jc w:val="both"/>
        <w:textAlignment w:val="baseline"/>
        <w:rPr>
          <w:rFonts w:ascii="Century Gothic" w:hAnsi="Century Gothic"/>
          <w:sz w:val="24"/>
          <w:szCs w:val="24"/>
        </w:rPr>
      </w:pPr>
    </w:p>
    <w:p w14:paraId="5F08CDFC" w14:textId="4689964C" w:rsidR="004E78AB" w:rsidRDefault="004E78AB" w:rsidP="7D7C8770">
      <w:pPr>
        <w:rPr>
          <w:rFonts w:ascii="Century Gothic" w:hAnsi="Century Gothic"/>
          <w:sz w:val="24"/>
          <w:szCs w:val="24"/>
        </w:rPr>
      </w:pPr>
    </w:p>
    <w:p w14:paraId="2757AD37" w14:textId="699CD505" w:rsidR="009C3EA0" w:rsidRDefault="009C3EA0" w:rsidP="7D7C8770">
      <w:pPr>
        <w:rPr>
          <w:rFonts w:ascii="Century Gothic" w:hAnsi="Century Gothic"/>
          <w:sz w:val="24"/>
          <w:szCs w:val="24"/>
        </w:rPr>
      </w:pPr>
    </w:p>
    <w:p w14:paraId="40A509F1" w14:textId="167B3653" w:rsidR="009C3EA0" w:rsidRDefault="009C3EA0" w:rsidP="7D7C8770">
      <w:pPr>
        <w:rPr>
          <w:rFonts w:ascii="Century Gothic" w:hAnsi="Century Gothic"/>
          <w:sz w:val="24"/>
          <w:szCs w:val="24"/>
        </w:rPr>
      </w:pPr>
    </w:p>
    <w:p w14:paraId="0FDFC47B" w14:textId="16814A40" w:rsidR="009C3EA0" w:rsidRDefault="009C3EA0" w:rsidP="7D7C8770">
      <w:pPr>
        <w:rPr>
          <w:rFonts w:ascii="Century Gothic" w:hAnsi="Century Gothic"/>
          <w:sz w:val="24"/>
          <w:szCs w:val="24"/>
        </w:rPr>
      </w:pPr>
    </w:p>
    <w:p w14:paraId="790A2920" w14:textId="15D8B374" w:rsidR="009C3EA0" w:rsidRDefault="009C3EA0" w:rsidP="7D7C8770">
      <w:pPr>
        <w:rPr>
          <w:rFonts w:ascii="Century Gothic" w:hAnsi="Century Gothic"/>
          <w:sz w:val="24"/>
          <w:szCs w:val="24"/>
        </w:rPr>
      </w:pPr>
    </w:p>
    <w:p w14:paraId="35692250" w14:textId="1D56213E" w:rsidR="009C3EA0" w:rsidRDefault="009C3EA0" w:rsidP="7D7C8770">
      <w:pPr>
        <w:rPr>
          <w:rFonts w:ascii="Century Gothic" w:hAnsi="Century Gothic"/>
          <w:sz w:val="24"/>
          <w:szCs w:val="24"/>
        </w:rPr>
      </w:pPr>
    </w:p>
    <w:p w14:paraId="0C461A9F" w14:textId="78780A18" w:rsidR="009C3EA0" w:rsidRDefault="009C3EA0" w:rsidP="7D7C8770">
      <w:pPr>
        <w:rPr>
          <w:rFonts w:ascii="Century Gothic" w:hAnsi="Century Gothic"/>
          <w:sz w:val="24"/>
          <w:szCs w:val="24"/>
        </w:rPr>
      </w:pPr>
    </w:p>
    <w:p w14:paraId="30282DBC" w14:textId="106F583F" w:rsidR="009C3EA0" w:rsidRDefault="009C3EA0" w:rsidP="7D7C8770">
      <w:pPr>
        <w:rPr>
          <w:rFonts w:ascii="Century Gothic" w:hAnsi="Century Gothic"/>
          <w:sz w:val="24"/>
          <w:szCs w:val="24"/>
        </w:rPr>
      </w:pPr>
    </w:p>
    <w:p w14:paraId="1A991F4A" w14:textId="7F520869" w:rsidR="009C3EA0" w:rsidRDefault="009C3EA0" w:rsidP="7D7C8770">
      <w:pPr>
        <w:rPr>
          <w:rFonts w:ascii="Century Gothic" w:hAnsi="Century Gothic"/>
          <w:sz w:val="24"/>
          <w:szCs w:val="24"/>
        </w:rPr>
      </w:pPr>
    </w:p>
    <w:p w14:paraId="09199CA2" w14:textId="369AA953" w:rsidR="009C3EA0" w:rsidRDefault="009C3EA0" w:rsidP="7D7C8770">
      <w:pPr>
        <w:rPr>
          <w:rFonts w:ascii="Century Gothic" w:hAnsi="Century Gothic"/>
          <w:sz w:val="24"/>
          <w:szCs w:val="24"/>
        </w:rPr>
      </w:pPr>
    </w:p>
    <w:p w14:paraId="665EB103" w14:textId="59B9B474" w:rsidR="009C3EA0" w:rsidRDefault="009C3EA0" w:rsidP="7D7C8770">
      <w:pPr>
        <w:rPr>
          <w:rFonts w:ascii="Century Gothic" w:hAnsi="Century Gothic"/>
          <w:sz w:val="24"/>
          <w:szCs w:val="24"/>
        </w:rPr>
      </w:pPr>
    </w:p>
    <w:p w14:paraId="444CA35A" w14:textId="4B238C09" w:rsidR="009C3EA0" w:rsidRDefault="009C3EA0" w:rsidP="7D7C8770">
      <w:pPr>
        <w:rPr>
          <w:rFonts w:ascii="Century Gothic" w:hAnsi="Century Gothic"/>
          <w:sz w:val="24"/>
          <w:szCs w:val="24"/>
        </w:rPr>
      </w:pPr>
    </w:p>
    <w:p w14:paraId="2DC01508" w14:textId="3CF38CA1" w:rsidR="009C3EA0" w:rsidRDefault="009C3EA0" w:rsidP="7D7C8770">
      <w:pPr>
        <w:rPr>
          <w:rFonts w:ascii="Century Gothic" w:hAnsi="Century Gothic"/>
          <w:sz w:val="24"/>
          <w:szCs w:val="24"/>
        </w:rPr>
      </w:pPr>
    </w:p>
    <w:p w14:paraId="6666C338" w14:textId="0F5C272B" w:rsidR="009C3EA0" w:rsidRDefault="009C3EA0" w:rsidP="7D7C8770">
      <w:pPr>
        <w:rPr>
          <w:rFonts w:ascii="Century Gothic" w:hAnsi="Century Gothic"/>
          <w:sz w:val="24"/>
          <w:szCs w:val="24"/>
        </w:rPr>
      </w:pPr>
    </w:p>
    <w:p w14:paraId="5D575EB5" w14:textId="7BD92788" w:rsidR="009C3EA0" w:rsidRDefault="009C3EA0" w:rsidP="7D7C8770">
      <w:pPr>
        <w:rPr>
          <w:rFonts w:ascii="Century Gothic" w:hAnsi="Century Gothic"/>
          <w:sz w:val="24"/>
          <w:szCs w:val="24"/>
        </w:rPr>
      </w:pPr>
    </w:p>
    <w:p w14:paraId="54CE8E2E" w14:textId="13316BA2" w:rsidR="009C3EA0" w:rsidRDefault="009C3EA0" w:rsidP="7D7C8770">
      <w:pPr>
        <w:rPr>
          <w:rFonts w:ascii="Century Gothic" w:hAnsi="Century Gothic"/>
          <w:sz w:val="24"/>
          <w:szCs w:val="24"/>
        </w:rPr>
      </w:pPr>
    </w:p>
    <w:p w14:paraId="69FACF0F" w14:textId="55E66EE7" w:rsidR="009C3EA0" w:rsidRDefault="009C3EA0" w:rsidP="7D7C8770">
      <w:pPr>
        <w:rPr>
          <w:rFonts w:ascii="Century Gothic" w:hAnsi="Century Gothic"/>
          <w:sz w:val="24"/>
          <w:szCs w:val="24"/>
        </w:rPr>
      </w:pPr>
    </w:p>
    <w:p w14:paraId="043988CF" w14:textId="2E422E77" w:rsidR="009C3EA0" w:rsidRDefault="009C3EA0" w:rsidP="7D7C8770">
      <w:pPr>
        <w:rPr>
          <w:rFonts w:ascii="Century Gothic" w:hAnsi="Century Gothic"/>
          <w:sz w:val="24"/>
          <w:szCs w:val="24"/>
        </w:rPr>
      </w:pPr>
    </w:p>
    <w:p w14:paraId="3BFD46B9" w14:textId="7E8F0996" w:rsidR="009C3EA0" w:rsidRDefault="009C3EA0" w:rsidP="7D7C8770">
      <w:pPr>
        <w:rPr>
          <w:rFonts w:ascii="Century Gothic" w:hAnsi="Century Gothic"/>
          <w:sz w:val="24"/>
          <w:szCs w:val="24"/>
        </w:rPr>
      </w:pPr>
    </w:p>
    <w:p w14:paraId="506FAC4A" w14:textId="673162D4" w:rsidR="009C3EA0" w:rsidRDefault="009C3EA0" w:rsidP="7D7C8770">
      <w:pPr>
        <w:rPr>
          <w:rFonts w:ascii="Century Gothic" w:hAnsi="Century Gothic"/>
          <w:sz w:val="24"/>
          <w:szCs w:val="24"/>
        </w:rPr>
      </w:pPr>
    </w:p>
    <w:p w14:paraId="6CA957F3" w14:textId="379FE590" w:rsidR="009C3EA0" w:rsidRDefault="009C3EA0" w:rsidP="7D7C8770">
      <w:pPr>
        <w:rPr>
          <w:rFonts w:ascii="Century Gothic" w:hAnsi="Century Gothic"/>
          <w:sz w:val="24"/>
          <w:szCs w:val="24"/>
        </w:rPr>
      </w:pPr>
    </w:p>
    <w:p w14:paraId="0C368887" w14:textId="232053E6" w:rsidR="009C3EA0" w:rsidRDefault="009C3EA0" w:rsidP="7D7C8770">
      <w:pPr>
        <w:rPr>
          <w:rFonts w:ascii="Century Gothic" w:hAnsi="Century Gothic"/>
          <w:sz w:val="24"/>
          <w:szCs w:val="24"/>
        </w:rPr>
      </w:pPr>
    </w:p>
    <w:p w14:paraId="2A3F6284" w14:textId="5CB33220" w:rsidR="009C3EA0" w:rsidRDefault="009C3EA0" w:rsidP="7D7C8770">
      <w:pPr>
        <w:rPr>
          <w:rFonts w:ascii="Century Gothic" w:hAnsi="Century Gothic"/>
          <w:sz w:val="24"/>
          <w:szCs w:val="24"/>
        </w:rPr>
      </w:pPr>
    </w:p>
    <w:p w14:paraId="6196DD19" w14:textId="73AD025D" w:rsidR="009C3EA0" w:rsidRDefault="009C3EA0" w:rsidP="7D7C8770">
      <w:pPr>
        <w:rPr>
          <w:rFonts w:ascii="Century Gothic" w:hAnsi="Century Gothic"/>
          <w:sz w:val="24"/>
          <w:szCs w:val="24"/>
        </w:rPr>
      </w:pPr>
    </w:p>
    <w:p w14:paraId="3ACB6114" w14:textId="275813B5" w:rsidR="009C3EA0" w:rsidRDefault="009C3EA0" w:rsidP="7D7C8770">
      <w:pPr>
        <w:rPr>
          <w:rFonts w:ascii="Century Gothic" w:hAnsi="Century Gothic"/>
          <w:sz w:val="24"/>
          <w:szCs w:val="24"/>
        </w:rPr>
      </w:pPr>
    </w:p>
    <w:p w14:paraId="78F8DF9E" w14:textId="77777777" w:rsidR="009C3EA0" w:rsidRPr="00BC2E03" w:rsidRDefault="009C3EA0" w:rsidP="7D7C8770">
      <w:pPr>
        <w:rPr>
          <w:rFonts w:ascii="Century Gothic" w:hAnsi="Century Gothic"/>
          <w:sz w:val="24"/>
          <w:szCs w:val="24"/>
        </w:rPr>
      </w:pPr>
    </w:p>
    <w:p w14:paraId="0C9BBDA8" w14:textId="4DC784DC" w:rsidR="00BA7BB5" w:rsidRPr="00BC2E03" w:rsidRDefault="00BA7BB5" w:rsidP="7D7C8770">
      <w:pPr>
        <w:rPr>
          <w:rFonts w:ascii="Century Gothic" w:hAnsi="Century Gothic"/>
          <w:sz w:val="24"/>
          <w:szCs w:val="24"/>
        </w:rPr>
      </w:pPr>
    </w:p>
    <w:p w14:paraId="4F2FADBF" w14:textId="05B772AE" w:rsidR="004E78AB" w:rsidRPr="00BC2E03" w:rsidRDefault="1DA2DA37" w:rsidP="7D7C8770">
      <w:pPr>
        <w:rPr>
          <w:rFonts w:ascii="Century Gothic" w:hAnsi="Century Gothic"/>
          <w:b/>
          <w:bCs/>
          <w:sz w:val="24"/>
          <w:szCs w:val="24"/>
          <w:u w:val="single"/>
        </w:rPr>
      </w:pPr>
      <w:r w:rsidRPr="00BC2E03">
        <w:rPr>
          <w:rFonts w:ascii="Century Gothic" w:hAnsi="Century Gothic"/>
          <w:b/>
          <w:bCs/>
          <w:sz w:val="24"/>
          <w:szCs w:val="24"/>
          <w:u w:val="single"/>
        </w:rPr>
        <w:lastRenderedPageBreak/>
        <w:t xml:space="preserve">Bibliography </w:t>
      </w:r>
    </w:p>
    <w:p w14:paraId="13672E17" w14:textId="77777777" w:rsidR="00BA7BB5" w:rsidRPr="00BC2E03" w:rsidRDefault="00BA7BB5" w:rsidP="00BA7BB5">
      <w:pPr>
        <w:shd w:val="clear" w:color="auto" w:fill="FFFFFF"/>
        <w:spacing w:after="0" w:line="240" w:lineRule="auto"/>
        <w:jc w:val="both"/>
        <w:textAlignment w:val="baseline"/>
        <w:rPr>
          <w:rFonts w:ascii="Century Gothic" w:eastAsia="Times New Roman" w:hAnsi="Century Gothic" w:cs="Times New Roman"/>
          <w:sz w:val="24"/>
          <w:szCs w:val="24"/>
          <w:lang w:eastAsia="en-GB"/>
        </w:rPr>
      </w:pPr>
      <w:r w:rsidRPr="00BC2E03">
        <w:rPr>
          <w:rFonts w:ascii="Century Gothic" w:eastAsia="Times New Roman" w:hAnsi="Century Gothic" w:cs="Times New Roman"/>
          <w:sz w:val="24"/>
          <w:szCs w:val="24"/>
          <w:lang w:eastAsia="en-GB"/>
        </w:rPr>
        <w:t>Bakker A. B.</w:t>
      </w:r>
      <w:r w:rsidRPr="00BC2E03">
        <w:rPr>
          <w:rFonts w:ascii="Century Gothic" w:eastAsia="Times New Roman" w:hAnsi="Century Gothic" w:cs="Times New Roman"/>
          <w:sz w:val="24"/>
          <w:szCs w:val="24"/>
          <w:shd w:val="clear" w:color="auto" w:fill="FFFFFF"/>
          <w:lang w:eastAsia="en-GB"/>
        </w:rPr>
        <w:t>,</w:t>
      </w:r>
      <w:r w:rsidRPr="00BC2E03">
        <w:rPr>
          <w:rFonts w:ascii="Century Gothic" w:eastAsia="Times New Roman" w:hAnsi="Century Gothic" w:cs="Times New Roman"/>
          <w:sz w:val="24"/>
          <w:szCs w:val="24"/>
          <w:bdr w:val="none" w:sz="0" w:space="0" w:color="auto" w:frame="1"/>
          <w:shd w:val="clear" w:color="auto" w:fill="FFFFFF"/>
          <w:lang w:eastAsia="en-GB"/>
        </w:rPr>
        <w:t xml:space="preserve"> </w:t>
      </w:r>
      <w:proofErr w:type="spellStart"/>
      <w:r w:rsidRPr="00BC2E03">
        <w:rPr>
          <w:rFonts w:ascii="Century Gothic" w:eastAsia="Times New Roman" w:hAnsi="Century Gothic" w:cs="Times New Roman"/>
          <w:sz w:val="24"/>
          <w:szCs w:val="24"/>
          <w:bdr w:val="none" w:sz="0" w:space="0" w:color="auto" w:frame="1"/>
          <w:shd w:val="clear" w:color="auto" w:fill="FFFFFF"/>
          <w:lang w:eastAsia="en-GB"/>
        </w:rPr>
        <w:t>Heuven</w:t>
      </w:r>
      <w:proofErr w:type="spellEnd"/>
      <w:r w:rsidRPr="00BC2E03">
        <w:rPr>
          <w:rFonts w:ascii="Century Gothic" w:eastAsia="Times New Roman" w:hAnsi="Century Gothic" w:cs="Times New Roman"/>
          <w:sz w:val="24"/>
          <w:szCs w:val="24"/>
          <w:bdr w:val="none" w:sz="0" w:space="0" w:color="auto" w:frame="1"/>
          <w:shd w:val="clear" w:color="auto" w:fill="FFFFFF"/>
          <w:lang w:eastAsia="en-GB"/>
        </w:rPr>
        <w:t xml:space="preserve"> E.</w:t>
      </w:r>
      <w:r w:rsidRPr="00BC2E03">
        <w:rPr>
          <w:rFonts w:ascii="Century Gothic" w:eastAsia="Times New Roman" w:hAnsi="Century Gothic" w:cs="Times New Roman"/>
          <w:sz w:val="24"/>
          <w:szCs w:val="24"/>
          <w:shd w:val="clear" w:color="auto" w:fill="FFFFFF"/>
          <w:lang w:eastAsia="en-GB"/>
        </w:rPr>
        <w:t> (</w:t>
      </w:r>
      <w:r w:rsidRPr="00BC2E03">
        <w:rPr>
          <w:rFonts w:ascii="Century Gothic" w:eastAsia="Times New Roman" w:hAnsi="Century Gothic" w:cs="Times New Roman"/>
          <w:sz w:val="24"/>
          <w:szCs w:val="24"/>
          <w:lang w:eastAsia="en-GB"/>
        </w:rPr>
        <w:t>2006</w:t>
      </w:r>
      <w:r w:rsidRPr="00BC2E03">
        <w:rPr>
          <w:rFonts w:ascii="Century Gothic" w:eastAsia="Times New Roman" w:hAnsi="Century Gothic" w:cs="Times New Roman"/>
          <w:sz w:val="24"/>
          <w:szCs w:val="24"/>
          <w:shd w:val="clear" w:color="auto" w:fill="FFFFFF"/>
          <w:lang w:eastAsia="en-GB"/>
        </w:rPr>
        <w:t>). ‘</w:t>
      </w:r>
      <w:r w:rsidRPr="00BC2E03">
        <w:rPr>
          <w:rFonts w:ascii="Century Gothic" w:eastAsia="Times New Roman" w:hAnsi="Century Gothic" w:cs="Times New Roman"/>
          <w:sz w:val="24"/>
          <w:szCs w:val="24"/>
          <w:lang w:eastAsia="en-GB"/>
        </w:rPr>
        <w:t>Emotional Dissonance, Burnout, and In-role Performance among Nurses and Police Officers</w:t>
      </w:r>
      <w:r w:rsidRPr="00BC2E03">
        <w:rPr>
          <w:rFonts w:ascii="Century Gothic" w:eastAsia="Times New Roman" w:hAnsi="Century Gothic" w:cs="Times New Roman"/>
          <w:sz w:val="24"/>
          <w:szCs w:val="24"/>
          <w:shd w:val="clear" w:color="auto" w:fill="FFFFFF"/>
          <w:lang w:eastAsia="en-GB"/>
        </w:rPr>
        <w:t>. ’</w:t>
      </w:r>
      <w:r w:rsidRPr="00BC2E03">
        <w:rPr>
          <w:rFonts w:ascii="Century Gothic" w:eastAsia="Times New Roman" w:hAnsi="Century Gothic" w:cs="Times New Roman"/>
          <w:i/>
          <w:iCs/>
          <w:sz w:val="24"/>
          <w:szCs w:val="24"/>
          <w:lang w:eastAsia="en-GB"/>
        </w:rPr>
        <w:t>International Journal of Stress Management</w:t>
      </w:r>
      <w:r w:rsidRPr="00BC2E03">
        <w:rPr>
          <w:rFonts w:ascii="Century Gothic" w:eastAsia="Times New Roman" w:hAnsi="Century Gothic" w:cs="Times New Roman"/>
          <w:sz w:val="24"/>
          <w:szCs w:val="24"/>
          <w:shd w:val="clear" w:color="auto" w:fill="FFFFFF"/>
          <w:lang w:eastAsia="en-GB"/>
        </w:rPr>
        <w:t> </w:t>
      </w:r>
      <w:r w:rsidRPr="00BC2E03">
        <w:rPr>
          <w:rFonts w:ascii="Century Gothic" w:eastAsia="Times New Roman" w:hAnsi="Century Gothic" w:cs="Times New Roman"/>
          <w:sz w:val="24"/>
          <w:szCs w:val="24"/>
          <w:lang w:eastAsia="en-GB"/>
        </w:rPr>
        <w:t xml:space="preserve">13 </w:t>
      </w:r>
      <w:r w:rsidRPr="00BC2E03">
        <w:rPr>
          <w:rFonts w:ascii="Century Gothic" w:eastAsia="Times New Roman" w:hAnsi="Century Gothic" w:cs="Times New Roman"/>
          <w:sz w:val="24"/>
          <w:szCs w:val="24"/>
          <w:shd w:val="clear" w:color="auto" w:fill="FFFFFF"/>
          <w:lang w:eastAsia="en-GB"/>
        </w:rPr>
        <w:t>(</w:t>
      </w:r>
      <w:r w:rsidRPr="00BC2E03">
        <w:rPr>
          <w:rFonts w:ascii="Century Gothic" w:eastAsia="Times New Roman" w:hAnsi="Century Gothic" w:cs="Times New Roman"/>
          <w:sz w:val="24"/>
          <w:szCs w:val="24"/>
          <w:lang w:eastAsia="en-GB"/>
        </w:rPr>
        <w:t>4</w:t>
      </w:r>
      <w:r w:rsidRPr="00BC2E03">
        <w:rPr>
          <w:rFonts w:ascii="Century Gothic" w:eastAsia="Times New Roman" w:hAnsi="Century Gothic" w:cs="Times New Roman"/>
          <w:sz w:val="24"/>
          <w:szCs w:val="24"/>
          <w:shd w:val="clear" w:color="auto" w:fill="FFFFFF"/>
          <w:lang w:eastAsia="en-GB"/>
        </w:rPr>
        <w:t>):</w:t>
      </w:r>
      <w:r w:rsidRPr="00BC2E03">
        <w:rPr>
          <w:rFonts w:ascii="Century Gothic" w:eastAsia="Times New Roman" w:hAnsi="Century Gothic" w:cs="Times New Roman"/>
          <w:sz w:val="24"/>
          <w:szCs w:val="24"/>
          <w:lang w:eastAsia="en-GB"/>
        </w:rPr>
        <w:t xml:space="preserve"> 423</w:t>
      </w:r>
      <w:r w:rsidRPr="00BC2E03">
        <w:rPr>
          <w:rFonts w:ascii="Century Gothic" w:eastAsia="Times New Roman" w:hAnsi="Century Gothic" w:cs="Times New Roman"/>
          <w:sz w:val="24"/>
          <w:szCs w:val="24"/>
          <w:shd w:val="clear" w:color="auto" w:fill="FFFFFF"/>
          <w:lang w:eastAsia="en-GB"/>
        </w:rPr>
        <w:t>–</w:t>
      </w:r>
    </w:p>
    <w:p w14:paraId="785FE38C" w14:textId="77777777" w:rsidR="00BA7BB5" w:rsidRPr="00BC2E03" w:rsidRDefault="00BA7BB5" w:rsidP="00BA7BB5">
      <w:pPr>
        <w:shd w:val="clear" w:color="auto" w:fill="FFFFFF"/>
        <w:spacing w:after="0" w:line="240" w:lineRule="auto"/>
        <w:jc w:val="both"/>
        <w:textAlignment w:val="baseline"/>
        <w:rPr>
          <w:rFonts w:ascii="Century Gothic" w:eastAsia="Times New Roman" w:hAnsi="Century Gothic" w:cs="Times New Roman"/>
          <w:sz w:val="24"/>
          <w:szCs w:val="24"/>
          <w:shd w:val="clear" w:color="auto" w:fill="FFFFFF"/>
          <w:lang w:eastAsia="en-GB"/>
        </w:rPr>
      </w:pPr>
      <w:r w:rsidRPr="00BC2E03">
        <w:rPr>
          <w:rFonts w:ascii="Century Gothic" w:eastAsia="Times New Roman" w:hAnsi="Century Gothic" w:cs="Times New Roman"/>
          <w:sz w:val="24"/>
          <w:szCs w:val="24"/>
          <w:lang w:eastAsia="en-GB"/>
        </w:rPr>
        <w:t>439</w:t>
      </w:r>
      <w:r w:rsidRPr="00BC2E03">
        <w:rPr>
          <w:rFonts w:ascii="Century Gothic" w:eastAsia="Times New Roman" w:hAnsi="Century Gothic" w:cs="Times New Roman"/>
          <w:sz w:val="24"/>
          <w:szCs w:val="24"/>
          <w:shd w:val="clear" w:color="auto" w:fill="FFFFFF"/>
          <w:lang w:eastAsia="en-GB"/>
        </w:rPr>
        <w:t>.</w:t>
      </w:r>
    </w:p>
    <w:p w14:paraId="40478933" w14:textId="77777777" w:rsidR="00BA7BB5" w:rsidRPr="00BC2E03" w:rsidRDefault="00BA7BB5" w:rsidP="00BA7BB5">
      <w:pPr>
        <w:jc w:val="both"/>
        <w:rPr>
          <w:rFonts w:ascii="Century Gothic" w:hAnsi="Century Gothic"/>
          <w:b/>
          <w:bCs/>
          <w:sz w:val="24"/>
          <w:szCs w:val="24"/>
          <w:u w:val="single"/>
        </w:rPr>
      </w:pPr>
    </w:p>
    <w:p w14:paraId="5C8B3AF2" w14:textId="49F17449"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Ben Bradford, Paul Quinton, Self-legitimacy, Police Culture and Support for Democratic Policing in an English Constabulary, The British Journal of Criminology, Volume 54, Issue 6, November 2014, Pages 1023–1046, https://doi.org/10.1093/bjc/azu053</w:t>
      </w:r>
    </w:p>
    <w:p w14:paraId="54004234" w14:textId="7E79CF85"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446D3CED" w14:textId="432F764A" w:rsidR="004E78AB" w:rsidRPr="00BC2E03" w:rsidRDefault="1DA2DA37" w:rsidP="00BA7BB5">
      <w:pPr>
        <w:jc w:val="both"/>
        <w:rPr>
          <w:rFonts w:ascii="Century Gothic" w:hAnsi="Century Gothic"/>
          <w:sz w:val="24"/>
          <w:szCs w:val="24"/>
        </w:rPr>
      </w:pPr>
      <w:proofErr w:type="spellStart"/>
      <w:r w:rsidRPr="00BC2E03">
        <w:rPr>
          <w:rFonts w:ascii="Century Gothic" w:hAnsi="Century Gothic"/>
          <w:sz w:val="24"/>
          <w:szCs w:val="24"/>
        </w:rPr>
        <w:t>Bourne</w:t>
      </w:r>
      <w:proofErr w:type="spellEnd"/>
      <w:r w:rsidRPr="00BC2E03">
        <w:rPr>
          <w:rFonts w:ascii="Century Gothic" w:hAnsi="Century Gothic"/>
          <w:sz w:val="24"/>
          <w:szCs w:val="24"/>
        </w:rPr>
        <w:t xml:space="preserve"> J. The Life and Times of Institutional Racism, Race and Class, 2001, vol. 432(pg. 7-22)</w:t>
      </w:r>
    </w:p>
    <w:p w14:paraId="0ED9C50F" w14:textId="77777777" w:rsidR="0014202A" w:rsidRPr="00BC2E03" w:rsidRDefault="0014202A" w:rsidP="00BA7BB5">
      <w:pPr>
        <w:jc w:val="both"/>
        <w:rPr>
          <w:rFonts w:ascii="Century Gothic" w:hAnsi="Century Gothic"/>
          <w:sz w:val="24"/>
          <w:szCs w:val="24"/>
        </w:rPr>
      </w:pPr>
    </w:p>
    <w:p w14:paraId="0B205BFE" w14:textId="69B726DE" w:rsidR="0014202A" w:rsidRPr="0014202A" w:rsidRDefault="0014202A" w:rsidP="009C4A7D">
      <w:pPr>
        <w:pStyle w:val="bib-reference"/>
        <w:spacing w:before="0" w:beforeAutospacing="0" w:after="0" w:afterAutospacing="0"/>
        <w:rPr>
          <w:rFonts w:ascii="Century Gothic" w:hAnsi="Century Gothic" w:cs="Arial"/>
        </w:rPr>
      </w:pPr>
      <w:r w:rsidRPr="00CD2D2B">
        <w:rPr>
          <w:rFonts w:ascii="Century Gothic" w:hAnsi="Century Gothic" w:cs="Arial"/>
        </w:rPr>
        <w:t>S </w:t>
      </w:r>
      <w:proofErr w:type="spellStart"/>
      <w:r w:rsidRPr="00CD2D2B">
        <w:rPr>
          <w:rFonts w:ascii="Century Gothic" w:hAnsi="Century Gothic" w:cs="Arial"/>
        </w:rPr>
        <w:t>Brandl</w:t>
      </w:r>
      <w:proofErr w:type="spellEnd"/>
      <w:r w:rsidRPr="00CD2D2B">
        <w:rPr>
          <w:rFonts w:ascii="Century Gothic" w:hAnsi="Century Gothic" w:cs="Arial"/>
          <w:i/>
          <w:iCs/>
        </w:rPr>
        <w:t xml:space="preserve"> et al. </w:t>
      </w:r>
      <w:r w:rsidRPr="0014202A">
        <w:rPr>
          <w:rFonts w:ascii="Century Gothic" w:hAnsi="Century Gothic" w:cs="Arial"/>
        </w:rPr>
        <w:t>Global and specific attitudes toward the police: disentangling the relationship</w:t>
      </w:r>
      <w:r w:rsidR="009C4A7D" w:rsidRPr="00CD2D2B">
        <w:rPr>
          <w:rFonts w:ascii="Century Gothic" w:hAnsi="Century Gothic" w:cs="Arial"/>
        </w:rPr>
        <w:t xml:space="preserve"> </w:t>
      </w:r>
      <w:r w:rsidRPr="0014202A">
        <w:rPr>
          <w:rFonts w:ascii="Century Gothic" w:hAnsi="Century Gothic" w:cs="Arial"/>
        </w:rPr>
        <w:t>Justice Quarterly</w:t>
      </w:r>
      <w:r w:rsidR="009C4A7D" w:rsidRPr="00CD2D2B">
        <w:rPr>
          <w:rFonts w:ascii="Century Gothic" w:hAnsi="Century Gothic" w:cs="Arial"/>
        </w:rPr>
        <w:t xml:space="preserve"> </w:t>
      </w:r>
      <w:r w:rsidRPr="0014202A">
        <w:rPr>
          <w:rFonts w:ascii="Century Gothic" w:hAnsi="Century Gothic" w:cs="Arial"/>
        </w:rPr>
        <w:t>(1994)</w:t>
      </w:r>
    </w:p>
    <w:p w14:paraId="3B69C929" w14:textId="7375E7BA" w:rsidR="004E78AB" w:rsidRPr="00BC2E03" w:rsidRDefault="004E78AB" w:rsidP="00BA7BB5">
      <w:pPr>
        <w:jc w:val="both"/>
        <w:rPr>
          <w:rFonts w:ascii="Century Gothic" w:hAnsi="Century Gothic"/>
          <w:sz w:val="24"/>
          <w:szCs w:val="24"/>
        </w:rPr>
      </w:pPr>
    </w:p>
    <w:p w14:paraId="38E5A0D7" w14:textId="1E438209"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Brennen L. (2005) Integrating Work Based Learning into HE. Report. Bolton. University of Vocational Awards Council.</w:t>
      </w:r>
    </w:p>
    <w:p w14:paraId="3579418D" w14:textId="32CBA8D8" w:rsidR="00582CD0" w:rsidRPr="00BC2E03" w:rsidRDefault="00582CD0" w:rsidP="00BA7BB5">
      <w:pPr>
        <w:pStyle w:val="NormalWeb"/>
        <w:shd w:val="clear" w:color="auto" w:fill="FFFFFF"/>
        <w:spacing w:before="0" w:beforeAutospacing="0" w:after="0" w:afterAutospacing="0" w:line="300" w:lineRule="atLeast"/>
        <w:jc w:val="both"/>
        <w:rPr>
          <w:rFonts w:ascii="Century Gothic" w:hAnsi="Century Gothic"/>
        </w:rPr>
      </w:pPr>
    </w:p>
    <w:p w14:paraId="1D7FFD71" w14:textId="3AF3C92B" w:rsidR="00582CD0" w:rsidRPr="00BC2E03" w:rsidRDefault="00582CD0" w:rsidP="00BA7BB5">
      <w:pPr>
        <w:pStyle w:val="NormalWeb"/>
        <w:shd w:val="clear" w:color="auto" w:fill="FFFFFF"/>
        <w:spacing w:before="0" w:beforeAutospacing="0" w:after="0" w:afterAutospacing="0" w:line="300" w:lineRule="atLeast"/>
        <w:jc w:val="both"/>
        <w:rPr>
          <w:rFonts w:ascii="Century Gothic" w:hAnsi="Century Gothic"/>
        </w:rPr>
      </w:pPr>
      <w:r w:rsidRPr="00BC2E03">
        <w:rPr>
          <w:rFonts w:ascii="Century Gothic" w:hAnsi="Century Gothic"/>
        </w:rPr>
        <w:t xml:space="preserve">Browne, A., &amp; </w:t>
      </w:r>
      <w:proofErr w:type="spellStart"/>
      <w:r w:rsidRPr="00BC2E03">
        <w:rPr>
          <w:rFonts w:ascii="Century Gothic" w:hAnsi="Century Gothic"/>
        </w:rPr>
        <w:t>Finkelhor</w:t>
      </w:r>
      <w:proofErr w:type="spellEnd"/>
      <w:r w:rsidRPr="00BC2E03">
        <w:rPr>
          <w:rFonts w:ascii="Century Gothic" w:hAnsi="Century Gothic"/>
        </w:rPr>
        <w:t>, D. (1986). Impact of Child Sexual Abuse: A Review of the Research. Psychological Bulletin, 99, 66-77.</w:t>
      </w:r>
      <w:r w:rsidRPr="00BC2E03">
        <w:rPr>
          <w:rFonts w:ascii="Century Gothic" w:hAnsi="Century Gothic"/>
        </w:rPr>
        <w:br/>
        <w:t>http://dx.doi.org/10.1037/0033-2909.99.1.66</w:t>
      </w:r>
    </w:p>
    <w:p w14:paraId="28854AEA" w14:textId="77777777" w:rsidR="00582CD0" w:rsidRPr="00BC2E03" w:rsidRDefault="00582CD0" w:rsidP="00BA7BB5">
      <w:pPr>
        <w:jc w:val="both"/>
        <w:rPr>
          <w:rFonts w:ascii="Century Gothic" w:hAnsi="Century Gothic"/>
          <w:sz w:val="24"/>
          <w:szCs w:val="24"/>
        </w:rPr>
      </w:pPr>
    </w:p>
    <w:p w14:paraId="5C51203A" w14:textId="1CB3DB61" w:rsidR="00A9100B" w:rsidRPr="00BC2E03" w:rsidRDefault="00A9100B" w:rsidP="00BA7BB5">
      <w:pPr>
        <w:jc w:val="both"/>
        <w:rPr>
          <w:rFonts w:ascii="Century Gothic" w:hAnsi="Century Gothic"/>
          <w:sz w:val="24"/>
          <w:szCs w:val="24"/>
        </w:rPr>
      </w:pPr>
      <w:r w:rsidRPr="00BC2E03">
        <w:rPr>
          <w:rFonts w:ascii="Century Gothic" w:hAnsi="Century Gothic"/>
          <w:sz w:val="24"/>
          <w:szCs w:val="24"/>
        </w:rPr>
        <w:t xml:space="preserve">BSC Policing Network. 2020. Connecting Policing Researchers </w:t>
      </w:r>
      <w:proofErr w:type="gramStart"/>
      <w:r w:rsidRPr="00BC2E03">
        <w:rPr>
          <w:rFonts w:ascii="Century Gothic" w:hAnsi="Century Gothic"/>
          <w:sz w:val="24"/>
          <w:szCs w:val="24"/>
        </w:rPr>
        <w:t>In</w:t>
      </w:r>
      <w:proofErr w:type="gramEnd"/>
      <w:r w:rsidRPr="00BC2E03">
        <w:rPr>
          <w:rFonts w:ascii="Century Gothic" w:hAnsi="Century Gothic"/>
          <w:sz w:val="24"/>
          <w:szCs w:val="24"/>
        </w:rPr>
        <w:t xml:space="preserve"> The UK And Beyond. [ONLINE] Available at: </w:t>
      </w:r>
      <w:hyperlink r:id="rId11" w:anchor=":~:text=Information%20consists%20of%20bits%20of%20data%20that%2C%20when,informs%20the%20actions%20and%20decisions%20of%20policing%20organisations" w:history="1">
        <w:r w:rsidR="00582CD0" w:rsidRPr="00BC2E03">
          <w:rPr>
            <w:rStyle w:val="Hyperlink"/>
            <w:rFonts w:ascii="Century Gothic" w:hAnsi="Century Gothic"/>
            <w:color w:val="auto"/>
            <w:sz w:val="24"/>
            <w:szCs w:val="24"/>
          </w:rPr>
          <w:t>https://bscpolicingnetwork.com/2020/05/26/the-national-intelligence-model/#:~:text=Information%20consists%20of%20bits%20of%20data%20that%2C%20when,informs%20the%20actions%20and%20decisions%20of%20policing%20organisations</w:t>
        </w:r>
      </w:hyperlink>
      <w:r w:rsidRPr="00BC2E03">
        <w:rPr>
          <w:rFonts w:ascii="Century Gothic" w:hAnsi="Century Gothic"/>
          <w:sz w:val="24"/>
          <w:szCs w:val="24"/>
        </w:rPr>
        <w:t>. [Accessed 20 August 2022].</w:t>
      </w:r>
    </w:p>
    <w:p w14:paraId="2F5C81F1" w14:textId="2F4E3A59" w:rsidR="004E78AB" w:rsidRPr="00BC2E03" w:rsidRDefault="004E78AB" w:rsidP="00BA7BB5">
      <w:pPr>
        <w:jc w:val="both"/>
        <w:rPr>
          <w:rFonts w:ascii="Century Gothic" w:hAnsi="Century Gothic"/>
          <w:sz w:val="24"/>
          <w:szCs w:val="24"/>
        </w:rPr>
      </w:pPr>
    </w:p>
    <w:p w14:paraId="12B6A28D" w14:textId="6D58F27C"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Bureau of Justice Assistance, 2010, Bureau of Justice Assistance, Reducing Crime through Intelligence-Led Policing, U.S. Department of Justice, Washington, DC (2010)</w:t>
      </w:r>
    </w:p>
    <w:p w14:paraId="3BC56B82" w14:textId="3211FC04"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4D907839" w14:textId="59F5D42F"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Carter, Phillips, S. W., &amp; </w:t>
      </w:r>
      <w:proofErr w:type="spellStart"/>
      <w:r w:rsidRPr="00BC2E03">
        <w:rPr>
          <w:rFonts w:ascii="Century Gothic" w:hAnsi="Century Gothic"/>
          <w:sz w:val="24"/>
          <w:szCs w:val="24"/>
        </w:rPr>
        <w:t>Gayadeen</w:t>
      </w:r>
      <w:proofErr w:type="spellEnd"/>
      <w:r w:rsidRPr="00BC2E03">
        <w:rPr>
          <w:rFonts w:ascii="Century Gothic" w:hAnsi="Century Gothic"/>
          <w:sz w:val="24"/>
          <w:szCs w:val="24"/>
        </w:rPr>
        <w:t>, S. M. (2014). Implementing Intelligence-Led Policing: An Application of Loose-Coupling Theory. Journal of Criminal Justice, 42(6), 433–442. https://doi.org/10.1016/j.jcrimjus.2014.08.002</w:t>
      </w:r>
    </w:p>
    <w:p w14:paraId="406794B0" w14:textId="0E2BF1D1"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lastRenderedPageBreak/>
        <w:t xml:space="preserve"> </w:t>
      </w:r>
    </w:p>
    <w:p w14:paraId="1A05B2D8" w14:textId="3CA1B52D" w:rsidR="004E78AB" w:rsidRPr="00BC2E03" w:rsidRDefault="1DA2DA37" w:rsidP="00BA7BB5">
      <w:pPr>
        <w:jc w:val="both"/>
        <w:rPr>
          <w:rFonts w:ascii="Century Gothic" w:hAnsi="Century Gothic"/>
          <w:sz w:val="24"/>
          <w:szCs w:val="24"/>
        </w:rPr>
      </w:pPr>
      <w:proofErr w:type="spellStart"/>
      <w:r w:rsidRPr="00BC2E03">
        <w:rPr>
          <w:rFonts w:ascii="Century Gothic" w:hAnsi="Century Gothic"/>
          <w:sz w:val="24"/>
          <w:szCs w:val="24"/>
        </w:rPr>
        <w:t>Caverner</w:t>
      </w:r>
      <w:proofErr w:type="spellEnd"/>
      <w:r w:rsidRPr="00BC2E03">
        <w:rPr>
          <w:rFonts w:ascii="Century Gothic" w:hAnsi="Century Gothic"/>
          <w:sz w:val="24"/>
          <w:szCs w:val="24"/>
        </w:rPr>
        <w:t xml:space="preserve"> J. Phillips C. Shenton F. (2020) Enhancing Practitioner Led Education in Social Work: Developing a Secondment Project. Social Work Education 2020. Vol. 39(3). P350 – 362.</w:t>
      </w:r>
    </w:p>
    <w:p w14:paraId="78B03A0C" w14:textId="3B7D231F"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6C616764" w14:textId="2384ED7D"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Claire Corbett, Roads Policing: Current Context and Imminent Dangers, Policing: A Journal of Policy and Practice, Volume 2, Issue 1, 2008, Pages 131–142, https://doi.org/10.1093/police/pam071</w:t>
      </w:r>
    </w:p>
    <w:p w14:paraId="2D9B1517" w14:textId="70F30868"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21C98153" w14:textId="688D6914"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College of Policing, 2014. Code of ethics. A code of practice for the principles and standards of professional behaviour for the policing profession of England and Wales. Coventry: College of Policing Limited. [Google Scholar]</w:t>
      </w:r>
    </w:p>
    <w:p w14:paraId="00945ED3" w14:textId="5873CD19"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4E2541CD" w14:textId="223CC7AD"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Cotter. (2017). Police intelligence: connecting-the-dots in a network society. Policing &amp; Society, 27(2), 173–187. https://doi.org/10.1080/10439463.2015.1040794</w:t>
      </w:r>
    </w:p>
    <w:p w14:paraId="1683EE3E" w14:textId="1A942551"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000A194A" w14:textId="2C718B90"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Crawford A. (2017). Research co-Production and Knowledge Mobilisation in Policing. Knutsson J. and </w:t>
      </w:r>
      <w:proofErr w:type="spellStart"/>
      <w:r w:rsidRPr="00BC2E03">
        <w:rPr>
          <w:rFonts w:ascii="Century Gothic" w:hAnsi="Century Gothic"/>
          <w:sz w:val="24"/>
          <w:szCs w:val="24"/>
        </w:rPr>
        <w:t>Tompson</w:t>
      </w:r>
      <w:proofErr w:type="spellEnd"/>
      <w:r w:rsidRPr="00BC2E03">
        <w:rPr>
          <w:rFonts w:ascii="Century Gothic" w:hAnsi="Century Gothic"/>
          <w:sz w:val="24"/>
          <w:szCs w:val="24"/>
        </w:rPr>
        <w:t xml:space="preserve"> L. (eds), Advances in Evidence Based Policing. London: Routledge, p. 195 – 213</w:t>
      </w:r>
    </w:p>
    <w:p w14:paraId="5348C3DA" w14:textId="2D1365E9"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3E065158" w14:textId="31DC2ED1"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(Kent and Medway Domestic Abuse and Sexual Violence Executive Group, 2022)</w:t>
      </w:r>
    </w:p>
    <w:p w14:paraId="2557F9B9" w14:textId="4084F996" w:rsidR="004E78AB"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4867CFDA" w14:textId="333BCD3C" w:rsidR="00FB3470" w:rsidRPr="00FB3470" w:rsidRDefault="00FB3470" w:rsidP="00BA7BB5">
      <w:pPr>
        <w:jc w:val="both"/>
        <w:rPr>
          <w:rFonts w:ascii="Century Gothic" w:hAnsi="Century Gothic"/>
          <w:sz w:val="24"/>
          <w:szCs w:val="24"/>
        </w:rPr>
      </w:pPr>
      <w:r w:rsidRPr="00FB3470">
        <w:rPr>
          <w:rFonts w:ascii="Century Gothic" w:hAnsi="Century Gothic"/>
          <w:sz w:val="24"/>
          <w:szCs w:val="24"/>
        </w:rPr>
        <w:t>Ford S. 2018. County Lines – a national summary and emerging best practice. ATCM Violence and Vulnerability Unit. Available: https://www.local.gov.uk/sites/default/files/documents/ County%20Lines%20National%20Summary%20-%20Simon%20Ford%20WEB.pdf [7 May 2021].</w:t>
      </w:r>
    </w:p>
    <w:p w14:paraId="183D4E3E" w14:textId="77777777" w:rsidR="00FB3470" w:rsidRPr="00BC2E03" w:rsidRDefault="00FB3470" w:rsidP="00BA7BB5">
      <w:pPr>
        <w:jc w:val="both"/>
        <w:rPr>
          <w:rFonts w:ascii="Century Gothic" w:hAnsi="Century Gothic"/>
          <w:sz w:val="24"/>
          <w:szCs w:val="24"/>
        </w:rPr>
      </w:pPr>
    </w:p>
    <w:p w14:paraId="05657E44" w14:textId="5ECDE4BE"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Foster </w:t>
      </w:r>
      <w:proofErr w:type="spellStart"/>
      <w:proofErr w:type="gramStart"/>
      <w:r w:rsidRPr="00BC2E03">
        <w:rPr>
          <w:rFonts w:ascii="Century Gothic" w:hAnsi="Century Gothic"/>
          <w:sz w:val="24"/>
          <w:szCs w:val="24"/>
        </w:rPr>
        <w:t>J.Jones</w:t>
      </w:r>
      <w:proofErr w:type="spellEnd"/>
      <w:proofErr w:type="gramEnd"/>
      <w:r w:rsidRPr="00BC2E03">
        <w:rPr>
          <w:rFonts w:ascii="Century Gothic" w:hAnsi="Century Gothic"/>
          <w:sz w:val="24"/>
          <w:szCs w:val="24"/>
        </w:rPr>
        <w:t xml:space="preserve"> C. Nice to do’ and Essential: Improving Neighbourhood Policing in an English Police Force, Policing, 2010, vol. 44(pg.395-402).</w:t>
      </w:r>
    </w:p>
    <w:p w14:paraId="216D702A" w14:textId="21851EEA"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04B3313D" w14:textId="5D53C488" w:rsidR="004E78AB" w:rsidRPr="00BC2E03" w:rsidRDefault="1DA2DA37" w:rsidP="00BA7BB5">
      <w:pPr>
        <w:jc w:val="both"/>
        <w:rPr>
          <w:rFonts w:ascii="Century Gothic" w:hAnsi="Century Gothic"/>
          <w:sz w:val="24"/>
          <w:szCs w:val="24"/>
        </w:rPr>
      </w:pPr>
      <w:proofErr w:type="spellStart"/>
      <w:proofErr w:type="gramStart"/>
      <w:r w:rsidRPr="00BC2E03">
        <w:rPr>
          <w:rFonts w:ascii="Century Gothic" w:hAnsi="Century Gothic"/>
          <w:sz w:val="24"/>
          <w:szCs w:val="24"/>
        </w:rPr>
        <w:t>Foster.J,Newburn</w:t>
      </w:r>
      <w:proofErr w:type="gramEnd"/>
      <w:r w:rsidRPr="00BC2E03">
        <w:rPr>
          <w:rFonts w:ascii="Century Gothic" w:hAnsi="Century Gothic"/>
          <w:sz w:val="24"/>
          <w:szCs w:val="24"/>
        </w:rPr>
        <w:t>,T,Souhami,A</w:t>
      </w:r>
      <w:proofErr w:type="spellEnd"/>
      <w:r w:rsidRPr="00BC2E03">
        <w:rPr>
          <w:rFonts w:ascii="Century Gothic" w:hAnsi="Century Gothic"/>
          <w:sz w:val="24"/>
          <w:szCs w:val="24"/>
        </w:rPr>
        <w:t xml:space="preserve"> , Assessing the Impact of the Stephen Lawrence Inquiry, 2005 </w:t>
      </w:r>
    </w:p>
    <w:p w14:paraId="5A728807" w14:textId="229F63C2"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lastRenderedPageBreak/>
        <w:t xml:space="preserve"> </w:t>
      </w:r>
    </w:p>
    <w:p w14:paraId="1E53C9B9" w14:textId="47A64163"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Francis D. Boateng, Ming-Li Hsieh, Daniel K. Pryce. (2021) Police Criminality: Nature and Extent of Crimes Committed by Female Police Officers. Police Quarterly 76, pages 109861112110440.</w:t>
      </w:r>
    </w:p>
    <w:p w14:paraId="424B8D44" w14:textId="69652DD2"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10C6CABD" w14:textId="08A7E676"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Gill, P. and </w:t>
      </w:r>
      <w:proofErr w:type="spellStart"/>
      <w:r w:rsidRPr="00BC2E03">
        <w:rPr>
          <w:rFonts w:ascii="Century Gothic" w:hAnsi="Century Gothic"/>
          <w:sz w:val="24"/>
          <w:szCs w:val="24"/>
        </w:rPr>
        <w:t>Phythian</w:t>
      </w:r>
      <w:proofErr w:type="spellEnd"/>
      <w:r w:rsidRPr="00BC2E03">
        <w:rPr>
          <w:rFonts w:ascii="Century Gothic" w:hAnsi="Century Gothic"/>
          <w:sz w:val="24"/>
          <w:szCs w:val="24"/>
        </w:rPr>
        <w:t>, M., 2015. Intelligence in an Insecure World by Gill. https://onlinelibrary.wiley.com/, 12 January 2015. p.264.</w:t>
      </w:r>
    </w:p>
    <w:p w14:paraId="2C40F344" w14:textId="77777777" w:rsidR="00BC2E03" w:rsidRPr="00BC2E03" w:rsidRDefault="00BC2E03" w:rsidP="00BA7BB5">
      <w:pPr>
        <w:jc w:val="both"/>
        <w:rPr>
          <w:rFonts w:ascii="Century Gothic" w:hAnsi="Century Gothic"/>
          <w:sz w:val="24"/>
          <w:szCs w:val="24"/>
        </w:rPr>
      </w:pPr>
    </w:p>
    <w:p w14:paraId="66058B33" w14:textId="77777777" w:rsidR="00BC2E03" w:rsidRPr="00BC2E03" w:rsidRDefault="00BC2E03" w:rsidP="00BA7BB5">
      <w:pPr>
        <w:jc w:val="both"/>
        <w:rPr>
          <w:rFonts w:ascii="Century Gothic" w:hAnsi="Century Gothic"/>
          <w:sz w:val="24"/>
          <w:szCs w:val="24"/>
        </w:rPr>
      </w:pPr>
      <w:r w:rsidRPr="00BC2E03">
        <w:rPr>
          <w:rFonts w:ascii="Century Gothic" w:hAnsi="Century Gothic"/>
          <w:sz w:val="24"/>
          <w:szCs w:val="24"/>
        </w:rPr>
        <w:t xml:space="preserve">Home Office. 2018a. Serious Violence Strategy. HM Government. Available: https://assets. publishing.service.gov.uk/government/uploads/system/uploads/attachment_data/file/698009/ serious-violence-strategy.pdf [7 May 2021]. </w:t>
      </w:r>
    </w:p>
    <w:p w14:paraId="7A6B2DF4" w14:textId="77777777" w:rsidR="00BC2E03" w:rsidRPr="00BC2E03" w:rsidRDefault="00BC2E03" w:rsidP="00BA7BB5">
      <w:pPr>
        <w:jc w:val="both"/>
        <w:rPr>
          <w:rFonts w:ascii="Century Gothic" w:hAnsi="Century Gothic"/>
          <w:sz w:val="24"/>
          <w:szCs w:val="24"/>
        </w:rPr>
      </w:pPr>
    </w:p>
    <w:p w14:paraId="2774BE9E" w14:textId="38D264A0" w:rsidR="004E78AB" w:rsidRPr="00BC2E03" w:rsidRDefault="00BC2E03" w:rsidP="00BA7BB5">
      <w:pPr>
        <w:jc w:val="both"/>
        <w:rPr>
          <w:rFonts w:ascii="Century Gothic" w:hAnsi="Century Gothic"/>
          <w:sz w:val="24"/>
          <w:szCs w:val="24"/>
        </w:rPr>
      </w:pPr>
      <w:r w:rsidRPr="00BC2E03">
        <w:rPr>
          <w:rFonts w:ascii="Century Gothic" w:hAnsi="Century Gothic"/>
          <w:sz w:val="24"/>
          <w:szCs w:val="24"/>
        </w:rPr>
        <w:t>Home Office. 2018b. Criminal Exploitation of children and vulnerable adults: County Lines guidance. Available: https://assets.publishing.service.gov.uk/government/uploads/system/ uploads/attachment_data/file/741194/HOCountyLinesGuidanceSept2018.pdf [7 May 2021].</w:t>
      </w:r>
    </w:p>
    <w:p w14:paraId="415F47D3" w14:textId="77777777" w:rsidR="00BC2E03" w:rsidRPr="00BC2E03" w:rsidRDefault="00BC2E03" w:rsidP="00BC2E03">
      <w:pPr>
        <w:jc w:val="both"/>
        <w:rPr>
          <w:rFonts w:ascii="Century Gothic" w:hAnsi="Century Gothic"/>
          <w:sz w:val="24"/>
          <w:szCs w:val="24"/>
        </w:rPr>
      </w:pPr>
    </w:p>
    <w:p w14:paraId="7F5346DC" w14:textId="77777777" w:rsidR="00BC2E03" w:rsidRPr="00BC2E03" w:rsidRDefault="00BC2E03" w:rsidP="00BC2E03">
      <w:pPr>
        <w:jc w:val="both"/>
        <w:rPr>
          <w:rFonts w:ascii="Century Gothic" w:hAnsi="Century Gothic"/>
          <w:sz w:val="24"/>
          <w:szCs w:val="24"/>
        </w:rPr>
      </w:pPr>
      <w:r w:rsidRPr="00BC2E03">
        <w:rPr>
          <w:rFonts w:ascii="Century Gothic" w:hAnsi="Century Gothic"/>
          <w:sz w:val="24"/>
          <w:szCs w:val="24"/>
        </w:rPr>
        <w:t>Home Office Research Study 294. London: The Home Office</w:t>
      </w:r>
    </w:p>
    <w:p w14:paraId="5B8CBDEE" w14:textId="77777777" w:rsidR="00BC2E03" w:rsidRPr="00BC2E03" w:rsidRDefault="00BC2E03" w:rsidP="00BA7BB5">
      <w:pPr>
        <w:jc w:val="both"/>
        <w:rPr>
          <w:rFonts w:ascii="Century Gothic" w:hAnsi="Century Gothic"/>
          <w:sz w:val="24"/>
          <w:szCs w:val="24"/>
        </w:rPr>
      </w:pPr>
    </w:p>
    <w:p w14:paraId="6FD12C73" w14:textId="645745E3"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Hough M. Stanko, E. A. (2019). ‘Designing Degree-Level Courses for Police Recruits in England and Wales: Some Issues and Challenges.’ Policing: A Journal of Policy and Practice 14(1):31–42.</w:t>
      </w:r>
    </w:p>
    <w:p w14:paraId="22B7493A" w14:textId="14795928"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42875B69" w14:textId="0564629F"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Hub. 2022. The power of the enforcers: What can the DVSA and the Police </w:t>
      </w:r>
      <w:proofErr w:type="gramStart"/>
      <w:r w:rsidRPr="00BC2E03">
        <w:rPr>
          <w:rFonts w:ascii="Century Gothic" w:hAnsi="Century Gothic"/>
          <w:sz w:val="24"/>
          <w:szCs w:val="24"/>
        </w:rPr>
        <w:t>do?.</w:t>
      </w:r>
      <w:proofErr w:type="gramEnd"/>
      <w:r w:rsidRPr="00BC2E03">
        <w:rPr>
          <w:rFonts w:ascii="Century Gothic" w:hAnsi="Century Gothic"/>
          <w:sz w:val="24"/>
          <w:szCs w:val="24"/>
        </w:rPr>
        <w:t xml:space="preserve"> [ONLINE] Available at: https://www.hubhq.co.uk/blog/what-can-the-dvsa-and-the-police-do. [Accessed 19 August 2022].</w:t>
      </w:r>
    </w:p>
    <w:p w14:paraId="1AAADB33" w14:textId="77777777" w:rsidR="00582CD0" w:rsidRPr="00BC2E03" w:rsidRDefault="00582CD0" w:rsidP="00BA7BB5">
      <w:pPr>
        <w:jc w:val="both"/>
        <w:rPr>
          <w:rFonts w:ascii="Century Gothic" w:hAnsi="Century Gothic"/>
          <w:sz w:val="24"/>
          <w:szCs w:val="24"/>
          <w:shd w:val="clear" w:color="auto" w:fill="FFFFFF"/>
        </w:rPr>
      </w:pPr>
    </w:p>
    <w:p w14:paraId="2E086502" w14:textId="27A7E74E" w:rsidR="004E78AB" w:rsidRPr="00BC2E03" w:rsidRDefault="00A9100B" w:rsidP="00BA7BB5">
      <w:pPr>
        <w:jc w:val="both"/>
        <w:rPr>
          <w:rFonts w:ascii="Century Gothic" w:hAnsi="Century Gothic"/>
          <w:sz w:val="24"/>
          <w:szCs w:val="24"/>
          <w:shd w:val="clear" w:color="auto" w:fill="FFFFFF"/>
        </w:rPr>
      </w:pPr>
      <w:r w:rsidRPr="00BC2E03">
        <w:rPr>
          <w:rFonts w:ascii="Century Gothic" w:hAnsi="Century Gothic"/>
          <w:sz w:val="24"/>
          <w:szCs w:val="24"/>
          <w:shd w:val="clear" w:color="auto" w:fill="FFFFFF"/>
        </w:rPr>
        <w:t>KNOWLES, Y.D., 2013. </w:t>
      </w:r>
      <w:r w:rsidRPr="00BC2E03">
        <w:rPr>
          <w:rFonts w:ascii="Century Gothic" w:hAnsi="Century Gothic"/>
          <w:i/>
          <w:iCs/>
          <w:sz w:val="24"/>
          <w:szCs w:val="24"/>
          <w:shd w:val="clear" w:color="auto" w:fill="FFFFFF"/>
        </w:rPr>
        <w:t>Long-term consequences of childhood physical abuse on adult survivors: A content analysis of film</w:t>
      </w:r>
      <w:r w:rsidRPr="00BC2E03">
        <w:rPr>
          <w:rFonts w:ascii="Century Gothic" w:hAnsi="Century Gothic"/>
          <w:sz w:val="24"/>
          <w:szCs w:val="24"/>
          <w:shd w:val="clear" w:color="auto" w:fill="FFFFFF"/>
        </w:rPr>
        <w:t>, California State University, Long Beach.</w:t>
      </w:r>
    </w:p>
    <w:p w14:paraId="6F616284" w14:textId="77777777" w:rsidR="00582CD0" w:rsidRPr="00BC2E03" w:rsidRDefault="00582CD0" w:rsidP="00BA7BB5">
      <w:pPr>
        <w:jc w:val="both"/>
        <w:rPr>
          <w:rFonts w:ascii="Century Gothic" w:hAnsi="Century Gothic"/>
          <w:sz w:val="24"/>
          <w:szCs w:val="24"/>
        </w:rPr>
      </w:pPr>
    </w:p>
    <w:p w14:paraId="6EFA046E" w14:textId="04BDE0BE" w:rsidR="00963DE3" w:rsidRPr="00BC2E03" w:rsidRDefault="00963DE3" w:rsidP="00BA7BB5">
      <w:pPr>
        <w:jc w:val="both"/>
        <w:rPr>
          <w:rFonts w:ascii="Century Gothic" w:hAnsi="Century Gothic"/>
          <w:sz w:val="24"/>
          <w:szCs w:val="24"/>
          <w:shd w:val="clear" w:color="auto" w:fill="FFFFFF"/>
        </w:rPr>
      </w:pPr>
      <w:proofErr w:type="spellStart"/>
      <w:r w:rsidRPr="00BC2E03">
        <w:rPr>
          <w:rFonts w:ascii="Century Gothic" w:hAnsi="Century Gothic"/>
          <w:sz w:val="24"/>
          <w:szCs w:val="24"/>
          <w:shd w:val="clear" w:color="auto" w:fill="FFFFFF"/>
        </w:rPr>
        <w:lastRenderedPageBreak/>
        <w:t>Lindert</w:t>
      </w:r>
      <w:proofErr w:type="spellEnd"/>
      <w:r w:rsidRPr="00BC2E03">
        <w:rPr>
          <w:rFonts w:ascii="Century Gothic" w:hAnsi="Century Gothic"/>
          <w:sz w:val="24"/>
          <w:szCs w:val="24"/>
          <w:shd w:val="clear" w:color="auto" w:fill="FFFFFF"/>
        </w:rPr>
        <w:t>, J., von Ehrenstein, O. &amp; Weisskopf, M. 2013, "Long term effects of abuse in early life on depression and anxiety over the life course", </w:t>
      </w:r>
      <w:r w:rsidRPr="00BC2E03">
        <w:rPr>
          <w:rFonts w:ascii="Century Gothic" w:hAnsi="Century Gothic"/>
          <w:i/>
          <w:iCs/>
          <w:sz w:val="24"/>
          <w:szCs w:val="24"/>
          <w:shd w:val="clear" w:color="auto" w:fill="FFFFFF"/>
        </w:rPr>
        <w:t>Comprehensive psychiatry, </w:t>
      </w:r>
      <w:r w:rsidRPr="00BC2E03">
        <w:rPr>
          <w:rFonts w:ascii="Century Gothic" w:hAnsi="Century Gothic"/>
          <w:sz w:val="24"/>
          <w:szCs w:val="24"/>
          <w:shd w:val="clear" w:color="auto" w:fill="FFFFFF"/>
        </w:rPr>
        <w:t>vol. 54, no. 8.</w:t>
      </w:r>
    </w:p>
    <w:p w14:paraId="03638622" w14:textId="77777777" w:rsidR="00963DE3" w:rsidRPr="00BC2E03" w:rsidRDefault="00963DE3" w:rsidP="00BA7BB5">
      <w:pPr>
        <w:jc w:val="both"/>
        <w:rPr>
          <w:rFonts w:ascii="Century Gothic" w:hAnsi="Century Gothic"/>
          <w:sz w:val="24"/>
          <w:szCs w:val="24"/>
        </w:rPr>
      </w:pPr>
    </w:p>
    <w:p w14:paraId="1D708DB1" w14:textId="0112ADF0"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Live Fear Free. 2022. Providing help and advice about violence against women, domestic </w:t>
      </w:r>
      <w:proofErr w:type="gramStart"/>
      <w:r w:rsidRPr="00BC2E03">
        <w:rPr>
          <w:rFonts w:ascii="Century Gothic" w:hAnsi="Century Gothic"/>
          <w:sz w:val="24"/>
          <w:szCs w:val="24"/>
        </w:rPr>
        <w:t>abuse</w:t>
      </w:r>
      <w:proofErr w:type="gramEnd"/>
      <w:r w:rsidRPr="00BC2E03">
        <w:rPr>
          <w:rFonts w:ascii="Century Gothic" w:hAnsi="Century Gothic"/>
          <w:sz w:val="24"/>
          <w:szCs w:val="24"/>
        </w:rPr>
        <w:t xml:space="preserve"> and sexual violence. [ONLINE] Available at: https://gov.wales/live-fear-free. [Accessed 20 August 2022].</w:t>
      </w:r>
    </w:p>
    <w:p w14:paraId="2D8B1E70" w14:textId="17735575" w:rsidR="004E78AB" w:rsidRPr="00BC2E03" w:rsidRDefault="004E78AB" w:rsidP="00BA7BB5">
      <w:pPr>
        <w:jc w:val="both"/>
        <w:rPr>
          <w:rFonts w:ascii="Century Gothic" w:hAnsi="Century Gothic"/>
          <w:sz w:val="24"/>
          <w:szCs w:val="24"/>
        </w:rPr>
      </w:pPr>
    </w:p>
    <w:p w14:paraId="11F22006" w14:textId="1129A2AB" w:rsidR="004E78AB" w:rsidRPr="00BC2E03" w:rsidRDefault="1DA2DA37" w:rsidP="00BA7BB5">
      <w:pPr>
        <w:jc w:val="both"/>
        <w:rPr>
          <w:rFonts w:ascii="Century Gothic" w:hAnsi="Century Gothic"/>
          <w:sz w:val="24"/>
          <w:szCs w:val="24"/>
        </w:rPr>
      </w:pPr>
      <w:proofErr w:type="spellStart"/>
      <w:proofErr w:type="gramStart"/>
      <w:r w:rsidRPr="00BC2E03">
        <w:rPr>
          <w:rFonts w:ascii="Century Gothic" w:hAnsi="Century Gothic"/>
          <w:sz w:val="24"/>
          <w:szCs w:val="24"/>
        </w:rPr>
        <w:t>Loftus,B</w:t>
      </w:r>
      <w:proofErr w:type="spellEnd"/>
      <w:proofErr w:type="gramEnd"/>
      <w:r w:rsidRPr="00BC2E03">
        <w:rPr>
          <w:rFonts w:ascii="Century Gothic" w:hAnsi="Century Gothic"/>
          <w:sz w:val="24"/>
          <w:szCs w:val="24"/>
        </w:rPr>
        <w:t>, O’Neill, Marks M, Singh A- M. Policing the Irrelevant, Police Occupational Culture: New Debates and Directions, 2007, Oxford, Elsevier Press</w:t>
      </w:r>
    </w:p>
    <w:p w14:paraId="3F3D9B15" w14:textId="54C309CD"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1BD96D07" w14:textId="7F03EB11" w:rsidR="00BA7BB5" w:rsidRDefault="1DA2DA37" w:rsidP="00BA7BB5">
      <w:pPr>
        <w:jc w:val="both"/>
        <w:rPr>
          <w:rStyle w:val="Hyperlink"/>
          <w:rFonts w:ascii="Century Gothic" w:hAnsi="Century Gothic"/>
          <w:color w:val="auto"/>
          <w:sz w:val="24"/>
          <w:szCs w:val="24"/>
          <w:bdr w:val="none" w:sz="0" w:space="0" w:color="auto" w:frame="1"/>
          <w:shd w:val="clear" w:color="auto" w:fill="FFFFFF"/>
        </w:rPr>
      </w:pPr>
      <w:r w:rsidRPr="00BC2E03">
        <w:rPr>
          <w:rFonts w:ascii="Century Gothic" w:hAnsi="Century Gothic"/>
          <w:sz w:val="24"/>
          <w:szCs w:val="24"/>
        </w:rPr>
        <w:t xml:space="preserve">Megan O’Neill, The Case for the Acceptable ‘Other’: The Impact of Partnerships, PCSOs, and Neighbourhood Policing on Diversity in Policing, </w:t>
      </w:r>
      <w:r w:rsidR="00BA7BB5" w:rsidRPr="00BC2E03">
        <w:rPr>
          <w:rFonts w:ascii="Century Gothic" w:hAnsi="Century Gothic"/>
          <w:sz w:val="24"/>
          <w:szCs w:val="24"/>
          <w:shd w:val="clear" w:color="auto" w:fill="FFFFFF"/>
        </w:rPr>
        <w:t xml:space="preserve">Patrick </w:t>
      </w:r>
      <w:proofErr w:type="spellStart"/>
      <w:r w:rsidR="00BA7BB5" w:rsidRPr="00BC2E03">
        <w:rPr>
          <w:rFonts w:ascii="Century Gothic" w:hAnsi="Century Gothic"/>
          <w:sz w:val="24"/>
          <w:szCs w:val="24"/>
          <w:shd w:val="clear" w:color="auto" w:fill="FFFFFF"/>
        </w:rPr>
        <w:t>Risan</w:t>
      </w:r>
      <w:proofErr w:type="spellEnd"/>
      <w:r w:rsidR="00BA7BB5" w:rsidRPr="00BC2E03">
        <w:rPr>
          <w:rFonts w:ascii="Century Gothic" w:hAnsi="Century Gothic"/>
          <w:sz w:val="24"/>
          <w:szCs w:val="24"/>
          <w:shd w:val="clear" w:color="auto" w:fill="FFFFFF"/>
        </w:rPr>
        <w:t>, Per-Einar Binder, Rebecca Jane Milne, Establishing and Maintaining Rapport in Investigative Interviews of Traumatized Victims: A Qualitative Study, </w:t>
      </w:r>
      <w:r w:rsidR="00BA7BB5" w:rsidRPr="00BC2E03">
        <w:rPr>
          <w:rStyle w:val="Emphasis"/>
          <w:rFonts w:ascii="Century Gothic" w:hAnsi="Century Gothic"/>
          <w:sz w:val="24"/>
          <w:szCs w:val="24"/>
          <w:bdr w:val="none" w:sz="0" w:space="0" w:color="auto" w:frame="1"/>
          <w:shd w:val="clear" w:color="auto" w:fill="FFFFFF"/>
        </w:rPr>
        <w:t>Policing: A Journal of Policy and Practice</w:t>
      </w:r>
      <w:r w:rsidR="00BA7BB5" w:rsidRPr="00BC2E03">
        <w:rPr>
          <w:rFonts w:ascii="Century Gothic" w:hAnsi="Century Gothic"/>
          <w:sz w:val="24"/>
          <w:szCs w:val="24"/>
          <w:shd w:val="clear" w:color="auto" w:fill="FFFFFF"/>
        </w:rPr>
        <w:t>, Volume 12, Issue 4, December 2018, Pages 372–387, </w:t>
      </w:r>
      <w:hyperlink r:id="rId12" w:history="1">
        <w:r w:rsidR="00BA7BB5" w:rsidRPr="00BC2E03">
          <w:rPr>
            <w:rStyle w:val="Hyperlink"/>
            <w:rFonts w:ascii="Century Gothic" w:hAnsi="Century Gothic"/>
            <w:color w:val="auto"/>
            <w:sz w:val="24"/>
            <w:szCs w:val="24"/>
            <w:bdr w:val="none" w:sz="0" w:space="0" w:color="auto" w:frame="1"/>
            <w:shd w:val="clear" w:color="auto" w:fill="FFFFFF"/>
          </w:rPr>
          <w:t>https://doi.org/10.1093/police/pax031</w:t>
        </w:r>
      </w:hyperlink>
    </w:p>
    <w:p w14:paraId="545DDF17" w14:textId="30444F32" w:rsidR="00CD2D2B" w:rsidRDefault="00CD2D2B" w:rsidP="00BA7BB5">
      <w:pPr>
        <w:jc w:val="both"/>
        <w:rPr>
          <w:rStyle w:val="Hyperlink"/>
          <w:rFonts w:ascii="Century Gothic" w:hAnsi="Century Gothic"/>
          <w:color w:val="auto"/>
          <w:sz w:val="24"/>
          <w:szCs w:val="24"/>
          <w:bdr w:val="none" w:sz="0" w:space="0" w:color="auto" w:frame="1"/>
          <w:shd w:val="clear" w:color="auto" w:fill="FFFFFF"/>
        </w:rPr>
      </w:pPr>
    </w:p>
    <w:p w14:paraId="479F02D6" w14:textId="41165918" w:rsidR="00CD2D2B" w:rsidRPr="00CD2D2B" w:rsidRDefault="00CD2D2B" w:rsidP="00BA7BB5">
      <w:pPr>
        <w:jc w:val="both"/>
        <w:rPr>
          <w:rFonts w:ascii="Century Gothic" w:hAnsi="Century Gothic"/>
          <w:sz w:val="24"/>
          <w:szCs w:val="24"/>
        </w:rPr>
      </w:pPr>
      <w:r w:rsidRPr="00CD2D2B">
        <w:rPr>
          <w:rFonts w:ascii="Century Gothic" w:hAnsi="Century Gothic"/>
          <w:sz w:val="24"/>
          <w:szCs w:val="24"/>
        </w:rPr>
        <w:t>National Crime Agency. 2017. County Lines Violence, Exploitation &amp; Drug Supply 2017. Available: https://www.nationalcrimeagency.gov.uk/who-we-are/publications/234-countylines-violen-ce-exploitation-drug-supply-2017/file [7 May 2021].</w:t>
      </w:r>
    </w:p>
    <w:p w14:paraId="7F385A24" w14:textId="77777777" w:rsidR="00BA7BB5" w:rsidRPr="00BC2E03" w:rsidRDefault="00BA7BB5" w:rsidP="00BA7BB5">
      <w:pPr>
        <w:jc w:val="both"/>
        <w:rPr>
          <w:rFonts w:ascii="Century Gothic" w:hAnsi="Century Gothic"/>
          <w:sz w:val="24"/>
          <w:szCs w:val="24"/>
        </w:rPr>
      </w:pPr>
      <w:r w:rsidRPr="00BC2E03">
        <w:rPr>
          <w:rFonts w:ascii="Century Gothic" w:hAnsi="Century Gothic"/>
          <w:sz w:val="24"/>
          <w:szCs w:val="24"/>
        </w:rPr>
        <w:t xml:space="preserve"> </w:t>
      </w:r>
    </w:p>
    <w:p w14:paraId="7181EE84" w14:textId="1734C48D" w:rsidR="00BA7BB5" w:rsidRPr="00BC2E03" w:rsidRDefault="00BA7BB5" w:rsidP="00BA7BB5">
      <w:pPr>
        <w:jc w:val="both"/>
        <w:rPr>
          <w:rFonts w:ascii="Century Gothic" w:hAnsi="Century Gothic"/>
          <w:sz w:val="24"/>
          <w:szCs w:val="24"/>
        </w:rPr>
      </w:pPr>
      <w:r w:rsidRPr="00BC2E03">
        <w:rPr>
          <w:rFonts w:ascii="Century Gothic" w:hAnsi="Century Gothic"/>
          <w:sz w:val="24"/>
          <w:szCs w:val="24"/>
        </w:rPr>
        <w:t xml:space="preserve">Patrick </w:t>
      </w:r>
      <w:proofErr w:type="spellStart"/>
      <w:r w:rsidRPr="00BC2E03">
        <w:rPr>
          <w:rFonts w:ascii="Century Gothic" w:hAnsi="Century Gothic"/>
          <w:sz w:val="24"/>
          <w:szCs w:val="24"/>
        </w:rPr>
        <w:t>Risan</w:t>
      </w:r>
      <w:proofErr w:type="spellEnd"/>
      <w:r w:rsidRPr="00BC2E03">
        <w:rPr>
          <w:rFonts w:ascii="Century Gothic" w:hAnsi="Century Gothic"/>
          <w:sz w:val="24"/>
          <w:szCs w:val="24"/>
        </w:rPr>
        <w:t>, Per-Einar Binder, Rebecca Jane Milne, Establishing and Maintaining Rapport in Investigative Interviews of Traumatized Victims: A Qualitative Study, Policing: A Journal of Policy and Practice, Volume 12, Issue 4, December 2018, Pages 372–387, https://doi.org/10.1093/police/pax031</w:t>
      </w:r>
    </w:p>
    <w:p w14:paraId="20A82954" w14:textId="77777777" w:rsidR="00BA7BB5" w:rsidRPr="00BC2E03" w:rsidRDefault="00BA7BB5" w:rsidP="00BA7BB5">
      <w:pPr>
        <w:jc w:val="both"/>
        <w:rPr>
          <w:rFonts w:ascii="Century Gothic" w:hAnsi="Century Gothic"/>
          <w:sz w:val="24"/>
          <w:szCs w:val="24"/>
        </w:rPr>
      </w:pPr>
      <w:r w:rsidRPr="00BC2E03">
        <w:rPr>
          <w:rFonts w:ascii="Century Gothic" w:hAnsi="Century Gothic"/>
          <w:sz w:val="24"/>
          <w:szCs w:val="24"/>
        </w:rPr>
        <w:t xml:space="preserve"> </w:t>
      </w:r>
    </w:p>
    <w:p w14:paraId="77CF0130" w14:textId="43A761C3"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Policing: A Journal of Policy and Practice, Volume 9, Issue 1, March 2015, Pages 77–88, </w:t>
      </w:r>
      <w:hyperlink r:id="rId13" w:history="1">
        <w:r w:rsidR="00BA7BB5" w:rsidRPr="00BC2E03">
          <w:rPr>
            <w:rStyle w:val="Hyperlink"/>
            <w:rFonts w:ascii="Century Gothic" w:hAnsi="Century Gothic"/>
            <w:color w:val="auto"/>
            <w:sz w:val="24"/>
            <w:szCs w:val="24"/>
          </w:rPr>
          <w:t>https://doi.org/10.1093/police/pau026</w:t>
        </w:r>
      </w:hyperlink>
    </w:p>
    <w:p w14:paraId="14111385" w14:textId="37BF7B9B" w:rsidR="00BA7BB5" w:rsidRPr="00BC2E03" w:rsidRDefault="00BA7BB5" w:rsidP="00BA7BB5">
      <w:pPr>
        <w:jc w:val="both"/>
        <w:rPr>
          <w:rFonts w:ascii="Century Gothic" w:hAnsi="Century Gothic"/>
          <w:sz w:val="24"/>
          <w:szCs w:val="24"/>
        </w:rPr>
      </w:pPr>
    </w:p>
    <w:p w14:paraId="3ADEF3E2" w14:textId="77777777" w:rsidR="00BA7BB5" w:rsidRPr="00BC2E03" w:rsidRDefault="00BA7BB5" w:rsidP="00BA7BB5">
      <w:pPr>
        <w:shd w:val="clear" w:color="auto" w:fill="FFFFFF"/>
        <w:jc w:val="both"/>
        <w:textAlignment w:val="baseline"/>
        <w:rPr>
          <w:rFonts w:ascii="Century Gothic" w:hAnsi="Century Gothic"/>
          <w:sz w:val="24"/>
          <w:szCs w:val="24"/>
        </w:rPr>
      </w:pPr>
      <w:r w:rsidRPr="00BC2E03">
        <w:rPr>
          <w:rFonts w:ascii="Century Gothic" w:eastAsia="Times New Roman" w:hAnsi="Century Gothic" w:cs="Helvetica"/>
          <w:sz w:val="24"/>
          <w:szCs w:val="24"/>
          <w:lang w:eastAsia="en-GB"/>
        </w:rPr>
        <w:t>Milne R.</w:t>
      </w:r>
      <w:r w:rsidRPr="00BC2E03">
        <w:rPr>
          <w:rFonts w:ascii="Century Gothic" w:eastAsia="Times New Roman" w:hAnsi="Century Gothic" w:cs="Helvetica"/>
          <w:sz w:val="24"/>
          <w:szCs w:val="24"/>
          <w:shd w:val="clear" w:color="auto" w:fill="FFFFFF"/>
          <w:lang w:eastAsia="en-GB"/>
        </w:rPr>
        <w:t>, </w:t>
      </w:r>
      <w:r w:rsidRPr="00BC2E03">
        <w:rPr>
          <w:rFonts w:ascii="Century Gothic" w:eastAsia="Times New Roman" w:hAnsi="Century Gothic" w:cs="Helvetica"/>
          <w:sz w:val="24"/>
          <w:szCs w:val="24"/>
          <w:bdr w:val="none" w:sz="0" w:space="0" w:color="auto" w:frame="1"/>
          <w:shd w:val="clear" w:color="auto" w:fill="FFFFFF"/>
          <w:lang w:eastAsia="en-GB"/>
        </w:rPr>
        <w:t xml:space="preserve">Bull R. </w:t>
      </w:r>
      <w:r w:rsidRPr="00BC2E03">
        <w:rPr>
          <w:rFonts w:ascii="Century Gothic" w:eastAsia="Times New Roman" w:hAnsi="Century Gothic" w:cs="Helvetica"/>
          <w:sz w:val="24"/>
          <w:szCs w:val="24"/>
          <w:shd w:val="clear" w:color="auto" w:fill="FFFFFF"/>
          <w:lang w:eastAsia="en-GB"/>
        </w:rPr>
        <w:t>(</w:t>
      </w:r>
      <w:r w:rsidRPr="00BC2E03">
        <w:rPr>
          <w:rFonts w:ascii="Century Gothic" w:eastAsia="Times New Roman" w:hAnsi="Century Gothic" w:cs="Helvetica"/>
          <w:sz w:val="24"/>
          <w:szCs w:val="24"/>
          <w:lang w:eastAsia="en-GB"/>
        </w:rPr>
        <w:t>2006</w:t>
      </w:r>
      <w:r w:rsidRPr="00BC2E03">
        <w:rPr>
          <w:rFonts w:ascii="Century Gothic" w:eastAsia="Times New Roman" w:hAnsi="Century Gothic" w:cs="Helvetica"/>
          <w:sz w:val="24"/>
          <w:szCs w:val="24"/>
          <w:shd w:val="clear" w:color="auto" w:fill="FFFFFF"/>
          <w:lang w:eastAsia="en-GB"/>
        </w:rPr>
        <w:t>). ‘Interviewing Victims of Crime, including Children and People with Intellectual Difficulties.’ In: </w:t>
      </w:r>
      <w:proofErr w:type="spellStart"/>
      <w:r w:rsidRPr="00BC2E03">
        <w:rPr>
          <w:rFonts w:ascii="Century Gothic" w:eastAsia="Times New Roman" w:hAnsi="Century Gothic" w:cs="Helvetica"/>
          <w:sz w:val="24"/>
          <w:szCs w:val="24"/>
          <w:bdr w:val="none" w:sz="0" w:space="0" w:color="auto" w:frame="1"/>
          <w:shd w:val="clear" w:color="auto" w:fill="FFFFFF"/>
          <w:lang w:eastAsia="en-GB"/>
        </w:rPr>
        <w:t>Kebbel</w:t>
      </w:r>
      <w:proofErr w:type="spellEnd"/>
      <w:r w:rsidRPr="00BC2E03">
        <w:rPr>
          <w:rFonts w:ascii="Century Gothic" w:eastAsia="Times New Roman" w:hAnsi="Century Gothic" w:cs="Helvetica"/>
          <w:sz w:val="24"/>
          <w:szCs w:val="24"/>
          <w:bdr w:val="none" w:sz="0" w:space="0" w:color="auto" w:frame="1"/>
          <w:shd w:val="clear" w:color="auto" w:fill="FFFFFF"/>
          <w:lang w:eastAsia="en-GB"/>
        </w:rPr>
        <w:t xml:space="preserve"> M. R., Davies G. M. </w:t>
      </w:r>
      <w:r w:rsidRPr="00BC2E03">
        <w:rPr>
          <w:rFonts w:ascii="Century Gothic" w:eastAsia="Times New Roman" w:hAnsi="Century Gothic" w:cs="Helvetica"/>
          <w:sz w:val="24"/>
          <w:szCs w:val="24"/>
          <w:shd w:val="clear" w:color="auto" w:fill="FFFFFF"/>
          <w:lang w:eastAsia="en-GB"/>
        </w:rPr>
        <w:t> (eds), </w:t>
      </w:r>
      <w:r w:rsidRPr="00BC2E03">
        <w:rPr>
          <w:rFonts w:ascii="Century Gothic" w:eastAsia="Times New Roman" w:hAnsi="Century Gothic" w:cs="Helvetica"/>
          <w:i/>
          <w:iCs/>
          <w:sz w:val="24"/>
          <w:szCs w:val="24"/>
          <w:lang w:eastAsia="en-GB"/>
        </w:rPr>
        <w:t xml:space="preserve">Practical Psychology for Forensic Investigations </w:t>
      </w:r>
      <w:r w:rsidRPr="00BC2E03">
        <w:rPr>
          <w:rFonts w:ascii="Century Gothic" w:eastAsia="Times New Roman" w:hAnsi="Century Gothic" w:cs="Helvetica"/>
          <w:sz w:val="24"/>
          <w:szCs w:val="24"/>
          <w:lang w:eastAsia="en-GB"/>
        </w:rPr>
        <w:t>Chichester. Wiley</w:t>
      </w:r>
      <w:r w:rsidRPr="00BC2E03">
        <w:rPr>
          <w:rFonts w:ascii="Century Gothic" w:eastAsia="Times New Roman" w:hAnsi="Century Gothic" w:cs="Helvetica"/>
          <w:sz w:val="24"/>
          <w:szCs w:val="24"/>
          <w:shd w:val="clear" w:color="auto" w:fill="FFFFFF"/>
          <w:lang w:eastAsia="en-GB"/>
        </w:rPr>
        <w:t>.</w:t>
      </w:r>
    </w:p>
    <w:p w14:paraId="47F5C6F8" w14:textId="77777777" w:rsidR="00BA7BB5" w:rsidRPr="00BC2E03" w:rsidRDefault="00BA7BB5" w:rsidP="00BA7BB5">
      <w:pPr>
        <w:jc w:val="both"/>
        <w:rPr>
          <w:rFonts w:ascii="Century Gothic" w:hAnsi="Century Gothic"/>
          <w:sz w:val="24"/>
          <w:szCs w:val="24"/>
        </w:rPr>
      </w:pPr>
    </w:p>
    <w:p w14:paraId="0F97379C" w14:textId="77777777" w:rsidR="00A8130A" w:rsidRPr="00BC2E03" w:rsidRDefault="1DA2DA37" w:rsidP="00BA7BB5">
      <w:pPr>
        <w:jc w:val="both"/>
        <w:rPr>
          <w:rFonts w:ascii="Century Gothic" w:hAnsi="Century Gothic"/>
          <w:sz w:val="24"/>
          <w:szCs w:val="24"/>
        </w:rPr>
      </w:pPr>
      <w:r w:rsidRPr="00BC2E03">
        <w:rPr>
          <w:rFonts w:ascii="Century Gothic" w:hAnsi="Century Gothic"/>
          <w:sz w:val="24"/>
          <w:szCs w:val="24"/>
        </w:rPr>
        <w:lastRenderedPageBreak/>
        <w:t xml:space="preserve"> </w:t>
      </w:r>
    </w:p>
    <w:p w14:paraId="6A92DB13" w14:textId="77777777" w:rsidR="00A8130A" w:rsidRPr="00BC2E03" w:rsidRDefault="00A8130A" w:rsidP="00BA7BB5">
      <w:pPr>
        <w:pStyle w:val="Bibliography"/>
        <w:jc w:val="both"/>
        <w:rPr>
          <w:rFonts w:ascii="Century Gothic" w:hAnsi="Century Gothic"/>
          <w:noProof/>
          <w:sz w:val="24"/>
          <w:szCs w:val="24"/>
        </w:rPr>
      </w:pPr>
      <w:r w:rsidRPr="00BC2E03">
        <w:rPr>
          <w:rFonts w:ascii="Century Gothic" w:hAnsi="Century Gothic"/>
          <w:sz w:val="24"/>
          <w:szCs w:val="24"/>
        </w:rPr>
        <w:fldChar w:fldCharType="begin"/>
      </w:r>
      <w:r w:rsidRPr="00BC2E03">
        <w:rPr>
          <w:rFonts w:ascii="Century Gothic" w:hAnsi="Century Gothic"/>
          <w:sz w:val="24"/>
          <w:szCs w:val="24"/>
        </w:rPr>
        <w:instrText xml:space="preserve"> BIBLIOGRAPHY  \l 2057 </w:instrText>
      </w:r>
      <w:r w:rsidRPr="00BC2E03">
        <w:rPr>
          <w:rFonts w:ascii="Century Gothic" w:hAnsi="Century Gothic"/>
          <w:sz w:val="24"/>
          <w:szCs w:val="24"/>
        </w:rPr>
        <w:fldChar w:fldCharType="separate"/>
      </w:r>
      <w:r w:rsidRPr="00BC2E03">
        <w:rPr>
          <w:rFonts w:ascii="Century Gothic" w:hAnsi="Century Gothic"/>
          <w:noProof/>
          <w:sz w:val="24"/>
          <w:szCs w:val="24"/>
        </w:rPr>
        <w:t xml:space="preserve">Ministry of Justice, 2021. </w:t>
      </w:r>
      <w:r w:rsidRPr="00BC2E03">
        <w:rPr>
          <w:rFonts w:ascii="Century Gothic" w:hAnsi="Century Gothic"/>
          <w:i/>
          <w:iCs/>
          <w:noProof/>
          <w:sz w:val="24"/>
          <w:szCs w:val="24"/>
        </w:rPr>
        <w:t xml:space="preserve">Victims of crime: understanging the support you can expect. </w:t>
      </w:r>
      <w:r w:rsidRPr="00BC2E03">
        <w:rPr>
          <w:rFonts w:ascii="Century Gothic" w:hAnsi="Century Gothic"/>
          <w:noProof/>
          <w:sz w:val="24"/>
          <w:szCs w:val="24"/>
        </w:rPr>
        <w:t xml:space="preserve">[Online] </w:t>
      </w:r>
      <w:r w:rsidRPr="00BC2E03">
        <w:rPr>
          <w:rFonts w:ascii="Century Gothic" w:hAnsi="Century Gothic"/>
          <w:noProof/>
          <w:sz w:val="24"/>
          <w:szCs w:val="24"/>
        </w:rPr>
        <w:br/>
        <w:t xml:space="preserve">Available at: </w:t>
      </w:r>
      <w:r w:rsidRPr="00BC2E03">
        <w:rPr>
          <w:rFonts w:ascii="Century Gothic" w:hAnsi="Century Gothic"/>
          <w:noProof/>
          <w:sz w:val="24"/>
          <w:szCs w:val="24"/>
          <w:u w:val="single"/>
        </w:rPr>
        <w:t>https://www.cleveland.pcc.police.uk/how-can-we-help/supporting-victims/pcc-duty-of-care-to-victims-and-victims-code-of-practice/</w:t>
      </w:r>
      <w:r w:rsidRPr="00BC2E03">
        <w:rPr>
          <w:rFonts w:ascii="Century Gothic" w:hAnsi="Century Gothic"/>
          <w:noProof/>
          <w:sz w:val="24"/>
          <w:szCs w:val="24"/>
        </w:rPr>
        <w:br/>
        <w:t>[Accessed 20 August 2022].</w:t>
      </w:r>
    </w:p>
    <w:p w14:paraId="43132AA2" w14:textId="77777777" w:rsidR="00A8130A" w:rsidRPr="00BC2E03" w:rsidRDefault="00A8130A" w:rsidP="00BA7BB5">
      <w:pPr>
        <w:jc w:val="both"/>
        <w:rPr>
          <w:rFonts w:ascii="Century Gothic" w:hAnsi="Century Gothic"/>
          <w:sz w:val="24"/>
          <w:szCs w:val="24"/>
        </w:rPr>
      </w:pPr>
      <w:r w:rsidRPr="00BC2E03">
        <w:rPr>
          <w:rFonts w:ascii="Century Gothic" w:hAnsi="Century Gothic"/>
          <w:sz w:val="24"/>
          <w:szCs w:val="24"/>
        </w:rPr>
        <w:fldChar w:fldCharType="end"/>
      </w:r>
    </w:p>
    <w:p w14:paraId="3D9DC096" w14:textId="78D29E63"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Ratcliffe, J., 2008. Intelligence-led policing. Cullompton: Willan. [Google Scholar]</w:t>
      </w:r>
    </w:p>
    <w:p w14:paraId="3D8DF27F" w14:textId="624065D7"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362FB8B8" w14:textId="356F2E21"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Rowe, M., </w:t>
      </w:r>
      <w:proofErr w:type="spellStart"/>
      <w:r w:rsidRPr="00BC2E03">
        <w:rPr>
          <w:rFonts w:ascii="Century Gothic" w:hAnsi="Century Gothic"/>
          <w:sz w:val="24"/>
          <w:szCs w:val="24"/>
        </w:rPr>
        <w:t>Westmarland</w:t>
      </w:r>
      <w:proofErr w:type="spellEnd"/>
      <w:r w:rsidRPr="00BC2E03">
        <w:rPr>
          <w:rFonts w:ascii="Century Gothic" w:hAnsi="Century Gothic"/>
          <w:sz w:val="24"/>
          <w:szCs w:val="24"/>
        </w:rPr>
        <w:t xml:space="preserve">, L., and </w:t>
      </w:r>
      <w:proofErr w:type="spellStart"/>
      <w:r w:rsidRPr="00BC2E03">
        <w:rPr>
          <w:rFonts w:ascii="Century Gothic" w:hAnsi="Century Gothic"/>
          <w:sz w:val="24"/>
          <w:szCs w:val="24"/>
        </w:rPr>
        <w:t>Hougham</w:t>
      </w:r>
      <w:proofErr w:type="spellEnd"/>
      <w:r w:rsidRPr="00BC2E03">
        <w:rPr>
          <w:rFonts w:ascii="Century Gothic" w:hAnsi="Century Gothic"/>
          <w:sz w:val="24"/>
          <w:szCs w:val="24"/>
        </w:rPr>
        <w:t>, C. 2016. Getting behind the blue curtain. In: S. Lister and M. Rowe, eds. Managing police integrity in accountability of policing. London: Routledge, 69–85. [Google Scholar]</w:t>
      </w:r>
    </w:p>
    <w:p w14:paraId="4310FCD5" w14:textId="3D517983"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520C827C" w14:textId="76C8E076"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Silvia </w:t>
      </w:r>
      <w:proofErr w:type="spellStart"/>
      <w:r w:rsidRPr="00BC2E03">
        <w:rPr>
          <w:rFonts w:ascii="Century Gothic" w:hAnsi="Century Gothic"/>
          <w:sz w:val="24"/>
          <w:szCs w:val="24"/>
        </w:rPr>
        <w:t>Staubli</w:t>
      </w:r>
      <w:proofErr w:type="spellEnd"/>
      <w:r w:rsidRPr="00BC2E03">
        <w:rPr>
          <w:rFonts w:ascii="Century Gothic" w:hAnsi="Century Gothic"/>
          <w:sz w:val="24"/>
          <w:szCs w:val="24"/>
        </w:rPr>
        <w:t xml:space="preserve"> (2017) Trusting the Police: Comparisons Across Eastern and Western Europe. Bielefeld: transcript Verlag (Kultur Und </w:t>
      </w:r>
      <w:proofErr w:type="spellStart"/>
      <w:r w:rsidRPr="00BC2E03">
        <w:rPr>
          <w:rFonts w:ascii="Century Gothic" w:hAnsi="Century Gothic"/>
          <w:sz w:val="24"/>
          <w:szCs w:val="24"/>
        </w:rPr>
        <w:t>Soziale</w:t>
      </w:r>
      <w:proofErr w:type="spellEnd"/>
      <w:r w:rsidRPr="00BC2E03">
        <w:rPr>
          <w:rFonts w:ascii="Century Gothic" w:hAnsi="Century Gothic"/>
          <w:sz w:val="24"/>
          <w:szCs w:val="24"/>
        </w:rPr>
        <w:t xml:space="preserve"> Praxis). Available at: https://search-ebscohost-com.ezproxy.uwtsd.ac.uk/login.aspx?direct=true&amp;db=e001mww&amp;AN=2962137&amp;site=ehost-live (Accessed: 16 August 2022).</w:t>
      </w:r>
    </w:p>
    <w:p w14:paraId="6D06359F" w14:textId="4F302E80"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0133CD7B" w14:textId="4CE3BEF6"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Sims, L. and </w:t>
      </w:r>
      <w:proofErr w:type="spellStart"/>
      <w:r w:rsidRPr="00BC2E03">
        <w:rPr>
          <w:rFonts w:ascii="Century Gothic" w:hAnsi="Century Gothic"/>
          <w:sz w:val="24"/>
          <w:szCs w:val="24"/>
        </w:rPr>
        <w:t>Mynhill</w:t>
      </w:r>
      <w:proofErr w:type="spellEnd"/>
      <w:r w:rsidRPr="00BC2E03">
        <w:rPr>
          <w:rFonts w:ascii="Century Gothic" w:hAnsi="Century Gothic"/>
          <w:sz w:val="24"/>
          <w:szCs w:val="24"/>
        </w:rPr>
        <w:t>, A. (2001). Policing and the Public: Findings from the 2000 British Crime Survey (Research Finding): Home Office, Research, Development and Statistics Directorate. London: Stationery Office</w:t>
      </w:r>
    </w:p>
    <w:p w14:paraId="01FA78EE" w14:textId="030D8D27"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16515CC2" w14:textId="493CED09"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Sherman, Lawrence W. (2010) “The Rise of Evidence-Based Policing: Targeting, Testing, and Tracking.” Crime and Justice 42 (2013): 377 - 451.</w:t>
      </w:r>
    </w:p>
    <w:p w14:paraId="624D8A75" w14:textId="7E22BFCF"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09E9A723" w14:textId="6C2C62F8"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Shiner, Jo, (2022) National Roads Policing Strategy 2022-2025. National Roads Police Chiefs Council. [ONLINE] Available at: PowerPoint Presentation (met.police.uk). [Accessed 19 August 2022</w:t>
      </w:r>
    </w:p>
    <w:p w14:paraId="47F1C781" w14:textId="77777777" w:rsidR="00582CD0" w:rsidRPr="00BC2E03" w:rsidRDefault="00582CD0" w:rsidP="00BA7BB5">
      <w:pPr>
        <w:jc w:val="both"/>
        <w:rPr>
          <w:rFonts w:ascii="Century Gothic" w:hAnsi="Century Gothic"/>
          <w:sz w:val="24"/>
          <w:szCs w:val="24"/>
        </w:rPr>
      </w:pPr>
    </w:p>
    <w:p w14:paraId="66F65CA7" w14:textId="060D513A" w:rsidR="004E78AB" w:rsidRPr="00BC2E03" w:rsidRDefault="00A9100B" w:rsidP="00BA7BB5">
      <w:pPr>
        <w:jc w:val="both"/>
        <w:rPr>
          <w:rFonts w:ascii="Century Gothic" w:hAnsi="Century Gothic"/>
          <w:sz w:val="24"/>
          <w:szCs w:val="24"/>
        </w:rPr>
      </w:pPr>
      <w:r w:rsidRPr="00BC2E03">
        <w:rPr>
          <w:rFonts w:ascii="Century Gothic" w:hAnsi="Century Gothic"/>
          <w:sz w:val="24"/>
          <w:szCs w:val="24"/>
        </w:rPr>
        <w:t xml:space="preserve">Swenson, C., Schaeffer, C., </w:t>
      </w:r>
      <w:proofErr w:type="spellStart"/>
      <w:r w:rsidRPr="00BC2E03">
        <w:rPr>
          <w:rFonts w:ascii="Century Gothic" w:hAnsi="Century Gothic"/>
          <w:sz w:val="24"/>
          <w:szCs w:val="24"/>
        </w:rPr>
        <w:t>Henggeler</w:t>
      </w:r>
      <w:proofErr w:type="spellEnd"/>
      <w:r w:rsidRPr="00BC2E03">
        <w:rPr>
          <w:rFonts w:ascii="Century Gothic" w:hAnsi="Century Gothic"/>
          <w:sz w:val="24"/>
          <w:szCs w:val="24"/>
        </w:rPr>
        <w:t xml:space="preserve">, S., </w:t>
      </w:r>
      <w:proofErr w:type="spellStart"/>
      <w:r w:rsidRPr="00BC2E03">
        <w:rPr>
          <w:rFonts w:ascii="Century Gothic" w:hAnsi="Century Gothic"/>
          <w:sz w:val="24"/>
          <w:szCs w:val="24"/>
        </w:rPr>
        <w:t>Faldowski</w:t>
      </w:r>
      <w:proofErr w:type="spellEnd"/>
      <w:r w:rsidRPr="00BC2E03">
        <w:rPr>
          <w:rFonts w:ascii="Century Gothic" w:hAnsi="Century Gothic"/>
          <w:sz w:val="24"/>
          <w:szCs w:val="24"/>
        </w:rPr>
        <w:t xml:space="preserve">, R., &amp; Mayhew, A. (2010). Multisystemic therapy for child abuse and neglect: A randomized effectiveness trial. Journal </w:t>
      </w:r>
      <w:proofErr w:type="spellStart"/>
      <w:r w:rsidRPr="00BC2E03">
        <w:rPr>
          <w:rFonts w:ascii="Century Gothic" w:hAnsi="Century Gothic"/>
          <w:sz w:val="24"/>
          <w:szCs w:val="24"/>
        </w:rPr>
        <w:t>o f</w:t>
      </w:r>
      <w:proofErr w:type="spellEnd"/>
      <w:r w:rsidRPr="00BC2E03">
        <w:rPr>
          <w:rFonts w:ascii="Century Gothic" w:hAnsi="Century Gothic"/>
          <w:sz w:val="24"/>
          <w:szCs w:val="24"/>
        </w:rPr>
        <w:t xml:space="preserve"> Family Psychology, 24(4), 497-507</w:t>
      </w:r>
    </w:p>
    <w:p w14:paraId="34FF0273" w14:textId="77777777" w:rsidR="00582CD0" w:rsidRPr="00BC2E03" w:rsidRDefault="00582CD0" w:rsidP="00BA7BB5">
      <w:pPr>
        <w:jc w:val="both"/>
        <w:rPr>
          <w:rFonts w:ascii="Century Gothic" w:hAnsi="Century Gothic"/>
          <w:sz w:val="24"/>
          <w:szCs w:val="24"/>
        </w:rPr>
      </w:pPr>
    </w:p>
    <w:p w14:paraId="0F1D46C1" w14:textId="217F8ADD" w:rsidR="00582CD0" w:rsidRPr="00BC2E03" w:rsidRDefault="00582CD0" w:rsidP="00BA7BB5">
      <w:pPr>
        <w:jc w:val="both"/>
        <w:rPr>
          <w:rFonts w:ascii="Century Gothic" w:hAnsi="Century Gothic"/>
          <w:sz w:val="24"/>
          <w:szCs w:val="24"/>
        </w:rPr>
      </w:pPr>
      <w:r w:rsidRPr="00BC2E03">
        <w:rPr>
          <w:rFonts w:ascii="Century Gothic" w:hAnsi="Century Gothic"/>
          <w:sz w:val="24"/>
          <w:szCs w:val="24"/>
        </w:rPr>
        <w:t xml:space="preserve">Thompson, M. P., </w:t>
      </w:r>
      <w:proofErr w:type="spellStart"/>
      <w:r w:rsidRPr="00BC2E03">
        <w:rPr>
          <w:rFonts w:ascii="Century Gothic" w:hAnsi="Century Gothic"/>
          <w:sz w:val="24"/>
          <w:szCs w:val="24"/>
        </w:rPr>
        <w:t>Kingree</w:t>
      </w:r>
      <w:proofErr w:type="spellEnd"/>
      <w:r w:rsidRPr="00BC2E03">
        <w:rPr>
          <w:rFonts w:ascii="Century Gothic" w:hAnsi="Century Gothic"/>
          <w:sz w:val="24"/>
          <w:szCs w:val="24"/>
        </w:rPr>
        <w:t xml:space="preserve">, J. B., &amp; Desai, S. (2004). Gender differences in long-term health consequences of physical abuse of children: Data from a nationally representative survey. American Journal </w:t>
      </w:r>
      <w:proofErr w:type="spellStart"/>
      <w:r w:rsidRPr="00BC2E03">
        <w:rPr>
          <w:rFonts w:ascii="Century Gothic" w:hAnsi="Century Gothic"/>
          <w:sz w:val="24"/>
          <w:szCs w:val="24"/>
        </w:rPr>
        <w:t>o f</w:t>
      </w:r>
      <w:proofErr w:type="spellEnd"/>
      <w:r w:rsidRPr="00BC2E03">
        <w:rPr>
          <w:rFonts w:ascii="Century Gothic" w:hAnsi="Century Gothic"/>
          <w:sz w:val="24"/>
          <w:szCs w:val="24"/>
        </w:rPr>
        <w:t xml:space="preserve"> Public Health, 94(4), 599-604.</w:t>
      </w:r>
    </w:p>
    <w:p w14:paraId="475EFA8D" w14:textId="77777777" w:rsidR="00582CD0" w:rsidRPr="00BC2E03" w:rsidRDefault="00582CD0" w:rsidP="00BA7BB5">
      <w:pPr>
        <w:jc w:val="both"/>
        <w:rPr>
          <w:rFonts w:ascii="Century Gothic" w:hAnsi="Century Gothic"/>
          <w:sz w:val="24"/>
          <w:szCs w:val="24"/>
        </w:rPr>
      </w:pPr>
    </w:p>
    <w:p w14:paraId="59C363BF" w14:textId="360DB82A"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Tyler T. R. </w:t>
      </w:r>
      <w:proofErr w:type="spellStart"/>
      <w:r w:rsidRPr="00BC2E03">
        <w:rPr>
          <w:rFonts w:ascii="Century Gothic" w:hAnsi="Century Gothic"/>
          <w:sz w:val="24"/>
          <w:szCs w:val="24"/>
        </w:rPr>
        <w:t>Huo</w:t>
      </w:r>
      <w:proofErr w:type="spellEnd"/>
      <w:r w:rsidRPr="00BC2E03">
        <w:rPr>
          <w:rFonts w:ascii="Century Gothic" w:hAnsi="Century Gothic"/>
          <w:sz w:val="24"/>
          <w:szCs w:val="24"/>
        </w:rPr>
        <w:t xml:space="preserve"> Y. J. (2002), Trust in the Law: Encouraging Public Cooperation with the Police and Courts. Russell-Sage Foundation.</w:t>
      </w:r>
    </w:p>
    <w:p w14:paraId="0FF4D5F7" w14:textId="43208292"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 xml:space="preserve"> </w:t>
      </w:r>
    </w:p>
    <w:p w14:paraId="513DF45A" w14:textId="543E4BFB" w:rsidR="00E95655" w:rsidRPr="00BC2E03" w:rsidRDefault="00E95655" w:rsidP="00BA7BB5">
      <w:pPr>
        <w:jc w:val="both"/>
        <w:rPr>
          <w:rFonts w:ascii="Century Gothic" w:hAnsi="Century Gothic"/>
          <w:sz w:val="24"/>
          <w:szCs w:val="24"/>
          <w:shd w:val="clear" w:color="auto" w:fill="FFFFFF"/>
        </w:rPr>
      </w:pPr>
      <w:r w:rsidRPr="00BC2E03">
        <w:rPr>
          <w:rFonts w:ascii="Century Gothic" w:hAnsi="Century Gothic"/>
          <w:sz w:val="24"/>
          <w:szCs w:val="24"/>
          <w:shd w:val="clear" w:color="auto" w:fill="FFFFFF"/>
        </w:rPr>
        <w:t>Wate, R. and Boulton, N. (2015) </w:t>
      </w:r>
      <w:r w:rsidRPr="00BC2E03">
        <w:rPr>
          <w:rFonts w:ascii="Century Gothic" w:hAnsi="Century Gothic"/>
          <w:i/>
          <w:iCs/>
          <w:sz w:val="24"/>
          <w:szCs w:val="24"/>
          <w:shd w:val="clear" w:color="auto" w:fill="FFFFFF"/>
        </w:rPr>
        <w:t xml:space="preserve">Multi-agency safeguarding in a public protection </w:t>
      </w:r>
      <w:r w:rsidR="00BC2E03" w:rsidRPr="00BC2E03">
        <w:rPr>
          <w:rFonts w:ascii="Century Gothic" w:hAnsi="Century Gothic"/>
          <w:i/>
          <w:iCs/>
          <w:sz w:val="24"/>
          <w:szCs w:val="24"/>
          <w:shd w:val="clear" w:color="auto" w:fill="FFFFFF"/>
        </w:rPr>
        <w:t>world</w:t>
      </w:r>
      <w:r w:rsidR="00BC2E03" w:rsidRPr="00BC2E03">
        <w:rPr>
          <w:rFonts w:ascii="Arial" w:hAnsi="Arial" w:cs="Arial"/>
          <w:i/>
          <w:iCs/>
          <w:sz w:val="24"/>
          <w:szCs w:val="24"/>
          <w:shd w:val="clear" w:color="auto" w:fill="FFFFFF"/>
        </w:rPr>
        <w:t>:</w:t>
      </w:r>
      <w:r w:rsidRPr="00BC2E03">
        <w:rPr>
          <w:rFonts w:ascii="Century Gothic" w:hAnsi="Century Gothic"/>
          <w:i/>
          <w:iCs/>
          <w:sz w:val="24"/>
          <w:szCs w:val="24"/>
          <w:shd w:val="clear" w:color="auto" w:fill="FFFFFF"/>
        </w:rPr>
        <w:t xml:space="preserve"> a handbook for protecting children and vulnerable adults</w:t>
      </w:r>
      <w:r w:rsidRPr="00BC2E03">
        <w:rPr>
          <w:rFonts w:ascii="Century Gothic" w:hAnsi="Century Gothic"/>
          <w:sz w:val="24"/>
          <w:szCs w:val="24"/>
          <w:shd w:val="clear" w:color="auto" w:fill="FFFFFF"/>
        </w:rPr>
        <w:t>. Hove, UK: Pavilion.</w:t>
      </w:r>
    </w:p>
    <w:p w14:paraId="23C39F3C" w14:textId="0F399BF4" w:rsidR="00E95655" w:rsidRDefault="00E95655" w:rsidP="00BA7BB5">
      <w:pPr>
        <w:jc w:val="both"/>
        <w:rPr>
          <w:rFonts w:ascii="Century Gothic" w:hAnsi="Century Gothic"/>
          <w:sz w:val="24"/>
          <w:szCs w:val="24"/>
        </w:rPr>
      </w:pPr>
    </w:p>
    <w:p w14:paraId="30209943" w14:textId="72DC9163" w:rsidR="00246B2C" w:rsidRPr="00246B2C" w:rsidRDefault="00246B2C" w:rsidP="00BA7BB5">
      <w:pPr>
        <w:jc w:val="both"/>
        <w:rPr>
          <w:rFonts w:ascii="Century Gothic" w:hAnsi="Century Gothic"/>
          <w:sz w:val="24"/>
          <w:szCs w:val="24"/>
        </w:rPr>
      </w:pPr>
      <w:r w:rsidRPr="00246B2C">
        <w:rPr>
          <w:rFonts w:ascii="Century Gothic" w:hAnsi="Century Gothic"/>
          <w:sz w:val="24"/>
          <w:szCs w:val="24"/>
        </w:rPr>
        <w:t xml:space="preserve">Windle J, Briggs D. 2015. ‘It's like working away for two weeks’: The harms associated with young drug dealers commuting from a saturated London drug market. Crime Prevention and Community Safety 17(2): 105–119. </w:t>
      </w:r>
      <w:hyperlink r:id="rId14" w:history="1">
        <w:r w:rsidRPr="00246B2C">
          <w:rPr>
            <w:rStyle w:val="Hyperlink"/>
            <w:rFonts w:ascii="Century Gothic" w:hAnsi="Century Gothic"/>
            <w:sz w:val="24"/>
            <w:szCs w:val="24"/>
          </w:rPr>
          <w:t>https://doi.org/10.1057/cpcs.2015.2</w:t>
        </w:r>
      </w:hyperlink>
    </w:p>
    <w:p w14:paraId="624462CF" w14:textId="77777777" w:rsidR="00246B2C" w:rsidRPr="00BC2E03" w:rsidRDefault="00246B2C" w:rsidP="00BA7BB5">
      <w:pPr>
        <w:jc w:val="both"/>
        <w:rPr>
          <w:rFonts w:ascii="Century Gothic" w:hAnsi="Century Gothic"/>
          <w:sz w:val="24"/>
          <w:szCs w:val="24"/>
        </w:rPr>
      </w:pPr>
    </w:p>
    <w:p w14:paraId="7E8A906E" w14:textId="2D6DBB5C" w:rsidR="004E78AB" w:rsidRPr="00BC2E03" w:rsidRDefault="1DA2DA37" w:rsidP="00BA7BB5">
      <w:pPr>
        <w:jc w:val="both"/>
        <w:rPr>
          <w:rFonts w:ascii="Century Gothic" w:hAnsi="Century Gothic"/>
          <w:sz w:val="24"/>
          <w:szCs w:val="24"/>
        </w:rPr>
      </w:pPr>
      <w:r w:rsidRPr="00BC2E03">
        <w:rPr>
          <w:rFonts w:ascii="Century Gothic" w:hAnsi="Century Gothic"/>
          <w:sz w:val="24"/>
          <w:szCs w:val="24"/>
        </w:rPr>
        <w:t>Wood D. (2020). ‘Embedding Learning and Assessment within Police Practice: The opportunities and Challenges Arising from the Introduction of the PEQF in England and Wales.’ Policing: A Journal of Policy and Practice 14 (2):374–382</w:t>
      </w:r>
    </w:p>
    <w:p w14:paraId="5E5787A5" w14:textId="4E252C35" w:rsidR="004E78AB" w:rsidRPr="00BC2E03" w:rsidRDefault="004E78AB" w:rsidP="7D7C8770">
      <w:pPr>
        <w:rPr>
          <w:rFonts w:ascii="Century Gothic" w:hAnsi="Century Gothic"/>
          <w:sz w:val="24"/>
          <w:szCs w:val="24"/>
        </w:rPr>
      </w:pPr>
    </w:p>
    <w:sectPr w:rsidR="004E78AB" w:rsidRPr="00BC2E0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4A0FB" w14:textId="77777777" w:rsidR="006B10BE" w:rsidRDefault="006B10BE" w:rsidP="006B10BE">
      <w:pPr>
        <w:spacing w:after="0" w:line="240" w:lineRule="auto"/>
      </w:pPr>
      <w:r>
        <w:separator/>
      </w:r>
    </w:p>
  </w:endnote>
  <w:endnote w:type="continuationSeparator" w:id="0">
    <w:p w14:paraId="25BCE3A0" w14:textId="77777777" w:rsidR="006B10BE" w:rsidRDefault="006B10BE" w:rsidP="006B1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EDF48" w14:textId="77777777" w:rsidR="006B10BE" w:rsidRDefault="006B10BE" w:rsidP="006B10BE">
      <w:pPr>
        <w:spacing w:after="0" w:line="240" w:lineRule="auto"/>
      </w:pPr>
      <w:r>
        <w:separator/>
      </w:r>
    </w:p>
  </w:footnote>
  <w:footnote w:type="continuationSeparator" w:id="0">
    <w:p w14:paraId="03AA5C5F" w14:textId="77777777" w:rsidR="006B10BE" w:rsidRDefault="006B10BE" w:rsidP="006B1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1D045F"/>
    <w:multiLevelType w:val="multilevel"/>
    <w:tmpl w:val="C030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EE562"/>
    <w:rsid w:val="00012E66"/>
    <w:rsid w:val="000E5449"/>
    <w:rsid w:val="000F1FC3"/>
    <w:rsid w:val="000F2BF9"/>
    <w:rsid w:val="0014202A"/>
    <w:rsid w:val="00172CF7"/>
    <w:rsid w:val="00194512"/>
    <w:rsid w:val="00246B2C"/>
    <w:rsid w:val="00353E43"/>
    <w:rsid w:val="004E78AB"/>
    <w:rsid w:val="00582CD0"/>
    <w:rsid w:val="005C073E"/>
    <w:rsid w:val="005E5826"/>
    <w:rsid w:val="006B10BE"/>
    <w:rsid w:val="006D7893"/>
    <w:rsid w:val="007B488E"/>
    <w:rsid w:val="00866CB8"/>
    <w:rsid w:val="00963DE3"/>
    <w:rsid w:val="009C3EA0"/>
    <w:rsid w:val="009C4A7D"/>
    <w:rsid w:val="00A8130A"/>
    <w:rsid w:val="00A9100B"/>
    <w:rsid w:val="00BA7BB5"/>
    <w:rsid w:val="00BC2E03"/>
    <w:rsid w:val="00CD2D2B"/>
    <w:rsid w:val="00E95655"/>
    <w:rsid w:val="00EC2B48"/>
    <w:rsid w:val="00FB3470"/>
    <w:rsid w:val="00FB4AF4"/>
    <w:rsid w:val="1DA2DA37"/>
    <w:rsid w:val="282EE562"/>
    <w:rsid w:val="7D7C8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2EE562"/>
  <w15:chartTrackingRefBased/>
  <w15:docId w15:val="{8BBCCD3E-35DD-4E3D-AA6C-30046BA3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4202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30A"/>
    <w:rPr>
      <w:color w:val="0000FF"/>
      <w:u w:val="single"/>
    </w:rPr>
  </w:style>
  <w:style w:type="paragraph" w:styleId="Bibliography">
    <w:name w:val="Bibliography"/>
    <w:basedOn w:val="Normal"/>
    <w:next w:val="Normal"/>
    <w:uiPriority w:val="37"/>
    <w:unhideWhenUsed/>
    <w:rsid w:val="00A8130A"/>
  </w:style>
  <w:style w:type="paragraph" w:styleId="NormalWeb">
    <w:name w:val="Normal (Web)"/>
    <w:basedOn w:val="Normal"/>
    <w:uiPriority w:val="99"/>
    <w:unhideWhenUsed/>
    <w:rsid w:val="00582C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82CD0"/>
    <w:rPr>
      <w:color w:val="605E5C"/>
      <w:shd w:val="clear" w:color="auto" w:fill="E1DFDD"/>
    </w:rPr>
  </w:style>
  <w:style w:type="character" w:customStyle="1" w:styleId="name">
    <w:name w:val="name"/>
    <w:basedOn w:val="DefaultParagraphFont"/>
    <w:rsid w:val="00FB4AF4"/>
  </w:style>
  <w:style w:type="character" w:customStyle="1" w:styleId="person-group">
    <w:name w:val="person-group"/>
    <w:basedOn w:val="DefaultParagraphFont"/>
    <w:rsid w:val="00FB4AF4"/>
  </w:style>
  <w:style w:type="character" w:styleId="Emphasis">
    <w:name w:val="Emphasis"/>
    <w:basedOn w:val="DefaultParagraphFont"/>
    <w:uiPriority w:val="20"/>
    <w:qFormat/>
    <w:rsid w:val="00FB4AF4"/>
    <w:rPr>
      <w:i/>
      <w:iCs/>
    </w:rPr>
  </w:style>
  <w:style w:type="character" w:customStyle="1" w:styleId="Heading3Char">
    <w:name w:val="Heading 3 Char"/>
    <w:basedOn w:val="DefaultParagraphFont"/>
    <w:link w:val="Heading3"/>
    <w:uiPriority w:val="9"/>
    <w:rsid w:val="0014202A"/>
    <w:rPr>
      <w:rFonts w:ascii="Times New Roman" w:eastAsia="Times New Roman" w:hAnsi="Times New Roman" w:cs="Times New Roman"/>
      <w:b/>
      <w:bCs/>
      <w:sz w:val="27"/>
      <w:szCs w:val="27"/>
      <w:lang w:eastAsia="en-GB"/>
    </w:rPr>
  </w:style>
  <w:style w:type="paragraph" w:customStyle="1" w:styleId="bib-reference">
    <w:name w:val="bib-reference"/>
    <w:basedOn w:val="Normal"/>
    <w:rsid w:val="001420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142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8126">
      <w:bodyDiv w:val="1"/>
      <w:marLeft w:val="0"/>
      <w:marRight w:val="0"/>
      <w:marTop w:val="0"/>
      <w:marBottom w:val="0"/>
      <w:divBdr>
        <w:top w:val="none" w:sz="0" w:space="0" w:color="auto"/>
        <w:left w:val="none" w:sz="0" w:space="0" w:color="auto"/>
        <w:bottom w:val="none" w:sz="0" w:space="0" w:color="auto"/>
        <w:right w:val="none" w:sz="0" w:space="0" w:color="auto"/>
      </w:divBdr>
    </w:div>
    <w:div w:id="580606554">
      <w:bodyDiv w:val="1"/>
      <w:marLeft w:val="0"/>
      <w:marRight w:val="0"/>
      <w:marTop w:val="0"/>
      <w:marBottom w:val="0"/>
      <w:divBdr>
        <w:top w:val="none" w:sz="0" w:space="0" w:color="auto"/>
        <w:left w:val="none" w:sz="0" w:space="0" w:color="auto"/>
        <w:bottom w:val="none" w:sz="0" w:space="0" w:color="auto"/>
        <w:right w:val="none" w:sz="0" w:space="0" w:color="auto"/>
      </w:divBdr>
    </w:div>
    <w:div w:id="818810068">
      <w:bodyDiv w:val="1"/>
      <w:marLeft w:val="0"/>
      <w:marRight w:val="0"/>
      <w:marTop w:val="0"/>
      <w:marBottom w:val="0"/>
      <w:divBdr>
        <w:top w:val="none" w:sz="0" w:space="0" w:color="auto"/>
        <w:left w:val="none" w:sz="0" w:space="0" w:color="auto"/>
        <w:bottom w:val="none" w:sz="0" w:space="0" w:color="auto"/>
        <w:right w:val="none" w:sz="0" w:space="0" w:color="auto"/>
      </w:divBdr>
    </w:div>
    <w:div w:id="974724195">
      <w:bodyDiv w:val="1"/>
      <w:marLeft w:val="0"/>
      <w:marRight w:val="0"/>
      <w:marTop w:val="0"/>
      <w:marBottom w:val="0"/>
      <w:divBdr>
        <w:top w:val="none" w:sz="0" w:space="0" w:color="auto"/>
        <w:left w:val="none" w:sz="0" w:space="0" w:color="auto"/>
        <w:bottom w:val="none" w:sz="0" w:space="0" w:color="auto"/>
        <w:right w:val="none" w:sz="0" w:space="0" w:color="auto"/>
      </w:divBdr>
      <w:divsChild>
        <w:div w:id="1097478161">
          <w:marLeft w:val="0"/>
          <w:marRight w:val="0"/>
          <w:marTop w:val="0"/>
          <w:marBottom w:val="0"/>
          <w:divBdr>
            <w:top w:val="none" w:sz="0" w:space="0" w:color="auto"/>
            <w:left w:val="none" w:sz="0" w:space="0" w:color="auto"/>
            <w:bottom w:val="none" w:sz="0" w:space="0" w:color="auto"/>
            <w:right w:val="none" w:sz="0" w:space="0" w:color="auto"/>
          </w:divBdr>
        </w:div>
        <w:div w:id="344863052">
          <w:marLeft w:val="0"/>
          <w:marRight w:val="0"/>
          <w:marTop w:val="0"/>
          <w:marBottom w:val="0"/>
          <w:divBdr>
            <w:top w:val="none" w:sz="0" w:space="0" w:color="auto"/>
            <w:left w:val="none" w:sz="0" w:space="0" w:color="auto"/>
            <w:bottom w:val="none" w:sz="0" w:space="0" w:color="auto"/>
            <w:right w:val="none" w:sz="0" w:space="0" w:color="auto"/>
          </w:divBdr>
        </w:div>
        <w:div w:id="1085305895">
          <w:marLeft w:val="0"/>
          <w:marRight w:val="0"/>
          <w:marTop w:val="0"/>
          <w:marBottom w:val="0"/>
          <w:divBdr>
            <w:top w:val="none" w:sz="0" w:space="0" w:color="auto"/>
            <w:left w:val="none" w:sz="0" w:space="0" w:color="auto"/>
            <w:bottom w:val="none" w:sz="0" w:space="0" w:color="auto"/>
            <w:right w:val="none" w:sz="0" w:space="0" w:color="auto"/>
          </w:divBdr>
        </w:div>
        <w:div w:id="461536129">
          <w:marLeft w:val="0"/>
          <w:marRight w:val="0"/>
          <w:marTop w:val="0"/>
          <w:marBottom w:val="0"/>
          <w:divBdr>
            <w:top w:val="none" w:sz="0" w:space="0" w:color="auto"/>
            <w:left w:val="none" w:sz="0" w:space="0" w:color="auto"/>
            <w:bottom w:val="none" w:sz="0" w:space="0" w:color="auto"/>
            <w:right w:val="none" w:sz="0" w:space="0" w:color="auto"/>
          </w:divBdr>
        </w:div>
        <w:div w:id="499543240">
          <w:marLeft w:val="0"/>
          <w:marRight w:val="0"/>
          <w:marTop w:val="0"/>
          <w:marBottom w:val="0"/>
          <w:divBdr>
            <w:top w:val="none" w:sz="0" w:space="0" w:color="auto"/>
            <w:left w:val="none" w:sz="0" w:space="0" w:color="auto"/>
            <w:bottom w:val="none" w:sz="0" w:space="0" w:color="auto"/>
            <w:right w:val="none" w:sz="0" w:space="0" w:color="auto"/>
          </w:divBdr>
        </w:div>
        <w:div w:id="1294292908">
          <w:marLeft w:val="0"/>
          <w:marRight w:val="0"/>
          <w:marTop w:val="0"/>
          <w:marBottom w:val="0"/>
          <w:divBdr>
            <w:top w:val="none" w:sz="0" w:space="0" w:color="auto"/>
            <w:left w:val="none" w:sz="0" w:space="0" w:color="auto"/>
            <w:bottom w:val="none" w:sz="0" w:space="0" w:color="auto"/>
            <w:right w:val="none" w:sz="0" w:space="0" w:color="auto"/>
          </w:divBdr>
        </w:div>
        <w:div w:id="240334392">
          <w:marLeft w:val="0"/>
          <w:marRight w:val="0"/>
          <w:marTop w:val="0"/>
          <w:marBottom w:val="0"/>
          <w:divBdr>
            <w:top w:val="none" w:sz="0" w:space="0" w:color="auto"/>
            <w:left w:val="none" w:sz="0" w:space="0" w:color="auto"/>
            <w:bottom w:val="none" w:sz="0" w:space="0" w:color="auto"/>
            <w:right w:val="none" w:sz="0" w:space="0" w:color="auto"/>
          </w:divBdr>
        </w:div>
        <w:div w:id="563755066">
          <w:marLeft w:val="0"/>
          <w:marRight w:val="0"/>
          <w:marTop w:val="0"/>
          <w:marBottom w:val="0"/>
          <w:divBdr>
            <w:top w:val="none" w:sz="0" w:space="0" w:color="auto"/>
            <w:left w:val="none" w:sz="0" w:space="0" w:color="auto"/>
            <w:bottom w:val="none" w:sz="0" w:space="0" w:color="auto"/>
            <w:right w:val="none" w:sz="0" w:space="0" w:color="auto"/>
          </w:divBdr>
        </w:div>
        <w:div w:id="310407881">
          <w:marLeft w:val="0"/>
          <w:marRight w:val="0"/>
          <w:marTop w:val="0"/>
          <w:marBottom w:val="0"/>
          <w:divBdr>
            <w:top w:val="none" w:sz="0" w:space="0" w:color="auto"/>
            <w:left w:val="none" w:sz="0" w:space="0" w:color="auto"/>
            <w:bottom w:val="none" w:sz="0" w:space="0" w:color="auto"/>
            <w:right w:val="none" w:sz="0" w:space="0" w:color="auto"/>
          </w:divBdr>
        </w:div>
        <w:div w:id="796534758">
          <w:marLeft w:val="0"/>
          <w:marRight w:val="0"/>
          <w:marTop w:val="0"/>
          <w:marBottom w:val="0"/>
          <w:divBdr>
            <w:top w:val="none" w:sz="0" w:space="0" w:color="auto"/>
            <w:left w:val="none" w:sz="0" w:space="0" w:color="auto"/>
            <w:bottom w:val="none" w:sz="0" w:space="0" w:color="auto"/>
            <w:right w:val="none" w:sz="0" w:space="0" w:color="auto"/>
          </w:divBdr>
        </w:div>
        <w:div w:id="617373994">
          <w:marLeft w:val="0"/>
          <w:marRight w:val="0"/>
          <w:marTop w:val="0"/>
          <w:marBottom w:val="0"/>
          <w:divBdr>
            <w:top w:val="none" w:sz="0" w:space="0" w:color="auto"/>
            <w:left w:val="none" w:sz="0" w:space="0" w:color="auto"/>
            <w:bottom w:val="none" w:sz="0" w:space="0" w:color="auto"/>
            <w:right w:val="none" w:sz="0" w:space="0" w:color="auto"/>
          </w:divBdr>
        </w:div>
      </w:divsChild>
    </w:div>
    <w:div w:id="1014919184">
      <w:bodyDiv w:val="1"/>
      <w:marLeft w:val="0"/>
      <w:marRight w:val="0"/>
      <w:marTop w:val="0"/>
      <w:marBottom w:val="0"/>
      <w:divBdr>
        <w:top w:val="none" w:sz="0" w:space="0" w:color="auto"/>
        <w:left w:val="none" w:sz="0" w:space="0" w:color="auto"/>
        <w:bottom w:val="none" w:sz="0" w:space="0" w:color="auto"/>
        <w:right w:val="none" w:sz="0" w:space="0" w:color="auto"/>
      </w:divBdr>
      <w:divsChild>
        <w:div w:id="1721244584">
          <w:marLeft w:val="0"/>
          <w:marRight w:val="0"/>
          <w:marTop w:val="0"/>
          <w:marBottom w:val="0"/>
          <w:divBdr>
            <w:top w:val="none" w:sz="0" w:space="0" w:color="auto"/>
            <w:left w:val="none" w:sz="0" w:space="0" w:color="auto"/>
            <w:bottom w:val="none" w:sz="0" w:space="0" w:color="auto"/>
            <w:right w:val="none" w:sz="0" w:space="0" w:color="auto"/>
          </w:divBdr>
        </w:div>
        <w:div w:id="135683757">
          <w:marLeft w:val="0"/>
          <w:marRight w:val="0"/>
          <w:marTop w:val="0"/>
          <w:marBottom w:val="0"/>
          <w:divBdr>
            <w:top w:val="none" w:sz="0" w:space="0" w:color="auto"/>
            <w:left w:val="none" w:sz="0" w:space="0" w:color="auto"/>
            <w:bottom w:val="none" w:sz="0" w:space="0" w:color="auto"/>
            <w:right w:val="none" w:sz="0" w:space="0" w:color="auto"/>
          </w:divBdr>
        </w:div>
      </w:divsChild>
    </w:div>
    <w:div w:id="2000503090">
      <w:bodyDiv w:val="1"/>
      <w:marLeft w:val="0"/>
      <w:marRight w:val="0"/>
      <w:marTop w:val="0"/>
      <w:marBottom w:val="0"/>
      <w:divBdr>
        <w:top w:val="none" w:sz="0" w:space="0" w:color="auto"/>
        <w:left w:val="none" w:sz="0" w:space="0" w:color="auto"/>
        <w:bottom w:val="none" w:sz="0" w:space="0" w:color="auto"/>
        <w:right w:val="none" w:sz="0" w:space="0" w:color="auto"/>
      </w:divBdr>
      <w:divsChild>
        <w:div w:id="1401827873">
          <w:marLeft w:val="0"/>
          <w:marRight w:val="0"/>
          <w:marTop w:val="0"/>
          <w:marBottom w:val="0"/>
          <w:divBdr>
            <w:top w:val="none" w:sz="0" w:space="0" w:color="auto"/>
            <w:left w:val="none" w:sz="0" w:space="0" w:color="auto"/>
            <w:bottom w:val="none" w:sz="0" w:space="0" w:color="auto"/>
            <w:right w:val="none" w:sz="0" w:space="0" w:color="auto"/>
          </w:divBdr>
        </w:div>
        <w:div w:id="1012533359">
          <w:marLeft w:val="0"/>
          <w:marRight w:val="0"/>
          <w:marTop w:val="0"/>
          <w:marBottom w:val="0"/>
          <w:divBdr>
            <w:top w:val="none" w:sz="0" w:space="0" w:color="auto"/>
            <w:left w:val="none" w:sz="0" w:space="0" w:color="auto"/>
            <w:bottom w:val="none" w:sz="0" w:space="0" w:color="auto"/>
            <w:right w:val="none" w:sz="0" w:space="0" w:color="auto"/>
          </w:divBdr>
        </w:div>
        <w:div w:id="294725478">
          <w:marLeft w:val="0"/>
          <w:marRight w:val="0"/>
          <w:marTop w:val="0"/>
          <w:marBottom w:val="0"/>
          <w:divBdr>
            <w:top w:val="none" w:sz="0" w:space="0" w:color="auto"/>
            <w:left w:val="none" w:sz="0" w:space="0" w:color="auto"/>
            <w:bottom w:val="none" w:sz="0" w:space="0" w:color="auto"/>
            <w:right w:val="none" w:sz="0" w:space="0" w:color="auto"/>
          </w:divBdr>
        </w:div>
        <w:div w:id="324358965">
          <w:marLeft w:val="0"/>
          <w:marRight w:val="0"/>
          <w:marTop w:val="0"/>
          <w:marBottom w:val="0"/>
          <w:divBdr>
            <w:top w:val="none" w:sz="0" w:space="0" w:color="auto"/>
            <w:left w:val="none" w:sz="0" w:space="0" w:color="auto"/>
            <w:bottom w:val="none" w:sz="0" w:space="0" w:color="auto"/>
            <w:right w:val="none" w:sz="0" w:space="0" w:color="auto"/>
          </w:divBdr>
        </w:div>
        <w:div w:id="1213738368">
          <w:marLeft w:val="0"/>
          <w:marRight w:val="0"/>
          <w:marTop w:val="0"/>
          <w:marBottom w:val="0"/>
          <w:divBdr>
            <w:top w:val="none" w:sz="0" w:space="0" w:color="auto"/>
            <w:left w:val="none" w:sz="0" w:space="0" w:color="auto"/>
            <w:bottom w:val="none" w:sz="0" w:space="0" w:color="auto"/>
            <w:right w:val="none" w:sz="0" w:space="0" w:color="auto"/>
          </w:divBdr>
        </w:div>
        <w:div w:id="512695232">
          <w:marLeft w:val="0"/>
          <w:marRight w:val="0"/>
          <w:marTop w:val="0"/>
          <w:marBottom w:val="0"/>
          <w:divBdr>
            <w:top w:val="none" w:sz="0" w:space="0" w:color="auto"/>
            <w:left w:val="none" w:sz="0" w:space="0" w:color="auto"/>
            <w:bottom w:val="none" w:sz="0" w:space="0" w:color="auto"/>
            <w:right w:val="none" w:sz="0" w:space="0" w:color="auto"/>
          </w:divBdr>
        </w:div>
        <w:div w:id="442726664">
          <w:marLeft w:val="0"/>
          <w:marRight w:val="0"/>
          <w:marTop w:val="0"/>
          <w:marBottom w:val="0"/>
          <w:divBdr>
            <w:top w:val="none" w:sz="0" w:space="0" w:color="auto"/>
            <w:left w:val="none" w:sz="0" w:space="0" w:color="auto"/>
            <w:bottom w:val="none" w:sz="0" w:space="0" w:color="auto"/>
            <w:right w:val="none" w:sz="0" w:space="0" w:color="auto"/>
          </w:divBdr>
        </w:div>
        <w:div w:id="1222212897">
          <w:marLeft w:val="0"/>
          <w:marRight w:val="0"/>
          <w:marTop w:val="0"/>
          <w:marBottom w:val="0"/>
          <w:divBdr>
            <w:top w:val="none" w:sz="0" w:space="0" w:color="auto"/>
            <w:left w:val="none" w:sz="0" w:space="0" w:color="auto"/>
            <w:bottom w:val="none" w:sz="0" w:space="0" w:color="auto"/>
            <w:right w:val="none" w:sz="0" w:space="0" w:color="auto"/>
          </w:divBdr>
        </w:div>
        <w:div w:id="342128237">
          <w:marLeft w:val="0"/>
          <w:marRight w:val="0"/>
          <w:marTop w:val="0"/>
          <w:marBottom w:val="0"/>
          <w:divBdr>
            <w:top w:val="none" w:sz="0" w:space="0" w:color="auto"/>
            <w:left w:val="none" w:sz="0" w:space="0" w:color="auto"/>
            <w:bottom w:val="none" w:sz="0" w:space="0" w:color="auto"/>
            <w:right w:val="none" w:sz="0" w:space="0" w:color="auto"/>
          </w:divBdr>
        </w:div>
        <w:div w:id="1665695350">
          <w:marLeft w:val="0"/>
          <w:marRight w:val="0"/>
          <w:marTop w:val="0"/>
          <w:marBottom w:val="0"/>
          <w:divBdr>
            <w:top w:val="none" w:sz="0" w:space="0" w:color="auto"/>
            <w:left w:val="none" w:sz="0" w:space="0" w:color="auto"/>
            <w:bottom w:val="none" w:sz="0" w:space="0" w:color="auto"/>
            <w:right w:val="none" w:sz="0" w:space="0" w:color="auto"/>
          </w:divBdr>
        </w:div>
        <w:div w:id="260650871">
          <w:marLeft w:val="0"/>
          <w:marRight w:val="0"/>
          <w:marTop w:val="0"/>
          <w:marBottom w:val="0"/>
          <w:divBdr>
            <w:top w:val="none" w:sz="0" w:space="0" w:color="auto"/>
            <w:left w:val="none" w:sz="0" w:space="0" w:color="auto"/>
            <w:bottom w:val="none" w:sz="0" w:space="0" w:color="auto"/>
            <w:right w:val="none" w:sz="0" w:space="0" w:color="auto"/>
          </w:divBdr>
        </w:div>
        <w:div w:id="2039423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topics/psychology/posttraumatic-stress-disorder" TargetMode="External"/><Relationship Id="rId13" Type="http://schemas.openxmlformats.org/officeDocument/2006/relationships/hyperlink" Target="https://doi.org/10.1093/police/pau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3/police/pax03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scpolicingnetwork.com/2020/05/26/the-national-intelligence-mod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https://doi.org/10.1057/cpcs.201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Min21</b:Tag>
    <b:SourceType>DocumentFromInternetSite</b:SourceType>
    <b:Guid>{A60919F0-5700-4177-B521-9628761384C2}</b:Guid>
    <b:Title>Victims of crime: understanging the support you can expect</b:Title>
    <b:Year>2021</b:Year>
    <b:Author>
      <b:Author>
        <b:Corporate>Ministry of Justice</b:Corporate>
      </b:Author>
    </b:Author>
    <b:Month>April</b:Month>
    <b:YearAccessed>2022</b:YearAccessed>
    <b:MonthAccessed>August</b:MonthAccessed>
    <b:DayAccessed>20</b:DayAccessed>
    <b:URL>https://www.cleveland.pcc.police.uk/how-can-we-help/supporting-victims/pcc-duty-of-care-to-victims-and-victims-code-of-practice/</b:URL>
    <b:RefOrder>1</b:RefOrder>
  </b:Source>
</b:Sources>
</file>

<file path=customXml/itemProps1.xml><?xml version="1.0" encoding="utf-8"?>
<ds:datastoreItem xmlns:ds="http://schemas.openxmlformats.org/officeDocument/2006/customXml" ds:itemID="{B41C89BF-7E8F-4244-A422-4B95A191D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19</Pages>
  <Words>5456</Words>
  <Characters>31105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Keira Dunleavy (2103545)</dc:creator>
  <cp:keywords/>
  <dc:description/>
  <cp:lastModifiedBy>Dunleavy,Keira swp6842</cp:lastModifiedBy>
  <cp:revision>19</cp:revision>
  <dcterms:created xsi:type="dcterms:W3CDTF">2022-08-20T21:04:00Z</dcterms:created>
  <dcterms:modified xsi:type="dcterms:W3CDTF">2022-08-22T20:58:00Z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2022-08-20T21:03:02Z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8868e5c9-b088-4926-a898-1c3c82772cc1</vt:lpwstr>
  </property>
  <property fmtid="{D5CDD505-2E9C-101B-9397-08002B2CF9AE}" pid="8" name="MSIP_Label_66cf8fe5-b7b7-4df7-b38d-1c61ac2f6639_ContentBits">
    <vt:lpwstr>0</vt:lpwstr>
  </property>
</Properties>
</file>