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5CC75" w14:textId="1BE37948" w:rsidR="000573DD" w:rsidRDefault="000573DD">
      <w:pPr>
        <w:rPr>
          <w:sz w:val="28"/>
          <w:szCs w:val="28"/>
        </w:rPr>
      </w:pPr>
      <w:r w:rsidRPr="000573DD">
        <w:rPr>
          <w:sz w:val="28"/>
          <w:szCs w:val="28"/>
        </w:rPr>
        <w:t xml:space="preserve">Image </w:t>
      </w:r>
      <w:r w:rsidR="007F3118">
        <w:rPr>
          <w:sz w:val="28"/>
          <w:szCs w:val="28"/>
        </w:rPr>
        <w:t>analysis</w:t>
      </w:r>
      <w:r w:rsidRPr="000573DD">
        <w:rPr>
          <w:sz w:val="28"/>
          <w:szCs w:val="28"/>
        </w:rPr>
        <w:t xml:space="preserve"> of image 3</w:t>
      </w:r>
    </w:p>
    <w:p w14:paraId="26E3C8D1" w14:textId="4D3A93DA" w:rsidR="000573DD" w:rsidRDefault="000573DD">
      <w:r>
        <w:rPr>
          <w:noProof/>
        </w:rPr>
        <w:drawing>
          <wp:inline distT="0" distB="0" distL="0" distR="0" wp14:anchorId="5B46E18B" wp14:editId="55FB9C3F">
            <wp:extent cx="4041775" cy="5209540"/>
            <wp:effectExtent l="0" t="0" r="0" b="0"/>
            <wp:docPr id="267477466" name="Picture 1" descr="A drawing of a v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77466" name="Picture 1" descr="A drawing of a vase&#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041775" cy="5209540"/>
                    </a:xfrm>
                    <a:prstGeom prst="rect">
                      <a:avLst/>
                    </a:prstGeom>
                  </pic:spPr>
                </pic:pic>
              </a:graphicData>
            </a:graphic>
          </wp:inline>
        </w:drawing>
      </w:r>
    </w:p>
    <w:p w14:paraId="54B9BE5F" w14:textId="70B0B3BA" w:rsidR="005F6DFF" w:rsidRDefault="005F6DFF">
      <w:r>
        <w:t xml:space="preserve">This is the grave of the “Rich </w:t>
      </w:r>
      <w:r w:rsidR="00091436">
        <w:t>Lady of the Areiopagos</w:t>
      </w:r>
      <w:r>
        <w:t>”</w:t>
      </w:r>
      <w:r w:rsidR="00F21BD5">
        <w:t xml:space="preserve"> (or the </w:t>
      </w:r>
      <w:r w:rsidR="00664015">
        <w:t>“</w:t>
      </w:r>
      <w:r w:rsidR="00F21BD5">
        <w:t>Rich Athenian Lady</w:t>
      </w:r>
      <w:r w:rsidR="00664015">
        <w:t>”</w:t>
      </w:r>
      <w:r w:rsidR="00F21BD5">
        <w:t>)</w:t>
      </w:r>
      <w:r w:rsidR="009F4D90">
        <w:t xml:space="preserve">. It was found </w:t>
      </w:r>
      <w:r w:rsidR="00571F94">
        <w:t>close to the classical agora and the Athenian acropolis.</w:t>
      </w:r>
    </w:p>
    <w:p w14:paraId="19C3DCE9" w14:textId="1FEF1A1E" w:rsidR="00A751EB" w:rsidRDefault="00A751EB">
      <w:r>
        <w:t>Notably, the image shows that the tomb is relatively undisturbed, and entirely unlooted</w:t>
      </w:r>
      <w:r w:rsidR="00405312">
        <w:t>.</w:t>
      </w:r>
      <w:r w:rsidR="00051CEA">
        <w:t xml:space="preserve"> While this isn’t </w:t>
      </w:r>
      <w:r w:rsidR="00A539EF">
        <w:t xml:space="preserve">entirely </w:t>
      </w:r>
      <w:r w:rsidR="00051CEA">
        <w:t xml:space="preserve">unique, it </w:t>
      </w:r>
      <w:r w:rsidR="00564E90">
        <w:t>does allow for analysis that doesn’t have to be concerned with tampering on the site</w:t>
      </w:r>
      <w:r w:rsidR="00A539EF">
        <w:t xml:space="preserve">, in a way that a large number of other </w:t>
      </w:r>
      <w:r w:rsidR="00E31ED9">
        <w:t>sites do not</w:t>
      </w:r>
      <w:r w:rsidR="00564E90">
        <w:t>.</w:t>
      </w:r>
    </w:p>
    <w:p w14:paraId="5CACF62B" w14:textId="38DA7529" w:rsidR="000573DD" w:rsidRDefault="00DC11D3">
      <w:r>
        <w:t>The Grave</w:t>
      </w:r>
      <w:r w:rsidR="005F6DFF">
        <w:t xml:space="preserve"> depicted in the upper images </w:t>
      </w:r>
      <w:r>
        <w:t>contains a pair of large</w:t>
      </w:r>
      <w:r w:rsidR="00AE0A79">
        <w:t>, highly ornate</w:t>
      </w:r>
      <w:r>
        <w:t xml:space="preserve"> amphora</w:t>
      </w:r>
      <w:r w:rsidR="006E20FF">
        <w:t xml:space="preserve"> that have both been sealed with other ceramic vessels</w:t>
      </w:r>
      <w:r>
        <w:t xml:space="preserve">, </w:t>
      </w:r>
      <w:r w:rsidR="00577DB8">
        <w:t xml:space="preserve">the larger </w:t>
      </w:r>
      <w:r w:rsidR="00340EE8">
        <w:t>one of which contains the cremated remains of the buried individual.</w:t>
      </w:r>
      <w:r w:rsidR="005F6DFF">
        <w:t xml:space="preserve"> </w:t>
      </w:r>
      <w:r w:rsidR="00154144">
        <w:t>It also contains a</w:t>
      </w:r>
      <w:r w:rsidR="006A057D">
        <w:t>n ornamental</w:t>
      </w:r>
      <w:r w:rsidR="00154144">
        <w:t xml:space="preserve"> compass</w:t>
      </w:r>
      <w:r w:rsidR="00BC5FC6">
        <w:t xml:space="preserve"> or dial</w:t>
      </w:r>
      <w:r w:rsidR="008A4952">
        <w:t xml:space="preserve">, </w:t>
      </w:r>
      <w:r w:rsidR="00A414B0">
        <w:t xml:space="preserve">a small ceramic jug, </w:t>
      </w:r>
      <w:r w:rsidR="00154144">
        <w:t>and a</w:t>
      </w:r>
      <w:r w:rsidR="004B1D91">
        <w:t xml:space="preserve"> </w:t>
      </w:r>
      <w:r w:rsidR="0082144E">
        <w:t xml:space="preserve">ceramic chest with </w:t>
      </w:r>
      <w:r w:rsidR="00E31FC0">
        <w:t>five</w:t>
      </w:r>
      <w:r w:rsidR="0082144E">
        <w:t xml:space="preserve"> ceramic</w:t>
      </w:r>
      <w:r w:rsidR="00154144">
        <w:t xml:space="preserve"> granar</w:t>
      </w:r>
      <w:r w:rsidR="0082144E">
        <w:t>ies</w:t>
      </w:r>
      <w:r w:rsidR="008D3DF1">
        <w:t xml:space="preserve"> located on the lid</w:t>
      </w:r>
      <w:r w:rsidR="0082144E">
        <w:t>.</w:t>
      </w:r>
      <w:r w:rsidR="00C07F60">
        <w:br/>
        <w:t>The contents are notably atypical for graves from the period.</w:t>
      </w:r>
    </w:p>
    <w:p w14:paraId="63B4A798" w14:textId="36127B6E" w:rsidR="00013A9F" w:rsidRDefault="00013A9F">
      <w:r>
        <w:t>All of the ceramic vessels in the grave are very highly ornamental</w:t>
      </w:r>
      <w:r w:rsidR="00283DBE">
        <w:t>, implying a high level of wealth for the individual buried inside, h</w:t>
      </w:r>
      <w:r w:rsidR="0067618C">
        <w:t xml:space="preserve">owever, it is possible that the wealth is only </w:t>
      </w:r>
      <w:r w:rsidR="0067618C">
        <w:lastRenderedPageBreak/>
        <w:t xml:space="preserve">representative of the individual’s familial connections. Given that the burial would have been organised by the family, this is reasonably likely, though it should be noted that a high level of familial wealth would also likely </w:t>
      </w:r>
      <w:r w:rsidR="006405BE">
        <w:t>mean a high level of individual wealth for the buried individual.</w:t>
      </w:r>
    </w:p>
    <w:p w14:paraId="4B147F27" w14:textId="0BB0BBF9" w:rsidR="00640576" w:rsidRDefault="006C0002">
      <w:r>
        <w:t xml:space="preserve">The Largest of the amphora </w:t>
      </w:r>
      <w:r w:rsidR="00BD0615">
        <w:t xml:space="preserve">is </w:t>
      </w:r>
      <w:r w:rsidR="00E27C25">
        <w:t xml:space="preserve">sealed with another ceramic vessel, and is </w:t>
      </w:r>
      <w:r w:rsidR="00BD0615">
        <w:t xml:space="preserve">used to contain the remains of the individual buried, along with </w:t>
      </w:r>
      <w:r w:rsidR="00C522D6">
        <w:t xml:space="preserve">a number of pieces of </w:t>
      </w:r>
      <w:r w:rsidR="00483D88">
        <w:t>jewellery</w:t>
      </w:r>
      <w:r w:rsidR="00356D97">
        <w:t xml:space="preserve"> found among the remains</w:t>
      </w:r>
      <w:r w:rsidR="00B85B46">
        <w:t xml:space="preserve"> that </w:t>
      </w:r>
      <w:r w:rsidR="00356D97">
        <w:t>are</w:t>
      </w:r>
      <w:r w:rsidR="00B85B46">
        <w:t xml:space="preserve"> typical of </w:t>
      </w:r>
      <w:r w:rsidR="00812EE3">
        <w:t xml:space="preserve">female </w:t>
      </w:r>
      <w:r w:rsidR="00483D88">
        <w:t xml:space="preserve">burials of </w:t>
      </w:r>
      <w:r w:rsidR="00B85B46">
        <w:t xml:space="preserve">the </w:t>
      </w:r>
      <w:r w:rsidR="00483D88">
        <w:t>period</w:t>
      </w:r>
      <w:r w:rsidR="00C522D6">
        <w:t>.</w:t>
      </w:r>
      <w:r w:rsidR="001360E8">
        <w:rPr>
          <w:rStyle w:val="FootnoteReference"/>
        </w:rPr>
        <w:footnoteReference w:id="1"/>
      </w:r>
      <w:r w:rsidR="00812EE3">
        <w:t xml:space="preserve"> The fact that it is a neck handled amphora however, would imply a male burial, given that was the typical style of the time.</w:t>
      </w:r>
      <w:r w:rsidR="002F7CC9">
        <w:t xml:space="preserve"> A possible explanation for this lies in the remains inside, which have been found to include the remains of a </w:t>
      </w:r>
      <w:r w:rsidR="00F156FB">
        <w:t>foetus, 4-8 weeks premature</w:t>
      </w:r>
      <w:r w:rsidR="00DB528F">
        <w:t xml:space="preserve">, which may </w:t>
      </w:r>
      <w:r w:rsidR="00FF5D08">
        <w:t>explain the atypical burial</w:t>
      </w:r>
      <w:r w:rsidR="00640576">
        <w:t xml:space="preserve"> vessel</w:t>
      </w:r>
      <w:r w:rsidR="00FF5D08">
        <w:t>.</w:t>
      </w:r>
      <w:r w:rsidR="00F212B6">
        <w:rPr>
          <w:rStyle w:val="FootnoteReference"/>
        </w:rPr>
        <w:footnoteReference w:id="2"/>
      </w:r>
      <w:r w:rsidR="00640576">
        <w:br/>
        <w:t xml:space="preserve">In addition the dead (assumedly male) child is </w:t>
      </w:r>
      <w:r w:rsidR="001F4150">
        <w:t xml:space="preserve">possibly </w:t>
      </w:r>
      <w:r w:rsidR="0078691C">
        <w:t xml:space="preserve">the reason for the high amount of wealth (both symbolic and actual) found in the grave. However, this assumption would amount to little more than speculation, and it is just as likely that the </w:t>
      </w:r>
      <w:r w:rsidR="00BC363D">
        <w:t>wealth is that of the buried woman</w:t>
      </w:r>
      <w:r w:rsidR="00FF67CE">
        <w:t>.</w:t>
      </w:r>
      <w:r w:rsidR="00F94964">
        <w:br/>
        <w:t xml:space="preserve">These two assumptions </w:t>
      </w:r>
      <w:r w:rsidR="00DE137D">
        <w:t xml:space="preserve">have somewhat different </w:t>
      </w:r>
      <w:r w:rsidR="00F06301">
        <w:t>ramifications</w:t>
      </w:r>
      <w:r w:rsidR="00DE137D">
        <w:t>.</w:t>
      </w:r>
      <w:r w:rsidR="00F06301">
        <w:t xml:space="preserve"> In the case of the wealth being in the grave due to the presence of the child, along with both being buried in a male burial </w:t>
      </w:r>
      <w:r w:rsidR="0061609C">
        <w:t xml:space="preserve">amphora, could indicate a </w:t>
      </w:r>
      <w:r w:rsidR="00411443">
        <w:t>remarkably</w:t>
      </w:r>
      <w:r w:rsidR="0061609C">
        <w:t xml:space="preserve"> high level of importance placed on the children of the society</w:t>
      </w:r>
      <w:r w:rsidR="00411443">
        <w:t>, compared to the typically assumed low levels</w:t>
      </w:r>
      <w:r w:rsidR="0061609C">
        <w:t>.</w:t>
      </w:r>
      <w:r w:rsidR="00467C2E">
        <w:br/>
        <w:t xml:space="preserve">The other assumption that could be drawn from </w:t>
      </w:r>
      <w:r w:rsidR="00011EA2">
        <w:t xml:space="preserve">this particular piece of data is that </w:t>
      </w:r>
      <w:r w:rsidR="00502232">
        <w:t>women may have been able to hold a high-level of</w:t>
      </w:r>
      <w:r w:rsidR="00BC450E">
        <w:t xml:space="preserve"> societal</w:t>
      </w:r>
      <w:r w:rsidR="00502232">
        <w:t xml:space="preserve"> power</w:t>
      </w:r>
      <w:r w:rsidR="000D4EA8">
        <w:t xml:space="preserve"> or at the very least wealth.</w:t>
      </w:r>
      <w:r w:rsidR="00502232">
        <w:t xml:space="preserve"> </w:t>
      </w:r>
    </w:p>
    <w:p w14:paraId="77E38A3C" w14:textId="2B9F097D" w:rsidR="00534B6E" w:rsidRDefault="00534B6E" w:rsidP="00B84ECC">
      <w:r>
        <w:t xml:space="preserve">The </w:t>
      </w:r>
      <w:r w:rsidR="00E31FC0">
        <w:t xml:space="preserve">five </w:t>
      </w:r>
      <w:r>
        <w:t>granar</w:t>
      </w:r>
      <w:r w:rsidR="00E31FC0">
        <w:t>ies</w:t>
      </w:r>
      <w:r w:rsidR="00C747B7">
        <w:t xml:space="preserve"> that</w:t>
      </w:r>
      <w:r>
        <w:t xml:space="preserve"> </w:t>
      </w:r>
      <w:r w:rsidR="00E31FC0">
        <w:t>are</w:t>
      </w:r>
      <w:r w:rsidR="00C747B7">
        <w:t xml:space="preserve"> part of the lid of the chest are</w:t>
      </w:r>
      <w:r w:rsidR="00917946">
        <w:t xml:space="preserve"> most likely</w:t>
      </w:r>
      <w:r w:rsidR="00E66BAE">
        <w:t xml:space="preserve"> a</w:t>
      </w:r>
      <w:r>
        <w:t xml:space="preserve"> symbolic </w:t>
      </w:r>
      <w:r w:rsidR="00E66BAE">
        <w:t xml:space="preserve">representation </w:t>
      </w:r>
      <w:r>
        <w:t>of</w:t>
      </w:r>
      <w:r w:rsidR="00E66BAE">
        <w:t xml:space="preserve"> wealth</w:t>
      </w:r>
      <w:r w:rsidR="00175E58">
        <w:t xml:space="preserve">, or perhaps a decorative element given their </w:t>
      </w:r>
      <w:r w:rsidR="00584E60">
        <w:t>lack of function.</w:t>
      </w:r>
      <w:r w:rsidR="00B84ECC">
        <w:t xml:space="preserve"> A comparison could be made to the later Classical</w:t>
      </w:r>
      <w:r w:rsidR="00CA28A8">
        <w:t xml:space="preserve"> Athenian</w:t>
      </w:r>
      <w:r w:rsidR="00B84ECC">
        <w:t xml:space="preserve"> idea of the “pentakosiomedimnoi”, which would place the buried woman in an aristocratic status</w:t>
      </w:r>
      <w:r w:rsidR="00150D27">
        <w:t>.</w:t>
      </w:r>
      <w:r w:rsidR="005313EB">
        <w:rPr>
          <w:rStyle w:val="FootnoteReference"/>
        </w:rPr>
        <w:footnoteReference w:id="3"/>
      </w:r>
      <w:r w:rsidR="00AA74FA">
        <w:t xml:space="preserve"> This would require the five granaries to be symbolic of the five-hundred bushels of grain required to qualify for such a status.</w:t>
      </w:r>
      <w:r w:rsidR="003A6770">
        <w:rPr>
          <w:rStyle w:val="FootnoteReference"/>
        </w:rPr>
        <w:footnoteReference w:id="4"/>
      </w:r>
      <w:r w:rsidR="00AA74FA">
        <w:t xml:space="preserve"> However, caution should be used when comparing </w:t>
      </w:r>
      <w:r w:rsidR="0029016D">
        <w:t>the grave to later ideas that may not have been created at the time of the burial.</w:t>
      </w:r>
    </w:p>
    <w:p w14:paraId="29BEE760" w14:textId="1E64B73F" w:rsidR="004B1D91" w:rsidRDefault="004B1D91">
      <w:r>
        <w:t>The Type of grave is called an “urn hole”</w:t>
      </w:r>
      <w:r w:rsidR="00A43C2F">
        <w:t xml:space="preserve"> or “trench and hole” burial</w:t>
      </w:r>
      <w:r w:rsidR="00D667EE">
        <w:t>.</w:t>
      </w:r>
      <w:r w:rsidR="0073501B">
        <w:t xml:space="preserve"> It is a </w:t>
      </w:r>
      <w:r w:rsidR="006A18DD">
        <w:t xml:space="preserve">very </w:t>
      </w:r>
      <w:r w:rsidR="0073501B">
        <w:t>common burial type of th</w:t>
      </w:r>
      <w:r w:rsidR="00C07F60">
        <w:t>e</w:t>
      </w:r>
      <w:r w:rsidR="0073501B">
        <w:t xml:space="preserve"> period</w:t>
      </w:r>
      <w:r w:rsidR="00CC0D11">
        <w:t xml:space="preserve"> in Athens</w:t>
      </w:r>
      <w:r w:rsidR="003D15C0">
        <w:t>, and includes a rectangular trench that leads to a circular hole.</w:t>
      </w:r>
    </w:p>
    <w:p w14:paraId="702D7840" w14:textId="6FF8FC6D" w:rsidR="00981D05" w:rsidRDefault="00981D05">
      <w:r>
        <w:t xml:space="preserve">The Lower image depicts the grave and the area around it. It is remarkably helpful for clarifying the content of the </w:t>
      </w:r>
      <w:r w:rsidR="004D4779">
        <w:t xml:space="preserve">grave, as the other two images obscure several parts of the </w:t>
      </w:r>
      <w:r w:rsidR="004D4779">
        <w:lastRenderedPageBreak/>
        <w:t>grave goods</w:t>
      </w:r>
      <w:r w:rsidR="001755A3">
        <w:t xml:space="preserve">, particularly the chest with </w:t>
      </w:r>
      <w:r w:rsidR="00DA37EE">
        <w:t xml:space="preserve">ornamental </w:t>
      </w:r>
      <w:r w:rsidR="001755A3">
        <w:t>granaries on the lid</w:t>
      </w:r>
      <w:r w:rsidR="00DA37EE">
        <w:t>, of which only one is visible outside of the lower image</w:t>
      </w:r>
      <w:r w:rsidR="001755A3">
        <w:t>.</w:t>
      </w:r>
    </w:p>
    <w:p w14:paraId="5C8C06FD" w14:textId="7F485DCD" w:rsidR="00C80AAD" w:rsidRDefault="00C80AAD">
      <w:r>
        <w:t>The drawing itself is a good representation of what is inside of the urn hole</w:t>
      </w:r>
      <w:r w:rsidR="008D4D9F">
        <w:t>,</w:t>
      </w:r>
      <w:r w:rsidR="00A9664C">
        <w:t xml:space="preserve"> through detail</w:t>
      </w:r>
      <w:r w:rsidR="008D4D9F">
        <w:t xml:space="preserve"> </w:t>
      </w:r>
      <w:r w:rsidR="00DE1324">
        <w:t>leaving very few essential details to doubt, and well representing the organisation and scale of the</w:t>
      </w:r>
      <w:r w:rsidR="003B5CBF">
        <w:t xml:space="preserve"> tomb.</w:t>
      </w:r>
      <w:r w:rsidR="00DE1324">
        <w:t xml:space="preserve"> </w:t>
      </w:r>
      <w:r w:rsidR="008D4D9F">
        <w:t xml:space="preserve">though the angles at which it is drawn </w:t>
      </w:r>
      <w:r w:rsidR="00534D01">
        <w:t>does somewhat conceal a number of the burial goods</w:t>
      </w:r>
      <w:r>
        <w:t>.</w:t>
      </w:r>
    </w:p>
    <w:p w14:paraId="6C202B77" w14:textId="6E0C390A" w:rsidR="0060567E" w:rsidRDefault="00BA306E">
      <w:r>
        <w:t>While there are possible ramifications for th</w:t>
      </w:r>
      <w:r w:rsidR="00DD0FEB">
        <w:t xml:space="preserve">e </w:t>
      </w:r>
      <w:r>
        <w:t>atypical</w:t>
      </w:r>
      <w:r w:rsidR="00DD0FEB">
        <w:t xml:space="preserve"> pieces of this</w:t>
      </w:r>
      <w:r>
        <w:t xml:space="preserve"> burial</w:t>
      </w:r>
      <w:r w:rsidR="00324D6E">
        <w:t>, it should be kept in mind that making sweeping assumptions based on a single point of evidence would be a poor idea</w:t>
      </w:r>
      <w:r w:rsidR="00037578">
        <w:t>, as much of the assumptions that could be drawn from this burial are not found elsewhere.</w:t>
      </w:r>
    </w:p>
    <w:p w14:paraId="6D68674A" w14:textId="77777777" w:rsidR="00FB601A" w:rsidRDefault="00FB601A"/>
    <w:p w14:paraId="5819505D" w14:textId="34434665" w:rsidR="00FB601A" w:rsidRDefault="00FB601A">
      <w:r>
        <w:t>Bibliography:</w:t>
      </w:r>
    </w:p>
    <w:p w14:paraId="74398CEF" w14:textId="6CFBB00C" w:rsidR="00FB601A" w:rsidRDefault="00FB601A">
      <w:r w:rsidRPr="00FB601A">
        <w:t>Liston, Maria &amp; Papadopoulos, John. (2004). The “Rich Athenian Lady” Was Pregnant: The Anthropology of a Geometric Tomb Reconsidered. Hesperia. 73. 7-38. 10.2972/hesp.2004.73.1.7.</w:t>
      </w:r>
    </w:p>
    <w:p w14:paraId="4F7B0A22" w14:textId="11E16D82" w:rsidR="00FB601A" w:rsidRDefault="00C913A7">
      <w:r>
        <w:t xml:space="preserve">Lloyd, M. (2020). </w:t>
      </w:r>
      <w:r w:rsidRPr="00C913A7">
        <w:rPr>
          <w:i/>
          <w:iCs/>
        </w:rPr>
        <w:t>“A rich Athenian woman and child.”</w:t>
      </w:r>
      <w:r>
        <w:rPr>
          <w:i/>
          <w:iCs/>
        </w:rPr>
        <w:t xml:space="preserve"> </w:t>
      </w:r>
      <w:r>
        <w:t xml:space="preserve">Ancient World Magazine, </w:t>
      </w:r>
      <w:hyperlink r:id="rId8" w:history="1">
        <w:r w:rsidR="00B46FC2" w:rsidRPr="00751CE2">
          <w:rPr>
            <w:rStyle w:val="Hyperlink"/>
          </w:rPr>
          <w:t>https://www.ancientworldmagazine.com/articles/rich-athenian-woman-child/</w:t>
        </w:r>
      </w:hyperlink>
    </w:p>
    <w:p w14:paraId="4B2F052C" w14:textId="77777777" w:rsidR="00B46FC2" w:rsidRPr="00B46FC2" w:rsidRDefault="00B46FC2" w:rsidP="00B46FC2">
      <w:r w:rsidRPr="00B46FC2">
        <w:t xml:space="preserve">PAPADOPOULOS, JOHN K., et al. “THE EARLY IRON AGE: THE CEMETERIES.” </w:t>
      </w:r>
      <w:r w:rsidRPr="00B46FC2">
        <w:rPr>
          <w:i/>
          <w:iCs/>
        </w:rPr>
        <w:t>The Athenian Agora</w:t>
      </w:r>
      <w:r w:rsidRPr="00B46FC2">
        <w:t xml:space="preserve">, vol. 36, 2017, pp. iii–1046. </w:t>
      </w:r>
      <w:r w:rsidRPr="00B46FC2">
        <w:rPr>
          <w:i/>
          <w:iCs/>
        </w:rPr>
        <w:t>JSTOR</w:t>
      </w:r>
      <w:r w:rsidRPr="00B46FC2">
        <w:t>, https://www.jstor.org/stable/26505091. Accessed 15 Mar. 2025.</w:t>
      </w:r>
    </w:p>
    <w:p w14:paraId="169D7E13" w14:textId="77777777" w:rsidR="00F015B7" w:rsidRPr="00F015B7" w:rsidRDefault="00F015B7" w:rsidP="00F015B7">
      <w:r w:rsidRPr="00F015B7">
        <w:t xml:space="preserve">Coldstream, J. N. “The Rich Lady of the Areiopagos and Her Contemporaries: A Tribute in Memory of Evelyn Lord Smithson.” </w:t>
      </w:r>
      <w:r w:rsidRPr="00F015B7">
        <w:rPr>
          <w:i/>
          <w:iCs/>
        </w:rPr>
        <w:t>Hesperia: The Journal of the American School of Classical Studies at Athens</w:t>
      </w:r>
      <w:r w:rsidRPr="00F015B7">
        <w:t xml:space="preserve">, vol. 64, no. 4, 1995, pp. 391–403. </w:t>
      </w:r>
      <w:r w:rsidRPr="00F015B7">
        <w:rPr>
          <w:i/>
          <w:iCs/>
        </w:rPr>
        <w:t>JSTOR</w:t>
      </w:r>
      <w:r w:rsidRPr="00F015B7">
        <w:t>, https://doi.org/10.2307/148498. Accessed 15 Mar. 2025.</w:t>
      </w:r>
    </w:p>
    <w:p w14:paraId="39C86F82" w14:textId="77777777" w:rsidR="00B46FC2" w:rsidRPr="00C913A7" w:rsidRDefault="00B46FC2"/>
    <w:sectPr w:rsidR="00B46FC2" w:rsidRPr="00C913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8C4AB" w14:textId="77777777" w:rsidR="00BC3DDB" w:rsidRDefault="00BC3DDB" w:rsidP="00F212B6">
      <w:pPr>
        <w:spacing w:after="0" w:line="240" w:lineRule="auto"/>
      </w:pPr>
      <w:r>
        <w:separator/>
      </w:r>
    </w:p>
  </w:endnote>
  <w:endnote w:type="continuationSeparator" w:id="0">
    <w:p w14:paraId="09A4BEE0" w14:textId="77777777" w:rsidR="00BC3DDB" w:rsidRDefault="00BC3DDB" w:rsidP="00F21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C7E69" w14:textId="77777777" w:rsidR="00BC3DDB" w:rsidRDefault="00BC3DDB" w:rsidP="00F212B6">
      <w:pPr>
        <w:spacing w:after="0" w:line="240" w:lineRule="auto"/>
      </w:pPr>
      <w:r>
        <w:separator/>
      </w:r>
    </w:p>
  </w:footnote>
  <w:footnote w:type="continuationSeparator" w:id="0">
    <w:p w14:paraId="0A6C5040" w14:textId="77777777" w:rsidR="00BC3DDB" w:rsidRDefault="00BC3DDB" w:rsidP="00F212B6">
      <w:pPr>
        <w:spacing w:after="0" w:line="240" w:lineRule="auto"/>
      </w:pPr>
      <w:r>
        <w:continuationSeparator/>
      </w:r>
    </w:p>
  </w:footnote>
  <w:footnote w:id="1">
    <w:p w14:paraId="4B79A797" w14:textId="005C01B9" w:rsidR="001360E8" w:rsidRDefault="001360E8">
      <w:pPr>
        <w:pStyle w:val="FootnoteText"/>
      </w:pPr>
      <w:r>
        <w:rPr>
          <w:rStyle w:val="FootnoteReference"/>
        </w:rPr>
        <w:footnoteRef/>
      </w:r>
      <w:r>
        <w:t xml:space="preserve"> Lloyd, M. (2020). </w:t>
      </w:r>
      <w:r w:rsidRPr="00C913A7">
        <w:rPr>
          <w:i/>
          <w:iCs/>
        </w:rPr>
        <w:t>“A rich Athenian woman and child.”</w:t>
      </w:r>
    </w:p>
  </w:footnote>
  <w:footnote w:id="2">
    <w:p w14:paraId="6C269737" w14:textId="6E2F8FEE" w:rsidR="00F212B6" w:rsidRDefault="00F212B6">
      <w:pPr>
        <w:pStyle w:val="FootnoteText"/>
      </w:pPr>
      <w:r>
        <w:rPr>
          <w:rStyle w:val="FootnoteReference"/>
        </w:rPr>
        <w:footnoteRef/>
      </w:r>
      <w:r>
        <w:t xml:space="preserve"> </w:t>
      </w:r>
      <w:r w:rsidRPr="00FB601A">
        <w:t>Liston, Maria &amp; Papadopoulos, John. (2004). The “Rich Athenian Lady” Was Pregnant: The Anthropology of a Geometric Tomb Reconsidered. Hesperia.</w:t>
      </w:r>
    </w:p>
  </w:footnote>
  <w:footnote w:id="3">
    <w:p w14:paraId="2F08AD74" w14:textId="506D6C75" w:rsidR="005313EB" w:rsidRDefault="005313EB">
      <w:pPr>
        <w:pStyle w:val="FootnoteText"/>
      </w:pPr>
      <w:r>
        <w:rPr>
          <w:rStyle w:val="FootnoteReference"/>
        </w:rPr>
        <w:footnoteRef/>
      </w:r>
      <w:r>
        <w:t xml:space="preserve"> </w:t>
      </w:r>
      <w:r w:rsidRPr="00B46FC2">
        <w:t xml:space="preserve">PAPADOPOULOS, JOHN K., et al. “THE EARLY IRON AGE: THE CEMETERIES.” </w:t>
      </w:r>
      <w:r w:rsidRPr="00B46FC2">
        <w:rPr>
          <w:i/>
          <w:iCs/>
        </w:rPr>
        <w:t>The Athenian Agora</w:t>
      </w:r>
    </w:p>
  </w:footnote>
  <w:footnote w:id="4">
    <w:p w14:paraId="0878F08D" w14:textId="7420299D" w:rsidR="003A6770" w:rsidRDefault="003A6770">
      <w:pPr>
        <w:pStyle w:val="FootnoteText"/>
      </w:pPr>
      <w:r>
        <w:rPr>
          <w:rStyle w:val="FootnoteReference"/>
        </w:rPr>
        <w:footnoteRef/>
      </w:r>
      <w:r>
        <w:t xml:space="preserve"> </w:t>
      </w:r>
      <w:r w:rsidRPr="00B46FC2">
        <w:t xml:space="preserve">PAPADOPOULOS, JOHN K., et al. “THE EARLY IRON AGE: THE CEMETERIES.” </w:t>
      </w:r>
      <w:r w:rsidRPr="00B46FC2">
        <w:rPr>
          <w:i/>
          <w:iCs/>
        </w:rPr>
        <w:t>The Athenian Agora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3DD"/>
    <w:rsid w:val="00011EA2"/>
    <w:rsid w:val="00013A9F"/>
    <w:rsid w:val="00037578"/>
    <w:rsid w:val="00051CEA"/>
    <w:rsid w:val="000573DD"/>
    <w:rsid w:val="00091436"/>
    <w:rsid w:val="000B309F"/>
    <w:rsid w:val="000B5384"/>
    <w:rsid w:val="000D4EA8"/>
    <w:rsid w:val="000F7DF4"/>
    <w:rsid w:val="001360E8"/>
    <w:rsid w:val="00145713"/>
    <w:rsid w:val="00150D27"/>
    <w:rsid w:val="00154144"/>
    <w:rsid w:val="001755A3"/>
    <w:rsid w:val="00175E58"/>
    <w:rsid w:val="00177301"/>
    <w:rsid w:val="001F4150"/>
    <w:rsid w:val="00283DBE"/>
    <w:rsid w:val="00287DE8"/>
    <w:rsid w:val="0029016D"/>
    <w:rsid w:val="002B3711"/>
    <w:rsid w:val="002F7CC9"/>
    <w:rsid w:val="00321A18"/>
    <w:rsid w:val="00324D6E"/>
    <w:rsid w:val="00340EE8"/>
    <w:rsid w:val="00356D97"/>
    <w:rsid w:val="00372F6E"/>
    <w:rsid w:val="003A6770"/>
    <w:rsid w:val="003A6852"/>
    <w:rsid w:val="003B5CBF"/>
    <w:rsid w:val="003D15C0"/>
    <w:rsid w:val="00405312"/>
    <w:rsid w:val="00411443"/>
    <w:rsid w:val="00462A1C"/>
    <w:rsid w:val="00467C2E"/>
    <w:rsid w:val="00483D88"/>
    <w:rsid w:val="00487825"/>
    <w:rsid w:val="004B1D91"/>
    <w:rsid w:val="004D4779"/>
    <w:rsid w:val="00502232"/>
    <w:rsid w:val="005313EB"/>
    <w:rsid w:val="00534B6E"/>
    <w:rsid w:val="00534D01"/>
    <w:rsid w:val="005632F5"/>
    <w:rsid w:val="00564E90"/>
    <w:rsid w:val="00571F94"/>
    <w:rsid w:val="00577DB8"/>
    <w:rsid w:val="00584E60"/>
    <w:rsid w:val="005A2517"/>
    <w:rsid w:val="005F05B9"/>
    <w:rsid w:val="005F6DFF"/>
    <w:rsid w:val="0060567E"/>
    <w:rsid w:val="0061609C"/>
    <w:rsid w:val="00640576"/>
    <w:rsid w:val="006405BE"/>
    <w:rsid w:val="00664015"/>
    <w:rsid w:val="00674EE8"/>
    <w:rsid w:val="0067618C"/>
    <w:rsid w:val="006A057D"/>
    <w:rsid w:val="006A18DD"/>
    <w:rsid w:val="006A492F"/>
    <w:rsid w:val="006C0002"/>
    <w:rsid w:val="006E20FF"/>
    <w:rsid w:val="006E2B5C"/>
    <w:rsid w:val="0073501B"/>
    <w:rsid w:val="0078691C"/>
    <w:rsid w:val="007E33BF"/>
    <w:rsid w:val="007F3118"/>
    <w:rsid w:val="00812EE3"/>
    <w:rsid w:val="0082144E"/>
    <w:rsid w:val="00883C74"/>
    <w:rsid w:val="008A4952"/>
    <w:rsid w:val="008D1AEF"/>
    <w:rsid w:val="008D3DF1"/>
    <w:rsid w:val="008D4D9F"/>
    <w:rsid w:val="00917946"/>
    <w:rsid w:val="00966B27"/>
    <w:rsid w:val="00981D05"/>
    <w:rsid w:val="009F234E"/>
    <w:rsid w:val="009F4D90"/>
    <w:rsid w:val="009F6431"/>
    <w:rsid w:val="00A324FA"/>
    <w:rsid w:val="00A414B0"/>
    <w:rsid w:val="00A43C2F"/>
    <w:rsid w:val="00A539EF"/>
    <w:rsid w:val="00A61AF9"/>
    <w:rsid w:val="00A751EB"/>
    <w:rsid w:val="00A95A55"/>
    <w:rsid w:val="00A9664C"/>
    <w:rsid w:val="00AA74FA"/>
    <w:rsid w:val="00AD0A41"/>
    <w:rsid w:val="00AD28D0"/>
    <w:rsid w:val="00AE0A79"/>
    <w:rsid w:val="00B17BC4"/>
    <w:rsid w:val="00B46FC2"/>
    <w:rsid w:val="00B84ECC"/>
    <w:rsid w:val="00B85B46"/>
    <w:rsid w:val="00BA306E"/>
    <w:rsid w:val="00BC363D"/>
    <w:rsid w:val="00BC3DDB"/>
    <w:rsid w:val="00BC450E"/>
    <w:rsid w:val="00BC5FC6"/>
    <w:rsid w:val="00BD0615"/>
    <w:rsid w:val="00C07F60"/>
    <w:rsid w:val="00C25FF4"/>
    <w:rsid w:val="00C522D6"/>
    <w:rsid w:val="00C747B7"/>
    <w:rsid w:val="00C80AAD"/>
    <w:rsid w:val="00C913A7"/>
    <w:rsid w:val="00C96561"/>
    <w:rsid w:val="00CA28A8"/>
    <w:rsid w:val="00CC0D11"/>
    <w:rsid w:val="00CC63C9"/>
    <w:rsid w:val="00D667EE"/>
    <w:rsid w:val="00DA37EE"/>
    <w:rsid w:val="00DB528F"/>
    <w:rsid w:val="00DC0D67"/>
    <w:rsid w:val="00DC11D3"/>
    <w:rsid w:val="00DD0FEB"/>
    <w:rsid w:val="00DD3D0A"/>
    <w:rsid w:val="00DE1324"/>
    <w:rsid w:val="00DE137D"/>
    <w:rsid w:val="00E27C25"/>
    <w:rsid w:val="00E31ED9"/>
    <w:rsid w:val="00E31FC0"/>
    <w:rsid w:val="00E4480E"/>
    <w:rsid w:val="00E66BAE"/>
    <w:rsid w:val="00F015B7"/>
    <w:rsid w:val="00F06301"/>
    <w:rsid w:val="00F156FB"/>
    <w:rsid w:val="00F212B6"/>
    <w:rsid w:val="00F21BD5"/>
    <w:rsid w:val="00F43E30"/>
    <w:rsid w:val="00F94964"/>
    <w:rsid w:val="00F97271"/>
    <w:rsid w:val="00FB601A"/>
    <w:rsid w:val="00FF5D08"/>
    <w:rsid w:val="00FF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3C7D"/>
  <w15:chartTrackingRefBased/>
  <w15:docId w15:val="{42AC6D47-88BE-4C9A-9575-DC82978B4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3DD"/>
    <w:rPr>
      <w:rFonts w:eastAsiaTheme="majorEastAsia" w:cstheme="majorBidi"/>
      <w:color w:val="272727" w:themeColor="text1" w:themeTint="D8"/>
    </w:rPr>
  </w:style>
  <w:style w:type="paragraph" w:styleId="Title">
    <w:name w:val="Title"/>
    <w:basedOn w:val="Normal"/>
    <w:next w:val="Normal"/>
    <w:link w:val="TitleChar"/>
    <w:uiPriority w:val="10"/>
    <w:qFormat/>
    <w:rsid w:val="00057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3DD"/>
    <w:pPr>
      <w:spacing w:before="160"/>
      <w:jc w:val="center"/>
    </w:pPr>
    <w:rPr>
      <w:i/>
      <w:iCs/>
      <w:color w:val="404040" w:themeColor="text1" w:themeTint="BF"/>
    </w:rPr>
  </w:style>
  <w:style w:type="character" w:customStyle="1" w:styleId="QuoteChar">
    <w:name w:val="Quote Char"/>
    <w:basedOn w:val="DefaultParagraphFont"/>
    <w:link w:val="Quote"/>
    <w:uiPriority w:val="29"/>
    <w:rsid w:val="000573DD"/>
    <w:rPr>
      <w:i/>
      <w:iCs/>
      <w:color w:val="404040" w:themeColor="text1" w:themeTint="BF"/>
    </w:rPr>
  </w:style>
  <w:style w:type="paragraph" w:styleId="ListParagraph">
    <w:name w:val="List Paragraph"/>
    <w:basedOn w:val="Normal"/>
    <w:uiPriority w:val="34"/>
    <w:qFormat/>
    <w:rsid w:val="000573DD"/>
    <w:pPr>
      <w:ind w:left="720"/>
      <w:contextualSpacing/>
    </w:pPr>
  </w:style>
  <w:style w:type="character" w:styleId="IntenseEmphasis">
    <w:name w:val="Intense Emphasis"/>
    <w:basedOn w:val="DefaultParagraphFont"/>
    <w:uiPriority w:val="21"/>
    <w:qFormat/>
    <w:rsid w:val="000573DD"/>
    <w:rPr>
      <w:i/>
      <w:iCs/>
      <w:color w:val="0F4761" w:themeColor="accent1" w:themeShade="BF"/>
    </w:rPr>
  </w:style>
  <w:style w:type="paragraph" w:styleId="IntenseQuote">
    <w:name w:val="Intense Quote"/>
    <w:basedOn w:val="Normal"/>
    <w:next w:val="Normal"/>
    <w:link w:val="IntenseQuoteChar"/>
    <w:uiPriority w:val="30"/>
    <w:qFormat/>
    <w:rsid w:val="00057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3DD"/>
    <w:rPr>
      <w:i/>
      <w:iCs/>
      <w:color w:val="0F4761" w:themeColor="accent1" w:themeShade="BF"/>
    </w:rPr>
  </w:style>
  <w:style w:type="character" w:styleId="IntenseReference">
    <w:name w:val="Intense Reference"/>
    <w:basedOn w:val="DefaultParagraphFont"/>
    <w:uiPriority w:val="32"/>
    <w:qFormat/>
    <w:rsid w:val="000573DD"/>
    <w:rPr>
      <w:b/>
      <w:bCs/>
      <w:smallCaps/>
      <w:color w:val="0F4761" w:themeColor="accent1" w:themeShade="BF"/>
      <w:spacing w:val="5"/>
    </w:rPr>
  </w:style>
  <w:style w:type="paragraph" w:styleId="FootnoteText">
    <w:name w:val="footnote text"/>
    <w:basedOn w:val="Normal"/>
    <w:link w:val="FootnoteTextChar"/>
    <w:uiPriority w:val="99"/>
    <w:semiHidden/>
    <w:unhideWhenUsed/>
    <w:rsid w:val="00F212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12B6"/>
    <w:rPr>
      <w:sz w:val="20"/>
      <w:szCs w:val="20"/>
    </w:rPr>
  </w:style>
  <w:style w:type="character" w:styleId="FootnoteReference">
    <w:name w:val="footnote reference"/>
    <w:basedOn w:val="DefaultParagraphFont"/>
    <w:uiPriority w:val="99"/>
    <w:semiHidden/>
    <w:unhideWhenUsed/>
    <w:rsid w:val="00F212B6"/>
    <w:rPr>
      <w:vertAlign w:val="superscript"/>
    </w:rPr>
  </w:style>
  <w:style w:type="character" w:styleId="Hyperlink">
    <w:name w:val="Hyperlink"/>
    <w:basedOn w:val="DefaultParagraphFont"/>
    <w:uiPriority w:val="99"/>
    <w:unhideWhenUsed/>
    <w:rsid w:val="00B46FC2"/>
    <w:rPr>
      <w:color w:val="467886" w:themeColor="hyperlink"/>
      <w:u w:val="single"/>
    </w:rPr>
  </w:style>
  <w:style w:type="character" w:styleId="UnresolvedMention">
    <w:name w:val="Unresolved Mention"/>
    <w:basedOn w:val="DefaultParagraphFont"/>
    <w:uiPriority w:val="99"/>
    <w:semiHidden/>
    <w:unhideWhenUsed/>
    <w:rsid w:val="00B46FC2"/>
    <w:rPr>
      <w:color w:val="605E5C"/>
      <w:shd w:val="clear" w:color="auto" w:fill="E1DFDD"/>
    </w:rPr>
  </w:style>
  <w:style w:type="character" w:styleId="FollowedHyperlink">
    <w:name w:val="FollowedHyperlink"/>
    <w:basedOn w:val="DefaultParagraphFont"/>
    <w:uiPriority w:val="99"/>
    <w:semiHidden/>
    <w:unhideWhenUsed/>
    <w:rsid w:val="00DC0D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6874">
      <w:bodyDiv w:val="1"/>
      <w:marLeft w:val="0"/>
      <w:marRight w:val="0"/>
      <w:marTop w:val="0"/>
      <w:marBottom w:val="0"/>
      <w:divBdr>
        <w:top w:val="none" w:sz="0" w:space="0" w:color="auto"/>
        <w:left w:val="none" w:sz="0" w:space="0" w:color="auto"/>
        <w:bottom w:val="none" w:sz="0" w:space="0" w:color="auto"/>
        <w:right w:val="none" w:sz="0" w:space="0" w:color="auto"/>
      </w:divBdr>
    </w:div>
    <w:div w:id="369575882">
      <w:bodyDiv w:val="1"/>
      <w:marLeft w:val="0"/>
      <w:marRight w:val="0"/>
      <w:marTop w:val="0"/>
      <w:marBottom w:val="0"/>
      <w:divBdr>
        <w:top w:val="none" w:sz="0" w:space="0" w:color="auto"/>
        <w:left w:val="none" w:sz="0" w:space="0" w:color="auto"/>
        <w:bottom w:val="none" w:sz="0" w:space="0" w:color="auto"/>
        <w:right w:val="none" w:sz="0" w:space="0" w:color="auto"/>
      </w:divBdr>
    </w:div>
    <w:div w:id="512719965">
      <w:bodyDiv w:val="1"/>
      <w:marLeft w:val="0"/>
      <w:marRight w:val="0"/>
      <w:marTop w:val="0"/>
      <w:marBottom w:val="0"/>
      <w:divBdr>
        <w:top w:val="none" w:sz="0" w:space="0" w:color="auto"/>
        <w:left w:val="none" w:sz="0" w:space="0" w:color="auto"/>
        <w:bottom w:val="none" w:sz="0" w:space="0" w:color="auto"/>
        <w:right w:val="none" w:sz="0" w:space="0" w:color="auto"/>
      </w:divBdr>
      <w:divsChild>
        <w:div w:id="746028595">
          <w:marLeft w:val="0"/>
          <w:marRight w:val="0"/>
          <w:marTop w:val="0"/>
          <w:marBottom w:val="0"/>
          <w:divBdr>
            <w:top w:val="none" w:sz="0" w:space="0" w:color="auto"/>
            <w:left w:val="none" w:sz="0" w:space="0" w:color="auto"/>
            <w:bottom w:val="none" w:sz="0" w:space="0" w:color="auto"/>
            <w:right w:val="none" w:sz="0" w:space="0" w:color="auto"/>
          </w:divBdr>
          <w:divsChild>
            <w:div w:id="149444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110675">
      <w:bodyDiv w:val="1"/>
      <w:marLeft w:val="0"/>
      <w:marRight w:val="0"/>
      <w:marTop w:val="0"/>
      <w:marBottom w:val="0"/>
      <w:divBdr>
        <w:top w:val="none" w:sz="0" w:space="0" w:color="auto"/>
        <w:left w:val="none" w:sz="0" w:space="0" w:color="auto"/>
        <w:bottom w:val="none" w:sz="0" w:space="0" w:color="auto"/>
        <w:right w:val="none" w:sz="0" w:space="0" w:color="auto"/>
      </w:divBdr>
    </w:div>
    <w:div w:id="814952984">
      <w:bodyDiv w:val="1"/>
      <w:marLeft w:val="0"/>
      <w:marRight w:val="0"/>
      <w:marTop w:val="0"/>
      <w:marBottom w:val="0"/>
      <w:divBdr>
        <w:top w:val="none" w:sz="0" w:space="0" w:color="auto"/>
        <w:left w:val="none" w:sz="0" w:space="0" w:color="auto"/>
        <w:bottom w:val="none" w:sz="0" w:space="0" w:color="auto"/>
        <w:right w:val="none" w:sz="0" w:space="0" w:color="auto"/>
      </w:divBdr>
    </w:div>
    <w:div w:id="833112421">
      <w:bodyDiv w:val="1"/>
      <w:marLeft w:val="0"/>
      <w:marRight w:val="0"/>
      <w:marTop w:val="0"/>
      <w:marBottom w:val="0"/>
      <w:divBdr>
        <w:top w:val="none" w:sz="0" w:space="0" w:color="auto"/>
        <w:left w:val="none" w:sz="0" w:space="0" w:color="auto"/>
        <w:bottom w:val="none" w:sz="0" w:space="0" w:color="auto"/>
        <w:right w:val="none" w:sz="0" w:space="0" w:color="auto"/>
      </w:divBdr>
    </w:div>
    <w:div w:id="1196311285">
      <w:bodyDiv w:val="1"/>
      <w:marLeft w:val="0"/>
      <w:marRight w:val="0"/>
      <w:marTop w:val="0"/>
      <w:marBottom w:val="0"/>
      <w:divBdr>
        <w:top w:val="none" w:sz="0" w:space="0" w:color="auto"/>
        <w:left w:val="none" w:sz="0" w:space="0" w:color="auto"/>
        <w:bottom w:val="none" w:sz="0" w:space="0" w:color="auto"/>
        <w:right w:val="none" w:sz="0" w:space="0" w:color="auto"/>
      </w:divBdr>
      <w:divsChild>
        <w:div w:id="1731154888">
          <w:marLeft w:val="0"/>
          <w:marRight w:val="0"/>
          <w:marTop w:val="0"/>
          <w:marBottom w:val="0"/>
          <w:divBdr>
            <w:top w:val="none" w:sz="0" w:space="0" w:color="auto"/>
            <w:left w:val="none" w:sz="0" w:space="0" w:color="auto"/>
            <w:bottom w:val="none" w:sz="0" w:space="0" w:color="auto"/>
            <w:right w:val="none" w:sz="0" w:space="0" w:color="auto"/>
          </w:divBdr>
          <w:divsChild>
            <w:div w:id="136586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561778">
      <w:bodyDiv w:val="1"/>
      <w:marLeft w:val="0"/>
      <w:marRight w:val="0"/>
      <w:marTop w:val="0"/>
      <w:marBottom w:val="0"/>
      <w:divBdr>
        <w:top w:val="none" w:sz="0" w:space="0" w:color="auto"/>
        <w:left w:val="none" w:sz="0" w:space="0" w:color="auto"/>
        <w:bottom w:val="none" w:sz="0" w:space="0" w:color="auto"/>
        <w:right w:val="none" w:sz="0" w:space="0" w:color="auto"/>
      </w:divBdr>
      <w:divsChild>
        <w:div w:id="2069766712">
          <w:marLeft w:val="0"/>
          <w:marRight w:val="0"/>
          <w:marTop w:val="0"/>
          <w:marBottom w:val="0"/>
          <w:divBdr>
            <w:top w:val="none" w:sz="0" w:space="0" w:color="auto"/>
            <w:left w:val="none" w:sz="0" w:space="0" w:color="auto"/>
            <w:bottom w:val="none" w:sz="0" w:space="0" w:color="auto"/>
            <w:right w:val="none" w:sz="0" w:space="0" w:color="auto"/>
          </w:divBdr>
          <w:divsChild>
            <w:div w:id="199105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738079">
      <w:bodyDiv w:val="1"/>
      <w:marLeft w:val="0"/>
      <w:marRight w:val="0"/>
      <w:marTop w:val="0"/>
      <w:marBottom w:val="0"/>
      <w:divBdr>
        <w:top w:val="none" w:sz="0" w:space="0" w:color="auto"/>
        <w:left w:val="none" w:sz="0" w:space="0" w:color="auto"/>
        <w:bottom w:val="none" w:sz="0" w:space="0" w:color="auto"/>
        <w:right w:val="none" w:sz="0" w:space="0" w:color="auto"/>
      </w:divBdr>
    </w:div>
    <w:div w:id="1511800629">
      <w:bodyDiv w:val="1"/>
      <w:marLeft w:val="0"/>
      <w:marRight w:val="0"/>
      <w:marTop w:val="0"/>
      <w:marBottom w:val="0"/>
      <w:divBdr>
        <w:top w:val="none" w:sz="0" w:space="0" w:color="auto"/>
        <w:left w:val="none" w:sz="0" w:space="0" w:color="auto"/>
        <w:bottom w:val="none" w:sz="0" w:space="0" w:color="auto"/>
        <w:right w:val="none" w:sz="0" w:space="0" w:color="auto"/>
      </w:divBdr>
      <w:divsChild>
        <w:div w:id="1592739894">
          <w:marLeft w:val="0"/>
          <w:marRight w:val="0"/>
          <w:marTop w:val="0"/>
          <w:marBottom w:val="0"/>
          <w:divBdr>
            <w:top w:val="none" w:sz="0" w:space="0" w:color="auto"/>
            <w:left w:val="none" w:sz="0" w:space="0" w:color="auto"/>
            <w:bottom w:val="none" w:sz="0" w:space="0" w:color="auto"/>
            <w:right w:val="none" w:sz="0" w:space="0" w:color="auto"/>
          </w:divBdr>
          <w:divsChild>
            <w:div w:id="180041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566918">
      <w:bodyDiv w:val="1"/>
      <w:marLeft w:val="0"/>
      <w:marRight w:val="0"/>
      <w:marTop w:val="0"/>
      <w:marBottom w:val="0"/>
      <w:divBdr>
        <w:top w:val="none" w:sz="0" w:space="0" w:color="auto"/>
        <w:left w:val="none" w:sz="0" w:space="0" w:color="auto"/>
        <w:bottom w:val="none" w:sz="0" w:space="0" w:color="auto"/>
        <w:right w:val="none" w:sz="0" w:space="0" w:color="auto"/>
      </w:divBdr>
    </w:div>
    <w:div w:id="161725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worldmagazine.com/articles/rich-athenian-woman-child/"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C67A7-E1CC-4E1F-99E8-58802F953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1827</TotalTime>
  <Pages>3</Pages>
  <Words>787</Words>
  <Characters>4491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150</cp:revision>
  <dcterms:created xsi:type="dcterms:W3CDTF">2025-03-14T11:32:00Z</dcterms:created>
  <dcterms:modified xsi:type="dcterms:W3CDTF">2025-03-15T18:40:00Z</dcterms:modified>
</cp:coreProperties>
</file>