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76B71" w14:textId="77777777" w:rsidR="00FD3DF9" w:rsidRDefault="00FD3DF9"/>
    <w:p w14:paraId="6EFEBAC0" w14:textId="33C1899F" w:rsidR="00F34693" w:rsidRDefault="00331652">
      <w:r>
        <w:rPr>
          <w:noProof/>
        </w:rPr>
        <w:drawing>
          <wp:inline distT="0" distB="0" distL="0" distR="0" wp14:anchorId="66DC0C5E" wp14:editId="762CC021">
            <wp:extent cx="5731073" cy="3028999"/>
            <wp:effectExtent l="0" t="0" r="3175" b="0"/>
            <wp:docPr id="5620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08332" name="Picture 56208332"/>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71616" cy="3050427"/>
                    </a:xfrm>
                    <a:prstGeom prst="rect">
                      <a:avLst/>
                    </a:prstGeom>
                  </pic:spPr>
                </pic:pic>
              </a:graphicData>
            </a:graphic>
          </wp:inline>
        </w:drawing>
      </w:r>
    </w:p>
    <w:p w14:paraId="464B8F91" w14:textId="720DE671" w:rsidR="0044372B" w:rsidRDefault="0044372B"/>
    <w:p w14:paraId="33676935" w14:textId="10FD6C41" w:rsidR="00C677EC" w:rsidRDefault="00C677EC" w:rsidP="00C677EC">
      <w:pPr>
        <w:spacing w:after="0" w:line="300" w:lineRule="atLeast"/>
        <w:rPr>
          <w:rFonts w:ascii="Comic Sans MS" w:eastAsia="Times New Roman" w:hAnsi="Comic Sans MS" w:cs="Segoe UI"/>
          <w:color w:val="4C94D8" w:themeColor="text2" w:themeTint="80"/>
          <w:kern w:val="0"/>
          <w:sz w:val="36"/>
          <w:szCs w:val="36"/>
          <w:u w:val="single"/>
          <w:lang w:eastAsia="en-GB"/>
          <w14:ligatures w14:val="none"/>
        </w:rPr>
      </w:pPr>
      <w:r w:rsidRPr="00C677EC">
        <w:rPr>
          <w:rFonts w:ascii="Comic Sans MS" w:eastAsia="Times New Roman" w:hAnsi="Comic Sans MS" w:cs="Segoe UI"/>
          <w:color w:val="4C94D8" w:themeColor="text2" w:themeTint="80"/>
          <w:kern w:val="0"/>
          <w:sz w:val="36"/>
          <w:szCs w:val="36"/>
          <w:u w:val="single"/>
          <w:lang w:eastAsia="en-GB"/>
          <w14:ligatures w14:val="none"/>
        </w:rPr>
        <w:t>Anxiety in Adult Mental Health Services:</w:t>
      </w:r>
      <w:r w:rsidRPr="00C677EC">
        <w:rPr>
          <w:rFonts w:ascii="Comic Sans MS" w:eastAsia="Times New Roman" w:hAnsi="Comic Sans MS" w:cs="Segoe UI"/>
          <w:color w:val="4C94D8" w:themeColor="text2" w:themeTint="80"/>
          <w:kern w:val="0"/>
          <w:sz w:val="36"/>
          <w:szCs w:val="36"/>
          <w:u w:val="single"/>
          <w:lang w:eastAsia="en-GB"/>
          <w14:ligatures w14:val="none"/>
        </w:rPr>
        <w:br/>
        <w:t>A Critical Evaluation of Historical and Contemporary Approaches to Therapy Assistant Practitioner Practice.</w:t>
      </w:r>
      <w:r w:rsidR="00911F41">
        <w:rPr>
          <w:rFonts w:ascii="Comic Sans MS" w:eastAsia="Times New Roman" w:hAnsi="Comic Sans MS" w:cs="Segoe UI"/>
          <w:color w:val="4C94D8" w:themeColor="text2" w:themeTint="80"/>
          <w:kern w:val="0"/>
          <w:sz w:val="36"/>
          <w:szCs w:val="36"/>
          <w:u w:val="single"/>
          <w:lang w:eastAsia="en-GB"/>
          <w14:ligatures w14:val="none"/>
        </w:rPr>
        <w:t xml:space="preserve"> </w:t>
      </w:r>
    </w:p>
    <w:p w14:paraId="4C96074D" w14:textId="5A4CE8C6" w:rsidR="00911F41" w:rsidRDefault="00911F41" w:rsidP="00C677EC">
      <w:pPr>
        <w:spacing w:after="0" w:line="300" w:lineRule="atLeast"/>
        <w:rPr>
          <w:rFonts w:ascii="Comic Sans MS" w:eastAsia="Times New Roman" w:hAnsi="Comic Sans MS" w:cs="Segoe UI"/>
          <w:color w:val="4C94D8" w:themeColor="text2" w:themeTint="80"/>
          <w:kern w:val="0"/>
          <w:sz w:val="36"/>
          <w:szCs w:val="36"/>
          <w:u w:val="single"/>
          <w:lang w:eastAsia="en-GB"/>
          <w14:ligatures w14:val="none"/>
        </w:rPr>
      </w:pPr>
      <w:r>
        <w:rPr>
          <w:rFonts w:ascii="Comic Sans MS" w:eastAsia="Times New Roman" w:hAnsi="Comic Sans MS" w:cs="Segoe UI"/>
          <w:color w:val="4C94D8" w:themeColor="text2" w:themeTint="80"/>
          <w:kern w:val="0"/>
          <w:sz w:val="36"/>
          <w:szCs w:val="36"/>
          <w:u w:val="single"/>
          <w:lang w:eastAsia="en-GB"/>
          <w14:ligatures w14:val="none"/>
        </w:rPr>
        <w:t xml:space="preserve">By Samantha Alozie </w:t>
      </w:r>
    </w:p>
    <w:p w14:paraId="5D97D0CD" w14:textId="6BC0C7A7" w:rsidR="00712108" w:rsidRPr="00C677EC" w:rsidRDefault="00712108" w:rsidP="00C677EC">
      <w:pPr>
        <w:spacing w:after="0" w:line="300" w:lineRule="atLeast"/>
        <w:rPr>
          <w:rFonts w:ascii="Comic Sans MS" w:eastAsia="Times New Roman" w:hAnsi="Comic Sans MS" w:cs="Segoe UI"/>
          <w:color w:val="4C94D8" w:themeColor="text2" w:themeTint="80"/>
          <w:kern w:val="0"/>
          <w:sz w:val="36"/>
          <w:szCs w:val="36"/>
          <w:u w:val="single"/>
          <w:lang w:eastAsia="en-GB"/>
          <w14:ligatures w14:val="none"/>
        </w:rPr>
      </w:pPr>
      <w:r>
        <w:rPr>
          <w:rFonts w:ascii="Comic Sans MS" w:eastAsia="Times New Roman" w:hAnsi="Comic Sans MS" w:cs="Segoe UI"/>
          <w:color w:val="4C94D8" w:themeColor="text2" w:themeTint="80"/>
          <w:kern w:val="0"/>
          <w:sz w:val="36"/>
          <w:szCs w:val="36"/>
          <w:u w:val="single"/>
          <w:lang w:eastAsia="en-GB"/>
          <w14:ligatures w14:val="none"/>
        </w:rPr>
        <w:t xml:space="preserve">Student number </w:t>
      </w:r>
      <w:r w:rsidR="00E32152">
        <w:rPr>
          <w:rFonts w:ascii="Comic Sans MS" w:eastAsia="Times New Roman" w:hAnsi="Comic Sans MS" w:cs="Segoe UI"/>
          <w:color w:val="4C94D8" w:themeColor="text2" w:themeTint="80"/>
          <w:kern w:val="0"/>
          <w:sz w:val="36"/>
          <w:szCs w:val="36"/>
          <w:u w:val="single"/>
          <w:lang w:eastAsia="en-GB"/>
          <w14:ligatures w14:val="none"/>
        </w:rPr>
        <w:t>2518</w:t>
      </w:r>
      <w:r w:rsidR="00D126A8">
        <w:rPr>
          <w:rFonts w:ascii="Comic Sans MS" w:eastAsia="Times New Roman" w:hAnsi="Comic Sans MS" w:cs="Segoe UI"/>
          <w:color w:val="4C94D8" w:themeColor="text2" w:themeTint="80"/>
          <w:kern w:val="0"/>
          <w:sz w:val="36"/>
          <w:szCs w:val="36"/>
          <w:u w:val="single"/>
          <w:lang w:eastAsia="en-GB"/>
          <w14:ligatures w14:val="none"/>
        </w:rPr>
        <w:t>396</w:t>
      </w:r>
    </w:p>
    <w:p w14:paraId="4B45615A" w14:textId="38562C88" w:rsidR="0092622B" w:rsidRPr="009A42F3" w:rsidRDefault="0092622B" w:rsidP="0092622B">
      <w:pPr>
        <w:spacing w:after="0" w:line="300" w:lineRule="atLeast"/>
        <w:rPr>
          <w:rFonts w:ascii="Segoe UI" w:eastAsia="Times New Roman" w:hAnsi="Segoe UI" w:cs="Segoe UI"/>
          <w:kern w:val="0"/>
          <w:sz w:val="36"/>
          <w:szCs w:val="36"/>
          <w:u w:val="single"/>
          <w:lang w:eastAsia="en-GB"/>
          <w14:ligatures w14:val="none"/>
        </w:rPr>
      </w:pPr>
    </w:p>
    <w:p w14:paraId="1A4E747D" w14:textId="77777777" w:rsidR="0044372B" w:rsidRDefault="0044372B">
      <w:pPr>
        <w:rPr>
          <w:sz w:val="36"/>
          <w:szCs w:val="36"/>
          <w:u w:val="single"/>
        </w:rPr>
      </w:pPr>
      <w:r w:rsidRPr="009A42F3">
        <w:rPr>
          <w:sz w:val="36"/>
          <w:szCs w:val="36"/>
          <w:u w:val="single"/>
        </w:rPr>
        <w:br w:type="page"/>
      </w:r>
    </w:p>
    <w:p w14:paraId="534B7612" w14:textId="77777777" w:rsidR="00911F41" w:rsidRPr="009A42F3" w:rsidRDefault="00911F41">
      <w:pPr>
        <w:rPr>
          <w:sz w:val="36"/>
          <w:szCs w:val="36"/>
          <w:u w:val="single"/>
        </w:rPr>
      </w:pPr>
    </w:p>
    <w:p w14:paraId="67CE57DF" w14:textId="6C7A062D" w:rsidR="0073512C" w:rsidRPr="00626761" w:rsidRDefault="0044372B" w:rsidP="00626761">
      <w:pPr>
        <w:spacing w:line="360" w:lineRule="auto"/>
        <w:rPr>
          <w:rFonts w:ascii="Calibri" w:hAnsi="Calibri" w:cs="Calibri"/>
          <w:sz w:val="40"/>
          <w:szCs w:val="40"/>
        </w:rPr>
      </w:pPr>
      <w:proofErr w:type="gramStart"/>
      <w:r w:rsidRPr="00626761">
        <w:rPr>
          <w:rFonts w:ascii="Calibri" w:hAnsi="Calibri" w:cs="Calibri"/>
          <w:sz w:val="40"/>
          <w:szCs w:val="40"/>
        </w:rPr>
        <w:t xml:space="preserve">Contents </w:t>
      </w:r>
      <w:r w:rsidR="00DD3249" w:rsidRPr="00626761">
        <w:rPr>
          <w:rFonts w:ascii="Calibri" w:hAnsi="Calibri" w:cs="Calibri"/>
          <w:sz w:val="40"/>
          <w:szCs w:val="40"/>
        </w:rPr>
        <w:t>.</w:t>
      </w:r>
      <w:proofErr w:type="gramEnd"/>
    </w:p>
    <w:p w14:paraId="2456A02A" w14:textId="55F2090E" w:rsidR="00446DF2" w:rsidRPr="006C3C41" w:rsidRDefault="00AC495F" w:rsidP="00626761">
      <w:pPr>
        <w:spacing w:line="360" w:lineRule="auto"/>
        <w:rPr>
          <w:rFonts w:ascii="Calibri" w:hAnsi="Calibri" w:cs="Calibri"/>
          <w:sz w:val="24"/>
          <w:szCs w:val="24"/>
        </w:rPr>
      </w:pPr>
      <w:r w:rsidRPr="006C3C41">
        <w:rPr>
          <w:rFonts w:ascii="Calibri" w:hAnsi="Calibri" w:cs="Calibri"/>
          <w:sz w:val="24"/>
          <w:szCs w:val="24"/>
        </w:rPr>
        <w:t xml:space="preserve">Page 1 </w:t>
      </w:r>
      <w:proofErr w:type="gramStart"/>
      <w:r w:rsidRPr="006C3C41">
        <w:rPr>
          <w:rFonts w:ascii="Calibri" w:hAnsi="Calibri" w:cs="Calibri"/>
          <w:sz w:val="24"/>
          <w:szCs w:val="24"/>
        </w:rPr>
        <w:t>….</w:t>
      </w:r>
      <w:r w:rsidR="003036AF" w:rsidRPr="006C3C41">
        <w:rPr>
          <w:rFonts w:ascii="Calibri" w:hAnsi="Calibri" w:cs="Calibri"/>
          <w:sz w:val="24"/>
          <w:szCs w:val="24"/>
        </w:rPr>
        <w:t>Front</w:t>
      </w:r>
      <w:proofErr w:type="gramEnd"/>
      <w:r w:rsidR="003036AF" w:rsidRPr="006C3C41">
        <w:rPr>
          <w:rFonts w:ascii="Calibri" w:hAnsi="Calibri" w:cs="Calibri"/>
          <w:sz w:val="24"/>
          <w:szCs w:val="24"/>
        </w:rPr>
        <w:t xml:space="preserve"> cover</w:t>
      </w:r>
      <w:r w:rsidR="005E73EB" w:rsidRPr="006C3C41">
        <w:rPr>
          <w:rFonts w:ascii="Calibri" w:hAnsi="Calibri" w:cs="Calibri"/>
          <w:sz w:val="24"/>
          <w:szCs w:val="24"/>
        </w:rPr>
        <w:t xml:space="preserve"> </w:t>
      </w:r>
      <w:r w:rsidRPr="006C3C41">
        <w:rPr>
          <w:rFonts w:ascii="Calibri" w:hAnsi="Calibri" w:cs="Calibri"/>
          <w:sz w:val="24"/>
          <w:szCs w:val="24"/>
        </w:rPr>
        <w:t xml:space="preserve">  </w:t>
      </w:r>
    </w:p>
    <w:p w14:paraId="72300520" w14:textId="6706F77F" w:rsidR="00446DF2" w:rsidRPr="006C3C41" w:rsidRDefault="00446DF2" w:rsidP="00626761">
      <w:pPr>
        <w:spacing w:line="360" w:lineRule="auto"/>
        <w:rPr>
          <w:rFonts w:ascii="Calibri" w:hAnsi="Calibri" w:cs="Calibri"/>
          <w:sz w:val="24"/>
          <w:szCs w:val="24"/>
        </w:rPr>
      </w:pPr>
      <w:r w:rsidRPr="006C3C41">
        <w:rPr>
          <w:rFonts w:ascii="Calibri" w:hAnsi="Calibri" w:cs="Calibri"/>
          <w:sz w:val="24"/>
          <w:szCs w:val="24"/>
        </w:rPr>
        <w:t xml:space="preserve">Page 2 </w:t>
      </w:r>
      <w:proofErr w:type="gramStart"/>
      <w:r w:rsidRPr="006C3C41">
        <w:rPr>
          <w:rFonts w:ascii="Calibri" w:hAnsi="Calibri" w:cs="Calibri"/>
          <w:sz w:val="24"/>
          <w:szCs w:val="24"/>
        </w:rPr>
        <w:t>….</w:t>
      </w:r>
      <w:r w:rsidR="003036AF" w:rsidRPr="006C3C41">
        <w:rPr>
          <w:rFonts w:ascii="Calibri" w:hAnsi="Calibri" w:cs="Calibri"/>
          <w:sz w:val="24"/>
          <w:szCs w:val="24"/>
        </w:rPr>
        <w:t>Contents</w:t>
      </w:r>
      <w:proofErr w:type="gramEnd"/>
      <w:r w:rsidR="003036AF" w:rsidRPr="006C3C41">
        <w:rPr>
          <w:rFonts w:ascii="Calibri" w:hAnsi="Calibri" w:cs="Calibri"/>
          <w:sz w:val="24"/>
          <w:szCs w:val="24"/>
        </w:rPr>
        <w:t xml:space="preserve"> </w:t>
      </w:r>
    </w:p>
    <w:p w14:paraId="2787F9E4" w14:textId="75A7F789" w:rsidR="007B684D" w:rsidRPr="006C3C41" w:rsidRDefault="00446DF2" w:rsidP="00626761">
      <w:pPr>
        <w:spacing w:line="360" w:lineRule="auto"/>
        <w:rPr>
          <w:rFonts w:ascii="Calibri" w:hAnsi="Calibri" w:cs="Calibri"/>
          <w:sz w:val="24"/>
          <w:szCs w:val="24"/>
        </w:rPr>
      </w:pPr>
      <w:r w:rsidRPr="006C3C41">
        <w:rPr>
          <w:rFonts w:ascii="Calibri" w:hAnsi="Calibri" w:cs="Calibri"/>
          <w:sz w:val="24"/>
          <w:szCs w:val="24"/>
        </w:rPr>
        <w:t>P</w:t>
      </w:r>
      <w:r w:rsidR="00684AF4" w:rsidRPr="006C3C41">
        <w:rPr>
          <w:rFonts w:ascii="Calibri" w:hAnsi="Calibri" w:cs="Calibri"/>
          <w:sz w:val="24"/>
          <w:szCs w:val="24"/>
        </w:rPr>
        <w:t>age 3 ….</w:t>
      </w:r>
      <w:r w:rsidR="009B2F4C" w:rsidRPr="006C3C41">
        <w:rPr>
          <w:rFonts w:ascii="Calibri" w:hAnsi="Calibri" w:cs="Calibri"/>
          <w:sz w:val="24"/>
          <w:szCs w:val="24"/>
        </w:rPr>
        <w:t xml:space="preserve"> Introduction</w:t>
      </w:r>
    </w:p>
    <w:p w14:paraId="70A67814" w14:textId="7EF1DD11" w:rsidR="007B684D" w:rsidRPr="006C3C41" w:rsidRDefault="007B684D" w:rsidP="00626761">
      <w:pPr>
        <w:spacing w:line="360" w:lineRule="auto"/>
        <w:rPr>
          <w:rFonts w:ascii="Calibri" w:hAnsi="Calibri" w:cs="Calibri"/>
          <w:sz w:val="24"/>
          <w:szCs w:val="24"/>
        </w:rPr>
      </w:pPr>
      <w:r w:rsidRPr="006C3C41">
        <w:rPr>
          <w:rFonts w:ascii="Calibri" w:hAnsi="Calibri" w:cs="Calibri"/>
          <w:sz w:val="24"/>
          <w:szCs w:val="24"/>
        </w:rPr>
        <w:t>Page 4 …</w:t>
      </w:r>
      <w:r w:rsidR="00D03EF4" w:rsidRPr="006C3C41">
        <w:rPr>
          <w:rFonts w:ascii="Calibri" w:hAnsi="Calibri" w:cs="Calibri"/>
          <w:sz w:val="24"/>
          <w:szCs w:val="24"/>
        </w:rPr>
        <w:t xml:space="preserve"> </w:t>
      </w:r>
      <w:r w:rsidR="009B2F4C" w:rsidRPr="006C3C41">
        <w:rPr>
          <w:rFonts w:ascii="Calibri" w:hAnsi="Calibri" w:cs="Calibri"/>
          <w:sz w:val="24"/>
          <w:szCs w:val="24"/>
        </w:rPr>
        <w:t xml:space="preserve">Case study </w:t>
      </w:r>
    </w:p>
    <w:p w14:paraId="0178260F" w14:textId="284F8634" w:rsidR="00D03EF4" w:rsidRPr="006C3C41" w:rsidRDefault="00D03EF4" w:rsidP="00626761">
      <w:pPr>
        <w:spacing w:line="360" w:lineRule="auto"/>
        <w:rPr>
          <w:rFonts w:ascii="Calibri" w:hAnsi="Calibri" w:cs="Calibri"/>
          <w:sz w:val="24"/>
          <w:szCs w:val="24"/>
        </w:rPr>
      </w:pPr>
      <w:r w:rsidRPr="006C3C41">
        <w:rPr>
          <w:rFonts w:ascii="Calibri" w:hAnsi="Calibri" w:cs="Calibri"/>
          <w:sz w:val="24"/>
          <w:szCs w:val="24"/>
        </w:rPr>
        <w:t>Page 5</w:t>
      </w:r>
      <w:r w:rsidR="00D075B2" w:rsidRPr="006C3C41">
        <w:rPr>
          <w:rFonts w:ascii="Calibri" w:hAnsi="Calibri" w:cs="Calibri"/>
          <w:sz w:val="24"/>
          <w:szCs w:val="24"/>
        </w:rPr>
        <w:t xml:space="preserve"> </w:t>
      </w:r>
      <w:r w:rsidR="00876E9E" w:rsidRPr="006C3C41">
        <w:rPr>
          <w:rFonts w:ascii="Calibri" w:hAnsi="Calibri" w:cs="Calibri"/>
          <w:sz w:val="24"/>
          <w:szCs w:val="24"/>
        </w:rPr>
        <w:t xml:space="preserve">…. </w:t>
      </w:r>
      <w:r w:rsidR="009B2F4C" w:rsidRPr="006C3C41">
        <w:rPr>
          <w:rFonts w:ascii="Calibri" w:hAnsi="Calibri" w:cs="Calibri"/>
          <w:sz w:val="24"/>
          <w:szCs w:val="24"/>
        </w:rPr>
        <w:t xml:space="preserve">Clinical condition </w:t>
      </w:r>
    </w:p>
    <w:p w14:paraId="7CCECE93" w14:textId="5C9AFA54" w:rsidR="00D03EF4" w:rsidRPr="006C3C41" w:rsidRDefault="00B87658" w:rsidP="00626761">
      <w:pPr>
        <w:spacing w:line="360" w:lineRule="auto"/>
        <w:rPr>
          <w:rFonts w:ascii="Calibri" w:hAnsi="Calibri" w:cs="Calibri"/>
          <w:sz w:val="24"/>
          <w:szCs w:val="24"/>
        </w:rPr>
      </w:pPr>
      <w:r w:rsidRPr="006C3C41">
        <w:rPr>
          <w:rFonts w:ascii="Calibri" w:hAnsi="Calibri" w:cs="Calibri"/>
          <w:sz w:val="24"/>
          <w:szCs w:val="24"/>
        </w:rPr>
        <w:t xml:space="preserve">Page </w:t>
      </w:r>
      <w:r w:rsidR="002A2478" w:rsidRPr="006C3C41">
        <w:rPr>
          <w:rFonts w:ascii="Calibri" w:hAnsi="Calibri" w:cs="Calibri"/>
          <w:sz w:val="24"/>
          <w:szCs w:val="24"/>
        </w:rPr>
        <w:t>6 ….</w:t>
      </w:r>
      <w:r w:rsidR="00876E9E" w:rsidRPr="006C3C41">
        <w:rPr>
          <w:rFonts w:ascii="Calibri" w:hAnsi="Calibri" w:cs="Calibri"/>
          <w:sz w:val="24"/>
          <w:szCs w:val="24"/>
        </w:rPr>
        <w:t xml:space="preserve"> </w:t>
      </w:r>
      <w:r w:rsidR="002A2478" w:rsidRPr="006C3C41">
        <w:rPr>
          <w:rFonts w:ascii="Calibri" w:hAnsi="Calibri" w:cs="Calibri"/>
          <w:sz w:val="24"/>
          <w:szCs w:val="24"/>
        </w:rPr>
        <w:t xml:space="preserve">Prevalence and impact </w:t>
      </w:r>
    </w:p>
    <w:p w14:paraId="3181E8B4" w14:textId="48EBFE43" w:rsidR="00D075B2" w:rsidRPr="006C3C41" w:rsidRDefault="00D075B2" w:rsidP="00626761">
      <w:pPr>
        <w:spacing w:line="360" w:lineRule="auto"/>
        <w:rPr>
          <w:rFonts w:ascii="Calibri" w:hAnsi="Calibri" w:cs="Calibri"/>
          <w:sz w:val="24"/>
          <w:szCs w:val="24"/>
        </w:rPr>
      </w:pPr>
      <w:r w:rsidRPr="006C3C41">
        <w:rPr>
          <w:rFonts w:ascii="Calibri" w:hAnsi="Calibri" w:cs="Calibri"/>
          <w:sz w:val="24"/>
          <w:szCs w:val="24"/>
        </w:rPr>
        <w:t xml:space="preserve">Page </w:t>
      </w:r>
      <w:r w:rsidR="002A2478" w:rsidRPr="006C3C41">
        <w:rPr>
          <w:rFonts w:ascii="Calibri" w:hAnsi="Calibri" w:cs="Calibri"/>
          <w:sz w:val="24"/>
          <w:szCs w:val="24"/>
        </w:rPr>
        <w:t>7</w:t>
      </w:r>
      <w:r w:rsidR="002D2E58" w:rsidRPr="006C3C41">
        <w:rPr>
          <w:rFonts w:ascii="Calibri" w:hAnsi="Calibri" w:cs="Calibri"/>
          <w:sz w:val="24"/>
          <w:szCs w:val="24"/>
        </w:rPr>
        <w:t>/8</w:t>
      </w:r>
      <w:r w:rsidR="002A2478" w:rsidRPr="006C3C41">
        <w:rPr>
          <w:rFonts w:ascii="Calibri" w:hAnsi="Calibri" w:cs="Calibri"/>
          <w:sz w:val="24"/>
          <w:szCs w:val="24"/>
        </w:rPr>
        <w:t xml:space="preserve"> </w:t>
      </w:r>
      <w:proofErr w:type="gramStart"/>
      <w:r w:rsidRPr="006C3C41">
        <w:rPr>
          <w:rFonts w:ascii="Calibri" w:hAnsi="Calibri" w:cs="Calibri"/>
          <w:sz w:val="24"/>
          <w:szCs w:val="24"/>
        </w:rPr>
        <w:t>….</w:t>
      </w:r>
      <w:r w:rsidR="002D2E58" w:rsidRPr="006C3C41">
        <w:rPr>
          <w:rFonts w:ascii="Calibri" w:hAnsi="Calibri" w:cs="Calibri"/>
          <w:sz w:val="24"/>
          <w:szCs w:val="24"/>
        </w:rPr>
        <w:t>Earlier</w:t>
      </w:r>
      <w:proofErr w:type="gramEnd"/>
      <w:r w:rsidR="002D2E58" w:rsidRPr="006C3C41">
        <w:rPr>
          <w:rFonts w:ascii="Calibri" w:hAnsi="Calibri" w:cs="Calibri"/>
          <w:sz w:val="24"/>
          <w:szCs w:val="24"/>
        </w:rPr>
        <w:t xml:space="preserve"> approaches</w:t>
      </w:r>
    </w:p>
    <w:p w14:paraId="08A1FE97" w14:textId="21FC9ECC" w:rsidR="00D075B2" w:rsidRPr="006C3C41" w:rsidRDefault="00D075B2" w:rsidP="00626761">
      <w:pPr>
        <w:spacing w:line="360" w:lineRule="auto"/>
        <w:rPr>
          <w:rFonts w:ascii="Calibri" w:hAnsi="Calibri" w:cs="Calibri"/>
          <w:sz w:val="24"/>
          <w:szCs w:val="24"/>
        </w:rPr>
      </w:pPr>
      <w:r w:rsidRPr="006C3C41">
        <w:rPr>
          <w:rFonts w:ascii="Calibri" w:hAnsi="Calibri" w:cs="Calibri"/>
          <w:sz w:val="24"/>
          <w:szCs w:val="24"/>
        </w:rPr>
        <w:t xml:space="preserve">Page 9 </w:t>
      </w:r>
      <w:r w:rsidR="00876E9E" w:rsidRPr="006C3C41">
        <w:rPr>
          <w:rFonts w:ascii="Calibri" w:hAnsi="Calibri" w:cs="Calibri"/>
          <w:sz w:val="24"/>
          <w:szCs w:val="24"/>
        </w:rPr>
        <w:t xml:space="preserve">…. </w:t>
      </w:r>
      <w:r w:rsidR="002D2E58" w:rsidRPr="006C3C41">
        <w:rPr>
          <w:rFonts w:ascii="Calibri" w:hAnsi="Calibri" w:cs="Calibri"/>
          <w:sz w:val="24"/>
          <w:szCs w:val="24"/>
        </w:rPr>
        <w:t>Current</w:t>
      </w:r>
      <w:r w:rsidR="00FD25B3" w:rsidRPr="006C3C41">
        <w:rPr>
          <w:rFonts w:ascii="Calibri" w:hAnsi="Calibri" w:cs="Calibri"/>
          <w:sz w:val="24"/>
          <w:szCs w:val="24"/>
        </w:rPr>
        <w:t xml:space="preserve"> approaches </w:t>
      </w:r>
      <w:r w:rsidRPr="006C3C41">
        <w:rPr>
          <w:rFonts w:ascii="Calibri" w:hAnsi="Calibri" w:cs="Calibri"/>
          <w:sz w:val="24"/>
          <w:szCs w:val="24"/>
        </w:rPr>
        <w:t xml:space="preserve"> </w:t>
      </w:r>
    </w:p>
    <w:p w14:paraId="716BD3A2" w14:textId="0B790559" w:rsidR="00D075B2" w:rsidRPr="006C3C41" w:rsidRDefault="00D075B2" w:rsidP="00626761">
      <w:pPr>
        <w:spacing w:line="360" w:lineRule="auto"/>
        <w:rPr>
          <w:rFonts w:ascii="Calibri" w:hAnsi="Calibri" w:cs="Calibri"/>
          <w:sz w:val="24"/>
          <w:szCs w:val="24"/>
        </w:rPr>
      </w:pPr>
      <w:r w:rsidRPr="006C3C41">
        <w:rPr>
          <w:rFonts w:ascii="Calibri" w:hAnsi="Calibri" w:cs="Calibri"/>
          <w:sz w:val="24"/>
          <w:szCs w:val="24"/>
        </w:rPr>
        <w:t>Page 10</w:t>
      </w:r>
      <w:r w:rsidR="00D01DBD" w:rsidRPr="006C3C41">
        <w:rPr>
          <w:rFonts w:ascii="Calibri" w:hAnsi="Calibri" w:cs="Calibri"/>
          <w:sz w:val="24"/>
          <w:szCs w:val="24"/>
        </w:rPr>
        <w:t xml:space="preserve"> </w:t>
      </w:r>
      <w:r w:rsidR="00FD25B3" w:rsidRPr="006C3C41">
        <w:rPr>
          <w:rFonts w:ascii="Calibri" w:hAnsi="Calibri" w:cs="Calibri"/>
          <w:sz w:val="24"/>
          <w:szCs w:val="24"/>
        </w:rPr>
        <w:t>…. Co production</w:t>
      </w:r>
    </w:p>
    <w:p w14:paraId="05BE6587" w14:textId="79FD31AA" w:rsidR="00D01DBD" w:rsidRPr="006C3C41" w:rsidRDefault="00D01DBD" w:rsidP="00626761">
      <w:pPr>
        <w:spacing w:line="360" w:lineRule="auto"/>
        <w:rPr>
          <w:rFonts w:ascii="Calibri" w:hAnsi="Calibri" w:cs="Calibri"/>
          <w:sz w:val="24"/>
          <w:szCs w:val="24"/>
        </w:rPr>
      </w:pPr>
      <w:r w:rsidRPr="006C3C41">
        <w:rPr>
          <w:rFonts w:ascii="Calibri" w:hAnsi="Calibri" w:cs="Calibri"/>
          <w:sz w:val="24"/>
          <w:szCs w:val="24"/>
        </w:rPr>
        <w:t>Page 11</w:t>
      </w:r>
      <w:proofErr w:type="gramStart"/>
      <w:r w:rsidR="00FD25B3" w:rsidRPr="006C3C41">
        <w:rPr>
          <w:rFonts w:ascii="Calibri" w:hAnsi="Calibri" w:cs="Calibri"/>
          <w:sz w:val="24"/>
          <w:szCs w:val="24"/>
        </w:rPr>
        <w:t>….</w:t>
      </w:r>
      <w:r w:rsidR="00792D14" w:rsidRPr="006C3C41">
        <w:rPr>
          <w:rFonts w:ascii="Calibri" w:hAnsi="Calibri" w:cs="Calibri"/>
          <w:sz w:val="24"/>
          <w:szCs w:val="24"/>
        </w:rPr>
        <w:t>Clinical</w:t>
      </w:r>
      <w:proofErr w:type="gramEnd"/>
      <w:r w:rsidR="00792D14" w:rsidRPr="006C3C41">
        <w:rPr>
          <w:rFonts w:ascii="Calibri" w:hAnsi="Calibri" w:cs="Calibri"/>
          <w:sz w:val="24"/>
          <w:szCs w:val="24"/>
        </w:rPr>
        <w:t xml:space="preserve"> governance </w:t>
      </w:r>
    </w:p>
    <w:p w14:paraId="2195A74A" w14:textId="3595B879" w:rsidR="00876E9E" w:rsidRPr="006C3C41" w:rsidRDefault="00876E9E" w:rsidP="00626761">
      <w:pPr>
        <w:spacing w:line="360" w:lineRule="auto"/>
        <w:rPr>
          <w:rFonts w:ascii="Calibri" w:hAnsi="Calibri" w:cs="Calibri"/>
          <w:sz w:val="24"/>
          <w:szCs w:val="24"/>
        </w:rPr>
      </w:pPr>
      <w:r w:rsidRPr="006C3C41">
        <w:rPr>
          <w:rFonts w:ascii="Calibri" w:hAnsi="Calibri" w:cs="Calibri"/>
          <w:sz w:val="24"/>
          <w:szCs w:val="24"/>
        </w:rPr>
        <w:t>Page 1</w:t>
      </w:r>
      <w:r w:rsidR="00627340" w:rsidRPr="006C3C41">
        <w:rPr>
          <w:rFonts w:ascii="Calibri" w:hAnsi="Calibri" w:cs="Calibri"/>
          <w:sz w:val="24"/>
          <w:szCs w:val="24"/>
        </w:rPr>
        <w:t>2</w:t>
      </w:r>
      <w:r w:rsidRPr="006C3C41">
        <w:rPr>
          <w:rFonts w:ascii="Calibri" w:hAnsi="Calibri" w:cs="Calibri"/>
          <w:sz w:val="24"/>
          <w:szCs w:val="24"/>
        </w:rPr>
        <w:t xml:space="preserve"> </w:t>
      </w:r>
      <w:proofErr w:type="gramStart"/>
      <w:r w:rsidRPr="006C3C41">
        <w:rPr>
          <w:rFonts w:ascii="Calibri" w:hAnsi="Calibri" w:cs="Calibri"/>
          <w:sz w:val="24"/>
          <w:szCs w:val="24"/>
        </w:rPr>
        <w:t>….</w:t>
      </w:r>
      <w:r w:rsidR="00237087" w:rsidRPr="006C3C41">
        <w:rPr>
          <w:rFonts w:ascii="Calibri" w:hAnsi="Calibri" w:cs="Calibri"/>
          <w:sz w:val="24"/>
          <w:szCs w:val="24"/>
        </w:rPr>
        <w:t>Conclusion</w:t>
      </w:r>
      <w:proofErr w:type="gramEnd"/>
      <w:r w:rsidR="00237087" w:rsidRPr="006C3C41">
        <w:rPr>
          <w:rFonts w:ascii="Calibri" w:hAnsi="Calibri" w:cs="Calibri"/>
          <w:sz w:val="24"/>
          <w:szCs w:val="24"/>
        </w:rPr>
        <w:t xml:space="preserve"> and recommendations </w:t>
      </w:r>
    </w:p>
    <w:p w14:paraId="3E0D7E11" w14:textId="0CAB00E3" w:rsidR="00284D74" w:rsidRPr="006C3C41" w:rsidRDefault="00284D74" w:rsidP="00626761">
      <w:pPr>
        <w:spacing w:line="360" w:lineRule="auto"/>
        <w:rPr>
          <w:rFonts w:ascii="Calibri" w:hAnsi="Calibri" w:cs="Calibri"/>
          <w:sz w:val="24"/>
          <w:szCs w:val="24"/>
        </w:rPr>
      </w:pPr>
      <w:r w:rsidRPr="006C3C41">
        <w:rPr>
          <w:rFonts w:ascii="Calibri" w:hAnsi="Calibri" w:cs="Calibri"/>
          <w:sz w:val="24"/>
          <w:szCs w:val="24"/>
        </w:rPr>
        <w:t xml:space="preserve">Page 13/14 …. References </w:t>
      </w:r>
    </w:p>
    <w:p w14:paraId="610945C5" w14:textId="12B214E5" w:rsidR="00284D74" w:rsidRDefault="00284D74" w:rsidP="00626761">
      <w:pPr>
        <w:spacing w:line="360" w:lineRule="auto"/>
        <w:rPr>
          <w:rFonts w:ascii="Calibri" w:hAnsi="Calibri" w:cs="Calibri"/>
          <w:sz w:val="24"/>
          <w:szCs w:val="24"/>
        </w:rPr>
      </w:pPr>
      <w:r w:rsidRPr="006C3C41">
        <w:rPr>
          <w:rFonts w:ascii="Calibri" w:hAnsi="Calibri" w:cs="Calibri"/>
          <w:sz w:val="24"/>
          <w:szCs w:val="24"/>
        </w:rPr>
        <w:t xml:space="preserve">Page 15 … Appendix </w:t>
      </w:r>
    </w:p>
    <w:p w14:paraId="440AC96C" w14:textId="77777777" w:rsidR="006C3C41" w:rsidRDefault="006C3C41" w:rsidP="00626761">
      <w:pPr>
        <w:spacing w:line="360" w:lineRule="auto"/>
        <w:rPr>
          <w:rFonts w:ascii="Calibri" w:hAnsi="Calibri" w:cs="Calibri"/>
          <w:sz w:val="24"/>
          <w:szCs w:val="24"/>
        </w:rPr>
      </w:pPr>
    </w:p>
    <w:p w14:paraId="1B05E0A6" w14:textId="77777777" w:rsidR="006C3C41" w:rsidRDefault="006C3C41" w:rsidP="00626761">
      <w:pPr>
        <w:spacing w:line="360" w:lineRule="auto"/>
        <w:rPr>
          <w:rFonts w:ascii="Calibri" w:hAnsi="Calibri" w:cs="Calibri"/>
          <w:sz w:val="24"/>
          <w:szCs w:val="24"/>
        </w:rPr>
      </w:pPr>
    </w:p>
    <w:p w14:paraId="3D43676D" w14:textId="77777777" w:rsidR="006C3C41" w:rsidRDefault="006C3C41" w:rsidP="00626761">
      <w:pPr>
        <w:spacing w:line="360" w:lineRule="auto"/>
        <w:rPr>
          <w:rFonts w:ascii="Calibri" w:hAnsi="Calibri" w:cs="Calibri"/>
          <w:sz w:val="24"/>
          <w:szCs w:val="24"/>
        </w:rPr>
      </w:pPr>
    </w:p>
    <w:p w14:paraId="00B6C035" w14:textId="77777777" w:rsidR="006C3C41" w:rsidRDefault="006C3C41" w:rsidP="00626761">
      <w:pPr>
        <w:spacing w:line="360" w:lineRule="auto"/>
        <w:rPr>
          <w:rFonts w:ascii="Calibri" w:hAnsi="Calibri" w:cs="Calibri"/>
          <w:sz w:val="24"/>
          <w:szCs w:val="24"/>
        </w:rPr>
      </w:pPr>
    </w:p>
    <w:p w14:paraId="3C9C32D9" w14:textId="77777777" w:rsidR="006C3C41" w:rsidRDefault="006C3C41" w:rsidP="00626761">
      <w:pPr>
        <w:spacing w:line="360" w:lineRule="auto"/>
        <w:rPr>
          <w:rFonts w:ascii="Calibri" w:hAnsi="Calibri" w:cs="Calibri"/>
          <w:sz w:val="24"/>
          <w:szCs w:val="24"/>
        </w:rPr>
      </w:pPr>
    </w:p>
    <w:p w14:paraId="6DE36BFB" w14:textId="77777777" w:rsidR="006C3C41" w:rsidRPr="006C3C41" w:rsidRDefault="006C3C41" w:rsidP="00626761">
      <w:pPr>
        <w:spacing w:line="360" w:lineRule="auto"/>
        <w:rPr>
          <w:rFonts w:ascii="Calibri" w:hAnsi="Calibri" w:cs="Calibri"/>
          <w:sz w:val="24"/>
          <w:szCs w:val="24"/>
        </w:rPr>
      </w:pPr>
    </w:p>
    <w:p w14:paraId="301A6C6C" w14:textId="77777777" w:rsidR="00E713CF" w:rsidRPr="00626761" w:rsidRDefault="00E713CF" w:rsidP="00626761">
      <w:pPr>
        <w:spacing w:line="360" w:lineRule="auto"/>
        <w:rPr>
          <w:rFonts w:ascii="Calibri" w:hAnsi="Calibri" w:cs="Calibri"/>
          <w:sz w:val="40"/>
          <w:szCs w:val="40"/>
        </w:rPr>
      </w:pPr>
    </w:p>
    <w:p w14:paraId="4825C817" w14:textId="02F45AFA" w:rsidR="00331652" w:rsidRPr="00E713CF" w:rsidRDefault="0073512C">
      <w:pPr>
        <w:rPr>
          <w:sz w:val="40"/>
          <w:szCs w:val="40"/>
        </w:rPr>
      </w:pPr>
      <w:r>
        <w:rPr>
          <w:rFonts w:ascii="Comic Sans MS" w:hAnsi="Comic Sans MS"/>
          <w:sz w:val="40"/>
          <w:szCs w:val="40"/>
        </w:rPr>
        <w:lastRenderedPageBreak/>
        <w:t xml:space="preserve">Introduction. </w:t>
      </w:r>
    </w:p>
    <w:p w14:paraId="04B1EB2D" w14:textId="20902FB3" w:rsidR="003B03B5" w:rsidRPr="00133C4C" w:rsidRDefault="003B03B5" w:rsidP="003B03B5">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Anxiety is one of the most prevalent mental health difficulties experienced by individuals accessing mental health services.</w:t>
      </w:r>
      <w:r w:rsidR="00581AF2">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It can affect people of all ages and backgrounds and may present as a primary diagnosis or as a co</w:t>
      </w:r>
      <w:r w:rsidRPr="00133C4C">
        <w:rPr>
          <w:rFonts w:ascii="Calibri" w:eastAsia="Times New Roman" w:hAnsi="Calibri" w:cs="Calibri"/>
          <w:kern w:val="0"/>
          <w:sz w:val="24"/>
          <w:szCs w:val="24"/>
          <w:lang w:eastAsia="en-GB"/>
          <w14:ligatures w14:val="none"/>
        </w:rPr>
        <w:noBreakHyphen/>
        <w:t>existing condition alongside depression, psychosis, trauma</w:t>
      </w:r>
      <w:r w:rsidRPr="00133C4C">
        <w:rPr>
          <w:rFonts w:ascii="Calibri" w:eastAsia="Times New Roman" w:hAnsi="Calibri" w:cs="Calibri"/>
          <w:kern w:val="0"/>
          <w:sz w:val="24"/>
          <w:szCs w:val="24"/>
          <w:lang w:eastAsia="en-GB"/>
          <w14:ligatures w14:val="none"/>
        </w:rPr>
        <w:noBreakHyphen/>
        <w:t>related disorders, or long</w:t>
      </w:r>
      <w:r w:rsidRPr="00133C4C">
        <w:rPr>
          <w:rFonts w:ascii="Calibri" w:eastAsia="Times New Roman" w:hAnsi="Calibri" w:cs="Calibri"/>
          <w:kern w:val="0"/>
          <w:sz w:val="24"/>
          <w:szCs w:val="24"/>
          <w:lang w:eastAsia="en-GB"/>
          <w14:ligatures w14:val="none"/>
        </w:rPr>
        <w:noBreakHyphen/>
        <w:t>term physical health conditions.</w:t>
      </w:r>
      <w:r w:rsidR="00581AF2">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Within mental health settings, anxiety can significantly impact an individual’s emotional wellbeing, confidence, and ability to engage in everyday activities.</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As a Therapy Assistant Practitioner (TAP), supporting individuals who experience anxiety is a frequent and important aspect of clinical practice.</w:t>
      </w:r>
    </w:p>
    <w:p w14:paraId="3897DB64" w14:textId="6E303A0A" w:rsidR="003B03B5" w:rsidRPr="00133C4C" w:rsidRDefault="003B03B5" w:rsidP="003B03B5">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This report explores anxiety within mental health from the perspective of a Therapy Assistant Practitioner working as part of a multidisciplinary team.</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 reader can expect to gain an overview of what anxiety is, common causes using a biopsychosocial framework, and the impact anxiety can have on mental health and daily functioning. </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 report will also highlight the role of the Therapy Assistant Practitioner in supporting individuals with anxiety, including observation, therapeutic engagement, and the implementation of interventions under the guidance and supervision of registered professionals.</w:t>
      </w:r>
    </w:p>
    <w:p w14:paraId="34C84E17" w14:textId="762F27A2" w:rsidR="003B03B5" w:rsidRPr="00133C4C" w:rsidRDefault="003B03B5" w:rsidP="003B03B5">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The parameters of this report are intentionally focused on practice</w:t>
      </w:r>
      <w:r w:rsidRPr="00133C4C">
        <w:rPr>
          <w:rFonts w:ascii="Calibri" w:eastAsia="Times New Roman" w:hAnsi="Calibri" w:cs="Calibri"/>
          <w:kern w:val="0"/>
          <w:sz w:val="24"/>
          <w:szCs w:val="24"/>
          <w:lang w:eastAsia="en-GB"/>
          <w14:ligatures w14:val="none"/>
        </w:rPr>
        <w:noBreakHyphen/>
        <w:t xml:space="preserve">based support rather than diagnosis or specialist psychological therapy. </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It will not explore pharmacological treatment in depth or advanced therapeutic models delivered by qualified clinicians. Instead, the emphasis will be on person</w:t>
      </w:r>
      <w:r w:rsidRPr="00133C4C">
        <w:rPr>
          <w:rFonts w:ascii="Calibri" w:eastAsia="Times New Roman" w:hAnsi="Calibri" w:cs="Calibri"/>
          <w:kern w:val="0"/>
          <w:sz w:val="24"/>
          <w:szCs w:val="24"/>
          <w:lang w:eastAsia="en-GB"/>
          <w14:ligatures w14:val="none"/>
        </w:rPr>
        <w:noBreakHyphen/>
        <w:t>centred, recovery</w:t>
      </w:r>
      <w:r w:rsidRPr="00133C4C">
        <w:rPr>
          <w:rFonts w:ascii="Calibri" w:eastAsia="Times New Roman" w:hAnsi="Calibri" w:cs="Calibri"/>
          <w:kern w:val="0"/>
          <w:sz w:val="24"/>
          <w:szCs w:val="24"/>
          <w:lang w:eastAsia="en-GB"/>
          <w14:ligatures w14:val="none"/>
        </w:rPr>
        <w:noBreakHyphen/>
        <w:t xml:space="preserve">focused approaches that are relevant to the Therapy Assistant Practitioner role within mental health services. </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 report is set within a UK mental health context and aligns with professional values such as maintaining boundaries, working within scope of practice, and promoting collaboration within the multidisciplinary team.</w:t>
      </w:r>
    </w:p>
    <w:p w14:paraId="5F3A544F" w14:textId="5C2243BE" w:rsidR="0073452C" w:rsidRPr="00133C4C" w:rsidRDefault="003B03B5" w:rsidP="003B03B5">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By focusing on practical support and therapeutic engagement, this report aims to demonstrate how Therapy Assistant Practitioners contribute to positive outcomes for individuals experiencing anxiety.</w:t>
      </w:r>
    </w:p>
    <w:p w14:paraId="17B8BF99" w14:textId="77777777" w:rsidR="00AC495F" w:rsidRPr="00133C4C" w:rsidRDefault="00AC495F">
      <w:pPr>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 xml:space="preserve">                                                   </w:t>
      </w:r>
    </w:p>
    <w:p w14:paraId="4A477EF8" w14:textId="77777777" w:rsidR="00AC495F" w:rsidRPr="00133C4C" w:rsidRDefault="00AC495F">
      <w:pPr>
        <w:rPr>
          <w:rFonts w:ascii="Calibri" w:eastAsia="Times New Roman" w:hAnsi="Calibri" w:cs="Calibri"/>
          <w:kern w:val="0"/>
          <w:sz w:val="24"/>
          <w:szCs w:val="24"/>
          <w:lang w:eastAsia="en-GB"/>
          <w14:ligatures w14:val="none"/>
        </w:rPr>
      </w:pPr>
    </w:p>
    <w:p w14:paraId="06AD73B7" w14:textId="77777777" w:rsidR="00AC495F" w:rsidRPr="00133C4C" w:rsidRDefault="00AC495F">
      <w:pPr>
        <w:rPr>
          <w:rFonts w:ascii="Calibri" w:eastAsia="Times New Roman" w:hAnsi="Calibri" w:cs="Calibri"/>
          <w:kern w:val="0"/>
          <w:sz w:val="24"/>
          <w:szCs w:val="24"/>
          <w:lang w:eastAsia="en-GB"/>
          <w14:ligatures w14:val="none"/>
        </w:rPr>
      </w:pPr>
    </w:p>
    <w:p w14:paraId="03E2D44C" w14:textId="77777777" w:rsidR="00AC495F" w:rsidRPr="00133C4C" w:rsidRDefault="00AC495F">
      <w:pPr>
        <w:rPr>
          <w:rFonts w:ascii="Calibri" w:eastAsia="Times New Roman" w:hAnsi="Calibri" w:cs="Calibri"/>
          <w:kern w:val="0"/>
          <w:sz w:val="24"/>
          <w:szCs w:val="24"/>
          <w:lang w:eastAsia="en-GB"/>
          <w14:ligatures w14:val="none"/>
        </w:rPr>
      </w:pPr>
    </w:p>
    <w:p w14:paraId="337867F4" w14:textId="77777777" w:rsidR="00AC495F" w:rsidRPr="00133C4C" w:rsidRDefault="00AC495F">
      <w:pPr>
        <w:rPr>
          <w:rFonts w:ascii="Calibri" w:eastAsia="Times New Roman" w:hAnsi="Calibri" w:cs="Calibri"/>
          <w:kern w:val="0"/>
          <w:sz w:val="24"/>
          <w:szCs w:val="24"/>
          <w:lang w:eastAsia="en-GB"/>
          <w14:ligatures w14:val="none"/>
        </w:rPr>
      </w:pPr>
    </w:p>
    <w:p w14:paraId="7665D83E" w14:textId="77777777" w:rsidR="00AC495F" w:rsidRPr="00133C4C" w:rsidRDefault="00AC495F">
      <w:pPr>
        <w:rPr>
          <w:rFonts w:ascii="Calibri" w:eastAsia="Times New Roman" w:hAnsi="Calibri" w:cs="Calibri"/>
          <w:kern w:val="0"/>
          <w:sz w:val="24"/>
          <w:szCs w:val="24"/>
          <w:lang w:eastAsia="en-GB"/>
          <w14:ligatures w14:val="none"/>
        </w:rPr>
      </w:pPr>
    </w:p>
    <w:p w14:paraId="0FAF0B1E" w14:textId="77777777" w:rsidR="00AC495F" w:rsidRPr="00133C4C" w:rsidRDefault="00AC495F">
      <w:pPr>
        <w:rPr>
          <w:rFonts w:ascii="Calibri" w:eastAsia="Times New Roman" w:hAnsi="Calibri" w:cs="Calibri"/>
          <w:kern w:val="0"/>
          <w:sz w:val="24"/>
          <w:szCs w:val="24"/>
          <w:lang w:eastAsia="en-GB"/>
          <w14:ligatures w14:val="none"/>
        </w:rPr>
      </w:pPr>
    </w:p>
    <w:p w14:paraId="3DA5A970" w14:textId="77777777" w:rsidR="00AC495F" w:rsidRPr="00133C4C" w:rsidRDefault="00AC495F">
      <w:pPr>
        <w:rPr>
          <w:rFonts w:ascii="Calibri" w:eastAsia="Times New Roman" w:hAnsi="Calibri" w:cs="Calibri"/>
          <w:kern w:val="0"/>
          <w:sz w:val="24"/>
          <w:szCs w:val="24"/>
          <w:lang w:eastAsia="en-GB"/>
          <w14:ligatures w14:val="none"/>
        </w:rPr>
      </w:pPr>
    </w:p>
    <w:p w14:paraId="5B4F2FF7" w14:textId="77777777" w:rsidR="00AC495F" w:rsidRPr="00133C4C" w:rsidRDefault="00AC495F">
      <w:pPr>
        <w:rPr>
          <w:rFonts w:ascii="Calibri" w:eastAsia="Times New Roman" w:hAnsi="Calibri" w:cs="Calibri"/>
          <w:kern w:val="0"/>
          <w:sz w:val="24"/>
          <w:szCs w:val="24"/>
          <w:lang w:eastAsia="en-GB"/>
          <w14:ligatures w14:val="none"/>
        </w:rPr>
      </w:pPr>
    </w:p>
    <w:p w14:paraId="298DB3E8" w14:textId="2A832FDC" w:rsidR="0073452C" w:rsidRPr="00133C4C" w:rsidRDefault="00AC495F">
      <w:pPr>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lastRenderedPageBreak/>
        <w:t xml:space="preserve">                                                                                                                                                                                             </w:t>
      </w:r>
    </w:p>
    <w:p w14:paraId="6DE24FA5" w14:textId="77777777" w:rsidR="0073452C" w:rsidRPr="00133C4C" w:rsidRDefault="0073452C" w:rsidP="0073452C">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t>Case Study: Supporting Anxiety in an Adult Mental Health Service</w:t>
      </w:r>
    </w:p>
    <w:p w14:paraId="1E165C70" w14:textId="0A106C96"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This case study is situated within an NHS Adult Community Mental Health Service, which supports individuals experiencing moderate to severe mental health difficulties.</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 service operates using a multidisciplinary team (MDT) approach, including Occupational Therapists, Community Psychiatric Nurses, Psychologists, Social Workers, Psychiatrists, and Therapy Assistant Practitioners (TAPs). Referrals are typically received from GPs or other secondary care services. Interventions focus on recovery, promoting independence, and improving functional ability.</w:t>
      </w:r>
    </w:p>
    <w:p w14:paraId="5AE4F2F4" w14:textId="33227E59"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Within this service, the Therapy Assistant Practitioner works under the supervision and delegation of a registered Occupational Therapist.</w:t>
      </w:r>
      <w:r w:rsidR="001C2A9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Tasks are allocated following MDT discussions and agreed care plans. The TAP’s roles and responsibilities include supporting therapeutic activities, delivering interventions delegated by qualified clinicians, observing service user presentation, promoting engagement, and feeding back progress or concerns to the MDT. The TAP does not diagnose or deliver specialist therapy independently but plays a key role in implementing care plans and supporting service users to develop coping strategies.</w:t>
      </w:r>
    </w:p>
    <w:p w14:paraId="1C49524F" w14:textId="77777777" w:rsidR="0073452C" w:rsidRPr="00133C4C" w:rsidRDefault="0073452C" w:rsidP="0073452C">
      <w:pPr>
        <w:spacing w:before="100" w:beforeAutospacing="1" w:after="100" w:afterAutospacing="1" w:line="300" w:lineRule="atLeast"/>
        <w:outlineLvl w:val="2"/>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t>Case Example</w:t>
      </w:r>
    </w:p>
    <w:p w14:paraId="43E7681B" w14:textId="6263CCA8"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 xml:space="preserve">The case presented involves </w:t>
      </w:r>
      <w:r w:rsidRPr="00133C4C">
        <w:rPr>
          <w:rFonts w:ascii="Calibri" w:eastAsia="Times New Roman" w:hAnsi="Calibri" w:cs="Calibri"/>
          <w:i/>
          <w:iCs/>
          <w:kern w:val="0"/>
          <w:sz w:val="24"/>
          <w:szCs w:val="24"/>
          <w:lang w:eastAsia="en-GB"/>
          <w14:ligatures w14:val="none"/>
        </w:rPr>
        <w:t>Mr A</w:t>
      </w:r>
      <w:r w:rsidRPr="00133C4C">
        <w:rPr>
          <w:rFonts w:ascii="Calibri" w:eastAsia="Times New Roman" w:hAnsi="Calibri" w:cs="Calibri"/>
          <w:kern w:val="0"/>
          <w:sz w:val="24"/>
          <w:szCs w:val="24"/>
          <w:lang w:eastAsia="en-GB"/>
          <w14:ligatures w14:val="none"/>
        </w:rPr>
        <w:t>, a 38</w:t>
      </w:r>
      <w:r w:rsidRPr="00133C4C">
        <w:rPr>
          <w:rFonts w:ascii="Calibri" w:eastAsia="Times New Roman" w:hAnsi="Calibri" w:cs="Calibri"/>
          <w:kern w:val="0"/>
          <w:sz w:val="24"/>
          <w:szCs w:val="24"/>
          <w:lang w:eastAsia="en-GB"/>
          <w14:ligatures w14:val="none"/>
        </w:rPr>
        <w:noBreakHyphen/>
        <w:t>year</w:t>
      </w:r>
      <w:r w:rsidRPr="00133C4C">
        <w:rPr>
          <w:rFonts w:ascii="Calibri" w:eastAsia="Times New Roman" w:hAnsi="Calibri" w:cs="Calibri"/>
          <w:kern w:val="0"/>
          <w:sz w:val="24"/>
          <w:szCs w:val="24"/>
          <w:lang w:eastAsia="en-GB"/>
          <w14:ligatures w14:val="none"/>
        </w:rPr>
        <w:noBreakHyphen/>
        <w:t>old male referred by his GP due to increasing anxiety, low mood, and withdrawal from daily activities.</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Mr A lives alone in social housing and is currently unemployed following redundancy. </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This referral is representative of a typical case allocated to a TAP due to the impact of anxiety on engagement and functional daily living.</w:t>
      </w:r>
    </w:p>
    <w:p w14:paraId="1F91B19F" w14:textId="77777777" w:rsidR="0073452C" w:rsidRPr="00133C4C" w:rsidRDefault="0073452C" w:rsidP="0073452C">
      <w:pPr>
        <w:spacing w:before="100" w:beforeAutospacing="1" w:after="100" w:afterAutospacing="1" w:line="300" w:lineRule="atLeast"/>
        <w:outlineLvl w:val="2"/>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t>Biopsychosocial Overview</w:t>
      </w:r>
    </w:p>
    <w:p w14:paraId="3357E420" w14:textId="29AF2DBD"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Biologically, Mr A reports ongoing poor sleep, fatigue, and physical symptoms of anxiety, including muscle tension, palpitations, and restlessness.</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Although he has no significant physical health conditions, his anxiety symptoms contribute to low energy levels and difficulty maintaining a routine.</w:t>
      </w:r>
    </w:p>
    <w:p w14:paraId="4DD75E6A" w14:textId="407A63EE"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Psychologically, Mr A experiences excessive worry, racing thoughts, and a heightened sense of fear when attempting to leave his home or attend appointments.</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He demonstrates negative self</w:t>
      </w:r>
      <w:r w:rsidRPr="00133C4C">
        <w:rPr>
          <w:rFonts w:ascii="Calibri" w:eastAsia="Times New Roman" w:hAnsi="Calibri" w:cs="Calibri"/>
          <w:kern w:val="0"/>
          <w:sz w:val="24"/>
          <w:szCs w:val="24"/>
          <w:lang w:eastAsia="en-GB"/>
          <w14:ligatures w14:val="none"/>
        </w:rPr>
        <w:noBreakHyphen/>
        <w:t>beliefs, reduced confidence, and avoidance behaviours. He reports that his anxiety has gradually increased over the past year, leading to feelings of hopelessness and reduced motivation.</w:t>
      </w:r>
    </w:p>
    <w:p w14:paraId="000A5A9F" w14:textId="32588B1C"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Socially, Mr A has limited family contact and few social connections.</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Redundancy has resulted in financial stress and reduced structure, contributing to increased isolation. He spends most of his time at home and has disengaged from previously meaningful activities, such as socialising and exercising.</w:t>
      </w:r>
      <w:r w:rsidR="00AC495F" w:rsidRPr="00133C4C">
        <w:rPr>
          <w:rFonts w:ascii="Calibri" w:eastAsia="Times New Roman" w:hAnsi="Calibri" w:cs="Calibri"/>
          <w:kern w:val="0"/>
          <w:sz w:val="24"/>
          <w:szCs w:val="24"/>
          <w:lang w:eastAsia="en-GB"/>
          <w14:ligatures w14:val="none"/>
        </w:rPr>
        <w:t xml:space="preserve">                                                                                                                                            </w:t>
      </w:r>
      <w:r w:rsidR="00AD1B8B" w:rsidRPr="00133C4C">
        <w:rPr>
          <w:rFonts w:ascii="Calibri" w:eastAsia="Times New Roman" w:hAnsi="Calibri" w:cs="Calibri"/>
          <w:kern w:val="0"/>
          <w:sz w:val="24"/>
          <w:szCs w:val="24"/>
          <w:lang w:eastAsia="en-GB"/>
          <w14:ligatures w14:val="none"/>
        </w:rPr>
        <w:t xml:space="preserve">              </w:t>
      </w:r>
    </w:p>
    <w:p w14:paraId="7A2D73C6" w14:textId="77777777" w:rsidR="0073452C" w:rsidRPr="00133C4C" w:rsidRDefault="0073452C" w:rsidP="0073452C">
      <w:pPr>
        <w:spacing w:before="100" w:beforeAutospacing="1" w:after="100" w:afterAutospacing="1" w:line="300" w:lineRule="atLeast"/>
        <w:outlineLvl w:val="2"/>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lastRenderedPageBreak/>
        <w:t>Clinical Condition and Impact</w:t>
      </w:r>
    </w:p>
    <w:p w14:paraId="3CBF79BA" w14:textId="6698E6E3" w:rsidR="0073452C"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Mr A’s primary clinical condition is Generalised Anxiety Disorder (GAD).</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This condition is characterised by persistent and excessive worry that is difficult to control and affects multiple aspects of daily life. </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In Mr A’s case, anxiety significantly impacts his ability to attend appointments, engage in social situations, and perform activities of daily living.</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His avoidance of anxiety</w:t>
      </w:r>
      <w:r w:rsidRPr="00133C4C">
        <w:rPr>
          <w:rFonts w:ascii="Calibri" w:eastAsia="Times New Roman" w:hAnsi="Calibri" w:cs="Calibri"/>
          <w:kern w:val="0"/>
          <w:sz w:val="24"/>
          <w:szCs w:val="24"/>
          <w:lang w:eastAsia="en-GB"/>
          <w14:ligatures w14:val="none"/>
        </w:rPr>
        <w:noBreakHyphen/>
        <w:t>provoking situations reinforces his symptoms and contributes to isolation and low mood.</w:t>
      </w:r>
    </w:p>
    <w:p w14:paraId="18ADA5B8" w14:textId="7B71CC8C" w:rsidR="00114196" w:rsidRPr="00133C4C" w:rsidRDefault="0073452C"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From the Therapy Assistant Practitioner’s perspective, Mr A presents with reluctance to engage, reassurance</w:t>
      </w:r>
      <w:r w:rsidRPr="00133C4C">
        <w:rPr>
          <w:rFonts w:ascii="Calibri" w:eastAsia="Times New Roman" w:hAnsi="Calibri" w:cs="Calibri"/>
          <w:kern w:val="0"/>
          <w:sz w:val="24"/>
          <w:szCs w:val="24"/>
          <w:lang w:eastAsia="en-GB"/>
          <w14:ligatures w14:val="none"/>
        </w:rPr>
        <w:noBreakHyphen/>
        <w:t>seeking behaviours, and heightened distress when routines are disrupted.</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 TAP supports Mr A through graded activity engagement, anxiety management techniques, and encouragement to establish structure within daily routines, under the supervision of the Occupational Therapist.</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Regular feedback to the MDT ensures interventions remain person</w:t>
      </w:r>
      <w:r w:rsidRPr="00133C4C">
        <w:rPr>
          <w:rFonts w:ascii="Calibri" w:eastAsia="Times New Roman" w:hAnsi="Calibri" w:cs="Calibri"/>
          <w:kern w:val="0"/>
          <w:sz w:val="24"/>
          <w:szCs w:val="24"/>
          <w:lang w:eastAsia="en-GB"/>
          <w14:ligatures w14:val="none"/>
        </w:rPr>
        <w:noBreakHyphen/>
        <w:t>centred, safe, and recovery</w:t>
      </w:r>
      <w:r w:rsidRPr="00133C4C">
        <w:rPr>
          <w:rFonts w:ascii="Calibri" w:eastAsia="Times New Roman" w:hAnsi="Calibri" w:cs="Calibri"/>
          <w:kern w:val="0"/>
          <w:sz w:val="24"/>
          <w:szCs w:val="24"/>
          <w:lang w:eastAsia="en-GB"/>
          <w14:ligatures w14:val="none"/>
        </w:rPr>
        <w:noBreakHyphen/>
        <w:t>focused.</w:t>
      </w:r>
    </w:p>
    <w:p w14:paraId="43747BDC" w14:textId="77777777" w:rsidR="00AD1B8B" w:rsidRPr="00133C4C" w:rsidRDefault="00AD1B8B">
      <w:pPr>
        <w:rPr>
          <w:rFonts w:ascii="Calibri" w:eastAsia="Times New Roman" w:hAnsi="Calibri" w:cs="Calibri"/>
          <w:kern w:val="0"/>
          <w:sz w:val="24"/>
          <w:szCs w:val="24"/>
          <w:lang w:eastAsia="en-GB"/>
          <w14:ligatures w14:val="none"/>
        </w:rPr>
      </w:pPr>
    </w:p>
    <w:p w14:paraId="010776CD" w14:textId="77777777" w:rsidR="00AD1B8B" w:rsidRPr="00133C4C" w:rsidRDefault="00AD1B8B">
      <w:pPr>
        <w:rPr>
          <w:rFonts w:ascii="Calibri" w:eastAsia="Times New Roman" w:hAnsi="Calibri" w:cs="Calibri"/>
          <w:kern w:val="0"/>
          <w:sz w:val="24"/>
          <w:szCs w:val="24"/>
          <w:lang w:eastAsia="en-GB"/>
          <w14:ligatures w14:val="none"/>
        </w:rPr>
      </w:pPr>
    </w:p>
    <w:p w14:paraId="47EF5426" w14:textId="77777777" w:rsidR="00AD1B8B" w:rsidRPr="00133C4C" w:rsidRDefault="00AD1B8B">
      <w:pPr>
        <w:rPr>
          <w:rFonts w:ascii="Calibri" w:eastAsia="Times New Roman" w:hAnsi="Calibri" w:cs="Calibri"/>
          <w:kern w:val="0"/>
          <w:sz w:val="24"/>
          <w:szCs w:val="24"/>
          <w:lang w:eastAsia="en-GB"/>
          <w14:ligatures w14:val="none"/>
        </w:rPr>
      </w:pPr>
    </w:p>
    <w:p w14:paraId="0772C589" w14:textId="77777777" w:rsidR="00AD1B8B" w:rsidRPr="00133C4C" w:rsidRDefault="00AD1B8B">
      <w:pPr>
        <w:rPr>
          <w:rFonts w:ascii="Calibri" w:eastAsia="Times New Roman" w:hAnsi="Calibri" w:cs="Calibri"/>
          <w:kern w:val="0"/>
          <w:sz w:val="24"/>
          <w:szCs w:val="24"/>
          <w:lang w:eastAsia="en-GB"/>
          <w14:ligatures w14:val="none"/>
        </w:rPr>
      </w:pPr>
    </w:p>
    <w:p w14:paraId="7444A0E2" w14:textId="77777777" w:rsidR="00AD1B8B" w:rsidRPr="00133C4C" w:rsidRDefault="00AD1B8B">
      <w:pPr>
        <w:rPr>
          <w:rFonts w:ascii="Calibri" w:eastAsia="Times New Roman" w:hAnsi="Calibri" w:cs="Calibri"/>
          <w:kern w:val="0"/>
          <w:sz w:val="24"/>
          <w:szCs w:val="24"/>
          <w:lang w:eastAsia="en-GB"/>
          <w14:ligatures w14:val="none"/>
        </w:rPr>
      </w:pPr>
    </w:p>
    <w:p w14:paraId="43A1CD41" w14:textId="77777777" w:rsidR="00AD1B8B" w:rsidRPr="00133C4C" w:rsidRDefault="00AD1B8B">
      <w:pPr>
        <w:rPr>
          <w:rFonts w:ascii="Calibri" w:eastAsia="Times New Roman" w:hAnsi="Calibri" w:cs="Calibri"/>
          <w:kern w:val="0"/>
          <w:sz w:val="24"/>
          <w:szCs w:val="24"/>
          <w:lang w:eastAsia="en-GB"/>
          <w14:ligatures w14:val="none"/>
        </w:rPr>
      </w:pPr>
    </w:p>
    <w:p w14:paraId="50CF04E7" w14:textId="77777777" w:rsidR="00AD1B8B" w:rsidRPr="00133C4C" w:rsidRDefault="00AD1B8B">
      <w:pPr>
        <w:rPr>
          <w:rFonts w:ascii="Calibri" w:eastAsia="Times New Roman" w:hAnsi="Calibri" w:cs="Calibri"/>
          <w:kern w:val="0"/>
          <w:sz w:val="24"/>
          <w:szCs w:val="24"/>
          <w:lang w:eastAsia="en-GB"/>
          <w14:ligatures w14:val="none"/>
        </w:rPr>
      </w:pPr>
    </w:p>
    <w:p w14:paraId="4D5F0E54" w14:textId="77777777" w:rsidR="00AD1B8B" w:rsidRPr="00133C4C" w:rsidRDefault="00AD1B8B">
      <w:pPr>
        <w:rPr>
          <w:rFonts w:ascii="Calibri" w:eastAsia="Times New Roman" w:hAnsi="Calibri" w:cs="Calibri"/>
          <w:kern w:val="0"/>
          <w:sz w:val="24"/>
          <w:szCs w:val="24"/>
          <w:lang w:eastAsia="en-GB"/>
          <w14:ligatures w14:val="none"/>
        </w:rPr>
      </w:pPr>
    </w:p>
    <w:p w14:paraId="172CD70A" w14:textId="77777777" w:rsidR="00AD1B8B" w:rsidRPr="00133C4C" w:rsidRDefault="00AD1B8B">
      <w:pPr>
        <w:rPr>
          <w:rFonts w:ascii="Calibri" w:eastAsia="Times New Roman" w:hAnsi="Calibri" w:cs="Calibri"/>
          <w:kern w:val="0"/>
          <w:sz w:val="24"/>
          <w:szCs w:val="24"/>
          <w:lang w:eastAsia="en-GB"/>
          <w14:ligatures w14:val="none"/>
        </w:rPr>
      </w:pPr>
    </w:p>
    <w:p w14:paraId="3FE3C38B" w14:textId="77777777" w:rsidR="00AD1B8B" w:rsidRPr="00133C4C" w:rsidRDefault="00AD1B8B">
      <w:pPr>
        <w:rPr>
          <w:rFonts w:ascii="Calibri" w:eastAsia="Times New Roman" w:hAnsi="Calibri" w:cs="Calibri"/>
          <w:kern w:val="0"/>
          <w:sz w:val="24"/>
          <w:szCs w:val="24"/>
          <w:lang w:eastAsia="en-GB"/>
          <w14:ligatures w14:val="none"/>
        </w:rPr>
      </w:pPr>
    </w:p>
    <w:p w14:paraId="443722F1" w14:textId="77777777" w:rsidR="00AD1B8B" w:rsidRPr="00133C4C" w:rsidRDefault="00AD1B8B">
      <w:pPr>
        <w:rPr>
          <w:rFonts w:ascii="Calibri" w:eastAsia="Times New Roman" w:hAnsi="Calibri" w:cs="Calibri"/>
          <w:kern w:val="0"/>
          <w:sz w:val="24"/>
          <w:szCs w:val="24"/>
          <w:lang w:eastAsia="en-GB"/>
          <w14:ligatures w14:val="none"/>
        </w:rPr>
      </w:pPr>
    </w:p>
    <w:p w14:paraId="5F2D3AF1" w14:textId="77777777" w:rsidR="00AD1B8B" w:rsidRPr="00133C4C" w:rsidRDefault="00AD1B8B">
      <w:pPr>
        <w:rPr>
          <w:rFonts w:ascii="Calibri" w:eastAsia="Times New Roman" w:hAnsi="Calibri" w:cs="Calibri"/>
          <w:kern w:val="0"/>
          <w:sz w:val="24"/>
          <w:szCs w:val="24"/>
          <w:lang w:eastAsia="en-GB"/>
          <w14:ligatures w14:val="none"/>
        </w:rPr>
      </w:pPr>
    </w:p>
    <w:p w14:paraId="27E39079" w14:textId="77777777" w:rsidR="00AD1B8B" w:rsidRPr="00133C4C" w:rsidRDefault="00AD1B8B">
      <w:pPr>
        <w:rPr>
          <w:rFonts w:ascii="Calibri" w:eastAsia="Times New Roman" w:hAnsi="Calibri" w:cs="Calibri"/>
          <w:kern w:val="0"/>
          <w:sz w:val="24"/>
          <w:szCs w:val="24"/>
          <w:lang w:eastAsia="en-GB"/>
          <w14:ligatures w14:val="none"/>
        </w:rPr>
      </w:pPr>
    </w:p>
    <w:p w14:paraId="4DAE30B1" w14:textId="77777777" w:rsidR="00AD1B8B" w:rsidRPr="00133C4C" w:rsidRDefault="00AD1B8B">
      <w:pPr>
        <w:rPr>
          <w:rFonts w:ascii="Calibri" w:eastAsia="Times New Roman" w:hAnsi="Calibri" w:cs="Calibri"/>
          <w:kern w:val="0"/>
          <w:sz w:val="24"/>
          <w:szCs w:val="24"/>
          <w:lang w:eastAsia="en-GB"/>
          <w14:ligatures w14:val="none"/>
        </w:rPr>
      </w:pPr>
    </w:p>
    <w:p w14:paraId="3888DE9A" w14:textId="77777777" w:rsidR="00AD1B8B" w:rsidRPr="00133C4C" w:rsidRDefault="00AD1B8B">
      <w:pPr>
        <w:rPr>
          <w:rFonts w:ascii="Calibri" w:eastAsia="Times New Roman" w:hAnsi="Calibri" w:cs="Calibri"/>
          <w:kern w:val="0"/>
          <w:sz w:val="24"/>
          <w:szCs w:val="24"/>
          <w:lang w:eastAsia="en-GB"/>
          <w14:ligatures w14:val="none"/>
        </w:rPr>
      </w:pPr>
    </w:p>
    <w:p w14:paraId="5F072913" w14:textId="77777777" w:rsidR="00AD1B8B" w:rsidRPr="00133C4C" w:rsidRDefault="00AD1B8B">
      <w:pPr>
        <w:rPr>
          <w:rFonts w:ascii="Calibri" w:eastAsia="Times New Roman" w:hAnsi="Calibri" w:cs="Calibri"/>
          <w:kern w:val="0"/>
          <w:sz w:val="24"/>
          <w:szCs w:val="24"/>
          <w:lang w:eastAsia="en-GB"/>
          <w14:ligatures w14:val="none"/>
        </w:rPr>
      </w:pPr>
    </w:p>
    <w:p w14:paraId="46126D4F" w14:textId="77777777" w:rsidR="00AD1B8B" w:rsidRPr="00133C4C" w:rsidRDefault="00AD1B8B">
      <w:pPr>
        <w:rPr>
          <w:rFonts w:ascii="Calibri" w:eastAsia="Times New Roman" w:hAnsi="Calibri" w:cs="Calibri"/>
          <w:kern w:val="0"/>
          <w:sz w:val="24"/>
          <w:szCs w:val="24"/>
          <w:lang w:eastAsia="en-GB"/>
          <w14:ligatures w14:val="none"/>
        </w:rPr>
      </w:pPr>
    </w:p>
    <w:p w14:paraId="37DFF87C" w14:textId="5D28B6F6" w:rsidR="00114196" w:rsidRPr="00133C4C" w:rsidRDefault="00114196">
      <w:pPr>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br w:type="page"/>
      </w:r>
    </w:p>
    <w:p w14:paraId="0C74328A" w14:textId="77777777" w:rsidR="00114196" w:rsidRPr="00133C4C" w:rsidRDefault="00114196" w:rsidP="00114196">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lastRenderedPageBreak/>
        <w:t>Prevalence, Impact, and Access Challenges of Anxiety Disorders</w:t>
      </w:r>
    </w:p>
    <w:p w14:paraId="60C38AA2" w14:textId="496B323D" w:rsidR="00114196" w:rsidRPr="00133C4C" w:rsidRDefault="00114196" w:rsidP="0011419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 xml:space="preserve">Anxiety disorders are among the most prevalent mental health conditions in the UK. National data from the Adult Psychiatric Morbidity Survey indicate that approximately </w:t>
      </w:r>
      <w:r w:rsidRPr="00133C4C">
        <w:rPr>
          <w:rFonts w:ascii="Calibri" w:eastAsia="Times New Roman" w:hAnsi="Calibri" w:cs="Calibri"/>
          <w:b/>
          <w:bCs/>
          <w:kern w:val="0"/>
          <w:sz w:val="24"/>
          <w:szCs w:val="24"/>
          <w:lang w:eastAsia="en-GB"/>
          <w14:ligatures w14:val="none"/>
        </w:rPr>
        <w:t>22.6% of adults aged 16–64 experience a common mental health disorder</w:t>
      </w:r>
      <w:r w:rsidRPr="00133C4C">
        <w:rPr>
          <w:rFonts w:ascii="Calibri" w:eastAsia="Times New Roman" w:hAnsi="Calibri" w:cs="Calibri"/>
          <w:kern w:val="0"/>
          <w:sz w:val="24"/>
          <w:szCs w:val="24"/>
          <w:lang w:eastAsia="en-GB"/>
          <w14:ligatures w14:val="none"/>
        </w:rPr>
        <w:t>, with anxiety representing a significant proportion.</w:t>
      </w:r>
      <w:r w:rsidR="000F057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NICE estimates that </w:t>
      </w:r>
      <w:r w:rsidRPr="00133C4C">
        <w:rPr>
          <w:rFonts w:ascii="Calibri" w:eastAsia="Times New Roman" w:hAnsi="Calibri" w:cs="Calibri"/>
          <w:b/>
          <w:bCs/>
          <w:kern w:val="0"/>
          <w:sz w:val="24"/>
          <w:szCs w:val="24"/>
          <w:lang w:eastAsia="en-GB"/>
          <w14:ligatures w14:val="none"/>
        </w:rPr>
        <w:t>around 6 in 100 people</w:t>
      </w:r>
      <w:r w:rsidRPr="00133C4C">
        <w:rPr>
          <w:rFonts w:ascii="Calibri" w:eastAsia="Times New Roman" w:hAnsi="Calibri" w:cs="Calibri"/>
          <w:kern w:val="0"/>
          <w:sz w:val="24"/>
          <w:szCs w:val="24"/>
          <w:lang w:eastAsia="en-GB"/>
          <w14:ligatures w14:val="none"/>
        </w:rPr>
        <w:t xml:space="preserve"> in England meet the diagnostic criteria for Generalised Anxiety Disorder at any given time. These figures are supported by Office for National Statistics (ONS) wellbeing data, which consistently show elevated levels of population</w:t>
      </w:r>
      <w:r w:rsidRPr="00133C4C">
        <w:rPr>
          <w:rFonts w:ascii="Calibri" w:eastAsia="Times New Roman" w:hAnsi="Calibri" w:cs="Calibri"/>
          <w:kern w:val="0"/>
          <w:sz w:val="24"/>
          <w:szCs w:val="24"/>
          <w:lang w:eastAsia="en-GB"/>
          <w14:ligatures w14:val="none"/>
        </w:rPr>
        <w:noBreakHyphen/>
        <w:t>wide anxiety since 2020, enhancing the validity of prevalence trends through repeated large</w:t>
      </w:r>
      <w:r w:rsidRPr="00133C4C">
        <w:rPr>
          <w:rFonts w:ascii="Calibri" w:eastAsia="Times New Roman" w:hAnsi="Calibri" w:cs="Calibri"/>
          <w:kern w:val="0"/>
          <w:sz w:val="24"/>
          <w:szCs w:val="24"/>
          <w:lang w:eastAsia="en-GB"/>
          <w14:ligatures w14:val="none"/>
        </w:rPr>
        <w:noBreakHyphen/>
        <w:t xml:space="preserve">scale sampling. </w:t>
      </w:r>
      <w:r w:rsidRPr="00733474">
        <w:rPr>
          <w:rFonts w:ascii="Calibri" w:eastAsia="Times New Roman" w:hAnsi="Calibri" w:cs="Calibri"/>
          <w:kern w:val="0"/>
          <w:sz w:val="24"/>
          <w:szCs w:val="24"/>
          <w:lang w:eastAsia="en-GB"/>
          <w14:ligatures w14:val="none"/>
        </w:rPr>
        <w:t>[</w:t>
      </w:r>
      <w:proofErr w:type="spellStart"/>
      <w:r w:rsidRPr="00733474">
        <w:rPr>
          <w:rFonts w:ascii="Calibri" w:eastAsia="Times New Roman" w:hAnsi="Calibri" w:cs="Calibri"/>
          <w:kern w:val="0"/>
          <w:sz w:val="24"/>
          <w:szCs w:val="24"/>
          <w:lang w:eastAsia="en-GB"/>
          <w14:ligatures w14:val="none"/>
        </w:rPr>
        <w:t>mentalheal</w:t>
      </w:r>
      <w:proofErr w:type="spellEnd"/>
      <w:r w:rsidRPr="00733474">
        <w:rPr>
          <w:rFonts w:ascii="Calibri" w:eastAsia="Times New Roman" w:hAnsi="Calibri" w:cs="Calibri"/>
          <w:kern w:val="0"/>
          <w:sz w:val="24"/>
          <w:szCs w:val="24"/>
          <w:lang w:eastAsia="en-GB"/>
          <w14:ligatures w14:val="none"/>
        </w:rPr>
        <w:t xml:space="preserve">...urse.co.uk] </w:t>
      </w:r>
      <w:hyperlink r:id="rId10" w:history="1">
        <w:r w:rsidRPr="00733474">
          <w:rPr>
            <w:rFonts w:ascii="Calibri" w:eastAsia="Times New Roman" w:hAnsi="Calibri" w:cs="Calibri"/>
            <w:kern w:val="0"/>
            <w:sz w:val="24"/>
            <w:szCs w:val="24"/>
            <w:lang w:eastAsia="en-GB"/>
            <w14:ligatures w14:val="none"/>
          </w:rPr>
          <w:t>[cks.nice.org.uk]</w:t>
        </w:r>
      </w:hyperlink>
      <w:r w:rsidRPr="00733474">
        <w:rPr>
          <w:rFonts w:ascii="Calibri" w:eastAsia="Times New Roman" w:hAnsi="Calibri" w:cs="Calibri"/>
          <w:kern w:val="0"/>
          <w:sz w:val="24"/>
          <w:szCs w:val="24"/>
          <w:lang w:eastAsia="en-GB"/>
          <w14:ligatures w14:val="none"/>
        </w:rPr>
        <w:t xml:space="preserve"> </w:t>
      </w:r>
      <w:hyperlink r:id="rId11" w:history="1">
        <w:r w:rsidRPr="00733474">
          <w:rPr>
            <w:rFonts w:ascii="Calibri" w:eastAsia="Times New Roman" w:hAnsi="Calibri" w:cs="Calibri"/>
            <w:kern w:val="0"/>
            <w:sz w:val="24"/>
            <w:szCs w:val="24"/>
            <w:lang w:eastAsia="en-GB"/>
            <w14:ligatures w14:val="none"/>
          </w:rPr>
          <w:t>[ons.gov.uk]</w:t>
        </w:r>
      </w:hyperlink>
    </w:p>
    <w:p w14:paraId="48AA5306" w14:textId="4CE678C4" w:rsidR="00114196" w:rsidRPr="00733474" w:rsidRDefault="00114196" w:rsidP="0011419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Anxiety can substantially impact individuals’ functioning, affecting employment, relationships, physical health, and participation in daily activities.</w:t>
      </w:r>
      <w:r w:rsidR="0098305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Families may experience increased emotional strain, carer burden, and financial pressure. </w:t>
      </w:r>
      <w:r w:rsidR="0098305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From a service perspective, anxiety contributes to increased primary care consultations, high referral rates to NHS Talking Therapies, and repeated service use, placing strain on already pressured mental health systems. </w:t>
      </w:r>
      <w:r w:rsidRPr="00733474">
        <w:rPr>
          <w:rFonts w:ascii="Calibri" w:eastAsia="Times New Roman" w:hAnsi="Calibri" w:cs="Calibri"/>
          <w:kern w:val="0"/>
          <w:sz w:val="24"/>
          <w:szCs w:val="24"/>
          <w:lang w:eastAsia="en-GB"/>
          <w14:ligatures w14:val="none"/>
        </w:rPr>
        <w:t>[</w:t>
      </w:r>
      <w:proofErr w:type="spellStart"/>
      <w:r w:rsidRPr="00733474">
        <w:rPr>
          <w:rFonts w:ascii="Calibri" w:eastAsia="Times New Roman" w:hAnsi="Calibri" w:cs="Calibri"/>
          <w:kern w:val="0"/>
          <w:sz w:val="24"/>
          <w:szCs w:val="24"/>
          <w:lang w:eastAsia="en-GB"/>
          <w14:ligatures w14:val="none"/>
        </w:rPr>
        <w:t>centreform</w:t>
      </w:r>
      <w:proofErr w:type="spellEnd"/>
      <w:r w:rsidRPr="00733474">
        <w:rPr>
          <w:rFonts w:ascii="Calibri" w:eastAsia="Times New Roman" w:hAnsi="Calibri" w:cs="Calibri"/>
          <w:kern w:val="0"/>
          <w:sz w:val="24"/>
          <w:szCs w:val="24"/>
          <w:lang w:eastAsia="en-GB"/>
          <w14:ligatures w14:val="none"/>
        </w:rPr>
        <w:t>...lth.org.uk]</w:t>
      </w:r>
    </w:p>
    <w:p w14:paraId="493FF5C8" w14:textId="5956336B" w:rsidR="00114196" w:rsidRPr="00733474" w:rsidRDefault="00114196" w:rsidP="00114196">
      <w:pPr>
        <w:spacing w:before="100" w:beforeAutospacing="1" w:after="100" w:afterAutospacing="1" w:line="300" w:lineRule="atLeast"/>
        <w:rPr>
          <w:rFonts w:ascii="Calibri" w:hAnsi="Calibri" w:cs="Calibri"/>
          <w:sz w:val="24"/>
          <w:szCs w:val="24"/>
        </w:rPr>
      </w:pPr>
      <w:r w:rsidRPr="00133C4C">
        <w:rPr>
          <w:rFonts w:ascii="Calibri" w:eastAsia="Times New Roman" w:hAnsi="Calibri" w:cs="Calibri"/>
          <w:kern w:val="0"/>
          <w:sz w:val="24"/>
          <w:szCs w:val="24"/>
          <w:lang w:eastAsia="en-GB"/>
          <w14:ligatures w14:val="none"/>
        </w:rPr>
        <w:t>Despite high prevalence, access to timely treatment remains challenging.</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National reports show long waiting times, workforce shortages, and significant numbers of individuals deteriorating while awaiting support.</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While large datasets such as ONS and NHS Digital are robust and reliable, they may underrepresent marginalised groups, highlighting the importance of combining quantitative data with lived</w:t>
      </w:r>
      <w:r w:rsidRPr="00133C4C">
        <w:rPr>
          <w:rFonts w:ascii="Calibri" w:eastAsia="Times New Roman" w:hAnsi="Calibri" w:cs="Calibri"/>
          <w:kern w:val="0"/>
          <w:sz w:val="24"/>
          <w:szCs w:val="24"/>
          <w:lang w:eastAsia="en-GB"/>
          <w14:ligatures w14:val="none"/>
        </w:rPr>
        <w:noBreakHyphen/>
        <w:t xml:space="preserve">experience evidence for a comprehensive understanding of need. </w:t>
      </w:r>
      <w:r w:rsidRPr="00733474">
        <w:rPr>
          <w:rFonts w:ascii="Calibri" w:eastAsia="Times New Roman" w:hAnsi="Calibri" w:cs="Calibri"/>
          <w:kern w:val="0"/>
          <w:sz w:val="24"/>
          <w:szCs w:val="24"/>
          <w:lang w:eastAsia="en-GB"/>
          <w14:ligatures w14:val="none"/>
        </w:rPr>
        <w:t>[</w:t>
      </w:r>
      <w:proofErr w:type="spellStart"/>
      <w:r w:rsidRPr="00733474">
        <w:rPr>
          <w:rFonts w:ascii="Calibri" w:eastAsia="Times New Roman" w:hAnsi="Calibri" w:cs="Calibri"/>
          <w:kern w:val="0"/>
          <w:sz w:val="24"/>
          <w:szCs w:val="24"/>
          <w:lang w:eastAsia="en-GB"/>
          <w14:ligatures w14:val="none"/>
        </w:rPr>
        <w:t>centreform</w:t>
      </w:r>
      <w:proofErr w:type="spellEnd"/>
      <w:r w:rsidRPr="00733474">
        <w:rPr>
          <w:rFonts w:ascii="Calibri" w:eastAsia="Times New Roman" w:hAnsi="Calibri" w:cs="Calibri"/>
          <w:kern w:val="0"/>
          <w:sz w:val="24"/>
          <w:szCs w:val="24"/>
          <w:lang w:eastAsia="en-GB"/>
          <w14:ligatures w14:val="none"/>
        </w:rPr>
        <w:t>...lth.org.uk]</w:t>
      </w:r>
    </w:p>
    <w:p w14:paraId="4E847091"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176255F6"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396A0749"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0E312717"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5D9A2529"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2B9C5421"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68BB075C"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704A0E63"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5E5240A9"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2BDDB84E" w14:textId="77777777" w:rsidR="00AD1B8B" w:rsidRPr="00133C4C" w:rsidRDefault="00AD1B8B" w:rsidP="00114196">
      <w:pPr>
        <w:spacing w:before="100" w:beforeAutospacing="1" w:after="100" w:afterAutospacing="1" w:line="300" w:lineRule="atLeast"/>
        <w:rPr>
          <w:rFonts w:ascii="Calibri" w:hAnsi="Calibri" w:cs="Calibri"/>
          <w:sz w:val="24"/>
          <w:szCs w:val="24"/>
        </w:rPr>
      </w:pPr>
    </w:p>
    <w:p w14:paraId="0180ED79" w14:textId="50BF5807" w:rsidR="009A66E3" w:rsidRPr="00133C4C" w:rsidRDefault="009A66E3" w:rsidP="0073452C">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7B3C61DC" w14:textId="77777777" w:rsidR="00897707" w:rsidRPr="00133C4C" w:rsidRDefault="00897707" w:rsidP="00897707">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lastRenderedPageBreak/>
        <w:t>Earlier Approaches to the Treatment and Understanding of Anxiety</w:t>
      </w:r>
    </w:p>
    <w:p w14:paraId="56831F65" w14:textId="5C798A65" w:rsidR="00897707" w:rsidRPr="00733474"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Prior to the development of modern diagnostic frameworks, anxiety was not conceptualised as a distinct mental health condition.</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Classical Greek and Roman physicians such as Hippocrates recognised anxiety</w:t>
      </w:r>
      <w:r w:rsidRPr="00133C4C">
        <w:rPr>
          <w:rFonts w:ascii="Calibri" w:eastAsia="Times New Roman" w:hAnsi="Calibri" w:cs="Calibri"/>
          <w:kern w:val="0"/>
          <w:sz w:val="24"/>
          <w:szCs w:val="24"/>
          <w:lang w:eastAsia="en-GB"/>
          <w14:ligatures w14:val="none"/>
        </w:rPr>
        <w:noBreakHyphen/>
        <w:t xml:space="preserve">like symptoms but attributed them to imbalances in bodily humours rather than psychological processes. </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For several centuries, anxiety was understood largely through philosophical, moral, or spiritual explanations, limiting the development </w:t>
      </w:r>
      <w:r w:rsidRPr="00733474">
        <w:rPr>
          <w:rFonts w:ascii="Calibri" w:eastAsia="Times New Roman" w:hAnsi="Calibri" w:cs="Calibri"/>
          <w:kern w:val="0"/>
          <w:sz w:val="24"/>
          <w:szCs w:val="24"/>
          <w:lang w:eastAsia="en-GB"/>
          <w14:ligatures w14:val="none"/>
        </w:rPr>
        <w:t>of structured treatments and resulting in highly variable prognoses. [pmc.ncbi.nlm.nih.gov]</w:t>
      </w:r>
    </w:p>
    <w:p w14:paraId="7F5843DF" w14:textId="698FC73B" w:rsidR="00897707" w:rsidRPr="00133C4C"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During the late nineteenth and early twentieth centuries, anxiety began to emerge within psychiatric theory, most notably through the work of Sigmund Freud.</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Freud introduced the concept of “anxiety neurosis”, framing anxiety as originating from unconscious conflict and repression. Psychoanalytic treatment focused on insight through long</w:t>
      </w:r>
      <w:r w:rsidRPr="00133C4C">
        <w:rPr>
          <w:rFonts w:ascii="Calibri" w:eastAsia="Times New Roman" w:hAnsi="Calibri" w:cs="Calibri"/>
          <w:kern w:val="0"/>
          <w:sz w:val="24"/>
          <w:szCs w:val="24"/>
          <w:lang w:eastAsia="en-GB"/>
          <w14:ligatures w14:val="none"/>
        </w:rPr>
        <w:noBreakHyphen/>
        <w:t>term therapy rather than symptom reduction.</w:t>
      </w:r>
      <w:r w:rsidR="00733474">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While influential, these approaches lacked empirical validation and were time</w:t>
      </w:r>
      <w:r w:rsidRPr="00133C4C">
        <w:rPr>
          <w:rFonts w:ascii="Calibri" w:eastAsia="Times New Roman" w:hAnsi="Calibri" w:cs="Calibri"/>
          <w:kern w:val="0"/>
          <w:sz w:val="24"/>
          <w:szCs w:val="24"/>
          <w:lang w:eastAsia="en-GB"/>
          <w14:ligatures w14:val="none"/>
        </w:rPr>
        <w:noBreakHyphen/>
        <w:t>intensive, making them inaccessible to much of the population. Retrospective analysis suggests limited effectiveness for severe or disabling anxiety symptoms, particularly in socially disadvantaged groups</w:t>
      </w:r>
      <w:r w:rsidRPr="00733474">
        <w:rPr>
          <w:rFonts w:ascii="Calibri" w:eastAsia="Times New Roman" w:hAnsi="Calibri" w:cs="Calibri"/>
          <w:kern w:val="0"/>
          <w:sz w:val="24"/>
          <w:szCs w:val="24"/>
          <w:lang w:eastAsia="en-GB"/>
          <w14:ligatures w14:val="none"/>
        </w:rPr>
        <w:t>. [pmc.ncbi.nlm.nih.gov]</w:t>
      </w:r>
    </w:p>
    <w:p w14:paraId="7830CE93" w14:textId="7E2AC73E" w:rsidR="00897707" w:rsidRPr="00133C4C"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A significant shift occurred in the mid</w:t>
      </w:r>
      <w:r w:rsidRPr="00133C4C">
        <w:rPr>
          <w:rFonts w:ascii="Calibri" w:eastAsia="Times New Roman" w:hAnsi="Calibri" w:cs="Calibri"/>
          <w:kern w:val="0"/>
          <w:sz w:val="24"/>
          <w:szCs w:val="24"/>
          <w:lang w:eastAsia="en-GB"/>
          <w14:ligatures w14:val="none"/>
        </w:rPr>
        <w:noBreakHyphen/>
        <w:t xml:space="preserve">twentieth century with the rise of behavioural psychology. Joseph Wolpe’s development of </w:t>
      </w:r>
      <w:r w:rsidRPr="00133C4C">
        <w:rPr>
          <w:rFonts w:ascii="Calibri" w:eastAsia="Times New Roman" w:hAnsi="Calibri" w:cs="Calibri"/>
          <w:b/>
          <w:bCs/>
          <w:kern w:val="0"/>
          <w:sz w:val="24"/>
          <w:szCs w:val="24"/>
          <w:lang w:eastAsia="en-GB"/>
          <w14:ligatures w14:val="none"/>
        </w:rPr>
        <w:t>systematic desensitisation</w:t>
      </w:r>
      <w:r w:rsidRPr="00133C4C">
        <w:rPr>
          <w:rFonts w:ascii="Calibri" w:eastAsia="Times New Roman" w:hAnsi="Calibri" w:cs="Calibri"/>
          <w:kern w:val="0"/>
          <w:sz w:val="24"/>
          <w:szCs w:val="24"/>
          <w:lang w:eastAsia="en-GB"/>
          <w14:ligatures w14:val="none"/>
        </w:rPr>
        <w:t xml:space="preserve"> in the 1950s marked one of the first structured, evidence</w:t>
      </w:r>
      <w:r w:rsidRPr="00133C4C">
        <w:rPr>
          <w:rFonts w:ascii="Calibri" w:eastAsia="Times New Roman" w:hAnsi="Calibri" w:cs="Calibri"/>
          <w:kern w:val="0"/>
          <w:sz w:val="24"/>
          <w:szCs w:val="24"/>
          <w:lang w:eastAsia="en-GB"/>
          <w14:ligatures w14:val="none"/>
        </w:rPr>
        <w:noBreakHyphen/>
        <w:t>based approaches to treating anxiety disorders, particularly phobias.</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By applying principles of classical conditioning and gradual exposure, this approach demonstrated measurable symptom reduction and shorter treatment duration compared with psychoanalysis.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These methods laid the foundations for later cognitive</w:t>
      </w:r>
      <w:r w:rsidRPr="00133C4C">
        <w:rPr>
          <w:rFonts w:ascii="Calibri" w:eastAsia="Times New Roman" w:hAnsi="Calibri" w:cs="Calibri"/>
          <w:kern w:val="0"/>
          <w:sz w:val="24"/>
          <w:szCs w:val="24"/>
          <w:lang w:eastAsia="en-GB"/>
          <w14:ligatures w14:val="none"/>
        </w:rPr>
        <w:noBreakHyphen/>
        <w:t>behavioural approaches and remain influential in graded</w:t>
      </w:r>
      <w:r w:rsidRPr="00133C4C">
        <w:rPr>
          <w:rFonts w:ascii="Calibri" w:eastAsia="Times New Roman" w:hAnsi="Calibri" w:cs="Calibri"/>
          <w:kern w:val="0"/>
          <w:sz w:val="24"/>
          <w:szCs w:val="24"/>
          <w:lang w:eastAsia="en-GB"/>
          <w14:ligatures w14:val="none"/>
        </w:rPr>
        <w:noBreakHyphen/>
        <w:t xml:space="preserve">exposure techniques used today. </w:t>
      </w:r>
      <w:r w:rsidR="000B2993">
        <w:rPr>
          <w:rFonts w:ascii="Calibri" w:eastAsia="Times New Roman" w:hAnsi="Calibri" w:cs="Calibri"/>
          <w:kern w:val="0"/>
          <w:sz w:val="24"/>
          <w:szCs w:val="24"/>
          <w:lang w:eastAsia="en-GB"/>
          <w14:ligatures w14:val="none"/>
        </w:rPr>
        <w:t xml:space="preserve"> </w:t>
      </w:r>
      <w:r w:rsidRPr="00733474">
        <w:rPr>
          <w:rFonts w:ascii="Calibri" w:eastAsia="Times New Roman" w:hAnsi="Calibri" w:cs="Calibri"/>
          <w:kern w:val="0"/>
          <w:sz w:val="24"/>
          <w:szCs w:val="24"/>
          <w:lang w:eastAsia="en-GB"/>
          <w14:ligatures w14:val="none"/>
        </w:rPr>
        <w:t xml:space="preserve">[simplypsychology.org], </w:t>
      </w:r>
      <w:hyperlink r:id="rId12" w:history="1">
        <w:r w:rsidRPr="00733474">
          <w:rPr>
            <w:rFonts w:ascii="Calibri" w:eastAsia="Times New Roman" w:hAnsi="Calibri" w:cs="Calibri"/>
            <w:kern w:val="0"/>
            <w:sz w:val="24"/>
            <w:szCs w:val="24"/>
            <w:lang w:eastAsia="en-GB"/>
            <w14:ligatures w14:val="none"/>
          </w:rPr>
          <w:t>[pmc.ncbi.nlm.nih.gov]</w:t>
        </w:r>
      </w:hyperlink>
    </w:p>
    <w:p w14:paraId="0371D451" w14:textId="42262B9D" w:rsidR="00897707" w:rsidRPr="00733474"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Pharmacological approaches also expanded during this period.</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In the 1950s and 1960s, anxiolytic medications such as meprobamate and later benzodiazepines became widely prescribed.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These drugs were initially viewed as highly effective due to rapid symptom relief. However, subsequent evidence identified significant risks, including dependence, tolerance, and long</w:t>
      </w:r>
      <w:r w:rsidRPr="00133C4C">
        <w:rPr>
          <w:rFonts w:ascii="Calibri" w:eastAsia="Times New Roman" w:hAnsi="Calibri" w:cs="Calibri"/>
          <w:kern w:val="0"/>
          <w:sz w:val="24"/>
          <w:szCs w:val="24"/>
          <w:lang w:eastAsia="en-GB"/>
          <w14:ligatures w14:val="none"/>
        </w:rPr>
        <w:noBreakHyphen/>
        <w:t xml:space="preserve">term cognitive effects, leading to a reassessment of their clinical value. This historical overreliance on medication is now recognised as contributing to chronic presentations and complex withdrawal </w:t>
      </w:r>
      <w:proofErr w:type="gramStart"/>
      <w:r w:rsidRPr="00133C4C">
        <w:rPr>
          <w:rFonts w:ascii="Calibri" w:eastAsia="Times New Roman" w:hAnsi="Calibri" w:cs="Calibri"/>
          <w:kern w:val="0"/>
          <w:sz w:val="24"/>
          <w:szCs w:val="24"/>
          <w:lang w:eastAsia="en-GB"/>
          <w14:ligatures w14:val="none"/>
        </w:rPr>
        <w:t>issues</w:t>
      </w:r>
      <w:r w:rsidR="000B2993">
        <w:rPr>
          <w:rFonts w:ascii="Calibri" w:eastAsia="Times New Roman" w:hAnsi="Calibri" w:cs="Calibri"/>
          <w:kern w:val="0"/>
          <w:sz w:val="24"/>
          <w:szCs w:val="24"/>
          <w:lang w:eastAsia="en-GB"/>
          <w14:ligatures w14:val="none"/>
        </w:rPr>
        <w:t xml:space="preserve"> </w:t>
      </w:r>
      <w:r w:rsidRPr="00733474">
        <w:rPr>
          <w:rFonts w:ascii="Calibri" w:eastAsia="Times New Roman" w:hAnsi="Calibri" w:cs="Calibri"/>
          <w:kern w:val="0"/>
          <w:sz w:val="24"/>
          <w:szCs w:val="24"/>
          <w:lang w:eastAsia="en-GB"/>
          <w14:ligatures w14:val="none"/>
        </w:rPr>
        <w:t>.</w:t>
      </w:r>
      <w:proofErr w:type="gramEnd"/>
      <w:r w:rsidRPr="00733474">
        <w:rPr>
          <w:rFonts w:ascii="Calibri" w:eastAsia="Times New Roman" w:hAnsi="Calibri" w:cs="Calibri"/>
          <w:kern w:val="0"/>
          <w:sz w:val="24"/>
          <w:szCs w:val="24"/>
          <w:lang w:eastAsia="en-GB"/>
          <w14:ligatures w14:val="none"/>
        </w:rPr>
        <w:t xml:space="preserve"> [journals.sagepub.com], </w:t>
      </w:r>
      <w:hyperlink r:id="rId13" w:history="1">
        <w:r w:rsidRPr="00733474">
          <w:rPr>
            <w:rFonts w:ascii="Calibri" w:eastAsia="Times New Roman" w:hAnsi="Calibri" w:cs="Calibri"/>
            <w:kern w:val="0"/>
            <w:sz w:val="24"/>
            <w:szCs w:val="24"/>
            <w:lang w:eastAsia="en-GB"/>
            <w14:ligatures w14:val="none"/>
          </w:rPr>
          <w:t>[pmc.ncbi.nlm.nih.gov]</w:t>
        </w:r>
      </w:hyperlink>
    </w:p>
    <w:p w14:paraId="40EAE518" w14:textId="29BCD522" w:rsidR="00897707" w:rsidRPr="00133C4C"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The publication of the DSM</w:t>
      </w:r>
      <w:r w:rsidRPr="00133C4C">
        <w:rPr>
          <w:rFonts w:ascii="Calibri" w:eastAsia="Times New Roman" w:hAnsi="Calibri" w:cs="Calibri"/>
          <w:kern w:val="0"/>
          <w:sz w:val="24"/>
          <w:szCs w:val="24"/>
          <w:lang w:eastAsia="en-GB"/>
          <w14:ligatures w14:val="none"/>
        </w:rPr>
        <w:noBreakHyphen/>
        <w:t>III in 1980 represented a pivotal moment, formally separating anxiety disorders from broader “neurotic” categories and improving diagnostic reliability. While this increased research validity and treatment standardisation, critics argue that earlier approaches were insufficiently person</w:t>
      </w:r>
      <w:r w:rsidRPr="00133C4C">
        <w:rPr>
          <w:rFonts w:ascii="Calibri" w:eastAsia="Times New Roman" w:hAnsi="Calibri" w:cs="Calibri"/>
          <w:kern w:val="0"/>
          <w:sz w:val="24"/>
          <w:szCs w:val="24"/>
          <w:lang w:eastAsia="en-GB"/>
          <w14:ligatures w14:val="none"/>
        </w:rPr>
        <w:noBreakHyphen/>
        <w:t>centred and focused narrowly on symptom reduction</w:t>
      </w:r>
      <w:r w:rsidRPr="00733474">
        <w:rPr>
          <w:rFonts w:ascii="Calibri" w:eastAsia="Times New Roman" w:hAnsi="Calibri" w:cs="Calibri"/>
          <w:kern w:val="0"/>
          <w:sz w:val="24"/>
          <w:szCs w:val="24"/>
          <w:lang w:eastAsia="en-GB"/>
          <w14:ligatures w14:val="none"/>
        </w:rPr>
        <w:t>. [psychiatrist.com]</w:t>
      </w:r>
    </w:p>
    <w:p w14:paraId="340392F0" w14:textId="77777777" w:rsidR="0000119A" w:rsidRPr="00133C4C" w:rsidRDefault="0000119A"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1194E49F" w14:textId="55A079C0" w:rsidR="00CE25F2" w:rsidRPr="00133C4C" w:rsidRDefault="00CE25F2"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0E639001" w14:textId="0E5C5D12" w:rsidR="00897707" w:rsidRPr="00133C4C" w:rsidRDefault="00897707" w:rsidP="0089770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lastRenderedPageBreak/>
        <w:t>Overall, earlier approaches to anxiety highlight the evolving nature of mental health understanding.</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Although many historical models lacked scientific rigour, they contributed foundational concepts that underpin contemporary, recovery</w:t>
      </w:r>
      <w:r w:rsidRPr="00133C4C">
        <w:rPr>
          <w:rFonts w:ascii="Calibri" w:eastAsia="Times New Roman" w:hAnsi="Calibri" w:cs="Calibri"/>
          <w:kern w:val="0"/>
          <w:sz w:val="24"/>
          <w:szCs w:val="24"/>
          <w:lang w:eastAsia="en-GB"/>
          <w14:ligatures w14:val="none"/>
        </w:rPr>
        <w:noBreakHyphen/>
        <w:t xml:space="preserve">focused practice.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Evaluating these approaches demonstrates the importance of combining empirical evidence with holistic understanding and accessibility.</w:t>
      </w:r>
    </w:p>
    <w:p w14:paraId="1C983861" w14:textId="77777777" w:rsidR="00897707" w:rsidRPr="00133C4C" w:rsidRDefault="00753D93" w:rsidP="00897707">
      <w:pPr>
        <w:spacing w:after="0"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pict w14:anchorId="388902C7">
          <v:rect id="_x0000_i1041" style="width:0;height:1.5pt" o:hralign="center" o:hrstd="t" o:hr="t" fillcolor="#a0a0a0" stroked="f"/>
        </w:pict>
      </w:r>
    </w:p>
    <w:p w14:paraId="05A72DD0" w14:textId="41B6CC9F" w:rsidR="00897707" w:rsidRPr="00133C4C" w:rsidRDefault="00897707" w:rsidP="0065518B">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6B38C5A1" w14:textId="77777777" w:rsidR="00CE25F2" w:rsidRPr="00133C4C" w:rsidRDefault="00CE25F2">
      <w:pPr>
        <w:rPr>
          <w:rFonts w:ascii="Calibri" w:eastAsia="Times New Roman" w:hAnsi="Calibri" w:cs="Calibri"/>
          <w:kern w:val="0"/>
          <w:sz w:val="24"/>
          <w:szCs w:val="24"/>
          <w:lang w:eastAsia="en-GB"/>
          <w14:ligatures w14:val="none"/>
        </w:rPr>
      </w:pPr>
    </w:p>
    <w:p w14:paraId="0B73A6FD" w14:textId="77777777" w:rsidR="00CE25F2" w:rsidRPr="00133C4C" w:rsidRDefault="00CE25F2">
      <w:pPr>
        <w:rPr>
          <w:rFonts w:ascii="Calibri" w:eastAsia="Times New Roman" w:hAnsi="Calibri" w:cs="Calibri"/>
          <w:kern w:val="0"/>
          <w:sz w:val="24"/>
          <w:szCs w:val="24"/>
          <w:lang w:eastAsia="en-GB"/>
          <w14:ligatures w14:val="none"/>
        </w:rPr>
      </w:pPr>
    </w:p>
    <w:p w14:paraId="3A8C769A" w14:textId="77777777" w:rsidR="00CE25F2" w:rsidRPr="00133C4C" w:rsidRDefault="00CE25F2">
      <w:pPr>
        <w:rPr>
          <w:rFonts w:ascii="Calibri" w:eastAsia="Times New Roman" w:hAnsi="Calibri" w:cs="Calibri"/>
          <w:kern w:val="0"/>
          <w:sz w:val="24"/>
          <w:szCs w:val="24"/>
          <w:lang w:eastAsia="en-GB"/>
          <w14:ligatures w14:val="none"/>
        </w:rPr>
      </w:pPr>
    </w:p>
    <w:p w14:paraId="7FE9C56A" w14:textId="77777777" w:rsidR="00CE25F2" w:rsidRPr="00133C4C" w:rsidRDefault="00CE25F2">
      <w:pPr>
        <w:rPr>
          <w:rFonts w:ascii="Calibri" w:eastAsia="Times New Roman" w:hAnsi="Calibri" w:cs="Calibri"/>
          <w:kern w:val="0"/>
          <w:sz w:val="24"/>
          <w:szCs w:val="24"/>
          <w:lang w:eastAsia="en-GB"/>
          <w14:ligatures w14:val="none"/>
        </w:rPr>
      </w:pPr>
    </w:p>
    <w:p w14:paraId="3E629C89" w14:textId="77777777" w:rsidR="00CE25F2" w:rsidRPr="00133C4C" w:rsidRDefault="00CE25F2">
      <w:pPr>
        <w:rPr>
          <w:rFonts w:ascii="Calibri" w:eastAsia="Times New Roman" w:hAnsi="Calibri" w:cs="Calibri"/>
          <w:kern w:val="0"/>
          <w:sz w:val="24"/>
          <w:szCs w:val="24"/>
          <w:lang w:eastAsia="en-GB"/>
          <w14:ligatures w14:val="none"/>
        </w:rPr>
      </w:pPr>
    </w:p>
    <w:p w14:paraId="189EBBB3" w14:textId="77777777" w:rsidR="00CE25F2" w:rsidRPr="00133C4C" w:rsidRDefault="00CE25F2">
      <w:pPr>
        <w:rPr>
          <w:rFonts w:ascii="Calibri" w:eastAsia="Times New Roman" w:hAnsi="Calibri" w:cs="Calibri"/>
          <w:kern w:val="0"/>
          <w:sz w:val="24"/>
          <w:szCs w:val="24"/>
          <w:lang w:eastAsia="en-GB"/>
          <w14:ligatures w14:val="none"/>
        </w:rPr>
      </w:pPr>
    </w:p>
    <w:p w14:paraId="6001482E" w14:textId="77777777" w:rsidR="00CE25F2" w:rsidRPr="00133C4C" w:rsidRDefault="00CE25F2">
      <w:pPr>
        <w:rPr>
          <w:rFonts w:ascii="Calibri" w:eastAsia="Times New Roman" w:hAnsi="Calibri" w:cs="Calibri"/>
          <w:kern w:val="0"/>
          <w:sz w:val="24"/>
          <w:szCs w:val="24"/>
          <w:lang w:eastAsia="en-GB"/>
          <w14:ligatures w14:val="none"/>
        </w:rPr>
      </w:pPr>
    </w:p>
    <w:p w14:paraId="6DB0BE1A" w14:textId="77777777" w:rsidR="00CE25F2" w:rsidRPr="00133C4C" w:rsidRDefault="00CE25F2">
      <w:pPr>
        <w:rPr>
          <w:rFonts w:ascii="Calibri" w:eastAsia="Times New Roman" w:hAnsi="Calibri" w:cs="Calibri"/>
          <w:kern w:val="0"/>
          <w:sz w:val="24"/>
          <w:szCs w:val="24"/>
          <w:lang w:eastAsia="en-GB"/>
          <w14:ligatures w14:val="none"/>
        </w:rPr>
      </w:pPr>
    </w:p>
    <w:p w14:paraId="50D92B0C" w14:textId="77777777" w:rsidR="00CE25F2" w:rsidRPr="00133C4C" w:rsidRDefault="00CE25F2">
      <w:pPr>
        <w:rPr>
          <w:rFonts w:ascii="Calibri" w:eastAsia="Times New Roman" w:hAnsi="Calibri" w:cs="Calibri"/>
          <w:kern w:val="0"/>
          <w:sz w:val="24"/>
          <w:szCs w:val="24"/>
          <w:lang w:eastAsia="en-GB"/>
          <w14:ligatures w14:val="none"/>
        </w:rPr>
      </w:pPr>
    </w:p>
    <w:p w14:paraId="020A1328" w14:textId="77777777" w:rsidR="00CE25F2" w:rsidRPr="00133C4C" w:rsidRDefault="00CE25F2">
      <w:pPr>
        <w:rPr>
          <w:rFonts w:ascii="Calibri" w:eastAsia="Times New Roman" w:hAnsi="Calibri" w:cs="Calibri"/>
          <w:kern w:val="0"/>
          <w:sz w:val="24"/>
          <w:szCs w:val="24"/>
          <w:lang w:eastAsia="en-GB"/>
          <w14:ligatures w14:val="none"/>
        </w:rPr>
      </w:pPr>
    </w:p>
    <w:p w14:paraId="7024FD06" w14:textId="77777777" w:rsidR="00CE25F2" w:rsidRPr="00133C4C" w:rsidRDefault="00CE25F2">
      <w:pPr>
        <w:rPr>
          <w:rFonts w:ascii="Calibri" w:eastAsia="Times New Roman" w:hAnsi="Calibri" w:cs="Calibri"/>
          <w:kern w:val="0"/>
          <w:sz w:val="24"/>
          <w:szCs w:val="24"/>
          <w:lang w:eastAsia="en-GB"/>
          <w14:ligatures w14:val="none"/>
        </w:rPr>
      </w:pPr>
    </w:p>
    <w:p w14:paraId="1E257418" w14:textId="77777777" w:rsidR="00CE25F2" w:rsidRPr="00133C4C" w:rsidRDefault="00CE25F2">
      <w:pPr>
        <w:rPr>
          <w:rFonts w:ascii="Calibri" w:eastAsia="Times New Roman" w:hAnsi="Calibri" w:cs="Calibri"/>
          <w:kern w:val="0"/>
          <w:sz w:val="24"/>
          <w:szCs w:val="24"/>
          <w:lang w:eastAsia="en-GB"/>
          <w14:ligatures w14:val="none"/>
        </w:rPr>
      </w:pPr>
    </w:p>
    <w:p w14:paraId="3911E2D0" w14:textId="77777777" w:rsidR="00CE25F2" w:rsidRPr="00133C4C" w:rsidRDefault="00CE25F2">
      <w:pPr>
        <w:rPr>
          <w:rFonts w:ascii="Calibri" w:eastAsia="Times New Roman" w:hAnsi="Calibri" w:cs="Calibri"/>
          <w:kern w:val="0"/>
          <w:sz w:val="24"/>
          <w:szCs w:val="24"/>
          <w:lang w:eastAsia="en-GB"/>
          <w14:ligatures w14:val="none"/>
        </w:rPr>
      </w:pPr>
    </w:p>
    <w:p w14:paraId="20A047EA" w14:textId="77777777" w:rsidR="00CE25F2" w:rsidRPr="00133C4C" w:rsidRDefault="00CE25F2">
      <w:pPr>
        <w:rPr>
          <w:rFonts w:ascii="Calibri" w:eastAsia="Times New Roman" w:hAnsi="Calibri" w:cs="Calibri"/>
          <w:kern w:val="0"/>
          <w:sz w:val="24"/>
          <w:szCs w:val="24"/>
          <w:lang w:eastAsia="en-GB"/>
          <w14:ligatures w14:val="none"/>
        </w:rPr>
      </w:pPr>
    </w:p>
    <w:p w14:paraId="021E6852" w14:textId="77777777" w:rsidR="00CE25F2" w:rsidRPr="00133C4C" w:rsidRDefault="00CE25F2">
      <w:pPr>
        <w:rPr>
          <w:rFonts w:ascii="Calibri" w:eastAsia="Times New Roman" w:hAnsi="Calibri" w:cs="Calibri"/>
          <w:kern w:val="0"/>
          <w:sz w:val="24"/>
          <w:szCs w:val="24"/>
          <w:lang w:eastAsia="en-GB"/>
          <w14:ligatures w14:val="none"/>
        </w:rPr>
      </w:pPr>
    </w:p>
    <w:p w14:paraId="5D1B967B" w14:textId="77777777" w:rsidR="00CE25F2" w:rsidRPr="00133C4C" w:rsidRDefault="00CE25F2">
      <w:pPr>
        <w:rPr>
          <w:rFonts w:ascii="Calibri" w:eastAsia="Times New Roman" w:hAnsi="Calibri" w:cs="Calibri"/>
          <w:kern w:val="0"/>
          <w:sz w:val="24"/>
          <w:szCs w:val="24"/>
          <w:lang w:eastAsia="en-GB"/>
          <w14:ligatures w14:val="none"/>
        </w:rPr>
      </w:pPr>
    </w:p>
    <w:p w14:paraId="7D89295B" w14:textId="77777777" w:rsidR="00CE25F2" w:rsidRPr="00133C4C" w:rsidRDefault="00CE25F2">
      <w:pPr>
        <w:rPr>
          <w:rFonts w:ascii="Calibri" w:eastAsia="Times New Roman" w:hAnsi="Calibri" w:cs="Calibri"/>
          <w:kern w:val="0"/>
          <w:sz w:val="24"/>
          <w:szCs w:val="24"/>
          <w:lang w:eastAsia="en-GB"/>
          <w14:ligatures w14:val="none"/>
        </w:rPr>
      </w:pPr>
    </w:p>
    <w:p w14:paraId="521A6D9A" w14:textId="77777777" w:rsidR="00CE25F2" w:rsidRPr="00133C4C" w:rsidRDefault="00CE25F2">
      <w:pPr>
        <w:rPr>
          <w:rFonts w:ascii="Calibri" w:eastAsia="Times New Roman" w:hAnsi="Calibri" w:cs="Calibri"/>
          <w:kern w:val="0"/>
          <w:sz w:val="24"/>
          <w:szCs w:val="24"/>
          <w:lang w:eastAsia="en-GB"/>
          <w14:ligatures w14:val="none"/>
        </w:rPr>
      </w:pPr>
    </w:p>
    <w:p w14:paraId="19BB31E4" w14:textId="77777777" w:rsidR="00CE25F2" w:rsidRPr="00133C4C" w:rsidRDefault="00CE25F2">
      <w:pPr>
        <w:rPr>
          <w:rFonts w:ascii="Calibri" w:eastAsia="Times New Roman" w:hAnsi="Calibri" w:cs="Calibri"/>
          <w:kern w:val="0"/>
          <w:sz w:val="24"/>
          <w:szCs w:val="24"/>
          <w:lang w:eastAsia="en-GB"/>
          <w14:ligatures w14:val="none"/>
        </w:rPr>
      </w:pPr>
    </w:p>
    <w:p w14:paraId="6841E999" w14:textId="77777777" w:rsidR="00CE25F2" w:rsidRPr="00133C4C" w:rsidRDefault="00CE25F2">
      <w:pPr>
        <w:rPr>
          <w:rFonts w:ascii="Calibri" w:eastAsia="Times New Roman" w:hAnsi="Calibri" w:cs="Calibri"/>
          <w:kern w:val="0"/>
          <w:sz w:val="24"/>
          <w:szCs w:val="24"/>
          <w:lang w:eastAsia="en-GB"/>
          <w14:ligatures w14:val="none"/>
        </w:rPr>
      </w:pPr>
    </w:p>
    <w:p w14:paraId="258D38D4" w14:textId="77777777" w:rsidR="00CE25F2" w:rsidRPr="00133C4C" w:rsidRDefault="00CE25F2">
      <w:pPr>
        <w:rPr>
          <w:rFonts w:ascii="Calibri" w:eastAsia="Times New Roman" w:hAnsi="Calibri" w:cs="Calibri"/>
          <w:kern w:val="0"/>
          <w:sz w:val="24"/>
          <w:szCs w:val="24"/>
          <w:lang w:eastAsia="en-GB"/>
          <w14:ligatures w14:val="none"/>
        </w:rPr>
      </w:pPr>
    </w:p>
    <w:p w14:paraId="1A6A2249" w14:textId="77777777" w:rsidR="00CE25F2" w:rsidRPr="00133C4C" w:rsidRDefault="00CE25F2">
      <w:pPr>
        <w:rPr>
          <w:rFonts w:ascii="Calibri" w:eastAsia="Times New Roman" w:hAnsi="Calibri" w:cs="Calibri"/>
          <w:kern w:val="0"/>
          <w:sz w:val="24"/>
          <w:szCs w:val="24"/>
          <w:lang w:eastAsia="en-GB"/>
          <w14:ligatures w14:val="none"/>
        </w:rPr>
      </w:pPr>
    </w:p>
    <w:p w14:paraId="6B898FE2" w14:textId="77777777" w:rsidR="00CE25F2" w:rsidRPr="00133C4C" w:rsidRDefault="00CE25F2">
      <w:pPr>
        <w:rPr>
          <w:rFonts w:ascii="Calibri" w:eastAsia="Times New Roman" w:hAnsi="Calibri" w:cs="Calibri"/>
          <w:kern w:val="0"/>
          <w:sz w:val="24"/>
          <w:szCs w:val="24"/>
          <w:lang w:eastAsia="en-GB"/>
          <w14:ligatures w14:val="none"/>
        </w:rPr>
      </w:pPr>
    </w:p>
    <w:p w14:paraId="01AF5B17" w14:textId="08BBF6C1" w:rsidR="003A02A8" w:rsidRPr="00133C4C" w:rsidRDefault="003A02A8">
      <w:pPr>
        <w:rPr>
          <w:rFonts w:ascii="Calibri" w:eastAsia="Times New Roman" w:hAnsi="Calibri" w:cs="Calibri"/>
          <w:kern w:val="0"/>
          <w:sz w:val="24"/>
          <w:szCs w:val="24"/>
          <w:lang w:eastAsia="en-GB"/>
          <w14:ligatures w14:val="none"/>
        </w:rPr>
      </w:pPr>
    </w:p>
    <w:p w14:paraId="30C3D301" w14:textId="77777777" w:rsidR="0001316D" w:rsidRPr="00133C4C" w:rsidRDefault="0001316D" w:rsidP="0001316D">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t>Current Approaches to Supporting Anxiety in Mental Health Practice</w:t>
      </w:r>
    </w:p>
    <w:p w14:paraId="63829B10" w14:textId="5B1594E4" w:rsidR="0001316D" w:rsidRPr="00133C4C" w:rsidRDefault="0001316D"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Contemporary approaches to anxiety represent a significant shift from earlier medicalised and largely clinician</w:t>
      </w:r>
      <w:r w:rsidRPr="00133C4C">
        <w:rPr>
          <w:rFonts w:ascii="Calibri" w:eastAsia="Times New Roman" w:hAnsi="Calibri" w:cs="Calibri"/>
          <w:kern w:val="0"/>
          <w:sz w:val="24"/>
          <w:szCs w:val="24"/>
          <w:lang w:eastAsia="en-GB"/>
          <w14:ligatures w14:val="none"/>
        </w:rPr>
        <w:noBreakHyphen/>
        <w:t>led models toward evidence</w:t>
      </w:r>
      <w:r w:rsidRPr="00133C4C">
        <w:rPr>
          <w:rFonts w:ascii="Calibri" w:eastAsia="Times New Roman" w:hAnsi="Calibri" w:cs="Calibri"/>
          <w:kern w:val="0"/>
          <w:sz w:val="24"/>
          <w:szCs w:val="24"/>
          <w:lang w:eastAsia="en-GB"/>
          <w14:ligatures w14:val="none"/>
        </w:rPr>
        <w:noBreakHyphen/>
        <w:t>based, recovery</w:t>
      </w:r>
      <w:r w:rsidRPr="00133C4C">
        <w:rPr>
          <w:rFonts w:ascii="Calibri" w:eastAsia="Times New Roman" w:hAnsi="Calibri" w:cs="Calibri"/>
          <w:kern w:val="0"/>
          <w:sz w:val="24"/>
          <w:szCs w:val="24"/>
          <w:lang w:eastAsia="en-GB"/>
          <w14:ligatures w14:val="none"/>
        </w:rPr>
        <w:noBreakHyphen/>
        <w:t>focused, and person</w:t>
      </w:r>
      <w:r w:rsidRPr="00133C4C">
        <w:rPr>
          <w:rFonts w:ascii="Calibri" w:eastAsia="Times New Roman" w:hAnsi="Calibri" w:cs="Calibri"/>
          <w:kern w:val="0"/>
          <w:sz w:val="24"/>
          <w:szCs w:val="24"/>
          <w:lang w:eastAsia="en-GB"/>
          <w14:ligatures w14:val="none"/>
        </w:rPr>
        <w:noBreakHyphen/>
        <w:t>centred care.</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Historically, anxiety was managed through prolonged psychoanalysis or a heavy reliance on pharmacological interventions such as benzodiazepines.</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While these approaches contributed to foundational understanding, they often prioritised symptom suppression over functional recovery and carried risks such as dependence or limited accessibility.</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In contrast, current practice emphasises psychological therapies, functional engagement, and self</w:t>
      </w:r>
      <w:r w:rsidRPr="00133C4C">
        <w:rPr>
          <w:rFonts w:ascii="Calibri" w:eastAsia="Times New Roman" w:hAnsi="Calibri" w:cs="Calibri"/>
          <w:kern w:val="0"/>
          <w:sz w:val="24"/>
          <w:szCs w:val="24"/>
          <w:lang w:eastAsia="en-GB"/>
          <w14:ligatures w14:val="none"/>
        </w:rPr>
        <w:noBreakHyphen/>
        <w:t>management strategies, with Therapy Assistant Practitioners playing a defined and supportive role.</w:t>
      </w:r>
    </w:p>
    <w:p w14:paraId="24839C84" w14:textId="2E340E78" w:rsidR="0001316D" w:rsidRPr="00133C4C" w:rsidRDefault="0001316D"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Within modern services, TAPs undertake delegated interventions aligned with stepped</w:t>
      </w:r>
      <w:r w:rsidRPr="00133C4C">
        <w:rPr>
          <w:rFonts w:ascii="Calibri" w:eastAsia="Times New Roman" w:hAnsi="Calibri" w:cs="Calibri"/>
          <w:kern w:val="0"/>
          <w:sz w:val="24"/>
          <w:szCs w:val="24"/>
          <w:lang w:eastAsia="en-GB"/>
          <w14:ligatures w14:val="none"/>
        </w:rPr>
        <w:noBreakHyphen/>
        <w:t>care models, particularly those outlined within NHS Talking Therapies.</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Unlike earlier approaches that focused primarily on insight or medication, current TAP practice supports graded exposure, activity scheduling, and anxiety</w:t>
      </w:r>
      <w:r w:rsidRPr="00133C4C">
        <w:rPr>
          <w:rFonts w:ascii="Calibri" w:eastAsia="Times New Roman" w:hAnsi="Calibri" w:cs="Calibri"/>
          <w:kern w:val="0"/>
          <w:sz w:val="24"/>
          <w:szCs w:val="24"/>
          <w:lang w:eastAsia="en-GB"/>
          <w14:ligatures w14:val="none"/>
        </w:rPr>
        <w:noBreakHyphen/>
        <w:t>management strategies during meaningful occupations.</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Tools such as standardised outcome measures (e.g. GAD</w:t>
      </w:r>
      <w:r w:rsidRPr="00133C4C">
        <w:rPr>
          <w:rFonts w:ascii="Calibri" w:eastAsia="Times New Roman" w:hAnsi="Calibri" w:cs="Calibri"/>
          <w:kern w:val="0"/>
          <w:sz w:val="24"/>
          <w:szCs w:val="24"/>
          <w:lang w:eastAsia="en-GB"/>
          <w14:ligatures w14:val="none"/>
        </w:rPr>
        <w:noBreakHyphen/>
        <w:t>7) are now complemented by observational and occupation</w:t>
      </w:r>
      <w:r w:rsidRPr="00133C4C">
        <w:rPr>
          <w:rFonts w:ascii="Calibri" w:eastAsia="Times New Roman" w:hAnsi="Calibri" w:cs="Calibri"/>
          <w:kern w:val="0"/>
          <w:sz w:val="24"/>
          <w:szCs w:val="24"/>
          <w:lang w:eastAsia="en-GB"/>
          <w14:ligatures w14:val="none"/>
        </w:rPr>
        <w:noBreakHyphen/>
        <w:t xml:space="preserve">focused assessments, enabling a more holistic understanding of the individual’s functioning.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 evidence base supporting these approaches is strong, with CBT</w:t>
      </w:r>
      <w:r w:rsidRPr="00133C4C">
        <w:rPr>
          <w:rFonts w:ascii="Calibri" w:eastAsia="Times New Roman" w:hAnsi="Calibri" w:cs="Calibri"/>
          <w:kern w:val="0"/>
          <w:sz w:val="24"/>
          <w:szCs w:val="24"/>
          <w:lang w:eastAsia="en-GB"/>
          <w14:ligatures w14:val="none"/>
        </w:rPr>
        <w:noBreakHyphen/>
        <w:t>informed and behavioural interventions consistently demonstrating effectiveness across anxiety disorders (NICE, 2023).</w:t>
      </w:r>
    </w:p>
    <w:p w14:paraId="6818366A" w14:textId="51D4FA9E" w:rsidR="0001316D" w:rsidRPr="00133C4C" w:rsidRDefault="0001316D"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Today’s TAP practice is explicitly person</w:t>
      </w:r>
      <w:r w:rsidRPr="00133C4C">
        <w:rPr>
          <w:rFonts w:ascii="Calibri" w:eastAsia="Times New Roman" w:hAnsi="Calibri" w:cs="Calibri"/>
          <w:kern w:val="0"/>
          <w:sz w:val="24"/>
          <w:szCs w:val="24"/>
          <w:lang w:eastAsia="en-GB"/>
          <w14:ligatures w14:val="none"/>
        </w:rPr>
        <w:noBreakHyphen/>
        <w:t xml:space="preserve">centred, aligning with recovery models that prioritise service user goals, strengths, and lived experience.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Interventions are adapted collaboratively, recognising individual readiness, cultural context, and personal meaning. Compared with earlier paternalistic models, this approach improves engagement and supports sustained outcomes.</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However, challenges remain, including increasing demand, reduced workforce capacity, and long waiting times, which can limit continuity and intensity of support.</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National reports highlight that many individuals deteriorate while awaiting treatment, impacting both service users and carers (Centre for Mental Health, 2025).</w:t>
      </w:r>
    </w:p>
    <w:p w14:paraId="03EC5EC6" w14:textId="11C574C6" w:rsidR="0001316D" w:rsidRPr="00133C4C" w:rsidRDefault="0001316D"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Clinical decision</w:t>
      </w:r>
      <w:r w:rsidRPr="00133C4C">
        <w:rPr>
          <w:rFonts w:ascii="Calibri" w:eastAsia="Times New Roman" w:hAnsi="Calibri" w:cs="Calibri"/>
          <w:kern w:val="0"/>
          <w:sz w:val="24"/>
          <w:szCs w:val="24"/>
          <w:lang w:eastAsia="en-GB"/>
          <w14:ligatures w14:val="none"/>
        </w:rPr>
        <w:noBreakHyphen/>
        <w:t>making for TAPs is influenced by several factors, including delegation from registered clinicians, service policies, risk considerations, and the individual’s presentation on the day.</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Supervision and MDT collaboration are central to safe practice.</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While national guidelines and datasets provide high validity due to robust methodologies and large samples, they often lack detailed evaluation of assistant</w:t>
      </w:r>
      <w:r w:rsidRPr="00133C4C">
        <w:rPr>
          <w:rFonts w:ascii="Calibri" w:eastAsia="Times New Roman" w:hAnsi="Calibri" w:cs="Calibri"/>
          <w:kern w:val="0"/>
          <w:sz w:val="24"/>
          <w:szCs w:val="24"/>
          <w:lang w:eastAsia="en-GB"/>
          <w14:ligatures w14:val="none"/>
        </w:rPr>
        <w:noBreakHyphen/>
        <w:t>led practice.</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Therefore, qualitative evidence such as service user feedback and reflective practice remains highly relevant in assessing TAP effectiveness.</w:t>
      </w:r>
    </w:p>
    <w:p w14:paraId="1DFC7260" w14:textId="77777777" w:rsidR="0001316D" w:rsidRPr="00133C4C" w:rsidRDefault="0001316D"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Overall, current approaches demonstrate a more ethical, inclusive, and effective model of care, while highlighting ongoing systemic challenges that directly influence TAP practice.</w:t>
      </w:r>
    </w:p>
    <w:p w14:paraId="18666FFD" w14:textId="77777777" w:rsidR="00CE25F2" w:rsidRPr="00133C4C" w:rsidRDefault="00CE25F2"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7B5BA04C" w14:textId="788D76B4" w:rsidR="00CE25F2" w:rsidRPr="00133C4C" w:rsidRDefault="00CE25F2" w:rsidP="0001316D">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400D86D8" w14:textId="77777777" w:rsidR="00E17B67" w:rsidRPr="00133C4C" w:rsidRDefault="00E17B67" w:rsidP="00E17B67">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lastRenderedPageBreak/>
        <w:t>Co</w:t>
      </w:r>
      <w:r w:rsidRPr="00133C4C">
        <w:rPr>
          <w:rFonts w:ascii="Calibri" w:eastAsia="Times New Roman" w:hAnsi="Calibri" w:cs="Calibri"/>
          <w:b/>
          <w:bCs/>
          <w:kern w:val="0"/>
          <w:sz w:val="24"/>
          <w:szCs w:val="24"/>
          <w:lang w:eastAsia="en-GB"/>
          <w14:ligatures w14:val="none"/>
        </w:rPr>
        <w:noBreakHyphen/>
        <w:t>production in Supporting Individuals with Anxiety</w:t>
      </w:r>
    </w:p>
    <w:p w14:paraId="61FAD05A" w14:textId="0C15C9A3" w:rsidR="00E17B67"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Co</w:t>
      </w:r>
      <w:r w:rsidRPr="00133C4C">
        <w:rPr>
          <w:rFonts w:ascii="Calibri" w:eastAsia="Times New Roman" w:hAnsi="Calibri" w:cs="Calibri"/>
          <w:kern w:val="0"/>
          <w:sz w:val="24"/>
          <w:szCs w:val="24"/>
          <w:lang w:eastAsia="en-GB"/>
          <w14:ligatures w14:val="none"/>
        </w:rPr>
        <w:noBreakHyphen/>
        <w:t xml:space="preserve">production is a core principle within contemporary mental health practice and is central to effective Therapy Assistant Practitioner (TAP) assessment and intervention for individuals experiencing anxiety.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Co</w:t>
      </w:r>
      <w:r w:rsidRPr="00133C4C">
        <w:rPr>
          <w:rFonts w:ascii="Calibri" w:eastAsia="Times New Roman" w:hAnsi="Calibri" w:cs="Calibri"/>
          <w:kern w:val="0"/>
          <w:sz w:val="24"/>
          <w:szCs w:val="24"/>
          <w:lang w:eastAsia="en-GB"/>
          <w14:ligatures w14:val="none"/>
        </w:rPr>
        <w:noBreakHyphen/>
        <w:t xml:space="preserve">production recognises individuals as equal partners in their care, valuing lived experience alongside professional knowledge. </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For TAP practice, this requires collaborative working with the individual, their carers where appropriate, and the wider multidisciplinary team.</w:t>
      </w:r>
    </w:p>
    <w:p w14:paraId="6E17FC43" w14:textId="3AE519ED" w:rsidR="00E17B67"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As part of assessment and ongoing intervention, the key people involved include the individual experiencing anxiety, registered clinicians such as Occupational Therapists or Community Psychiatric Nurses, and the TAP acting under delegated responsibility.</w:t>
      </w:r>
      <w:r w:rsidR="000B299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Family members or informal carers may also play an important role in providing contextual insight and supporting the individual to engage with interventions. In anxiety</w:t>
      </w:r>
      <w:r w:rsidRPr="00133C4C">
        <w:rPr>
          <w:rFonts w:ascii="Calibri" w:eastAsia="Times New Roman" w:hAnsi="Calibri" w:cs="Calibri"/>
          <w:kern w:val="0"/>
          <w:sz w:val="24"/>
          <w:szCs w:val="24"/>
          <w:lang w:eastAsia="en-GB"/>
          <w14:ligatures w14:val="none"/>
        </w:rPr>
        <w:noBreakHyphen/>
        <w:t>related care, co</w:t>
      </w:r>
      <w:r w:rsidRPr="00133C4C">
        <w:rPr>
          <w:rFonts w:ascii="Calibri" w:eastAsia="Times New Roman" w:hAnsi="Calibri" w:cs="Calibri"/>
          <w:kern w:val="0"/>
          <w:sz w:val="24"/>
          <w:szCs w:val="24"/>
          <w:lang w:eastAsia="en-GB"/>
          <w14:ligatures w14:val="none"/>
        </w:rPr>
        <w:noBreakHyphen/>
        <w:t>production ensures that goals are meaningful, achievable, and aligned with what the individual identifies as supportive rather than distressing (NICE, 2023).</w:t>
      </w:r>
    </w:p>
    <w:p w14:paraId="293581F0" w14:textId="0930146B" w:rsidR="00E17B67"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Effective co</w:t>
      </w:r>
      <w:r w:rsidRPr="00133C4C">
        <w:rPr>
          <w:rFonts w:ascii="Calibri" w:eastAsia="Times New Roman" w:hAnsi="Calibri" w:cs="Calibri"/>
          <w:kern w:val="0"/>
          <w:sz w:val="24"/>
          <w:szCs w:val="24"/>
          <w:lang w:eastAsia="en-GB"/>
          <w14:ligatures w14:val="none"/>
        </w:rPr>
        <w:noBreakHyphen/>
        <w:t>production often requires collaboration with internal and external agencies. Internally, this includes close working with the multidisciplinary team to ensure consistency, shared risk awareness, and coordinated care planning.</w:t>
      </w:r>
      <w:r w:rsidR="004450A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Externally, agencies such as NHS Talking Therapies, primary care services, voluntary sector organisations, housing services, and employment or welfare support agencies may be involved. </w:t>
      </w:r>
      <w:r w:rsidR="004450A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These partnerships are particularly relevant for anxiety, as social stressors such as unemployment, debt, or housing insecurity frequently exacerbate symptoms (Centre for Mental Health, 2025).</w:t>
      </w:r>
    </w:p>
    <w:p w14:paraId="04C6A7BD" w14:textId="59974C45" w:rsidR="00E17B67"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Despite its recognised value, co</w:t>
      </w:r>
      <w:r w:rsidRPr="00133C4C">
        <w:rPr>
          <w:rFonts w:ascii="Calibri" w:eastAsia="Times New Roman" w:hAnsi="Calibri" w:cs="Calibri"/>
          <w:kern w:val="0"/>
          <w:sz w:val="24"/>
          <w:szCs w:val="24"/>
          <w:lang w:eastAsia="en-GB"/>
          <w14:ligatures w14:val="none"/>
        </w:rPr>
        <w:noBreakHyphen/>
        <w:t>production presents several challenges for TAPs. Common barriers include fluctuating engagement due to anxiety symptoms, limited confidence or trust in services, cognitive avoidance, and reduced motivation.</w:t>
      </w:r>
      <w:r w:rsidR="004450A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Systemic pressures such as high caseloads, time constraints, and long waiting lists may also restrict opportunities for meaningful collaboration.</w:t>
      </w:r>
      <w:r w:rsidR="004450AB">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Additionally, power imbalances can unintentionally persist if professional agendas override service user priorities (NHS England, 2019).</w:t>
      </w:r>
    </w:p>
    <w:p w14:paraId="541D9F14" w14:textId="56C328DF" w:rsidR="0061054E"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The evidence supporting co</w:t>
      </w:r>
      <w:r w:rsidRPr="00133C4C">
        <w:rPr>
          <w:rFonts w:ascii="Calibri" w:eastAsia="Times New Roman" w:hAnsi="Calibri" w:cs="Calibri"/>
          <w:kern w:val="0"/>
          <w:sz w:val="24"/>
          <w:szCs w:val="24"/>
          <w:lang w:eastAsia="en-GB"/>
          <w14:ligatures w14:val="none"/>
        </w:rPr>
        <w:noBreakHyphen/>
        <w:t xml:space="preserve">production in mental health is strong, particularly qualitative research highlighting improved engagement, satisfaction, and </w:t>
      </w:r>
      <w:proofErr w:type="gramStart"/>
      <w:r w:rsidRPr="00133C4C">
        <w:rPr>
          <w:rFonts w:ascii="Calibri" w:eastAsia="Times New Roman" w:hAnsi="Calibri" w:cs="Calibri"/>
          <w:kern w:val="0"/>
          <w:sz w:val="24"/>
          <w:szCs w:val="24"/>
          <w:lang w:eastAsia="en-GB"/>
          <w14:ligatures w14:val="none"/>
        </w:rPr>
        <w:t>outcomes</w:t>
      </w:r>
      <w:r w:rsidR="00DE5A0D">
        <w:rPr>
          <w:rFonts w:ascii="Calibri" w:eastAsia="Times New Roman" w:hAnsi="Calibri" w:cs="Calibri"/>
          <w:kern w:val="0"/>
          <w:sz w:val="24"/>
          <w:szCs w:val="24"/>
          <w:lang w:eastAsia="en-GB"/>
          <w14:ligatures w14:val="none"/>
        </w:rPr>
        <w:t xml:space="preserve"> .</w:t>
      </w:r>
      <w:proofErr w:type="gramEnd"/>
      <w:r w:rsidR="00DE5A0D">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However, national datasets often struggle to capture the relational and process</w:t>
      </w:r>
      <w:r w:rsidRPr="00133C4C">
        <w:rPr>
          <w:rFonts w:ascii="Calibri" w:eastAsia="Times New Roman" w:hAnsi="Calibri" w:cs="Calibri"/>
          <w:kern w:val="0"/>
          <w:sz w:val="24"/>
          <w:szCs w:val="24"/>
          <w:lang w:eastAsia="en-GB"/>
          <w14:ligatures w14:val="none"/>
        </w:rPr>
        <w:noBreakHyphen/>
        <w:t>based impact of co</w:t>
      </w:r>
      <w:r w:rsidRPr="00133C4C">
        <w:rPr>
          <w:rFonts w:ascii="Calibri" w:eastAsia="Times New Roman" w:hAnsi="Calibri" w:cs="Calibri"/>
          <w:kern w:val="0"/>
          <w:sz w:val="24"/>
          <w:szCs w:val="24"/>
          <w:lang w:eastAsia="en-GB"/>
          <w14:ligatures w14:val="none"/>
        </w:rPr>
        <w:noBreakHyphen/>
        <w:t>production.</w:t>
      </w:r>
      <w:r w:rsidR="00DE5A0D">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As such, reflective practice, service user feedback, and supervision remain highly relevant sources of evidence when evaluating TAP involvement. Overall, co</w:t>
      </w:r>
      <w:r w:rsidRPr="00133C4C">
        <w:rPr>
          <w:rFonts w:ascii="Calibri" w:eastAsia="Times New Roman" w:hAnsi="Calibri" w:cs="Calibri"/>
          <w:kern w:val="0"/>
          <w:sz w:val="24"/>
          <w:szCs w:val="24"/>
          <w:lang w:eastAsia="en-GB"/>
          <w14:ligatures w14:val="none"/>
        </w:rPr>
        <w:noBreakHyphen/>
        <w:t>production enhances ethical, person</w:t>
      </w:r>
      <w:r w:rsidRPr="00133C4C">
        <w:rPr>
          <w:rFonts w:ascii="Calibri" w:eastAsia="Times New Roman" w:hAnsi="Calibri" w:cs="Calibri"/>
          <w:kern w:val="0"/>
          <w:sz w:val="24"/>
          <w:szCs w:val="24"/>
          <w:lang w:eastAsia="en-GB"/>
          <w14:ligatures w14:val="none"/>
        </w:rPr>
        <w:noBreakHyphen/>
        <w:t>centred care but requires organisational commitment and reflective practice to be fully effective.</w:t>
      </w:r>
    </w:p>
    <w:p w14:paraId="0E6380E1" w14:textId="157A3927" w:rsidR="0061054E" w:rsidRPr="00133C4C" w:rsidRDefault="0061054E">
      <w:pPr>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br w:type="page"/>
      </w:r>
    </w:p>
    <w:p w14:paraId="55C68B9A" w14:textId="77777777" w:rsidR="00EB7116" w:rsidRPr="00133C4C" w:rsidRDefault="00EB7116" w:rsidP="00EB7116">
      <w:pPr>
        <w:spacing w:before="100" w:beforeAutospacing="1" w:after="100" w:afterAutospacing="1" w:line="300" w:lineRule="atLeast"/>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lastRenderedPageBreak/>
        <w:t>Clinical Governance and Supervision Framework in the Therapy Assistant Practitioner Role</w:t>
      </w:r>
    </w:p>
    <w:p w14:paraId="3CE67268" w14:textId="71C69378" w:rsidR="00EB7116" w:rsidRPr="00133C4C" w:rsidRDefault="00EB7116" w:rsidP="00EB711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Clinical governance provides the framework through which NHS organisations are accountable for continuously improving the quality and safety of services and maintaining high standards of care.</w:t>
      </w:r>
      <w:r w:rsidR="00DE5A0D">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For Therapy Assistant Practitioners (TAPs), clinical governance is essential in ensuring that delegated clinical tasks are delivered safely, ethically, and within defined scopes of practice.</w:t>
      </w:r>
      <w:r w:rsidR="00594A55">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Key components of clinical governance relevant to TAPs include risk management, clinical effectiveness, accountability, education, audit, and service user involvement.</w:t>
      </w:r>
    </w:p>
    <w:p w14:paraId="6FBFC2FD" w14:textId="77777777" w:rsidR="00EB7116" w:rsidRPr="00133C4C" w:rsidRDefault="00EB7116" w:rsidP="00EB711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Supervision sits as a central mechanism within the clinical governance framework and is particularly critical for TAPs due to their supportive and delegated role. Unlike registered practitioners who retain autonomous clinical accountability, TAPs operate under the supervision and direction of qualified clinicians such as Occupational Therapists or Nurses. This distinction highlights a key difference between governance for registered and non</w:t>
      </w:r>
      <w:r w:rsidRPr="00133C4C">
        <w:rPr>
          <w:rFonts w:ascii="Calibri" w:eastAsia="Times New Roman" w:hAnsi="Calibri" w:cs="Calibri"/>
          <w:kern w:val="0"/>
          <w:sz w:val="24"/>
          <w:szCs w:val="24"/>
          <w:lang w:eastAsia="en-GB"/>
          <w14:ligatures w14:val="none"/>
        </w:rPr>
        <w:noBreakHyphen/>
        <w:t>registered staff: TAPs rely more heavily on structured supervision to ensure clinical decisions, boundaries, and responsibilities remain safe and appropriate.</w:t>
      </w:r>
    </w:p>
    <w:p w14:paraId="2AA8617E" w14:textId="276D487B" w:rsidR="00EB7116" w:rsidRPr="00133C4C" w:rsidRDefault="00EB7116" w:rsidP="00EB711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Clinical supervision for TAPs typically includes a combination of managerial supervision, focused on performance and workload, and clinical supervision, which supports safe practice, reflective learning, and emotional resilience.</w:t>
      </w:r>
      <w:r w:rsidR="00594A55">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Compared with historical task</w:t>
      </w:r>
      <w:r w:rsidRPr="00133C4C">
        <w:rPr>
          <w:rFonts w:ascii="Calibri" w:eastAsia="Times New Roman" w:hAnsi="Calibri" w:cs="Calibri"/>
          <w:kern w:val="0"/>
          <w:sz w:val="24"/>
          <w:szCs w:val="24"/>
          <w:lang w:eastAsia="en-GB"/>
          <w14:ligatures w14:val="none"/>
        </w:rPr>
        <w:noBreakHyphen/>
        <w:t>focused assistant roles, current supervision frameworks emphasise reflective practice, professional development, and clinical reasoning.</w:t>
      </w:r>
      <w:r w:rsidR="00594A55">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This evolution reflects wider governance priorities around learning cultures rather than blame</w:t>
      </w:r>
      <w:r w:rsidRPr="00133C4C">
        <w:rPr>
          <w:rFonts w:ascii="Calibri" w:eastAsia="Times New Roman" w:hAnsi="Calibri" w:cs="Calibri"/>
          <w:kern w:val="0"/>
          <w:sz w:val="24"/>
          <w:szCs w:val="24"/>
          <w:lang w:eastAsia="en-GB"/>
          <w14:ligatures w14:val="none"/>
        </w:rPr>
        <w:noBreakHyphen/>
        <w:t>based systems.</w:t>
      </w:r>
    </w:p>
    <w:p w14:paraId="18B0E2BC" w14:textId="04618B92" w:rsidR="00EB7116" w:rsidRPr="00133C4C" w:rsidRDefault="00EB7116" w:rsidP="00EB711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From an evaluative perspective, robust supervision frameworks enhance patient safety, reduce practice variation, and promote confidence in delegation processes. Evidence consistently links regular, high</w:t>
      </w:r>
      <w:r w:rsidRPr="00133C4C">
        <w:rPr>
          <w:rFonts w:ascii="Calibri" w:eastAsia="Times New Roman" w:hAnsi="Calibri" w:cs="Calibri"/>
          <w:kern w:val="0"/>
          <w:sz w:val="24"/>
          <w:szCs w:val="24"/>
          <w:lang w:eastAsia="en-GB"/>
          <w14:ligatures w14:val="none"/>
        </w:rPr>
        <w:noBreakHyphen/>
        <w:t>quality supervision with improved staff competence, wellbeing, and service quality. However, challenges remain.</w:t>
      </w:r>
      <w:r w:rsidR="003F7877">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Time pressures, workforce shortages, and high caseloads can limit access to consistent supervision, creating potential governance risks.</w:t>
      </w:r>
      <w:r w:rsidR="003F7877">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For TAPs, insufficient supervision may increase the likelihood of role drift, blurred accountability, or task performance beyond competence.</w:t>
      </w:r>
    </w:p>
    <w:p w14:paraId="54F71678" w14:textId="08211780" w:rsidR="00EB7116" w:rsidRPr="00133C4C" w:rsidRDefault="00EB7116" w:rsidP="003F7877">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Clinical governance also requires TAPs to engage with incident reporting, mandatory training, and adherence to local policies.</w:t>
      </w:r>
      <w:r w:rsidR="003F7877">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While national frameworks such as NHS clinical governance principles are well</w:t>
      </w:r>
      <w:r w:rsidRPr="00133C4C">
        <w:rPr>
          <w:rFonts w:ascii="Calibri" w:eastAsia="Times New Roman" w:hAnsi="Calibri" w:cs="Calibri"/>
          <w:kern w:val="0"/>
          <w:sz w:val="24"/>
          <w:szCs w:val="24"/>
          <w:lang w:eastAsia="en-GB"/>
          <w14:ligatures w14:val="none"/>
        </w:rPr>
        <w:noBreakHyphen/>
        <w:t>established and highly valid, they are often broad.</w:t>
      </w:r>
      <w:r w:rsidR="003F7877">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Their relevance to TAP practice depends on effective local implementation, clear delegation protocols, and supportive supervision structures.</w:t>
      </w:r>
    </w:p>
    <w:p w14:paraId="2625E112" w14:textId="27BF9340" w:rsidR="00EB7116" w:rsidRPr="00133C4C" w:rsidRDefault="00EB7116" w:rsidP="00EB7116">
      <w:pPr>
        <w:spacing w:before="100" w:beforeAutospacing="1" w:after="100" w:afterAutospacing="1" w:line="300" w:lineRule="atLeast"/>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In conclusion, clinical governance and supervision are interdependent systems that safeguard service users and practitioners.</w:t>
      </w:r>
      <w:r w:rsidR="0028367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For TAPs, effective supervision operationalises clinical governance, ensuring safe delegation, ongoing competence, and person</w:t>
      </w:r>
      <w:r w:rsidRPr="00133C4C">
        <w:rPr>
          <w:rFonts w:ascii="Calibri" w:eastAsia="Times New Roman" w:hAnsi="Calibri" w:cs="Calibri"/>
          <w:kern w:val="0"/>
          <w:sz w:val="24"/>
          <w:szCs w:val="24"/>
          <w:lang w:eastAsia="en-GB"/>
          <w14:ligatures w14:val="none"/>
        </w:rPr>
        <w:noBreakHyphen/>
        <w:t>centred, accountable practice within mental health services.</w:t>
      </w:r>
    </w:p>
    <w:p w14:paraId="5A727312" w14:textId="04300509" w:rsidR="00E17B67" w:rsidRPr="00133C4C" w:rsidRDefault="00E17B67" w:rsidP="00E17B67">
      <w:pPr>
        <w:spacing w:before="100" w:beforeAutospacing="1" w:after="100" w:afterAutospacing="1" w:line="300" w:lineRule="atLeast"/>
        <w:rPr>
          <w:rFonts w:ascii="Calibri" w:eastAsia="Times New Roman" w:hAnsi="Calibri" w:cs="Calibri"/>
          <w:kern w:val="0"/>
          <w:sz w:val="24"/>
          <w:szCs w:val="24"/>
          <w:lang w:eastAsia="en-GB"/>
          <w14:ligatures w14:val="none"/>
        </w:rPr>
      </w:pPr>
    </w:p>
    <w:p w14:paraId="4BE225B5" w14:textId="77777777" w:rsidR="003C7283" w:rsidRPr="00133C4C" w:rsidRDefault="003C7283" w:rsidP="00733F9E">
      <w:pPr>
        <w:spacing w:before="100" w:beforeAutospacing="1" w:after="100" w:afterAutospacing="1" w:line="360" w:lineRule="auto"/>
        <w:outlineLvl w:val="1"/>
        <w:rPr>
          <w:rFonts w:ascii="Calibri" w:eastAsia="Times New Roman" w:hAnsi="Calibri" w:cs="Calibri"/>
          <w:b/>
          <w:bCs/>
          <w:kern w:val="0"/>
          <w:sz w:val="24"/>
          <w:szCs w:val="24"/>
          <w:lang w:eastAsia="en-GB"/>
          <w14:ligatures w14:val="none"/>
        </w:rPr>
      </w:pPr>
      <w:r w:rsidRPr="00133C4C">
        <w:rPr>
          <w:rFonts w:ascii="Calibri" w:eastAsia="Times New Roman" w:hAnsi="Calibri" w:cs="Calibri"/>
          <w:b/>
          <w:bCs/>
          <w:kern w:val="0"/>
          <w:sz w:val="24"/>
          <w:szCs w:val="24"/>
          <w:lang w:eastAsia="en-GB"/>
          <w14:ligatures w14:val="none"/>
        </w:rPr>
        <w:t>Conclusion and Recommendations</w:t>
      </w:r>
    </w:p>
    <w:p w14:paraId="3DCD644D" w14:textId="7B80C56E" w:rsidR="003C7283" w:rsidRPr="00133C4C" w:rsidRDefault="003C7283"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 xml:space="preserve">This research report has examined anxiety within adult mental health services from the perspective of the Therapy Assistant Practitioner (TAP). The findings highlight that anxiety is a highly prevalent and impactful mental health condition, affecting individuals’ emotional wellbeing, occupational functioning, and quality of life, while also placing significant demand on health and social care services. </w:t>
      </w:r>
      <w:r w:rsidR="0028367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The report has explored historical and current approaches to anxiety, demonstrating a clear shift from predominantly medical and clinician</w:t>
      </w:r>
      <w:r w:rsidRPr="00133C4C">
        <w:rPr>
          <w:rFonts w:ascii="Calibri" w:eastAsia="Times New Roman" w:hAnsi="Calibri" w:cs="Calibri"/>
          <w:kern w:val="0"/>
          <w:sz w:val="24"/>
          <w:szCs w:val="24"/>
          <w:lang w:eastAsia="en-GB"/>
          <w14:ligatures w14:val="none"/>
        </w:rPr>
        <w:noBreakHyphen/>
        <w:t>led models towards recovery</w:t>
      </w:r>
      <w:r w:rsidRPr="00133C4C">
        <w:rPr>
          <w:rFonts w:ascii="Calibri" w:eastAsia="Times New Roman" w:hAnsi="Calibri" w:cs="Calibri"/>
          <w:kern w:val="0"/>
          <w:sz w:val="24"/>
          <w:szCs w:val="24"/>
          <w:lang w:eastAsia="en-GB"/>
          <w14:ligatures w14:val="none"/>
        </w:rPr>
        <w:noBreakHyphen/>
        <w:t>focused, person</w:t>
      </w:r>
      <w:r w:rsidRPr="00133C4C">
        <w:rPr>
          <w:rFonts w:ascii="Calibri" w:eastAsia="Times New Roman" w:hAnsi="Calibri" w:cs="Calibri"/>
          <w:kern w:val="0"/>
          <w:sz w:val="24"/>
          <w:szCs w:val="24"/>
          <w:lang w:eastAsia="en-GB"/>
          <w14:ligatures w14:val="none"/>
        </w:rPr>
        <w:noBreakHyphen/>
        <w:t>centred, and evidence</w:t>
      </w:r>
      <w:r w:rsidRPr="00133C4C">
        <w:rPr>
          <w:rFonts w:ascii="Calibri" w:eastAsia="Times New Roman" w:hAnsi="Calibri" w:cs="Calibri"/>
          <w:kern w:val="0"/>
          <w:sz w:val="24"/>
          <w:szCs w:val="24"/>
          <w:lang w:eastAsia="en-GB"/>
          <w14:ligatures w14:val="none"/>
        </w:rPr>
        <w:noBreakHyphen/>
        <w:t>based practice.</w:t>
      </w:r>
    </w:p>
    <w:p w14:paraId="0B8DA5C2" w14:textId="5733333B" w:rsidR="003C7283" w:rsidRPr="00133C4C" w:rsidRDefault="003C7283"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The role of the TAP has been shown to be integral within contemporary mental health services. Through delegated assessment, therapeutic engagement, graded activity support, and co</w:t>
      </w:r>
      <w:r w:rsidRPr="00133C4C">
        <w:rPr>
          <w:rFonts w:ascii="Calibri" w:eastAsia="Times New Roman" w:hAnsi="Calibri" w:cs="Calibri"/>
          <w:kern w:val="0"/>
          <w:sz w:val="24"/>
          <w:szCs w:val="24"/>
          <w:lang w:eastAsia="en-GB"/>
          <w14:ligatures w14:val="none"/>
        </w:rPr>
        <w:noBreakHyphen/>
        <w:t>production, TAPs contribute meaningfully to anxiety management while working within governance and supervision frameworks.</w:t>
      </w:r>
      <w:r w:rsidR="0028367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The analysis identified that effective TAP practice is strongly influenced by multidisciplinary collaboration, access to supervision, clear role boundaries, and adherence to national guidance.</w:t>
      </w:r>
      <w:r w:rsidR="0028367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However, challenges such as increasing service demand, workforce pressures, and barriers to access continue to impact both service users and practitioners.</w:t>
      </w:r>
    </w:p>
    <w:p w14:paraId="541CB767" w14:textId="3674414C" w:rsidR="003C7283" w:rsidRPr="00133C4C" w:rsidRDefault="003C7283"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Based on the outcomes of this report, several recommendations can be made for future TAP practice.</w:t>
      </w:r>
      <w:r w:rsidR="00283673">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Firstly, there should be continued investment in structured clinical supervision to ensure safe delegation, reflective practice, and professional development for TAPs.</w:t>
      </w:r>
      <w:r w:rsidR="002E0FF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Evidence consistently shows that effective supervision supports quality care and staff wellbeing (Health Education England, 2018). </w:t>
      </w:r>
      <w:r w:rsidR="002E0FF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Secondly, further emphasis should be placed on co</w:t>
      </w:r>
      <w:r w:rsidRPr="00133C4C">
        <w:rPr>
          <w:rFonts w:ascii="Calibri" w:eastAsia="Times New Roman" w:hAnsi="Calibri" w:cs="Calibri"/>
          <w:kern w:val="0"/>
          <w:sz w:val="24"/>
          <w:szCs w:val="24"/>
          <w:lang w:eastAsia="en-GB"/>
          <w14:ligatures w14:val="none"/>
        </w:rPr>
        <w:noBreakHyphen/>
        <w:t>production training for TAPs, enabling meaningful collaboration with individuals, carers, and partner agencies to support engagement and recovery (NHS England, 2019).</w:t>
      </w:r>
    </w:p>
    <w:p w14:paraId="6CB4BF89" w14:textId="20EAB7B1" w:rsidR="003C7283" w:rsidRPr="00133C4C" w:rsidRDefault="003C7283"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Thirdly, TAP roles should be clearly integrated into stepped</w:t>
      </w:r>
      <w:r w:rsidRPr="00133C4C">
        <w:rPr>
          <w:rFonts w:ascii="Calibri" w:eastAsia="Times New Roman" w:hAnsi="Calibri" w:cs="Calibri"/>
          <w:kern w:val="0"/>
          <w:sz w:val="24"/>
          <w:szCs w:val="24"/>
          <w:lang w:eastAsia="en-GB"/>
          <w14:ligatures w14:val="none"/>
        </w:rPr>
        <w:noBreakHyphen/>
        <w:t>care and recovery pathways, with recognition of their contribution to functional outcomes and engagement.</w:t>
      </w:r>
      <w:r w:rsidR="002E0FF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Improved documentation and evaluation of assistant</w:t>
      </w:r>
      <w:r w:rsidRPr="00133C4C">
        <w:rPr>
          <w:rFonts w:ascii="Calibri" w:eastAsia="Times New Roman" w:hAnsi="Calibri" w:cs="Calibri"/>
          <w:kern w:val="0"/>
          <w:sz w:val="24"/>
          <w:szCs w:val="24"/>
          <w:lang w:eastAsia="en-GB"/>
          <w14:ligatures w14:val="none"/>
        </w:rPr>
        <w:noBreakHyphen/>
        <w:t xml:space="preserve">led interventions would strengthen the evidence base for TAP practice, addressing limitations within national datasets that often overlook </w:t>
      </w:r>
      <w:r w:rsidRPr="00133C4C">
        <w:rPr>
          <w:rFonts w:ascii="Calibri" w:eastAsia="Times New Roman" w:hAnsi="Calibri" w:cs="Calibri"/>
          <w:kern w:val="0"/>
          <w:sz w:val="24"/>
          <w:szCs w:val="24"/>
          <w:lang w:eastAsia="en-GB"/>
          <w14:ligatures w14:val="none"/>
        </w:rPr>
        <w:lastRenderedPageBreak/>
        <w:t>non</w:t>
      </w:r>
      <w:r w:rsidRPr="00133C4C">
        <w:rPr>
          <w:rFonts w:ascii="Calibri" w:eastAsia="Times New Roman" w:hAnsi="Calibri" w:cs="Calibri"/>
          <w:kern w:val="0"/>
          <w:sz w:val="24"/>
          <w:szCs w:val="24"/>
          <w:lang w:eastAsia="en-GB"/>
          <w14:ligatures w14:val="none"/>
        </w:rPr>
        <w:noBreakHyphen/>
        <w:t>registered roles (NHS Digital, 2023).</w:t>
      </w:r>
      <w:r w:rsidR="002E0FF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Finally, services should continue to address wider social determinants of mental health by strengthening partnerships with voluntary and community organisations, reflecting the complex needs of individuals with anxiety (Centre for Mental Health, 2025).</w:t>
      </w:r>
    </w:p>
    <w:p w14:paraId="6D24D1CB" w14:textId="6795C99B" w:rsidR="003C7283" w:rsidRDefault="003C7283"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r w:rsidRPr="00133C4C">
        <w:rPr>
          <w:rFonts w:ascii="Calibri" w:eastAsia="Times New Roman" w:hAnsi="Calibri" w:cs="Calibri"/>
          <w:kern w:val="0"/>
          <w:sz w:val="24"/>
          <w:szCs w:val="24"/>
          <w:lang w:eastAsia="en-GB"/>
          <w14:ligatures w14:val="none"/>
        </w:rPr>
        <w:t>In conclusion, Therapy Assistant Practitioners play a vital role in supporting individuals with anxiety.</w:t>
      </w:r>
      <w:r w:rsidR="002E0FFF">
        <w:rPr>
          <w:rFonts w:ascii="Calibri" w:eastAsia="Times New Roman" w:hAnsi="Calibri" w:cs="Calibri"/>
          <w:kern w:val="0"/>
          <w:sz w:val="24"/>
          <w:szCs w:val="24"/>
          <w:lang w:eastAsia="en-GB"/>
          <w14:ligatures w14:val="none"/>
        </w:rPr>
        <w:t xml:space="preserve"> </w:t>
      </w:r>
      <w:r w:rsidRPr="00133C4C">
        <w:rPr>
          <w:rFonts w:ascii="Calibri" w:eastAsia="Times New Roman" w:hAnsi="Calibri" w:cs="Calibri"/>
          <w:kern w:val="0"/>
          <w:sz w:val="24"/>
          <w:szCs w:val="24"/>
          <w:lang w:eastAsia="en-GB"/>
          <w14:ligatures w14:val="none"/>
        </w:rPr>
        <w:t xml:space="preserve"> Embedding strong governance, supervision, and person</w:t>
      </w:r>
      <w:r w:rsidRPr="00133C4C">
        <w:rPr>
          <w:rFonts w:ascii="Calibri" w:eastAsia="Times New Roman" w:hAnsi="Calibri" w:cs="Calibri"/>
          <w:kern w:val="0"/>
          <w:sz w:val="24"/>
          <w:szCs w:val="24"/>
          <w:lang w:eastAsia="en-GB"/>
          <w14:ligatures w14:val="none"/>
        </w:rPr>
        <w:noBreakHyphen/>
        <w:t>centred principles will be essential to sustaining effective and ethical TAP practice within increasingly pressured mental health services.</w:t>
      </w:r>
    </w:p>
    <w:p w14:paraId="52E8A630"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21BDD902"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6DDDBD5C"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63FA0841"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5CC44D80"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6E5BE776"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5C04F4BC"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03357A48"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72A6C9EA"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3B72B27D"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4ABE531B"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15138A6A"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247E699C" w14:textId="77777777" w:rsidR="00C90FE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24CB6E64" w14:textId="77777777" w:rsidR="00C90FEC" w:rsidRPr="00133C4C" w:rsidRDefault="00C90FEC" w:rsidP="00733F9E">
      <w:pPr>
        <w:spacing w:before="100" w:beforeAutospacing="1" w:after="100" w:afterAutospacing="1" w:line="360" w:lineRule="auto"/>
        <w:rPr>
          <w:rFonts w:ascii="Calibri" w:eastAsia="Times New Roman" w:hAnsi="Calibri" w:cs="Calibri"/>
          <w:kern w:val="0"/>
          <w:sz w:val="24"/>
          <w:szCs w:val="24"/>
          <w:lang w:eastAsia="en-GB"/>
          <w14:ligatures w14:val="none"/>
        </w:rPr>
      </w:pPr>
    </w:p>
    <w:p w14:paraId="59365B45" w14:textId="3D75F665" w:rsidR="00A93C0C" w:rsidRPr="006B4E01" w:rsidRDefault="00E713CF" w:rsidP="0073452C">
      <w:pPr>
        <w:spacing w:before="100" w:beforeAutospacing="1" w:after="100" w:afterAutospacing="1" w:line="300" w:lineRule="atLeast"/>
        <w:rPr>
          <w:rFonts w:ascii="Segoe UI" w:eastAsia="Times New Roman" w:hAnsi="Segoe UI" w:cs="Segoe UI"/>
          <w:b/>
          <w:bCs/>
          <w:kern w:val="0"/>
          <w:sz w:val="24"/>
          <w:szCs w:val="24"/>
          <w:lang w:eastAsia="en-GB"/>
          <w14:ligatures w14:val="none"/>
        </w:rPr>
      </w:pPr>
      <w:r>
        <w:rPr>
          <w:rFonts w:ascii="Segoe UI" w:eastAsia="Times New Roman" w:hAnsi="Segoe UI" w:cs="Segoe UI"/>
          <w:b/>
          <w:bCs/>
          <w:kern w:val="0"/>
          <w:sz w:val="24"/>
          <w:szCs w:val="24"/>
          <w:lang w:eastAsia="en-GB"/>
          <w14:ligatures w14:val="none"/>
        </w:rPr>
        <w:lastRenderedPageBreak/>
        <w:t>R</w:t>
      </w:r>
      <w:r w:rsidR="00A93C0C" w:rsidRPr="006B4E01">
        <w:rPr>
          <w:rFonts w:ascii="Segoe UI" w:eastAsia="Times New Roman" w:hAnsi="Segoe UI" w:cs="Segoe UI"/>
          <w:b/>
          <w:bCs/>
          <w:kern w:val="0"/>
          <w:sz w:val="24"/>
          <w:szCs w:val="24"/>
          <w:lang w:eastAsia="en-GB"/>
          <w14:ligatures w14:val="none"/>
        </w:rPr>
        <w:t xml:space="preserve">eferences </w:t>
      </w:r>
    </w:p>
    <w:p w14:paraId="465B4F7A"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American Psychiatric Association (1980) </w:t>
      </w:r>
      <w:r w:rsidRPr="00572D9E">
        <w:rPr>
          <w:rStyle w:val="Emphasis"/>
          <w:rFonts w:ascii="Calibri" w:hAnsi="Calibri" w:cs="Calibri"/>
          <w:sz w:val="21"/>
          <w:szCs w:val="21"/>
        </w:rPr>
        <w:t>Diagnostic and statistical manual of mental disorders</w:t>
      </w:r>
      <w:r w:rsidRPr="00572D9E">
        <w:rPr>
          <w:rFonts w:ascii="Calibri" w:hAnsi="Calibri" w:cs="Calibri"/>
          <w:sz w:val="21"/>
          <w:szCs w:val="21"/>
        </w:rPr>
        <w:t xml:space="preserve"> (3rd </w:t>
      </w:r>
      <w:proofErr w:type="spellStart"/>
      <w:r w:rsidRPr="00572D9E">
        <w:rPr>
          <w:rFonts w:ascii="Calibri" w:hAnsi="Calibri" w:cs="Calibri"/>
          <w:sz w:val="21"/>
          <w:szCs w:val="21"/>
        </w:rPr>
        <w:t>edn</w:t>
      </w:r>
      <w:proofErr w:type="spellEnd"/>
      <w:r w:rsidRPr="00572D9E">
        <w:rPr>
          <w:rFonts w:ascii="Calibri" w:hAnsi="Calibri" w:cs="Calibri"/>
          <w:sz w:val="21"/>
          <w:szCs w:val="21"/>
        </w:rPr>
        <w:t>). Washington, DC: APA.</w:t>
      </w:r>
    </w:p>
    <w:p w14:paraId="3804E831"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Balon, R., Starcevic, V., Silberman, E., </w:t>
      </w:r>
      <w:proofErr w:type="spellStart"/>
      <w:r w:rsidRPr="00572D9E">
        <w:rPr>
          <w:rFonts w:ascii="Calibri" w:hAnsi="Calibri" w:cs="Calibri"/>
          <w:sz w:val="21"/>
          <w:szCs w:val="21"/>
        </w:rPr>
        <w:t>Cosci</w:t>
      </w:r>
      <w:proofErr w:type="spellEnd"/>
      <w:r w:rsidRPr="00572D9E">
        <w:rPr>
          <w:rFonts w:ascii="Calibri" w:hAnsi="Calibri" w:cs="Calibri"/>
          <w:sz w:val="21"/>
          <w:szCs w:val="21"/>
        </w:rPr>
        <w:t xml:space="preserve">, F., Dubovsky, S., Fava, G.A. and Nardi, A.E. (2020) ‘The rise, fall, and return of benzodiazepines’, </w:t>
      </w:r>
      <w:r w:rsidRPr="00572D9E">
        <w:rPr>
          <w:rStyle w:val="Emphasis"/>
          <w:rFonts w:ascii="Calibri" w:hAnsi="Calibri" w:cs="Calibri"/>
          <w:sz w:val="21"/>
          <w:szCs w:val="21"/>
        </w:rPr>
        <w:t>Brazilian Journal of Psychiatry</w:t>
      </w:r>
      <w:r w:rsidRPr="00572D9E">
        <w:rPr>
          <w:rFonts w:ascii="Calibri" w:hAnsi="Calibri" w:cs="Calibri"/>
          <w:sz w:val="21"/>
          <w:szCs w:val="21"/>
        </w:rPr>
        <w:t xml:space="preserve">, 42(3), pp. 243–244. </w:t>
      </w:r>
      <w:proofErr w:type="spellStart"/>
      <w:r w:rsidRPr="00572D9E">
        <w:rPr>
          <w:rFonts w:ascii="Calibri" w:hAnsi="Calibri" w:cs="Calibri"/>
          <w:sz w:val="21"/>
          <w:szCs w:val="21"/>
        </w:rPr>
        <w:t>doi</w:t>
      </w:r>
      <w:proofErr w:type="spellEnd"/>
      <w:r w:rsidRPr="00572D9E">
        <w:rPr>
          <w:rFonts w:ascii="Calibri" w:hAnsi="Calibri" w:cs="Calibri"/>
          <w:sz w:val="21"/>
          <w:szCs w:val="21"/>
        </w:rPr>
        <w:t>: 10.1590/1516-4446-2019-0773.</w:t>
      </w:r>
    </w:p>
    <w:p w14:paraId="2F4C76B8"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Care Quality Commission (CQC) (2023) </w:t>
      </w:r>
      <w:r w:rsidRPr="00572D9E">
        <w:rPr>
          <w:rStyle w:val="Emphasis"/>
          <w:rFonts w:ascii="Calibri" w:hAnsi="Calibri" w:cs="Calibri"/>
          <w:sz w:val="21"/>
          <w:szCs w:val="21"/>
        </w:rPr>
        <w:t>Regulation 18: Staffing</w:t>
      </w:r>
      <w:r w:rsidRPr="00572D9E">
        <w:rPr>
          <w:rFonts w:ascii="Calibri" w:hAnsi="Calibri" w:cs="Calibri"/>
          <w:sz w:val="21"/>
          <w:szCs w:val="21"/>
        </w:rPr>
        <w:t>. Available at: https://www.cqc.org.uk/guidance-providers/regulations-enforcement/regulation-18-staffing (Accessed: 23 April 2026).</w:t>
      </w:r>
    </w:p>
    <w:p w14:paraId="23733F4C"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Centre for Mental Health (2025) </w:t>
      </w:r>
      <w:r w:rsidRPr="00572D9E">
        <w:rPr>
          <w:rStyle w:val="Emphasis"/>
          <w:rFonts w:ascii="Calibri" w:hAnsi="Calibri" w:cs="Calibri"/>
          <w:sz w:val="21"/>
          <w:szCs w:val="21"/>
        </w:rPr>
        <w:t>The Big Mental Health Report</w:t>
      </w:r>
      <w:r w:rsidRPr="00572D9E">
        <w:rPr>
          <w:rFonts w:ascii="Calibri" w:hAnsi="Calibri" w:cs="Calibri"/>
          <w:sz w:val="21"/>
          <w:szCs w:val="21"/>
        </w:rPr>
        <w:t>. London: Centre for Mental Health. Available at: https://www.centreformentalhealth.org.uk/publications/the-big-mental-health-report-2025 (Accessed: 23 April 2026).</w:t>
      </w:r>
    </w:p>
    <w:p w14:paraId="175000E8" w14:textId="77777777" w:rsidR="003849C1" w:rsidRPr="00572D9E" w:rsidRDefault="003849C1" w:rsidP="00B85802">
      <w:pPr>
        <w:pStyle w:val="NormalWeb"/>
        <w:spacing w:line="276" w:lineRule="auto"/>
        <w:rPr>
          <w:rFonts w:ascii="Calibri" w:hAnsi="Calibri" w:cs="Calibri"/>
          <w:sz w:val="21"/>
          <w:szCs w:val="21"/>
        </w:rPr>
      </w:pPr>
      <w:proofErr w:type="spellStart"/>
      <w:r w:rsidRPr="00572D9E">
        <w:rPr>
          <w:rFonts w:ascii="Calibri" w:hAnsi="Calibri" w:cs="Calibri"/>
          <w:sz w:val="21"/>
          <w:szCs w:val="21"/>
        </w:rPr>
        <w:t>Crocq</w:t>
      </w:r>
      <w:proofErr w:type="spellEnd"/>
      <w:r w:rsidRPr="00572D9E">
        <w:rPr>
          <w:rFonts w:ascii="Calibri" w:hAnsi="Calibri" w:cs="Calibri"/>
          <w:sz w:val="21"/>
          <w:szCs w:val="21"/>
        </w:rPr>
        <w:t xml:space="preserve">, M.-A. (2015) ‘A history of anxiety: from Hippocrates to DSM’, </w:t>
      </w:r>
      <w:r w:rsidRPr="00572D9E">
        <w:rPr>
          <w:rStyle w:val="Emphasis"/>
          <w:rFonts w:ascii="Calibri" w:hAnsi="Calibri" w:cs="Calibri"/>
          <w:sz w:val="21"/>
          <w:szCs w:val="21"/>
        </w:rPr>
        <w:t>Dialogues in Clinical Neuroscience</w:t>
      </w:r>
      <w:r w:rsidRPr="00572D9E">
        <w:rPr>
          <w:rFonts w:ascii="Calibri" w:hAnsi="Calibri" w:cs="Calibri"/>
          <w:sz w:val="21"/>
          <w:szCs w:val="21"/>
        </w:rPr>
        <w:t>, 17(3), pp. 319–325. Available at: https://www.ncbi.nlm.nih.gov/pmc/articles/PMC4610616/ (Accessed: 23 April 2026).</w:t>
      </w:r>
    </w:p>
    <w:p w14:paraId="733F83E4"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Department of Health (1998) </w:t>
      </w:r>
      <w:r w:rsidRPr="00572D9E">
        <w:rPr>
          <w:rStyle w:val="Emphasis"/>
          <w:rFonts w:ascii="Calibri" w:hAnsi="Calibri" w:cs="Calibri"/>
          <w:sz w:val="21"/>
          <w:szCs w:val="21"/>
        </w:rPr>
        <w:t>A first class service: Quality in the new NHS</w:t>
      </w:r>
      <w:r w:rsidRPr="00572D9E">
        <w:rPr>
          <w:rFonts w:ascii="Calibri" w:hAnsi="Calibri" w:cs="Calibri"/>
          <w:sz w:val="21"/>
          <w:szCs w:val="21"/>
        </w:rPr>
        <w:t>. London: Department of Health.</w:t>
      </w:r>
    </w:p>
    <w:p w14:paraId="66B3CA32"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Health Education England (2018) </w:t>
      </w:r>
      <w:r w:rsidRPr="00572D9E">
        <w:rPr>
          <w:rStyle w:val="Emphasis"/>
          <w:rFonts w:ascii="Calibri" w:hAnsi="Calibri" w:cs="Calibri"/>
          <w:sz w:val="21"/>
          <w:szCs w:val="21"/>
        </w:rPr>
        <w:t>Clinical supervision for healthcare professionals</w:t>
      </w:r>
      <w:r w:rsidRPr="00572D9E">
        <w:rPr>
          <w:rFonts w:ascii="Calibri" w:hAnsi="Calibri" w:cs="Calibri"/>
          <w:sz w:val="21"/>
          <w:szCs w:val="21"/>
        </w:rPr>
        <w:t>. London: HEE.</w:t>
      </w:r>
    </w:p>
    <w:p w14:paraId="1A60D07C"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National Institute for Health and Care Excellence (NICE) (2023) </w:t>
      </w:r>
      <w:r w:rsidRPr="00572D9E">
        <w:rPr>
          <w:rStyle w:val="Emphasis"/>
          <w:rFonts w:ascii="Calibri" w:hAnsi="Calibri" w:cs="Calibri"/>
          <w:sz w:val="21"/>
          <w:szCs w:val="21"/>
        </w:rPr>
        <w:t>Generalised anxiety disorder and panic disorder in adults: management (CG113)</w:t>
      </w:r>
      <w:r w:rsidRPr="00572D9E">
        <w:rPr>
          <w:rFonts w:ascii="Calibri" w:hAnsi="Calibri" w:cs="Calibri"/>
          <w:sz w:val="21"/>
          <w:szCs w:val="21"/>
        </w:rPr>
        <w:t>. London: NICE. Available at: https://www.nice.org.uk/guidance/cg113 (Accessed: 23 April 2026).</w:t>
      </w:r>
    </w:p>
    <w:p w14:paraId="0F2AE33E"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Nemeroff, C.B. (2003) ‘Anxiolytics: past, present, and future agents’, </w:t>
      </w:r>
      <w:r w:rsidRPr="00572D9E">
        <w:rPr>
          <w:rStyle w:val="Emphasis"/>
          <w:rFonts w:ascii="Calibri" w:hAnsi="Calibri" w:cs="Calibri"/>
          <w:sz w:val="21"/>
          <w:szCs w:val="21"/>
        </w:rPr>
        <w:t>Journal of Clinical Psychiatry</w:t>
      </w:r>
      <w:r w:rsidRPr="00572D9E">
        <w:rPr>
          <w:rFonts w:ascii="Calibri" w:hAnsi="Calibri" w:cs="Calibri"/>
          <w:sz w:val="21"/>
          <w:szCs w:val="21"/>
        </w:rPr>
        <w:t>, 64(Suppl. 3), pp. 3–6.</w:t>
      </w:r>
    </w:p>
    <w:p w14:paraId="7B5C6BDB"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NHS Digital (2023) </w:t>
      </w:r>
      <w:r w:rsidRPr="00572D9E">
        <w:rPr>
          <w:rStyle w:val="Emphasis"/>
          <w:rFonts w:ascii="Calibri" w:hAnsi="Calibri" w:cs="Calibri"/>
          <w:sz w:val="21"/>
          <w:szCs w:val="21"/>
        </w:rPr>
        <w:t>Mental Health Services Dataset (MHSDS)</w:t>
      </w:r>
      <w:r w:rsidRPr="00572D9E">
        <w:rPr>
          <w:rFonts w:ascii="Calibri" w:hAnsi="Calibri" w:cs="Calibri"/>
          <w:sz w:val="21"/>
          <w:szCs w:val="21"/>
        </w:rPr>
        <w:t>. Leeds: NHS Digital. Available at: https://digital.nhs.uk/data-and-information/data-collections-and-data-sets/data-sets/mental-health-services-data-set (Accessed: 23 April 2026).</w:t>
      </w:r>
    </w:p>
    <w:p w14:paraId="23A2A274"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NHS England (2017) </w:t>
      </w:r>
      <w:r w:rsidRPr="00572D9E">
        <w:rPr>
          <w:rStyle w:val="Emphasis"/>
          <w:rFonts w:ascii="Calibri" w:hAnsi="Calibri" w:cs="Calibri"/>
          <w:sz w:val="21"/>
          <w:szCs w:val="21"/>
        </w:rPr>
        <w:t>Clinical governance</w:t>
      </w:r>
      <w:r w:rsidRPr="00572D9E">
        <w:rPr>
          <w:rFonts w:ascii="Calibri" w:hAnsi="Calibri" w:cs="Calibri"/>
          <w:sz w:val="21"/>
          <w:szCs w:val="21"/>
        </w:rPr>
        <w:t>. Available at: https://www.england.nhs.uk/clinical-governance/ (Accessed: 23 April 2026).</w:t>
      </w:r>
    </w:p>
    <w:p w14:paraId="313EF337"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NHS England (2019) </w:t>
      </w:r>
      <w:r w:rsidRPr="00572D9E">
        <w:rPr>
          <w:rStyle w:val="Emphasis"/>
          <w:rFonts w:ascii="Calibri" w:hAnsi="Calibri" w:cs="Calibri"/>
          <w:sz w:val="21"/>
          <w:szCs w:val="21"/>
        </w:rPr>
        <w:t>The NHS Long Term Plan</w:t>
      </w:r>
      <w:r w:rsidRPr="00572D9E">
        <w:rPr>
          <w:rFonts w:ascii="Calibri" w:hAnsi="Calibri" w:cs="Calibri"/>
          <w:sz w:val="21"/>
          <w:szCs w:val="21"/>
        </w:rPr>
        <w:t>. London: NHS England. Available at: https://www.longtermplan.nhs.uk (Accessed: 23 April 2026).</w:t>
      </w:r>
    </w:p>
    <w:p w14:paraId="57054BDD"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NHS England (2022) </w:t>
      </w:r>
      <w:r w:rsidRPr="00572D9E">
        <w:rPr>
          <w:rStyle w:val="Emphasis"/>
          <w:rFonts w:ascii="Calibri" w:hAnsi="Calibri" w:cs="Calibri"/>
          <w:sz w:val="21"/>
          <w:szCs w:val="21"/>
        </w:rPr>
        <w:t>NHS Talking Therapies manual</w:t>
      </w:r>
      <w:r w:rsidRPr="00572D9E">
        <w:rPr>
          <w:rFonts w:ascii="Calibri" w:hAnsi="Calibri" w:cs="Calibri"/>
          <w:sz w:val="21"/>
          <w:szCs w:val="21"/>
        </w:rPr>
        <w:t>. London: NHS England. Available at: https://www.england.nhs.uk/mental-health/adults/iapt/ (Accessed: 23 April 2026).</w:t>
      </w:r>
    </w:p>
    <w:p w14:paraId="013C30AF"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t xml:space="preserve">Wolpe, J. (1958) </w:t>
      </w:r>
      <w:r w:rsidRPr="00572D9E">
        <w:rPr>
          <w:rStyle w:val="Emphasis"/>
          <w:rFonts w:ascii="Calibri" w:hAnsi="Calibri" w:cs="Calibri"/>
          <w:sz w:val="21"/>
          <w:szCs w:val="21"/>
        </w:rPr>
        <w:t>Psychotherapy by reciprocal inhibition</w:t>
      </w:r>
      <w:r w:rsidRPr="00572D9E">
        <w:rPr>
          <w:rFonts w:ascii="Calibri" w:hAnsi="Calibri" w:cs="Calibri"/>
          <w:sz w:val="21"/>
          <w:szCs w:val="21"/>
        </w:rPr>
        <w:t>. Stanford, CA: Stanford University Press.</w:t>
      </w:r>
    </w:p>
    <w:p w14:paraId="7D24636A" w14:textId="77777777" w:rsidR="003849C1" w:rsidRPr="00572D9E" w:rsidRDefault="003849C1" w:rsidP="00B85802">
      <w:pPr>
        <w:pStyle w:val="NormalWeb"/>
        <w:spacing w:line="276" w:lineRule="auto"/>
        <w:rPr>
          <w:rFonts w:ascii="Calibri" w:hAnsi="Calibri" w:cs="Calibri"/>
          <w:sz w:val="21"/>
          <w:szCs w:val="21"/>
        </w:rPr>
      </w:pPr>
      <w:r w:rsidRPr="00572D9E">
        <w:rPr>
          <w:rFonts w:ascii="Calibri" w:hAnsi="Calibri" w:cs="Calibri"/>
          <w:sz w:val="21"/>
          <w:szCs w:val="21"/>
        </w:rPr>
        <w:lastRenderedPageBreak/>
        <w:t xml:space="preserve">Wolpe, J. (1961) ‘The systematic desensitization treatment of neuroses’, </w:t>
      </w:r>
      <w:r w:rsidRPr="00572D9E">
        <w:rPr>
          <w:rStyle w:val="Emphasis"/>
          <w:rFonts w:ascii="Calibri" w:hAnsi="Calibri" w:cs="Calibri"/>
          <w:sz w:val="21"/>
          <w:szCs w:val="21"/>
        </w:rPr>
        <w:t>Journal of Nervous and Mental Disease</w:t>
      </w:r>
      <w:r w:rsidRPr="00572D9E">
        <w:rPr>
          <w:rFonts w:ascii="Calibri" w:hAnsi="Calibri" w:cs="Calibri"/>
          <w:sz w:val="21"/>
          <w:szCs w:val="21"/>
        </w:rPr>
        <w:t>, 132(2), pp. 180–203.</w:t>
      </w:r>
    </w:p>
    <w:p w14:paraId="3FB11D30" w14:textId="77777777" w:rsidR="003849C1" w:rsidRPr="00572D9E" w:rsidRDefault="003849C1" w:rsidP="00B85802">
      <w:pPr>
        <w:pStyle w:val="NormalWeb"/>
        <w:spacing w:line="276" w:lineRule="auto"/>
        <w:rPr>
          <w:rFonts w:ascii="Calibri" w:hAnsi="Calibri" w:cs="Calibri"/>
          <w:sz w:val="21"/>
          <w:szCs w:val="21"/>
        </w:rPr>
      </w:pPr>
    </w:p>
    <w:p w14:paraId="51AB4E3D" w14:textId="77777777" w:rsidR="003849C1" w:rsidRPr="00572D9E" w:rsidRDefault="003849C1" w:rsidP="00B85802">
      <w:pPr>
        <w:pStyle w:val="NormalWeb"/>
        <w:spacing w:line="276" w:lineRule="auto"/>
        <w:rPr>
          <w:rFonts w:ascii="Calibri" w:hAnsi="Calibri" w:cs="Calibri"/>
          <w:sz w:val="21"/>
          <w:szCs w:val="21"/>
        </w:rPr>
      </w:pPr>
    </w:p>
    <w:p w14:paraId="02C853AA" w14:textId="77777777" w:rsidR="003849C1" w:rsidRDefault="003849C1" w:rsidP="003849C1">
      <w:pPr>
        <w:pStyle w:val="NormalWeb"/>
        <w:spacing w:line="300" w:lineRule="atLeast"/>
        <w:rPr>
          <w:rFonts w:ascii="Segoe UI" w:hAnsi="Segoe UI" w:cs="Segoe UI"/>
          <w:sz w:val="21"/>
          <w:szCs w:val="21"/>
        </w:rPr>
      </w:pPr>
    </w:p>
    <w:p w14:paraId="22AE44EF" w14:textId="77777777" w:rsidR="003849C1" w:rsidRDefault="003849C1" w:rsidP="003849C1">
      <w:pPr>
        <w:pStyle w:val="NormalWeb"/>
        <w:spacing w:line="300" w:lineRule="atLeast"/>
        <w:rPr>
          <w:rFonts w:ascii="Segoe UI" w:hAnsi="Segoe UI" w:cs="Segoe UI"/>
          <w:sz w:val="21"/>
          <w:szCs w:val="21"/>
        </w:rPr>
      </w:pPr>
    </w:p>
    <w:p w14:paraId="4EDBEDB2" w14:textId="77777777" w:rsidR="003849C1" w:rsidRDefault="003849C1" w:rsidP="003849C1">
      <w:pPr>
        <w:pStyle w:val="NormalWeb"/>
        <w:spacing w:line="300" w:lineRule="atLeast"/>
        <w:rPr>
          <w:rFonts w:ascii="Segoe UI" w:hAnsi="Segoe UI" w:cs="Segoe UI"/>
          <w:sz w:val="21"/>
          <w:szCs w:val="21"/>
        </w:rPr>
      </w:pPr>
    </w:p>
    <w:p w14:paraId="724AE66E" w14:textId="77777777" w:rsidR="003849C1" w:rsidRDefault="003849C1" w:rsidP="003849C1">
      <w:pPr>
        <w:pStyle w:val="NormalWeb"/>
        <w:spacing w:line="300" w:lineRule="atLeast"/>
        <w:rPr>
          <w:rFonts w:ascii="Segoe UI" w:hAnsi="Segoe UI" w:cs="Segoe UI"/>
          <w:sz w:val="21"/>
          <w:szCs w:val="21"/>
        </w:rPr>
      </w:pPr>
    </w:p>
    <w:p w14:paraId="7469A60F" w14:textId="77777777" w:rsidR="003849C1" w:rsidRDefault="003849C1" w:rsidP="003849C1">
      <w:pPr>
        <w:pStyle w:val="NormalWeb"/>
        <w:spacing w:line="300" w:lineRule="atLeast"/>
        <w:rPr>
          <w:rFonts w:ascii="Segoe UI" w:hAnsi="Segoe UI" w:cs="Segoe UI"/>
          <w:sz w:val="21"/>
          <w:szCs w:val="21"/>
        </w:rPr>
      </w:pPr>
    </w:p>
    <w:p w14:paraId="714F0B13" w14:textId="77777777" w:rsidR="003849C1" w:rsidRDefault="003849C1" w:rsidP="003849C1">
      <w:pPr>
        <w:pStyle w:val="NormalWeb"/>
        <w:spacing w:line="300" w:lineRule="atLeast"/>
        <w:rPr>
          <w:rFonts w:ascii="Segoe UI" w:hAnsi="Segoe UI" w:cs="Segoe UI"/>
          <w:sz w:val="21"/>
          <w:szCs w:val="21"/>
        </w:rPr>
      </w:pPr>
    </w:p>
    <w:p w14:paraId="4D911FA9" w14:textId="77777777" w:rsidR="003849C1" w:rsidRDefault="003849C1" w:rsidP="003849C1">
      <w:pPr>
        <w:pStyle w:val="NormalWeb"/>
        <w:spacing w:line="300" w:lineRule="atLeast"/>
        <w:rPr>
          <w:rFonts w:ascii="Segoe UI" w:hAnsi="Segoe UI" w:cs="Segoe UI"/>
          <w:sz w:val="21"/>
          <w:szCs w:val="21"/>
        </w:rPr>
      </w:pPr>
    </w:p>
    <w:p w14:paraId="4FFA9C65" w14:textId="77777777" w:rsidR="003849C1" w:rsidRDefault="003849C1" w:rsidP="003849C1">
      <w:pPr>
        <w:pStyle w:val="NormalWeb"/>
        <w:spacing w:line="300" w:lineRule="atLeast"/>
        <w:rPr>
          <w:rFonts w:ascii="Segoe UI" w:hAnsi="Segoe UI" w:cs="Segoe UI"/>
          <w:sz w:val="21"/>
          <w:szCs w:val="21"/>
        </w:rPr>
      </w:pPr>
    </w:p>
    <w:p w14:paraId="52B80327" w14:textId="77777777" w:rsidR="003849C1" w:rsidRDefault="003849C1" w:rsidP="003849C1">
      <w:pPr>
        <w:pStyle w:val="NormalWeb"/>
        <w:spacing w:line="300" w:lineRule="atLeast"/>
        <w:rPr>
          <w:rFonts w:ascii="Segoe UI" w:hAnsi="Segoe UI" w:cs="Segoe UI"/>
          <w:sz w:val="21"/>
          <w:szCs w:val="21"/>
        </w:rPr>
      </w:pPr>
    </w:p>
    <w:p w14:paraId="419EBBC5" w14:textId="77777777" w:rsidR="003849C1" w:rsidRDefault="003849C1" w:rsidP="003849C1">
      <w:pPr>
        <w:pStyle w:val="NormalWeb"/>
        <w:spacing w:line="300" w:lineRule="atLeast"/>
        <w:rPr>
          <w:rFonts w:ascii="Segoe UI" w:hAnsi="Segoe UI" w:cs="Segoe UI"/>
          <w:sz w:val="21"/>
          <w:szCs w:val="21"/>
        </w:rPr>
      </w:pPr>
    </w:p>
    <w:p w14:paraId="7C4B1478" w14:textId="77777777" w:rsidR="003849C1" w:rsidRDefault="003849C1" w:rsidP="003849C1">
      <w:pPr>
        <w:pStyle w:val="NormalWeb"/>
        <w:spacing w:line="300" w:lineRule="atLeast"/>
        <w:rPr>
          <w:rFonts w:ascii="Segoe UI" w:hAnsi="Segoe UI" w:cs="Segoe UI"/>
          <w:sz w:val="21"/>
          <w:szCs w:val="21"/>
        </w:rPr>
      </w:pPr>
    </w:p>
    <w:p w14:paraId="7DE6E875" w14:textId="77777777" w:rsidR="00F81370" w:rsidRDefault="00F81370" w:rsidP="00865952">
      <w:pPr>
        <w:pStyle w:val="NormalWeb"/>
        <w:spacing w:line="300" w:lineRule="atLeast"/>
        <w:rPr>
          <w:rFonts w:ascii="Segoe UI" w:hAnsi="Segoe UI" w:cs="Segoe UI"/>
          <w:sz w:val="21"/>
          <w:szCs w:val="21"/>
        </w:rPr>
      </w:pPr>
    </w:p>
    <w:p w14:paraId="6734B665" w14:textId="78BB5CD5" w:rsidR="00F81370" w:rsidRDefault="00D260AB" w:rsidP="00865952">
      <w:pPr>
        <w:pStyle w:val="NormalWeb"/>
        <w:spacing w:line="300" w:lineRule="atLeast"/>
        <w:rPr>
          <w:rFonts w:ascii="Segoe UI" w:hAnsi="Segoe UI" w:cs="Segoe UI"/>
          <w:sz w:val="21"/>
          <w:szCs w:val="21"/>
        </w:rPr>
      </w:pPr>
      <w:r w:rsidRPr="0010004F">
        <w:rPr>
          <w:rFonts w:ascii="Comic Sans MS" w:hAnsi="Comic Sans MS"/>
          <w:noProof/>
          <w:sz w:val="40"/>
          <w:szCs w:val="40"/>
        </w:rPr>
        <w:lastRenderedPageBreak/>
        <w:drawing>
          <wp:inline distT="0" distB="0" distL="0" distR="0" wp14:anchorId="46E554F5" wp14:editId="48FB6B32">
            <wp:extent cx="5731510" cy="3252470"/>
            <wp:effectExtent l="0" t="0" r="2540" b="5080"/>
            <wp:docPr id="353607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443578" name=""/>
                    <pic:cNvPicPr/>
                  </pic:nvPicPr>
                  <pic:blipFill>
                    <a:blip r:embed="rId14"/>
                    <a:stretch>
                      <a:fillRect/>
                    </a:stretch>
                  </pic:blipFill>
                  <pic:spPr>
                    <a:xfrm>
                      <a:off x="0" y="0"/>
                      <a:ext cx="5731510" cy="3252470"/>
                    </a:xfrm>
                    <a:prstGeom prst="rect">
                      <a:avLst/>
                    </a:prstGeom>
                  </pic:spPr>
                </pic:pic>
              </a:graphicData>
            </a:graphic>
          </wp:inline>
        </w:drawing>
      </w:r>
    </w:p>
    <w:p w14:paraId="5C2C1A45" w14:textId="77777777" w:rsidR="00F81370" w:rsidRDefault="00F81370" w:rsidP="00865952">
      <w:pPr>
        <w:pStyle w:val="NormalWeb"/>
        <w:spacing w:line="300" w:lineRule="atLeast"/>
        <w:rPr>
          <w:rFonts w:ascii="Segoe UI" w:hAnsi="Segoe UI" w:cs="Segoe UI"/>
          <w:sz w:val="21"/>
          <w:szCs w:val="21"/>
        </w:rPr>
      </w:pPr>
    </w:p>
    <w:p w14:paraId="2F328243" w14:textId="7E524F4D" w:rsidR="00CE25F2" w:rsidRDefault="00D260AB">
      <w:pPr>
        <w:rPr>
          <w:rFonts w:ascii="Comic Sans MS" w:hAnsi="Comic Sans MS"/>
          <w:sz w:val="40"/>
          <w:szCs w:val="40"/>
        </w:rPr>
      </w:pPr>
      <w:r w:rsidRPr="002C7206">
        <w:rPr>
          <w:rFonts w:ascii="Comic Sans MS" w:hAnsi="Comic Sans MS"/>
          <w:noProof/>
          <w:sz w:val="40"/>
          <w:szCs w:val="40"/>
        </w:rPr>
        <w:drawing>
          <wp:inline distT="0" distB="0" distL="0" distR="0" wp14:anchorId="36B93070" wp14:editId="02F8B966">
            <wp:extent cx="5731510" cy="728345"/>
            <wp:effectExtent l="0" t="0" r="2540" b="0"/>
            <wp:docPr id="406377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841688" name=""/>
                    <pic:cNvPicPr/>
                  </pic:nvPicPr>
                  <pic:blipFill>
                    <a:blip r:embed="rId15"/>
                    <a:stretch>
                      <a:fillRect/>
                    </a:stretch>
                  </pic:blipFill>
                  <pic:spPr>
                    <a:xfrm>
                      <a:off x="0" y="0"/>
                      <a:ext cx="5731510" cy="728345"/>
                    </a:xfrm>
                    <a:prstGeom prst="rect">
                      <a:avLst/>
                    </a:prstGeom>
                  </pic:spPr>
                </pic:pic>
              </a:graphicData>
            </a:graphic>
          </wp:inline>
        </w:drawing>
      </w:r>
    </w:p>
    <w:p w14:paraId="2BBF8056" w14:textId="77777777" w:rsidR="00CE25F2" w:rsidRDefault="00CE25F2">
      <w:pPr>
        <w:rPr>
          <w:rFonts w:ascii="Comic Sans MS" w:hAnsi="Comic Sans MS"/>
          <w:sz w:val="40"/>
          <w:szCs w:val="40"/>
        </w:rPr>
      </w:pPr>
    </w:p>
    <w:p w14:paraId="7F78AA20" w14:textId="77777777" w:rsidR="00CE25F2" w:rsidRDefault="00CE25F2">
      <w:pPr>
        <w:rPr>
          <w:rFonts w:ascii="Comic Sans MS" w:hAnsi="Comic Sans MS"/>
          <w:sz w:val="40"/>
          <w:szCs w:val="40"/>
        </w:rPr>
      </w:pPr>
    </w:p>
    <w:p w14:paraId="3E863CE2" w14:textId="551663F4" w:rsidR="00FD3DF9" w:rsidRDefault="00FD3DF9">
      <w:pPr>
        <w:rPr>
          <w:rFonts w:ascii="Comic Sans MS" w:hAnsi="Comic Sans MS"/>
          <w:sz w:val="40"/>
          <w:szCs w:val="40"/>
        </w:rPr>
      </w:pPr>
    </w:p>
    <w:sectPr w:rsidR="00FD3DF9" w:rsidSect="00DD324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6D6DF" w14:textId="77777777" w:rsidR="00753D93" w:rsidRDefault="00753D93" w:rsidP="00490930">
      <w:pPr>
        <w:spacing w:after="0" w:line="240" w:lineRule="auto"/>
      </w:pPr>
      <w:r>
        <w:separator/>
      </w:r>
    </w:p>
  </w:endnote>
  <w:endnote w:type="continuationSeparator" w:id="0">
    <w:p w14:paraId="3A5B0E76" w14:textId="77777777" w:rsidR="00753D93" w:rsidRDefault="00753D93" w:rsidP="00490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1ED6" w14:textId="5B517761" w:rsidR="00092806" w:rsidRDefault="00905D60">
    <w:pPr>
      <w:pStyle w:val="Footer"/>
    </w:pPr>
    <w:r>
      <w:t xml:space="preserve">Page </w:t>
    </w:r>
    <w:sdt>
      <w:sdtPr>
        <w:id w:val="-535043266"/>
        <w:docPartObj>
          <w:docPartGallery w:val="Page Numbers (Bottom of Page)"/>
          <w:docPartUnique/>
        </w:docPartObj>
      </w:sdtPr>
      <w:sdtEndPr/>
      <w:sdtContent>
        <w:r w:rsidR="00092806">
          <w:fldChar w:fldCharType="begin"/>
        </w:r>
        <w:r w:rsidR="00092806">
          <w:instrText>PAGE   \* MERGEFORMAT</w:instrText>
        </w:r>
        <w:r w:rsidR="00092806">
          <w:fldChar w:fldCharType="separate"/>
        </w:r>
        <w:r w:rsidR="00092806">
          <w:t>2</w:t>
        </w:r>
        <w:r w:rsidR="00092806">
          <w:fldChar w:fldCharType="end"/>
        </w:r>
      </w:sdtContent>
    </w:sdt>
  </w:p>
  <w:p w14:paraId="60D17CED" w14:textId="77777777" w:rsidR="00490930" w:rsidRDefault="00490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0B932" w14:textId="77777777" w:rsidR="00753D93" w:rsidRDefault="00753D93" w:rsidP="00490930">
      <w:pPr>
        <w:spacing w:after="0" w:line="240" w:lineRule="auto"/>
      </w:pPr>
      <w:r>
        <w:separator/>
      </w:r>
    </w:p>
  </w:footnote>
  <w:footnote w:type="continuationSeparator" w:id="0">
    <w:p w14:paraId="4E9F9F23" w14:textId="77777777" w:rsidR="00753D93" w:rsidRDefault="00753D93" w:rsidP="00490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ED165C"/>
    <w:multiLevelType w:val="multilevel"/>
    <w:tmpl w:val="0CBC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677DB9"/>
    <w:multiLevelType w:val="multilevel"/>
    <w:tmpl w:val="0B8A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1645509">
    <w:abstractNumId w:val="1"/>
  </w:num>
  <w:num w:numId="2" w16cid:durableId="11989352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9E"/>
    <w:rsid w:val="0000119A"/>
    <w:rsid w:val="0001316D"/>
    <w:rsid w:val="00016BE4"/>
    <w:rsid w:val="000269FE"/>
    <w:rsid w:val="000464BC"/>
    <w:rsid w:val="00092806"/>
    <w:rsid w:val="000B2993"/>
    <w:rsid w:val="000F057B"/>
    <w:rsid w:val="0010004F"/>
    <w:rsid w:val="001006CA"/>
    <w:rsid w:val="00114196"/>
    <w:rsid w:val="00133C4C"/>
    <w:rsid w:val="001C2A94"/>
    <w:rsid w:val="00237087"/>
    <w:rsid w:val="00283673"/>
    <w:rsid w:val="00284D74"/>
    <w:rsid w:val="002A2478"/>
    <w:rsid w:val="002C7206"/>
    <w:rsid w:val="002D290C"/>
    <w:rsid w:val="002D2E58"/>
    <w:rsid w:val="002E0FFF"/>
    <w:rsid w:val="00301D41"/>
    <w:rsid w:val="003036AF"/>
    <w:rsid w:val="00331652"/>
    <w:rsid w:val="003849C1"/>
    <w:rsid w:val="003A02A8"/>
    <w:rsid w:val="003B03B5"/>
    <w:rsid w:val="003C46A3"/>
    <w:rsid w:val="003C7283"/>
    <w:rsid w:val="003F7877"/>
    <w:rsid w:val="00411950"/>
    <w:rsid w:val="00413876"/>
    <w:rsid w:val="0044372B"/>
    <w:rsid w:val="004450AB"/>
    <w:rsid w:val="00446DF2"/>
    <w:rsid w:val="00475C85"/>
    <w:rsid w:val="00490930"/>
    <w:rsid w:val="004C4579"/>
    <w:rsid w:val="004D1866"/>
    <w:rsid w:val="00572D9E"/>
    <w:rsid w:val="00581AF2"/>
    <w:rsid w:val="00594A55"/>
    <w:rsid w:val="005B449A"/>
    <w:rsid w:val="005B77CD"/>
    <w:rsid w:val="005E73EB"/>
    <w:rsid w:val="0061054E"/>
    <w:rsid w:val="00626761"/>
    <w:rsid w:val="00627340"/>
    <w:rsid w:val="006462E0"/>
    <w:rsid w:val="0065518B"/>
    <w:rsid w:val="00684AF4"/>
    <w:rsid w:val="006B4E01"/>
    <w:rsid w:val="006C3C41"/>
    <w:rsid w:val="006E074E"/>
    <w:rsid w:val="006E5D00"/>
    <w:rsid w:val="00712108"/>
    <w:rsid w:val="00733474"/>
    <w:rsid w:val="00733F9E"/>
    <w:rsid w:val="0073452C"/>
    <w:rsid w:val="0073512C"/>
    <w:rsid w:val="00753D93"/>
    <w:rsid w:val="00786B81"/>
    <w:rsid w:val="00792D14"/>
    <w:rsid w:val="007A3FC2"/>
    <w:rsid w:val="007A6593"/>
    <w:rsid w:val="007B3BBF"/>
    <w:rsid w:val="007B684D"/>
    <w:rsid w:val="007F6D94"/>
    <w:rsid w:val="00865952"/>
    <w:rsid w:val="00876E9E"/>
    <w:rsid w:val="00897707"/>
    <w:rsid w:val="008F4BEB"/>
    <w:rsid w:val="00905D60"/>
    <w:rsid w:val="00911F41"/>
    <w:rsid w:val="0092622B"/>
    <w:rsid w:val="0098305F"/>
    <w:rsid w:val="009A42F3"/>
    <w:rsid w:val="009A66E3"/>
    <w:rsid w:val="009B2F4C"/>
    <w:rsid w:val="009D7686"/>
    <w:rsid w:val="009F7E3D"/>
    <w:rsid w:val="00A0088C"/>
    <w:rsid w:val="00A31DCA"/>
    <w:rsid w:val="00A741A9"/>
    <w:rsid w:val="00A93C0C"/>
    <w:rsid w:val="00AC495F"/>
    <w:rsid w:val="00AD1B8B"/>
    <w:rsid w:val="00AF3647"/>
    <w:rsid w:val="00B55129"/>
    <w:rsid w:val="00B73BA6"/>
    <w:rsid w:val="00B77DA0"/>
    <w:rsid w:val="00B85802"/>
    <w:rsid w:val="00B87658"/>
    <w:rsid w:val="00C0269F"/>
    <w:rsid w:val="00C12495"/>
    <w:rsid w:val="00C677EC"/>
    <w:rsid w:val="00C67A7B"/>
    <w:rsid w:val="00C90FEC"/>
    <w:rsid w:val="00CE25F2"/>
    <w:rsid w:val="00CF66EA"/>
    <w:rsid w:val="00D01DBD"/>
    <w:rsid w:val="00D03EF4"/>
    <w:rsid w:val="00D075B2"/>
    <w:rsid w:val="00D126A8"/>
    <w:rsid w:val="00D15791"/>
    <w:rsid w:val="00D260AB"/>
    <w:rsid w:val="00D904A3"/>
    <w:rsid w:val="00D960C5"/>
    <w:rsid w:val="00DA5282"/>
    <w:rsid w:val="00DC2656"/>
    <w:rsid w:val="00DD3249"/>
    <w:rsid w:val="00DE5A0D"/>
    <w:rsid w:val="00E06C9E"/>
    <w:rsid w:val="00E17B67"/>
    <w:rsid w:val="00E32152"/>
    <w:rsid w:val="00E412C9"/>
    <w:rsid w:val="00E713CF"/>
    <w:rsid w:val="00EB26F4"/>
    <w:rsid w:val="00EB7116"/>
    <w:rsid w:val="00F34693"/>
    <w:rsid w:val="00F81370"/>
    <w:rsid w:val="00FD25B3"/>
    <w:rsid w:val="00FD3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2FD41"/>
  <w15:chartTrackingRefBased/>
  <w15:docId w15:val="{56C174F4-24CC-42AF-9E10-4CE83E3AF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C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6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6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6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6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6C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6C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6C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6C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6C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6C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6C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6C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6C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6C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6C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6C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6C9E"/>
    <w:rPr>
      <w:rFonts w:eastAsiaTheme="majorEastAsia" w:cstheme="majorBidi"/>
      <w:color w:val="272727" w:themeColor="text1" w:themeTint="D8"/>
    </w:rPr>
  </w:style>
  <w:style w:type="paragraph" w:styleId="Title">
    <w:name w:val="Title"/>
    <w:basedOn w:val="Normal"/>
    <w:next w:val="Normal"/>
    <w:link w:val="TitleChar"/>
    <w:uiPriority w:val="10"/>
    <w:qFormat/>
    <w:rsid w:val="00E06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6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6C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6C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6C9E"/>
    <w:pPr>
      <w:spacing w:before="160"/>
      <w:jc w:val="center"/>
    </w:pPr>
    <w:rPr>
      <w:i/>
      <w:iCs/>
      <w:color w:val="404040" w:themeColor="text1" w:themeTint="BF"/>
    </w:rPr>
  </w:style>
  <w:style w:type="character" w:customStyle="1" w:styleId="QuoteChar">
    <w:name w:val="Quote Char"/>
    <w:basedOn w:val="DefaultParagraphFont"/>
    <w:link w:val="Quote"/>
    <w:uiPriority w:val="29"/>
    <w:rsid w:val="00E06C9E"/>
    <w:rPr>
      <w:i/>
      <w:iCs/>
      <w:color w:val="404040" w:themeColor="text1" w:themeTint="BF"/>
    </w:rPr>
  </w:style>
  <w:style w:type="paragraph" w:styleId="ListParagraph">
    <w:name w:val="List Paragraph"/>
    <w:basedOn w:val="Normal"/>
    <w:uiPriority w:val="34"/>
    <w:qFormat/>
    <w:rsid w:val="00E06C9E"/>
    <w:pPr>
      <w:ind w:left="720"/>
      <w:contextualSpacing/>
    </w:pPr>
  </w:style>
  <w:style w:type="character" w:styleId="IntenseEmphasis">
    <w:name w:val="Intense Emphasis"/>
    <w:basedOn w:val="DefaultParagraphFont"/>
    <w:uiPriority w:val="21"/>
    <w:qFormat/>
    <w:rsid w:val="00E06C9E"/>
    <w:rPr>
      <w:i/>
      <w:iCs/>
      <w:color w:val="0F4761" w:themeColor="accent1" w:themeShade="BF"/>
    </w:rPr>
  </w:style>
  <w:style w:type="paragraph" w:styleId="IntenseQuote">
    <w:name w:val="Intense Quote"/>
    <w:basedOn w:val="Normal"/>
    <w:next w:val="Normal"/>
    <w:link w:val="IntenseQuoteChar"/>
    <w:uiPriority w:val="30"/>
    <w:qFormat/>
    <w:rsid w:val="00E06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6C9E"/>
    <w:rPr>
      <w:i/>
      <w:iCs/>
      <w:color w:val="0F4761" w:themeColor="accent1" w:themeShade="BF"/>
    </w:rPr>
  </w:style>
  <w:style w:type="character" w:styleId="IntenseReference">
    <w:name w:val="Intense Reference"/>
    <w:basedOn w:val="DefaultParagraphFont"/>
    <w:uiPriority w:val="32"/>
    <w:qFormat/>
    <w:rsid w:val="00E06C9E"/>
    <w:rPr>
      <w:b/>
      <w:bCs/>
      <w:smallCaps/>
      <w:color w:val="0F4761" w:themeColor="accent1" w:themeShade="BF"/>
      <w:spacing w:val="5"/>
    </w:rPr>
  </w:style>
  <w:style w:type="paragraph" w:styleId="NormalWeb">
    <w:name w:val="Normal (Web)"/>
    <w:basedOn w:val="Normal"/>
    <w:uiPriority w:val="99"/>
    <w:unhideWhenUsed/>
    <w:rsid w:val="004D186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4D1866"/>
    <w:rPr>
      <w:i/>
      <w:iCs/>
    </w:rPr>
  </w:style>
  <w:style w:type="paragraph" w:styleId="Header">
    <w:name w:val="header"/>
    <w:basedOn w:val="Normal"/>
    <w:link w:val="HeaderChar"/>
    <w:uiPriority w:val="99"/>
    <w:unhideWhenUsed/>
    <w:rsid w:val="004909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930"/>
  </w:style>
  <w:style w:type="paragraph" w:styleId="Footer">
    <w:name w:val="footer"/>
    <w:basedOn w:val="Normal"/>
    <w:link w:val="FooterChar"/>
    <w:uiPriority w:val="99"/>
    <w:unhideWhenUsed/>
    <w:rsid w:val="004909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mc.ncbi.nlm.nih.gov/articles/PMC723615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mc.ncbi.nlm.nih.gov/articles/PMC32156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explore-local-statistics/indicators/wellbeing-anxiety"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cks.nice.org.uk/topics/generalized-anxiety-disorder/background-information/prevalence/" TargetMode="External"/><Relationship Id="rId4" Type="http://schemas.openxmlformats.org/officeDocument/2006/relationships/settings" Target="settings.xml"/><Relationship Id="rId9" Type="http://schemas.openxmlformats.org/officeDocument/2006/relationships/hyperlink" Target="https://pixabay.com/fr/anxi%C3%A9t%C3%A9-nuage-de-mot-mot-chronique-1337383/"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6DD8E-AA36-470E-8ACB-2CB2B4C80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16</Pages>
  <Words>3970</Words>
  <Characters>22634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SBU</Company>
  <LinksUpToDate>false</LinksUpToDate>
  <CharactersWithSpaces>26551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Alozie (Swansea Bay UHB - Adult Mental Health OT)</dc:creator>
  <cp:keywords/>
  <dc:description/>
  <cp:lastModifiedBy>Samantha Alozie (Swansea Bay UHB - Adult Mental Health OT)</cp:lastModifiedBy>
  <cp:revision>70</cp:revision>
  <cp:lastPrinted>2026-04-27T08:23:00Z</cp:lastPrinted>
  <dcterms:created xsi:type="dcterms:W3CDTF">2026-05-07T09:51:00Z</dcterms:created>
  <dcterms:modified xsi:type="dcterms:W3CDTF">2026-05-14T20:34:00Z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6fef73f1-645e-4273-87f6-4b25a3e9fc1a</vt:lpwstr>
  </property>
</Properties>
</file>