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8792F" w14:textId="36046222" w:rsidR="00D440EF" w:rsidRPr="00D440EF" w:rsidRDefault="00D440EF" w:rsidP="00D440EF">
      <w:pPr>
        <w:spacing w:line="276" w:lineRule="auto"/>
        <w:rPr>
          <w:rFonts w:ascii="Arial" w:hAnsi="Arial" w:cs="Arial"/>
          <w:sz w:val="22"/>
          <w:szCs w:val="22"/>
          <w:u w:val="single"/>
        </w:rPr>
      </w:pPr>
      <w:r w:rsidRPr="00D440EF">
        <w:rPr>
          <w:rFonts w:ascii="Arial" w:hAnsi="Arial" w:cs="Arial"/>
          <w:sz w:val="22"/>
          <w:szCs w:val="22"/>
          <w:u w:val="single"/>
        </w:rPr>
        <w:t xml:space="preserve">Introduction </w:t>
      </w:r>
    </w:p>
    <w:p w14:paraId="628DC1DC" w14:textId="77777777" w:rsidR="00D440EF" w:rsidRDefault="00D440EF" w:rsidP="00D440EF">
      <w:pPr>
        <w:spacing w:line="276" w:lineRule="auto"/>
        <w:rPr>
          <w:rFonts w:ascii="Arial" w:hAnsi="Arial" w:cs="Arial"/>
          <w:color w:val="000000" w:themeColor="text1"/>
          <w:sz w:val="22"/>
          <w:szCs w:val="22"/>
        </w:rPr>
      </w:pPr>
    </w:p>
    <w:p w14:paraId="73530131" w14:textId="77777777" w:rsidR="00D440EF" w:rsidRDefault="00D440EF" w:rsidP="00D440E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In the context of personal and professional growth, A critical incident plays a central and significant role. Promoting educators to pause and reflect on ingrained or unconsciously held beliefs about their profession and/or practices. (Crowhurst and Patrick, 2018)  </w:t>
      </w:r>
    </w:p>
    <w:p w14:paraId="5261A0B2" w14:textId="77777777" w:rsidR="00D440EF" w:rsidRDefault="00D440EF" w:rsidP="00D440EF">
      <w:pPr>
        <w:spacing w:line="276" w:lineRule="auto"/>
        <w:rPr>
          <w:rFonts w:ascii="Arial" w:hAnsi="Arial" w:cs="Arial"/>
          <w:color w:val="000000" w:themeColor="text1"/>
          <w:sz w:val="22"/>
          <w:szCs w:val="22"/>
        </w:rPr>
      </w:pPr>
    </w:p>
    <w:p w14:paraId="065EBC16" w14:textId="77777777" w:rsidR="00D440EF" w:rsidRDefault="00D440EF" w:rsidP="00D440E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But what exactly is a critical incident? This essay aims to explore the concept of critical incidents, exploring their significance to teaching practices on individuals and groups. </w:t>
      </w:r>
    </w:p>
    <w:p w14:paraId="7B624F49" w14:textId="1BEAED3D" w:rsidR="00D440EF" w:rsidRDefault="00D440EF" w:rsidP="00D440EF">
      <w:pPr>
        <w:spacing w:line="276" w:lineRule="auto"/>
        <w:rPr>
          <w:rFonts w:ascii="Arial" w:hAnsi="Arial" w:cs="Arial"/>
          <w:color w:val="000000" w:themeColor="text1"/>
          <w:sz w:val="22"/>
          <w:szCs w:val="22"/>
        </w:rPr>
      </w:pPr>
      <w:r>
        <w:rPr>
          <w:rFonts w:ascii="Arial" w:hAnsi="Arial" w:cs="Arial"/>
          <w:color w:val="000000" w:themeColor="text1"/>
          <w:sz w:val="22"/>
          <w:szCs w:val="22"/>
        </w:rPr>
        <w:t>Tripp (2012</w:t>
      </w:r>
      <w:r w:rsidR="00147CD8">
        <w:rPr>
          <w:rFonts w:ascii="Arial" w:hAnsi="Arial" w:cs="Arial"/>
          <w:color w:val="000000" w:themeColor="text1"/>
          <w:sz w:val="22"/>
          <w:szCs w:val="22"/>
        </w:rPr>
        <w:t>, p.413</w:t>
      </w:r>
      <w:r>
        <w:rPr>
          <w:rFonts w:ascii="Arial" w:hAnsi="Arial" w:cs="Arial"/>
          <w:color w:val="000000" w:themeColor="text1"/>
          <w:sz w:val="22"/>
          <w:szCs w:val="22"/>
        </w:rPr>
        <w:t xml:space="preserve">) suggests critical incidents are specific events or situations in teaching that are used to demonstrate the importance of professional judgment and highlight how personal and professional identities influence teachers' decision-making within the profession. These incidents offer insights into the complexities of teaching practices. </w:t>
      </w:r>
    </w:p>
    <w:p w14:paraId="0588A5AD" w14:textId="77777777" w:rsidR="00D440EF" w:rsidRDefault="00D440EF" w:rsidP="00D440EF">
      <w:pPr>
        <w:spacing w:line="276" w:lineRule="auto"/>
        <w:rPr>
          <w:rFonts w:ascii="Arial" w:hAnsi="Arial" w:cs="Arial"/>
          <w:color w:val="000000" w:themeColor="text1"/>
          <w:sz w:val="22"/>
          <w:szCs w:val="22"/>
        </w:rPr>
      </w:pPr>
    </w:p>
    <w:p w14:paraId="66487E97" w14:textId="77777777" w:rsidR="00D440EF" w:rsidRDefault="00D440EF" w:rsidP="00D440E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Drawing from my observations, this critical incident emerged from a mixed-ability and mixed-gender classroom where children were grouped according to their abilities. Within this context, the critical incident took place during an inferences and comprehension session and centred around a high-ability learner prolonged hand-raising. This behaviour pointed to a potential mismatch between the task at hand and the child's level of aptitude. This observation caught my attention, emphasising the significance of teaching strategies to suit diverse learning needs. </w:t>
      </w:r>
    </w:p>
    <w:p w14:paraId="062D4F29" w14:textId="77777777" w:rsidR="00D440EF" w:rsidRDefault="00D440EF" w:rsidP="00D440EF">
      <w:pPr>
        <w:spacing w:line="276" w:lineRule="auto"/>
        <w:rPr>
          <w:rFonts w:ascii="Arial" w:hAnsi="Arial" w:cs="Arial"/>
          <w:color w:val="000000" w:themeColor="text1"/>
          <w:sz w:val="22"/>
          <w:szCs w:val="22"/>
        </w:rPr>
      </w:pPr>
    </w:p>
    <w:p w14:paraId="13428561" w14:textId="77777777" w:rsidR="00D440EF" w:rsidRDefault="00D440EF" w:rsidP="00D440EF">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This essay will introduce and discuss the selected critical incident observation. A literature review will follow, outlining key areas that offer insight into the incident's relevance to theories and teaching and learning practices. Then personal reflections will be provided to indicate potential impacts for future practice. The overarching goal is to furnish valuable information and understanding about the consequences of critical incidents and how these incidents can be used to shape and guide teaching methods and strategies. </w:t>
      </w:r>
    </w:p>
    <w:p w14:paraId="381488F6" w14:textId="77777777" w:rsidR="00DE32B9" w:rsidRPr="00DE32B9" w:rsidRDefault="00DE32B9" w:rsidP="00D440EF">
      <w:pPr>
        <w:spacing w:line="276" w:lineRule="auto"/>
        <w:rPr>
          <w:rFonts w:ascii="Arial" w:hAnsi="Arial" w:cs="Arial"/>
          <w:color w:val="000000" w:themeColor="text1"/>
          <w:sz w:val="22"/>
          <w:szCs w:val="22"/>
          <w:u w:val="single"/>
        </w:rPr>
      </w:pPr>
    </w:p>
    <w:p w14:paraId="047655B5" w14:textId="2A882F66" w:rsidR="00DE32B9" w:rsidRPr="00DE32B9" w:rsidRDefault="00DE32B9" w:rsidP="00D440EF">
      <w:pPr>
        <w:spacing w:line="276" w:lineRule="auto"/>
        <w:rPr>
          <w:rFonts w:ascii="Arial" w:hAnsi="Arial" w:cs="Arial"/>
          <w:color w:val="000000" w:themeColor="text1"/>
          <w:sz w:val="22"/>
          <w:szCs w:val="22"/>
          <w:u w:val="single"/>
        </w:rPr>
      </w:pPr>
      <w:r w:rsidRPr="00DE32B9">
        <w:rPr>
          <w:rFonts w:ascii="Arial" w:hAnsi="Arial" w:cs="Arial"/>
          <w:color w:val="000000" w:themeColor="text1"/>
          <w:sz w:val="22"/>
          <w:szCs w:val="22"/>
          <w:u w:val="single"/>
        </w:rPr>
        <w:t xml:space="preserve">Critical incident case study </w:t>
      </w:r>
    </w:p>
    <w:p w14:paraId="5F4BF572" w14:textId="77777777" w:rsidR="00F936E2" w:rsidRDefault="00F936E2" w:rsidP="00F936E2">
      <w:pPr>
        <w:spacing w:line="276" w:lineRule="auto"/>
        <w:rPr>
          <w:rFonts w:ascii="Arial" w:hAnsi="Arial" w:cs="Arial"/>
          <w:color w:val="000000" w:themeColor="text1"/>
          <w:sz w:val="22"/>
          <w:szCs w:val="22"/>
        </w:rPr>
      </w:pPr>
    </w:p>
    <w:p w14:paraId="69559262"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This case study centres on a 12-minute observation within an immersive room video of a year 4 class within an English medium primary school located in Swansea’s local authority. In this context, the focal point of the study was a critical incident involving a high-ability learner who initially appeared to be disengaged, despite having his hand raised. However, he responded positively to the teacher's humorous remark. This incident highlights the disparity between the learner's initial disengagement and his ability to engage with the humour. Additionally, it highlights broader issues concerning student engagement and classroom management strategies. </w:t>
      </w:r>
    </w:p>
    <w:p w14:paraId="12DDAE58" w14:textId="77777777" w:rsidR="00DE32B9" w:rsidRDefault="00DE32B9" w:rsidP="00DE32B9">
      <w:pPr>
        <w:spacing w:line="276" w:lineRule="auto"/>
        <w:rPr>
          <w:rFonts w:ascii="Arial" w:hAnsi="Arial" w:cs="Arial"/>
          <w:color w:val="000000" w:themeColor="text1"/>
          <w:sz w:val="22"/>
          <w:szCs w:val="22"/>
        </w:rPr>
      </w:pPr>
    </w:p>
    <w:p w14:paraId="5D76194B"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As previously outlined, the immersive room observation highlighted a critical incident (Appendix A).</w:t>
      </w:r>
    </w:p>
    <w:p w14:paraId="16B53C59"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To put this incident into context, it started in a year 4 classroom, where approximately 22 learners awaited their teacher's guidance for a language and literacy session focusing on inferences and comprehension. The classroom was organised into small groups based on learner's abilities; each group seated at their respective groups. </w:t>
      </w:r>
    </w:p>
    <w:p w14:paraId="41D8DD9A" w14:textId="77777777" w:rsidR="00DE32B9" w:rsidRDefault="00DE32B9" w:rsidP="00DE32B9">
      <w:pPr>
        <w:spacing w:line="276" w:lineRule="auto"/>
        <w:rPr>
          <w:rFonts w:ascii="Arial" w:hAnsi="Arial" w:cs="Arial"/>
          <w:color w:val="000000" w:themeColor="text1"/>
          <w:sz w:val="22"/>
          <w:szCs w:val="22"/>
        </w:rPr>
      </w:pPr>
    </w:p>
    <w:p w14:paraId="37BA2A6C"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As the teacher started the lesson, a learner from one of the high-ability tables was quick to raise his hand with enthusiasm, but it was clear that his mind was wandering elsewhere. </w:t>
      </w:r>
      <w:r>
        <w:rPr>
          <w:rFonts w:ascii="Arial" w:hAnsi="Arial" w:cs="Arial"/>
          <w:color w:val="000000" w:themeColor="text1"/>
          <w:sz w:val="22"/>
          <w:szCs w:val="22"/>
        </w:rPr>
        <w:lastRenderedPageBreak/>
        <w:t xml:space="preserve">Despite the external display of engagement (raised hand), his gaze drifted aimlessly around the room disconnecting from the unfolding lesson. His distant gaze suggested his mind was elsewhere unrelated to the lesson's intended subject matter. Within Barkley’s (2009 p1) study one teacher stated that her enthusiastic efforts to engage students in stimulating discussions just stared at her with looks that ranged from utter apathy to outright hostility. Showing this is a common situation within schools not just during this lesson. As the learner’s gaze drifted, this stood in contrast to his eager hand-raising, revealing a distinction between active involvement and his distracted state, emphasizing student engagement and concentration complexities. </w:t>
      </w:r>
    </w:p>
    <w:p w14:paraId="7BFA4407" w14:textId="77777777" w:rsidR="00DE32B9" w:rsidRDefault="00DE32B9" w:rsidP="00DE32B9">
      <w:pPr>
        <w:spacing w:line="276" w:lineRule="auto"/>
        <w:jc w:val="center"/>
        <w:rPr>
          <w:rFonts w:ascii="Arial" w:hAnsi="Arial" w:cs="Arial"/>
          <w:color w:val="000000" w:themeColor="text1"/>
          <w:sz w:val="22"/>
          <w:szCs w:val="22"/>
        </w:rPr>
      </w:pPr>
    </w:p>
    <w:p w14:paraId="4B10B5BB"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The interactions within the classroom persisted as the teacher tried to engage the class through a humorous remark about smelling the shoe, which elicited a chuckle from the learner whose hand </w:t>
      </w:r>
      <w:r w:rsidRPr="00BA54DB">
        <w:rPr>
          <w:rFonts w:ascii="Arial" w:hAnsi="Arial" w:cs="Arial"/>
          <w:color w:val="000000" w:themeColor="text1"/>
          <w:sz w:val="22"/>
          <w:szCs w:val="22"/>
        </w:rPr>
        <w:t>was raised. This behaviour suggested that he was actively processing the content of the lesson.  This moment was noteworthy because, at that point in the observation, the student had previously appeared disengaged, but his laughter indicated that he was in fact attentive and responsive to the teacher's remarks.</w:t>
      </w:r>
    </w:p>
    <w:p w14:paraId="5B18A411" w14:textId="77777777" w:rsidR="00DE32B9" w:rsidRDefault="00DE32B9" w:rsidP="00DE32B9">
      <w:pPr>
        <w:spacing w:line="276" w:lineRule="auto"/>
        <w:jc w:val="center"/>
        <w:rPr>
          <w:rFonts w:ascii="Arial" w:hAnsi="Arial" w:cs="Arial"/>
          <w:color w:val="000000" w:themeColor="text1"/>
          <w:sz w:val="22"/>
          <w:szCs w:val="22"/>
        </w:rPr>
      </w:pPr>
    </w:p>
    <w:p w14:paraId="5B5B17E9"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Another learner at the same table also had his hand, the teacher called on him to respond to a question this caused the original learner's hand to surge higher with eagerness and anticipation. It seemed like this student was eagerly competing for the teacher's attention, indicating his keen interest in participating actively in the classroom conversation despite his look at disengagement and distraction.  </w:t>
      </w:r>
    </w:p>
    <w:p w14:paraId="50B12986"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Approximately 5 minutes passed, during which the teacher continued to address the entire class, and the learner’s hand remained raised throughout. The determination of this learner's eagerness to participate mixed with the look of disengagement and boredom offers a chance to explore student involvement and dynamics within the classroom. </w:t>
      </w:r>
    </w:p>
    <w:p w14:paraId="17843E96" w14:textId="5BA46997" w:rsidR="00DE32B9" w:rsidRDefault="00DE32B9"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When observing this session Vygotsky’s zone of proximal development came to mind. Vygotsky’s more knowledge other concept relates to student engagement, connecting with the zone of proximal development and the assessment of students existing knowledge for effective teaching. (Maloshonok, 2014; </w:t>
      </w:r>
      <w:proofErr w:type="spellStart"/>
      <w:r>
        <w:rPr>
          <w:rFonts w:ascii="Arial" w:hAnsi="Arial" w:cs="Arial"/>
          <w:color w:val="000000" w:themeColor="text1"/>
          <w:sz w:val="22"/>
          <w:szCs w:val="22"/>
        </w:rPr>
        <w:t>Munna</w:t>
      </w:r>
      <w:proofErr w:type="spellEnd"/>
      <w:r>
        <w:rPr>
          <w:rFonts w:ascii="Arial" w:hAnsi="Arial" w:cs="Arial"/>
          <w:color w:val="000000" w:themeColor="text1"/>
          <w:sz w:val="22"/>
          <w:szCs w:val="22"/>
        </w:rPr>
        <w:t xml:space="preserve"> and Kalam, 2021 p.10) </w:t>
      </w:r>
    </w:p>
    <w:p w14:paraId="4761B431" w14:textId="77777777" w:rsidR="00DE32B9" w:rsidRDefault="00DE32B9" w:rsidP="00DE32B9">
      <w:pPr>
        <w:spacing w:line="276" w:lineRule="auto"/>
        <w:rPr>
          <w:rFonts w:ascii="Arial" w:hAnsi="Arial" w:cs="Arial"/>
          <w:color w:val="000000" w:themeColor="text1"/>
          <w:sz w:val="22"/>
          <w:szCs w:val="22"/>
        </w:rPr>
      </w:pPr>
    </w:p>
    <w:p w14:paraId="0A4AA262" w14:textId="77777777"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Only then when the teacher began distributing envelopes did the learner finally decide to lower his hand. The enthusiasm seemed to shift from the idea of answering a question to the envelopes that were making their way around the class. Upon receiving his envelope, the teacher directed learners to retrieve their books. The learner sprung up from his chair and headed to the other side of the classroom. However, when he returned, he was bookless leading me to believe he just wanted something to do. During the absence of the learner from the table, a shoe was placed in the centre. Upon his return, the learner commenced independently to do work, writing his inferences about the shoe on the table. Demonstrating he knew what the task was and has the ability to complete it independently. As it was demonstrated throughout the child initially appeared disengaged during the session but processed to complete the work swiftly and independently. This behaviour could potentially be associated with gifted education, in this context according to </w:t>
      </w:r>
      <w:proofErr w:type="spellStart"/>
      <w:r>
        <w:rPr>
          <w:rFonts w:ascii="Arial" w:hAnsi="Arial" w:cs="Arial"/>
          <w:color w:val="000000" w:themeColor="text1"/>
          <w:sz w:val="22"/>
          <w:szCs w:val="22"/>
        </w:rPr>
        <w:t>Gané</w:t>
      </w:r>
      <w:proofErr w:type="spellEnd"/>
      <w:r>
        <w:rPr>
          <w:rFonts w:ascii="Arial" w:hAnsi="Arial" w:cs="Arial"/>
          <w:color w:val="000000" w:themeColor="text1"/>
          <w:sz w:val="22"/>
          <w:szCs w:val="22"/>
        </w:rPr>
        <w:t xml:space="preserve"> (2005) cited in De </w:t>
      </w:r>
      <w:proofErr w:type="spellStart"/>
      <w:r>
        <w:rPr>
          <w:rFonts w:ascii="Arial" w:hAnsi="Arial" w:cs="Arial"/>
          <w:color w:val="000000" w:themeColor="text1"/>
          <w:sz w:val="22"/>
          <w:szCs w:val="22"/>
        </w:rPr>
        <w:t>França</w:t>
      </w:r>
      <w:proofErr w:type="spellEnd"/>
      <w:r>
        <w:rPr>
          <w:rFonts w:ascii="Arial" w:hAnsi="Arial" w:cs="Arial"/>
          <w:color w:val="000000" w:themeColor="text1"/>
          <w:sz w:val="22"/>
          <w:szCs w:val="22"/>
        </w:rPr>
        <w:t xml:space="preserve">-Freitas (2014, p.288) gifted education refers to a learner who possess the ability to advance significantly beyond their peers. This highlights the need to consider the unique learning needs of gifted learners within the classroom.   </w:t>
      </w:r>
    </w:p>
    <w:p w14:paraId="6B853602" w14:textId="77777777" w:rsidR="0082106E" w:rsidRDefault="0082106E" w:rsidP="00DE32B9">
      <w:pPr>
        <w:spacing w:line="276" w:lineRule="auto"/>
        <w:rPr>
          <w:rFonts w:ascii="Arial" w:hAnsi="Arial" w:cs="Arial"/>
          <w:color w:val="000000" w:themeColor="text1"/>
          <w:sz w:val="22"/>
          <w:szCs w:val="22"/>
        </w:rPr>
      </w:pPr>
    </w:p>
    <w:p w14:paraId="0EFC700E" w14:textId="4D73B8CC" w:rsidR="00DE32B9" w:rsidRDefault="00DE32B9" w:rsidP="00DE32B9">
      <w:pPr>
        <w:spacing w:line="276"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To summarise the observed critical incident highlighted the complex dynamic between apparent disengagement and active participation, underscoring the challenges in understanding and promoting student engagement. This incident prompts further exploration into student engagement, theatrical perspectives, and high ability learners. </w:t>
      </w:r>
    </w:p>
    <w:p w14:paraId="3EC010E9" w14:textId="77777777" w:rsidR="00DE32B9" w:rsidRDefault="00DE32B9" w:rsidP="00F936E2">
      <w:pPr>
        <w:spacing w:line="276" w:lineRule="auto"/>
        <w:rPr>
          <w:rFonts w:ascii="Arial" w:hAnsi="Arial" w:cs="Arial"/>
          <w:color w:val="000000" w:themeColor="text1"/>
          <w:sz w:val="22"/>
          <w:szCs w:val="22"/>
        </w:rPr>
      </w:pPr>
    </w:p>
    <w:p w14:paraId="0F6E1CC1" w14:textId="4FCEB0D9" w:rsidR="003F2904" w:rsidRDefault="00DE32B9">
      <w:pPr>
        <w:rPr>
          <w:u w:val="single"/>
        </w:rPr>
      </w:pPr>
      <w:r>
        <w:rPr>
          <w:u w:val="single"/>
        </w:rPr>
        <w:t xml:space="preserve">Literature review </w:t>
      </w:r>
    </w:p>
    <w:p w14:paraId="479190DF" w14:textId="77777777" w:rsidR="00DE32B9" w:rsidRDefault="00DE32B9">
      <w:pPr>
        <w:rPr>
          <w:u w:val="single"/>
        </w:rPr>
      </w:pPr>
    </w:p>
    <w:p w14:paraId="7B21DF13"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Examining the recent critical incident has highlighted areas for exploration within a review of the literature.  The review will examine the concepts and a theorist related to engagement strategies and their impact on educational achievements in the school environment. Additionally, we will explore the realm of gifted education and classroom management and the crucial role that educational institutions play in supporting high-ability learners. </w:t>
      </w:r>
    </w:p>
    <w:p w14:paraId="5D77C660" w14:textId="77777777" w:rsidR="0082106E" w:rsidRDefault="0082106E" w:rsidP="0082106E">
      <w:pPr>
        <w:spacing w:line="276" w:lineRule="auto"/>
        <w:rPr>
          <w:rFonts w:ascii="Arial" w:hAnsi="Arial" w:cs="Arial"/>
          <w:color w:val="000000" w:themeColor="text1"/>
          <w:sz w:val="22"/>
          <w:szCs w:val="22"/>
        </w:rPr>
      </w:pPr>
    </w:p>
    <w:p w14:paraId="57022F0F"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To commence this literature review it is crucial to recognise the pivotal role of student engagement in educational settings. </w:t>
      </w:r>
    </w:p>
    <w:p w14:paraId="09D438A8"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An essential foundation is understanding that student engagement comprises three interconnected dimensions. (Pinto, 2013 p.49) Firstly, behavioural engagement, which related to observational student actions within the school environment. Secondly, emotional engagement delves into student’s interests, values, and feelings about their educational experience. Lastly, cognitive engagement centres around student’s motivation and effort invested in their learning. (Skinner &amp; Belmount, 1993 cited in Davis, Summers, and Miler, 2012 p.45) Overall underlying the complexity of this multiciliate construct. (Fredricks, Blumenfeld &amp; Paris, 2004 cited in Davis, Summers, and Miler, 2004 p.46) Engagement is a multifaced concept, with various forms of engagement existing. Not all types of engagement are identical, and good teachers aim to kindle students’ genuine interest and passion for the subject, just mere rule-following. (English, 2022 p142)  </w:t>
      </w:r>
    </w:p>
    <w:p w14:paraId="42B634EF" w14:textId="77777777" w:rsidR="0082106E" w:rsidRDefault="0082106E" w:rsidP="0082106E">
      <w:pPr>
        <w:spacing w:line="276" w:lineRule="auto"/>
        <w:rPr>
          <w:rFonts w:ascii="Arial" w:hAnsi="Arial" w:cs="Arial"/>
          <w:color w:val="000000" w:themeColor="text1"/>
          <w:sz w:val="22"/>
          <w:szCs w:val="22"/>
        </w:rPr>
      </w:pPr>
    </w:p>
    <w:p w14:paraId="63199A80"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Teachers are constantly working to connect their students and learning because they know engagement is crucial to school success. (Davis, Summers, and Miler, 2004 p.20) Skinner and Pitzer (2012 p.22) Cited in English (2022 p.140) Further supported this by stating there is widespread agreement that engagement mediated between student’s contextual factors and academic performance. It is evident through Pinto’s (2012, p.56) study that student engagement may exert an influence on academic rigor and accountability within educational settings. However, the challenge lies in achieving a delicate balance, as Harris (2011), cited in Pinto (2012, p.56) found that a disproportionate focus on increasing student engagement might inadvertently lead to reduced learning. This underscores the ongoing challenge faced by educators, striking the right balance between engagement and academic rigor. Further supported by </w:t>
      </w:r>
      <w:proofErr w:type="spellStart"/>
      <w:r>
        <w:rPr>
          <w:rFonts w:ascii="Arial" w:hAnsi="Arial" w:cs="Arial"/>
          <w:color w:val="000000" w:themeColor="text1"/>
          <w:sz w:val="22"/>
          <w:szCs w:val="22"/>
        </w:rPr>
        <w:t>Muirhead</w:t>
      </w:r>
      <w:proofErr w:type="spellEnd"/>
      <w:r>
        <w:rPr>
          <w:rFonts w:ascii="Arial" w:hAnsi="Arial" w:cs="Arial"/>
          <w:color w:val="000000" w:themeColor="text1"/>
          <w:sz w:val="22"/>
          <w:szCs w:val="22"/>
        </w:rPr>
        <w:t xml:space="preserve"> (2004, p.50) Cited in, Gray and </w:t>
      </w:r>
      <w:proofErr w:type="spellStart"/>
      <w:r>
        <w:rPr>
          <w:rFonts w:ascii="Arial" w:hAnsi="Arial" w:cs="Arial"/>
          <w:color w:val="000000" w:themeColor="text1"/>
          <w:sz w:val="22"/>
          <w:szCs w:val="22"/>
        </w:rPr>
        <w:t>Dilorento</w:t>
      </w:r>
      <w:proofErr w:type="spellEnd"/>
      <w:r>
        <w:rPr>
          <w:rFonts w:ascii="Arial" w:hAnsi="Arial" w:cs="Arial"/>
          <w:color w:val="000000" w:themeColor="text1"/>
          <w:sz w:val="22"/>
          <w:szCs w:val="22"/>
        </w:rPr>
        <w:t xml:space="preserve"> (2016, p.101) that teachers must possess the skills to create a classroom environment that encourages social interaction, upholds rigorous academic standards, and nurtures independent learning abilities. </w:t>
      </w:r>
    </w:p>
    <w:p w14:paraId="68490CFE" w14:textId="77777777" w:rsidR="0082106E" w:rsidRDefault="0082106E" w:rsidP="0082106E">
      <w:pPr>
        <w:spacing w:line="276" w:lineRule="auto"/>
        <w:rPr>
          <w:rFonts w:ascii="Arial" w:hAnsi="Arial" w:cs="Arial"/>
          <w:color w:val="000000" w:themeColor="text1"/>
          <w:sz w:val="22"/>
          <w:szCs w:val="22"/>
        </w:rPr>
      </w:pPr>
    </w:p>
    <w:p w14:paraId="55846D13"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Within the context of the observation, it is observable that the learner emotionally disengaged from the session, Barkley’s research (2009 p.8-9) characterises engagement as a continuum that encompasses both motivation and active learning. Understanding this continuum provides educators with invaluable insights into rekindling student engagement, especially when confronting situations involving students who have mentally disengaged from the learning process due to lack of motivation. Teachers working with gifted learners </w:t>
      </w:r>
      <w:r>
        <w:rPr>
          <w:rFonts w:ascii="Arial" w:hAnsi="Arial" w:cs="Arial"/>
          <w:color w:val="000000" w:themeColor="text1"/>
          <w:sz w:val="22"/>
          <w:szCs w:val="22"/>
        </w:rPr>
        <w:lastRenderedPageBreak/>
        <w:t xml:space="preserve">often provide tasks that don’t match their advanced skills, missing the mark in terms of Vygotsky’s zone of proximal development. (Zambo, 2009 p.7) This prompts deeper exploration into the factors contributing to this particular student’s emotional distance, particularly in light of their high-ability status. This inquiry raises questions regarding whether other factors beyond levels may have played a role in this emotional detachment. </w:t>
      </w:r>
    </w:p>
    <w:p w14:paraId="545954F5" w14:textId="77777777" w:rsidR="0082106E" w:rsidRDefault="0082106E" w:rsidP="0082106E">
      <w:pPr>
        <w:spacing w:line="276" w:lineRule="auto"/>
        <w:rPr>
          <w:rFonts w:ascii="Arial" w:hAnsi="Arial" w:cs="Arial"/>
          <w:color w:val="000000" w:themeColor="text1"/>
          <w:sz w:val="22"/>
          <w:szCs w:val="22"/>
        </w:rPr>
      </w:pPr>
    </w:p>
    <w:p w14:paraId="021D19CB"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Shifting the focus to the domain of gifted education and classroom management, the terms Gifted and talented describe children with the ability or potential to develop significantly ahead of their peers. According to </w:t>
      </w:r>
      <w:proofErr w:type="spellStart"/>
      <w:r>
        <w:rPr>
          <w:rFonts w:ascii="Arial" w:hAnsi="Arial" w:cs="Arial"/>
          <w:color w:val="000000" w:themeColor="text1"/>
          <w:sz w:val="22"/>
          <w:szCs w:val="22"/>
        </w:rPr>
        <w:t>Gané</w:t>
      </w:r>
      <w:proofErr w:type="spellEnd"/>
      <w:r>
        <w:rPr>
          <w:rFonts w:ascii="Arial" w:hAnsi="Arial" w:cs="Arial"/>
          <w:color w:val="000000" w:themeColor="text1"/>
          <w:sz w:val="22"/>
          <w:szCs w:val="22"/>
        </w:rPr>
        <w:t xml:space="preserve"> (2005) cited in, De </w:t>
      </w:r>
      <w:proofErr w:type="spellStart"/>
      <w:r>
        <w:rPr>
          <w:rFonts w:ascii="Arial" w:hAnsi="Arial" w:cs="Arial"/>
          <w:color w:val="000000" w:themeColor="text1"/>
          <w:sz w:val="22"/>
          <w:szCs w:val="22"/>
        </w:rPr>
        <w:t>França</w:t>
      </w:r>
      <w:proofErr w:type="spellEnd"/>
      <w:r>
        <w:rPr>
          <w:rFonts w:ascii="Arial" w:hAnsi="Arial" w:cs="Arial"/>
          <w:color w:val="000000" w:themeColor="text1"/>
          <w:sz w:val="22"/>
          <w:szCs w:val="22"/>
        </w:rPr>
        <w:t xml:space="preserve">-Freitas (2014, p.288) Gifted means having a higher ability in at least one area like intelligence, creativity, emotions, or physical skills, while talent refers to performing exceptionally well in a particular field. </w:t>
      </w:r>
    </w:p>
    <w:p w14:paraId="31732B9B" w14:textId="77777777" w:rsidR="0082106E" w:rsidRDefault="0082106E" w:rsidP="0082106E">
      <w:pPr>
        <w:spacing w:line="276" w:lineRule="auto"/>
        <w:rPr>
          <w:rFonts w:ascii="Arial" w:hAnsi="Arial" w:cs="Arial"/>
          <w:color w:val="000000" w:themeColor="text1"/>
          <w:sz w:val="22"/>
          <w:szCs w:val="22"/>
        </w:rPr>
      </w:pPr>
    </w:p>
    <w:p w14:paraId="2A5CAF41"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High ability learners, often characterized as gifted, exhibit the capacity for rapid learning and a talent for comprehending complex and abstract ideas with ease, nevertheless, their advanced abilities can lead to feelings of boredom, as highlighted by Montgomery (2013, p.2) Betts and </w:t>
      </w:r>
      <w:proofErr w:type="spellStart"/>
      <w:r>
        <w:rPr>
          <w:rFonts w:ascii="Arial" w:hAnsi="Arial" w:cs="Arial"/>
          <w:color w:val="000000" w:themeColor="text1"/>
          <w:sz w:val="22"/>
          <w:szCs w:val="22"/>
        </w:rPr>
        <w:t>Neilhart’s</w:t>
      </w:r>
      <w:proofErr w:type="spellEnd"/>
      <w:r>
        <w:rPr>
          <w:rFonts w:ascii="Arial" w:hAnsi="Arial" w:cs="Arial"/>
          <w:color w:val="000000" w:themeColor="text1"/>
          <w:sz w:val="22"/>
          <w:szCs w:val="22"/>
        </w:rPr>
        <w:t xml:space="preserve"> study (1988, p.251) unveiled boredom as the most prevalent state among high-ability learners, surpassing other feelings such as extrinsic motivation, self-criticism, dependency, pressure, and confusion. Crowder’s observations (2023) further underscore the unique experience of gifted leaners, who frequently encounter boredom and often perceive schoolwork as underchallenging, ultimately in reduced motivation. </w:t>
      </w:r>
    </w:p>
    <w:p w14:paraId="40BC2834" w14:textId="77777777" w:rsidR="0082106E" w:rsidRDefault="0082106E" w:rsidP="0082106E">
      <w:pPr>
        <w:spacing w:line="276" w:lineRule="auto"/>
        <w:rPr>
          <w:rFonts w:ascii="Arial" w:hAnsi="Arial" w:cs="Arial"/>
          <w:color w:val="000000" w:themeColor="text1"/>
          <w:sz w:val="22"/>
          <w:szCs w:val="22"/>
        </w:rPr>
      </w:pPr>
    </w:p>
    <w:p w14:paraId="0D5F39B2"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Linking decreased motivation from children who are considered gifted and </w:t>
      </w:r>
      <w:proofErr w:type="spellStart"/>
      <w:r>
        <w:rPr>
          <w:rFonts w:ascii="Arial" w:hAnsi="Arial" w:cs="Arial"/>
          <w:color w:val="000000" w:themeColor="text1"/>
          <w:sz w:val="22"/>
          <w:szCs w:val="22"/>
        </w:rPr>
        <w:t>talanted</w:t>
      </w:r>
      <w:proofErr w:type="spellEnd"/>
      <w:r>
        <w:rPr>
          <w:rFonts w:ascii="Arial" w:hAnsi="Arial" w:cs="Arial"/>
          <w:color w:val="000000" w:themeColor="text1"/>
          <w:sz w:val="22"/>
          <w:szCs w:val="22"/>
        </w:rPr>
        <w:t xml:space="preserve"> to classroom management involves creating an environment that caters to the unique needs of gifted children while maintaining a well-managed classroom. exploring classroom management connections to student engagement reveals that misbehaviours frequently stem from learners feeling under-challenged. (</w:t>
      </w:r>
      <w:proofErr w:type="spellStart"/>
      <w:r>
        <w:rPr>
          <w:rFonts w:ascii="Arial" w:hAnsi="Arial" w:cs="Arial"/>
          <w:color w:val="000000" w:themeColor="text1"/>
          <w:sz w:val="22"/>
          <w:szCs w:val="22"/>
        </w:rPr>
        <w:t>Pariser</w:t>
      </w:r>
      <w:proofErr w:type="spellEnd"/>
      <w:r>
        <w:rPr>
          <w:rFonts w:ascii="Arial" w:hAnsi="Arial" w:cs="Arial"/>
          <w:color w:val="000000" w:themeColor="text1"/>
          <w:sz w:val="22"/>
          <w:szCs w:val="22"/>
        </w:rPr>
        <w:t xml:space="preserve">. 2018 p22)  </w:t>
      </w:r>
    </w:p>
    <w:p w14:paraId="19351D3C" w14:textId="77777777" w:rsidR="0082106E" w:rsidRDefault="0082106E" w:rsidP="0082106E">
      <w:pPr>
        <w:spacing w:line="276" w:lineRule="auto"/>
        <w:rPr>
          <w:rFonts w:ascii="Arial" w:hAnsi="Arial" w:cs="Arial"/>
          <w:color w:val="000000" w:themeColor="text1"/>
          <w:sz w:val="22"/>
          <w:szCs w:val="22"/>
        </w:rPr>
      </w:pPr>
    </w:p>
    <w:p w14:paraId="25AF49C9"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Shaukat and Iqbal (2012, p.85) study underscores the interconnectedness of classroom management and student engagement, revealing that when learners are actively engaged, classrooms tend to be more disciplined, and disruptions are minimised. this underscores the significance of skilled classroom management in fostering an environment conductive to productive learning. Moreover, skilful classroom management not only minimizes disruptions but also lays the foundation for a conductive learning environment that allows for meaningful academic lessons, as suggested by Darling-Hammond and Branford (2005, p.65) </w:t>
      </w:r>
    </w:p>
    <w:p w14:paraId="50AE6655"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In alignment with these insights, Brophy’s (1985, p.185) perspective highlights that effective classroom management plays a fundamental role in restoring the classroom as an effective environment for teaching and learning, playing a crucial role in a teacher’s overall effectiveness. </w:t>
      </w:r>
    </w:p>
    <w:p w14:paraId="4D989B34" w14:textId="77777777" w:rsidR="0082106E" w:rsidRDefault="0082106E" w:rsidP="0082106E">
      <w:pPr>
        <w:spacing w:line="276" w:lineRule="auto"/>
        <w:rPr>
          <w:rFonts w:ascii="Arial" w:hAnsi="Arial" w:cs="Arial"/>
          <w:color w:val="000000" w:themeColor="text1"/>
          <w:sz w:val="22"/>
          <w:szCs w:val="22"/>
        </w:rPr>
      </w:pPr>
    </w:p>
    <w:p w14:paraId="7286E8F0"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Vygotsky’s zone of proximal development provides a structure for examining the connections between a child's development and educational support. The zone of proximal development is described as the space between the child's current developmental level, assessed through independent problem-solving, and the level of potential development achieved with a more knowable other. (Vygotsky (1978) Cited in Allal and Ducrey, 2000 p.139) </w:t>
      </w:r>
    </w:p>
    <w:p w14:paraId="3CA3313B" w14:textId="77777777" w:rsidR="0082106E" w:rsidRDefault="0082106E" w:rsidP="0082106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Vygotsky, cited in Kumar and Bb (2017, p.212) that a children's independent learning abilities have inherent limitations, yet these boundaries can be expanded through the guidance and assistant of a more knowledge other. Learning takes place when the learner </w:t>
      </w:r>
      <w:r>
        <w:rPr>
          <w:rFonts w:ascii="Arial" w:hAnsi="Arial" w:cs="Arial"/>
          <w:color w:val="000000" w:themeColor="text1"/>
          <w:sz w:val="22"/>
          <w:szCs w:val="22"/>
        </w:rPr>
        <w:lastRenderedPageBreak/>
        <w:t xml:space="preserve">engages with a task that matches their current skills level with support and as the level of support decreases, the learner experiences both learning and cognitive development. In the realm of gifted education, Vygotsky’s concept of the more knowledgeable other insight </w:t>
      </w:r>
      <w:r w:rsidRPr="00CF3035">
        <w:rPr>
          <w:rFonts w:ascii="Arial" w:hAnsi="Arial" w:cs="Arial"/>
          <w:color w:val="000000" w:themeColor="text1"/>
          <w:sz w:val="22"/>
          <w:szCs w:val="22"/>
        </w:rPr>
        <w:t xml:space="preserve">into understanding different levels of student engagement (Dang, Scull, and Chowdhury, 2022 p.465). Building upon Vygotsky’s theory, Maloshonok (2014) asserts that a deficiency in student engagement may be attributed to the absence of a zone of proximal development in the learning process. </w:t>
      </w:r>
      <w:proofErr w:type="spellStart"/>
      <w:r w:rsidRPr="00CF3035">
        <w:rPr>
          <w:rFonts w:ascii="Arial" w:hAnsi="Arial" w:cs="Arial"/>
          <w:color w:val="000000" w:themeColor="text1"/>
          <w:sz w:val="22"/>
          <w:szCs w:val="22"/>
        </w:rPr>
        <w:t>Munna</w:t>
      </w:r>
      <w:proofErr w:type="spellEnd"/>
      <w:r w:rsidRPr="00CF3035">
        <w:rPr>
          <w:rFonts w:ascii="Arial" w:hAnsi="Arial" w:cs="Arial"/>
          <w:color w:val="000000" w:themeColor="text1"/>
          <w:sz w:val="22"/>
          <w:szCs w:val="22"/>
        </w:rPr>
        <w:t xml:space="preserve"> and Kalam (2021, p.10) reinforce this perspective by emphasising the importance of assessing students’ current knowledge levels to effectively deliver lessons. </w:t>
      </w:r>
      <w:r>
        <w:rPr>
          <w:rFonts w:ascii="Arial" w:hAnsi="Arial" w:cs="Arial"/>
          <w:color w:val="000000" w:themeColor="text1"/>
          <w:sz w:val="22"/>
          <w:szCs w:val="22"/>
        </w:rPr>
        <w:t xml:space="preserve">The idea of the more knowledgably other in summary is Vygotsky’s scaffolding theory, as describes by Belland (2013 p.511) defines scaffolding as the assistance given by teacher/parent, peer, or resource. This support enables learners to actively participate and acquire the necessary skills for tasks they would struggle to accomplish without this more knowledgeable other. It represents the space where a child's cognitive abilities advance as they gradually require less assistance to complete tasks. Vygotsky’s theories on the zone of proximal development strongly endorse the incorporation of cooperative learning techniques in classroom teaching. (Dolittle, 1995 p.4) however this source is outdated and since then Kurt (2020) suggested Vygotsky’s theories have faced criticism for their limited experimental testing. He primarily relied on the observation of subjects to support his findings, underlining the significance of social interaction in the learning process. Additionally, Vygotsky stressed the importance of scaffolding, enabling learnings to establish connections through social interactions. However again according to Kurt (2020) in practice not all learning activates prioritise language, and some skills are best required through hands on practice and direct observations. However, these is many more studies that support the theories of Vygotsky’s in school than there are against it. </w:t>
      </w:r>
    </w:p>
    <w:p w14:paraId="731590B3" w14:textId="77777777" w:rsidR="00DE32B9" w:rsidRDefault="00DE32B9">
      <w:pPr>
        <w:rPr>
          <w:u w:val="single"/>
        </w:rPr>
      </w:pPr>
    </w:p>
    <w:p w14:paraId="549B31B6" w14:textId="77777777" w:rsidR="00A53079" w:rsidRDefault="00A53079" w:rsidP="00A53079">
      <w:pPr>
        <w:spacing w:line="276" w:lineRule="auto"/>
        <w:rPr>
          <w:rFonts w:ascii="Arial" w:hAnsi="Arial" w:cs="Arial"/>
          <w:color w:val="000000" w:themeColor="text1"/>
          <w:sz w:val="22"/>
          <w:szCs w:val="22"/>
          <w:u w:val="single"/>
        </w:rPr>
      </w:pPr>
      <w:r w:rsidRPr="002F1CD0">
        <w:rPr>
          <w:rFonts w:ascii="Arial" w:hAnsi="Arial" w:cs="Arial"/>
          <w:color w:val="000000" w:themeColor="text1"/>
          <w:sz w:val="22"/>
          <w:szCs w:val="22"/>
          <w:u w:val="single"/>
        </w:rPr>
        <w:t>Teaching and learning methods</w:t>
      </w:r>
      <w:r>
        <w:rPr>
          <w:rFonts w:ascii="Arial" w:hAnsi="Arial" w:cs="Arial"/>
          <w:color w:val="000000" w:themeColor="text1"/>
          <w:sz w:val="22"/>
          <w:szCs w:val="22"/>
          <w:u w:val="single"/>
        </w:rPr>
        <w:t xml:space="preserve"> and discussion. </w:t>
      </w:r>
    </w:p>
    <w:p w14:paraId="60CEFB57" w14:textId="77777777" w:rsidR="00A53079" w:rsidRDefault="00A53079" w:rsidP="00A53079">
      <w:pPr>
        <w:spacing w:line="276" w:lineRule="auto"/>
        <w:rPr>
          <w:rFonts w:ascii="Arial" w:hAnsi="Arial" w:cs="Arial"/>
          <w:color w:val="000000" w:themeColor="text1"/>
          <w:sz w:val="22"/>
          <w:szCs w:val="22"/>
          <w:u w:val="single"/>
        </w:rPr>
      </w:pPr>
    </w:p>
    <w:p w14:paraId="7F8D2BD7" w14:textId="77777777" w:rsidR="00A53079" w:rsidRDefault="00A53079" w:rsidP="00A5307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Through the review of the literature, key aspects including engagement strategies, gifted education, and classroom management have been highlighted. With these foundational insights we now transition to teaching and learning methods, where effective teaching and learning methods will be considered. </w:t>
      </w:r>
    </w:p>
    <w:p w14:paraId="65D7E53E" w14:textId="77777777" w:rsidR="00A53079" w:rsidRPr="005E7402" w:rsidRDefault="00A53079" w:rsidP="00A53079">
      <w:pPr>
        <w:spacing w:line="276" w:lineRule="auto"/>
        <w:rPr>
          <w:rFonts w:ascii="Arial" w:hAnsi="Arial" w:cs="Arial"/>
          <w:color w:val="000000" w:themeColor="text1"/>
          <w:sz w:val="22"/>
          <w:szCs w:val="22"/>
        </w:rPr>
      </w:pPr>
    </w:p>
    <w:p w14:paraId="26826B65" w14:textId="77777777" w:rsidR="00A53079" w:rsidRDefault="00A53079" w:rsidP="00A53079">
      <w:pPr>
        <w:spacing w:line="276" w:lineRule="auto"/>
        <w:rPr>
          <w:rFonts w:ascii="Arial" w:hAnsi="Arial" w:cs="Arial"/>
          <w:color w:val="000000" w:themeColor="text1"/>
          <w:sz w:val="22"/>
          <w:szCs w:val="22"/>
        </w:rPr>
      </w:pPr>
      <w:r w:rsidRPr="005E7402">
        <w:rPr>
          <w:rFonts w:ascii="Arial" w:hAnsi="Arial" w:cs="Arial"/>
          <w:color w:val="000000" w:themeColor="text1"/>
          <w:sz w:val="22"/>
          <w:szCs w:val="22"/>
        </w:rPr>
        <w:t>The literature review underscores the multifaced nature of student engagement and the challe</w:t>
      </w:r>
      <w:r>
        <w:rPr>
          <w:rFonts w:ascii="Arial" w:hAnsi="Arial" w:cs="Arial"/>
          <w:color w:val="000000" w:themeColor="text1"/>
          <w:sz w:val="22"/>
          <w:szCs w:val="22"/>
        </w:rPr>
        <w:t xml:space="preserve">nges of balancing it with academic rigor. In the observed context, the learner’s emotional disengagement prompted deeper inquiry, particular in light of classroom management and high-ability status. </w:t>
      </w:r>
      <w:proofErr w:type="gramStart"/>
      <w:r>
        <w:rPr>
          <w:rFonts w:ascii="Arial" w:hAnsi="Arial" w:cs="Arial"/>
          <w:color w:val="000000" w:themeColor="text1"/>
          <w:sz w:val="22"/>
          <w:szCs w:val="22"/>
        </w:rPr>
        <w:t>Drawing from the observed critical incident, it</w:t>
      </w:r>
      <w:proofErr w:type="gramEnd"/>
      <w:r>
        <w:rPr>
          <w:rFonts w:ascii="Arial" w:hAnsi="Arial" w:cs="Arial"/>
          <w:color w:val="000000" w:themeColor="text1"/>
          <w:sz w:val="22"/>
          <w:szCs w:val="22"/>
        </w:rPr>
        <w:t xml:space="preserve"> becomes evident that the learners desire for meaningful engagement led to proactive actions, as demonstrated when the teacher directed learners to retrieve their books, and the learner swiftly moved across the classroom. Felder and brent (2009 p.2) states active learning includes shoer, course related tasks that students do individually or in small groups, this dynamic approach keeps students engaged and actively participating in the learning process. This alights with the adoption of active learning strategies, encouraging students to actively participate and seek opportunities for learning engagement. Further supported by Brame (2016 p.1) who defines active learning as activities learner do to construct knowledge and understanding providing the link between activity and learning. Phillips (2005 p.79) adding that good planning of active learning strategies promotes optimal learning. </w:t>
      </w:r>
    </w:p>
    <w:p w14:paraId="745EBC6F" w14:textId="77777777" w:rsidR="00A53079" w:rsidRDefault="00A53079" w:rsidP="00A5307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Theoretically, active learning is rooted in Lev Vygotsky’s sociocultural theory of development. According to Vygotsky’s (1978) cited in Brame (2016 p.4) learning occurs when learners </w:t>
      </w:r>
      <w:r>
        <w:rPr>
          <w:rFonts w:ascii="Arial" w:hAnsi="Arial" w:cs="Arial"/>
          <w:color w:val="000000" w:themeColor="text1"/>
          <w:sz w:val="22"/>
          <w:szCs w:val="22"/>
        </w:rPr>
        <w:lastRenderedPageBreak/>
        <w:t xml:space="preserve">engage in problem solving activities beyond their current developmental; level, with support from their more knowledge other. Active learning approaches, particularly those involving group work align with this sociocultural branch of constructivist learning there, utilising group work and peer to peer interactions fostering a collaborative learning environment that can lead to deeper understanding and knowledge. (Brame, 2016 p.4) However active learning has received several criticisms ranging from class size issues making it a challenge to manage discussions, time pressure, lack of self-confidence of resistance to change, the absence of necessary material and equipment with the biggest criticism being that the study’s on active learning focus on the theoretical benefits rather than the practical implementation into classrooms. </w:t>
      </w:r>
    </w:p>
    <w:p w14:paraId="716FD7BF" w14:textId="77777777" w:rsidR="00A53079" w:rsidRDefault="00A53079" w:rsidP="00A53079">
      <w:pPr>
        <w:spacing w:line="276" w:lineRule="auto"/>
        <w:rPr>
          <w:rFonts w:ascii="Arial" w:hAnsi="Arial" w:cs="Arial"/>
          <w:color w:val="000000" w:themeColor="text1"/>
          <w:sz w:val="22"/>
          <w:szCs w:val="22"/>
        </w:rPr>
      </w:pPr>
    </w:p>
    <w:p w14:paraId="6AB4AA1A" w14:textId="77777777" w:rsidR="00A53079" w:rsidRDefault="00A53079" w:rsidP="00A53079">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Keeping this in mind, the implementation of active learning methods within a classroom can still offer significant benefits, particular for students like the one in the case study who may experience disengagement and under challenge. The case study has really allowed me to delve into teaching and learning methods such as this one in while on my placement. I think dividing the class into smaller groups or rearranging the class layout can be an effective way of trying to tackle one of these issues making it more flexible for group work. Despite resource constraints I can Maxime the use of available materials and be more creative with the resources the school, does have access to I believe that trying to implement more active learning through group and peer work can start to cater to the unique needs of high ability learners while also benefiting the whole class. Not only could this teaching method address challenge but they also allow for a more engaging learning experience, and this is defiantly a teaching method I will look at implementing in forms through my placements. </w:t>
      </w:r>
    </w:p>
    <w:p w14:paraId="3E8A0934" w14:textId="77777777" w:rsidR="004F162E" w:rsidRDefault="004F162E" w:rsidP="00A53079">
      <w:pPr>
        <w:spacing w:line="276" w:lineRule="auto"/>
        <w:rPr>
          <w:rFonts w:ascii="Arial" w:hAnsi="Arial" w:cs="Arial"/>
          <w:color w:val="000000" w:themeColor="text1"/>
          <w:sz w:val="22"/>
          <w:szCs w:val="22"/>
        </w:rPr>
      </w:pPr>
    </w:p>
    <w:p w14:paraId="310A9B19" w14:textId="77777777" w:rsidR="004F162E" w:rsidRDefault="004F162E" w:rsidP="004F162E">
      <w:pPr>
        <w:spacing w:line="276" w:lineRule="auto"/>
        <w:rPr>
          <w:rFonts w:ascii="Arial" w:hAnsi="Arial" w:cs="Arial"/>
          <w:color w:val="000000" w:themeColor="text1"/>
          <w:sz w:val="22"/>
          <w:szCs w:val="22"/>
        </w:rPr>
      </w:pPr>
      <w:r w:rsidRPr="00EA30A2">
        <w:rPr>
          <w:rFonts w:ascii="Arial" w:hAnsi="Arial" w:cs="Arial"/>
          <w:color w:val="000000" w:themeColor="text1"/>
          <w:sz w:val="22"/>
          <w:szCs w:val="22"/>
        </w:rPr>
        <w:t>The literature review also highlighted the connections between decreased motivation in gifted and talented learners</w:t>
      </w:r>
      <w:r>
        <w:rPr>
          <w:rFonts w:ascii="Arial" w:hAnsi="Arial" w:cs="Arial"/>
          <w:color w:val="000000" w:themeColor="text1"/>
          <w:sz w:val="22"/>
          <w:szCs w:val="22"/>
        </w:rPr>
        <w:t xml:space="preserve">, classroom management and student engagement. It emphasised the importance of crafting an environment that accommodates the unique needs of gifted learners while maintain effective classroom management is essential. The importance of classroom management extends beyond discipline and sets an environment for a conducive learning atmosphere. The observed critical incident emphasis the complexities of student engagement and how a child can appear to know what’s going on in the session proved when he laughed at a humorous mark being said and sitting down at the end and independently finishing the task all while the while session looks completely dethatched from the session. Considering the critical incident, a teaching and learning methods that could be effective in addressing the learner’s emotional disengagement and catering high-ability students all while ensure you have an appropriate level of classroom management is differentiated instruction. Differentiated instruction is an inclusive method of instruction in which teachers offer various learning opportunities tailored to learners’ backgrounds, readiness, and interests. (Estaiteyeh and DeCoito, 2023, p.6) Vygotsky was also emphasised in Van Geel et al’s (2018, p.61) report and was considered significant throughout all stages of differentiation, including establishing appropriate objectives, connecting with students existing knowledge and identifying their zones of proximal development to adapt instruction accordingly. However, Estaiteyeh and DeCoito (2023, p.15) Report shows that only 60% of teachers consistently used elements of differentiated instructions, mainly due to extensive workload and lack of time and class size and individual needs of students. </w:t>
      </w:r>
    </w:p>
    <w:p w14:paraId="7EECD8DB" w14:textId="77777777" w:rsidR="004F162E" w:rsidRDefault="004F162E" w:rsidP="004F162E">
      <w:pPr>
        <w:spacing w:line="276" w:lineRule="auto"/>
        <w:rPr>
          <w:rFonts w:ascii="Arial" w:hAnsi="Arial" w:cs="Arial"/>
          <w:color w:val="000000" w:themeColor="text1"/>
          <w:sz w:val="22"/>
          <w:szCs w:val="22"/>
        </w:rPr>
      </w:pPr>
    </w:p>
    <w:p w14:paraId="5F485466" w14:textId="77777777" w:rsidR="004F162E" w:rsidRDefault="004F162E" w:rsidP="004F162E">
      <w:pPr>
        <w:spacing w:line="276"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Differentiated instruction stands out to me as a promising teaching and learning method. Differentiated instruction offers tailored learning opportunities based on students’ learners. However, its essential to acknowledge the practical challenges in implementing this within a classroom, like Estaiteyeh and DeCoito (2023 p.15) suggests such as time constraints, workload, and class size. Despite these challenges I see the valuable insights into impending differentiated instruction. I address these challenges by collaborating with colleagues, hopefully this would distribute the workloads and generate creating ideas for differentiated instructions, grouping strategies, small group activities and peer collaboration can be an effective way to try and address larger class sizes to still cater for children's readiness levels.  As well as working on my time management to ensure I leave time for implementing differentiating instructions this may involve careful planning and the integration of active learning strategies to make the most of all learning opportunities, but I believe </w:t>
      </w:r>
      <w:proofErr w:type="spellStart"/>
      <w:r>
        <w:rPr>
          <w:rFonts w:ascii="Arial" w:hAnsi="Arial" w:cs="Arial"/>
          <w:color w:val="000000" w:themeColor="text1"/>
          <w:sz w:val="22"/>
          <w:szCs w:val="22"/>
        </w:rPr>
        <w:t>its</w:t>
      </w:r>
      <w:proofErr w:type="spellEnd"/>
      <w:r>
        <w:rPr>
          <w:rFonts w:ascii="Arial" w:hAnsi="Arial" w:cs="Arial"/>
          <w:color w:val="000000" w:themeColor="text1"/>
          <w:sz w:val="22"/>
          <w:szCs w:val="22"/>
        </w:rPr>
        <w:t xml:space="preserve"> essential in maintaining an inclusive, engaging and well managed classroom. </w:t>
      </w:r>
    </w:p>
    <w:p w14:paraId="74DABD38" w14:textId="77777777" w:rsidR="004F162E" w:rsidRDefault="004F162E" w:rsidP="004F162E">
      <w:pPr>
        <w:spacing w:line="276" w:lineRule="auto"/>
        <w:rPr>
          <w:rFonts w:ascii="Arial" w:hAnsi="Arial" w:cs="Arial"/>
          <w:color w:val="000000" w:themeColor="text1"/>
          <w:sz w:val="22"/>
          <w:szCs w:val="22"/>
        </w:rPr>
      </w:pPr>
    </w:p>
    <w:p w14:paraId="069A0A54" w14:textId="477ED2F0" w:rsidR="004F162E" w:rsidRDefault="004F162E" w:rsidP="004F162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This approach not only caters to the individual needs of high ability learners but also aligns with Vygotsky’s emphasis on </w:t>
      </w:r>
      <w:r w:rsidR="005C0F58">
        <w:rPr>
          <w:rFonts w:ascii="Arial" w:hAnsi="Arial" w:cs="Arial"/>
          <w:color w:val="000000" w:themeColor="text1"/>
          <w:sz w:val="22"/>
          <w:szCs w:val="22"/>
        </w:rPr>
        <w:t>differentiating</w:t>
      </w:r>
      <w:r>
        <w:rPr>
          <w:rFonts w:ascii="Arial" w:hAnsi="Arial" w:cs="Arial"/>
          <w:color w:val="000000" w:themeColor="text1"/>
          <w:sz w:val="22"/>
          <w:szCs w:val="22"/>
        </w:rPr>
        <w:t xml:space="preserve"> instruction to students’ zone of proximal development.  As discussed, </w:t>
      </w:r>
      <w:r w:rsidRPr="00EF7C96">
        <w:rPr>
          <w:rFonts w:ascii="Arial" w:hAnsi="Arial" w:cs="Arial"/>
          <w:color w:val="000000" w:themeColor="text1"/>
          <w:sz w:val="22"/>
          <w:szCs w:val="22"/>
        </w:rPr>
        <w:t>Vygotsky’s zone of proximal development emphasis the space between a learner’s current abilities and their potential development with support from a more knowledgeable other (Allal and Ducrey, 2000 p.139) This related to his scaffolding theory which involves assistance to help learners acquire a new skill (Belland, 2013 p.511) Essentially, scaffolding is the practical application of the Zone of Proximal development theory. In the context of the critical incident</w:t>
      </w:r>
      <w:r>
        <w:rPr>
          <w:rFonts w:ascii="Arial" w:hAnsi="Arial" w:cs="Arial"/>
          <w:color w:val="000000" w:themeColor="text1"/>
          <w:sz w:val="22"/>
          <w:szCs w:val="22"/>
        </w:rPr>
        <w:t xml:space="preserve">, a lack of an appropriate zone of proximal development could have contributed to the learner’s emotional disengagement. To address this, cooperative learning and scaffolding theories can be employed. These methods align with Vygotsky’s theories, offering practical solutions for enhancing student engagement and supporting high-ability learners in the classroom. By leveraging the benefits of differentiated instruction and drawing from the insights of Vygotsky theory, I aim to provide a more inclusive and engaging learning experience for all learners. </w:t>
      </w:r>
    </w:p>
    <w:p w14:paraId="68F49042" w14:textId="77777777" w:rsidR="004F162E" w:rsidRDefault="004F162E" w:rsidP="004F162E">
      <w:pPr>
        <w:spacing w:line="276" w:lineRule="auto"/>
        <w:rPr>
          <w:rFonts w:ascii="Arial" w:hAnsi="Arial" w:cs="Arial"/>
          <w:color w:val="000000" w:themeColor="text1"/>
          <w:sz w:val="22"/>
          <w:szCs w:val="22"/>
        </w:rPr>
      </w:pPr>
    </w:p>
    <w:p w14:paraId="3ED69748" w14:textId="43AFC9DB" w:rsidR="004F162E" w:rsidRDefault="004F162E" w:rsidP="004F162E">
      <w:pPr>
        <w:spacing w:line="276" w:lineRule="auto"/>
        <w:rPr>
          <w:rFonts w:ascii="Arial" w:hAnsi="Arial" w:cs="Arial"/>
          <w:color w:val="000000" w:themeColor="text1"/>
          <w:sz w:val="22"/>
          <w:szCs w:val="22"/>
          <w:u w:val="single"/>
        </w:rPr>
      </w:pPr>
      <w:r w:rsidRPr="004F162E">
        <w:rPr>
          <w:rFonts w:ascii="Arial" w:hAnsi="Arial" w:cs="Arial"/>
          <w:color w:val="000000" w:themeColor="text1"/>
          <w:sz w:val="22"/>
          <w:szCs w:val="22"/>
          <w:u w:val="single"/>
        </w:rPr>
        <w:t xml:space="preserve">In conclusion </w:t>
      </w:r>
    </w:p>
    <w:p w14:paraId="273C96AF" w14:textId="77777777" w:rsidR="004F162E" w:rsidRDefault="004F162E" w:rsidP="004F162E">
      <w:pPr>
        <w:spacing w:line="276" w:lineRule="auto"/>
        <w:rPr>
          <w:rFonts w:ascii="Arial" w:hAnsi="Arial" w:cs="Arial"/>
          <w:color w:val="000000" w:themeColor="text1"/>
          <w:sz w:val="22"/>
          <w:szCs w:val="22"/>
          <w:u w:val="single"/>
        </w:rPr>
      </w:pPr>
    </w:p>
    <w:p w14:paraId="34A1ED06" w14:textId="1B00C706" w:rsidR="004F162E" w:rsidRDefault="004F162E" w:rsidP="004F162E">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To summarise everything’s that’s been said, the critical examination of the teaching and learning methodologies within the context of the critical incident observed in the observation has shed light on potential impacts related to high ability learners and engagement. The insights gained have reinforced the significance of active learning, differentiated instruction and the incorporation of Vygotsky’s zone of proximal development to cater to diverse leaners needs and enhance engagement. These methods if applied effectively can create a more inclusive, </w:t>
      </w:r>
      <w:r w:rsidR="002B075E">
        <w:rPr>
          <w:rFonts w:ascii="Arial" w:hAnsi="Arial" w:cs="Arial"/>
          <w:color w:val="000000" w:themeColor="text1"/>
          <w:sz w:val="22"/>
          <w:szCs w:val="22"/>
        </w:rPr>
        <w:t>engaging,</w:t>
      </w:r>
      <w:r>
        <w:rPr>
          <w:rFonts w:ascii="Arial" w:hAnsi="Arial" w:cs="Arial"/>
          <w:color w:val="000000" w:themeColor="text1"/>
          <w:sz w:val="22"/>
          <w:szCs w:val="22"/>
        </w:rPr>
        <w:t xml:space="preserve"> and well-managed learning environment, particularly for high-ability learners. </w:t>
      </w:r>
      <w:r w:rsidR="00FA7E63">
        <w:rPr>
          <w:rFonts w:ascii="Arial" w:hAnsi="Arial" w:cs="Arial"/>
          <w:color w:val="000000" w:themeColor="text1"/>
          <w:sz w:val="22"/>
          <w:szCs w:val="22"/>
        </w:rPr>
        <w:t xml:space="preserve">This cases study has deepened my understanding of critical incident methodologies and its implications for theories of learning and development. I now recognise the value of critical incidents in providing valuable insights into classroom dynamics, student engagement, and the impact of teaching methods.  </w:t>
      </w:r>
    </w:p>
    <w:p w14:paraId="3728069B" w14:textId="0EA17029" w:rsidR="00FA7E63" w:rsidRDefault="00FA7E63" w:rsidP="004F162E">
      <w:pPr>
        <w:spacing w:line="276" w:lineRule="auto"/>
        <w:rPr>
          <w:rFonts w:ascii="Arial" w:hAnsi="Arial" w:cs="Arial"/>
          <w:color w:val="000000" w:themeColor="text1"/>
          <w:sz w:val="22"/>
          <w:szCs w:val="22"/>
        </w:rPr>
      </w:pPr>
      <w:r>
        <w:rPr>
          <w:rFonts w:ascii="Arial" w:hAnsi="Arial" w:cs="Arial"/>
          <w:color w:val="000000" w:themeColor="text1"/>
          <w:sz w:val="22"/>
          <w:szCs w:val="22"/>
        </w:rPr>
        <w:t>These insights will undoubtably influence my practices in Schools on a practical level, as I will be more attentive to recognising and addressing moments of disengagement, seeking opportunities for active learning, and differentiating instructions to cater to individual learner needs</w:t>
      </w:r>
      <w:r w:rsidR="005C0F58">
        <w:rPr>
          <w:rFonts w:ascii="Arial" w:hAnsi="Arial" w:cs="Arial"/>
          <w:color w:val="000000" w:themeColor="text1"/>
          <w:sz w:val="22"/>
          <w:szCs w:val="22"/>
        </w:rPr>
        <w:t>.</w:t>
      </w:r>
      <w:r>
        <w:rPr>
          <w:rFonts w:ascii="Arial" w:hAnsi="Arial" w:cs="Arial"/>
          <w:color w:val="000000" w:themeColor="text1"/>
          <w:sz w:val="22"/>
          <w:szCs w:val="22"/>
        </w:rPr>
        <w:t xml:space="preserve"> This enhances awareness alights with professional standards, fostering commitment to inclusive education and </w:t>
      </w:r>
      <w:r w:rsidR="005C0F58">
        <w:rPr>
          <w:rFonts w:ascii="Arial" w:hAnsi="Arial" w:cs="Arial"/>
          <w:color w:val="000000" w:themeColor="text1"/>
          <w:sz w:val="22"/>
          <w:szCs w:val="22"/>
        </w:rPr>
        <w:t>evidence-based</w:t>
      </w:r>
      <w:r>
        <w:rPr>
          <w:rFonts w:ascii="Arial" w:hAnsi="Arial" w:cs="Arial"/>
          <w:color w:val="000000" w:themeColor="text1"/>
          <w:sz w:val="22"/>
          <w:szCs w:val="22"/>
        </w:rPr>
        <w:t xml:space="preserve"> teaching practices. </w:t>
      </w:r>
    </w:p>
    <w:p w14:paraId="57D05328" w14:textId="77777777" w:rsidR="00FA7E63" w:rsidRDefault="00FA7E63" w:rsidP="004F162E">
      <w:pPr>
        <w:spacing w:line="276" w:lineRule="auto"/>
        <w:rPr>
          <w:rFonts w:ascii="Arial" w:hAnsi="Arial" w:cs="Arial"/>
          <w:color w:val="000000" w:themeColor="text1"/>
          <w:sz w:val="22"/>
          <w:szCs w:val="22"/>
        </w:rPr>
      </w:pPr>
    </w:p>
    <w:p w14:paraId="69EFD047" w14:textId="322D1A18" w:rsidR="00FA7E63" w:rsidRDefault="00FA7E63" w:rsidP="004F162E">
      <w:pPr>
        <w:spacing w:line="276"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Moving forward, I recommend considering interventions to address the issue of student disengagement, especially among, high-ability learners, implementing active learning and differentiated instructions strategies along with collaborative work with colleagues, can significantly impact students’ motivation and overall learning experience. I will take this research forward into my future teaching practices, ensuring that diverse leaners are actively engaged and supported in their learning journeys.  </w:t>
      </w:r>
    </w:p>
    <w:p w14:paraId="70A5685B" w14:textId="055DFDE2" w:rsidR="00A53079" w:rsidRDefault="00FA7E63" w:rsidP="00E83536">
      <w:pPr>
        <w:spacing w:line="276" w:lineRule="auto"/>
        <w:rPr>
          <w:rFonts w:ascii="Arial" w:hAnsi="Arial" w:cs="Arial"/>
          <w:color w:val="000000" w:themeColor="text1"/>
          <w:sz w:val="22"/>
          <w:szCs w:val="22"/>
        </w:rPr>
      </w:pPr>
      <w:r>
        <w:rPr>
          <w:rFonts w:ascii="Arial" w:hAnsi="Arial" w:cs="Arial"/>
          <w:color w:val="000000" w:themeColor="text1"/>
          <w:sz w:val="22"/>
          <w:szCs w:val="22"/>
        </w:rPr>
        <w:t xml:space="preserve">Additionally, recognising </w:t>
      </w:r>
      <w:r w:rsidR="00E83536">
        <w:rPr>
          <w:rFonts w:ascii="Arial" w:hAnsi="Arial" w:cs="Arial"/>
          <w:color w:val="000000" w:themeColor="text1"/>
          <w:sz w:val="22"/>
          <w:szCs w:val="22"/>
        </w:rPr>
        <w:t xml:space="preserve">the complexities of student engagement and the unique needs of gifted learners is essential. This mindset shift can foster a more inclusive and supportive learning environment that benefits all learners, regardless of their abilities. It is through ongoing research, reflection and a commitment to best practice that can truly create a classroom where every learner can thrive. </w:t>
      </w:r>
    </w:p>
    <w:p w14:paraId="41C975B5" w14:textId="77777777" w:rsidR="00E83536" w:rsidRDefault="00E83536" w:rsidP="00E83536">
      <w:pPr>
        <w:spacing w:line="276" w:lineRule="auto"/>
        <w:rPr>
          <w:rFonts w:ascii="Arial" w:hAnsi="Arial" w:cs="Arial"/>
          <w:color w:val="000000" w:themeColor="text1"/>
          <w:sz w:val="22"/>
          <w:szCs w:val="22"/>
        </w:rPr>
      </w:pPr>
    </w:p>
    <w:p w14:paraId="127E00CE" w14:textId="77777777" w:rsidR="00E83536" w:rsidRDefault="00E83536" w:rsidP="00E83536">
      <w:pPr>
        <w:spacing w:line="276" w:lineRule="auto"/>
        <w:rPr>
          <w:rFonts w:ascii="Arial" w:hAnsi="Arial" w:cs="Arial"/>
          <w:color w:val="000000" w:themeColor="text1"/>
          <w:sz w:val="22"/>
          <w:szCs w:val="22"/>
        </w:rPr>
      </w:pPr>
    </w:p>
    <w:p w14:paraId="7EF97C8A" w14:textId="77777777" w:rsidR="00E83536" w:rsidRDefault="00E83536" w:rsidP="00E83536">
      <w:pPr>
        <w:spacing w:line="276" w:lineRule="auto"/>
        <w:rPr>
          <w:rFonts w:ascii="Arial" w:hAnsi="Arial" w:cs="Arial"/>
          <w:color w:val="000000" w:themeColor="text1"/>
          <w:sz w:val="22"/>
          <w:szCs w:val="22"/>
        </w:rPr>
      </w:pPr>
    </w:p>
    <w:p w14:paraId="5A1FE370" w14:textId="77777777" w:rsidR="00E83536" w:rsidRDefault="00E83536" w:rsidP="00E83536">
      <w:pPr>
        <w:spacing w:line="276" w:lineRule="auto"/>
        <w:rPr>
          <w:rFonts w:ascii="Arial" w:hAnsi="Arial" w:cs="Arial"/>
          <w:color w:val="000000" w:themeColor="text1"/>
          <w:sz w:val="22"/>
          <w:szCs w:val="22"/>
        </w:rPr>
      </w:pPr>
    </w:p>
    <w:p w14:paraId="0A2E8C91" w14:textId="77777777" w:rsidR="00E83536" w:rsidRDefault="00E83536" w:rsidP="00E83536">
      <w:pPr>
        <w:spacing w:line="276" w:lineRule="auto"/>
        <w:rPr>
          <w:rFonts w:ascii="Arial" w:hAnsi="Arial" w:cs="Arial"/>
          <w:color w:val="000000" w:themeColor="text1"/>
          <w:sz w:val="22"/>
          <w:szCs w:val="22"/>
        </w:rPr>
      </w:pPr>
    </w:p>
    <w:p w14:paraId="61E1F692" w14:textId="77777777" w:rsidR="00E83536" w:rsidRDefault="00E83536" w:rsidP="00E83536">
      <w:pPr>
        <w:spacing w:line="276" w:lineRule="auto"/>
        <w:rPr>
          <w:rFonts w:ascii="Arial" w:hAnsi="Arial" w:cs="Arial"/>
          <w:color w:val="000000" w:themeColor="text1"/>
          <w:sz w:val="22"/>
          <w:szCs w:val="22"/>
        </w:rPr>
      </w:pPr>
    </w:p>
    <w:p w14:paraId="5AA32588" w14:textId="77777777" w:rsidR="00E83536" w:rsidRDefault="00E83536" w:rsidP="00E83536">
      <w:pPr>
        <w:spacing w:line="276" w:lineRule="auto"/>
        <w:rPr>
          <w:rFonts w:ascii="Arial" w:hAnsi="Arial" w:cs="Arial"/>
          <w:color w:val="000000" w:themeColor="text1"/>
          <w:sz w:val="22"/>
          <w:szCs w:val="22"/>
        </w:rPr>
      </w:pPr>
    </w:p>
    <w:p w14:paraId="1DC68DE1" w14:textId="77777777" w:rsidR="00E83536" w:rsidRDefault="00E83536" w:rsidP="00E83536">
      <w:pPr>
        <w:spacing w:line="276" w:lineRule="auto"/>
        <w:rPr>
          <w:rFonts w:ascii="Arial" w:hAnsi="Arial" w:cs="Arial"/>
          <w:color w:val="000000" w:themeColor="text1"/>
          <w:sz w:val="22"/>
          <w:szCs w:val="22"/>
        </w:rPr>
      </w:pPr>
    </w:p>
    <w:p w14:paraId="09923AFE" w14:textId="77777777" w:rsidR="00E83536" w:rsidRDefault="00E83536" w:rsidP="00E83536">
      <w:pPr>
        <w:spacing w:line="276" w:lineRule="auto"/>
        <w:rPr>
          <w:rFonts w:ascii="Arial" w:hAnsi="Arial" w:cs="Arial"/>
          <w:color w:val="000000" w:themeColor="text1"/>
          <w:sz w:val="22"/>
          <w:szCs w:val="22"/>
        </w:rPr>
      </w:pPr>
    </w:p>
    <w:p w14:paraId="42FA6643" w14:textId="77777777" w:rsidR="00E83536" w:rsidRDefault="00E83536" w:rsidP="00E83536">
      <w:pPr>
        <w:spacing w:line="276" w:lineRule="auto"/>
        <w:rPr>
          <w:rFonts w:ascii="Arial" w:hAnsi="Arial" w:cs="Arial"/>
          <w:color w:val="000000" w:themeColor="text1"/>
          <w:sz w:val="22"/>
          <w:szCs w:val="22"/>
        </w:rPr>
      </w:pPr>
    </w:p>
    <w:p w14:paraId="632AE2A7" w14:textId="77777777" w:rsidR="00E83536" w:rsidRDefault="00E83536" w:rsidP="00E83536">
      <w:pPr>
        <w:spacing w:line="276" w:lineRule="auto"/>
        <w:rPr>
          <w:rFonts w:ascii="Arial" w:hAnsi="Arial" w:cs="Arial"/>
          <w:color w:val="000000" w:themeColor="text1"/>
          <w:sz w:val="22"/>
          <w:szCs w:val="22"/>
        </w:rPr>
      </w:pPr>
    </w:p>
    <w:p w14:paraId="3D45E0C4" w14:textId="77777777" w:rsidR="00E83536" w:rsidRDefault="00E83536" w:rsidP="00E83536">
      <w:pPr>
        <w:spacing w:line="276" w:lineRule="auto"/>
        <w:rPr>
          <w:rFonts w:ascii="Arial" w:hAnsi="Arial" w:cs="Arial"/>
          <w:color w:val="000000" w:themeColor="text1"/>
          <w:sz w:val="22"/>
          <w:szCs w:val="22"/>
        </w:rPr>
      </w:pPr>
    </w:p>
    <w:p w14:paraId="0FDE8F42" w14:textId="77777777" w:rsidR="00E83536" w:rsidRDefault="00E83536" w:rsidP="00E83536">
      <w:pPr>
        <w:spacing w:line="276" w:lineRule="auto"/>
        <w:rPr>
          <w:rFonts w:ascii="Arial" w:hAnsi="Arial" w:cs="Arial"/>
          <w:color w:val="000000" w:themeColor="text1"/>
          <w:sz w:val="22"/>
          <w:szCs w:val="22"/>
        </w:rPr>
      </w:pPr>
    </w:p>
    <w:p w14:paraId="43D78CC2" w14:textId="77777777" w:rsidR="00E83536" w:rsidRDefault="00E83536" w:rsidP="00E83536">
      <w:pPr>
        <w:spacing w:line="276" w:lineRule="auto"/>
        <w:rPr>
          <w:rFonts w:ascii="Arial" w:hAnsi="Arial" w:cs="Arial"/>
          <w:color w:val="000000" w:themeColor="text1"/>
          <w:sz w:val="22"/>
          <w:szCs w:val="22"/>
        </w:rPr>
      </w:pPr>
    </w:p>
    <w:p w14:paraId="0FA67E10" w14:textId="77777777" w:rsidR="00E83536" w:rsidRDefault="00E83536" w:rsidP="00E83536">
      <w:pPr>
        <w:spacing w:line="276" w:lineRule="auto"/>
        <w:rPr>
          <w:rFonts w:ascii="Arial" w:hAnsi="Arial" w:cs="Arial"/>
          <w:color w:val="000000" w:themeColor="text1"/>
          <w:sz w:val="22"/>
          <w:szCs w:val="22"/>
        </w:rPr>
      </w:pPr>
    </w:p>
    <w:p w14:paraId="65399DD8" w14:textId="77777777" w:rsidR="00E83536" w:rsidRDefault="00E83536" w:rsidP="00E83536">
      <w:pPr>
        <w:spacing w:line="276" w:lineRule="auto"/>
        <w:rPr>
          <w:rFonts w:ascii="Arial" w:hAnsi="Arial" w:cs="Arial"/>
          <w:color w:val="000000" w:themeColor="text1"/>
          <w:sz w:val="22"/>
          <w:szCs w:val="22"/>
        </w:rPr>
      </w:pPr>
    </w:p>
    <w:p w14:paraId="5A70A900" w14:textId="77777777" w:rsidR="00E83536" w:rsidRDefault="00E83536" w:rsidP="00E83536">
      <w:pPr>
        <w:spacing w:line="276" w:lineRule="auto"/>
        <w:rPr>
          <w:rFonts w:ascii="Arial" w:hAnsi="Arial" w:cs="Arial"/>
          <w:color w:val="000000" w:themeColor="text1"/>
          <w:sz w:val="22"/>
          <w:szCs w:val="22"/>
        </w:rPr>
      </w:pPr>
    </w:p>
    <w:p w14:paraId="2146E1BD" w14:textId="77777777" w:rsidR="00E83536" w:rsidRDefault="00E83536" w:rsidP="00E83536">
      <w:pPr>
        <w:spacing w:line="276" w:lineRule="auto"/>
        <w:rPr>
          <w:rFonts w:ascii="Arial" w:hAnsi="Arial" w:cs="Arial"/>
          <w:color w:val="000000" w:themeColor="text1"/>
          <w:sz w:val="22"/>
          <w:szCs w:val="22"/>
        </w:rPr>
      </w:pPr>
    </w:p>
    <w:p w14:paraId="67EAF5FB" w14:textId="77777777" w:rsidR="00E83536" w:rsidRDefault="00E83536" w:rsidP="00E83536">
      <w:pPr>
        <w:spacing w:line="276" w:lineRule="auto"/>
        <w:rPr>
          <w:rFonts w:ascii="Arial" w:hAnsi="Arial" w:cs="Arial"/>
          <w:color w:val="000000" w:themeColor="text1"/>
          <w:sz w:val="22"/>
          <w:szCs w:val="22"/>
        </w:rPr>
      </w:pPr>
    </w:p>
    <w:p w14:paraId="58E310BD" w14:textId="77777777" w:rsidR="00E83536" w:rsidRDefault="00E83536" w:rsidP="00E83536">
      <w:pPr>
        <w:spacing w:line="276" w:lineRule="auto"/>
        <w:rPr>
          <w:rFonts w:ascii="Arial" w:hAnsi="Arial" w:cs="Arial"/>
          <w:color w:val="000000" w:themeColor="text1"/>
          <w:sz w:val="22"/>
          <w:szCs w:val="22"/>
        </w:rPr>
      </w:pPr>
    </w:p>
    <w:p w14:paraId="75F626AA" w14:textId="77777777" w:rsidR="00E83536" w:rsidRDefault="00E83536" w:rsidP="00E83536">
      <w:pPr>
        <w:spacing w:line="276" w:lineRule="auto"/>
        <w:rPr>
          <w:rFonts w:ascii="Arial" w:hAnsi="Arial" w:cs="Arial"/>
          <w:color w:val="000000" w:themeColor="text1"/>
          <w:sz w:val="22"/>
          <w:szCs w:val="22"/>
        </w:rPr>
      </w:pPr>
    </w:p>
    <w:p w14:paraId="5F8204FA" w14:textId="77777777" w:rsidR="00E83536" w:rsidRDefault="00E83536" w:rsidP="00E83536">
      <w:pPr>
        <w:spacing w:line="276" w:lineRule="auto"/>
        <w:rPr>
          <w:rFonts w:ascii="Arial" w:hAnsi="Arial" w:cs="Arial"/>
          <w:color w:val="000000" w:themeColor="text1"/>
          <w:sz w:val="22"/>
          <w:szCs w:val="22"/>
        </w:rPr>
      </w:pPr>
    </w:p>
    <w:p w14:paraId="6B75CC22" w14:textId="77777777" w:rsidR="00E83536" w:rsidRDefault="00E83536" w:rsidP="00E83536">
      <w:pPr>
        <w:spacing w:line="276" w:lineRule="auto"/>
        <w:rPr>
          <w:rFonts w:ascii="Arial" w:hAnsi="Arial" w:cs="Arial"/>
          <w:color w:val="000000" w:themeColor="text1"/>
          <w:sz w:val="22"/>
          <w:szCs w:val="22"/>
        </w:rPr>
      </w:pPr>
    </w:p>
    <w:p w14:paraId="27086F41" w14:textId="77777777" w:rsidR="00E83536" w:rsidRDefault="00E83536" w:rsidP="00E83536">
      <w:pPr>
        <w:spacing w:line="276" w:lineRule="auto"/>
        <w:rPr>
          <w:rFonts w:ascii="Arial" w:hAnsi="Arial" w:cs="Arial"/>
          <w:color w:val="000000" w:themeColor="text1"/>
          <w:sz w:val="22"/>
          <w:szCs w:val="22"/>
        </w:rPr>
      </w:pPr>
    </w:p>
    <w:p w14:paraId="7B35ADFE" w14:textId="77777777" w:rsidR="00E83536" w:rsidRDefault="00E83536" w:rsidP="00E83536">
      <w:pPr>
        <w:spacing w:line="276" w:lineRule="auto"/>
        <w:rPr>
          <w:rFonts w:ascii="Arial" w:hAnsi="Arial" w:cs="Arial"/>
          <w:color w:val="000000" w:themeColor="text1"/>
          <w:sz w:val="22"/>
          <w:szCs w:val="22"/>
        </w:rPr>
      </w:pPr>
    </w:p>
    <w:p w14:paraId="0259DA1A" w14:textId="77777777" w:rsidR="00E83536" w:rsidRDefault="00E83536" w:rsidP="00E83536">
      <w:pPr>
        <w:spacing w:line="276" w:lineRule="auto"/>
        <w:rPr>
          <w:rFonts w:ascii="Arial" w:hAnsi="Arial" w:cs="Arial"/>
          <w:color w:val="000000" w:themeColor="text1"/>
          <w:sz w:val="22"/>
          <w:szCs w:val="22"/>
        </w:rPr>
      </w:pPr>
    </w:p>
    <w:p w14:paraId="3C3426AD" w14:textId="77777777" w:rsidR="00E83536" w:rsidRDefault="00E83536" w:rsidP="00E83536">
      <w:pPr>
        <w:spacing w:line="276" w:lineRule="auto"/>
        <w:rPr>
          <w:rFonts w:ascii="Arial" w:hAnsi="Arial" w:cs="Arial"/>
          <w:color w:val="000000" w:themeColor="text1"/>
          <w:sz w:val="22"/>
          <w:szCs w:val="22"/>
        </w:rPr>
      </w:pPr>
    </w:p>
    <w:p w14:paraId="56BE0B56" w14:textId="77777777" w:rsidR="00E83536" w:rsidRDefault="00E83536" w:rsidP="00E83536">
      <w:pPr>
        <w:spacing w:line="276" w:lineRule="auto"/>
        <w:rPr>
          <w:rFonts w:ascii="Arial" w:hAnsi="Arial" w:cs="Arial"/>
          <w:color w:val="000000" w:themeColor="text1"/>
          <w:sz w:val="22"/>
          <w:szCs w:val="22"/>
        </w:rPr>
      </w:pPr>
    </w:p>
    <w:p w14:paraId="640100F9" w14:textId="77777777" w:rsidR="00E83536" w:rsidRDefault="00E83536" w:rsidP="00E83536">
      <w:pPr>
        <w:spacing w:line="276" w:lineRule="auto"/>
        <w:rPr>
          <w:rFonts w:ascii="Arial" w:hAnsi="Arial" w:cs="Arial"/>
          <w:color w:val="000000" w:themeColor="text1"/>
          <w:sz w:val="22"/>
          <w:szCs w:val="22"/>
        </w:rPr>
      </w:pPr>
    </w:p>
    <w:p w14:paraId="30A6F3A9" w14:textId="77777777" w:rsidR="00E83536" w:rsidRDefault="00E83536" w:rsidP="00E83536">
      <w:pPr>
        <w:spacing w:line="276" w:lineRule="auto"/>
        <w:rPr>
          <w:rFonts w:ascii="Arial" w:hAnsi="Arial" w:cs="Arial"/>
          <w:color w:val="000000" w:themeColor="text1"/>
          <w:sz w:val="22"/>
          <w:szCs w:val="22"/>
        </w:rPr>
      </w:pPr>
    </w:p>
    <w:p w14:paraId="640134C3" w14:textId="77777777" w:rsidR="00E83536" w:rsidRDefault="00E83536" w:rsidP="00E83536">
      <w:pPr>
        <w:spacing w:line="276" w:lineRule="auto"/>
        <w:rPr>
          <w:rFonts w:ascii="Arial" w:hAnsi="Arial" w:cs="Arial"/>
          <w:color w:val="000000" w:themeColor="text1"/>
          <w:sz w:val="22"/>
          <w:szCs w:val="22"/>
        </w:rPr>
      </w:pPr>
    </w:p>
    <w:p w14:paraId="6CCD3EBE" w14:textId="77777777" w:rsidR="00E83536" w:rsidRDefault="00E83536" w:rsidP="00E83536">
      <w:pPr>
        <w:spacing w:line="276" w:lineRule="auto"/>
        <w:rPr>
          <w:rFonts w:ascii="Arial" w:hAnsi="Arial" w:cs="Arial"/>
          <w:color w:val="000000" w:themeColor="text1"/>
          <w:sz w:val="22"/>
          <w:szCs w:val="22"/>
        </w:rPr>
      </w:pPr>
    </w:p>
    <w:p w14:paraId="54730390" w14:textId="77777777" w:rsidR="00E83536" w:rsidRDefault="00E83536" w:rsidP="00E83536">
      <w:pPr>
        <w:spacing w:line="276" w:lineRule="auto"/>
        <w:rPr>
          <w:rFonts w:ascii="Arial" w:hAnsi="Arial" w:cs="Arial"/>
          <w:color w:val="000000" w:themeColor="text1"/>
          <w:sz w:val="22"/>
          <w:szCs w:val="22"/>
        </w:rPr>
      </w:pPr>
    </w:p>
    <w:p w14:paraId="06B7E2FE" w14:textId="77777777" w:rsidR="00E83536" w:rsidRDefault="00E83536" w:rsidP="00E83536">
      <w:pPr>
        <w:spacing w:line="276" w:lineRule="auto"/>
        <w:rPr>
          <w:rFonts w:ascii="Arial" w:hAnsi="Arial" w:cs="Arial"/>
          <w:color w:val="000000" w:themeColor="text1"/>
          <w:sz w:val="22"/>
          <w:szCs w:val="22"/>
        </w:rPr>
      </w:pPr>
    </w:p>
    <w:p w14:paraId="2A5F9097" w14:textId="77777777" w:rsidR="00E83536" w:rsidRDefault="00E83536" w:rsidP="00E83536">
      <w:pPr>
        <w:spacing w:line="276" w:lineRule="auto"/>
        <w:rPr>
          <w:rFonts w:ascii="Arial" w:hAnsi="Arial" w:cs="Arial"/>
          <w:color w:val="000000" w:themeColor="text1"/>
          <w:sz w:val="22"/>
          <w:szCs w:val="22"/>
        </w:rPr>
      </w:pPr>
    </w:p>
    <w:p w14:paraId="7A236700" w14:textId="77777777" w:rsidR="00E83536" w:rsidRDefault="00E83536" w:rsidP="00E83536">
      <w:pPr>
        <w:spacing w:line="276" w:lineRule="auto"/>
        <w:rPr>
          <w:rFonts w:ascii="Arial" w:hAnsi="Arial" w:cs="Arial"/>
          <w:color w:val="000000" w:themeColor="text1"/>
          <w:sz w:val="22"/>
          <w:szCs w:val="22"/>
        </w:rPr>
      </w:pPr>
    </w:p>
    <w:p w14:paraId="1B45529C" w14:textId="77777777" w:rsidR="00E83536" w:rsidRDefault="00E83536" w:rsidP="00E83536">
      <w:pPr>
        <w:spacing w:line="276" w:lineRule="auto"/>
        <w:rPr>
          <w:rFonts w:ascii="Arial" w:hAnsi="Arial" w:cs="Arial"/>
          <w:color w:val="000000" w:themeColor="text1"/>
          <w:sz w:val="22"/>
          <w:szCs w:val="22"/>
        </w:rPr>
      </w:pPr>
    </w:p>
    <w:p w14:paraId="5CD3D1BE" w14:textId="2BB1DAC8" w:rsidR="00E83536" w:rsidRP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u w:val="single"/>
        </w:rPr>
      </w:pPr>
      <w:r w:rsidRPr="00E83536">
        <w:rPr>
          <w:rFonts w:ascii="Arial" w:hAnsi="Arial" w:cs="Arial"/>
          <w:color w:val="000000"/>
          <w:sz w:val="22"/>
          <w:szCs w:val="22"/>
          <w:u w:val="single"/>
        </w:rPr>
        <w:lastRenderedPageBreak/>
        <w:t xml:space="preserve">Reference list </w:t>
      </w:r>
    </w:p>
    <w:p w14:paraId="0DA510AF" w14:textId="702BD694"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proofErr w:type="spellStart"/>
      <w:r>
        <w:rPr>
          <w:rFonts w:ascii="Arial" w:hAnsi="Arial" w:cs="Arial"/>
          <w:color w:val="000000"/>
          <w:sz w:val="22"/>
          <w:szCs w:val="22"/>
        </w:rPr>
        <w:t>Aksit</w:t>
      </w:r>
      <w:proofErr w:type="spellEnd"/>
      <w:r>
        <w:rPr>
          <w:rFonts w:ascii="Arial" w:hAnsi="Arial" w:cs="Arial"/>
          <w:color w:val="000000"/>
          <w:sz w:val="22"/>
          <w:szCs w:val="22"/>
        </w:rPr>
        <w:t xml:space="preserve">, F., Niemi, H. and </w:t>
      </w:r>
      <w:proofErr w:type="spellStart"/>
      <w:r>
        <w:rPr>
          <w:rFonts w:ascii="Arial" w:hAnsi="Arial" w:cs="Arial"/>
          <w:color w:val="000000"/>
          <w:sz w:val="22"/>
          <w:szCs w:val="22"/>
        </w:rPr>
        <w:t>Nevgi</w:t>
      </w:r>
      <w:proofErr w:type="spellEnd"/>
      <w:r>
        <w:rPr>
          <w:rFonts w:ascii="Arial" w:hAnsi="Arial" w:cs="Arial"/>
          <w:color w:val="000000"/>
          <w:sz w:val="22"/>
          <w:szCs w:val="22"/>
        </w:rPr>
        <w:t>, A. (2016) 'Why is active learning so difficult to implement: The Turkish case,'</w:t>
      </w:r>
      <w:r>
        <w:rPr>
          <w:rStyle w:val="apple-converted-space"/>
          <w:rFonts w:ascii="Arial" w:hAnsi="Arial" w:cs="Arial"/>
          <w:color w:val="000000"/>
          <w:sz w:val="22"/>
          <w:szCs w:val="22"/>
        </w:rPr>
        <w:t> </w:t>
      </w:r>
      <w:r>
        <w:rPr>
          <w:rFonts w:ascii="Arial" w:hAnsi="Arial" w:cs="Arial"/>
          <w:i/>
          <w:iCs/>
          <w:color w:val="000000"/>
          <w:sz w:val="22"/>
          <w:szCs w:val="22"/>
        </w:rPr>
        <w:t>Australian Journal of Teacher Education</w:t>
      </w:r>
      <w:r>
        <w:rPr>
          <w:rFonts w:ascii="Arial" w:hAnsi="Arial" w:cs="Arial"/>
          <w:color w:val="000000"/>
          <w:sz w:val="22"/>
          <w:szCs w:val="22"/>
        </w:rPr>
        <w:t>, 41(4), pp. 94–109.</w:t>
      </w:r>
      <w:r>
        <w:rPr>
          <w:rStyle w:val="apple-converted-space"/>
          <w:rFonts w:ascii="Arial" w:hAnsi="Arial" w:cs="Arial"/>
          <w:color w:val="000000"/>
          <w:sz w:val="22"/>
          <w:szCs w:val="22"/>
        </w:rPr>
        <w:t> </w:t>
      </w:r>
      <w:r>
        <w:rPr>
          <w:rFonts w:ascii="Arial" w:hAnsi="Arial" w:cs="Arial"/>
          <w:color w:val="000000"/>
          <w:sz w:val="22"/>
          <w:szCs w:val="22"/>
        </w:rPr>
        <w:t>https://doi.org/10.14221/ajte.2016v41n4.6.</w:t>
      </w:r>
    </w:p>
    <w:p w14:paraId="107DB243"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Allal, L. and Ducrey, G.P. (2000) 'Assessment of—or in—the zone of proximal development,'</w:t>
      </w:r>
      <w:r>
        <w:rPr>
          <w:rStyle w:val="apple-converted-space"/>
          <w:rFonts w:ascii="Arial" w:hAnsi="Arial" w:cs="Arial"/>
          <w:color w:val="000000"/>
          <w:sz w:val="22"/>
          <w:szCs w:val="22"/>
        </w:rPr>
        <w:t> </w:t>
      </w:r>
      <w:r>
        <w:rPr>
          <w:rFonts w:ascii="Arial" w:hAnsi="Arial" w:cs="Arial"/>
          <w:i/>
          <w:iCs/>
          <w:color w:val="000000"/>
          <w:sz w:val="22"/>
          <w:szCs w:val="22"/>
        </w:rPr>
        <w:t>Learning and Instruction</w:t>
      </w:r>
      <w:r>
        <w:rPr>
          <w:rFonts w:ascii="Arial" w:hAnsi="Arial" w:cs="Arial"/>
          <w:color w:val="000000"/>
          <w:sz w:val="22"/>
          <w:szCs w:val="22"/>
        </w:rPr>
        <w:t>, 10(2), pp. 137–152.</w:t>
      </w:r>
      <w:r>
        <w:rPr>
          <w:rStyle w:val="apple-converted-space"/>
          <w:rFonts w:ascii="Arial" w:hAnsi="Arial" w:cs="Arial"/>
          <w:color w:val="000000"/>
          <w:sz w:val="22"/>
          <w:szCs w:val="22"/>
        </w:rPr>
        <w:t> </w:t>
      </w:r>
      <w:r>
        <w:rPr>
          <w:rFonts w:ascii="Arial" w:hAnsi="Arial" w:cs="Arial"/>
          <w:color w:val="000000"/>
          <w:sz w:val="22"/>
          <w:szCs w:val="22"/>
        </w:rPr>
        <w:t>https://doi.org/10.1016/s0959-4752(99)00025-0.</w:t>
      </w:r>
    </w:p>
    <w:p w14:paraId="412C8005"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Barkley, E.F. (2009)</w:t>
      </w:r>
      <w:r>
        <w:rPr>
          <w:rStyle w:val="apple-converted-space"/>
          <w:rFonts w:ascii="Arial" w:hAnsi="Arial" w:cs="Arial"/>
          <w:color w:val="000000"/>
          <w:sz w:val="22"/>
          <w:szCs w:val="22"/>
        </w:rPr>
        <w:t> </w:t>
      </w:r>
      <w:r>
        <w:rPr>
          <w:rFonts w:ascii="Arial" w:hAnsi="Arial" w:cs="Arial"/>
          <w:i/>
          <w:iCs/>
          <w:color w:val="000000"/>
          <w:sz w:val="22"/>
          <w:szCs w:val="22"/>
        </w:rPr>
        <w:t>Student Engagement Techniques: A handbook for college faculty</w:t>
      </w:r>
      <w:r>
        <w:rPr>
          <w:rFonts w:ascii="Arial" w:hAnsi="Arial" w:cs="Arial"/>
          <w:color w:val="000000"/>
          <w:sz w:val="22"/>
          <w:szCs w:val="22"/>
        </w:rPr>
        <w:t>.</w:t>
      </w:r>
      <w:r>
        <w:rPr>
          <w:rStyle w:val="apple-converted-space"/>
          <w:rFonts w:ascii="Arial" w:hAnsi="Arial" w:cs="Arial"/>
          <w:color w:val="000000"/>
          <w:sz w:val="22"/>
          <w:szCs w:val="22"/>
        </w:rPr>
        <w:t> </w:t>
      </w:r>
      <w:r>
        <w:rPr>
          <w:rFonts w:ascii="Arial" w:hAnsi="Arial" w:cs="Arial"/>
          <w:color w:val="000000"/>
          <w:sz w:val="22"/>
          <w:szCs w:val="22"/>
        </w:rPr>
        <w:t>https://ci.nii.ac.jp/ncid/BB00491253.</w:t>
      </w:r>
    </w:p>
    <w:p w14:paraId="633804D3"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Belland, B.R. (2013) 'Scaffolding: definition, current debates, and future directions,' in</w:t>
      </w:r>
      <w:r>
        <w:rPr>
          <w:rStyle w:val="apple-converted-space"/>
          <w:rFonts w:ascii="Arial" w:hAnsi="Arial" w:cs="Arial"/>
          <w:color w:val="000000"/>
          <w:sz w:val="22"/>
          <w:szCs w:val="22"/>
        </w:rPr>
        <w:t> </w:t>
      </w:r>
      <w:r>
        <w:rPr>
          <w:rFonts w:ascii="Arial" w:hAnsi="Arial" w:cs="Arial"/>
          <w:i/>
          <w:iCs/>
          <w:color w:val="000000"/>
          <w:sz w:val="22"/>
          <w:szCs w:val="22"/>
        </w:rPr>
        <w:t>Springer eBooks</w:t>
      </w:r>
      <w:r>
        <w:rPr>
          <w:rFonts w:ascii="Arial" w:hAnsi="Arial" w:cs="Arial"/>
          <w:color w:val="000000"/>
          <w:sz w:val="22"/>
          <w:szCs w:val="22"/>
        </w:rPr>
        <w:t>, pp. 505–518.</w:t>
      </w:r>
      <w:r>
        <w:rPr>
          <w:rStyle w:val="apple-converted-space"/>
          <w:rFonts w:ascii="Arial" w:hAnsi="Arial" w:cs="Arial"/>
          <w:color w:val="000000"/>
          <w:sz w:val="22"/>
          <w:szCs w:val="22"/>
        </w:rPr>
        <w:t> </w:t>
      </w:r>
      <w:r>
        <w:rPr>
          <w:rFonts w:ascii="Arial" w:hAnsi="Arial" w:cs="Arial"/>
          <w:color w:val="000000"/>
          <w:sz w:val="22"/>
          <w:szCs w:val="22"/>
        </w:rPr>
        <w:t>https://doi.org/10.1007/978-1-4614-3185-5_39.</w:t>
      </w:r>
    </w:p>
    <w:p w14:paraId="771DF7A7"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 xml:space="preserve">Betts, G.T. and </w:t>
      </w:r>
      <w:proofErr w:type="spellStart"/>
      <w:r>
        <w:rPr>
          <w:rFonts w:ascii="Arial" w:hAnsi="Arial" w:cs="Arial"/>
          <w:color w:val="000000"/>
          <w:sz w:val="22"/>
          <w:szCs w:val="22"/>
        </w:rPr>
        <w:t>Neihart</w:t>
      </w:r>
      <w:proofErr w:type="spellEnd"/>
      <w:r>
        <w:rPr>
          <w:rFonts w:ascii="Arial" w:hAnsi="Arial" w:cs="Arial"/>
          <w:color w:val="000000"/>
          <w:sz w:val="22"/>
          <w:szCs w:val="22"/>
        </w:rPr>
        <w:t>, M. (1988) 'Profiles of the gifted and talented,'</w:t>
      </w:r>
      <w:r>
        <w:rPr>
          <w:rStyle w:val="apple-converted-space"/>
          <w:rFonts w:ascii="Arial" w:hAnsi="Arial" w:cs="Arial"/>
          <w:color w:val="000000"/>
          <w:sz w:val="22"/>
          <w:szCs w:val="22"/>
        </w:rPr>
        <w:t> </w:t>
      </w:r>
      <w:r>
        <w:rPr>
          <w:rFonts w:ascii="Arial" w:hAnsi="Arial" w:cs="Arial"/>
          <w:i/>
          <w:iCs/>
          <w:color w:val="000000"/>
          <w:sz w:val="22"/>
          <w:szCs w:val="22"/>
        </w:rPr>
        <w:t>Gifted Child Quarterly</w:t>
      </w:r>
      <w:r>
        <w:rPr>
          <w:rFonts w:ascii="Arial" w:hAnsi="Arial" w:cs="Arial"/>
          <w:color w:val="000000"/>
          <w:sz w:val="22"/>
          <w:szCs w:val="22"/>
        </w:rPr>
        <w:t>, 32(2), pp. 248–253.</w:t>
      </w:r>
      <w:r>
        <w:rPr>
          <w:rStyle w:val="apple-converted-space"/>
          <w:rFonts w:ascii="Arial" w:hAnsi="Arial" w:cs="Arial"/>
          <w:color w:val="000000"/>
          <w:sz w:val="22"/>
          <w:szCs w:val="22"/>
        </w:rPr>
        <w:t> </w:t>
      </w:r>
      <w:r>
        <w:rPr>
          <w:rFonts w:ascii="Arial" w:hAnsi="Arial" w:cs="Arial"/>
          <w:color w:val="000000"/>
          <w:sz w:val="22"/>
          <w:szCs w:val="22"/>
        </w:rPr>
        <w:t>https://doi.org/10.1177/001698628803200202.</w:t>
      </w:r>
    </w:p>
    <w:p w14:paraId="53B2BC2D"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Brame, C. (2016)</w:t>
      </w:r>
      <w:r>
        <w:rPr>
          <w:rStyle w:val="apple-converted-space"/>
          <w:rFonts w:ascii="Arial" w:hAnsi="Arial" w:cs="Arial"/>
          <w:color w:val="000000"/>
          <w:sz w:val="22"/>
          <w:szCs w:val="22"/>
        </w:rPr>
        <w:t> </w:t>
      </w:r>
      <w:r>
        <w:rPr>
          <w:rFonts w:ascii="Arial" w:hAnsi="Arial" w:cs="Arial"/>
          <w:i/>
          <w:iCs/>
          <w:color w:val="000000"/>
          <w:sz w:val="22"/>
          <w:szCs w:val="22"/>
        </w:rPr>
        <w:t>Active learning</w:t>
      </w:r>
      <w:r>
        <w:rPr>
          <w:rFonts w:ascii="Arial" w:hAnsi="Arial" w:cs="Arial"/>
          <w:color w:val="000000"/>
          <w:sz w:val="22"/>
          <w:szCs w:val="22"/>
        </w:rPr>
        <w:t>. Vanderbilt University Centre for teaching.</w:t>
      </w:r>
    </w:p>
    <w:p w14:paraId="0AE9E397"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Brophy, J. (1986) 'Classroom management techniques,'</w:t>
      </w:r>
      <w:r>
        <w:rPr>
          <w:rStyle w:val="apple-converted-space"/>
          <w:rFonts w:ascii="Arial" w:hAnsi="Arial" w:cs="Arial"/>
          <w:color w:val="000000"/>
          <w:sz w:val="22"/>
          <w:szCs w:val="22"/>
        </w:rPr>
        <w:t> </w:t>
      </w:r>
      <w:r>
        <w:rPr>
          <w:rFonts w:ascii="Arial" w:hAnsi="Arial" w:cs="Arial"/>
          <w:i/>
          <w:iCs/>
          <w:color w:val="000000"/>
          <w:sz w:val="22"/>
          <w:szCs w:val="22"/>
        </w:rPr>
        <w:t>Education and Urban Society</w:t>
      </w:r>
      <w:r>
        <w:rPr>
          <w:rFonts w:ascii="Arial" w:hAnsi="Arial" w:cs="Arial"/>
          <w:color w:val="000000"/>
          <w:sz w:val="22"/>
          <w:szCs w:val="22"/>
        </w:rPr>
        <w:t>, 18(2), pp. 182–194.</w:t>
      </w:r>
      <w:r>
        <w:rPr>
          <w:rStyle w:val="apple-converted-space"/>
          <w:rFonts w:ascii="Arial" w:hAnsi="Arial" w:cs="Arial"/>
          <w:color w:val="000000"/>
          <w:sz w:val="22"/>
          <w:szCs w:val="22"/>
        </w:rPr>
        <w:t> </w:t>
      </w:r>
      <w:r>
        <w:rPr>
          <w:rFonts w:ascii="Arial" w:hAnsi="Arial" w:cs="Arial"/>
          <w:color w:val="000000"/>
          <w:sz w:val="22"/>
          <w:szCs w:val="22"/>
        </w:rPr>
        <w:t>https://doi.org/10.1177/0013124586018002005.</w:t>
      </w:r>
    </w:p>
    <w:p w14:paraId="49CCD825"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Crowder, L. (2023)</w:t>
      </w:r>
      <w:r>
        <w:rPr>
          <w:rStyle w:val="apple-converted-space"/>
          <w:rFonts w:ascii="Arial" w:hAnsi="Arial" w:cs="Arial"/>
          <w:color w:val="000000"/>
          <w:sz w:val="22"/>
          <w:szCs w:val="22"/>
        </w:rPr>
        <w:t> </w:t>
      </w:r>
      <w:r>
        <w:rPr>
          <w:rFonts w:ascii="Arial" w:hAnsi="Arial" w:cs="Arial"/>
          <w:i/>
          <w:iCs/>
          <w:color w:val="000000"/>
          <w:sz w:val="22"/>
          <w:szCs w:val="22"/>
        </w:rPr>
        <w:t>Boredom: a real challenge for gifted children &amp; their parents</w:t>
      </w:r>
      <w:r>
        <w:rPr>
          <w:rFonts w:ascii="Arial" w:hAnsi="Arial" w:cs="Arial"/>
          <w:color w:val="000000"/>
          <w:sz w:val="22"/>
          <w:szCs w:val="22"/>
        </w:rPr>
        <w:t>.</w:t>
      </w:r>
    </w:p>
    <w:p w14:paraId="528CD76F"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Crowhurst, M. and Patrick, R. (2018) '</w:t>
      </w:r>
      <w:proofErr w:type="spellStart"/>
      <w:r>
        <w:rPr>
          <w:rFonts w:ascii="Arial" w:hAnsi="Arial" w:cs="Arial"/>
          <w:color w:val="000000"/>
          <w:sz w:val="22"/>
          <w:szCs w:val="22"/>
        </w:rPr>
        <w:t>ritical</w:t>
      </w:r>
      <w:proofErr w:type="spellEnd"/>
      <w:r>
        <w:rPr>
          <w:rFonts w:ascii="Arial" w:hAnsi="Arial" w:cs="Arial"/>
          <w:color w:val="000000"/>
          <w:sz w:val="22"/>
          <w:szCs w:val="22"/>
        </w:rPr>
        <w:t xml:space="preserve"> incident sparks critical incident sparks critical incident: an ‘</w:t>
      </w:r>
      <w:proofErr w:type="spellStart"/>
      <w:r>
        <w:rPr>
          <w:rFonts w:ascii="Arial" w:hAnsi="Arial" w:cs="Arial"/>
          <w:color w:val="000000"/>
          <w:sz w:val="22"/>
          <w:szCs w:val="22"/>
        </w:rPr>
        <w:t>aresolutionist</w:t>
      </w:r>
      <w:proofErr w:type="spellEnd"/>
      <w:r>
        <w:rPr>
          <w:rFonts w:ascii="Arial" w:hAnsi="Arial" w:cs="Arial"/>
          <w:color w:val="000000"/>
          <w:sz w:val="22"/>
          <w:szCs w:val="22"/>
        </w:rPr>
        <w:t>’ metho,'</w:t>
      </w:r>
      <w:r>
        <w:rPr>
          <w:rStyle w:val="apple-converted-space"/>
          <w:rFonts w:ascii="Arial" w:hAnsi="Arial" w:cs="Arial"/>
          <w:color w:val="000000"/>
          <w:sz w:val="22"/>
          <w:szCs w:val="22"/>
        </w:rPr>
        <w:t> </w:t>
      </w:r>
      <w:r>
        <w:rPr>
          <w:rFonts w:ascii="Arial" w:hAnsi="Arial" w:cs="Arial"/>
          <w:i/>
          <w:iCs/>
          <w:color w:val="000000"/>
          <w:sz w:val="22"/>
          <w:szCs w:val="22"/>
        </w:rPr>
        <w:t xml:space="preserve">Routledge Taylor &amp; </w:t>
      </w:r>
      <w:proofErr w:type="spellStart"/>
      <w:r>
        <w:rPr>
          <w:rFonts w:ascii="Arial" w:hAnsi="Arial" w:cs="Arial"/>
          <w:i/>
          <w:iCs/>
          <w:color w:val="000000"/>
          <w:sz w:val="22"/>
          <w:szCs w:val="22"/>
        </w:rPr>
        <w:t>Fransis</w:t>
      </w:r>
      <w:proofErr w:type="spellEnd"/>
      <w:r>
        <w:rPr>
          <w:rFonts w:ascii="Arial" w:hAnsi="Arial" w:cs="Arial"/>
          <w:i/>
          <w:iCs/>
          <w:color w:val="000000"/>
          <w:sz w:val="22"/>
          <w:szCs w:val="22"/>
        </w:rPr>
        <w:t xml:space="preserve"> Group</w:t>
      </w:r>
      <w:r>
        <w:rPr>
          <w:rFonts w:ascii="Arial" w:hAnsi="Arial" w:cs="Arial"/>
          <w:color w:val="000000"/>
          <w:sz w:val="22"/>
          <w:szCs w:val="22"/>
        </w:rPr>
        <w:t>, 19(3), pp. 389–398.</w:t>
      </w:r>
      <w:r>
        <w:rPr>
          <w:rStyle w:val="apple-converted-space"/>
          <w:rFonts w:ascii="Arial" w:hAnsi="Arial" w:cs="Arial"/>
          <w:color w:val="000000"/>
          <w:sz w:val="22"/>
          <w:szCs w:val="22"/>
        </w:rPr>
        <w:t> </w:t>
      </w:r>
      <w:r>
        <w:rPr>
          <w:rFonts w:ascii="Arial" w:hAnsi="Arial" w:cs="Arial"/>
          <w:color w:val="000000"/>
          <w:sz w:val="22"/>
          <w:szCs w:val="22"/>
        </w:rPr>
        <w:t>https://doi.org/10.1080/14623943.2018.1479689.</w:t>
      </w:r>
    </w:p>
    <w:p w14:paraId="0031AEEB"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Dang, T.T.D., Scull, J. and Chowdhury, R. (2022) 'Vietnamese secondary students’ engagement in correcting their EFL writing: Using peer group and teacher feedback,'</w:t>
      </w:r>
      <w:r>
        <w:rPr>
          <w:rStyle w:val="apple-converted-space"/>
          <w:rFonts w:ascii="Arial" w:hAnsi="Arial" w:cs="Arial"/>
          <w:color w:val="000000"/>
          <w:sz w:val="22"/>
          <w:szCs w:val="22"/>
        </w:rPr>
        <w:t> </w:t>
      </w:r>
      <w:r>
        <w:rPr>
          <w:rFonts w:ascii="Arial" w:hAnsi="Arial" w:cs="Arial"/>
          <w:i/>
          <w:iCs/>
          <w:color w:val="000000"/>
          <w:sz w:val="22"/>
          <w:szCs w:val="22"/>
        </w:rPr>
        <w:t>Educational Research</w:t>
      </w:r>
      <w:r>
        <w:rPr>
          <w:rFonts w:ascii="Arial" w:hAnsi="Arial" w:cs="Arial"/>
          <w:color w:val="000000"/>
          <w:sz w:val="22"/>
          <w:szCs w:val="22"/>
        </w:rPr>
        <w:t>, 32(2), pp. 453–472.</w:t>
      </w:r>
    </w:p>
    <w:p w14:paraId="0D102EF0"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Darling</w:t>
      </w:r>
      <w:r>
        <w:rPr>
          <w:rFonts w:ascii="Cambria Math" w:hAnsi="Cambria Math" w:cs="Cambria Math"/>
          <w:color w:val="000000"/>
          <w:sz w:val="22"/>
          <w:szCs w:val="22"/>
        </w:rPr>
        <w:t>‐</w:t>
      </w:r>
      <w:r>
        <w:rPr>
          <w:rFonts w:ascii="Arial" w:hAnsi="Arial" w:cs="Arial"/>
          <w:color w:val="000000"/>
          <w:sz w:val="22"/>
          <w:szCs w:val="22"/>
        </w:rPr>
        <w:t>Hammond, L. and Bransford, J.D. (2005) 'Preparing teachers for a changing world: what teachers should learn and be able to do,'</w:t>
      </w:r>
      <w:r>
        <w:rPr>
          <w:rStyle w:val="apple-converted-space"/>
          <w:rFonts w:ascii="Arial" w:hAnsi="Arial" w:cs="Arial"/>
          <w:color w:val="000000"/>
          <w:sz w:val="22"/>
          <w:szCs w:val="22"/>
        </w:rPr>
        <w:t> </w:t>
      </w:r>
      <w:r>
        <w:rPr>
          <w:rFonts w:ascii="Arial" w:hAnsi="Arial" w:cs="Arial"/>
          <w:i/>
          <w:iCs/>
          <w:color w:val="000000"/>
          <w:sz w:val="22"/>
          <w:szCs w:val="22"/>
        </w:rPr>
        <w:t>Choice Reviews Online</w:t>
      </w:r>
      <w:r>
        <w:rPr>
          <w:rFonts w:ascii="Arial" w:hAnsi="Arial" w:cs="Arial"/>
          <w:color w:val="000000"/>
          <w:sz w:val="22"/>
          <w:szCs w:val="22"/>
        </w:rPr>
        <w:t>, 43(02), pp. 43–1083.</w:t>
      </w:r>
      <w:r>
        <w:rPr>
          <w:rStyle w:val="apple-converted-space"/>
          <w:rFonts w:ascii="Arial" w:hAnsi="Arial" w:cs="Arial"/>
          <w:color w:val="000000"/>
          <w:sz w:val="22"/>
          <w:szCs w:val="22"/>
        </w:rPr>
        <w:t> </w:t>
      </w:r>
      <w:r>
        <w:rPr>
          <w:rFonts w:ascii="Arial" w:hAnsi="Arial" w:cs="Arial"/>
          <w:color w:val="000000"/>
          <w:sz w:val="22"/>
          <w:szCs w:val="22"/>
        </w:rPr>
        <w:t>https://doi.org/10.5860/choice.43-1083.</w:t>
      </w:r>
    </w:p>
    <w:p w14:paraId="40E55E31"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Davis, H.A., Summers, J.J. and Miller, L.M. (2012)</w:t>
      </w:r>
      <w:r>
        <w:rPr>
          <w:rStyle w:val="apple-converted-space"/>
          <w:rFonts w:ascii="Arial" w:hAnsi="Arial" w:cs="Arial"/>
          <w:color w:val="000000"/>
          <w:sz w:val="22"/>
          <w:szCs w:val="22"/>
        </w:rPr>
        <w:t> </w:t>
      </w:r>
      <w:r>
        <w:rPr>
          <w:rFonts w:ascii="Arial" w:hAnsi="Arial" w:cs="Arial"/>
          <w:i/>
          <w:iCs/>
          <w:color w:val="000000"/>
          <w:sz w:val="22"/>
          <w:szCs w:val="22"/>
        </w:rPr>
        <w:t>An interpersonal approach to classroom management: Strategies for Improving Student Engagement</w:t>
      </w:r>
      <w:r>
        <w:rPr>
          <w:rFonts w:ascii="Arial" w:hAnsi="Arial" w:cs="Arial"/>
          <w:color w:val="000000"/>
          <w:sz w:val="22"/>
          <w:szCs w:val="22"/>
        </w:rPr>
        <w:t>. Corwin Press.</w:t>
      </w:r>
    </w:p>
    <w:p w14:paraId="3A5B5E13"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 xml:space="preserve">De </w:t>
      </w:r>
      <w:proofErr w:type="spellStart"/>
      <w:r>
        <w:rPr>
          <w:rFonts w:ascii="Arial" w:hAnsi="Arial" w:cs="Arial"/>
          <w:color w:val="000000"/>
          <w:sz w:val="22"/>
          <w:szCs w:val="22"/>
        </w:rPr>
        <w:t>França</w:t>
      </w:r>
      <w:proofErr w:type="spellEnd"/>
      <w:r>
        <w:rPr>
          <w:rFonts w:ascii="Arial" w:hAnsi="Arial" w:cs="Arial"/>
          <w:color w:val="000000"/>
          <w:sz w:val="22"/>
          <w:szCs w:val="22"/>
        </w:rPr>
        <w:t xml:space="preserve">-Freitas, M.L.P., Del </w:t>
      </w:r>
      <w:proofErr w:type="spellStart"/>
      <w:r>
        <w:rPr>
          <w:rFonts w:ascii="Arial" w:hAnsi="Arial" w:cs="Arial"/>
          <w:color w:val="000000"/>
          <w:sz w:val="22"/>
          <w:szCs w:val="22"/>
        </w:rPr>
        <w:t>Prette</w:t>
      </w:r>
      <w:proofErr w:type="spellEnd"/>
      <w:r>
        <w:rPr>
          <w:rFonts w:ascii="Arial" w:hAnsi="Arial" w:cs="Arial"/>
          <w:color w:val="000000"/>
          <w:sz w:val="22"/>
          <w:szCs w:val="22"/>
        </w:rPr>
        <w:t xml:space="preserve">, A. and Del </w:t>
      </w:r>
      <w:proofErr w:type="spellStart"/>
      <w:r>
        <w:rPr>
          <w:rFonts w:ascii="Arial" w:hAnsi="Arial" w:cs="Arial"/>
          <w:color w:val="000000"/>
          <w:sz w:val="22"/>
          <w:szCs w:val="22"/>
        </w:rPr>
        <w:t>Prette</w:t>
      </w:r>
      <w:proofErr w:type="spellEnd"/>
      <w:r>
        <w:rPr>
          <w:rFonts w:ascii="Arial" w:hAnsi="Arial" w:cs="Arial"/>
          <w:color w:val="000000"/>
          <w:sz w:val="22"/>
          <w:szCs w:val="22"/>
        </w:rPr>
        <w:t>, Z.A.P. (2014) 'Social skills of gifted and talented children,'</w:t>
      </w:r>
      <w:r>
        <w:rPr>
          <w:rStyle w:val="apple-converted-space"/>
          <w:rFonts w:ascii="Arial" w:hAnsi="Arial" w:cs="Arial"/>
          <w:color w:val="000000"/>
          <w:sz w:val="22"/>
          <w:szCs w:val="22"/>
        </w:rPr>
        <w:t> </w:t>
      </w:r>
      <w:proofErr w:type="spellStart"/>
      <w:r>
        <w:rPr>
          <w:rFonts w:ascii="Arial" w:hAnsi="Arial" w:cs="Arial"/>
          <w:i/>
          <w:iCs/>
          <w:color w:val="000000"/>
          <w:sz w:val="22"/>
          <w:szCs w:val="22"/>
        </w:rPr>
        <w:t>Estudos</w:t>
      </w:r>
      <w:proofErr w:type="spellEnd"/>
      <w:r>
        <w:rPr>
          <w:rFonts w:ascii="Arial" w:hAnsi="Arial" w:cs="Arial"/>
          <w:i/>
          <w:iCs/>
          <w:color w:val="000000"/>
          <w:sz w:val="22"/>
          <w:szCs w:val="22"/>
        </w:rPr>
        <w:t xml:space="preserve"> De </w:t>
      </w:r>
      <w:proofErr w:type="spellStart"/>
      <w:r>
        <w:rPr>
          <w:rFonts w:ascii="Arial" w:hAnsi="Arial" w:cs="Arial"/>
          <w:i/>
          <w:iCs/>
          <w:color w:val="000000"/>
          <w:sz w:val="22"/>
          <w:szCs w:val="22"/>
        </w:rPr>
        <w:t>Psicologia</w:t>
      </w:r>
      <w:proofErr w:type="spellEnd"/>
      <w:r>
        <w:rPr>
          <w:rFonts w:ascii="Arial" w:hAnsi="Arial" w:cs="Arial"/>
          <w:i/>
          <w:iCs/>
          <w:color w:val="000000"/>
          <w:sz w:val="22"/>
          <w:szCs w:val="22"/>
        </w:rPr>
        <w:t xml:space="preserve"> (Natal)</w:t>
      </w:r>
      <w:r>
        <w:rPr>
          <w:rFonts w:ascii="Arial" w:hAnsi="Arial" w:cs="Arial"/>
          <w:color w:val="000000"/>
          <w:sz w:val="22"/>
          <w:szCs w:val="22"/>
        </w:rPr>
        <w:t>, 19(4), pp. 288–295.</w:t>
      </w:r>
      <w:r>
        <w:rPr>
          <w:rStyle w:val="apple-converted-space"/>
          <w:rFonts w:ascii="Arial" w:hAnsi="Arial" w:cs="Arial"/>
          <w:color w:val="000000"/>
          <w:sz w:val="22"/>
          <w:szCs w:val="22"/>
        </w:rPr>
        <w:t> </w:t>
      </w:r>
      <w:r>
        <w:rPr>
          <w:rFonts w:ascii="Arial" w:hAnsi="Arial" w:cs="Arial"/>
          <w:color w:val="000000"/>
          <w:sz w:val="22"/>
          <w:szCs w:val="22"/>
        </w:rPr>
        <w:t>https://doi.org/10.1590/s1413-294x2014000400006.</w:t>
      </w:r>
    </w:p>
    <w:p w14:paraId="5E34D91D"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lastRenderedPageBreak/>
        <w:t>Doolittle, P.E. (1995) 'Understanding Cooperative Learning through Vygotsky’s Zone of Proximal Development.,'</w:t>
      </w:r>
      <w:r>
        <w:rPr>
          <w:rStyle w:val="apple-converted-space"/>
          <w:rFonts w:ascii="Arial" w:hAnsi="Arial" w:cs="Arial"/>
          <w:color w:val="000000"/>
          <w:sz w:val="22"/>
          <w:szCs w:val="22"/>
        </w:rPr>
        <w:t> </w:t>
      </w:r>
      <w:r>
        <w:rPr>
          <w:rFonts w:ascii="Arial" w:hAnsi="Arial" w:cs="Arial"/>
          <w:i/>
          <w:iCs/>
          <w:color w:val="000000"/>
          <w:sz w:val="22"/>
          <w:szCs w:val="22"/>
        </w:rPr>
        <w:t>ERIC</w:t>
      </w:r>
      <w:r>
        <w:rPr>
          <w:rFonts w:ascii="Arial" w:hAnsi="Arial" w:cs="Arial"/>
          <w:color w:val="000000"/>
          <w:sz w:val="22"/>
          <w:szCs w:val="22"/>
        </w:rPr>
        <w:t>[Preprint].</w:t>
      </w:r>
      <w:r>
        <w:rPr>
          <w:rStyle w:val="apple-converted-space"/>
          <w:rFonts w:ascii="Arial" w:hAnsi="Arial" w:cs="Arial"/>
          <w:color w:val="000000"/>
          <w:sz w:val="22"/>
          <w:szCs w:val="22"/>
        </w:rPr>
        <w:t> </w:t>
      </w:r>
      <w:r>
        <w:rPr>
          <w:rFonts w:ascii="Arial" w:hAnsi="Arial" w:cs="Arial"/>
          <w:color w:val="000000"/>
          <w:sz w:val="22"/>
          <w:szCs w:val="22"/>
        </w:rPr>
        <w:t>http://files.eric.ed.gov/fulltext/ED384575.pdf.</w:t>
      </w:r>
    </w:p>
    <w:p w14:paraId="2C7A220D"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English, A. (2022)</w:t>
      </w:r>
      <w:r>
        <w:rPr>
          <w:rStyle w:val="apple-converted-space"/>
          <w:rFonts w:ascii="Arial" w:hAnsi="Arial" w:cs="Arial"/>
          <w:color w:val="000000"/>
          <w:sz w:val="22"/>
          <w:szCs w:val="22"/>
        </w:rPr>
        <w:t> </w:t>
      </w:r>
      <w:r>
        <w:rPr>
          <w:rFonts w:ascii="Arial" w:hAnsi="Arial" w:cs="Arial"/>
          <w:i/>
          <w:iCs/>
          <w:color w:val="000000"/>
          <w:sz w:val="22"/>
          <w:szCs w:val="22"/>
        </w:rPr>
        <w:t>Engagement and compliance in education today</w:t>
      </w:r>
      <w:r>
        <w:rPr>
          <w:rFonts w:ascii="Arial" w:hAnsi="Arial" w:cs="Arial"/>
          <w:color w:val="000000"/>
          <w:sz w:val="22"/>
          <w:szCs w:val="22"/>
        </w:rPr>
        <w:t>,</w:t>
      </w:r>
      <w:r>
        <w:rPr>
          <w:rStyle w:val="apple-converted-space"/>
          <w:rFonts w:ascii="Arial" w:hAnsi="Arial" w:cs="Arial"/>
          <w:color w:val="000000"/>
          <w:sz w:val="22"/>
          <w:szCs w:val="22"/>
        </w:rPr>
        <w:t> </w:t>
      </w:r>
      <w:r>
        <w:rPr>
          <w:rFonts w:ascii="Arial" w:hAnsi="Arial" w:cs="Arial"/>
          <w:i/>
          <w:iCs/>
          <w:color w:val="000000"/>
          <w:sz w:val="22"/>
          <w:szCs w:val="22"/>
        </w:rPr>
        <w:t xml:space="preserve">Routledge Taylor &amp; </w:t>
      </w:r>
      <w:proofErr w:type="spellStart"/>
      <w:r>
        <w:rPr>
          <w:rFonts w:ascii="Arial" w:hAnsi="Arial" w:cs="Arial"/>
          <w:i/>
          <w:iCs/>
          <w:color w:val="000000"/>
          <w:sz w:val="22"/>
          <w:szCs w:val="22"/>
        </w:rPr>
        <w:t>Fransis</w:t>
      </w:r>
      <w:proofErr w:type="spellEnd"/>
      <w:r>
        <w:rPr>
          <w:rFonts w:ascii="Arial" w:hAnsi="Arial" w:cs="Arial"/>
          <w:i/>
          <w:iCs/>
          <w:color w:val="000000"/>
          <w:sz w:val="22"/>
          <w:szCs w:val="22"/>
        </w:rPr>
        <w:t xml:space="preserve"> Group</w:t>
      </w:r>
      <w:r>
        <w:rPr>
          <w:rFonts w:ascii="Arial" w:hAnsi="Arial" w:cs="Arial"/>
          <w:color w:val="000000"/>
          <w:sz w:val="22"/>
          <w:szCs w:val="22"/>
        </w:rPr>
        <w:t>. 2.</w:t>
      </w:r>
      <w:r>
        <w:rPr>
          <w:rStyle w:val="apple-converted-space"/>
          <w:rFonts w:ascii="Arial" w:hAnsi="Arial" w:cs="Arial"/>
          <w:color w:val="000000"/>
          <w:sz w:val="22"/>
          <w:szCs w:val="22"/>
        </w:rPr>
        <w:t> </w:t>
      </w:r>
      <w:r>
        <w:rPr>
          <w:rFonts w:ascii="Arial" w:hAnsi="Arial" w:cs="Arial"/>
          <w:color w:val="000000"/>
          <w:sz w:val="22"/>
          <w:szCs w:val="22"/>
        </w:rPr>
        <w:t>https://doi.org/10.1080/23735082.2022.2085771.</w:t>
      </w:r>
    </w:p>
    <w:p w14:paraId="64791181"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Estaiteyeh, M. and DeCoito, I. (2023) 'Planning for Differentiated Instruction: Empowering Teacher Candidates in STEM Education,'</w:t>
      </w:r>
      <w:r>
        <w:rPr>
          <w:rStyle w:val="apple-converted-space"/>
          <w:rFonts w:ascii="Arial" w:hAnsi="Arial" w:cs="Arial"/>
          <w:color w:val="000000"/>
          <w:sz w:val="22"/>
          <w:szCs w:val="22"/>
        </w:rPr>
        <w:t> </w:t>
      </w:r>
      <w:r>
        <w:rPr>
          <w:rFonts w:ascii="Arial" w:hAnsi="Arial" w:cs="Arial"/>
          <w:i/>
          <w:iCs/>
          <w:color w:val="000000"/>
          <w:sz w:val="22"/>
          <w:szCs w:val="22"/>
        </w:rPr>
        <w:t>Canadian Journal of Science, Mathematics and Technology Education</w:t>
      </w:r>
      <w:r>
        <w:rPr>
          <w:rFonts w:ascii="Arial" w:hAnsi="Arial" w:cs="Arial"/>
          <w:color w:val="000000"/>
          <w:sz w:val="22"/>
          <w:szCs w:val="22"/>
        </w:rPr>
        <w:t>, 23(1), pp. 5–26.</w:t>
      </w:r>
      <w:r>
        <w:rPr>
          <w:rStyle w:val="apple-converted-space"/>
          <w:rFonts w:ascii="Arial" w:hAnsi="Arial" w:cs="Arial"/>
          <w:color w:val="000000"/>
          <w:sz w:val="22"/>
          <w:szCs w:val="22"/>
        </w:rPr>
        <w:t> </w:t>
      </w:r>
      <w:r>
        <w:rPr>
          <w:rFonts w:ascii="Arial" w:hAnsi="Arial" w:cs="Arial"/>
          <w:color w:val="000000"/>
          <w:sz w:val="22"/>
          <w:szCs w:val="22"/>
        </w:rPr>
        <w:t>https://doi.org/10.1007/s42330-023-00270-5.</w:t>
      </w:r>
    </w:p>
    <w:p w14:paraId="13A17854"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Felder, R.M. and Brent, R. (2009) 'ACTIVE LEARNING: AN INTRODUCTION *,'</w:t>
      </w:r>
      <w:r>
        <w:rPr>
          <w:rStyle w:val="apple-converted-space"/>
          <w:rFonts w:ascii="Arial" w:hAnsi="Arial" w:cs="Arial"/>
          <w:color w:val="000000"/>
          <w:sz w:val="22"/>
          <w:szCs w:val="22"/>
        </w:rPr>
        <w:t> </w:t>
      </w:r>
      <w:r>
        <w:rPr>
          <w:rFonts w:ascii="Arial" w:hAnsi="Arial" w:cs="Arial"/>
          <w:i/>
          <w:iCs/>
          <w:color w:val="000000"/>
          <w:sz w:val="22"/>
          <w:szCs w:val="22"/>
        </w:rPr>
        <w:t>NCSU</w:t>
      </w:r>
      <w:r>
        <w:rPr>
          <w:rStyle w:val="apple-converted-space"/>
          <w:rFonts w:ascii="Arial" w:hAnsi="Arial" w:cs="Arial"/>
          <w:color w:val="000000"/>
          <w:sz w:val="22"/>
          <w:szCs w:val="22"/>
        </w:rPr>
        <w:t> </w:t>
      </w:r>
      <w:r>
        <w:rPr>
          <w:rFonts w:ascii="Arial" w:hAnsi="Arial" w:cs="Arial"/>
          <w:color w:val="000000"/>
          <w:sz w:val="22"/>
          <w:szCs w:val="22"/>
        </w:rPr>
        <w:t>[Preprint].</w:t>
      </w:r>
      <w:r>
        <w:rPr>
          <w:rStyle w:val="apple-converted-space"/>
          <w:rFonts w:ascii="Arial" w:hAnsi="Arial" w:cs="Arial"/>
          <w:color w:val="000000"/>
          <w:sz w:val="22"/>
          <w:szCs w:val="22"/>
        </w:rPr>
        <w:t> </w:t>
      </w:r>
      <w:r>
        <w:rPr>
          <w:rFonts w:ascii="Arial" w:hAnsi="Arial" w:cs="Arial"/>
          <w:color w:val="000000"/>
          <w:sz w:val="22"/>
          <w:szCs w:val="22"/>
        </w:rPr>
        <w:t>http://www4.ncsu.edu/unity/lockers/users/f/felder/public/Papers/ALpaper(ASQ).pdf.</w:t>
      </w:r>
    </w:p>
    <w:p w14:paraId="3491E8A9"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 xml:space="preserve">Gray, J.A. and </w:t>
      </w:r>
      <w:proofErr w:type="spellStart"/>
      <w:r>
        <w:rPr>
          <w:rFonts w:ascii="Arial" w:hAnsi="Arial" w:cs="Arial"/>
          <w:color w:val="000000"/>
          <w:sz w:val="22"/>
          <w:szCs w:val="22"/>
        </w:rPr>
        <w:t>DiLoreto</w:t>
      </w:r>
      <w:proofErr w:type="spellEnd"/>
      <w:r>
        <w:rPr>
          <w:rFonts w:ascii="Arial" w:hAnsi="Arial" w:cs="Arial"/>
          <w:color w:val="000000"/>
          <w:sz w:val="22"/>
          <w:szCs w:val="22"/>
        </w:rPr>
        <w:t>, M. (2016) 'The effects of student engagement, student satisfaction, and perceived learning in online learning environments,'</w:t>
      </w:r>
      <w:r>
        <w:rPr>
          <w:rStyle w:val="apple-converted-space"/>
          <w:rFonts w:ascii="Arial" w:hAnsi="Arial" w:cs="Arial"/>
          <w:color w:val="000000"/>
          <w:sz w:val="22"/>
          <w:szCs w:val="22"/>
        </w:rPr>
        <w:t> </w:t>
      </w:r>
      <w:r>
        <w:rPr>
          <w:rFonts w:ascii="Arial" w:hAnsi="Arial" w:cs="Arial"/>
          <w:i/>
          <w:iCs/>
          <w:color w:val="000000"/>
          <w:sz w:val="22"/>
          <w:szCs w:val="22"/>
        </w:rPr>
        <w:t>International Journal of Educational Leadership Preparation</w:t>
      </w:r>
      <w:r>
        <w:rPr>
          <w:rFonts w:ascii="Arial" w:hAnsi="Arial" w:cs="Arial"/>
          <w:color w:val="000000"/>
          <w:sz w:val="22"/>
          <w:szCs w:val="22"/>
        </w:rPr>
        <w:t>, 11(1), pp. 98–119.</w:t>
      </w:r>
      <w:r>
        <w:rPr>
          <w:rStyle w:val="apple-converted-space"/>
          <w:rFonts w:ascii="Arial" w:hAnsi="Arial" w:cs="Arial"/>
          <w:color w:val="000000"/>
          <w:sz w:val="22"/>
          <w:szCs w:val="22"/>
        </w:rPr>
        <w:t> </w:t>
      </w:r>
      <w:r>
        <w:rPr>
          <w:rFonts w:ascii="Arial" w:hAnsi="Arial" w:cs="Arial"/>
          <w:color w:val="000000"/>
          <w:sz w:val="22"/>
          <w:szCs w:val="22"/>
        </w:rPr>
        <w:t>http://files.eric.ed.gov/fulltext/EJ1103654.pdf.</w:t>
      </w:r>
    </w:p>
    <w:p w14:paraId="5C97736F"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Kumar, A.G. and Bb, A.M. (2017) 'A critique on the role of the teacher through Vygotskian perspective,'</w:t>
      </w:r>
      <w:r>
        <w:rPr>
          <w:rStyle w:val="apple-converted-space"/>
          <w:rFonts w:ascii="Arial" w:hAnsi="Arial" w:cs="Arial"/>
          <w:color w:val="000000"/>
          <w:sz w:val="22"/>
          <w:szCs w:val="22"/>
        </w:rPr>
        <w:t> </w:t>
      </w:r>
      <w:r>
        <w:rPr>
          <w:rFonts w:ascii="Arial" w:hAnsi="Arial" w:cs="Arial"/>
          <w:i/>
          <w:iCs/>
          <w:color w:val="000000"/>
          <w:sz w:val="22"/>
          <w:szCs w:val="22"/>
        </w:rPr>
        <w:t>International Journal of Advanced Education and Research</w:t>
      </w:r>
      <w:r>
        <w:rPr>
          <w:rFonts w:ascii="Arial" w:hAnsi="Arial" w:cs="Arial"/>
          <w:color w:val="000000"/>
          <w:sz w:val="22"/>
          <w:szCs w:val="22"/>
        </w:rPr>
        <w:t>, 2(3), pp. 212–214.</w:t>
      </w:r>
      <w:r>
        <w:rPr>
          <w:rStyle w:val="apple-converted-space"/>
          <w:rFonts w:ascii="Arial" w:hAnsi="Arial" w:cs="Arial"/>
          <w:color w:val="000000"/>
          <w:sz w:val="22"/>
          <w:szCs w:val="22"/>
        </w:rPr>
        <w:t> </w:t>
      </w:r>
      <w:r>
        <w:rPr>
          <w:rFonts w:ascii="Arial" w:hAnsi="Arial" w:cs="Arial"/>
          <w:color w:val="000000"/>
          <w:sz w:val="22"/>
          <w:szCs w:val="22"/>
        </w:rPr>
        <w:t>http://www.alleducationjournal.com/archives/2017/vol2/issue3/2-3-68.</w:t>
      </w:r>
    </w:p>
    <w:p w14:paraId="39345393"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Kurt, S. (2020)</w:t>
      </w:r>
      <w:r>
        <w:rPr>
          <w:rStyle w:val="apple-converted-space"/>
          <w:rFonts w:ascii="Arial" w:hAnsi="Arial" w:cs="Arial"/>
          <w:color w:val="000000"/>
          <w:sz w:val="22"/>
          <w:szCs w:val="22"/>
        </w:rPr>
        <w:t> </w:t>
      </w:r>
      <w:r>
        <w:rPr>
          <w:rFonts w:ascii="Arial" w:hAnsi="Arial" w:cs="Arial"/>
          <w:i/>
          <w:iCs/>
          <w:color w:val="000000"/>
          <w:sz w:val="22"/>
          <w:szCs w:val="22"/>
        </w:rPr>
        <w:t>Lev Vygotsky - Sociocultural Theory of Cognitive Development - Educational Technology</w:t>
      </w:r>
      <w:r>
        <w:rPr>
          <w:rFonts w:ascii="Arial" w:hAnsi="Arial" w:cs="Arial"/>
          <w:color w:val="000000"/>
          <w:sz w:val="22"/>
          <w:szCs w:val="22"/>
        </w:rPr>
        <w:t>.</w:t>
      </w:r>
      <w:r>
        <w:rPr>
          <w:rStyle w:val="apple-converted-space"/>
          <w:rFonts w:ascii="Arial" w:hAnsi="Arial" w:cs="Arial"/>
          <w:color w:val="000000"/>
          <w:sz w:val="22"/>
          <w:szCs w:val="22"/>
        </w:rPr>
        <w:t> </w:t>
      </w:r>
      <w:r>
        <w:rPr>
          <w:rFonts w:ascii="Arial" w:hAnsi="Arial" w:cs="Arial"/>
          <w:color w:val="000000"/>
          <w:sz w:val="22"/>
          <w:szCs w:val="22"/>
        </w:rPr>
        <w:t>https://educationaltechnology.net/lev-vygotsky-sociocultural-theory-of-cognitive-development/.</w:t>
      </w:r>
    </w:p>
    <w:p w14:paraId="2776F79C"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Maloshonok, N. (ed.) (2014)</w:t>
      </w:r>
      <w:r>
        <w:rPr>
          <w:rStyle w:val="apple-converted-space"/>
          <w:rFonts w:ascii="Arial" w:hAnsi="Arial" w:cs="Arial"/>
          <w:color w:val="000000"/>
          <w:sz w:val="22"/>
          <w:szCs w:val="22"/>
        </w:rPr>
        <w:t> </w:t>
      </w:r>
      <w:r>
        <w:rPr>
          <w:rFonts w:ascii="Arial" w:hAnsi="Arial" w:cs="Arial"/>
          <w:i/>
          <w:iCs/>
          <w:color w:val="000000"/>
          <w:sz w:val="22"/>
          <w:szCs w:val="22"/>
        </w:rPr>
        <w:t>Vygotsky’s Theory: Lessons for Student Engagement Research</w:t>
      </w:r>
      <w:r>
        <w:rPr>
          <w:rFonts w:ascii="Arial" w:hAnsi="Arial" w:cs="Arial"/>
          <w:color w:val="000000"/>
          <w:sz w:val="22"/>
          <w:szCs w:val="22"/>
        </w:rPr>
        <w:t>,</w:t>
      </w:r>
      <w:r>
        <w:rPr>
          <w:rStyle w:val="apple-converted-space"/>
          <w:rFonts w:ascii="Arial" w:hAnsi="Arial" w:cs="Arial"/>
          <w:color w:val="000000"/>
          <w:sz w:val="22"/>
          <w:szCs w:val="22"/>
        </w:rPr>
        <w:t> </w:t>
      </w:r>
      <w:r>
        <w:rPr>
          <w:rFonts w:ascii="Arial" w:hAnsi="Arial" w:cs="Arial"/>
          <w:i/>
          <w:iCs/>
          <w:color w:val="000000"/>
          <w:sz w:val="22"/>
          <w:szCs w:val="22"/>
        </w:rPr>
        <w:t>Student Experience in the research university</w:t>
      </w:r>
      <w:r>
        <w:rPr>
          <w:rFonts w:ascii="Arial" w:hAnsi="Arial" w:cs="Arial"/>
          <w:color w:val="000000"/>
          <w:sz w:val="22"/>
          <w:szCs w:val="22"/>
        </w:rPr>
        <w:t>. Institute of Education HSE.</w:t>
      </w:r>
    </w:p>
    <w:p w14:paraId="1A05E0E9"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Montgomery, D. (2013)</w:t>
      </w:r>
      <w:r>
        <w:rPr>
          <w:rStyle w:val="apple-converted-space"/>
          <w:rFonts w:ascii="Arial" w:hAnsi="Arial" w:cs="Arial"/>
          <w:color w:val="000000"/>
          <w:sz w:val="22"/>
          <w:szCs w:val="22"/>
        </w:rPr>
        <w:t> </w:t>
      </w:r>
      <w:r>
        <w:rPr>
          <w:rFonts w:ascii="Arial" w:hAnsi="Arial" w:cs="Arial"/>
          <w:i/>
          <w:iCs/>
          <w:color w:val="000000"/>
          <w:sz w:val="22"/>
          <w:szCs w:val="22"/>
        </w:rPr>
        <w:t>Gifted and Talented Children with Special Educational Needs: Double Exceptionality</w:t>
      </w:r>
      <w:r>
        <w:rPr>
          <w:rFonts w:ascii="Arial" w:hAnsi="Arial" w:cs="Arial"/>
          <w:color w:val="000000"/>
          <w:sz w:val="22"/>
          <w:szCs w:val="22"/>
        </w:rPr>
        <w:t>. Routledge.</w:t>
      </w:r>
    </w:p>
    <w:p w14:paraId="6E91F7D3"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proofErr w:type="spellStart"/>
      <w:r>
        <w:rPr>
          <w:rFonts w:ascii="Arial" w:hAnsi="Arial" w:cs="Arial"/>
          <w:color w:val="000000"/>
          <w:sz w:val="22"/>
          <w:szCs w:val="22"/>
        </w:rPr>
        <w:t>Munna</w:t>
      </w:r>
      <w:proofErr w:type="spellEnd"/>
      <w:r>
        <w:rPr>
          <w:rFonts w:ascii="Arial" w:hAnsi="Arial" w:cs="Arial"/>
          <w:color w:val="000000"/>
          <w:sz w:val="22"/>
          <w:szCs w:val="22"/>
        </w:rPr>
        <w:t>, A.S. and Kalam, M.A. (2021) 'Impact of Active Learning Strategy on the Student Engagement,'</w:t>
      </w:r>
      <w:r>
        <w:rPr>
          <w:rStyle w:val="apple-converted-space"/>
          <w:rFonts w:ascii="Arial" w:hAnsi="Arial" w:cs="Arial"/>
          <w:color w:val="000000"/>
          <w:sz w:val="22"/>
          <w:szCs w:val="22"/>
        </w:rPr>
        <w:t> </w:t>
      </w:r>
      <w:r>
        <w:rPr>
          <w:rFonts w:ascii="Arial" w:hAnsi="Arial" w:cs="Arial"/>
          <w:i/>
          <w:iCs/>
          <w:color w:val="000000"/>
          <w:sz w:val="22"/>
          <w:szCs w:val="22"/>
        </w:rPr>
        <w:t>GNOSI: An Interdisciplinary Journal of Human Theory and Praxis</w:t>
      </w:r>
      <w:r>
        <w:rPr>
          <w:rFonts w:ascii="Arial" w:hAnsi="Arial" w:cs="Arial"/>
          <w:color w:val="000000"/>
          <w:sz w:val="22"/>
          <w:szCs w:val="22"/>
        </w:rPr>
        <w:t>, 4(2).</w:t>
      </w:r>
    </w:p>
    <w:p w14:paraId="70DD47CB"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proofErr w:type="spellStart"/>
      <w:r>
        <w:rPr>
          <w:rFonts w:ascii="Arial" w:hAnsi="Arial" w:cs="Arial"/>
          <w:color w:val="000000"/>
          <w:sz w:val="22"/>
          <w:szCs w:val="22"/>
        </w:rPr>
        <w:t>Pariser</w:t>
      </w:r>
      <w:proofErr w:type="spellEnd"/>
      <w:r>
        <w:rPr>
          <w:rFonts w:ascii="Arial" w:hAnsi="Arial" w:cs="Arial"/>
          <w:color w:val="000000"/>
          <w:sz w:val="22"/>
          <w:szCs w:val="22"/>
        </w:rPr>
        <w:t>, S. (2018)</w:t>
      </w:r>
      <w:r>
        <w:rPr>
          <w:rStyle w:val="apple-converted-space"/>
          <w:rFonts w:ascii="Arial" w:hAnsi="Arial" w:cs="Arial"/>
          <w:color w:val="000000"/>
          <w:sz w:val="22"/>
          <w:szCs w:val="22"/>
        </w:rPr>
        <w:t> </w:t>
      </w:r>
      <w:r>
        <w:rPr>
          <w:rFonts w:ascii="Arial" w:hAnsi="Arial" w:cs="Arial"/>
          <w:i/>
          <w:iCs/>
          <w:color w:val="000000"/>
          <w:sz w:val="22"/>
          <w:szCs w:val="22"/>
        </w:rPr>
        <w:t>Real talk about classroom management: 50 Best Practices That Work and Show You Believe in Your Students</w:t>
      </w:r>
      <w:r>
        <w:rPr>
          <w:rFonts w:ascii="Arial" w:hAnsi="Arial" w:cs="Arial"/>
          <w:color w:val="000000"/>
          <w:sz w:val="22"/>
          <w:szCs w:val="22"/>
        </w:rPr>
        <w:t>. Corwin Press.</w:t>
      </w:r>
    </w:p>
    <w:p w14:paraId="7418378C"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lastRenderedPageBreak/>
        <w:t>Phillips, J.L. (2005) 'Strategies for Active learning in online Continuing Education,'</w:t>
      </w:r>
      <w:r>
        <w:rPr>
          <w:rStyle w:val="apple-converted-space"/>
          <w:rFonts w:ascii="Arial" w:hAnsi="Arial" w:cs="Arial"/>
          <w:color w:val="000000"/>
          <w:sz w:val="22"/>
          <w:szCs w:val="22"/>
        </w:rPr>
        <w:t> </w:t>
      </w:r>
      <w:r>
        <w:rPr>
          <w:rFonts w:ascii="Arial" w:hAnsi="Arial" w:cs="Arial"/>
          <w:i/>
          <w:iCs/>
          <w:color w:val="000000"/>
          <w:sz w:val="22"/>
          <w:szCs w:val="22"/>
        </w:rPr>
        <w:t>Journal of Continuing Education in Nursing</w:t>
      </w:r>
      <w:r>
        <w:rPr>
          <w:rFonts w:ascii="Arial" w:hAnsi="Arial" w:cs="Arial"/>
          <w:color w:val="000000"/>
          <w:sz w:val="22"/>
          <w:szCs w:val="22"/>
        </w:rPr>
        <w:t>, 36(2), pp. 77–83.</w:t>
      </w:r>
      <w:r>
        <w:rPr>
          <w:rStyle w:val="apple-converted-space"/>
          <w:rFonts w:ascii="Arial" w:hAnsi="Arial" w:cs="Arial"/>
          <w:color w:val="000000"/>
          <w:sz w:val="22"/>
          <w:szCs w:val="22"/>
        </w:rPr>
        <w:t> </w:t>
      </w:r>
      <w:r>
        <w:rPr>
          <w:rFonts w:ascii="Arial" w:hAnsi="Arial" w:cs="Arial"/>
          <w:color w:val="000000"/>
          <w:sz w:val="22"/>
          <w:szCs w:val="22"/>
        </w:rPr>
        <w:t>https://doi.org/10.3928/0022-0124-20050301-08.</w:t>
      </w:r>
    </w:p>
    <w:p w14:paraId="6017D8FD"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Pinto, L.E. (2013)</w:t>
      </w:r>
      <w:r>
        <w:rPr>
          <w:rStyle w:val="apple-converted-space"/>
          <w:rFonts w:ascii="Arial" w:hAnsi="Arial" w:cs="Arial"/>
          <w:color w:val="000000"/>
          <w:sz w:val="22"/>
          <w:szCs w:val="22"/>
        </w:rPr>
        <w:t> </w:t>
      </w:r>
      <w:r>
        <w:rPr>
          <w:rFonts w:ascii="Arial" w:hAnsi="Arial" w:cs="Arial"/>
          <w:i/>
          <w:iCs/>
          <w:color w:val="000000"/>
          <w:sz w:val="22"/>
          <w:szCs w:val="22"/>
        </w:rPr>
        <w:t>From discipline to culturally responsive engagement: 45 Classroom Management Strategies</w:t>
      </w:r>
      <w:r>
        <w:rPr>
          <w:rFonts w:ascii="Arial" w:hAnsi="Arial" w:cs="Arial"/>
          <w:color w:val="000000"/>
          <w:sz w:val="22"/>
          <w:szCs w:val="22"/>
        </w:rPr>
        <w:t>. Corwin Press.</w:t>
      </w:r>
    </w:p>
    <w:p w14:paraId="0DEC47BE"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Shaukat, S. and Iqbal, H.M. (2012) 'Teacher Self-Efficacy as a function of student engagement, instructional strategies and classroom management,'</w:t>
      </w:r>
      <w:r>
        <w:rPr>
          <w:rStyle w:val="apple-converted-space"/>
          <w:rFonts w:ascii="Arial" w:hAnsi="Arial" w:cs="Arial"/>
          <w:color w:val="000000"/>
          <w:sz w:val="22"/>
          <w:szCs w:val="22"/>
        </w:rPr>
        <w:t> </w:t>
      </w:r>
      <w:r>
        <w:rPr>
          <w:rFonts w:ascii="Arial" w:hAnsi="Arial" w:cs="Arial"/>
          <w:i/>
          <w:iCs/>
          <w:color w:val="000000"/>
          <w:sz w:val="22"/>
          <w:szCs w:val="22"/>
        </w:rPr>
        <w:t>Pakistan Journal of Social and Clinical Psychology</w:t>
      </w:r>
      <w:r>
        <w:rPr>
          <w:rFonts w:ascii="Arial" w:hAnsi="Arial" w:cs="Arial"/>
          <w:color w:val="000000"/>
          <w:sz w:val="22"/>
          <w:szCs w:val="22"/>
        </w:rPr>
        <w:t>, 9(3), p. 82.</w:t>
      </w:r>
      <w:r>
        <w:rPr>
          <w:rStyle w:val="apple-converted-space"/>
          <w:rFonts w:ascii="Arial" w:hAnsi="Arial" w:cs="Arial"/>
          <w:color w:val="000000"/>
          <w:sz w:val="22"/>
          <w:szCs w:val="22"/>
        </w:rPr>
        <w:t> </w:t>
      </w:r>
      <w:r>
        <w:rPr>
          <w:rFonts w:ascii="Arial" w:hAnsi="Arial" w:cs="Arial"/>
          <w:color w:val="000000"/>
          <w:sz w:val="22"/>
          <w:szCs w:val="22"/>
        </w:rPr>
        <w:t>https://www.questia.com/library/journal/1P3-2955075301/teacher-self-efficacy-as-a-function-of-student-engagement.</w:t>
      </w:r>
    </w:p>
    <w:p w14:paraId="3C88F1BB"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Tripp, D. (2012)</w:t>
      </w:r>
      <w:r>
        <w:rPr>
          <w:rStyle w:val="apple-converted-space"/>
          <w:rFonts w:ascii="Arial" w:hAnsi="Arial" w:cs="Arial"/>
          <w:color w:val="000000"/>
          <w:sz w:val="22"/>
          <w:szCs w:val="22"/>
        </w:rPr>
        <w:t> </w:t>
      </w:r>
      <w:r>
        <w:rPr>
          <w:rFonts w:ascii="Arial" w:hAnsi="Arial" w:cs="Arial"/>
          <w:i/>
          <w:iCs/>
          <w:color w:val="000000"/>
          <w:sz w:val="22"/>
          <w:szCs w:val="22"/>
        </w:rPr>
        <w:t>Critical Incidents in Teaching (Classic Edition): Developing professional judgement</w:t>
      </w:r>
      <w:r>
        <w:rPr>
          <w:rFonts w:ascii="Arial" w:hAnsi="Arial" w:cs="Arial"/>
          <w:color w:val="000000"/>
          <w:sz w:val="22"/>
          <w:szCs w:val="22"/>
        </w:rPr>
        <w:t>. Routledge.</w:t>
      </w:r>
    </w:p>
    <w:p w14:paraId="6CAE6521"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Van Geel, M.</w:t>
      </w:r>
      <w:r>
        <w:rPr>
          <w:rStyle w:val="apple-converted-space"/>
          <w:rFonts w:ascii="Arial" w:hAnsi="Arial" w:cs="Arial"/>
          <w:color w:val="000000"/>
          <w:sz w:val="22"/>
          <w:szCs w:val="22"/>
        </w:rPr>
        <w:t> </w:t>
      </w:r>
      <w:r>
        <w:rPr>
          <w:rFonts w:ascii="Arial" w:hAnsi="Arial" w:cs="Arial"/>
          <w:i/>
          <w:iCs/>
          <w:color w:val="000000"/>
          <w:sz w:val="22"/>
          <w:szCs w:val="22"/>
        </w:rPr>
        <w:t>et al.</w:t>
      </w:r>
      <w:r>
        <w:rPr>
          <w:rStyle w:val="apple-converted-space"/>
          <w:rFonts w:ascii="Arial" w:hAnsi="Arial" w:cs="Arial"/>
          <w:color w:val="000000"/>
          <w:sz w:val="22"/>
          <w:szCs w:val="22"/>
        </w:rPr>
        <w:t> </w:t>
      </w:r>
      <w:r>
        <w:rPr>
          <w:rFonts w:ascii="Arial" w:hAnsi="Arial" w:cs="Arial"/>
          <w:color w:val="000000"/>
          <w:sz w:val="22"/>
          <w:szCs w:val="22"/>
        </w:rPr>
        <w:t>(2018) 'Capturing the complexity of differentiated instruction,'</w:t>
      </w:r>
      <w:r>
        <w:rPr>
          <w:rStyle w:val="apple-converted-space"/>
          <w:rFonts w:ascii="Arial" w:hAnsi="Arial" w:cs="Arial"/>
          <w:color w:val="000000"/>
          <w:sz w:val="22"/>
          <w:szCs w:val="22"/>
        </w:rPr>
        <w:t> </w:t>
      </w:r>
      <w:r>
        <w:rPr>
          <w:rFonts w:ascii="Arial" w:hAnsi="Arial" w:cs="Arial"/>
          <w:i/>
          <w:iCs/>
          <w:color w:val="000000"/>
          <w:sz w:val="22"/>
          <w:szCs w:val="22"/>
        </w:rPr>
        <w:t>School Effectiveness and School Improvement</w:t>
      </w:r>
      <w:r>
        <w:rPr>
          <w:rFonts w:ascii="Arial" w:hAnsi="Arial" w:cs="Arial"/>
          <w:color w:val="000000"/>
          <w:sz w:val="22"/>
          <w:szCs w:val="22"/>
        </w:rPr>
        <w:t>, 30(1), pp. 51–67.</w:t>
      </w:r>
      <w:r>
        <w:rPr>
          <w:rStyle w:val="apple-converted-space"/>
          <w:rFonts w:ascii="Arial" w:hAnsi="Arial" w:cs="Arial"/>
          <w:color w:val="000000"/>
          <w:sz w:val="22"/>
          <w:szCs w:val="22"/>
        </w:rPr>
        <w:t> </w:t>
      </w:r>
      <w:r>
        <w:rPr>
          <w:rFonts w:ascii="Arial" w:hAnsi="Arial" w:cs="Arial"/>
          <w:color w:val="000000"/>
          <w:sz w:val="22"/>
          <w:szCs w:val="22"/>
        </w:rPr>
        <w:t>https://doi.org/10.1080/09243453.2018.1539013.</w:t>
      </w:r>
    </w:p>
    <w:p w14:paraId="796A86CA" w14:textId="77777777" w:rsidR="00E83536" w:rsidRDefault="00E83536" w:rsidP="00E83536">
      <w:pPr>
        <w:pStyle w:val="NormalWeb"/>
        <w:spacing w:before="0" w:beforeAutospacing="0" w:after="0" w:afterAutospacing="0" w:line="440" w:lineRule="atLeast"/>
        <w:ind w:left="720" w:hanging="720"/>
        <w:rPr>
          <w:rFonts w:ascii="Arial" w:hAnsi="Arial" w:cs="Arial"/>
          <w:color w:val="000000"/>
          <w:sz w:val="22"/>
          <w:szCs w:val="22"/>
        </w:rPr>
      </w:pPr>
      <w:r>
        <w:rPr>
          <w:rFonts w:ascii="Arial" w:hAnsi="Arial" w:cs="Arial"/>
          <w:color w:val="000000"/>
          <w:sz w:val="22"/>
          <w:szCs w:val="22"/>
        </w:rPr>
        <w:t>Zambo, D. (2009) 'Gifted Students in the 21st Century: Using Vygotsky’s theory to meet their literacy and content area needs,'</w:t>
      </w:r>
      <w:r>
        <w:rPr>
          <w:rStyle w:val="apple-converted-space"/>
          <w:rFonts w:ascii="Arial" w:hAnsi="Arial" w:cs="Arial"/>
          <w:color w:val="000000"/>
          <w:sz w:val="22"/>
          <w:szCs w:val="22"/>
        </w:rPr>
        <w:t> </w:t>
      </w:r>
      <w:r>
        <w:rPr>
          <w:rFonts w:ascii="Arial" w:hAnsi="Arial" w:cs="Arial"/>
          <w:i/>
          <w:iCs/>
          <w:color w:val="000000"/>
          <w:sz w:val="22"/>
          <w:szCs w:val="22"/>
        </w:rPr>
        <w:t>Gifted Education International</w:t>
      </w:r>
      <w:r>
        <w:rPr>
          <w:rStyle w:val="apple-converted-space"/>
          <w:rFonts w:ascii="Arial" w:hAnsi="Arial" w:cs="Arial"/>
          <w:color w:val="000000"/>
          <w:sz w:val="22"/>
          <w:szCs w:val="22"/>
        </w:rPr>
        <w:t> </w:t>
      </w:r>
      <w:r>
        <w:rPr>
          <w:rFonts w:ascii="Arial" w:hAnsi="Arial" w:cs="Arial"/>
          <w:color w:val="000000"/>
          <w:sz w:val="22"/>
          <w:szCs w:val="22"/>
        </w:rPr>
        <w:t>[Preprint].</w:t>
      </w:r>
      <w:r>
        <w:rPr>
          <w:rStyle w:val="apple-converted-space"/>
          <w:rFonts w:ascii="Arial" w:hAnsi="Arial" w:cs="Arial"/>
          <w:color w:val="000000"/>
          <w:sz w:val="22"/>
          <w:szCs w:val="22"/>
        </w:rPr>
        <w:t> </w:t>
      </w:r>
      <w:r>
        <w:rPr>
          <w:rFonts w:ascii="Arial" w:hAnsi="Arial" w:cs="Arial"/>
          <w:color w:val="000000"/>
          <w:sz w:val="22"/>
          <w:szCs w:val="22"/>
        </w:rPr>
        <w:t>https://doi.org/10.1177/026142940902500308.</w:t>
      </w:r>
    </w:p>
    <w:p w14:paraId="1B10FBF5" w14:textId="77777777" w:rsidR="00E83536" w:rsidRPr="00E83536" w:rsidRDefault="00E83536" w:rsidP="00E83536">
      <w:pPr>
        <w:spacing w:line="276" w:lineRule="auto"/>
        <w:rPr>
          <w:rFonts w:ascii="Arial" w:hAnsi="Arial" w:cs="Arial"/>
          <w:color w:val="000000" w:themeColor="text1"/>
          <w:sz w:val="22"/>
          <w:szCs w:val="22"/>
        </w:rPr>
      </w:pPr>
    </w:p>
    <w:sectPr w:rsidR="00E83536" w:rsidRPr="00E83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0EF"/>
    <w:rsid w:val="0011246C"/>
    <w:rsid w:val="00147CD8"/>
    <w:rsid w:val="002B075E"/>
    <w:rsid w:val="003F2904"/>
    <w:rsid w:val="004F162E"/>
    <w:rsid w:val="005C0F58"/>
    <w:rsid w:val="0082106E"/>
    <w:rsid w:val="009C1018"/>
    <w:rsid w:val="009D3BA5"/>
    <w:rsid w:val="00A53079"/>
    <w:rsid w:val="00C76EB6"/>
    <w:rsid w:val="00CB1E06"/>
    <w:rsid w:val="00D440EF"/>
    <w:rsid w:val="00DB270F"/>
    <w:rsid w:val="00DE32B9"/>
    <w:rsid w:val="00E83536"/>
    <w:rsid w:val="00F936E2"/>
    <w:rsid w:val="00FA7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E3DFF"/>
  <w15:chartTrackingRefBased/>
  <w15:docId w15:val="{113816F5-B7EF-F745-9975-3632F61BC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0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162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83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429114">
      <w:bodyDiv w:val="1"/>
      <w:marLeft w:val="0"/>
      <w:marRight w:val="0"/>
      <w:marTop w:val="0"/>
      <w:marBottom w:val="0"/>
      <w:divBdr>
        <w:top w:val="none" w:sz="0" w:space="0" w:color="auto"/>
        <w:left w:val="none" w:sz="0" w:space="0" w:color="auto"/>
        <w:bottom w:val="none" w:sz="0" w:space="0" w:color="auto"/>
        <w:right w:val="none" w:sz="0" w:space="0" w:color="auto"/>
      </w:divBdr>
      <w:divsChild>
        <w:div w:id="1966110563">
          <w:marLeft w:val="-720"/>
          <w:marRight w:val="0"/>
          <w:marTop w:val="0"/>
          <w:marBottom w:val="0"/>
          <w:divBdr>
            <w:top w:val="none" w:sz="0" w:space="0" w:color="auto"/>
            <w:left w:val="none" w:sz="0" w:space="0" w:color="auto"/>
            <w:bottom w:val="none" w:sz="0" w:space="0" w:color="auto"/>
            <w:right w:val="none" w:sz="0" w:space="0" w:color="auto"/>
          </w:divBdr>
        </w:div>
      </w:divsChild>
    </w:div>
    <w:div w:id="1646543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11</Pages>
  <Words>4770</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HAWKINS S. (2004653)</dc:creator>
  <cp:keywords/>
  <dc:description/>
  <cp:lastModifiedBy>HAWKINS S. (2004653)</cp:lastModifiedBy>
  <cp:revision>6</cp:revision>
  <dcterms:created xsi:type="dcterms:W3CDTF">2023-10-30T10:46:00Z</dcterms:created>
  <dcterms:modified xsi:type="dcterms:W3CDTF">2023-11-04T17:43:00Z</dcterms:modified>
</cp:coreProperties>
</file>