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03392108"/>
        <w:docPartObj>
          <w:docPartGallery w:val="Cover Pages"/>
          <w:docPartUnique/>
        </w:docPartObj>
      </w:sdtPr>
      <w:sdtEndPr>
        <w:rPr>
          <w:rFonts w:ascii="Arial" w:hAnsi="Arial" w:cs="Arial"/>
          <w:sz w:val="22"/>
          <w:szCs w:val="22"/>
        </w:rPr>
      </w:sdtEndPr>
      <w:sdtContent>
        <w:p w14:paraId="59972FF2" w14:textId="4B7EE46C" w:rsidR="00493F39" w:rsidRDefault="00493F39">
          <w:r>
            <w:rPr>
              <w:noProof/>
            </w:rPr>
            <mc:AlternateContent>
              <mc:Choice Requires="wpg">
                <w:drawing>
                  <wp:anchor distT="0" distB="0" distL="114300" distR="114300" simplePos="0" relativeHeight="251661312" behindDoc="0" locked="0" layoutInCell="1" allowOverlap="1" wp14:anchorId="18173A1F" wp14:editId="4E1D7D9E">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0AFE7F2" w14:textId="0ECC855A" w:rsidR="00493F39" w:rsidRDefault="00493F39">
                                      <w:pPr>
                                        <w:pStyle w:val="NoSpacing"/>
                                        <w:spacing w:after="240"/>
                                        <w:jc w:val="right"/>
                                        <w:rPr>
                                          <w:color w:val="44546A" w:themeColor="text2"/>
                                          <w:spacing w:val="10"/>
                                          <w:sz w:val="36"/>
                                          <w:szCs w:val="36"/>
                                        </w:rPr>
                                      </w:pPr>
                                      <w:r>
                                        <w:rPr>
                                          <w:color w:val="44546A" w:themeColor="text2"/>
                                          <w:spacing w:val="10"/>
                                          <w:sz w:val="36"/>
                                          <w:szCs w:val="36"/>
                                        </w:rPr>
                                        <w:t>Shaukat sultan</w:t>
                                      </w:r>
                                    </w:p>
                                  </w:sdtContent>
                                </w:sdt>
                                <w:p w14:paraId="07621B7D" w14:textId="0F7AD024" w:rsidR="00493F39" w:rsidRDefault="00811BF8">
                                  <w:pPr>
                                    <w:pStyle w:val="NoSpacing"/>
                                    <w:jc w:val="right"/>
                                    <w:rPr>
                                      <w:color w:val="44546A" w:themeColor="text2"/>
                                      <w:spacing w:val="10"/>
                                      <w:sz w:val="28"/>
                                      <w:szCs w:val="28"/>
                                    </w:rPr>
                                  </w:pPr>
                                  <w:sdt>
                                    <w:sdtPr>
                                      <w:rPr>
                                        <w:rFonts w:asciiTheme="majorHAnsi" w:hAnsiTheme="majorHAnsi" w:cstheme="majorHAnsi"/>
                                        <w:b/>
                                        <w:sz w:val="40"/>
                                        <w:szCs w:val="40"/>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811BF8">
                                        <w:rPr>
                                          <w:rFonts w:asciiTheme="majorHAnsi" w:hAnsiTheme="majorHAnsi" w:cstheme="majorHAnsi"/>
                                          <w:b/>
                                          <w:sz w:val="40"/>
                                          <w:szCs w:val="40"/>
                                        </w:rPr>
                                        <w:t>2309243</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173A1F"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0AFE7F2" w14:textId="0ECC855A" w:rsidR="00493F39" w:rsidRDefault="00493F39">
                                <w:pPr>
                                  <w:pStyle w:val="NoSpacing"/>
                                  <w:spacing w:after="240"/>
                                  <w:jc w:val="right"/>
                                  <w:rPr>
                                    <w:color w:val="44546A" w:themeColor="text2"/>
                                    <w:spacing w:val="10"/>
                                    <w:sz w:val="36"/>
                                    <w:szCs w:val="36"/>
                                  </w:rPr>
                                </w:pPr>
                                <w:r>
                                  <w:rPr>
                                    <w:color w:val="44546A" w:themeColor="text2"/>
                                    <w:spacing w:val="10"/>
                                    <w:sz w:val="36"/>
                                    <w:szCs w:val="36"/>
                                  </w:rPr>
                                  <w:t>Shaukat sultan</w:t>
                                </w:r>
                              </w:p>
                            </w:sdtContent>
                          </w:sdt>
                          <w:p w14:paraId="07621B7D" w14:textId="0F7AD024" w:rsidR="00493F39" w:rsidRDefault="00811BF8">
                            <w:pPr>
                              <w:pStyle w:val="NoSpacing"/>
                              <w:jc w:val="right"/>
                              <w:rPr>
                                <w:color w:val="44546A" w:themeColor="text2"/>
                                <w:spacing w:val="10"/>
                                <w:sz w:val="28"/>
                                <w:szCs w:val="28"/>
                              </w:rPr>
                            </w:pPr>
                            <w:sdt>
                              <w:sdtPr>
                                <w:rPr>
                                  <w:rFonts w:asciiTheme="majorHAnsi" w:hAnsiTheme="majorHAnsi" w:cstheme="majorHAnsi"/>
                                  <w:b/>
                                  <w:sz w:val="40"/>
                                  <w:szCs w:val="40"/>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811BF8">
                                  <w:rPr>
                                    <w:rFonts w:asciiTheme="majorHAnsi" w:hAnsiTheme="majorHAnsi" w:cstheme="majorHAnsi"/>
                                    <w:b/>
                                    <w:sz w:val="40"/>
                                    <w:szCs w:val="40"/>
                                  </w:rPr>
                                  <w:t>2309243</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5C6905BE" wp14:editId="440E20B7">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0065214" w14:textId="25E6D05A" w:rsidR="00493F39" w:rsidRDefault="00493F3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BMHP6026 Component 1</w:t>
                                      </w:r>
                                    </w:p>
                                  </w:sdtContent>
                                </w:sdt>
                                <w:bookmarkStart w:id="0" w:name="_GoBack" w:displacedByCustomXml="next"/>
                                <w:sdt>
                                  <w:sdtPr>
                                    <w:rPr>
                                      <w:rFonts w:ascii="Arial" w:eastAsia="Times New Roman" w:hAnsi="Arial" w:cs="Arial"/>
                                      <w:b/>
                                      <w:bCs/>
                                      <w:sz w:val="40"/>
                                      <w:szCs w:val="40"/>
                                      <w:lang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D878211" w14:textId="47E30077" w:rsidR="00493F39" w:rsidRPr="00493F39" w:rsidRDefault="00493F39">
                                      <w:pPr>
                                        <w:pStyle w:val="NoSpacing"/>
                                        <w:spacing w:line="216" w:lineRule="auto"/>
                                        <w:rPr>
                                          <w:rFonts w:asciiTheme="majorHAnsi" w:hAnsiTheme="majorHAnsi"/>
                                          <w:caps/>
                                          <w:color w:val="44546A" w:themeColor="text2"/>
                                          <w:sz w:val="260"/>
                                          <w:szCs w:val="260"/>
                                        </w:rPr>
                                      </w:pPr>
                                      <w:r w:rsidRPr="00493F39">
                                        <w:rPr>
                                          <w:rFonts w:ascii="Arial" w:eastAsia="Times New Roman" w:hAnsi="Arial" w:cs="Arial"/>
                                          <w:b/>
                                          <w:bCs/>
                                          <w:sz w:val="40"/>
                                          <w:szCs w:val="40"/>
                                          <w:lang w:eastAsia="en-GB"/>
                                        </w:rPr>
                                        <w:t>Critical Evaluation of Electronic Health Record (EHR) Implementation in UK Health and Social Care: A Comprehensive Review</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6905BE"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0065214" w14:textId="25E6D05A" w:rsidR="00493F39" w:rsidRDefault="00493F3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BMHP6026 Component 1</w:t>
                                </w:r>
                              </w:p>
                            </w:sdtContent>
                          </w:sdt>
                          <w:bookmarkStart w:id="1" w:name="_GoBack" w:displacedByCustomXml="next"/>
                          <w:sdt>
                            <w:sdtPr>
                              <w:rPr>
                                <w:rFonts w:ascii="Arial" w:eastAsia="Times New Roman" w:hAnsi="Arial" w:cs="Arial"/>
                                <w:b/>
                                <w:bCs/>
                                <w:sz w:val="40"/>
                                <w:szCs w:val="40"/>
                                <w:lang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D878211" w14:textId="47E30077" w:rsidR="00493F39" w:rsidRPr="00493F39" w:rsidRDefault="00493F39">
                                <w:pPr>
                                  <w:pStyle w:val="NoSpacing"/>
                                  <w:spacing w:line="216" w:lineRule="auto"/>
                                  <w:rPr>
                                    <w:rFonts w:asciiTheme="majorHAnsi" w:hAnsiTheme="majorHAnsi"/>
                                    <w:caps/>
                                    <w:color w:val="44546A" w:themeColor="text2"/>
                                    <w:sz w:val="260"/>
                                    <w:szCs w:val="260"/>
                                  </w:rPr>
                                </w:pPr>
                                <w:r w:rsidRPr="00493F39">
                                  <w:rPr>
                                    <w:rFonts w:ascii="Arial" w:eastAsia="Times New Roman" w:hAnsi="Arial" w:cs="Arial"/>
                                    <w:b/>
                                    <w:bCs/>
                                    <w:sz w:val="40"/>
                                    <w:szCs w:val="40"/>
                                    <w:lang w:eastAsia="en-GB"/>
                                  </w:rPr>
                                  <w:t>Critical Evaluation of Electronic Health Record (EHR) Implementation in UK Health and Social Care: A Comprehensive Review</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D09EC63" wp14:editId="30BE7EF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234DC9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27552ED1" w14:textId="171A6E7A" w:rsidR="00493F39" w:rsidRPr="00E45C61" w:rsidRDefault="00493F39" w:rsidP="00E45C61">
          <w:pPr>
            <w:spacing w:line="360" w:lineRule="auto"/>
            <w:rPr>
              <w:rFonts w:ascii="Arial" w:hAnsi="Arial" w:cs="Arial"/>
              <w:sz w:val="22"/>
              <w:szCs w:val="22"/>
            </w:rPr>
          </w:pPr>
          <w:r w:rsidRPr="00E45C61">
            <w:rPr>
              <w:rFonts w:ascii="Arial" w:hAnsi="Arial" w:cs="Arial"/>
              <w:sz w:val="22"/>
              <w:szCs w:val="22"/>
            </w:rPr>
            <w:br w:type="page"/>
          </w:r>
        </w:p>
      </w:sdtContent>
    </w:sdt>
    <w:p w14:paraId="4DD0E535" w14:textId="77777777" w:rsidR="007C6328" w:rsidRPr="007C6328" w:rsidRDefault="007C6328" w:rsidP="00E45C61">
      <w:pPr>
        <w:spacing w:line="360" w:lineRule="auto"/>
        <w:rPr>
          <w:rFonts w:ascii="Arial" w:hAnsi="Arial" w:cs="Arial"/>
          <w:sz w:val="22"/>
          <w:szCs w:val="22"/>
        </w:rPr>
      </w:pPr>
      <w:r w:rsidRPr="007C6328">
        <w:rPr>
          <w:rFonts w:ascii="Arial" w:hAnsi="Arial" w:cs="Arial"/>
          <w:sz w:val="22"/>
          <w:szCs w:val="22"/>
        </w:rPr>
        <w:lastRenderedPageBreak/>
        <w:t>Critical Evaluation of Electronic Health Record (EHR) Implementation in UK Health and Social Care: An Implementation Science Perspective</w:t>
      </w:r>
    </w:p>
    <w:p w14:paraId="2D7317E4" w14:textId="729A3700"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The implementation of Electronic Health Records (EHRs) across UK health and social care services over the past decade signifies a fundamental transformation in how patient information is recorded, accessed, and utilised. This digital shift, embedded within wider governmental strategies for technological innovation and integrated care, has been heralded as a cornerstone of modern healthcare reform. The promises associated with EHRs</w:t>
      </w:r>
      <w:r w:rsidR="00483214">
        <w:rPr>
          <w:rFonts w:ascii="Arial" w:hAnsi="Arial" w:cs="Arial"/>
          <w:sz w:val="22"/>
          <w:szCs w:val="22"/>
        </w:rPr>
        <w:t xml:space="preserve"> </w:t>
      </w:r>
      <w:r w:rsidRPr="00E45C61">
        <w:rPr>
          <w:rFonts w:ascii="Arial" w:hAnsi="Arial" w:cs="Arial"/>
          <w:sz w:val="22"/>
          <w:szCs w:val="22"/>
        </w:rPr>
        <w:t>enhanced patient safety, improved coordination, operational efficiency, and greater patient empowerment</w:t>
      </w:r>
      <w:r w:rsidR="00483214">
        <w:rPr>
          <w:rFonts w:ascii="Arial" w:hAnsi="Arial" w:cs="Arial"/>
          <w:sz w:val="22"/>
          <w:szCs w:val="22"/>
        </w:rPr>
        <w:t xml:space="preserve"> </w:t>
      </w:r>
      <w:r w:rsidRPr="00E45C61">
        <w:rPr>
          <w:rFonts w:ascii="Arial" w:hAnsi="Arial" w:cs="Arial"/>
          <w:sz w:val="22"/>
          <w:szCs w:val="22"/>
        </w:rPr>
        <w:t>reflect the aspirations of a health service striving for a more connected and data-driven future. Yet, these promises are deeply intertwined with a complex web of socio-technical challenges, organisational resistance, workforce adaptation, and persistent digital inequalities.</w:t>
      </w:r>
    </w:p>
    <w:p w14:paraId="1078DF4A" w14:textId="1B2B5AF9"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This report critically evaluates the multifaceted implications of EHR implementation within UK healthcare. Employing the NASSS (Non-Adoption, Abandonment, Scale-up, Spread, and Sustainability) framework (Greenhalgh et al., 2017) alongside socio-technical systems theory, the analysis seeks to unravel the interdependent domains that shape the success or failure of digital transformation. The discussion critiques both the tangible achievements and the enduring obstacles impeding large-scale, sustainable digital adoption, highlighting lessons for future policy, practice, and research.</w:t>
      </w:r>
      <w:r w:rsidR="00E41CD8">
        <w:rPr>
          <w:rFonts w:ascii="Arial" w:hAnsi="Arial" w:cs="Arial"/>
          <w:sz w:val="22"/>
          <w:szCs w:val="22"/>
        </w:rPr>
        <w:t xml:space="preserve"> </w:t>
      </w:r>
      <w:r w:rsidRPr="00E45C61">
        <w:rPr>
          <w:rFonts w:ascii="Arial" w:hAnsi="Arial" w:cs="Arial"/>
          <w:sz w:val="22"/>
          <w:szCs w:val="22"/>
        </w:rPr>
        <w:t>The process of EHR adoption exemplifies a complex adaptive system</w:t>
      </w:r>
      <w:r w:rsidR="00E41CD8">
        <w:rPr>
          <w:rFonts w:ascii="Arial" w:hAnsi="Arial" w:cs="Arial"/>
          <w:sz w:val="22"/>
          <w:szCs w:val="22"/>
        </w:rPr>
        <w:t xml:space="preserve"> </w:t>
      </w:r>
      <w:r w:rsidRPr="00E45C61">
        <w:rPr>
          <w:rFonts w:ascii="Arial" w:hAnsi="Arial" w:cs="Arial"/>
          <w:sz w:val="22"/>
          <w:szCs w:val="22"/>
        </w:rPr>
        <w:t>one where multiple actors, technologies, and contexts interact dynamically over time. The NASSS framework provides a valuable lens to analyse this complexity, outlining seven interrelated domains</w:t>
      </w:r>
      <w:r w:rsidR="00E41CD8">
        <w:rPr>
          <w:rFonts w:ascii="Arial" w:hAnsi="Arial" w:cs="Arial"/>
          <w:sz w:val="22"/>
          <w:szCs w:val="22"/>
        </w:rPr>
        <w:t xml:space="preserve"> </w:t>
      </w:r>
      <w:r w:rsidRPr="00E45C61">
        <w:rPr>
          <w:rFonts w:ascii="Arial" w:hAnsi="Arial" w:cs="Arial"/>
          <w:sz w:val="22"/>
          <w:szCs w:val="22"/>
        </w:rPr>
        <w:t>condition, technology, value, adopters, organisation, wider system, and time</w:t>
      </w:r>
      <w:r w:rsidR="00E41CD8">
        <w:rPr>
          <w:rFonts w:ascii="Arial" w:hAnsi="Arial" w:cs="Arial"/>
          <w:sz w:val="22"/>
          <w:szCs w:val="22"/>
        </w:rPr>
        <w:t xml:space="preserve"> </w:t>
      </w:r>
      <w:r w:rsidRPr="00E45C61">
        <w:rPr>
          <w:rFonts w:ascii="Arial" w:hAnsi="Arial" w:cs="Arial"/>
          <w:sz w:val="22"/>
          <w:szCs w:val="22"/>
        </w:rPr>
        <w:t>that must align for sustainable success.</w:t>
      </w:r>
    </w:p>
    <w:p w14:paraId="3B2141BC" w14:textId="315FA845"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For instance, the nature of health conditions determines data needs: chronic disease management demands longitudinal data integration, whereas acute care prioritises rapid access and decision support. Technological design factors</w:t>
      </w:r>
      <w:r w:rsidR="00483214">
        <w:rPr>
          <w:rFonts w:ascii="Arial" w:hAnsi="Arial" w:cs="Arial"/>
          <w:sz w:val="22"/>
          <w:szCs w:val="22"/>
        </w:rPr>
        <w:t xml:space="preserve"> </w:t>
      </w:r>
      <w:r w:rsidRPr="00E45C61">
        <w:rPr>
          <w:rFonts w:ascii="Arial" w:hAnsi="Arial" w:cs="Arial"/>
          <w:sz w:val="22"/>
          <w:szCs w:val="22"/>
        </w:rPr>
        <w:t>such as usability, interoperability, and adherence to data standards</w:t>
      </w:r>
      <w:r w:rsidR="00483214">
        <w:rPr>
          <w:rFonts w:ascii="Arial" w:hAnsi="Arial" w:cs="Arial"/>
          <w:sz w:val="22"/>
          <w:szCs w:val="22"/>
        </w:rPr>
        <w:t xml:space="preserve"> </w:t>
      </w:r>
      <w:r w:rsidRPr="00E45C61">
        <w:rPr>
          <w:rFonts w:ascii="Arial" w:hAnsi="Arial" w:cs="Arial"/>
          <w:sz w:val="22"/>
          <w:szCs w:val="22"/>
        </w:rPr>
        <w:t>strongly influence clinician engagement and trust. The perceived value of EHRs for different stakeholders (clinicians, managers, patients) affects buy-in, while organisational culture, leadership, and readiness for change determine implementation depth. Externally, policy, regulation, and funding structures shape institutional capacity to innovate. Finally, temporal dynamics</w:t>
      </w:r>
      <w:r w:rsidR="00483214">
        <w:rPr>
          <w:rFonts w:ascii="Arial" w:hAnsi="Arial" w:cs="Arial"/>
          <w:sz w:val="22"/>
          <w:szCs w:val="22"/>
        </w:rPr>
        <w:t xml:space="preserve"> </w:t>
      </w:r>
      <w:r w:rsidRPr="00E45C61">
        <w:rPr>
          <w:rFonts w:ascii="Arial" w:hAnsi="Arial" w:cs="Arial"/>
          <w:sz w:val="22"/>
          <w:szCs w:val="22"/>
        </w:rPr>
        <w:t xml:space="preserve">how systems evolve and adapt—are crucial for long-term </w:t>
      </w:r>
      <w:r w:rsidR="00483214" w:rsidRPr="00E45C61">
        <w:rPr>
          <w:rFonts w:ascii="Arial" w:hAnsi="Arial" w:cs="Arial"/>
          <w:sz w:val="22"/>
          <w:szCs w:val="22"/>
        </w:rPr>
        <w:t>sustainability. Misalignments</w:t>
      </w:r>
      <w:r w:rsidRPr="00E45C61">
        <w:rPr>
          <w:rFonts w:ascii="Arial" w:hAnsi="Arial" w:cs="Arial"/>
          <w:sz w:val="22"/>
          <w:szCs w:val="22"/>
        </w:rPr>
        <w:t xml:space="preserve"> across these domains commonly result in resistance, partial adoption, or outright abandonment. For example, Greenhalgh et al. (2017) note that technologies perceived as overly complex or poorly </w:t>
      </w:r>
      <w:r w:rsidRPr="00E45C61">
        <w:rPr>
          <w:rFonts w:ascii="Arial" w:hAnsi="Arial" w:cs="Arial"/>
          <w:sz w:val="22"/>
          <w:szCs w:val="22"/>
        </w:rPr>
        <w:lastRenderedPageBreak/>
        <w:t>aligned with local workflows tend to be rejected. In healthcare, where professional autonomy and patient safety are paramount, rigid systems that fail to accommodate clinical realities often trigger frustration and non-use. Thus, the success of EHR implementation cannot be understood in isolation from its socio-organisational ecosystem.</w:t>
      </w:r>
    </w:p>
    <w:p w14:paraId="7955DC68" w14:textId="1739FC3A"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Socio-technical systems theory complements the NASSS framework by emphasising the inseparability of the social and technical subsystems within healthcare. The theory argues that technological and human components must be jointly optimised to achieve meaningful outcomes (</w:t>
      </w:r>
      <w:proofErr w:type="spellStart"/>
      <w:r w:rsidRPr="00E45C61">
        <w:rPr>
          <w:rFonts w:ascii="Arial" w:hAnsi="Arial" w:cs="Arial"/>
          <w:sz w:val="22"/>
          <w:szCs w:val="22"/>
        </w:rPr>
        <w:t>Sittig</w:t>
      </w:r>
      <w:proofErr w:type="spellEnd"/>
      <w:r w:rsidRPr="00E45C61">
        <w:rPr>
          <w:rFonts w:ascii="Arial" w:hAnsi="Arial" w:cs="Arial"/>
          <w:sz w:val="22"/>
          <w:szCs w:val="22"/>
        </w:rPr>
        <w:t xml:space="preserve"> &amp; Singh, 2010). In the context of EHRs, this means aligning hardware, software, and data infrastructures with professional workflows, communication patterns, and cultural norms.</w:t>
      </w:r>
      <w:r w:rsidR="00483214">
        <w:rPr>
          <w:rFonts w:ascii="Arial" w:hAnsi="Arial" w:cs="Arial"/>
          <w:sz w:val="22"/>
          <w:szCs w:val="22"/>
        </w:rPr>
        <w:t xml:space="preserve"> </w:t>
      </w:r>
      <w:r w:rsidRPr="00E45C61">
        <w:rPr>
          <w:rFonts w:ascii="Arial" w:hAnsi="Arial" w:cs="Arial"/>
          <w:sz w:val="22"/>
          <w:szCs w:val="22"/>
        </w:rPr>
        <w:t>Historical lessons from the UK’s National Programme for IT (</w:t>
      </w:r>
      <w:proofErr w:type="spellStart"/>
      <w:r w:rsidRPr="00E45C61">
        <w:rPr>
          <w:rFonts w:ascii="Arial" w:hAnsi="Arial" w:cs="Arial"/>
          <w:sz w:val="22"/>
          <w:szCs w:val="22"/>
        </w:rPr>
        <w:t>NPfIT</w:t>
      </w:r>
      <w:proofErr w:type="spellEnd"/>
      <w:r w:rsidRPr="00E45C61">
        <w:rPr>
          <w:rFonts w:ascii="Arial" w:hAnsi="Arial" w:cs="Arial"/>
          <w:sz w:val="22"/>
          <w:szCs w:val="22"/>
        </w:rPr>
        <w:t>) provide a cautionary tale. Introduced in 2002 with the goal of creating a unified national EHR, the programme suffered from over-centralisation and insufficient clinician input, leading to poor usability and widespread disillusionment (Robertson et al., 2010; Wachter, 2017). The eventual restructuring towards a more decentralised, “middle-out” model acknowledged the need for local adaptation, clinician engagement, and user-centred design. This shift reflects a broader recognition that digital transformation in healthcare is not a purely technical project but a socio-cultural process requiring collaboration, learning, and iterative refinement.</w:t>
      </w:r>
    </w:p>
    <w:p w14:paraId="18E083CE" w14:textId="1C6D21DE"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 xml:space="preserve">EHRs occupy a central role within contemporary NHS policy agendas. The Department of Health and Social Care (2022) has positioned digital systems as key enablers of integrated, person-centred, and data-driven care. Government initiatives, including </w:t>
      </w:r>
      <w:r w:rsidRPr="00E45C61">
        <w:rPr>
          <w:rFonts w:ascii="Arial" w:hAnsi="Arial" w:cs="Arial"/>
          <w:i/>
          <w:iCs/>
          <w:sz w:val="22"/>
          <w:szCs w:val="22"/>
        </w:rPr>
        <w:t>NHS England’s What Good Looks Like</w:t>
      </w:r>
      <w:r w:rsidRPr="00E45C61">
        <w:rPr>
          <w:rFonts w:ascii="Arial" w:hAnsi="Arial" w:cs="Arial"/>
          <w:sz w:val="22"/>
          <w:szCs w:val="22"/>
        </w:rPr>
        <w:t xml:space="preserve"> framework, aim to ensure that all NHS trusts achieve “core digital maturity” by 2025.</w:t>
      </w:r>
      <w:r w:rsidR="00483214">
        <w:rPr>
          <w:rFonts w:ascii="Arial" w:hAnsi="Arial" w:cs="Arial"/>
          <w:sz w:val="22"/>
          <w:szCs w:val="22"/>
        </w:rPr>
        <w:t xml:space="preserve"> </w:t>
      </w:r>
      <w:r w:rsidRPr="00E45C61">
        <w:rPr>
          <w:rFonts w:ascii="Arial" w:hAnsi="Arial" w:cs="Arial"/>
          <w:sz w:val="22"/>
          <w:szCs w:val="22"/>
        </w:rPr>
        <w:t>Progress has been significant: as of 2023, approximately 90% of NHS trusts had implemented some form of EHR (Queen Margaret University, 2024). Yet, this figure masks stark disparities in system sophistication, usability, and interoperability. Some trusts operate advanced, interoperable systems that enable seamless data exchange, whereas others remain reliant on fragmented, outdated platforms. These inconsistencies impede the realisation of nationwide benefits and threaten to exacerbate inequalities between digitally mature and digitally lagging institutions (Webb et al., 2025).</w:t>
      </w:r>
      <w:r w:rsidR="00483214">
        <w:rPr>
          <w:rFonts w:ascii="Arial" w:hAnsi="Arial" w:cs="Arial"/>
          <w:sz w:val="22"/>
          <w:szCs w:val="22"/>
        </w:rPr>
        <w:t xml:space="preserve"> </w:t>
      </w:r>
      <w:r w:rsidRPr="00E45C61">
        <w:rPr>
          <w:rFonts w:ascii="Arial" w:hAnsi="Arial" w:cs="Arial"/>
          <w:sz w:val="22"/>
          <w:szCs w:val="22"/>
        </w:rPr>
        <w:t xml:space="preserve">The COVID-19 pandemic acted as both a catalyst and a stress test for digital systems. Rapid deployment of digital consultations, remote monitoring, and real-time data sharing illustrated the potential of EHRs to support resilience under crisis conditions. However, the pandemic also exposed weaknesses in infrastructure, data integration, and cybersecurity. Concerns over data privacy, algorithmic transparency, and public trust remain pressing (NHS England, 2021). The NHS’s increasing reliance on commercial vendors has raised ethical questions surrounding vendor lock-in, proprietary standards, and data ownership, challenging the </w:t>
      </w:r>
      <w:r w:rsidRPr="00E45C61">
        <w:rPr>
          <w:rFonts w:ascii="Arial" w:hAnsi="Arial" w:cs="Arial"/>
          <w:sz w:val="22"/>
          <w:szCs w:val="22"/>
        </w:rPr>
        <w:lastRenderedPageBreak/>
        <w:t>public service ethos of transparency and equity (Tully et al., 2019; Public Technology, 2024).</w:t>
      </w:r>
      <w:r w:rsidR="00483214">
        <w:rPr>
          <w:rFonts w:ascii="Arial" w:hAnsi="Arial" w:cs="Arial"/>
          <w:sz w:val="22"/>
          <w:szCs w:val="22"/>
        </w:rPr>
        <w:t xml:space="preserve"> </w:t>
      </w:r>
      <w:r w:rsidRPr="00E45C61">
        <w:rPr>
          <w:rFonts w:ascii="Arial" w:hAnsi="Arial" w:cs="Arial"/>
          <w:sz w:val="22"/>
          <w:szCs w:val="22"/>
        </w:rPr>
        <w:t xml:space="preserve">The implementation of EHRs exerts profound effects on the healthcare workforce, reshaping roles, workflows, and professional identities. Adoption necessitates not only technical upskilling but also a reconfiguration of clinical decision-making processes. </w:t>
      </w:r>
      <w:proofErr w:type="spellStart"/>
      <w:r w:rsidRPr="00E45C61">
        <w:rPr>
          <w:rFonts w:ascii="Arial" w:hAnsi="Arial" w:cs="Arial"/>
          <w:sz w:val="22"/>
          <w:szCs w:val="22"/>
        </w:rPr>
        <w:t>Veenstra</w:t>
      </w:r>
      <w:proofErr w:type="spellEnd"/>
      <w:r w:rsidRPr="00E45C61">
        <w:rPr>
          <w:rFonts w:ascii="Arial" w:hAnsi="Arial" w:cs="Arial"/>
          <w:sz w:val="22"/>
          <w:szCs w:val="22"/>
        </w:rPr>
        <w:t xml:space="preserve"> et al. (2022) found that clinicians often perceived EHR systems as constraining professional autonomy, with digital prompts and structured templates mediating clinical judgement. Conversely, digital systems enhanced interprofessional collaboration, enabling shared visibility of patient data and coordinated care across departments.</w:t>
      </w:r>
    </w:p>
    <w:p w14:paraId="303B46D9" w14:textId="6827C7E3"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 xml:space="preserve">The </w:t>
      </w:r>
      <w:proofErr w:type="spellStart"/>
      <w:r w:rsidRPr="00E45C61">
        <w:rPr>
          <w:rFonts w:ascii="Arial" w:hAnsi="Arial" w:cs="Arial"/>
          <w:sz w:val="22"/>
          <w:szCs w:val="22"/>
        </w:rPr>
        <w:t>Topol</w:t>
      </w:r>
      <w:proofErr w:type="spellEnd"/>
      <w:r w:rsidRPr="00E45C61">
        <w:rPr>
          <w:rFonts w:ascii="Arial" w:hAnsi="Arial" w:cs="Arial"/>
          <w:sz w:val="22"/>
          <w:szCs w:val="22"/>
        </w:rPr>
        <w:t xml:space="preserve"> Review (2019) forecasts that by the 2030s, over half of NHS staff will require reskilling in digital literacy, data analytics, and ethical reasoning. This transformation, while necessary, places strain on workforce capacity and wellbeing. The British Medical Association (2019) and Open Access Government (2024) highlight increasing cognitive load and “click fatigue” among clinicians, contributing to stress and burnout. Moreover, the creation of new specialist roles</w:t>
      </w:r>
      <w:r w:rsidR="00483214">
        <w:rPr>
          <w:rFonts w:ascii="Arial" w:hAnsi="Arial" w:cs="Arial"/>
          <w:sz w:val="22"/>
          <w:szCs w:val="22"/>
        </w:rPr>
        <w:t xml:space="preserve"> </w:t>
      </w:r>
      <w:r w:rsidRPr="00E45C61">
        <w:rPr>
          <w:rFonts w:ascii="Arial" w:hAnsi="Arial" w:cs="Arial"/>
          <w:sz w:val="22"/>
          <w:szCs w:val="22"/>
        </w:rPr>
        <w:t>such as clinical informaticians, data stewards, and AI governance leads</w:t>
      </w:r>
      <w:r w:rsidR="00483214">
        <w:rPr>
          <w:rFonts w:ascii="Arial" w:hAnsi="Arial" w:cs="Arial"/>
          <w:sz w:val="22"/>
          <w:szCs w:val="22"/>
        </w:rPr>
        <w:t xml:space="preserve"> </w:t>
      </w:r>
      <w:r w:rsidRPr="00E45C61">
        <w:rPr>
          <w:rFonts w:ascii="Arial" w:hAnsi="Arial" w:cs="Arial"/>
          <w:sz w:val="22"/>
          <w:szCs w:val="22"/>
        </w:rPr>
        <w:t>signals a broader evolution of professional identity and culture.</w:t>
      </w:r>
      <w:r w:rsidR="00483214">
        <w:rPr>
          <w:rFonts w:ascii="Arial" w:hAnsi="Arial" w:cs="Arial"/>
          <w:sz w:val="22"/>
          <w:szCs w:val="22"/>
        </w:rPr>
        <w:t xml:space="preserve"> </w:t>
      </w:r>
      <w:r w:rsidRPr="00E45C61">
        <w:rPr>
          <w:rFonts w:ascii="Arial" w:hAnsi="Arial" w:cs="Arial"/>
          <w:sz w:val="22"/>
          <w:szCs w:val="22"/>
        </w:rPr>
        <w:t>Empirical findings on workforce impacts remain mixed. Quantitative evaluations show efficiency and safety gains</w:t>
      </w:r>
      <w:r w:rsidR="00483214">
        <w:rPr>
          <w:rFonts w:ascii="Arial" w:hAnsi="Arial" w:cs="Arial"/>
          <w:sz w:val="22"/>
          <w:szCs w:val="22"/>
        </w:rPr>
        <w:t xml:space="preserve"> </w:t>
      </w:r>
      <w:r w:rsidRPr="00E45C61">
        <w:rPr>
          <w:rFonts w:ascii="Arial" w:hAnsi="Arial" w:cs="Arial"/>
          <w:sz w:val="22"/>
          <w:szCs w:val="22"/>
        </w:rPr>
        <w:t>such as a 10% increase in operational efficiency in digitally mature trusts (Zhang et al., 2023a)</w:t>
      </w:r>
      <w:r w:rsidR="00483214">
        <w:rPr>
          <w:rFonts w:ascii="Arial" w:hAnsi="Arial" w:cs="Arial"/>
          <w:sz w:val="22"/>
          <w:szCs w:val="22"/>
        </w:rPr>
        <w:t xml:space="preserve"> </w:t>
      </w:r>
      <w:r w:rsidRPr="00E45C61">
        <w:rPr>
          <w:rFonts w:ascii="Arial" w:hAnsi="Arial" w:cs="Arial"/>
          <w:sz w:val="22"/>
          <w:szCs w:val="22"/>
        </w:rPr>
        <w:t>yet qualitative research reports widespread dissatisfaction and frustration. These contradictions underscore the contextual nature of digital outcomes, shaped by leadership, training quality, and system design. The sustainability of EHR adoption therefore depends not only on technological robustness but on continuous investment in staff engagement, co-design, and adaptive learning cultures.</w:t>
      </w:r>
    </w:p>
    <w:p w14:paraId="101BE3B1" w14:textId="3B2E99BC"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From a service delivery perspective, EHRs have facilitated notable improvements in workflow integration, safety, and patient outcomes. Real-time data sharing has enhanced emergency care efficiency, reducing waiting time breaches by 2.3% and improving clinical handovers (Zhang et al., 2023a). Digitised referral systems, medication reconciliation, and clinical alerts have strengthened patient safety and supported evidence-based decision-making (NHS England, 2023b).</w:t>
      </w:r>
      <w:r w:rsidR="00D9483A">
        <w:rPr>
          <w:rFonts w:ascii="Arial" w:hAnsi="Arial" w:cs="Arial"/>
          <w:sz w:val="22"/>
          <w:szCs w:val="22"/>
        </w:rPr>
        <w:t xml:space="preserve"> </w:t>
      </w:r>
      <w:r w:rsidRPr="00E45C61">
        <w:rPr>
          <w:rFonts w:ascii="Arial" w:hAnsi="Arial" w:cs="Arial"/>
          <w:sz w:val="22"/>
          <w:szCs w:val="22"/>
        </w:rPr>
        <w:t>Beyond acute care, EHRs underpin community-based models of service delivery, enabling remote consultations and continuity of care across primary, secondary, and social care settings. The use of aggregated EHR data has allowed more accurate population health analytics, informing public health surveillance, resource allocation, and targeted interventions (Wood et al., 2021).</w:t>
      </w:r>
    </w:p>
    <w:p w14:paraId="6414B732" w14:textId="6F7A43A5"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 xml:space="preserve">However, these benefits are unevenly distributed. Smaller providers, particularly within community and social care sectors, face prohibitive deployment costs and limited technical </w:t>
      </w:r>
      <w:r w:rsidRPr="00E45C61">
        <w:rPr>
          <w:rFonts w:ascii="Arial" w:hAnsi="Arial" w:cs="Arial"/>
          <w:sz w:val="22"/>
          <w:szCs w:val="22"/>
        </w:rPr>
        <w:lastRenderedPageBreak/>
        <w:t>capacity. Persistent interoperability issues create “data silos”, fragmenting patient journeys and undermining continuity of care (</w:t>
      </w:r>
      <w:proofErr w:type="spellStart"/>
      <w:r w:rsidRPr="00E45C61">
        <w:rPr>
          <w:rFonts w:ascii="Arial" w:hAnsi="Arial" w:cs="Arial"/>
          <w:sz w:val="22"/>
          <w:szCs w:val="22"/>
        </w:rPr>
        <w:t>Careful.online</w:t>
      </w:r>
      <w:proofErr w:type="spellEnd"/>
      <w:r w:rsidRPr="00E45C61">
        <w:rPr>
          <w:rFonts w:ascii="Arial" w:hAnsi="Arial" w:cs="Arial"/>
          <w:sz w:val="22"/>
          <w:szCs w:val="22"/>
        </w:rPr>
        <w:t>, 2023). Furthermore, system downtime, cyber incidents, and infrastructure failures present ongoing risks to patient safety (MHRA Inspectorate, 2019). Thus, while EHRs can streamline services, they simultaneously introduce new operational dependencies and vulnerabilities requiring robust governance and risk management frameworks.</w:t>
      </w:r>
    </w:p>
    <w:p w14:paraId="33893893" w14:textId="6310B2E5"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At the patient level, EHRs have transformed engagement and empowerment. Access to online medical records, appointment management, and self-tracking tools fosters autonomy, adherence, and satisfaction. Tapuria et al. (2021) found that patients with chronic conditions who engaged with digital records demonstrated improved health literacy and disease management. These findings align with the NHS Long Term Plan’s vision for person-centred, participatory healthcare.</w:t>
      </w:r>
      <w:r w:rsidR="00483214">
        <w:rPr>
          <w:rFonts w:ascii="Arial" w:hAnsi="Arial" w:cs="Arial"/>
          <w:sz w:val="22"/>
          <w:szCs w:val="22"/>
        </w:rPr>
        <w:t xml:space="preserve"> </w:t>
      </w:r>
      <w:r w:rsidRPr="00E45C61">
        <w:rPr>
          <w:rFonts w:ascii="Arial" w:hAnsi="Arial" w:cs="Arial"/>
          <w:sz w:val="22"/>
          <w:szCs w:val="22"/>
        </w:rPr>
        <w:t xml:space="preserve">Yet, challenges persist. Privacy concerns, digital literacy barriers, and misinterpretation of clinical data limit widespread adoption. Clinicians express apprehension that </w:t>
      </w:r>
      <w:proofErr w:type="gramStart"/>
      <w:r w:rsidRPr="00E45C61">
        <w:rPr>
          <w:rFonts w:ascii="Arial" w:hAnsi="Arial" w:cs="Arial"/>
          <w:sz w:val="22"/>
          <w:szCs w:val="22"/>
        </w:rPr>
        <w:t>record</w:t>
      </w:r>
      <w:proofErr w:type="gramEnd"/>
      <w:r w:rsidRPr="00E45C61">
        <w:rPr>
          <w:rFonts w:ascii="Arial" w:hAnsi="Arial" w:cs="Arial"/>
          <w:sz w:val="22"/>
          <w:szCs w:val="22"/>
        </w:rPr>
        <w:t xml:space="preserve"> access increases administrative workload and may alter documentation practices to avoid patient distress or misunderstanding (</w:t>
      </w:r>
      <w:proofErr w:type="spellStart"/>
      <w:r w:rsidRPr="00E45C61">
        <w:rPr>
          <w:rFonts w:ascii="Arial" w:hAnsi="Arial" w:cs="Arial"/>
          <w:sz w:val="22"/>
          <w:szCs w:val="22"/>
        </w:rPr>
        <w:t>Davidge</w:t>
      </w:r>
      <w:proofErr w:type="spellEnd"/>
      <w:r w:rsidRPr="00E45C61">
        <w:rPr>
          <w:rFonts w:ascii="Arial" w:hAnsi="Arial" w:cs="Arial"/>
          <w:sz w:val="22"/>
          <w:szCs w:val="22"/>
        </w:rPr>
        <w:t xml:space="preserve"> et al., 2023). The NIHR ARC West (2022) study found that some clinicians deliberately modified sensitive entries, indicating a shift in professional behaviour that complicates transparency and clinical candour. These issues highlight the ethical complexities surrounding openness in digital healthcare</w:t>
      </w:r>
      <w:r w:rsidR="00483214">
        <w:rPr>
          <w:rFonts w:ascii="Arial" w:hAnsi="Arial" w:cs="Arial"/>
          <w:sz w:val="22"/>
          <w:szCs w:val="22"/>
        </w:rPr>
        <w:t xml:space="preserve"> </w:t>
      </w:r>
      <w:r w:rsidRPr="00E45C61">
        <w:rPr>
          <w:rFonts w:ascii="Arial" w:hAnsi="Arial" w:cs="Arial"/>
          <w:sz w:val="22"/>
          <w:szCs w:val="22"/>
        </w:rPr>
        <w:t>balancing empowerment with responsibility, and transparency with professional discretion.</w:t>
      </w:r>
    </w:p>
    <w:p w14:paraId="55F868A1" w14:textId="1CA5C790"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Community-level impacts of EHRs extend beyond healthcare delivery to encompass public health, social care integration, and health equity. Aggregated data have proven invaluable for epidemic management and preventative health planning, as seen during the COVID-19 pandemic (The King’s Fund, 2024). However, digital exclusion remains a critical barrier to equitable benefit realisation.</w:t>
      </w:r>
      <w:r w:rsidR="00D9483A">
        <w:rPr>
          <w:rFonts w:ascii="Arial" w:hAnsi="Arial" w:cs="Arial"/>
          <w:sz w:val="22"/>
          <w:szCs w:val="22"/>
        </w:rPr>
        <w:t xml:space="preserve"> </w:t>
      </w:r>
      <w:r w:rsidRPr="00E45C61">
        <w:rPr>
          <w:rFonts w:ascii="Arial" w:hAnsi="Arial" w:cs="Arial"/>
          <w:sz w:val="22"/>
          <w:szCs w:val="22"/>
        </w:rPr>
        <w:t>Approximately 7% of UK households lack internet access, and around 10 million adults lack basic digital skills</w:t>
      </w:r>
      <w:r w:rsidR="00483214">
        <w:rPr>
          <w:rFonts w:ascii="Arial" w:hAnsi="Arial" w:cs="Arial"/>
          <w:sz w:val="22"/>
          <w:szCs w:val="22"/>
        </w:rPr>
        <w:t xml:space="preserve"> </w:t>
      </w:r>
      <w:r w:rsidRPr="00E45C61">
        <w:rPr>
          <w:rFonts w:ascii="Arial" w:hAnsi="Arial" w:cs="Arial"/>
          <w:sz w:val="22"/>
          <w:szCs w:val="22"/>
        </w:rPr>
        <w:t>figures that disproportionately represent older adults, low-income groups, and ethnic minorities (Good Things Foundation, 2024). Without targeted inclusion strategies, digital health innovations risk deepening existing inequalities. Moreover, the increasing integration of artificial intelligence (AI) into EHRs introduces new ethical and social challenges. Algorithms trained on homogenous datasets risk encoding and perpetuating bias, producing unequal care outcomes for marginalised populations (Obermeyer et al., 2019; Alderman et al., 2024).</w:t>
      </w:r>
    </w:p>
    <w:p w14:paraId="68367025" w14:textId="732E444F" w:rsidR="00E45C61" w:rsidRPr="00E45C61" w:rsidRDefault="00E45C61" w:rsidP="00E45C61">
      <w:pPr>
        <w:pStyle w:val="my-2"/>
        <w:spacing w:line="360" w:lineRule="auto"/>
        <w:rPr>
          <w:rFonts w:ascii="Arial" w:hAnsi="Arial" w:cs="Arial"/>
          <w:sz w:val="22"/>
          <w:szCs w:val="22"/>
        </w:rPr>
      </w:pPr>
      <w:r w:rsidRPr="00E45C61">
        <w:rPr>
          <w:rFonts w:ascii="Arial" w:hAnsi="Arial" w:cs="Arial"/>
          <w:sz w:val="22"/>
          <w:szCs w:val="22"/>
        </w:rPr>
        <w:t xml:space="preserve">The NHS has begun to implement bias impact assessments and transparency requirements for AI-based systems, yet these remain embryonic and inconsistently applied. Achieving </w:t>
      </w:r>
      <w:r w:rsidRPr="00E45C61">
        <w:rPr>
          <w:rFonts w:ascii="Arial" w:hAnsi="Arial" w:cs="Arial"/>
          <w:sz w:val="22"/>
          <w:szCs w:val="22"/>
        </w:rPr>
        <w:lastRenderedPageBreak/>
        <w:t>public trust therefore depends on transparent governance, participatory oversight, and adherence to ethical principles that reflect societal values. Data-driven healthcare must not only be technically proficient but socially just.</w:t>
      </w:r>
      <w:r w:rsidR="00483214">
        <w:rPr>
          <w:rFonts w:ascii="Arial" w:hAnsi="Arial" w:cs="Arial"/>
          <w:sz w:val="22"/>
          <w:szCs w:val="22"/>
        </w:rPr>
        <w:t xml:space="preserve"> </w:t>
      </w:r>
      <w:r w:rsidRPr="00E45C61">
        <w:rPr>
          <w:rFonts w:ascii="Arial" w:hAnsi="Arial" w:cs="Arial"/>
          <w:sz w:val="22"/>
          <w:szCs w:val="22"/>
        </w:rPr>
        <w:t>Despite an expanding evidence base, notable research gaps persist. Much of the existing literature focuses on hospital settings, neglecting community, primary, and social care contexts. There is a paucity of longitudinal evaluations examining how EHR impacts evolve over time. Furthermore, patient and carer perspectives remain underrepresented, and publication bias towards positive outcomes distorts the overall picture.</w:t>
      </w:r>
      <w:r w:rsidR="00483214">
        <w:rPr>
          <w:rFonts w:ascii="Arial" w:hAnsi="Arial" w:cs="Arial"/>
          <w:sz w:val="22"/>
          <w:szCs w:val="22"/>
        </w:rPr>
        <w:t xml:space="preserve"> </w:t>
      </w:r>
      <w:r w:rsidRPr="00E45C61">
        <w:rPr>
          <w:rFonts w:ascii="Arial" w:hAnsi="Arial" w:cs="Arial"/>
          <w:sz w:val="22"/>
          <w:szCs w:val="22"/>
        </w:rPr>
        <w:t>Future research must adopt participatory and interdisciplinary approaches, incorporating diverse stakeholders in design and evaluation. Such engagement can help uncover nuanced socio-technical interactions and inform policies that are adaptive, equitable, and evidence-based. Embedding learning health system methodologies</w:t>
      </w:r>
      <w:r w:rsidR="00483214">
        <w:rPr>
          <w:rFonts w:ascii="Arial" w:hAnsi="Arial" w:cs="Arial"/>
          <w:sz w:val="22"/>
          <w:szCs w:val="22"/>
        </w:rPr>
        <w:t xml:space="preserve"> </w:t>
      </w:r>
      <w:r w:rsidRPr="00E45C61">
        <w:rPr>
          <w:rFonts w:ascii="Arial" w:hAnsi="Arial" w:cs="Arial"/>
          <w:sz w:val="22"/>
          <w:szCs w:val="22"/>
        </w:rPr>
        <w:t>where practice informs research and vice versa</w:t>
      </w:r>
      <w:r w:rsidR="00483214">
        <w:rPr>
          <w:rFonts w:ascii="Arial" w:hAnsi="Arial" w:cs="Arial"/>
          <w:sz w:val="22"/>
          <w:szCs w:val="22"/>
        </w:rPr>
        <w:t xml:space="preserve"> </w:t>
      </w:r>
      <w:r w:rsidRPr="00E45C61">
        <w:rPr>
          <w:rFonts w:ascii="Arial" w:hAnsi="Arial" w:cs="Arial"/>
          <w:sz w:val="22"/>
          <w:szCs w:val="22"/>
        </w:rPr>
        <w:t>would ensure continual refinement and responsiveness to emerging needs.</w:t>
      </w:r>
    </w:p>
    <w:p w14:paraId="2DAD1D36" w14:textId="73B7B1BC" w:rsidR="00D9483A" w:rsidRDefault="00E45C61" w:rsidP="00D9483A">
      <w:pPr>
        <w:pStyle w:val="my-2"/>
        <w:spacing w:line="360" w:lineRule="auto"/>
        <w:rPr>
          <w:rFonts w:ascii="Arial" w:hAnsi="Arial" w:cs="Arial"/>
          <w:sz w:val="22"/>
          <w:szCs w:val="22"/>
        </w:rPr>
      </w:pPr>
      <w:r w:rsidRPr="00E45C61">
        <w:rPr>
          <w:rFonts w:ascii="Arial" w:hAnsi="Arial" w:cs="Arial"/>
          <w:sz w:val="22"/>
          <w:szCs w:val="22"/>
        </w:rPr>
        <w:t>Realising the full potential of EHRs requires a sustained, inclusive, and innovation-driven approach. Co-design frameworks, involving clinicians, patients, technologists, and policymakers, have proven effective in improving system usability and acceptance (Greenhalgh et al., 2020). Mandating open standards and modular architectures is essential to overcoming vendor lock-in and promoting interoperability. Embedding digital champions within frontline teams can foster cultural change and act as bridges between technical and clinical domains.</w:t>
      </w:r>
      <w:r w:rsidR="00D9483A">
        <w:rPr>
          <w:rFonts w:ascii="Arial" w:hAnsi="Arial" w:cs="Arial"/>
          <w:sz w:val="22"/>
          <w:szCs w:val="22"/>
        </w:rPr>
        <w:t xml:space="preserve"> </w:t>
      </w:r>
      <w:r w:rsidRPr="00E45C61">
        <w:rPr>
          <w:rFonts w:ascii="Arial" w:hAnsi="Arial" w:cs="Arial"/>
          <w:sz w:val="22"/>
          <w:szCs w:val="22"/>
        </w:rPr>
        <w:t>Addressing digital inequalities necessitates community partnerships, targeted digital literacy programmes, and accessible public education initiatives. Moreover, citizens’ assemblies and participatory governance models can enhance legitimacy and accountability in data governance (Tully et al., 2019). These measures, however, demand sustained political commitment, coherent policy alignment, and consistent investment across local and national levels.</w:t>
      </w:r>
      <w:r w:rsidR="00483214">
        <w:rPr>
          <w:rFonts w:ascii="Arial" w:hAnsi="Arial" w:cs="Arial"/>
          <w:sz w:val="22"/>
          <w:szCs w:val="22"/>
        </w:rPr>
        <w:t xml:space="preserve"> </w:t>
      </w:r>
      <w:r w:rsidRPr="00E45C61">
        <w:rPr>
          <w:rFonts w:ascii="Arial" w:hAnsi="Arial" w:cs="Arial"/>
          <w:sz w:val="22"/>
          <w:szCs w:val="22"/>
        </w:rPr>
        <w:t xml:space="preserve">In conclusion, the implementation of Electronic Health Records represents both a remarkable achievement and an ongoing challenge for UK health and social care. The technology has demonstrably improved safety, efficiency, and coordination, while enabling new forms of patient engagement and data-driven decision-making. Yet, its transformative potential remains constrained by socio-technical misalignments, workforce pressures, interoperability gaps, and digital </w:t>
      </w:r>
      <w:r w:rsidR="00E41CD8" w:rsidRPr="00E45C61">
        <w:rPr>
          <w:rFonts w:ascii="Arial" w:hAnsi="Arial" w:cs="Arial"/>
          <w:sz w:val="22"/>
          <w:szCs w:val="22"/>
        </w:rPr>
        <w:t>inequities. To</w:t>
      </w:r>
      <w:r w:rsidRPr="00E45C61">
        <w:rPr>
          <w:rFonts w:ascii="Arial" w:hAnsi="Arial" w:cs="Arial"/>
          <w:sz w:val="22"/>
          <w:szCs w:val="22"/>
        </w:rPr>
        <w:t xml:space="preserve"> realise the full promise of digital health, future efforts must integrate insights from implementation science, strengthen ethical and governance frameworks, invest in workforce capacity, and prioritise equity and inclusion. EHRs are not merely technical systems but social infrastructures that reflect and shape the values of healthcare. Their sustainable success therefore depends on fostering a culture of collaboration, reflection, and accountability</w:t>
      </w:r>
      <w:r w:rsidR="00E41CD8">
        <w:rPr>
          <w:rFonts w:ascii="Arial" w:hAnsi="Arial" w:cs="Arial"/>
          <w:sz w:val="22"/>
          <w:szCs w:val="22"/>
        </w:rPr>
        <w:t xml:space="preserve"> </w:t>
      </w:r>
      <w:r w:rsidRPr="00E45C61">
        <w:rPr>
          <w:rFonts w:ascii="Arial" w:hAnsi="Arial" w:cs="Arial"/>
          <w:sz w:val="22"/>
          <w:szCs w:val="22"/>
        </w:rPr>
        <w:t>ensuring that the digital transformation of healthcare serves all citizens fairly, ethically, and effectively.</w:t>
      </w:r>
    </w:p>
    <w:p w14:paraId="4CF5403C" w14:textId="39F4BB36" w:rsidR="00E45C61" w:rsidRDefault="00E45C61" w:rsidP="00E45C61">
      <w:pPr>
        <w:pStyle w:val="my-2"/>
      </w:pPr>
      <w:r>
        <w:lastRenderedPageBreak/>
        <w:t xml:space="preserve">References: </w:t>
      </w:r>
    </w:p>
    <w:p w14:paraId="4B1AC248" w14:textId="77777777" w:rsidR="00E45C61" w:rsidRPr="00E45C61" w:rsidRDefault="00E45C61" w:rsidP="00E45C61">
      <w:pPr>
        <w:pStyle w:val="my-2"/>
      </w:pPr>
      <w:r w:rsidRPr="00E45C61">
        <w:t>Acharya, A., Thakur, T., McNally, D., Waring, J. and Stephens, R. (2022) ‘Evaluating the impact of a digital leadership programme on NHS digitisation’, BMJ Health &amp; Care Informatics, 29(1), e101441.</w:t>
      </w:r>
    </w:p>
    <w:p w14:paraId="5C9C1C7F" w14:textId="77777777" w:rsidR="00E45C61" w:rsidRPr="00E45C61" w:rsidRDefault="00E45C61" w:rsidP="00E45C61">
      <w:pPr>
        <w:pStyle w:val="my-2"/>
      </w:pPr>
      <w:r w:rsidRPr="00E45C61">
        <w:t>Alderman, J.E., Patel, R., Whittaker, R., et al. (2024) ‘Tackling algorithmic bias and promoting transparency in healthcare: The STANDING Together recommendations’, The Lancet Digital Health, 6(12), pp. e912-e924.</w:t>
      </w:r>
    </w:p>
    <w:p w14:paraId="6BFE13E5" w14:textId="77777777" w:rsidR="00E45C61" w:rsidRPr="00E45C61" w:rsidRDefault="00E45C61" w:rsidP="00E45C61">
      <w:pPr>
        <w:pStyle w:val="my-2"/>
      </w:pPr>
      <w:r w:rsidRPr="00E45C61">
        <w:t>British Medical Association (2019) Technology, infrastructure and data supporting NHS staff. London: British Medical Association.</w:t>
      </w:r>
    </w:p>
    <w:p w14:paraId="0D4E1747" w14:textId="77777777" w:rsidR="00E45C61" w:rsidRPr="00E45C61" w:rsidRDefault="00E45C61" w:rsidP="00E45C61">
      <w:pPr>
        <w:pStyle w:val="my-2"/>
      </w:pPr>
      <w:r w:rsidRPr="00E45C61">
        <w:t>Carers UK (2023) State of Caring Survey 2023: The impact of caring on health. London: Carers UK.</w:t>
      </w:r>
    </w:p>
    <w:p w14:paraId="07DFC59B" w14:textId="77777777" w:rsidR="00E45C61" w:rsidRPr="00E45C61" w:rsidRDefault="00E45C61" w:rsidP="00E45C61">
      <w:pPr>
        <w:pStyle w:val="my-2"/>
      </w:pPr>
      <w:r w:rsidRPr="00E45C61">
        <w:t>Department of Health and Social Care (2022) A plan for digital health and social care. London: Department of Health and Social Care.</w:t>
      </w:r>
    </w:p>
    <w:p w14:paraId="2EAC7160" w14:textId="77777777" w:rsidR="00E45C61" w:rsidRPr="00E45C61" w:rsidRDefault="00E45C61" w:rsidP="00E45C61">
      <w:pPr>
        <w:pStyle w:val="my-2"/>
      </w:pPr>
      <w:proofErr w:type="spellStart"/>
      <w:r w:rsidRPr="00E45C61">
        <w:t>Davidge</w:t>
      </w:r>
      <w:proofErr w:type="spellEnd"/>
      <w:r w:rsidRPr="00E45C61">
        <w:t xml:space="preserve">, G., Hargreaves, S., </w:t>
      </w:r>
      <w:proofErr w:type="spellStart"/>
      <w:r w:rsidRPr="00E45C61">
        <w:t>Palanica</w:t>
      </w:r>
      <w:proofErr w:type="spellEnd"/>
      <w:r w:rsidRPr="00E45C61">
        <w:t>, A., Elkin, S. and Marjanovic, S. (2023) ‘Primary care staff’s views and experience of patients’ online health record access in England’, BMC Primary Care, 24(78).</w:t>
      </w:r>
    </w:p>
    <w:p w14:paraId="28862DD8" w14:textId="77777777" w:rsidR="00E45C61" w:rsidRPr="00E45C61" w:rsidRDefault="00E45C61" w:rsidP="00E45C61">
      <w:pPr>
        <w:pStyle w:val="my-2"/>
      </w:pPr>
      <w:r w:rsidRPr="00E45C61">
        <w:t xml:space="preserve">Greenhalgh, T., </w:t>
      </w:r>
      <w:proofErr w:type="spellStart"/>
      <w:r w:rsidRPr="00E45C61">
        <w:t>Wherton</w:t>
      </w:r>
      <w:proofErr w:type="spellEnd"/>
      <w:r w:rsidRPr="00E45C61">
        <w:t xml:space="preserve">, J., </w:t>
      </w:r>
      <w:proofErr w:type="spellStart"/>
      <w:r w:rsidRPr="00E45C61">
        <w:t>Papoutsi</w:t>
      </w:r>
      <w:proofErr w:type="spellEnd"/>
      <w:r w:rsidRPr="00E45C61">
        <w:t xml:space="preserve">, C., Lynch, J., Hughes, G., </w:t>
      </w:r>
      <w:proofErr w:type="spellStart"/>
      <w:r w:rsidRPr="00E45C61">
        <w:t>A’Court</w:t>
      </w:r>
      <w:proofErr w:type="spellEnd"/>
      <w:r w:rsidRPr="00E45C61">
        <w:t xml:space="preserve">, C., Hinder, S., Fahy, N., Procter, R. and Shaw, S. (2017) ‘Beyond adoption: a new framework for theorizing and evaluating </w:t>
      </w:r>
      <w:proofErr w:type="spellStart"/>
      <w:r w:rsidRPr="00E45C61">
        <w:t>nonadoption</w:t>
      </w:r>
      <w:proofErr w:type="spellEnd"/>
      <w:r w:rsidRPr="00E45C61">
        <w:t>, abandonment and challenges to the scale-up, spread, and sustainability of health and care technologies’, Journal of Medical Internet Research, 19(11), e367.</w:t>
      </w:r>
    </w:p>
    <w:p w14:paraId="3E997343" w14:textId="77777777" w:rsidR="00E45C61" w:rsidRPr="00E45C61" w:rsidRDefault="00E45C61" w:rsidP="00E45C61">
      <w:pPr>
        <w:pStyle w:val="my-2"/>
      </w:pPr>
      <w:proofErr w:type="spellStart"/>
      <w:r w:rsidRPr="00E45C61">
        <w:t>Hägglund</w:t>
      </w:r>
      <w:proofErr w:type="spellEnd"/>
      <w:r w:rsidRPr="00E45C61">
        <w:t xml:space="preserve">, M., McMillan, B., Whittaker, R., </w:t>
      </w:r>
      <w:proofErr w:type="spellStart"/>
      <w:r w:rsidRPr="00E45C61">
        <w:t>Blease</w:t>
      </w:r>
      <w:proofErr w:type="spellEnd"/>
      <w:r w:rsidRPr="00E45C61">
        <w:t xml:space="preserve">, C., </w:t>
      </w:r>
      <w:proofErr w:type="spellStart"/>
      <w:r w:rsidRPr="00E45C61">
        <w:t>Cresswell</w:t>
      </w:r>
      <w:proofErr w:type="spellEnd"/>
      <w:r w:rsidRPr="00E45C61">
        <w:t xml:space="preserve">, K., </w:t>
      </w:r>
      <w:proofErr w:type="spellStart"/>
      <w:r w:rsidRPr="00E45C61">
        <w:t>Waldmann</w:t>
      </w:r>
      <w:proofErr w:type="spellEnd"/>
      <w:r w:rsidRPr="00E45C61">
        <w:t xml:space="preserve">, U. and </w:t>
      </w:r>
      <w:proofErr w:type="spellStart"/>
      <w:r w:rsidRPr="00E45C61">
        <w:t>Hägglund</w:t>
      </w:r>
      <w:proofErr w:type="spellEnd"/>
      <w:r w:rsidRPr="00E45C61">
        <w:t>, M. (2022) ‘Patient empowerment through online access to health records’, BMJ, 378, e071531.</w:t>
      </w:r>
    </w:p>
    <w:p w14:paraId="1FE7A93C" w14:textId="77777777" w:rsidR="00E45C61" w:rsidRPr="00E45C61" w:rsidRDefault="00E45C61" w:rsidP="00E45C61">
      <w:pPr>
        <w:pStyle w:val="my-2"/>
      </w:pPr>
      <w:r w:rsidRPr="00E45C61">
        <w:t>Irizarry, T., DeVito Dabbs, A. and Curran, C.R. (2013) ‘A sociotechnical approach to successful electronic health record implementation’, Clinical Nurse Specialist, 27(4), pp. 183–186.</w:t>
      </w:r>
    </w:p>
    <w:p w14:paraId="155418C0" w14:textId="77777777" w:rsidR="00E45C61" w:rsidRPr="00E45C61" w:rsidRDefault="00E45C61" w:rsidP="00E45C61">
      <w:pPr>
        <w:pStyle w:val="my-2"/>
      </w:pPr>
      <w:r w:rsidRPr="00E45C61">
        <w:t>NHS England (2021) Our strategy to digitise, connect and transform. London: NHS England.</w:t>
      </w:r>
    </w:p>
    <w:p w14:paraId="564628D5" w14:textId="77777777" w:rsidR="00E45C61" w:rsidRPr="00E45C61" w:rsidRDefault="00E45C61" w:rsidP="00E45C61">
      <w:pPr>
        <w:pStyle w:val="my-2"/>
      </w:pPr>
      <w:r w:rsidRPr="00E45C61">
        <w:t>NHS England (2023) Inclusive digital healthcare: a framework for NHS action on digital inclusion. London: NHS England.</w:t>
      </w:r>
    </w:p>
    <w:p w14:paraId="5C995E3A" w14:textId="77777777" w:rsidR="00E45C61" w:rsidRPr="00E45C61" w:rsidRDefault="00E45C61" w:rsidP="00E45C61">
      <w:pPr>
        <w:pStyle w:val="my-2"/>
      </w:pPr>
      <w:r w:rsidRPr="00E45C61">
        <w:t xml:space="preserve">Obermeyer, Z., Powers, B., </w:t>
      </w:r>
      <w:proofErr w:type="spellStart"/>
      <w:r w:rsidRPr="00E45C61">
        <w:t>Vogeli</w:t>
      </w:r>
      <w:proofErr w:type="spellEnd"/>
      <w:r w:rsidRPr="00E45C61">
        <w:t>, C. and Mullainathan, S. (2019) ‘Dissecting racial bias in an algorithm used to manage the health of populations’, Science, 366(6464), pp. 447–453.</w:t>
      </w:r>
    </w:p>
    <w:p w14:paraId="02C0B1AA" w14:textId="77777777" w:rsidR="00E45C61" w:rsidRPr="00E45C61" w:rsidRDefault="00E45C61" w:rsidP="00E45C61">
      <w:pPr>
        <w:pStyle w:val="my-2"/>
      </w:pPr>
      <w:r w:rsidRPr="00E45C61">
        <w:t xml:space="preserve">Open Access Government (2024) ‘NHS workforce crisis: changing how clinicians interact with EHRs could help avoid cognitive overload’. Available at: </w:t>
      </w:r>
      <w:hyperlink r:id="rId5" w:tgtFrame="_blank" w:history="1">
        <w:r w:rsidRPr="00E45C61">
          <w:rPr>
            <w:rStyle w:val="Hyperlink"/>
          </w:rPr>
          <w:t>https://www.openaccessgovernment.org/nhs-workforce-crisis/</w:t>
        </w:r>
      </w:hyperlink>
      <w:r w:rsidRPr="00E45C61">
        <w:t xml:space="preserve"> (Accessed: 22 October 2025).</w:t>
      </w:r>
    </w:p>
    <w:p w14:paraId="356C6B06" w14:textId="77777777" w:rsidR="00E45C61" w:rsidRPr="00E45C61" w:rsidRDefault="00E45C61" w:rsidP="00E45C61">
      <w:pPr>
        <w:pStyle w:val="my-2"/>
      </w:pPr>
      <w:r w:rsidRPr="00E45C61">
        <w:lastRenderedPageBreak/>
        <w:t>Queen Margaret University (2024) Electronic health record systems: an explainer. Edinburgh: Queen Margaret University.</w:t>
      </w:r>
    </w:p>
    <w:p w14:paraId="1B529BBA" w14:textId="77777777" w:rsidR="00E45C61" w:rsidRPr="00E45C61" w:rsidRDefault="00E45C61" w:rsidP="00E45C61">
      <w:pPr>
        <w:pStyle w:val="my-2"/>
      </w:pPr>
      <w:r w:rsidRPr="00E45C61">
        <w:t xml:space="preserve">Robertson, A., </w:t>
      </w:r>
      <w:proofErr w:type="spellStart"/>
      <w:r w:rsidRPr="00E45C61">
        <w:t>Cresswell</w:t>
      </w:r>
      <w:proofErr w:type="spellEnd"/>
      <w:r w:rsidRPr="00E45C61">
        <w:t xml:space="preserve">, K., </w:t>
      </w:r>
      <w:proofErr w:type="spellStart"/>
      <w:r w:rsidRPr="00E45C61">
        <w:t>Takian</w:t>
      </w:r>
      <w:proofErr w:type="spellEnd"/>
      <w:r w:rsidRPr="00E45C61">
        <w:t xml:space="preserve">, A., </w:t>
      </w:r>
      <w:proofErr w:type="spellStart"/>
      <w:r w:rsidRPr="00E45C61">
        <w:t>Petrakaki</w:t>
      </w:r>
      <w:proofErr w:type="spellEnd"/>
      <w:r w:rsidRPr="00E45C61">
        <w:t>, D., Crowe, S., Cornford, T., Barber, N., Avery, A., Fernando, B., Jacklin, A. and et al. (2010) ‘Implementation and adoption of nationwide electronic health records in secondary care in England: qualitative analysis of interim results from a prospective national evaluation’, BMJ, 341, c4564.</w:t>
      </w:r>
    </w:p>
    <w:p w14:paraId="4B2CF12E" w14:textId="77777777" w:rsidR="00E45C61" w:rsidRPr="00E45C61" w:rsidRDefault="00E45C61" w:rsidP="00E45C61">
      <w:pPr>
        <w:pStyle w:val="my-2"/>
      </w:pPr>
      <w:r w:rsidRPr="00E45C61">
        <w:t xml:space="preserve">Tapuria, A., </w:t>
      </w:r>
      <w:proofErr w:type="spellStart"/>
      <w:r w:rsidRPr="00E45C61">
        <w:t>Porat</w:t>
      </w:r>
      <w:proofErr w:type="spellEnd"/>
      <w:r w:rsidRPr="00E45C61">
        <w:t xml:space="preserve">, T., Kalra, D., Dsouza, G., </w:t>
      </w:r>
      <w:proofErr w:type="spellStart"/>
      <w:r w:rsidRPr="00E45C61">
        <w:t>Xiaohui</w:t>
      </w:r>
      <w:proofErr w:type="spellEnd"/>
      <w:r w:rsidRPr="00E45C61">
        <w:t xml:space="preserve">, S. and </w:t>
      </w:r>
      <w:proofErr w:type="spellStart"/>
      <w:r w:rsidRPr="00E45C61">
        <w:t>Curcin</w:t>
      </w:r>
      <w:proofErr w:type="spellEnd"/>
      <w:r w:rsidRPr="00E45C61">
        <w:t>, V. (2021) ‘Impact of patient access to their electronic health record: systematic review’, Journal of Innovation in Health Informatics, 28(1), e100309.</w:t>
      </w:r>
    </w:p>
    <w:p w14:paraId="162D5DE9" w14:textId="77777777" w:rsidR="00E45C61" w:rsidRPr="00E45C61" w:rsidRDefault="00E45C61" w:rsidP="00E45C61">
      <w:pPr>
        <w:pStyle w:val="my-2"/>
      </w:pPr>
      <w:r w:rsidRPr="00E45C61">
        <w:t>The King’s Fund (2024) The reality of digitally enabled care in the community. London: The King’s Fund.</w:t>
      </w:r>
    </w:p>
    <w:p w14:paraId="65787235" w14:textId="77777777" w:rsidR="00E45C61" w:rsidRPr="00E45C61" w:rsidRDefault="00E45C61" w:rsidP="00E45C61">
      <w:pPr>
        <w:pStyle w:val="my-2"/>
      </w:pPr>
      <w:proofErr w:type="spellStart"/>
      <w:r w:rsidRPr="00E45C61">
        <w:t>Topol</w:t>
      </w:r>
      <w:proofErr w:type="spellEnd"/>
      <w:r w:rsidRPr="00E45C61">
        <w:t>, E. (2019) Preparing the healthcare workforce to deliver the digital future. London: Health Education England.</w:t>
      </w:r>
    </w:p>
    <w:p w14:paraId="58C24ECB" w14:textId="77777777" w:rsidR="00E45C61" w:rsidRPr="00E45C61" w:rsidRDefault="00E45C61" w:rsidP="00E45C61">
      <w:pPr>
        <w:pStyle w:val="my-2"/>
      </w:pPr>
      <w:proofErr w:type="spellStart"/>
      <w:r w:rsidRPr="00E45C61">
        <w:t>Veenstra</w:t>
      </w:r>
      <w:proofErr w:type="spellEnd"/>
      <w:r w:rsidRPr="00E45C61">
        <w:t xml:space="preserve">, G.L., </w:t>
      </w:r>
      <w:proofErr w:type="spellStart"/>
      <w:r w:rsidRPr="00E45C61">
        <w:t>Daamen</w:t>
      </w:r>
      <w:proofErr w:type="spellEnd"/>
      <w:r w:rsidRPr="00E45C61">
        <w:t xml:space="preserve">, M.A., </w:t>
      </w:r>
      <w:proofErr w:type="spellStart"/>
      <w:r w:rsidRPr="00E45C61">
        <w:t>Steijn</w:t>
      </w:r>
      <w:proofErr w:type="spellEnd"/>
      <w:r w:rsidRPr="00E45C61">
        <w:t>, W.M.P.P. and Groenewegen, P.P. (2022) ‘Electronic health record implementation and healthcare workers’ autonomous work motivation: a before-and-after study’, BMC Medical Informatics and Decision Making, 22(1), p.117.</w:t>
      </w:r>
    </w:p>
    <w:p w14:paraId="7CBED045" w14:textId="3834C519" w:rsidR="00E45C61" w:rsidRDefault="00E45C61" w:rsidP="00E45C61">
      <w:pPr>
        <w:pStyle w:val="my-2"/>
      </w:pPr>
      <w:r w:rsidRPr="00E45C61">
        <w:t>Wachter, R.M. (2017) Harnessing the power of health information technology to improve care in England. London: Department of Health.</w:t>
      </w:r>
    </w:p>
    <w:sectPr w:rsidR="00E45C61" w:rsidSect="00493F39">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5A4FD4"/>
    <w:multiLevelType w:val="multilevel"/>
    <w:tmpl w:val="656A2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964A16"/>
    <w:multiLevelType w:val="multilevel"/>
    <w:tmpl w:val="03400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2451E4F"/>
    <w:multiLevelType w:val="multilevel"/>
    <w:tmpl w:val="0BB43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39"/>
    <w:rsid w:val="003C1E1B"/>
    <w:rsid w:val="00483214"/>
    <w:rsid w:val="00493F39"/>
    <w:rsid w:val="004A3BF1"/>
    <w:rsid w:val="00520211"/>
    <w:rsid w:val="007C6328"/>
    <w:rsid w:val="00811BF8"/>
    <w:rsid w:val="00817F04"/>
    <w:rsid w:val="00CC2F2B"/>
    <w:rsid w:val="00D750CF"/>
    <w:rsid w:val="00D9483A"/>
    <w:rsid w:val="00E41CD8"/>
    <w:rsid w:val="00E45C61"/>
    <w:rsid w:val="00F61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F0EFC"/>
  <w14:defaultImageDpi w14:val="32767"/>
  <w15:chartTrackingRefBased/>
  <w15:docId w15:val="{4153C137-9491-E347-BAB7-96D6299E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93F39"/>
    <w:rPr>
      <w:rFonts w:eastAsiaTheme="minorEastAsia"/>
      <w:sz w:val="22"/>
      <w:szCs w:val="22"/>
      <w:lang w:val="en-US" w:eastAsia="zh-CN"/>
    </w:rPr>
  </w:style>
  <w:style w:type="character" w:customStyle="1" w:styleId="NoSpacingChar">
    <w:name w:val="No Spacing Char"/>
    <w:basedOn w:val="DefaultParagraphFont"/>
    <w:link w:val="NoSpacing"/>
    <w:uiPriority w:val="1"/>
    <w:rsid w:val="00493F39"/>
    <w:rPr>
      <w:rFonts w:eastAsiaTheme="minorEastAsia"/>
      <w:sz w:val="22"/>
      <w:szCs w:val="22"/>
      <w:lang w:val="en-US" w:eastAsia="zh-CN"/>
    </w:rPr>
  </w:style>
  <w:style w:type="character" w:styleId="Hyperlink">
    <w:name w:val="Hyperlink"/>
    <w:basedOn w:val="DefaultParagraphFont"/>
    <w:uiPriority w:val="99"/>
    <w:unhideWhenUsed/>
    <w:rsid w:val="004A3BF1"/>
    <w:rPr>
      <w:color w:val="0563C1" w:themeColor="hyperlink"/>
      <w:u w:val="single"/>
    </w:rPr>
  </w:style>
  <w:style w:type="character" w:styleId="UnresolvedMention">
    <w:name w:val="Unresolved Mention"/>
    <w:basedOn w:val="DefaultParagraphFont"/>
    <w:uiPriority w:val="99"/>
    <w:rsid w:val="004A3BF1"/>
    <w:rPr>
      <w:color w:val="605E5C"/>
      <w:shd w:val="clear" w:color="auto" w:fill="E1DFDD"/>
    </w:rPr>
  </w:style>
  <w:style w:type="paragraph" w:customStyle="1" w:styleId="my-2">
    <w:name w:val="my-2"/>
    <w:basedOn w:val="Normal"/>
    <w:rsid w:val="00E45C6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E45C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05129">
      <w:bodyDiv w:val="1"/>
      <w:marLeft w:val="0"/>
      <w:marRight w:val="0"/>
      <w:marTop w:val="0"/>
      <w:marBottom w:val="0"/>
      <w:divBdr>
        <w:top w:val="none" w:sz="0" w:space="0" w:color="auto"/>
        <w:left w:val="none" w:sz="0" w:space="0" w:color="auto"/>
        <w:bottom w:val="none" w:sz="0" w:space="0" w:color="auto"/>
        <w:right w:val="none" w:sz="0" w:space="0" w:color="auto"/>
      </w:divBdr>
    </w:div>
    <w:div w:id="292029907">
      <w:bodyDiv w:val="1"/>
      <w:marLeft w:val="0"/>
      <w:marRight w:val="0"/>
      <w:marTop w:val="0"/>
      <w:marBottom w:val="0"/>
      <w:divBdr>
        <w:top w:val="none" w:sz="0" w:space="0" w:color="auto"/>
        <w:left w:val="none" w:sz="0" w:space="0" w:color="auto"/>
        <w:bottom w:val="none" w:sz="0" w:space="0" w:color="auto"/>
        <w:right w:val="none" w:sz="0" w:space="0" w:color="auto"/>
      </w:divBdr>
    </w:div>
    <w:div w:id="520778853">
      <w:bodyDiv w:val="1"/>
      <w:marLeft w:val="0"/>
      <w:marRight w:val="0"/>
      <w:marTop w:val="0"/>
      <w:marBottom w:val="0"/>
      <w:divBdr>
        <w:top w:val="none" w:sz="0" w:space="0" w:color="auto"/>
        <w:left w:val="none" w:sz="0" w:space="0" w:color="auto"/>
        <w:bottom w:val="none" w:sz="0" w:space="0" w:color="auto"/>
        <w:right w:val="none" w:sz="0" w:space="0" w:color="auto"/>
      </w:divBdr>
    </w:div>
    <w:div w:id="574706168">
      <w:bodyDiv w:val="1"/>
      <w:marLeft w:val="0"/>
      <w:marRight w:val="0"/>
      <w:marTop w:val="0"/>
      <w:marBottom w:val="0"/>
      <w:divBdr>
        <w:top w:val="none" w:sz="0" w:space="0" w:color="auto"/>
        <w:left w:val="none" w:sz="0" w:space="0" w:color="auto"/>
        <w:bottom w:val="none" w:sz="0" w:space="0" w:color="auto"/>
        <w:right w:val="none" w:sz="0" w:space="0" w:color="auto"/>
      </w:divBdr>
      <w:divsChild>
        <w:div w:id="1380281878">
          <w:marLeft w:val="0"/>
          <w:marRight w:val="0"/>
          <w:marTop w:val="0"/>
          <w:marBottom w:val="0"/>
          <w:divBdr>
            <w:top w:val="none" w:sz="0" w:space="0" w:color="auto"/>
            <w:left w:val="none" w:sz="0" w:space="0" w:color="auto"/>
            <w:bottom w:val="none" w:sz="0" w:space="0" w:color="auto"/>
            <w:right w:val="none" w:sz="0" w:space="0" w:color="auto"/>
          </w:divBdr>
        </w:div>
      </w:divsChild>
    </w:div>
    <w:div w:id="750469083">
      <w:bodyDiv w:val="1"/>
      <w:marLeft w:val="0"/>
      <w:marRight w:val="0"/>
      <w:marTop w:val="0"/>
      <w:marBottom w:val="0"/>
      <w:divBdr>
        <w:top w:val="none" w:sz="0" w:space="0" w:color="auto"/>
        <w:left w:val="none" w:sz="0" w:space="0" w:color="auto"/>
        <w:bottom w:val="none" w:sz="0" w:space="0" w:color="auto"/>
        <w:right w:val="none" w:sz="0" w:space="0" w:color="auto"/>
      </w:divBdr>
    </w:div>
    <w:div w:id="854614734">
      <w:bodyDiv w:val="1"/>
      <w:marLeft w:val="0"/>
      <w:marRight w:val="0"/>
      <w:marTop w:val="0"/>
      <w:marBottom w:val="0"/>
      <w:divBdr>
        <w:top w:val="none" w:sz="0" w:space="0" w:color="auto"/>
        <w:left w:val="none" w:sz="0" w:space="0" w:color="auto"/>
        <w:bottom w:val="none" w:sz="0" w:space="0" w:color="auto"/>
        <w:right w:val="none" w:sz="0" w:space="0" w:color="auto"/>
      </w:divBdr>
    </w:div>
    <w:div w:id="1204706937">
      <w:bodyDiv w:val="1"/>
      <w:marLeft w:val="0"/>
      <w:marRight w:val="0"/>
      <w:marTop w:val="0"/>
      <w:marBottom w:val="0"/>
      <w:divBdr>
        <w:top w:val="none" w:sz="0" w:space="0" w:color="auto"/>
        <w:left w:val="none" w:sz="0" w:space="0" w:color="auto"/>
        <w:bottom w:val="none" w:sz="0" w:space="0" w:color="auto"/>
        <w:right w:val="none" w:sz="0" w:space="0" w:color="auto"/>
      </w:divBdr>
    </w:div>
    <w:div w:id="1259214952">
      <w:bodyDiv w:val="1"/>
      <w:marLeft w:val="0"/>
      <w:marRight w:val="0"/>
      <w:marTop w:val="0"/>
      <w:marBottom w:val="0"/>
      <w:divBdr>
        <w:top w:val="none" w:sz="0" w:space="0" w:color="auto"/>
        <w:left w:val="none" w:sz="0" w:space="0" w:color="auto"/>
        <w:bottom w:val="none" w:sz="0" w:space="0" w:color="auto"/>
        <w:right w:val="none" w:sz="0" w:space="0" w:color="auto"/>
      </w:divBdr>
      <w:divsChild>
        <w:div w:id="424888944">
          <w:marLeft w:val="0"/>
          <w:marRight w:val="0"/>
          <w:marTop w:val="0"/>
          <w:marBottom w:val="0"/>
          <w:divBdr>
            <w:top w:val="none" w:sz="0" w:space="0" w:color="auto"/>
            <w:left w:val="none" w:sz="0" w:space="0" w:color="auto"/>
            <w:bottom w:val="none" w:sz="0" w:space="0" w:color="auto"/>
            <w:right w:val="none" w:sz="0" w:space="0" w:color="auto"/>
          </w:divBdr>
        </w:div>
      </w:divsChild>
    </w:div>
    <w:div w:id="1360669649">
      <w:bodyDiv w:val="1"/>
      <w:marLeft w:val="0"/>
      <w:marRight w:val="0"/>
      <w:marTop w:val="0"/>
      <w:marBottom w:val="0"/>
      <w:divBdr>
        <w:top w:val="none" w:sz="0" w:space="0" w:color="auto"/>
        <w:left w:val="none" w:sz="0" w:space="0" w:color="auto"/>
        <w:bottom w:val="none" w:sz="0" w:space="0" w:color="auto"/>
        <w:right w:val="none" w:sz="0" w:space="0" w:color="auto"/>
      </w:divBdr>
    </w:div>
    <w:div w:id="1414354167">
      <w:bodyDiv w:val="1"/>
      <w:marLeft w:val="0"/>
      <w:marRight w:val="0"/>
      <w:marTop w:val="0"/>
      <w:marBottom w:val="0"/>
      <w:divBdr>
        <w:top w:val="none" w:sz="0" w:space="0" w:color="auto"/>
        <w:left w:val="none" w:sz="0" w:space="0" w:color="auto"/>
        <w:bottom w:val="none" w:sz="0" w:space="0" w:color="auto"/>
        <w:right w:val="none" w:sz="0" w:space="0" w:color="auto"/>
      </w:divBdr>
    </w:div>
    <w:div w:id="1456674684">
      <w:bodyDiv w:val="1"/>
      <w:marLeft w:val="0"/>
      <w:marRight w:val="0"/>
      <w:marTop w:val="0"/>
      <w:marBottom w:val="0"/>
      <w:divBdr>
        <w:top w:val="none" w:sz="0" w:space="0" w:color="auto"/>
        <w:left w:val="none" w:sz="0" w:space="0" w:color="auto"/>
        <w:bottom w:val="none" w:sz="0" w:space="0" w:color="auto"/>
        <w:right w:val="none" w:sz="0" w:space="0" w:color="auto"/>
      </w:divBdr>
      <w:divsChild>
        <w:div w:id="560289892">
          <w:marLeft w:val="0"/>
          <w:marRight w:val="0"/>
          <w:marTop w:val="0"/>
          <w:marBottom w:val="0"/>
          <w:divBdr>
            <w:top w:val="none" w:sz="0" w:space="0" w:color="auto"/>
            <w:left w:val="none" w:sz="0" w:space="0" w:color="auto"/>
            <w:bottom w:val="none" w:sz="0" w:space="0" w:color="auto"/>
            <w:right w:val="none" w:sz="0" w:space="0" w:color="auto"/>
          </w:divBdr>
        </w:div>
      </w:divsChild>
    </w:div>
    <w:div w:id="1617640110">
      <w:bodyDiv w:val="1"/>
      <w:marLeft w:val="0"/>
      <w:marRight w:val="0"/>
      <w:marTop w:val="0"/>
      <w:marBottom w:val="0"/>
      <w:divBdr>
        <w:top w:val="none" w:sz="0" w:space="0" w:color="auto"/>
        <w:left w:val="none" w:sz="0" w:space="0" w:color="auto"/>
        <w:bottom w:val="none" w:sz="0" w:space="0" w:color="auto"/>
        <w:right w:val="none" w:sz="0" w:space="0" w:color="auto"/>
      </w:divBdr>
      <w:divsChild>
        <w:div w:id="1235970370">
          <w:marLeft w:val="0"/>
          <w:marRight w:val="0"/>
          <w:marTop w:val="0"/>
          <w:marBottom w:val="0"/>
          <w:divBdr>
            <w:top w:val="none" w:sz="0" w:space="0" w:color="auto"/>
            <w:left w:val="none" w:sz="0" w:space="0" w:color="auto"/>
            <w:bottom w:val="none" w:sz="0" w:space="0" w:color="auto"/>
            <w:right w:val="none" w:sz="0" w:space="0" w:color="auto"/>
          </w:divBdr>
        </w:div>
      </w:divsChild>
    </w:div>
    <w:div w:id="1711221240">
      <w:bodyDiv w:val="1"/>
      <w:marLeft w:val="0"/>
      <w:marRight w:val="0"/>
      <w:marTop w:val="0"/>
      <w:marBottom w:val="0"/>
      <w:divBdr>
        <w:top w:val="none" w:sz="0" w:space="0" w:color="auto"/>
        <w:left w:val="none" w:sz="0" w:space="0" w:color="auto"/>
        <w:bottom w:val="none" w:sz="0" w:space="0" w:color="auto"/>
        <w:right w:val="none" w:sz="0" w:space="0" w:color="auto"/>
      </w:divBdr>
    </w:div>
    <w:div w:id="1760369106">
      <w:bodyDiv w:val="1"/>
      <w:marLeft w:val="0"/>
      <w:marRight w:val="0"/>
      <w:marTop w:val="0"/>
      <w:marBottom w:val="0"/>
      <w:divBdr>
        <w:top w:val="none" w:sz="0" w:space="0" w:color="auto"/>
        <w:left w:val="none" w:sz="0" w:space="0" w:color="auto"/>
        <w:bottom w:val="none" w:sz="0" w:space="0" w:color="auto"/>
        <w:right w:val="none" w:sz="0" w:space="0" w:color="auto"/>
      </w:divBdr>
    </w:div>
    <w:div w:id="2109496380">
      <w:bodyDiv w:val="1"/>
      <w:marLeft w:val="0"/>
      <w:marRight w:val="0"/>
      <w:marTop w:val="0"/>
      <w:marBottom w:val="0"/>
      <w:divBdr>
        <w:top w:val="none" w:sz="0" w:space="0" w:color="auto"/>
        <w:left w:val="none" w:sz="0" w:space="0" w:color="auto"/>
        <w:bottom w:val="none" w:sz="0" w:space="0" w:color="auto"/>
        <w:right w:val="none" w:sz="0" w:space="0" w:color="auto"/>
      </w:divBdr>
      <w:divsChild>
        <w:div w:id="481392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penaccessgovernment.org/nhs-workforce-crisi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2785</Words>
  <Characters>15880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2309243</Company>
  <LinksUpToDate>false</LinksUpToDate>
  <CharactersWithSpaces>18628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Electronic Health Record (EHR) Implementation in UK Health and Social Care: A Comprehensive Review</dc:title>
  <dc:subject>BMHP6026 Component 1</dc:subject>
  <dc:creator>Shaukat sultan</dc:creator>
  <cp:keywords/>
  <dc:description/>
  <cp:lastModifiedBy>kohinoor sultan</cp:lastModifiedBy>
  <cp:revision>7</cp:revision>
  <dcterms:created xsi:type="dcterms:W3CDTF">2025-10-22T16:49:00Z</dcterms:created>
  <dcterms:modified xsi:type="dcterms:W3CDTF">2025-10-23T14:07:00Z</dcterms:modified>
</cp:coreProperties>
</file>