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cs="Arial"/>
        </w:rPr>
        <w:id w:val="-346861918"/>
        <w:docPartObj>
          <w:docPartGallery w:val="Cover Pages"/>
          <w:docPartUnique/>
        </w:docPartObj>
      </w:sdtPr>
      <w:sdtEndPr/>
      <w:sdtContent>
        <w:p w14:paraId="3F306825" w14:textId="619701AF" w:rsidR="00EF0066" w:rsidRPr="009A3676" w:rsidRDefault="00EF0066" w:rsidP="000C798B">
          <w:pPr>
            <w:jc w:val="both"/>
            <w:rPr>
              <w:rFonts w:cs="Arial"/>
              <w:color w:val="000000" w:themeColor="text1"/>
            </w:rPr>
          </w:pPr>
        </w:p>
        <w:p w14:paraId="075E137F" w14:textId="68FE7275" w:rsidR="000C798B" w:rsidRPr="009A3676" w:rsidRDefault="000C798B" w:rsidP="003958FC">
          <w:pPr>
            <w:spacing w:line="240" w:lineRule="auto"/>
            <w:jc w:val="center"/>
            <w:rPr>
              <w:rFonts w:cs="Arial"/>
              <w:color w:val="000000" w:themeColor="text1"/>
            </w:rPr>
          </w:pPr>
          <w:r w:rsidRPr="009A3676">
            <w:rPr>
              <w:rFonts w:cs="Arial"/>
              <w:noProof/>
              <w:color w:val="000000" w:themeColor="text1"/>
            </w:rPr>
            <w:drawing>
              <wp:inline distT="0" distB="0" distL="0" distR="0" wp14:anchorId="19422B83" wp14:editId="668DCD00">
                <wp:extent cx="3314700" cy="115824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14700" cy="1158240"/>
                        </a:xfrm>
                        <a:prstGeom prst="rect">
                          <a:avLst/>
                        </a:prstGeom>
                        <a:noFill/>
                        <a:ln>
                          <a:noFill/>
                        </a:ln>
                      </pic:spPr>
                    </pic:pic>
                  </a:graphicData>
                </a:graphic>
              </wp:inline>
            </w:drawing>
          </w:r>
        </w:p>
        <w:p w14:paraId="6B8C3257" w14:textId="1DB68CAD" w:rsidR="000E3C48" w:rsidRDefault="000E3C48" w:rsidP="003958FC">
          <w:pPr>
            <w:spacing w:line="240" w:lineRule="auto"/>
            <w:jc w:val="both"/>
            <w:rPr>
              <w:rFonts w:cs="Arial"/>
              <w:color w:val="000000" w:themeColor="text1"/>
            </w:rPr>
          </w:pPr>
        </w:p>
        <w:p w14:paraId="7F3F99EB" w14:textId="4600D1BE" w:rsidR="000E3C48" w:rsidRDefault="000E3C48" w:rsidP="003958FC">
          <w:pPr>
            <w:spacing w:line="240" w:lineRule="auto"/>
            <w:jc w:val="both"/>
            <w:rPr>
              <w:rFonts w:cs="Arial"/>
              <w:color w:val="000000" w:themeColor="text1"/>
            </w:rPr>
          </w:pPr>
        </w:p>
        <w:p w14:paraId="287B4C27" w14:textId="77777777" w:rsidR="000E3C48" w:rsidRPr="009A3676" w:rsidRDefault="000E3C48" w:rsidP="003958FC">
          <w:pPr>
            <w:spacing w:line="240" w:lineRule="auto"/>
            <w:jc w:val="both"/>
            <w:rPr>
              <w:rFonts w:cs="Arial"/>
              <w:color w:val="000000" w:themeColor="text1"/>
            </w:rPr>
          </w:pPr>
        </w:p>
        <w:p w14:paraId="538C7B4E" w14:textId="16C68DD1" w:rsidR="001616E9" w:rsidRPr="00861007" w:rsidRDefault="001616E9" w:rsidP="003958FC">
          <w:pPr>
            <w:spacing w:line="240" w:lineRule="auto"/>
            <w:jc w:val="both"/>
            <w:rPr>
              <w:rFonts w:cs="Arial"/>
              <w:color w:val="000000" w:themeColor="text1"/>
              <w:szCs w:val="24"/>
            </w:rPr>
          </w:pPr>
        </w:p>
        <w:p w14:paraId="05DD1EEA" w14:textId="77777777" w:rsidR="00861007" w:rsidRPr="00861007" w:rsidRDefault="00861007" w:rsidP="005D3315">
          <w:pPr>
            <w:spacing w:line="240" w:lineRule="auto"/>
            <w:jc w:val="center"/>
            <w:rPr>
              <w:rFonts w:cs="Arial"/>
              <w:b/>
              <w:color w:val="000000" w:themeColor="text1"/>
              <w:szCs w:val="24"/>
            </w:rPr>
          </w:pPr>
        </w:p>
        <w:p w14:paraId="02E77D41" w14:textId="754A477C" w:rsidR="00EF37E7" w:rsidRDefault="00EF37E7" w:rsidP="00B15DAF">
          <w:pPr>
            <w:spacing w:line="240" w:lineRule="auto"/>
            <w:jc w:val="center"/>
            <w:rPr>
              <w:rFonts w:cs="Arial"/>
              <w:b/>
              <w:bCs/>
              <w:color w:val="000000" w:themeColor="text1"/>
              <w:sz w:val="44"/>
              <w:szCs w:val="44"/>
            </w:rPr>
          </w:pPr>
          <w:r>
            <w:rPr>
              <w:rFonts w:cs="Arial"/>
              <w:b/>
              <w:bCs/>
              <w:color w:val="000000" w:themeColor="text1"/>
              <w:sz w:val="44"/>
              <w:szCs w:val="44"/>
            </w:rPr>
            <w:t>Applying the Principles of Data Security, Governance and Compliance to a Given Scenario</w:t>
          </w:r>
        </w:p>
        <w:p w14:paraId="3DA546A0" w14:textId="0893353B" w:rsidR="00EF37E7" w:rsidRDefault="00EF37E7" w:rsidP="00B15DAF">
          <w:pPr>
            <w:spacing w:line="240" w:lineRule="auto"/>
            <w:jc w:val="center"/>
            <w:rPr>
              <w:rFonts w:cs="Arial"/>
              <w:b/>
              <w:bCs/>
              <w:color w:val="000000" w:themeColor="text1"/>
              <w:sz w:val="44"/>
              <w:szCs w:val="44"/>
            </w:rPr>
          </w:pPr>
        </w:p>
        <w:p w14:paraId="126DC864" w14:textId="77777777" w:rsidR="00EF37E7" w:rsidRDefault="00EF37E7" w:rsidP="00B15DAF">
          <w:pPr>
            <w:spacing w:line="240" w:lineRule="auto"/>
            <w:jc w:val="center"/>
            <w:rPr>
              <w:rFonts w:cs="Arial"/>
              <w:b/>
              <w:bCs/>
              <w:color w:val="000000" w:themeColor="text1"/>
              <w:sz w:val="44"/>
              <w:szCs w:val="44"/>
            </w:rPr>
          </w:pPr>
        </w:p>
        <w:p w14:paraId="3D18AF7F" w14:textId="44D38D7B" w:rsidR="005F080E" w:rsidRPr="00775CF1" w:rsidRDefault="00D81AA6" w:rsidP="00B15DAF">
          <w:pPr>
            <w:spacing w:line="240" w:lineRule="auto"/>
            <w:jc w:val="center"/>
            <w:rPr>
              <w:rFonts w:cs="Arial"/>
              <w:b/>
              <w:bCs/>
              <w:color w:val="000000" w:themeColor="text1"/>
              <w:sz w:val="32"/>
              <w:szCs w:val="32"/>
            </w:rPr>
          </w:pPr>
          <w:r w:rsidRPr="00775CF1">
            <w:rPr>
              <w:rFonts w:cs="Arial"/>
              <w:b/>
              <w:bCs/>
              <w:color w:val="000000" w:themeColor="text1"/>
              <w:sz w:val="32"/>
              <w:szCs w:val="32"/>
            </w:rPr>
            <w:t>Data Security, Governance and Compliance (ACCA7028)</w:t>
          </w:r>
        </w:p>
        <w:p w14:paraId="17879D8D" w14:textId="05B5D7D6" w:rsidR="001616E9" w:rsidRPr="00775CF1" w:rsidRDefault="001616E9" w:rsidP="00636D82">
          <w:pPr>
            <w:spacing w:line="240" w:lineRule="auto"/>
            <w:rPr>
              <w:rFonts w:cs="Arial"/>
              <w:color w:val="000000" w:themeColor="text1"/>
              <w:sz w:val="36"/>
              <w:szCs w:val="18"/>
            </w:rPr>
          </w:pPr>
        </w:p>
        <w:p w14:paraId="2C25CE89" w14:textId="41713489" w:rsidR="008D4847" w:rsidRPr="00775CF1" w:rsidRDefault="008D4847" w:rsidP="00636D82">
          <w:pPr>
            <w:spacing w:line="240" w:lineRule="auto"/>
            <w:rPr>
              <w:rFonts w:cs="Arial"/>
              <w:color w:val="000000" w:themeColor="text1"/>
              <w:sz w:val="36"/>
              <w:szCs w:val="18"/>
            </w:rPr>
          </w:pPr>
        </w:p>
        <w:p w14:paraId="67AA4943" w14:textId="5490C8DE" w:rsidR="008D4847" w:rsidRDefault="008D4847" w:rsidP="00636D82">
          <w:pPr>
            <w:spacing w:line="240" w:lineRule="auto"/>
            <w:rPr>
              <w:rFonts w:cs="Arial"/>
              <w:color w:val="000000" w:themeColor="text1"/>
              <w:sz w:val="36"/>
              <w:szCs w:val="18"/>
            </w:rPr>
          </w:pPr>
        </w:p>
        <w:p w14:paraId="5176BE8B" w14:textId="7D8998A0" w:rsidR="00775CF1" w:rsidRDefault="00775CF1" w:rsidP="00636D82">
          <w:pPr>
            <w:spacing w:line="240" w:lineRule="auto"/>
            <w:rPr>
              <w:rFonts w:cs="Arial"/>
              <w:color w:val="000000" w:themeColor="text1"/>
              <w:sz w:val="36"/>
              <w:szCs w:val="18"/>
            </w:rPr>
          </w:pPr>
        </w:p>
        <w:p w14:paraId="22B14057" w14:textId="77777777" w:rsidR="0000481E" w:rsidRPr="00775CF1" w:rsidRDefault="0000481E" w:rsidP="00636D82">
          <w:pPr>
            <w:spacing w:line="240" w:lineRule="auto"/>
            <w:rPr>
              <w:rFonts w:cs="Arial"/>
              <w:color w:val="000000" w:themeColor="text1"/>
              <w:sz w:val="36"/>
              <w:szCs w:val="18"/>
            </w:rPr>
          </w:pPr>
        </w:p>
        <w:p w14:paraId="66DBEE28" w14:textId="77777777" w:rsidR="000E3C48" w:rsidRPr="00775CF1" w:rsidRDefault="000E3C48" w:rsidP="00636D82">
          <w:pPr>
            <w:spacing w:line="240" w:lineRule="auto"/>
            <w:rPr>
              <w:rFonts w:cs="Arial"/>
              <w:color w:val="000000" w:themeColor="text1"/>
              <w:sz w:val="36"/>
              <w:szCs w:val="18"/>
            </w:rPr>
          </w:pPr>
        </w:p>
        <w:p w14:paraId="5FAB70A1" w14:textId="30BC6E44" w:rsidR="000C798B" w:rsidRPr="00775CF1" w:rsidRDefault="000C798B" w:rsidP="003958FC">
          <w:pPr>
            <w:spacing w:line="240" w:lineRule="auto"/>
            <w:jc w:val="center"/>
            <w:rPr>
              <w:rFonts w:cs="Arial"/>
              <w:color w:val="000000" w:themeColor="text1"/>
              <w:sz w:val="36"/>
              <w:szCs w:val="18"/>
            </w:rPr>
          </w:pPr>
        </w:p>
        <w:p w14:paraId="0A900FC9" w14:textId="77777777" w:rsidR="002569B9" w:rsidRPr="00775CF1" w:rsidRDefault="002569B9" w:rsidP="003958FC">
          <w:pPr>
            <w:spacing w:line="240" w:lineRule="auto"/>
            <w:jc w:val="center"/>
            <w:rPr>
              <w:rFonts w:cs="Arial"/>
              <w:color w:val="000000" w:themeColor="text1"/>
              <w:sz w:val="36"/>
              <w:szCs w:val="18"/>
            </w:rPr>
          </w:pPr>
        </w:p>
        <w:p w14:paraId="26B278A2" w14:textId="626F69D7" w:rsidR="000C798B" w:rsidRPr="00775CF1" w:rsidRDefault="008D4847" w:rsidP="003958FC">
          <w:pPr>
            <w:spacing w:line="240" w:lineRule="auto"/>
            <w:jc w:val="center"/>
            <w:rPr>
              <w:rFonts w:cs="Arial"/>
              <w:color w:val="000000" w:themeColor="text1"/>
              <w:sz w:val="32"/>
              <w:szCs w:val="16"/>
            </w:rPr>
          </w:pPr>
          <w:r w:rsidRPr="00775CF1">
            <w:rPr>
              <w:rFonts w:cs="Arial"/>
              <w:color w:val="000000" w:themeColor="text1"/>
              <w:sz w:val="32"/>
              <w:szCs w:val="16"/>
            </w:rPr>
            <w:t>Matthew Lewington</w:t>
          </w:r>
          <w:r w:rsidR="00571671" w:rsidRPr="00775CF1">
            <w:rPr>
              <w:rFonts w:cs="Arial"/>
              <w:color w:val="000000" w:themeColor="text1"/>
              <w:sz w:val="32"/>
              <w:szCs w:val="16"/>
            </w:rPr>
            <w:t xml:space="preserve"> (1703645)</w:t>
          </w:r>
        </w:p>
        <w:p w14:paraId="25E908CB" w14:textId="169E1539" w:rsidR="009525B7" w:rsidRDefault="008D4847" w:rsidP="0000481E">
          <w:pPr>
            <w:spacing w:line="240" w:lineRule="auto"/>
            <w:jc w:val="center"/>
            <w:rPr>
              <w:rFonts w:cs="Arial"/>
              <w:color w:val="000000" w:themeColor="text1"/>
              <w:sz w:val="32"/>
              <w:szCs w:val="16"/>
            </w:rPr>
          </w:pPr>
          <w:r w:rsidRPr="00775CF1">
            <w:rPr>
              <w:rFonts w:cs="Arial"/>
              <w:color w:val="000000" w:themeColor="text1"/>
              <w:sz w:val="32"/>
              <w:szCs w:val="16"/>
            </w:rPr>
            <w:t>MSc Data Science and Analytics</w:t>
          </w:r>
        </w:p>
        <w:p w14:paraId="49A0EB19" w14:textId="3D67EB2F" w:rsidR="0000481E" w:rsidRDefault="0000481E" w:rsidP="0000481E">
          <w:pPr>
            <w:spacing w:line="240" w:lineRule="auto"/>
            <w:jc w:val="center"/>
            <w:rPr>
              <w:rFonts w:cs="Arial"/>
              <w:color w:val="000000" w:themeColor="text1"/>
              <w:sz w:val="32"/>
              <w:szCs w:val="16"/>
            </w:rPr>
          </w:pPr>
        </w:p>
        <w:p w14:paraId="56B64064" w14:textId="77777777" w:rsidR="0000481E" w:rsidRPr="00775CF1" w:rsidRDefault="0000481E" w:rsidP="0000481E">
          <w:pPr>
            <w:spacing w:line="240" w:lineRule="auto"/>
            <w:jc w:val="center"/>
            <w:rPr>
              <w:rFonts w:cs="Arial"/>
              <w:color w:val="000000" w:themeColor="text1"/>
              <w:sz w:val="32"/>
              <w:szCs w:val="16"/>
            </w:rPr>
          </w:pPr>
        </w:p>
        <w:p w14:paraId="2ECC76B8" w14:textId="54F8AAA2" w:rsidR="008D4847" w:rsidRPr="00775CF1" w:rsidRDefault="008D4847" w:rsidP="003958FC">
          <w:pPr>
            <w:spacing w:line="240" w:lineRule="auto"/>
            <w:jc w:val="center"/>
            <w:rPr>
              <w:rFonts w:cs="Arial"/>
              <w:color w:val="000000" w:themeColor="text1"/>
              <w:sz w:val="32"/>
              <w:szCs w:val="16"/>
            </w:rPr>
          </w:pPr>
          <w:r w:rsidRPr="00775CF1">
            <w:rPr>
              <w:rFonts w:cs="Arial"/>
              <w:color w:val="000000" w:themeColor="text1"/>
              <w:sz w:val="32"/>
              <w:szCs w:val="16"/>
            </w:rPr>
            <w:t>Wales</w:t>
          </w:r>
          <w:r w:rsidR="009A05A1" w:rsidRPr="00775CF1">
            <w:rPr>
              <w:rFonts w:cs="Arial"/>
              <w:color w:val="000000" w:themeColor="text1"/>
              <w:sz w:val="32"/>
              <w:szCs w:val="16"/>
            </w:rPr>
            <w:t xml:space="preserve"> Institute for Science and Art (WISA)</w:t>
          </w:r>
        </w:p>
        <w:p w14:paraId="6A639173" w14:textId="6C6A65D6" w:rsidR="008D4847" w:rsidRPr="00775CF1" w:rsidRDefault="008D4847" w:rsidP="003958FC">
          <w:pPr>
            <w:spacing w:line="240" w:lineRule="auto"/>
            <w:jc w:val="center"/>
            <w:rPr>
              <w:rFonts w:cs="Arial"/>
              <w:color w:val="000000" w:themeColor="text1"/>
              <w:sz w:val="32"/>
              <w:szCs w:val="16"/>
            </w:rPr>
          </w:pPr>
          <w:r w:rsidRPr="00775CF1">
            <w:rPr>
              <w:rFonts w:cs="Arial"/>
              <w:color w:val="000000" w:themeColor="text1"/>
              <w:sz w:val="32"/>
              <w:szCs w:val="16"/>
            </w:rPr>
            <w:t>University of Wales Trinity Saint David</w:t>
          </w:r>
        </w:p>
        <w:p w14:paraId="27CAB8FE" w14:textId="77777777" w:rsidR="000C798B" w:rsidRPr="00775CF1" w:rsidRDefault="000C798B" w:rsidP="003958FC">
          <w:pPr>
            <w:spacing w:line="240" w:lineRule="auto"/>
            <w:jc w:val="center"/>
            <w:rPr>
              <w:rFonts w:cs="Arial"/>
              <w:color w:val="000000" w:themeColor="text1"/>
              <w:sz w:val="36"/>
              <w:szCs w:val="18"/>
            </w:rPr>
          </w:pPr>
        </w:p>
        <w:p w14:paraId="0BACF023" w14:textId="77777777" w:rsidR="002569B9" w:rsidRPr="00775CF1" w:rsidRDefault="002569B9" w:rsidP="003958FC">
          <w:pPr>
            <w:spacing w:line="240" w:lineRule="auto"/>
            <w:jc w:val="center"/>
            <w:rPr>
              <w:rFonts w:cs="Arial"/>
              <w:color w:val="000000" w:themeColor="text1"/>
              <w:sz w:val="36"/>
              <w:szCs w:val="18"/>
            </w:rPr>
          </w:pPr>
        </w:p>
        <w:p w14:paraId="6982A240" w14:textId="77777777" w:rsidR="00636D82" w:rsidRPr="00775CF1" w:rsidRDefault="00636D82" w:rsidP="003958FC">
          <w:pPr>
            <w:spacing w:line="240" w:lineRule="auto"/>
            <w:jc w:val="center"/>
            <w:rPr>
              <w:rFonts w:cs="Arial"/>
              <w:color w:val="000000" w:themeColor="text1"/>
              <w:sz w:val="36"/>
              <w:szCs w:val="18"/>
            </w:rPr>
          </w:pPr>
        </w:p>
        <w:p w14:paraId="3882E469" w14:textId="41B18FF8" w:rsidR="000C798B" w:rsidRPr="00775CF1" w:rsidRDefault="008D4847" w:rsidP="003958FC">
          <w:pPr>
            <w:spacing w:line="240" w:lineRule="auto"/>
            <w:jc w:val="center"/>
            <w:rPr>
              <w:rFonts w:cs="Arial"/>
              <w:color w:val="000000" w:themeColor="text1"/>
              <w:sz w:val="32"/>
              <w:szCs w:val="16"/>
            </w:rPr>
          </w:pPr>
          <w:r w:rsidRPr="00775CF1">
            <w:rPr>
              <w:rFonts w:cs="Arial"/>
              <w:color w:val="000000" w:themeColor="text1"/>
              <w:sz w:val="32"/>
              <w:szCs w:val="16"/>
            </w:rPr>
            <w:t xml:space="preserve">January </w:t>
          </w:r>
          <w:r w:rsidR="007F32E6">
            <w:rPr>
              <w:rFonts w:cs="Arial"/>
              <w:color w:val="000000" w:themeColor="text1"/>
              <w:sz w:val="32"/>
              <w:szCs w:val="16"/>
            </w:rPr>
            <w:t>12</w:t>
          </w:r>
          <w:r w:rsidRPr="00775CF1">
            <w:rPr>
              <w:rFonts w:cs="Arial"/>
              <w:color w:val="000000" w:themeColor="text1"/>
              <w:sz w:val="32"/>
              <w:szCs w:val="16"/>
            </w:rPr>
            <w:t>, 2021</w:t>
          </w:r>
        </w:p>
        <w:p w14:paraId="10815FDF" w14:textId="77777777" w:rsidR="000C798B" w:rsidRPr="009A3676" w:rsidRDefault="000C798B" w:rsidP="000C798B">
          <w:pPr>
            <w:rPr>
              <w:rFonts w:cs="Arial"/>
            </w:rPr>
          </w:pPr>
        </w:p>
        <w:p w14:paraId="51F70C16" w14:textId="77777777" w:rsidR="001616E9" w:rsidRDefault="001616E9" w:rsidP="00301090">
          <w:pPr>
            <w:rPr>
              <w:rFonts w:cs="Arial"/>
            </w:rPr>
          </w:pPr>
        </w:p>
        <w:p w14:paraId="3D5047C3" w14:textId="26096867" w:rsidR="00DD531A" w:rsidRPr="009A3676" w:rsidRDefault="00DD531A" w:rsidP="00301090">
          <w:pPr>
            <w:rPr>
              <w:rFonts w:cs="Arial"/>
            </w:rPr>
            <w:sectPr w:rsidR="00DD531A" w:rsidRPr="009A3676" w:rsidSect="00B7484C">
              <w:footerReference w:type="default" r:id="rId13"/>
              <w:pgSz w:w="11907" w:h="16840" w:code="9"/>
              <w:pgMar w:top="1134" w:right="1418" w:bottom="851" w:left="1985" w:header="709" w:footer="1021" w:gutter="0"/>
              <w:pgNumType w:fmt="lowerRoman" w:start="0"/>
              <w:cols w:space="708"/>
              <w:titlePg/>
              <w:docGrid w:linePitch="360"/>
            </w:sectPr>
          </w:pPr>
        </w:p>
        <w:p w14:paraId="185EAF08" w14:textId="4F9BCC12" w:rsidR="005C5CB2" w:rsidRPr="009A3676" w:rsidRDefault="005C5CB2" w:rsidP="005C5CB2">
          <w:pPr>
            <w:jc w:val="both"/>
            <w:rPr>
              <w:rFonts w:cs="Arial"/>
              <w:color w:val="000000" w:themeColor="text1"/>
              <w:sz w:val="28"/>
            </w:rPr>
          </w:pPr>
          <w:r w:rsidRPr="009A3676">
            <w:rPr>
              <w:rFonts w:cs="Arial"/>
              <w:b/>
              <w:bCs/>
              <w:color w:val="000000" w:themeColor="text1"/>
              <w:sz w:val="28"/>
            </w:rPr>
            <w:lastRenderedPageBreak/>
            <w:t>ABSTRACT</w:t>
          </w:r>
          <w:r w:rsidRPr="009A3676">
            <w:rPr>
              <w:rFonts w:cs="Arial"/>
              <w:b/>
              <w:bCs/>
              <w:i/>
              <w:iCs/>
              <w:color w:val="000000" w:themeColor="text1"/>
              <w:sz w:val="28"/>
            </w:rPr>
            <w:t xml:space="preserve"> </w:t>
          </w:r>
        </w:p>
        <w:p w14:paraId="0C688065" w14:textId="2773EB76" w:rsidR="0081200C" w:rsidRPr="009A3676" w:rsidRDefault="00FA668E" w:rsidP="009D079C">
          <w:pPr>
            <w:rPr>
              <w:rStyle w:val="Strong"/>
              <w:rFonts w:cs="Arial"/>
              <w:b w:val="0"/>
              <w:bCs w:val="0"/>
            </w:rPr>
          </w:pPr>
          <w:r>
            <w:rPr>
              <w:rStyle w:val="Strong"/>
              <w:rFonts w:cs="Arial"/>
              <w:b w:val="0"/>
              <w:bCs w:val="0"/>
            </w:rPr>
            <w:t>An ISMS is an important system within an organisation. Through research performed into different ISMS frameworks, it is possible to produce a (basic) framework in order to fulfil the tasks of the module</w:t>
          </w:r>
          <w:r w:rsidR="00573F30">
            <w:rPr>
              <w:rStyle w:val="Strong"/>
              <w:rFonts w:cs="Arial"/>
              <w:b w:val="0"/>
              <w:bCs w:val="0"/>
            </w:rPr>
            <w:t xml:space="preserve"> and ensure that the </w:t>
          </w:r>
          <w:r w:rsidR="00513E05">
            <w:rPr>
              <w:rStyle w:val="Strong"/>
              <w:rFonts w:cs="Arial"/>
              <w:b w:val="0"/>
              <w:bCs w:val="0"/>
            </w:rPr>
            <w:t>needs of CaribbeanCoffee are met to guarantee data security, governance and compliance.</w:t>
          </w:r>
        </w:p>
        <w:p w14:paraId="7CD4F869" w14:textId="77777777" w:rsidR="001B15C3" w:rsidRPr="009A3676" w:rsidRDefault="001B15C3" w:rsidP="0081200C">
          <w:pPr>
            <w:jc w:val="both"/>
            <w:rPr>
              <w:rFonts w:cs="Arial"/>
              <w:b/>
              <w:bCs/>
              <w:color w:val="000000" w:themeColor="text1"/>
            </w:rPr>
          </w:pPr>
        </w:p>
        <w:p w14:paraId="114AE18A" w14:textId="77777777" w:rsidR="001B15C3" w:rsidRPr="009A3676" w:rsidRDefault="001B15C3" w:rsidP="001B15C3">
          <w:pPr>
            <w:pStyle w:val="BodyText3"/>
            <w:rPr>
              <w:rFonts w:ascii="Arial" w:hAnsi="Arial" w:cs="Arial"/>
              <w:b/>
              <w:bCs/>
              <w:color w:val="000000" w:themeColor="text1"/>
              <w:szCs w:val="24"/>
            </w:rPr>
          </w:pPr>
        </w:p>
        <w:p w14:paraId="00BB1552" w14:textId="77777777" w:rsidR="001B15C3" w:rsidRPr="009A3676" w:rsidRDefault="001B15C3" w:rsidP="001B15C3">
          <w:pPr>
            <w:pStyle w:val="BodyText3"/>
            <w:rPr>
              <w:rFonts w:ascii="Arial" w:hAnsi="Arial" w:cs="Arial"/>
              <w:b/>
              <w:bCs/>
              <w:color w:val="000000" w:themeColor="text1"/>
              <w:szCs w:val="24"/>
            </w:rPr>
          </w:pPr>
        </w:p>
        <w:p w14:paraId="0FB9FA74" w14:textId="77777777" w:rsidR="001B15C3" w:rsidRPr="009A3676" w:rsidRDefault="001B15C3" w:rsidP="001B15C3">
          <w:pPr>
            <w:pStyle w:val="TOCHeading"/>
            <w:rPr>
              <w:rFonts w:ascii="Arial" w:eastAsia="Times New Roman" w:hAnsi="Arial" w:cs="Arial"/>
              <w:color w:val="auto"/>
              <w:sz w:val="28"/>
              <w:szCs w:val="28"/>
              <w:lang w:val="en-GB" w:eastAsia="en-GB"/>
            </w:rPr>
          </w:pPr>
        </w:p>
        <w:p w14:paraId="539300AC" w14:textId="77777777" w:rsidR="001B15C3" w:rsidRPr="009A3676" w:rsidRDefault="001B15C3">
          <w:pPr>
            <w:spacing w:after="160" w:line="259" w:lineRule="auto"/>
            <w:rPr>
              <w:rFonts w:cs="Arial"/>
              <w:sz w:val="28"/>
              <w:szCs w:val="28"/>
            </w:rPr>
          </w:pPr>
          <w:r w:rsidRPr="009A3676">
            <w:rPr>
              <w:rFonts w:cs="Arial"/>
              <w:sz w:val="28"/>
              <w:szCs w:val="28"/>
            </w:rPr>
            <w:br w:type="page"/>
          </w:r>
        </w:p>
        <w:sdt>
          <w:sdtPr>
            <w:rPr>
              <w:rFonts w:ascii="Arial" w:eastAsia="Times New Roman" w:hAnsi="Arial" w:cs="Arial"/>
              <w:color w:val="auto"/>
              <w:sz w:val="28"/>
              <w:szCs w:val="28"/>
              <w:lang w:val="en-GB" w:eastAsia="en-GB"/>
            </w:rPr>
            <w:id w:val="638382681"/>
            <w:docPartObj>
              <w:docPartGallery w:val="Table of Contents"/>
              <w:docPartUnique/>
            </w:docPartObj>
          </w:sdtPr>
          <w:sdtEndPr>
            <w:rPr>
              <w:b/>
              <w:bCs/>
              <w:noProof/>
              <w:sz w:val="24"/>
              <w:szCs w:val="20"/>
            </w:rPr>
          </w:sdtEndPr>
          <w:sdtContent>
            <w:p w14:paraId="037F6ABD" w14:textId="2CE7CC3D" w:rsidR="009576BE" w:rsidRPr="0099481F" w:rsidRDefault="00DB0753">
              <w:pPr>
                <w:pStyle w:val="TOCHeading"/>
                <w:rPr>
                  <w:rFonts w:ascii="Arial" w:hAnsi="Arial" w:cs="Arial"/>
                  <w:b/>
                  <w:bCs/>
                  <w:color w:val="auto"/>
                </w:rPr>
              </w:pPr>
              <w:r w:rsidRPr="0099481F">
                <w:rPr>
                  <w:rFonts w:ascii="Arial" w:hAnsi="Arial" w:cs="Arial"/>
                  <w:b/>
                  <w:bCs/>
                  <w:color w:val="auto"/>
                </w:rPr>
                <w:t>Table of C</w:t>
              </w:r>
              <w:r w:rsidR="009576BE" w:rsidRPr="0099481F">
                <w:rPr>
                  <w:rFonts w:ascii="Arial" w:hAnsi="Arial" w:cs="Arial"/>
                  <w:b/>
                  <w:bCs/>
                  <w:color w:val="auto"/>
                </w:rPr>
                <w:t>ontents</w:t>
              </w:r>
            </w:p>
            <w:p w14:paraId="13B34549" w14:textId="356F11C2" w:rsidR="009709E8" w:rsidRDefault="009576BE">
              <w:pPr>
                <w:pStyle w:val="TOC1"/>
                <w:tabs>
                  <w:tab w:val="right" w:leader="dot" w:pos="8494"/>
                </w:tabs>
                <w:rPr>
                  <w:rFonts w:asciiTheme="minorHAnsi" w:eastAsiaTheme="minorEastAsia" w:hAnsiTheme="minorHAnsi" w:cstheme="minorBidi"/>
                  <w:noProof/>
                  <w:sz w:val="22"/>
                  <w:szCs w:val="22"/>
                </w:rPr>
              </w:pPr>
              <w:r w:rsidRPr="009A3676">
                <w:rPr>
                  <w:rFonts w:cs="Arial"/>
                </w:rPr>
                <w:fldChar w:fldCharType="begin"/>
              </w:r>
              <w:r w:rsidRPr="009A3676">
                <w:rPr>
                  <w:rFonts w:cs="Arial"/>
                </w:rPr>
                <w:instrText xml:space="preserve"> TOC \o "1-3" \h \z \u </w:instrText>
              </w:r>
              <w:r w:rsidRPr="009A3676">
                <w:rPr>
                  <w:rFonts w:cs="Arial"/>
                </w:rPr>
                <w:fldChar w:fldCharType="separate"/>
              </w:r>
              <w:hyperlink w:anchor="_Toc57907774" w:history="1">
                <w:r w:rsidR="009709E8" w:rsidRPr="005E4D12">
                  <w:rPr>
                    <w:rStyle w:val="Hyperlink"/>
                    <w:noProof/>
                  </w:rPr>
                  <w:t>Table of Figures</w:t>
                </w:r>
                <w:r w:rsidR="009709E8">
                  <w:rPr>
                    <w:noProof/>
                    <w:webHidden/>
                  </w:rPr>
                  <w:tab/>
                </w:r>
                <w:r w:rsidR="009709E8">
                  <w:rPr>
                    <w:noProof/>
                    <w:webHidden/>
                  </w:rPr>
                  <w:fldChar w:fldCharType="begin"/>
                </w:r>
                <w:r w:rsidR="009709E8">
                  <w:rPr>
                    <w:noProof/>
                    <w:webHidden/>
                  </w:rPr>
                  <w:instrText xml:space="preserve"> PAGEREF _Toc57907774 \h </w:instrText>
                </w:r>
                <w:r w:rsidR="009709E8">
                  <w:rPr>
                    <w:noProof/>
                    <w:webHidden/>
                  </w:rPr>
                </w:r>
                <w:r w:rsidR="009709E8">
                  <w:rPr>
                    <w:noProof/>
                    <w:webHidden/>
                  </w:rPr>
                  <w:fldChar w:fldCharType="separate"/>
                </w:r>
                <w:r w:rsidR="009709E8">
                  <w:rPr>
                    <w:noProof/>
                    <w:webHidden/>
                  </w:rPr>
                  <w:t>iii</w:t>
                </w:r>
                <w:r w:rsidR="009709E8">
                  <w:rPr>
                    <w:noProof/>
                    <w:webHidden/>
                  </w:rPr>
                  <w:fldChar w:fldCharType="end"/>
                </w:r>
              </w:hyperlink>
            </w:p>
            <w:p w14:paraId="5F75AD80" w14:textId="53D037E7" w:rsidR="009709E8" w:rsidRDefault="00513E05">
              <w:pPr>
                <w:pStyle w:val="TOC1"/>
                <w:tabs>
                  <w:tab w:val="right" w:leader="dot" w:pos="8494"/>
                </w:tabs>
                <w:rPr>
                  <w:rFonts w:asciiTheme="minorHAnsi" w:eastAsiaTheme="minorEastAsia" w:hAnsiTheme="minorHAnsi" w:cstheme="minorBidi"/>
                  <w:noProof/>
                  <w:sz w:val="22"/>
                  <w:szCs w:val="22"/>
                </w:rPr>
              </w:pPr>
              <w:hyperlink w:anchor="_Toc57907775" w:history="1">
                <w:r w:rsidR="009709E8" w:rsidRPr="005E4D12">
                  <w:rPr>
                    <w:rStyle w:val="Hyperlink"/>
                    <w:noProof/>
                  </w:rPr>
                  <w:t>Table of Tables</w:t>
                </w:r>
                <w:r w:rsidR="009709E8">
                  <w:rPr>
                    <w:noProof/>
                    <w:webHidden/>
                  </w:rPr>
                  <w:tab/>
                </w:r>
                <w:r w:rsidR="009709E8">
                  <w:rPr>
                    <w:noProof/>
                    <w:webHidden/>
                  </w:rPr>
                  <w:fldChar w:fldCharType="begin"/>
                </w:r>
                <w:r w:rsidR="009709E8">
                  <w:rPr>
                    <w:noProof/>
                    <w:webHidden/>
                  </w:rPr>
                  <w:instrText xml:space="preserve"> PAGEREF _Toc57907775 \h </w:instrText>
                </w:r>
                <w:r w:rsidR="009709E8">
                  <w:rPr>
                    <w:noProof/>
                    <w:webHidden/>
                  </w:rPr>
                </w:r>
                <w:r w:rsidR="009709E8">
                  <w:rPr>
                    <w:noProof/>
                    <w:webHidden/>
                  </w:rPr>
                  <w:fldChar w:fldCharType="separate"/>
                </w:r>
                <w:r w:rsidR="009709E8">
                  <w:rPr>
                    <w:noProof/>
                    <w:webHidden/>
                  </w:rPr>
                  <w:t>iv</w:t>
                </w:r>
                <w:r w:rsidR="009709E8">
                  <w:rPr>
                    <w:noProof/>
                    <w:webHidden/>
                  </w:rPr>
                  <w:fldChar w:fldCharType="end"/>
                </w:r>
              </w:hyperlink>
            </w:p>
            <w:p w14:paraId="408DF93E" w14:textId="7323702E" w:rsidR="009709E8" w:rsidRDefault="00513E05">
              <w:pPr>
                <w:pStyle w:val="TOC1"/>
                <w:tabs>
                  <w:tab w:val="left" w:pos="480"/>
                  <w:tab w:val="right" w:leader="dot" w:pos="8494"/>
                </w:tabs>
                <w:rPr>
                  <w:rFonts w:asciiTheme="minorHAnsi" w:eastAsiaTheme="minorEastAsia" w:hAnsiTheme="minorHAnsi" w:cstheme="minorBidi"/>
                  <w:noProof/>
                  <w:sz w:val="22"/>
                  <w:szCs w:val="22"/>
                </w:rPr>
              </w:pPr>
              <w:hyperlink w:anchor="_Toc57907776" w:history="1">
                <w:r w:rsidR="009709E8" w:rsidRPr="005E4D12">
                  <w:rPr>
                    <w:rStyle w:val="Hyperlink"/>
                    <w:rFonts w:cs="Arial"/>
                    <w:noProof/>
                  </w:rPr>
                  <w:t>1</w:t>
                </w:r>
                <w:r w:rsidR="009709E8">
                  <w:rPr>
                    <w:rFonts w:asciiTheme="minorHAnsi" w:eastAsiaTheme="minorEastAsia" w:hAnsiTheme="minorHAnsi" w:cstheme="minorBidi"/>
                    <w:noProof/>
                    <w:sz w:val="22"/>
                    <w:szCs w:val="22"/>
                  </w:rPr>
                  <w:tab/>
                </w:r>
                <w:r w:rsidR="009709E8" w:rsidRPr="005E4D12">
                  <w:rPr>
                    <w:rStyle w:val="Hyperlink"/>
                    <w:rFonts w:cs="Arial"/>
                    <w:noProof/>
                  </w:rPr>
                  <w:t>Introduction</w:t>
                </w:r>
                <w:r w:rsidR="009709E8">
                  <w:rPr>
                    <w:noProof/>
                    <w:webHidden/>
                  </w:rPr>
                  <w:tab/>
                </w:r>
                <w:r w:rsidR="009709E8">
                  <w:rPr>
                    <w:noProof/>
                    <w:webHidden/>
                  </w:rPr>
                  <w:fldChar w:fldCharType="begin"/>
                </w:r>
                <w:r w:rsidR="009709E8">
                  <w:rPr>
                    <w:noProof/>
                    <w:webHidden/>
                  </w:rPr>
                  <w:instrText xml:space="preserve"> PAGEREF _Toc57907776 \h </w:instrText>
                </w:r>
                <w:r w:rsidR="009709E8">
                  <w:rPr>
                    <w:noProof/>
                    <w:webHidden/>
                  </w:rPr>
                </w:r>
                <w:r w:rsidR="009709E8">
                  <w:rPr>
                    <w:noProof/>
                    <w:webHidden/>
                  </w:rPr>
                  <w:fldChar w:fldCharType="separate"/>
                </w:r>
                <w:r w:rsidR="009709E8">
                  <w:rPr>
                    <w:noProof/>
                    <w:webHidden/>
                  </w:rPr>
                  <w:t>1</w:t>
                </w:r>
                <w:r w:rsidR="009709E8">
                  <w:rPr>
                    <w:noProof/>
                    <w:webHidden/>
                  </w:rPr>
                  <w:fldChar w:fldCharType="end"/>
                </w:r>
              </w:hyperlink>
            </w:p>
            <w:p w14:paraId="219F8F06" w14:textId="514CBF66" w:rsidR="009709E8" w:rsidRDefault="00513E05">
              <w:pPr>
                <w:pStyle w:val="TOC1"/>
                <w:tabs>
                  <w:tab w:val="left" w:pos="480"/>
                  <w:tab w:val="right" w:leader="dot" w:pos="8494"/>
                </w:tabs>
                <w:rPr>
                  <w:rFonts w:asciiTheme="minorHAnsi" w:eastAsiaTheme="minorEastAsia" w:hAnsiTheme="minorHAnsi" w:cstheme="minorBidi"/>
                  <w:noProof/>
                  <w:sz w:val="22"/>
                  <w:szCs w:val="22"/>
                </w:rPr>
              </w:pPr>
              <w:hyperlink w:anchor="_Toc57907777" w:history="1">
                <w:r w:rsidR="009709E8" w:rsidRPr="005E4D12">
                  <w:rPr>
                    <w:rStyle w:val="Hyperlink"/>
                    <w:noProof/>
                  </w:rPr>
                  <w:t>2</w:t>
                </w:r>
                <w:r w:rsidR="009709E8">
                  <w:rPr>
                    <w:rFonts w:asciiTheme="minorHAnsi" w:eastAsiaTheme="minorEastAsia" w:hAnsiTheme="minorHAnsi" w:cstheme="minorBidi"/>
                    <w:noProof/>
                    <w:sz w:val="22"/>
                    <w:szCs w:val="22"/>
                  </w:rPr>
                  <w:tab/>
                </w:r>
                <w:r w:rsidR="009709E8" w:rsidRPr="005E4D12">
                  <w:rPr>
                    <w:rStyle w:val="Hyperlink"/>
                    <w:noProof/>
                  </w:rPr>
                  <w:t>Related Works</w:t>
                </w:r>
                <w:r w:rsidR="009709E8">
                  <w:rPr>
                    <w:noProof/>
                    <w:webHidden/>
                  </w:rPr>
                  <w:tab/>
                </w:r>
                <w:r w:rsidR="009709E8">
                  <w:rPr>
                    <w:noProof/>
                    <w:webHidden/>
                  </w:rPr>
                  <w:fldChar w:fldCharType="begin"/>
                </w:r>
                <w:r w:rsidR="009709E8">
                  <w:rPr>
                    <w:noProof/>
                    <w:webHidden/>
                  </w:rPr>
                  <w:instrText xml:space="preserve"> PAGEREF _Toc57907777 \h </w:instrText>
                </w:r>
                <w:r w:rsidR="009709E8">
                  <w:rPr>
                    <w:noProof/>
                    <w:webHidden/>
                  </w:rPr>
                </w:r>
                <w:r w:rsidR="009709E8">
                  <w:rPr>
                    <w:noProof/>
                    <w:webHidden/>
                  </w:rPr>
                  <w:fldChar w:fldCharType="separate"/>
                </w:r>
                <w:r w:rsidR="009709E8">
                  <w:rPr>
                    <w:noProof/>
                    <w:webHidden/>
                  </w:rPr>
                  <w:t>2</w:t>
                </w:r>
                <w:r w:rsidR="009709E8">
                  <w:rPr>
                    <w:noProof/>
                    <w:webHidden/>
                  </w:rPr>
                  <w:fldChar w:fldCharType="end"/>
                </w:r>
              </w:hyperlink>
            </w:p>
            <w:p w14:paraId="013EA84F" w14:textId="3425FAFC" w:rsidR="009709E8" w:rsidRDefault="00513E05">
              <w:pPr>
                <w:pStyle w:val="TOC2"/>
                <w:tabs>
                  <w:tab w:val="left" w:pos="880"/>
                  <w:tab w:val="right" w:leader="dot" w:pos="8494"/>
                </w:tabs>
                <w:rPr>
                  <w:rFonts w:asciiTheme="minorHAnsi" w:eastAsiaTheme="minorEastAsia" w:hAnsiTheme="minorHAnsi" w:cstheme="minorBidi"/>
                  <w:noProof/>
                  <w:sz w:val="22"/>
                  <w:szCs w:val="22"/>
                </w:rPr>
              </w:pPr>
              <w:hyperlink w:anchor="_Toc57907778" w:history="1">
                <w:r w:rsidR="009709E8" w:rsidRPr="005E4D12">
                  <w:rPr>
                    <w:rStyle w:val="Hyperlink"/>
                    <w:noProof/>
                  </w:rPr>
                  <w:t>2.1</w:t>
                </w:r>
                <w:r w:rsidR="009709E8">
                  <w:rPr>
                    <w:rFonts w:asciiTheme="minorHAnsi" w:eastAsiaTheme="minorEastAsia" w:hAnsiTheme="minorHAnsi" w:cstheme="minorBidi"/>
                    <w:noProof/>
                    <w:sz w:val="22"/>
                    <w:szCs w:val="22"/>
                  </w:rPr>
                  <w:tab/>
                </w:r>
                <w:r w:rsidR="009709E8" w:rsidRPr="005E4D12">
                  <w:rPr>
                    <w:rStyle w:val="Hyperlink"/>
                    <w:noProof/>
                  </w:rPr>
                  <w:t>ISMS</w:t>
                </w:r>
                <w:r w:rsidR="009709E8">
                  <w:rPr>
                    <w:noProof/>
                    <w:webHidden/>
                  </w:rPr>
                  <w:tab/>
                </w:r>
                <w:r w:rsidR="009709E8">
                  <w:rPr>
                    <w:noProof/>
                    <w:webHidden/>
                  </w:rPr>
                  <w:fldChar w:fldCharType="begin"/>
                </w:r>
                <w:r w:rsidR="009709E8">
                  <w:rPr>
                    <w:noProof/>
                    <w:webHidden/>
                  </w:rPr>
                  <w:instrText xml:space="preserve"> PAGEREF _Toc57907778 \h </w:instrText>
                </w:r>
                <w:r w:rsidR="009709E8">
                  <w:rPr>
                    <w:noProof/>
                    <w:webHidden/>
                  </w:rPr>
                </w:r>
                <w:r w:rsidR="009709E8">
                  <w:rPr>
                    <w:noProof/>
                    <w:webHidden/>
                  </w:rPr>
                  <w:fldChar w:fldCharType="separate"/>
                </w:r>
                <w:r w:rsidR="009709E8">
                  <w:rPr>
                    <w:noProof/>
                    <w:webHidden/>
                  </w:rPr>
                  <w:t>2</w:t>
                </w:r>
                <w:r w:rsidR="009709E8">
                  <w:rPr>
                    <w:noProof/>
                    <w:webHidden/>
                  </w:rPr>
                  <w:fldChar w:fldCharType="end"/>
                </w:r>
              </w:hyperlink>
            </w:p>
            <w:p w14:paraId="5BCB8AFB" w14:textId="121B22BE" w:rsidR="009709E8" w:rsidRDefault="00513E05">
              <w:pPr>
                <w:pStyle w:val="TOC2"/>
                <w:tabs>
                  <w:tab w:val="left" w:pos="880"/>
                  <w:tab w:val="right" w:leader="dot" w:pos="8494"/>
                </w:tabs>
                <w:rPr>
                  <w:rFonts w:asciiTheme="minorHAnsi" w:eastAsiaTheme="minorEastAsia" w:hAnsiTheme="minorHAnsi" w:cstheme="minorBidi"/>
                  <w:noProof/>
                  <w:sz w:val="22"/>
                  <w:szCs w:val="22"/>
                </w:rPr>
              </w:pPr>
              <w:hyperlink w:anchor="_Toc57907779" w:history="1">
                <w:r w:rsidR="009709E8" w:rsidRPr="005E4D12">
                  <w:rPr>
                    <w:rStyle w:val="Hyperlink"/>
                    <w:noProof/>
                  </w:rPr>
                  <w:t>2.2</w:t>
                </w:r>
                <w:r w:rsidR="009709E8">
                  <w:rPr>
                    <w:rFonts w:asciiTheme="minorHAnsi" w:eastAsiaTheme="minorEastAsia" w:hAnsiTheme="minorHAnsi" w:cstheme="minorBidi"/>
                    <w:noProof/>
                    <w:sz w:val="22"/>
                    <w:szCs w:val="22"/>
                  </w:rPr>
                  <w:tab/>
                </w:r>
                <w:r w:rsidR="009709E8" w:rsidRPr="005E4D12">
                  <w:rPr>
                    <w:rStyle w:val="Hyperlink"/>
                    <w:noProof/>
                  </w:rPr>
                  <w:t>ITIL</w:t>
                </w:r>
                <w:r w:rsidR="009709E8">
                  <w:rPr>
                    <w:noProof/>
                    <w:webHidden/>
                  </w:rPr>
                  <w:tab/>
                </w:r>
                <w:r w:rsidR="009709E8">
                  <w:rPr>
                    <w:noProof/>
                    <w:webHidden/>
                  </w:rPr>
                  <w:fldChar w:fldCharType="begin"/>
                </w:r>
                <w:r w:rsidR="009709E8">
                  <w:rPr>
                    <w:noProof/>
                    <w:webHidden/>
                  </w:rPr>
                  <w:instrText xml:space="preserve"> PAGEREF _Toc57907779 \h </w:instrText>
                </w:r>
                <w:r w:rsidR="009709E8">
                  <w:rPr>
                    <w:noProof/>
                    <w:webHidden/>
                  </w:rPr>
                </w:r>
                <w:r w:rsidR="009709E8">
                  <w:rPr>
                    <w:noProof/>
                    <w:webHidden/>
                  </w:rPr>
                  <w:fldChar w:fldCharType="separate"/>
                </w:r>
                <w:r w:rsidR="009709E8">
                  <w:rPr>
                    <w:noProof/>
                    <w:webHidden/>
                  </w:rPr>
                  <w:t>3</w:t>
                </w:r>
                <w:r w:rsidR="009709E8">
                  <w:rPr>
                    <w:noProof/>
                    <w:webHidden/>
                  </w:rPr>
                  <w:fldChar w:fldCharType="end"/>
                </w:r>
              </w:hyperlink>
            </w:p>
            <w:p w14:paraId="2A9FA670" w14:textId="16A6F3D6" w:rsidR="009709E8" w:rsidRDefault="00513E05">
              <w:pPr>
                <w:pStyle w:val="TOC2"/>
                <w:tabs>
                  <w:tab w:val="left" w:pos="880"/>
                  <w:tab w:val="right" w:leader="dot" w:pos="8494"/>
                </w:tabs>
                <w:rPr>
                  <w:rFonts w:asciiTheme="minorHAnsi" w:eastAsiaTheme="minorEastAsia" w:hAnsiTheme="minorHAnsi" w:cstheme="minorBidi"/>
                  <w:noProof/>
                  <w:sz w:val="22"/>
                  <w:szCs w:val="22"/>
                </w:rPr>
              </w:pPr>
              <w:hyperlink w:anchor="_Toc57907780" w:history="1">
                <w:r w:rsidR="009709E8" w:rsidRPr="005E4D12">
                  <w:rPr>
                    <w:rStyle w:val="Hyperlink"/>
                    <w:noProof/>
                  </w:rPr>
                  <w:t>2.3</w:t>
                </w:r>
                <w:r w:rsidR="009709E8">
                  <w:rPr>
                    <w:rFonts w:asciiTheme="minorHAnsi" w:eastAsiaTheme="minorEastAsia" w:hAnsiTheme="minorHAnsi" w:cstheme="minorBidi"/>
                    <w:noProof/>
                    <w:sz w:val="22"/>
                    <w:szCs w:val="22"/>
                  </w:rPr>
                  <w:tab/>
                </w:r>
                <w:r w:rsidR="009709E8" w:rsidRPr="005E4D12">
                  <w:rPr>
                    <w:rStyle w:val="Hyperlink"/>
                    <w:noProof/>
                  </w:rPr>
                  <w:t>COBIT</w:t>
                </w:r>
                <w:r w:rsidR="009709E8">
                  <w:rPr>
                    <w:noProof/>
                    <w:webHidden/>
                  </w:rPr>
                  <w:tab/>
                </w:r>
                <w:r w:rsidR="009709E8">
                  <w:rPr>
                    <w:noProof/>
                    <w:webHidden/>
                  </w:rPr>
                  <w:fldChar w:fldCharType="begin"/>
                </w:r>
                <w:r w:rsidR="009709E8">
                  <w:rPr>
                    <w:noProof/>
                    <w:webHidden/>
                  </w:rPr>
                  <w:instrText xml:space="preserve"> PAGEREF _Toc57907780 \h </w:instrText>
                </w:r>
                <w:r w:rsidR="009709E8">
                  <w:rPr>
                    <w:noProof/>
                    <w:webHidden/>
                  </w:rPr>
                </w:r>
                <w:r w:rsidR="009709E8">
                  <w:rPr>
                    <w:noProof/>
                    <w:webHidden/>
                  </w:rPr>
                  <w:fldChar w:fldCharType="separate"/>
                </w:r>
                <w:r w:rsidR="009709E8">
                  <w:rPr>
                    <w:noProof/>
                    <w:webHidden/>
                  </w:rPr>
                  <w:t>4</w:t>
                </w:r>
                <w:r w:rsidR="009709E8">
                  <w:rPr>
                    <w:noProof/>
                    <w:webHidden/>
                  </w:rPr>
                  <w:fldChar w:fldCharType="end"/>
                </w:r>
              </w:hyperlink>
            </w:p>
            <w:p w14:paraId="49C0E12A" w14:textId="51691200" w:rsidR="009709E8" w:rsidRDefault="00513E05">
              <w:pPr>
                <w:pStyle w:val="TOC2"/>
                <w:tabs>
                  <w:tab w:val="left" w:pos="880"/>
                  <w:tab w:val="right" w:leader="dot" w:pos="8494"/>
                </w:tabs>
                <w:rPr>
                  <w:rFonts w:asciiTheme="minorHAnsi" w:eastAsiaTheme="minorEastAsia" w:hAnsiTheme="minorHAnsi" w:cstheme="minorBidi"/>
                  <w:noProof/>
                  <w:sz w:val="22"/>
                  <w:szCs w:val="22"/>
                </w:rPr>
              </w:pPr>
              <w:hyperlink w:anchor="_Toc57907781" w:history="1">
                <w:r w:rsidR="009709E8" w:rsidRPr="005E4D12">
                  <w:rPr>
                    <w:rStyle w:val="Hyperlink"/>
                    <w:noProof/>
                  </w:rPr>
                  <w:t>2.4</w:t>
                </w:r>
                <w:r w:rsidR="009709E8">
                  <w:rPr>
                    <w:rFonts w:asciiTheme="minorHAnsi" w:eastAsiaTheme="minorEastAsia" w:hAnsiTheme="minorHAnsi" w:cstheme="minorBidi"/>
                    <w:noProof/>
                    <w:sz w:val="22"/>
                    <w:szCs w:val="22"/>
                  </w:rPr>
                  <w:tab/>
                </w:r>
                <w:r w:rsidR="009709E8" w:rsidRPr="005E4D12">
                  <w:rPr>
                    <w:rStyle w:val="Hyperlink"/>
                    <w:noProof/>
                  </w:rPr>
                  <w:t>ISO27001</w:t>
                </w:r>
                <w:r w:rsidR="009709E8">
                  <w:rPr>
                    <w:noProof/>
                    <w:webHidden/>
                  </w:rPr>
                  <w:tab/>
                </w:r>
                <w:r w:rsidR="009709E8">
                  <w:rPr>
                    <w:noProof/>
                    <w:webHidden/>
                  </w:rPr>
                  <w:fldChar w:fldCharType="begin"/>
                </w:r>
                <w:r w:rsidR="009709E8">
                  <w:rPr>
                    <w:noProof/>
                    <w:webHidden/>
                  </w:rPr>
                  <w:instrText xml:space="preserve"> PAGEREF _Toc57907781 \h </w:instrText>
                </w:r>
                <w:r w:rsidR="009709E8">
                  <w:rPr>
                    <w:noProof/>
                    <w:webHidden/>
                  </w:rPr>
                </w:r>
                <w:r w:rsidR="009709E8">
                  <w:rPr>
                    <w:noProof/>
                    <w:webHidden/>
                  </w:rPr>
                  <w:fldChar w:fldCharType="separate"/>
                </w:r>
                <w:r w:rsidR="009709E8">
                  <w:rPr>
                    <w:noProof/>
                    <w:webHidden/>
                  </w:rPr>
                  <w:t>4</w:t>
                </w:r>
                <w:r w:rsidR="009709E8">
                  <w:rPr>
                    <w:noProof/>
                    <w:webHidden/>
                  </w:rPr>
                  <w:fldChar w:fldCharType="end"/>
                </w:r>
              </w:hyperlink>
            </w:p>
            <w:p w14:paraId="078AF73B" w14:textId="22E9A2FF" w:rsidR="009709E8" w:rsidRDefault="00513E05">
              <w:pPr>
                <w:pStyle w:val="TOC2"/>
                <w:tabs>
                  <w:tab w:val="left" w:pos="880"/>
                  <w:tab w:val="right" w:leader="dot" w:pos="8494"/>
                </w:tabs>
                <w:rPr>
                  <w:rFonts w:asciiTheme="minorHAnsi" w:eastAsiaTheme="minorEastAsia" w:hAnsiTheme="minorHAnsi" w:cstheme="minorBidi"/>
                  <w:noProof/>
                  <w:sz w:val="22"/>
                  <w:szCs w:val="22"/>
                </w:rPr>
              </w:pPr>
              <w:hyperlink w:anchor="_Toc57907782" w:history="1">
                <w:r w:rsidR="009709E8" w:rsidRPr="005E4D12">
                  <w:rPr>
                    <w:rStyle w:val="Hyperlink"/>
                    <w:noProof/>
                  </w:rPr>
                  <w:t>2.5</w:t>
                </w:r>
                <w:r w:rsidR="009709E8">
                  <w:rPr>
                    <w:rFonts w:asciiTheme="minorHAnsi" w:eastAsiaTheme="minorEastAsia" w:hAnsiTheme="minorHAnsi" w:cstheme="minorBidi"/>
                    <w:noProof/>
                    <w:sz w:val="22"/>
                    <w:szCs w:val="22"/>
                  </w:rPr>
                  <w:tab/>
                </w:r>
                <w:r w:rsidR="009709E8" w:rsidRPr="005E4D12">
                  <w:rPr>
                    <w:rStyle w:val="Hyperlink"/>
                    <w:noProof/>
                  </w:rPr>
                  <w:t>NIST CSF</w:t>
                </w:r>
                <w:r w:rsidR="009709E8">
                  <w:rPr>
                    <w:noProof/>
                    <w:webHidden/>
                  </w:rPr>
                  <w:tab/>
                </w:r>
                <w:r w:rsidR="009709E8">
                  <w:rPr>
                    <w:noProof/>
                    <w:webHidden/>
                  </w:rPr>
                  <w:fldChar w:fldCharType="begin"/>
                </w:r>
                <w:r w:rsidR="009709E8">
                  <w:rPr>
                    <w:noProof/>
                    <w:webHidden/>
                  </w:rPr>
                  <w:instrText xml:space="preserve"> PAGEREF _Toc57907782 \h </w:instrText>
                </w:r>
                <w:r w:rsidR="009709E8">
                  <w:rPr>
                    <w:noProof/>
                    <w:webHidden/>
                  </w:rPr>
                </w:r>
                <w:r w:rsidR="009709E8">
                  <w:rPr>
                    <w:noProof/>
                    <w:webHidden/>
                  </w:rPr>
                  <w:fldChar w:fldCharType="separate"/>
                </w:r>
                <w:r w:rsidR="009709E8">
                  <w:rPr>
                    <w:noProof/>
                    <w:webHidden/>
                  </w:rPr>
                  <w:t>5</w:t>
                </w:r>
                <w:r w:rsidR="009709E8">
                  <w:rPr>
                    <w:noProof/>
                    <w:webHidden/>
                  </w:rPr>
                  <w:fldChar w:fldCharType="end"/>
                </w:r>
              </w:hyperlink>
            </w:p>
            <w:p w14:paraId="793B4648" w14:textId="71C7E9B1" w:rsidR="009709E8" w:rsidRDefault="00513E05">
              <w:pPr>
                <w:pStyle w:val="TOC1"/>
                <w:tabs>
                  <w:tab w:val="left" w:pos="480"/>
                  <w:tab w:val="right" w:leader="dot" w:pos="8494"/>
                </w:tabs>
                <w:rPr>
                  <w:rFonts w:asciiTheme="minorHAnsi" w:eastAsiaTheme="minorEastAsia" w:hAnsiTheme="minorHAnsi" w:cstheme="minorBidi"/>
                  <w:noProof/>
                  <w:sz w:val="22"/>
                  <w:szCs w:val="22"/>
                </w:rPr>
              </w:pPr>
              <w:hyperlink w:anchor="_Toc57907783" w:history="1">
                <w:r w:rsidR="009709E8" w:rsidRPr="005E4D12">
                  <w:rPr>
                    <w:rStyle w:val="Hyperlink"/>
                    <w:noProof/>
                  </w:rPr>
                  <w:t>3</w:t>
                </w:r>
                <w:r w:rsidR="009709E8">
                  <w:rPr>
                    <w:rFonts w:asciiTheme="minorHAnsi" w:eastAsiaTheme="minorEastAsia" w:hAnsiTheme="minorHAnsi" w:cstheme="minorBidi"/>
                    <w:noProof/>
                    <w:sz w:val="22"/>
                    <w:szCs w:val="22"/>
                  </w:rPr>
                  <w:tab/>
                </w:r>
                <w:r w:rsidR="009709E8" w:rsidRPr="005E4D12">
                  <w:rPr>
                    <w:rStyle w:val="Hyperlink"/>
                    <w:noProof/>
                  </w:rPr>
                  <w:t>Framework Comparison</w:t>
                </w:r>
                <w:r w:rsidR="009709E8">
                  <w:rPr>
                    <w:noProof/>
                    <w:webHidden/>
                  </w:rPr>
                  <w:tab/>
                </w:r>
                <w:r w:rsidR="009709E8">
                  <w:rPr>
                    <w:noProof/>
                    <w:webHidden/>
                  </w:rPr>
                  <w:fldChar w:fldCharType="begin"/>
                </w:r>
                <w:r w:rsidR="009709E8">
                  <w:rPr>
                    <w:noProof/>
                    <w:webHidden/>
                  </w:rPr>
                  <w:instrText xml:space="preserve"> PAGEREF _Toc57907783 \h </w:instrText>
                </w:r>
                <w:r w:rsidR="009709E8">
                  <w:rPr>
                    <w:noProof/>
                    <w:webHidden/>
                  </w:rPr>
                </w:r>
                <w:r w:rsidR="009709E8">
                  <w:rPr>
                    <w:noProof/>
                    <w:webHidden/>
                  </w:rPr>
                  <w:fldChar w:fldCharType="separate"/>
                </w:r>
                <w:r w:rsidR="009709E8">
                  <w:rPr>
                    <w:noProof/>
                    <w:webHidden/>
                  </w:rPr>
                  <w:t>7</w:t>
                </w:r>
                <w:r w:rsidR="009709E8">
                  <w:rPr>
                    <w:noProof/>
                    <w:webHidden/>
                  </w:rPr>
                  <w:fldChar w:fldCharType="end"/>
                </w:r>
              </w:hyperlink>
            </w:p>
            <w:p w14:paraId="72042CAB" w14:textId="43188EC5" w:rsidR="009709E8" w:rsidRDefault="00513E05">
              <w:pPr>
                <w:pStyle w:val="TOC1"/>
                <w:tabs>
                  <w:tab w:val="left" w:pos="480"/>
                  <w:tab w:val="right" w:leader="dot" w:pos="8494"/>
                </w:tabs>
                <w:rPr>
                  <w:rFonts w:asciiTheme="minorHAnsi" w:eastAsiaTheme="minorEastAsia" w:hAnsiTheme="minorHAnsi" w:cstheme="minorBidi"/>
                  <w:noProof/>
                  <w:sz w:val="22"/>
                  <w:szCs w:val="22"/>
                </w:rPr>
              </w:pPr>
              <w:hyperlink w:anchor="_Toc57907784" w:history="1">
                <w:r w:rsidR="009709E8" w:rsidRPr="005E4D12">
                  <w:rPr>
                    <w:rStyle w:val="Hyperlink"/>
                    <w:noProof/>
                  </w:rPr>
                  <w:t>4</w:t>
                </w:r>
                <w:r w:rsidR="009709E8">
                  <w:rPr>
                    <w:rFonts w:asciiTheme="minorHAnsi" w:eastAsiaTheme="minorEastAsia" w:hAnsiTheme="minorHAnsi" w:cstheme="minorBidi"/>
                    <w:noProof/>
                    <w:sz w:val="22"/>
                    <w:szCs w:val="22"/>
                  </w:rPr>
                  <w:tab/>
                </w:r>
                <w:r w:rsidR="009709E8" w:rsidRPr="005E4D12">
                  <w:rPr>
                    <w:rStyle w:val="Hyperlink"/>
                    <w:noProof/>
                  </w:rPr>
                  <w:t>Framework Proposal</w:t>
                </w:r>
                <w:r w:rsidR="009709E8">
                  <w:rPr>
                    <w:noProof/>
                    <w:webHidden/>
                  </w:rPr>
                  <w:tab/>
                </w:r>
                <w:r w:rsidR="009709E8">
                  <w:rPr>
                    <w:noProof/>
                    <w:webHidden/>
                  </w:rPr>
                  <w:fldChar w:fldCharType="begin"/>
                </w:r>
                <w:r w:rsidR="009709E8">
                  <w:rPr>
                    <w:noProof/>
                    <w:webHidden/>
                  </w:rPr>
                  <w:instrText xml:space="preserve"> PAGEREF _Toc57907784 \h </w:instrText>
                </w:r>
                <w:r w:rsidR="009709E8">
                  <w:rPr>
                    <w:noProof/>
                    <w:webHidden/>
                  </w:rPr>
                </w:r>
                <w:r w:rsidR="009709E8">
                  <w:rPr>
                    <w:noProof/>
                    <w:webHidden/>
                  </w:rPr>
                  <w:fldChar w:fldCharType="separate"/>
                </w:r>
                <w:r w:rsidR="009709E8">
                  <w:rPr>
                    <w:noProof/>
                    <w:webHidden/>
                  </w:rPr>
                  <w:t>10</w:t>
                </w:r>
                <w:r w:rsidR="009709E8">
                  <w:rPr>
                    <w:noProof/>
                    <w:webHidden/>
                  </w:rPr>
                  <w:fldChar w:fldCharType="end"/>
                </w:r>
              </w:hyperlink>
            </w:p>
            <w:p w14:paraId="25328758" w14:textId="4C9250BC" w:rsidR="009709E8" w:rsidRDefault="00513E05">
              <w:pPr>
                <w:pStyle w:val="TOC1"/>
                <w:tabs>
                  <w:tab w:val="left" w:pos="480"/>
                  <w:tab w:val="right" w:leader="dot" w:pos="8494"/>
                </w:tabs>
                <w:rPr>
                  <w:rFonts w:asciiTheme="minorHAnsi" w:eastAsiaTheme="minorEastAsia" w:hAnsiTheme="minorHAnsi" w:cstheme="minorBidi"/>
                  <w:noProof/>
                  <w:sz w:val="22"/>
                  <w:szCs w:val="22"/>
                </w:rPr>
              </w:pPr>
              <w:hyperlink w:anchor="_Toc57907785" w:history="1">
                <w:r w:rsidR="009709E8" w:rsidRPr="005E4D12">
                  <w:rPr>
                    <w:rStyle w:val="Hyperlink"/>
                    <w:rFonts w:cs="Arial"/>
                    <w:noProof/>
                  </w:rPr>
                  <w:t>5</w:t>
                </w:r>
                <w:r w:rsidR="009709E8">
                  <w:rPr>
                    <w:rFonts w:asciiTheme="minorHAnsi" w:eastAsiaTheme="minorEastAsia" w:hAnsiTheme="minorHAnsi" w:cstheme="minorBidi"/>
                    <w:noProof/>
                    <w:sz w:val="22"/>
                    <w:szCs w:val="22"/>
                  </w:rPr>
                  <w:tab/>
                </w:r>
                <w:r w:rsidR="009709E8" w:rsidRPr="005E4D12">
                  <w:rPr>
                    <w:rStyle w:val="Hyperlink"/>
                    <w:rFonts w:cs="Arial"/>
                    <w:noProof/>
                  </w:rPr>
                  <w:t>Conclusion</w:t>
                </w:r>
                <w:r w:rsidR="009709E8">
                  <w:rPr>
                    <w:noProof/>
                    <w:webHidden/>
                  </w:rPr>
                  <w:tab/>
                </w:r>
                <w:r w:rsidR="009709E8">
                  <w:rPr>
                    <w:noProof/>
                    <w:webHidden/>
                  </w:rPr>
                  <w:fldChar w:fldCharType="begin"/>
                </w:r>
                <w:r w:rsidR="009709E8">
                  <w:rPr>
                    <w:noProof/>
                    <w:webHidden/>
                  </w:rPr>
                  <w:instrText xml:space="preserve"> PAGEREF _Toc57907785 \h </w:instrText>
                </w:r>
                <w:r w:rsidR="009709E8">
                  <w:rPr>
                    <w:noProof/>
                    <w:webHidden/>
                  </w:rPr>
                </w:r>
                <w:r w:rsidR="009709E8">
                  <w:rPr>
                    <w:noProof/>
                    <w:webHidden/>
                  </w:rPr>
                  <w:fldChar w:fldCharType="separate"/>
                </w:r>
                <w:r w:rsidR="009709E8">
                  <w:rPr>
                    <w:noProof/>
                    <w:webHidden/>
                  </w:rPr>
                  <w:t>11</w:t>
                </w:r>
                <w:r w:rsidR="009709E8">
                  <w:rPr>
                    <w:noProof/>
                    <w:webHidden/>
                  </w:rPr>
                  <w:fldChar w:fldCharType="end"/>
                </w:r>
              </w:hyperlink>
            </w:p>
            <w:p w14:paraId="1E7F121D" w14:textId="7D8B04D9" w:rsidR="009709E8" w:rsidRDefault="00513E05">
              <w:pPr>
                <w:pStyle w:val="TOC1"/>
                <w:tabs>
                  <w:tab w:val="left" w:pos="480"/>
                  <w:tab w:val="right" w:leader="dot" w:pos="8494"/>
                </w:tabs>
                <w:rPr>
                  <w:rFonts w:asciiTheme="minorHAnsi" w:eastAsiaTheme="minorEastAsia" w:hAnsiTheme="minorHAnsi" w:cstheme="minorBidi"/>
                  <w:noProof/>
                  <w:sz w:val="22"/>
                  <w:szCs w:val="22"/>
                </w:rPr>
              </w:pPr>
              <w:hyperlink w:anchor="_Toc57907786" w:history="1">
                <w:r w:rsidR="009709E8" w:rsidRPr="005E4D12">
                  <w:rPr>
                    <w:rStyle w:val="Hyperlink"/>
                    <w:rFonts w:cs="Arial"/>
                    <w:noProof/>
                  </w:rPr>
                  <w:t>6</w:t>
                </w:r>
                <w:r w:rsidR="009709E8">
                  <w:rPr>
                    <w:rFonts w:asciiTheme="minorHAnsi" w:eastAsiaTheme="minorEastAsia" w:hAnsiTheme="minorHAnsi" w:cstheme="minorBidi"/>
                    <w:noProof/>
                    <w:sz w:val="22"/>
                    <w:szCs w:val="22"/>
                  </w:rPr>
                  <w:tab/>
                </w:r>
                <w:r w:rsidR="009709E8" w:rsidRPr="005E4D12">
                  <w:rPr>
                    <w:rStyle w:val="Hyperlink"/>
                    <w:rFonts w:cs="Arial"/>
                    <w:noProof/>
                  </w:rPr>
                  <w:t>References</w:t>
                </w:r>
                <w:r w:rsidR="009709E8">
                  <w:rPr>
                    <w:noProof/>
                    <w:webHidden/>
                  </w:rPr>
                  <w:tab/>
                </w:r>
                <w:r w:rsidR="009709E8">
                  <w:rPr>
                    <w:noProof/>
                    <w:webHidden/>
                  </w:rPr>
                  <w:fldChar w:fldCharType="begin"/>
                </w:r>
                <w:r w:rsidR="009709E8">
                  <w:rPr>
                    <w:noProof/>
                    <w:webHidden/>
                  </w:rPr>
                  <w:instrText xml:space="preserve"> PAGEREF _Toc57907786 \h </w:instrText>
                </w:r>
                <w:r w:rsidR="009709E8">
                  <w:rPr>
                    <w:noProof/>
                    <w:webHidden/>
                  </w:rPr>
                </w:r>
                <w:r w:rsidR="009709E8">
                  <w:rPr>
                    <w:noProof/>
                    <w:webHidden/>
                  </w:rPr>
                  <w:fldChar w:fldCharType="separate"/>
                </w:r>
                <w:r w:rsidR="009709E8">
                  <w:rPr>
                    <w:noProof/>
                    <w:webHidden/>
                  </w:rPr>
                  <w:t>12</w:t>
                </w:r>
                <w:r w:rsidR="009709E8">
                  <w:rPr>
                    <w:noProof/>
                    <w:webHidden/>
                  </w:rPr>
                  <w:fldChar w:fldCharType="end"/>
                </w:r>
              </w:hyperlink>
            </w:p>
            <w:p w14:paraId="0BE69F88" w14:textId="01ECEB3C" w:rsidR="009709E8" w:rsidRDefault="00513E05">
              <w:pPr>
                <w:pStyle w:val="TOC1"/>
                <w:tabs>
                  <w:tab w:val="right" w:leader="dot" w:pos="8494"/>
                </w:tabs>
                <w:rPr>
                  <w:rFonts w:asciiTheme="minorHAnsi" w:eastAsiaTheme="minorEastAsia" w:hAnsiTheme="minorHAnsi" w:cstheme="minorBidi"/>
                  <w:noProof/>
                  <w:sz w:val="22"/>
                  <w:szCs w:val="22"/>
                </w:rPr>
              </w:pPr>
              <w:hyperlink w:anchor="_Toc57907787" w:history="1">
                <w:r w:rsidR="009709E8" w:rsidRPr="005E4D12">
                  <w:rPr>
                    <w:rStyle w:val="Hyperlink"/>
                    <w:noProof/>
                  </w:rPr>
                  <w:t>Appendix A Test Cases</w:t>
                </w:r>
                <w:r w:rsidR="009709E8">
                  <w:rPr>
                    <w:noProof/>
                    <w:webHidden/>
                  </w:rPr>
                  <w:tab/>
                </w:r>
                <w:r w:rsidR="009709E8">
                  <w:rPr>
                    <w:noProof/>
                    <w:webHidden/>
                  </w:rPr>
                  <w:fldChar w:fldCharType="begin"/>
                </w:r>
                <w:r w:rsidR="009709E8">
                  <w:rPr>
                    <w:noProof/>
                    <w:webHidden/>
                  </w:rPr>
                  <w:instrText xml:space="preserve"> PAGEREF _Toc57907787 \h </w:instrText>
                </w:r>
                <w:r w:rsidR="009709E8">
                  <w:rPr>
                    <w:noProof/>
                    <w:webHidden/>
                  </w:rPr>
                </w:r>
                <w:r w:rsidR="009709E8">
                  <w:rPr>
                    <w:noProof/>
                    <w:webHidden/>
                  </w:rPr>
                  <w:fldChar w:fldCharType="separate"/>
                </w:r>
                <w:r w:rsidR="009709E8">
                  <w:rPr>
                    <w:noProof/>
                    <w:webHidden/>
                  </w:rPr>
                  <w:t>15</w:t>
                </w:r>
                <w:r w:rsidR="009709E8">
                  <w:rPr>
                    <w:noProof/>
                    <w:webHidden/>
                  </w:rPr>
                  <w:fldChar w:fldCharType="end"/>
                </w:r>
              </w:hyperlink>
            </w:p>
            <w:p w14:paraId="2982D257" w14:textId="7AA10022" w:rsidR="009709E8" w:rsidRDefault="00513E05">
              <w:pPr>
                <w:pStyle w:val="TOC2"/>
                <w:tabs>
                  <w:tab w:val="right" w:leader="dot" w:pos="8494"/>
                </w:tabs>
                <w:rPr>
                  <w:rFonts w:asciiTheme="minorHAnsi" w:eastAsiaTheme="minorEastAsia" w:hAnsiTheme="minorHAnsi" w:cstheme="minorBidi"/>
                  <w:noProof/>
                  <w:sz w:val="22"/>
                  <w:szCs w:val="22"/>
                </w:rPr>
              </w:pPr>
              <w:hyperlink w:anchor="_Toc57907788" w:history="1">
                <w:r w:rsidR="009709E8" w:rsidRPr="005E4D12">
                  <w:rPr>
                    <w:rStyle w:val="Hyperlink"/>
                    <w:noProof/>
                  </w:rPr>
                  <w:t>Appendix A.1 HostAP Test Cases</w:t>
                </w:r>
                <w:r w:rsidR="009709E8">
                  <w:rPr>
                    <w:noProof/>
                    <w:webHidden/>
                  </w:rPr>
                  <w:tab/>
                </w:r>
                <w:r w:rsidR="009709E8">
                  <w:rPr>
                    <w:noProof/>
                    <w:webHidden/>
                  </w:rPr>
                  <w:fldChar w:fldCharType="begin"/>
                </w:r>
                <w:r w:rsidR="009709E8">
                  <w:rPr>
                    <w:noProof/>
                    <w:webHidden/>
                  </w:rPr>
                  <w:instrText xml:space="preserve"> PAGEREF _Toc57907788 \h </w:instrText>
                </w:r>
                <w:r w:rsidR="009709E8">
                  <w:rPr>
                    <w:noProof/>
                    <w:webHidden/>
                  </w:rPr>
                </w:r>
                <w:r w:rsidR="009709E8">
                  <w:rPr>
                    <w:noProof/>
                    <w:webHidden/>
                  </w:rPr>
                  <w:fldChar w:fldCharType="separate"/>
                </w:r>
                <w:r w:rsidR="009709E8">
                  <w:rPr>
                    <w:noProof/>
                    <w:webHidden/>
                  </w:rPr>
                  <w:t>15</w:t>
                </w:r>
                <w:r w:rsidR="009709E8">
                  <w:rPr>
                    <w:noProof/>
                    <w:webHidden/>
                  </w:rPr>
                  <w:fldChar w:fldCharType="end"/>
                </w:r>
              </w:hyperlink>
            </w:p>
            <w:p w14:paraId="548AC891" w14:textId="1ACC1459" w:rsidR="008F307E" w:rsidRPr="009A3676" w:rsidRDefault="009576BE" w:rsidP="008F307E">
              <w:pPr>
                <w:rPr>
                  <w:rFonts w:cs="Arial"/>
                </w:rPr>
              </w:pPr>
              <w:r w:rsidRPr="009A3676">
                <w:rPr>
                  <w:rFonts w:cs="Arial"/>
                  <w:b/>
                  <w:bCs/>
                  <w:noProof/>
                </w:rPr>
                <w:fldChar w:fldCharType="end"/>
              </w:r>
            </w:p>
          </w:sdtContent>
        </w:sdt>
      </w:sdtContent>
    </w:sdt>
    <w:p w14:paraId="3CA0191C" w14:textId="77777777" w:rsidR="008F307E" w:rsidRPr="009A3676" w:rsidRDefault="008F307E">
      <w:pPr>
        <w:spacing w:after="160" w:line="259" w:lineRule="auto"/>
        <w:rPr>
          <w:rFonts w:eastAsiaTheme="majorEastAsia" w:cs="Arial"/>
          <w:noProof/>
          <w:color w:val="2F5496" w:themeColor="accent1" w:themeShade="BF"/>
          <w:sz w:val="28"/>
          <w:szCs w:val="28"/>
          <w:lang w:val="en-US" w:eastAsia="en-US"/>
        </w:rPr>
      </w:pPr>
      <w:r w:rsidRPr="009A3676">
        <w:rPr>
          <w:rFonts w:cs="Arial"/>
          <w:noProof/>
          <w:sz w:val="28"/>
          <w:szCs w:val="28"/>
        </w:rPr>
        <w:br w:type="page"/>
      </w:r>
    </w:p>
    <w:p w14:paraId="36A66827" w14:textId="623194C8" w:rsidR="008F4507" w:rsidRPr="009A3676" w:rsidRDefault="008F4507" w:rsidP="008E4027">
      <w:pPr>
        <w:pStyle w:val="Heading1"/>
        <w:numPr>
          <w:ilvl w:val="0"/>
          <w:numId w:val="0"/>
        </w:numPr>
        <w:rPr>
          <w:noProof/>
        </w:rPr>
      </w:pPr>
      <w:bookmarkStart w:id="0" w:name="_Toc57907774"/>
      <w:r w:rsidRPr="009A3676">
        <w:rPr>
          <w:noProof/>
        </w:rPr>
        <w:lastRenderedPageBreak/>
        <w:t>Table of Figures</w:t>
      </w:r>
      <w:bookmarkEnd w:id="0"/>
    </w:p>
    <w:p w14:paraId="74A43F27" w14:textId="458BCAEF" w:rsidR="00310E2D" w:rsidRDefault="00ED55E3">
      <w:pPr>
        <w:pStyle w:val="TableofFigures"/>
        <w:tabs>
          <w:tab w:val="right" w:leader="dot" w:pos="8494"/>
        </w:tabs>
        <w:rPr>
          <w:rFonts w:asciiTheme="minorHAnsi" w:hAnsiTheme="minorHAnsi"/>
          <w:noProof/>
          <w:sz w:val="22"/>
          <w:lang w:eastAsia="en-GB"/>
        </w:rPr>
      </w:pPr>
      <w:r w:rsidRPr="003A5F97">
        <w:rPr>
          <w:rFonts w:eastAsia="Times New Roman" w:cs="Arial"/>
          <w:b/>
          <w:bCs/>
          <w:noProof/>
          <w:szCs w:val="24"/>
          <w:lang w:eastAsia="en-GB"/>
        </w:rPr>
        <w:fldChar w:fldCharType="begin"/>
      </w:r>
      <w:r w:rsidRPr="003A5F97">
        <w:rPr>
          <w:rFonts w:cs="Arial"/>
          <w:b/>
          <w:bCs/>
          <w:noProof/>
          <w:szCs w:val="24"/>
        </w:rPr>
        <w:instrText xml:space="preserve"> TOC \h \z \c "Figure" </w:instrText>
      </w:r>
      <w:r w:rsidRPr="003A5F97">
        <w:rPr>
          <w:rFonts w:eastAsia="Times New Roman" w:cs="Arial"/>
          <w:b/>
          <w:bCs/>
          <w:noProof/>
          <w:szCs w:val="24"/>
          <w:lang w:eastAsia="en-GB"/>
        </w:rPr>
        <w:fldChar w:fldCharType="separate"/>
      </w:r>
      <w:hyperlink w:anchor="_Toc61203428" w:history="1">
        <w:r w:rsidR="00310E2D" w:rsidRPr="009A4ED7">
          <w:rPr>
            <w:rStyle w:val="Hyperlink"/>
            <w:noProof/>
          </w:rPr>
          <w:t>Figure 2</w:t>
        </w:r>
        <w:r w:rsidR="00310E2D" w:rsidRPr="009A4ED7">
          <w:rPr>
            <w:rStyle w:val="Hyperlink"/>
            <w:noProof/>
          </w:rPr>
          <w:noBreakHyphen/>
          <w:t>1 The CIA triad [9, p. 8]</w:t>
        </w:r>
        <w:r w:rsidR="00310E2D">
          <w:rPr>
            <w:noProof/>
            <w:webHidden/>
          </w:rPr>
          <w:tab/>
        </w:r>
        <w:r w:rsidR="00310E2D">
          <w:rPr>
            <w:noProof/>
            <w:webHidden/>
          </w:rPr>
          <w:fldChar w:fldCharType="begin"/>
        </w:r>
        <w:r w:rsidR="00310E2D">
          <w:rPr>
            <w:noProof/>
            <w:webHidden/>
          </w:rPr>
          <w:instrText xml:space="preserve"> PAGEREF _Toc61203428 \h </w:instrText>
        </w:r>
        <w:r w:rsidR="00310E2D">
          <w:rPr>
            <w:noProof/>
            <w:webHidden/>
          </w:rPr>
        </w:r>
        <w:r w:rsidR="00310E2D">
          <w:rPr>
            <w:noProof/>
            <w:webHidden/>
          </w:rPr>
          <w:fldChar w:fldCharType="separate"/>
        </w:r>
        <w:r w:rsidR="00310E2D">
          <w:rPr>
            <w:noProof/>
            <w:webHidden/>
          </w:rPr>
          <w:t>2</w:t>
        </w:r>
        <w:r w:rsidR="00310E2D">
          <w:rPr>
            <w:noProof/>
            <w:webHidden/>
          </w:rPr>
          <w:fldChar w:fldCharType="end"/>
        </w:r>
      </w:hyperlink>
    </w:p>
    <w:p w14:paraId="5C179E26" w14:textId="5BFA7CCF" w:rsidR="00310E2D" w:rsidRDefault="00310E2D">
      <w:pPr>
        <w:pStyle w:val="TableofFigures"/>
        <w:tabs>
          <w:tab w:val="right" w:leader="dot" w:pos="8494"/>
        </w:tabs>
        <w:rPr>
          <w:rFonts w:asciiTheme="minorHAnsi" w:hAnsiTheme="minorHAnsi"/>
          <w:noProof/>
          <w:sz w:val="22"/>
          <w:lang w:eastAsia="en-GB"/>
        </w:rPr>
      </w:pPr>
      <w:hyperlink w:anchor="_Toc61203429" w:history="1">
        <w:r w:rsidRPr="009A4ED7">
          <w:rPr>
            <w:rStyle w:val="Hyperlink"/>
            <w:noProof/>
          </w:rPr>
          <w:t>Figure 4</w:t>
        </w:r>
        <w:r w:rsidRPr="009A4ED7">
          <w:rPr>
            <w:rStyle w:val="Hyperlink"/>
            <w:noProof/>
          </w:rPr>
          <w:noBreakHyphen/>
          <w:t>1 CaribbeanCoffee CCOC framework</w:t>
        </w:r>
        <w:r>
          <w:rPr>
            <w:noProof/>
            <w:webHidden/>
          </w:rPr>
          <w:tab/>
        </w:r>
        <w:r>
          <w:rPr>
            <w:noProof/>
            <w:webHidden/>
          </w:rPr>
          <w:fldChar w:fldCharType="begin"/>
        </w:r>
        <w:r>
          <w:rPr>
            <w:noProof/>
            <w:webHidden/>
          </w:rPr>
          <w:instrText xml:space="preserve"> PAGEREF _Toc61203429 \h </w:instrText>
        </w:r>
        <w:r>
          <w:rPr>
            <w:noProof/>
            <w:webHidden/>
          </w:rPr>
        </w:r>
        <w:r>
          <w:rPr>
            <w:noProof/>
            <w:webHidden/>
          </w:rPr>
          <w:fldChar w:fldCharType="separate"/>
        </w:r>
        <w:r>
          <w:rPr>
            <w:noProof/>
            <w:webHidden/>
          </w:rPr>
          <w:t>8</w:t>
        </w:r>
        <w:r>
          <w:rPr>
            <w:noProof/>
            <w:webHidden/>
          </w:rPr>
          <w:fldChar w:fldCharType="end"/>
        </w:r>
      </w:hyperlink>
    </w:p>
    <w:p w14:paraId="7F1E8ED9" w14:textId="111AEFB3" w:rsidR="008F4507" w:rsidRPr="009A3676" w:rsidRDefault="00ED55E3" w:rsidP="00AE68D8">
      <w:pPr>
        <w:rPr>
          <w:rFonts w:cs="Arial"/>
          <w:b/>
          <w:bCs/>
          <w:noProof/>
          <w:szCs w:val="24"/>
        </w:rPr>
      </w:pPr>
      <w:r w:rsidRPr="003A5F97">
        <w:rPr>
          <w:rFonts w:eastAsiaTheme="minorEastAsia" w:cs="Arial"/>
          <w:b/>
          <w:bCs/>
          <w:noProof/>
          <w:szCs w:val="24"/>
          <w:lang w:eastAsia="en-US"/>
        </w:rPr>
        <w:fldChar w:fldCharType="end"/>
      </w:r>
    </w:p>
    <w:p w14:paraId="28331B06" w14:textId="77777777" w:rsidR="008F307E" w:rsidRPr="009A3676" w:rsidRDefault="008F307E" w:rsidP="008F4507">
      <w:pPr>
        <w:rPr>
          <w:rFonts w:cs="Arial"/>
          <w:b/>
          <w:bCs/>
          <w:noProof/>
        </w:rPr>
      </w:pPr>
    </w:p>
    <w:p w14:paraId="6AF0049B" w14:textId="77777777" w:rsidR="008F307E" w:rsidRPr="009A3676" w:rsidRDefault="008F307E">
      <w:pPr>
        <w:spacing w:after="160" w:line="259" w:lineRule="auto"/>
        <w:rPr>
          <w:rFonts w:eastAsiaTheme="majorEastAsia" w:cs="Arial"/>
          <w:noProof/>
          <w:color w:val="2F5496" w:themeColor="accent1" w:themeShade="BF"/>
          <w:sz w:val="28"/>
          <w:szCs w:val="28"/>
          <w:lang w:val="en-US" w:eastAsia="en-US"/>
        </w:rPr>
      </w:pPr>
      <w:r w:rsidRPr="009A3676">
        <w:rPr>
          <w:rFonts w:cs="Arial"/>
          <w:noProof/>
          <w:sz w:val="28"/>
          <w:szCs w:val="28"/>
        </w:rPr>
        <w:br w:type="page"/>
      </w:r>
    </w:p>
    <w:p w14:paraId="484A4D31" w14:textId="37846810" w:rsidR="008F4507" w:rsidRPr="009A3676" w:rsidRDefault="00C76F55" w:rsidP="008E4027">
      <w:pPr>
        <w:pStyle w:val="Heading1"/>
        <w:numPr>
          <w:ilvl w:val="0"/>
          <w:numId w:val="0"/>
        </w:numPr>
        <w:rPr>
          <w:noProof/>
        </w:rPr>
      </w:pPr>
      <w:bookmarkStart w:id="1" w:name="_Toc57907775"/>
      <w:r w:rsidRPr="009A3676">
        <w:rPr>
          <w:noProof/>
        </w:rPr>
        <w:lastRenderedPageBreak/>
        <w:t>Table of Tables</w:t>
      </w:r>
      <w:bookmarkEnd w:id="1"/>
    </w:p>
    <w:p w14:paraId="001523F5" w14:textId="28C27DBF" w:rsidR="008B27B8" w:rsidRPr="00A2716C" w:rsidRDefault="002161BE" w:rsidP="00A2716C">
      <w:pPr>
        <w:pStyle w:val="TableofFigures"/>
        <w:tabs>
          <w:tab w:val="right" w:leader="dot" w:pos="8494"/>
        </w:tabs>
        <w:rPr>
          <w:rFonts w:asciiTheme="minorHAnsi" w:hAnsiTheme="minorHAnsi"/>
          <w:noProof/>
          <w:sz w:val="22"/>
          <w:lang w:eastAsia="en-GB"/>
        </w:rPr>
      </w:pPr>
      <w:r w:rsidRPr="009A3676">
        <w:rPr>
          <w:rFonts w:cs="Arial"/>
          <w:szCs w:val="24"/>
          <w:lang w:val="en-US"/>
        </w:rPr>
        <w:fldChar w:fldCharType="begin"/>
      </w:r>
      <w:r w:rsidRPr="009A3676">
        <w:rPr>
          <w:rFonts w:cs="Arial"/>
          <w:szCs w:val="24"/>
          <w:lang w:val="en-US"/>
        </w:rPr>
        <w:instrText xml:space="preserve"> TOC \h \z \c "Table" </w:instrText>
      </w:r>
      <w:r w:rsidRPr="009A3676">
        <w:rPr>
          <w:rFonts w:cs="Arial"/>
          <w:szCs w:val="24"/>
          <w:lang w:val="en-US"/>
        </w:rPr>
        <w:fldChar w:fldCharType="separate"/>
      </w:r>
      <w:r w:rsidR="00E432A4">
        <w:rPr>
          <w:rFonts w:cs="Arial"/>
          <w:b/>
          <w:bCs/>
          <w:noProof/>
          <w:szCs w:val="24"/>
          <w:lang w:val="en-US"/>
        </w:rPr>
        <w:t>No table of figures entries found.</w:t>
      </w:r>
      <w:r w:rsidRPr="009A3676">
        <w:rPr>
          <w:rFonts w:cs="Arial"/>
          <w:szCs w:val="24"/>
          <w:lang w:val="en-US"/>
        </w:rPr>
        <w:fldChar w:fldCharType="end"/>
      </w:r>
    </w:p>
    <w:p w14:paraId="00DEAAAF" w14:textId="77777777" w:rsidR="008B27B8" w:rsidRPr="009A3676" w:rsidRDefault="008B27B8">
      <w:pPr>
        <w:spacing w:after="160" w:line="259" w:lineRule="auto"/>
        <w:rPr>
          <w:rFonts w:cs="Arial"/>
          <w:lang w:val="en-US" w:eastAsia="en-US"/>
        </w:rPr>
      </w:pPr>
      <w:r w:rsidRPr="009A3676">
        <w:rPr>
          <w:rFonts w:cs="Arial"/>
          <w:lang w:val="en-US" w:eastAsia="en-US"/>
        </w:rPr>
        <w:br w:type="page"/>
      </w:r>
    </w:p>
    <w:p w14:paraId="0B70AF74" w14:textId="63216010" w:rsidR="00D43DFA" w:rsidRPr="009A3676" w:rsidRDefault="00D43DFA" w:rsidP="00854D2C">
      <w:pPr>
        <w:rPr>
          <w:rFonts w:cs="Arial"/>
          <w:lang w:val="en-US" w:eastAsia="en-US"/>
        </w:rPr>
        <w:sectPr w:rsidR="00D43DFA" w:rsidRPr="009A3676" w:rsidSect="00007FC7">
          <w:footerReference w:type="first" r:id="rId14"/>
          <w:type w:val="continuous"/>
          <w:pgSz w:w="11907" w:h="16840" w:code="9"/>
          <w:pgMar w:top="1134" w:right="1418" w:bottom="851" w:left="1985" w:header="709" w:footer="1021" w:gutter="0"/>
          <w:pgNumType w:fmt="lowerRoman"/>
          <w:cols w:space="708"/>
          <w:titlePg/>
          <w:docGrid w:linePitch="360"/>
        </w:sectPr>
      </w:pPr>
    </w:p>
    <w:p w14:paraId="619C261A" w14:textId="23DA9C96" w:rsidR="009266FF" w:rsidRDefault="009266FF" w:rsidP="00EB570F">
      <w:pPr>
        <w:pStyle w:val="Heading1"/>
        <w:rPr>
          <w:rFonts w:cs="Arial"/>
        </w:rPr>
      </w:pPr>
      <w:bookmarkStart w:id="2" w:name="_Toc7275742"/>
      <w:bookmarkStart w:id="3" w:name="_Toc57907776"/>
      <w:r w:rsidRPr="009A3676">
        <w:rPr>
          <w:rFonts w:cs="Arial"/>
        </w:rPr>
        <w:lastRenderedPageBreak/>
        <w:t>Introduction</w:t>
      </w:r>
      <w:bookmarkEnd w:id="2"/>
      <w:bookmarkEnd w:id="3"/>
    </w:p>
    <w:p w14:paraId="6829F66D" w14:textId="6F59F895" w:rsidR="00661D84" w:rsidRDefault="009A04DD" w:rsidP="00F34BEC">
      <w:r>
        <w:t xml:space="preserve">With an </w:t>
      </w:r>
      <w:r w:rsidR="00FB3097">
        <w:t>ever-increasing</w:t>
      </w:r>
      <w:r w:rsidR="002C22BC">
        <w:t xml:space="preserve"> </w:t>
      </w:r>
      <w:r w:rsidR="0040215D">
        <w:t>quantity</w:t>
      </w:r>
      <w:r w:rsidR="002C22BC">
        <w:t xml:space="preserve"> of</w:t>
      </w:r>
      <w:r>
        <w:t xml:space="preserve"> </w:t>
      </w:r>
      <w:r w:rsidR="007E5133">
        <w:t>inter</w:t>
      </w:r>
      <w:r w:rsidR="002C22BC">
        <w:t>connected devices</w:t>
      </w:r>
      <w:r w:rsidR="007E5133">
        <w:t xml:space="preserve"> dependant on computer systems </w:t>
      </w:r>
      <w:r w:rsidR="005D3A4B">
        <w:fldChar w:fldCharType="begin" w:fldLock="1"/>
      </w:r>
      <w:r w:rsidR="00F34BEC">
        <w:instrText>ADDIN CSL_CITATION {"citationItems":[{"id":"ITEM-1","itemData":{"abstract":"Cybercriminals are taking advantage of the rapidly expanding attack surface found in today’s “any-to-any” world, where individuals are using any device to access business applications in a network environment that utilizes decentralized cloud services. The Cisco® 2013 Annual Security Report highlights global threat trends based on real-world data, and provides insight and analysis that helps businesses and governments improve their security posturing for the future. The report combines expert research with security intelligence that was aggregated from across Cisco, focusing on data collected during the 2012 calendar year.","author":[{"dropping-particle":"","family":"Cisco","given":"","non-dropping-particle":"","parse-names":false,"suffix":""}],"container-title":"Cisco Annual Internet Report (2018–2023)","id":"ITEM-1","issued":{"date-parts":[["2020"]]},"title":"Cisco Annual Internet Report (2018–2023)","type":"report"},"uris":["http://www.mendeley.com/documents/?uuid=47396a2c-f0c4-4d5a-8469-c91ca7d7d1c9"]}],"mendeley":{"formattedCitation":"[1]","plainTextFormattedCitation":"[1]","previouslyFormattedCitation":"[1]"},"properties":{"noteIndex":0},"schema":"https://github.com/citation-style-language/schema/raw/master/csl-citation.json"}</w:instrText>
      </w:r>
      <w:r w:rsidR="005D3A4B">
        <w:fldChar w:fldCharType="separate"/>
      </w:r>
      <w:r w:rsidR="005D3A4B" w:rsidRPr="005D3A4B">
        <w:rPr>
          <w:noProof/>
        </w:rPr>
        <w:t>[1]</w:t>
      </w:r>
      <w:r w:rsidR="005D3A4B">
        <w:fldChar w:fldCharType="end"/>
      </w:r>
      <w:r w:rsidR="002C22BC">
        <w:t xml:space="preserve">, </w:t>
      </w:r>
      <w:r w:rsidR="00955242">
        <w:t xml:space="preserve">the risk of cybercrime and </w:t>
      </w:r>
      <w:r w:rsidR="00360B42">
        <w:t>possible</w:t>
      </w:r>
      <w:r w:rsidR="00955242">
        <w:t xml:space="preserve"> threats to data grows alongside</w:t>
      </w:r>
      <w:r w:rsidR="00904A72">
        <w:t xml:space="preserve"> this</w:t>
      </w:r>
      <w:r w:rsidR="00360B42">
        <w:t xml:space="preserve"> due to the </w:t>
      </w:r>
      <w:r w:rsidR="000B62C0">
        <w:t>rise</w:t>
      </w:r>
      <w:r w:rsidR="00360B42">
        <w:t xml:space="preserve"> of overall potential </w:t>
      </w:r>
      <w:r w:rsidR="000D4CA3">
        <w:t>targets to attack</w:t>
      </w:r>
      <w:r w:rsidR="000B62C0">
        <w:t xml:space="preserve"> -</w:t>
      </w:r>
      <w:r w:rsidR="00F34BEC">
        <w:t xml:space="preserve"> </w:t>
      </w:r>
      <w:r w:rsidR="00A15F41">
        <w:t xml:space="preserve">whether it be a </w:t>
      </w:r>
      <w:r w:rsidR="0005430F">
        <w:t xml:space="preserve">single </w:t>
      </w:r>
      <w:r w:rsidR="00F34BEC">
        <w:t>day-to-day</w:t>
      </w:r>
      <w:r w:rsidR="00A15F41">
        <w:t xml:space="preserve"> </w:t>
      </w:r>
      <w:r w:rsidR="003E187E">
        <w:t>I</w:t>
      </w:r>
      <w:r w:rsidR="00A15F41">
        <w:t>nternet user</w:t>
      </w:r>
      <w:r w:rsidR="00353357">
        <w:t xml:space="preserve"> or </w:t>
      </w:r>
      <w:r w:rsidR="000B62C0">
        <w:t>a</w:t>
      </w:r>
      <w:r w:rsidR="00E87742">
        <w:t xml:space="preserve"> </w:t>
      </w:r>
      <w:r w:rsidR="00437CA8">
        <w:t xml:space="preserve">business </w:t>
      </w:r>
      <w:r w:rsidR="00B33EE1">
        <w:t>(</w:t>
      </w:r>
      <w:r w:rsidR="00437CA8">
        <w:t xml:space="preserve">or </w:t>
      </w:r>
      <w:r w:rsidR="00BF5C62">
        <w:t>supply chain</w:t>
      </w:r>
      <w:r w:rsidR="00B33EE1">
        <w:t>)</w:t>
      </w:r>
      <w:r w:rsidR="00BF5C62">
        <w:t xml:space="preserve"> </w:t>
      </w:r>
      <w:r w:rsidR="00E87742">
        <w:t xml:space="preserve">of </w:t>
      </w:r>
      <w:r w:rsidR="00CA6A30">
        <w:t>mixed</w:t>
      </w:r>
      <w:r w:rsidR="00E87742">
        <w:t xml:space="preserve"> size </w:t>
      </w:r>
      <w:r w:rsidR="00F34BEC">
        <w:fldChar w:fldCharType="begin" w:fldLock="1"/>
      </w:r>
      <w:r w:rsidR="00432E59">
        <w:instrText>ADDIN CSL_CITATION {"citationItems":[{"id":"ITEM-1","itemData":{"author":[{"dropping-particle":"","family":"Coburn","given":"Andrew","non-dropping-particle":"","parse-names":false,"suffix":""},{"dropping-particle":"","family":"Daffron","given":"Jennifer","non-dropping-particle":"","parse-names":false,"suffix":""},{"dropping-particle":"","family":"Quantrill","given":"Kelly","non-dropping-particle":"","parse-names":false,"suffix":""},{"dropping-particle":"","family":"Leverett","given":"Eireann","non-dropping-particle":"","parse-names":false,"suffix":""},{"dropping-particle":"","family":"Bordeau","given":"James","non-dropping-particle":"","parse-names":false,"suffix":""},{"dropping-particle":"","family":"Smith","given":"Andrew","non-dropping-particle":"","parse-names":false,"suffix":""},{"dropping-particle":"","family":"Harvey","given":"Tom","non-dropping-particle":"","parse-names":false,"suffix":""}],"id":"ITEM-1","issued":{"date-parts":[["2019"]]},"number-of-pages":"3","title":"Cyber Risk Outlook","type":"report"},"locator":"4","uris":["http://www.mendeley.com/documents/?uuid=41a8f419-c631-4b34-9f34-10bbe3f676f8"]}],"mendeley":{"formattedCitation":"[2, p. 4]","plainTextFormattedCitation":"[2, p. 4]","previouslyFormattedCitation":"[2, p. 4]"},"properties":{"noteIndex":0},"schema":"https://github.com/citation-style-language/schema/raw/master/csl-citation.json"}</w:instrText>
      </w:r>
      <w:r w:rsidR="00F34BEC">
        <w:fldChar w:fldCharType="separate"/>
      </w:r>
      <w:r w:rsidR="00F34BEC" w:rsidRPr="00F34BEC">
        <w:rPr>
          <w:noProof/>
        </w:rPr>
        <w:t>[2, p. 4]</w:t>
      </w:r>
      <w:r w:rsidR="00F34BEC">
        <w:fldChar w:fldCharType="end"/>
      </w:r>
      <w:r w:rsidR="00B34A9A">
        <w:t xml:space="preserve">, </w:t>
      </w:r>
      <w:r w:rsidR="000921A9">
        <w:t xml:space="preserve">there is the chance that </w:t>
      </w:r>
      <w:r w:rsidR="00B34A9A">
        <w:t>any unsecure device</w:t>
      </w:r>
      <w:r w:rsidR="00B36019">
        <w:t xml:space="preserve"> could be </w:t>
      </w:r>
      <w:r w:rsidR="00987EDE">
        <w:t>distinguished as</w:t>
      </w:r>
      <w:r w:rsidR="00201699">
        <w:t xml:space="preserve"> an attack vector</w:t>
      </w:r>
      <w:r w:rsidR="00BF5C62">
        <w:t>.</w:t>
      </w:r>
      <w:r w:rsidR="00036F2C">
        <w:t xml:space="preserve"> </w:t>
      </w:r>
    </w:p>
    <w:p w14:paraId="272F3DF2" w14:textId="72034E5B" w:rsidR="000B62C0" w:rsidRDefault="005F208D" w:rsidP="00661D84">
      <w:pPr>
        <w:ind w:firstLine="720"/>
      </w:pPr>
      <w:r>
        <w:t>To assist with keeping</w:t>
      </w:r>
      <w:r w:rsidR="00506F24">
        <w:t xml:space="preserve"> </w:t>
      </w:r>
      <w:r w:rsidR="003D001E">
        <w:t xml:space="preserve">an </w:t>
      </w:r>
      <w:r w:rsidR="00506F24">
        <w:t>information system</w:t>
      </w:r>
      <w:r>
        <w:t xml:space="preserve"> secure,</w:t>
      </w:r>
      <w:r w:rsidR="00506F24">
        <w:t xml:space="preserve"> an appropriate</w:t>
      </w:r>
      <w:r>
        <w:t xml:space="preserve"> </w:t>
      </w:r>
      <w:r w:rsidR="00FC458C">
        <w:t xml:space="preserve">Information </w:t>
      </w:r>
      <w:r w:rsidR="00736F33">
        <w:t>Security Management System</w:t>
      </w:r>
      <w:r w:rsidR="00FC458C">
        <w:t xml:space="preserve"> (</w:t>
      </w:r>
      <w:r w:rsidR="00736F33">
        <w:t>ISMS</w:t>
      </w:r>
      <w:r w:rsidR="00FC458C">
        <w:t xml:space="preserve">) </w:t>
      </w:r>
      <w:r w:rsidR="00506F24">
        <w:t>framework</w:t>
      </w:r>
      <w:r w:rsidR="0029268A">
        <w:t xml:space="preserve"> or model</w:t>
      </w:r>
      <w:r w:rsidR="00506F24">
        <w:t xml:space="preserve"> </w:t>
      </w:r>
      <w:r w:rsidR="002A11EE">
        <w:t>can be</w:t>
      </w:r>
      <w:r w:rsidR="00506F24">
        <w:t xml:space="preserve"> deployed</w:t>
      </w:r>
      <w:r w:rsidR="00294674">
        <w:t xml:space="preserve"> to provide support with identifying, managing and potentially diminishing any security risks </w:t>
      </w:r>
      <w:r w:rsidR="00294674">
        <w:fldChar w:fldCharType="begin" w:fldLock="1"/>
      </w:r>
      <w:r w:rsidR="004C1859">
        <w:instrText>ADDIN CSL_CITATION {"citationItems":[{"id":"ITEM-1","itemData":{"abstract":"Organizations of any size are tasked with managing security and risks of varying degrees of impact and complexity. Managing security can be one of the most intricate yet pervasive aspects of Information Technology Management. The service management philosophy that many organizations use is Information Technology Service Management (ITSM). Within ITSM, Information Technology Infrastructure Library (ITIL) is a set of best practices that can be used to manage security. The unique aspect of security incidents can be their sensitive nature. This sensitivity can complicate the management of security but does not preclude it from being managed in a way that is appropriate and effective for the organization. Due to the novelty of ITIL 4, there is a lack of research for effectively managing security incidents within an ITIL 4 framework. ITIL 4 represents a change in some of the core components of ITIL. This paper will examine how ITIL 4 can provide a framework for managing security.","author":[{"dropping-particle":"","family":"Berger","given":"Derrick","non-dropping-particle":"","parse-names":false,"suffix":""},{"dropping-particle":"","family":"Shashidhar","given":"Narasimha","non-dropping-particle":"","parse-names":false,"suffix":""},{"dropping-particle":"","family":"Varol","given":"Cihan","non-dropping-particle":"","parse-names":false,"suffix":""}],"container-title":"2020 8th International Symposium on Digital Forensics and Security (ISDFS)","id":"ITEM-1","issued":{"date-parts":[["2020","6"]]},"page":"1-6","publisher":"IEEE","title":"Using ITIL 4 in Security Management","type":"article-journal"},"uris":["http://www.mendeley.com/documents/?uuid=0f9f6006-5682-4576-8b99-7354a6e7a66c"]},{"id":"ITEM-2","itemData":{"ISBN":"9781538658215","abstract":"In managing, regenerating, and fixing the operational performance of university required an information systems. IT division responsible to provide the proper information systems based on business and user perspective with decent quality IT service. Therefore, it is pertinent to measure the IT service performance must matching with the user needs and make users satisfied for using information systems. This research purpose is to identify and analyze the service maturity level that provided by IT division of BINUS University to information systems users, so that an evaluation of IT service performance is obtained. This research methodology is a questionnaire, literature study, and a data analysis of BINUS University, designing and measuring the maturity level by using the COBIT framework and the ITIL framework, as well as testing the relationship between the COBIT and ITIL maturity level results.","author":[{"dropping-particle":"","family":"Suryawan","given":"Angellia Debora","non-dropping-particle":"","parse-names":false,"suffix":""},{"dropping-particle":"","family":"Veronica","given":"","non-dropping-particle":"","parse-names":false,"suffix":""}],"container-title":"Proceedings of 2018 International Conference on Information Management and Technology, ICIMTech 2018","id":"ITEM-2","issue":"November","issued":{"date-parts":[["2018"]]},"page":"223-228","title":"Information Technology Service Performance Management Using COBIT and ITIL Frameworks : A Case Study","type":"article-journal"},"uris":["http://www.mendeley.com/documents/?uuid=eccb8a22-f0cc-4851-91e7-eb84c965a132"]},{"id":"ITEM-3","itemData":{"ISBN":"9781538655252","abstract":"The data center needs a protection both physically and logically to secure information system from any security attacks. Any information security threats like stealing of information, denial of service and unauthorized access can cause an adverse impact on the corporate either loss of revenue, reputation and trust from the customer. Implementing Information Security Management System (ISMS) can help to identify, manage and reduce any information security threats in the data center. One of widely accepted ISMS standard today is ISO 27001. However, to the best of our knowledge, there is no specific ISMS standard that is designed for the data center at this moment. Existing standards such as ISO 27001 are designed to provide general information security that can be applied to different environments. In this paper, we propose an ISMS framework that is specifically designed for the data center to manage the aspect of confidentiality, integrity, and availability of information security. It is an implementation of people, process, and technology concept in protecting information security in the data center. This framework is developed based on ISO 27001, Annex A standard. By implementing this ISMS framework, management could reduce information security threats in the data center and support organization business continuity.","author":[{"dropping-particle":"","family":"Achmadi","given":"Dedy","non-dropping-particle":"","parse-names":false,"suffix":""},{"dropping-particle":"","family":"Suryanto","given":"Yohan","non-dropping-particle":"","parse-names":false,"suffix":""},{"dropping-particle":"","family":"Ramli","given":"Kalamullah","non-dropping-particle":"","parse-names":false,"suffix":""}],"container-title":"2018 International Workshop on Big Data and Information Security, IWBIS 2018","id":"ITEM-3","issued":{"date-parts":[["2018"]]},"page":"149-157","publisher":"IEEE","title":"On Developing Information Security Management System (ISMS) Framework for ISO 27001-based Data Center","type":"article-journal"},"uris":["http://www.mendeley.com/documents/?uuid=83bf4f4d-9875-4225-b9a9-70e90462c056"]}],"mendeley":{"formattedCitation":"[3]–[5]","plainTextFormattedCitation":"[3]–[5]","previouslyFormattedCitation":"[3]–[5]"},"properties":{"noteIndex":0},"schema":"https://github.com/citation-style-language/schema/raw/master/csl-citation.json"}</w:instrText>
      </w:r>
      <w:r w:rsidR="00294674">
        <w:fldChar w:fldCharType="separate"/>
      </w:r>
      <w:r w:rsidR="00294674" w:rsidRPr="00035CE9">
        <w:rPr>
          <w:noProof/>
        </w:rPr>
        <w:t>[3]–[5]</w:t>
      </w:r>
      <w:r w:rsidR="00294674">
        <w:fldChar w:fldCharType="end"/>
      </w:r>
      <w:r w:rsidR="00294674">
        <w:t>.</w:t>
      </w:r>
      <w:r w:rsidR="00036F2C">
        <w:t xml:space="preserve"> </w:t>
      </w:r>
    </w:p>
    <w:p w14:paraId="571470CD" w14:textId="56B780AD" w:rsidR="007864F0" w:rsidRDefault="007864F0" w:rsidP="00661D84">
      <w:pPr>
        <w:ind w:firstLine="720"/>
      </w:pPr>
      <w:r>
        <w:t>This report aims to outline what an effective ISMS framework comprises of via background research, and along with this an approach for the CaribbeanCoffee scenario will be defined to ensure governance, security and compliance within the organisati</w:t>
      </w:r>
      <w:r w:rsidR="00F50C95">
        <w:t>on</w:t>
      </w:r>
      <w:r>
        <w:t>.</w:t>
      </w:r>
    </w:p>
    <w:p w14:paraId="164289A6" w14:textId="77777777" w:rsidR="00126865" w:rsidRPr="00D75BAF" w:rsidRDefault="00126865" w:rsidP="00D75BAF"/>
    <w:p w14:paraId="257DF852" w14:textId="77777777" w:rsidR="00B93834" w:rsidRDefault="00B93834">
      <w:pPr>
        <w:spacing w:after="160" w:line="259" w:lineRule="auto"/>
        <w:rPr>
          <w:rFonts w:eastAsiaTheme="majorEastAsia" w:cstheme="majorBidi"/>
          <w:b/>
          <w:sz w:val="32"/>
          <w:szCs w:val="32"/>
        </w:rPr>
      </w:pPr>
      <w:r>
        <w:br w:type="page"/>
      </w:r>
    </w:p>
    <w:p w14:paraId="57185B73" w14:textId="23959108" w:rsidR="0013143E" w:rsidRDefault="00545BF7" w:rsidP="00C068B2">
      <w:pPr>
        <w:pStyle w:val="Heading1"/>
      </w:pPr>
      <w:bookmarkStart w:id="4" w:name="_Toc57907777"/>
      <w:r>
        <w:lastRenderedPageBreak/>
        <w:t>Related Works</w:t>
      </w:r>
      <w:bookmarkEnd w:id="4"/>
    </w:p>
    <w:p w14:paraId="3BE9AE95" w14:textId="765E305E" w:rsidR="00294674" w:rsidRDefault="00294674" w:rsidP="00294674">
      <w:pPr>
        <w:pStyle w:val="Heading2"/>
      </w:pPr>
      <w:bookmarkStart w:id="5" w:name="_Toc57907778"/>
      <w:r>
        <w:t>ISMS</w:t>
      </w:r>
      <w:bookmarkEnd w:id="5"/>
    </w:p>
    <w:p w14:paraId="6B909548" w14:textId="2F0522D8" w:rsidR="004C1859" w:rsidRDefault="006E5079" w:rsidP="00FC682E">
      <w:r>
        <w:t>An ISMS</w:t>
      </w:r>
      <w:r w:rsidR="00C9306B">
        <w:t xml:space="preserve"> is a</w:t>
      </w:r>
      <w:r w:rsidR="00DE0F27">
        <w:t xml:space="preserve">n </w:t>
      </w:r>
      <w:r w:rsidR="00C9306B">
        <w:t>approach</w:t>
      </w:r>
      <w:r w:rsidR="00DE0F27">
        <w:t xml:space="preserve">, whereby the processes and procedures used within an organisation, are </w:t>
      </w:r>
      <w:r w:rsidR="00193341">
        <w:t xml:space="preserve">implemented </w:t>
      </w:r>
      <w:r w:rsidR="00DE0F27">
        <w:t>to</w:t>
      </w:r>
      <w:r w:rsidR="00C9306B">
        <w:t xml:space="preserve"> </w:t>
      </w:r>
      <w:r w:rsidR="00DE0F27">
        <w:t>effectively manage</w:t>
      </w:r>
      <w:r w:rsidR="00C9306B">
        <w:t xml:space="preserve"> sensitive information </w:t>
      </w:r>
      <w:r w:rsidR="00193341">
        <w:t>and</w:t>
      </w:r>
      <w:r w:rsidR="00064DAF">
        <w:t xml:space="preserve"> ensure</w:t>
      </w:r>
      <w:r w:rsidR="00C9306B">
        <w:t xml:space="preserve"> it remains secure</w:t>
      </w:r>
      <w:r w:rsidR="00BD130C">
        <w:t xml:space="preserve"> </w:t>
      </w:r>
      <w:r w:rsidR="00BD130C">
        <w:fldChar w:fldCharType="begin" w:fldLock="1"/>
      </w:r>
      <w:r w:rsidR="004C1859">
        <w:instrText>ADDIN CSL_CITATION {"citationItems":[{"id":"ITEM-1","itemData":{"abstract":"Organizations of any size are tasked with managing security and risks of varying degrees of impact and complexity. Managing security can be one of the most intricate yet pervasive aspects of Information Technology Management. The service management philosophy that many organizations use is Information Technology Service Management (ITSM). Within ITSM, Information Technology Infrastructure Library (ITIL) is a set of best practices that can be used to manage security. The unique aspect of security incidents can be their sensitive nature. This sensitivity can complicate the management of security but does not preclude it from being managed in a way that is appropriate and effective for the organization. Due to the novelty of ITIL 4, there is a lack of research for effectively managing security incidents within an ITIL 4 framework. ITIL 4 represents a change in some of the core components of ITIL. This paper will examine how ITIL 4 can provide a framework for managing security.","author":[{"dropping-particle":"","family":"Berger","given":"Derrick","non-dropping-particle":"","parse-names":false,"suffix":""},{"dropping-particle":"","family":"Shashidhar","given":"Narasimha","non-dropping-particle":"","parse-names":false,"suffix":""},{"dropping-particle":"","family":"Varol","given":"Cihan","non-dropping-particle":"","parse-names":false,"suffix":""}],"container-title":"2020 8th International Symposium on Digital Forensics and Security (ISDFS)","id":"ITEM-1","issued":{"date-parts":[["2020","6"]]},"page":"1-6","publisher":"IEEE","title":"Using ITIL 4 in Security Management","type":"article-journal"},"uris":["http://www.mendeley.com/documents/?uuid=0f9f6006-5682-4576-8b99-7354a6e7a66c"]},{"id":"ITEM-2","itemData":{"ISBN":"9780648127086","abstract":"This paper presents an analysis that arose from a comprehensive review of the academic and professional literature of two areas - information security management systems (ISMS) and information resources - and their relationship with information security. It analyzes the role of ISMS in protecting an organization's information environment and infrastructure. It has identified four key areas that strongly influence the safety of information resources: cloud computing; social media/networking; mobility; and information management/big data. Commonly referred to as 'new forces', these four aspects are all growing exponentially and are not easily controlled by IT. Another key finding of the paper is that organizations aiming to protect their information resources need to adapt their ISMS in an environment where these new forces have exposed them to a range of external entities and influences.","author":[{"dropping-particle":"","family":"Al-Rashdi","given":"Zahir","non-dropping-particle":"","parse-names":false,"suffix":""},{"dropping-particle":"","family":"Dick","given":"Martin","non-dropping-particle":"","parse-names":false,"suffix":""},{"dropping-particle":"","family":"Storey","given":"Ian","non-dropping-particle":"","parse-names":false,"suffix":""}],"container-title":"Proceedings of the 15th Australian Information Security Management Conference, AISM 2017","id":"ITEM-2","issued":{"date-parts":[["2017"]]},"page":"116-124","title":"Literature-based analysis of the influences of the new forces on ISMS: A conceptual framework","type":"paper-conference"},"uris":["http://www.mendeley.com/documents/?uuid=60ddef1e-1a6b-45f1-bd7e-e54a11e941f7"]}],"mendeley":{"formattedCitation":"[3], [6]","plainTextFormattedCitation":"[3], [6]","previouslyFormattedCitation":"[3], [6]"},"properties":{"noteIndex":0},"schema":"https://github.com/citation-style-language/schema/raw/master/csl-citation.json"}</w:instrText>
      </w:r>
      <w:r w:rsidR="00BD130C">
        <w:fldChar w:fldCharType="separate"/>
      </w:r>
      <w:r w:rsidR="00BE516C" w:rsidRPr="00BE516C">
        <w:rPr>
          <w:noProof/>
        </w:rPr>
        <w:t>[3], [6]</w:t>
      </w:r>
      <w:r w:rsidR="00BD130C">
        <w:fldChar w:fldCharType="end"/>
      </w:r>
      <w:r w:rsidR="00C9306B">
        <w:t xml:space="preserve">. </w:t>
      </w:r>
      <w:r w:rsidR="00365C2A">
        <w:t>Information security</w:t>
      </w:r>
      <w:r>
        <w:t xml:space="preserve"> stands on three main pillars</w:t>
      </w:r>
      <w:r w:rsidR="00365C2A">
        <w:t>;</w:t>
      </w:r>
      <w:r w:rsidR="007D288C">
        <w:t xml:space="preserve"> </w:t>
      </w:r>
      <w:r w:rsidRPr="007D288C">
        <w:t>Confidentiality</w:t>
      </w:r>
      <w:r w:rsidR="004E55DD">
        <w:t xml:space="preserve"> </w:t>
      </w:r>
      <w:r w:rsidR="007D288C">
        <w:t xml:space="preserve">(the ability to protect information from any unauthorised access), Integrity (the ability to prevent </w:t>
      </w:r>
      <w:r w:rsidR="00FC682E">
        <w:t xml:space="preserve">any unauthorised persons from modifying or destroying the </w:t>
      </w:r>
      <w:r w:rsidR="007D288C">
        <w:t>information) and Availability (</w:t>
      </w:r>
      <w:r w:rsidR="00F5431F">
        <w:t>ensuring that</w:t>
      </w:r>
      <w:r w:rsidR="007D288C">
        <w:t xml:space="preserve"> the information </w:t>
      </w:r>
      <w:r w:rsidR="00F5431F">
        <w:t>can</w:t>
      </w:r>
      <w:r w:rsidR="007D288C">
        <w:t xml:space="preserve"> be accessible </w:t>
      </w:r>
      <w:r w:rsidR="00F5431F">
        <w:t xml:space="preserve">in a timely manner </w:t>
      </w:r>
      <w:r w:rsidR="007D288C">
        <w:t xml:space="preserve">when it is required). </w:t>
      </w:r>
    </w:p>
    <w:p w14:paraId="49A3BB48" w14:textId="22F74FEB" w:rsidR="00294674" w:rsidRDefault="004E55DD" w:rsidP="004C1859">
      <w:pPr>
        <w:ind w:firstLine="720"/>
      </w:pPr>
      <w:r>
        <w:t xml:space="preserve">These three </w:t>
      </w:r>
      <w:r w:rsidR="00271333">
        <w:t>concepts</w:t>
      </w:r>
      <w:r>
        <w:t xml:space="preserve"> are </w:t>
      </w:r>
      <w:r w:rsidR="006E5079">
        <w:t>known as the CIA triad</w:t>
      </w:r>
      <w:r w:rsidR="0057140E">
        <w:t xml:space="preserve"> (Figure 2-1)</w:t>
      </w:r>
      <w:r w:rsidR="006D3AEC">
        <w:t xml:space="preserve">, and </w:t>
      </w:r>
      <w:r w:rsidR="00271333">
        <w:t xml:space="preserve">they </w:t>
      </w:r>
      <w:r w:rsidR="006D3AEC">
        <w:t>exemplify</w:t>
      </w:r>
      <w:r w:rsidR="00B3202B">
        <w:t xml:space="preserve"> the security measures </w:t>
      </w:r>
      <w:r w:rsidR="00FD11B1">
        <w:t xml:space="preserve">that are essential </w:t>
      </w:r>
      <w:r w:rsidR="00B3202B">
        <w:t>for data and information services</w:t>
      </w:r>
      <w:r w:rsidR="006D3AEC">
        <w:t xml:space="preserve"> </w:t>
      </w:r>
      <w:r w:rsidR="006D3AEC">
        <w:fldChar w:fldCharType="begin" w:fldLock="1"/>
      </w:r>
      <w:r w:rsidR="00BA5CAE">
        <w:instrText>ADDIN CSL_CITATION {"citationItems":[{"id":"ITEM-1","itemData":{"ISBN":"9781509066438","abstract":"Information Security Risk Management (ISRM) process involves several activities to conduct a risk management (RM) task in an organization. ISRM activities require access to various information related to the organization. An organization often needs to share information related to an ISRM process with the stakeholders involved in the activity. Therefore, it is important to manage the information which is critical to the operations of the organization. The presence of an information classification scheme can enable the proper handling of the information involved in the RM task. We selected ISO/IEC27005:2011 risk management standard to assess various information generated during the process of applying this standard in an organization. The purpose of this study is to propose a framework to show various information objects involved in ISO27005 risk management standard and classify the information based on the guideline provided by UNINETT scheme. A case scenario of a health clinic is developed to identify ISRM related information objects using the proposed framework and classify the information using UNINETT scheme.","author":[{"dropping-particle":"","family":"Agrawal","given":"Vivek","non-dropping-particle":"","parse-names":false,"suffix":""}],"container-title":"Proceedings - 4th IEEE International Conference on Cyber Security and Cloud Computing, CSCloud 2017 and 3rd IEEE International Conference of Scalable and Smart Cloud, SSC 2017","id":"ITEM-1","issued":{"date-parts":[["2017"]]},"page":"264-269","title":"A Framework for the Information Classification in ISO 27005 Standard","type":"article-journal"},"uris":["http://www.mendeley.com/documents/?uuid=a01d748e-342c-475b-b63a-7cbcb484f43e"]},{"id":"ITEM-2","itemData":{"ISBN":"978-1-292-15858-7","author":[{"dropping-particle":"","family":"Stallings","given":"William","non-dropping-particle":"","parse-names":false,"suffix":""}],"edition":"7","id":"ITEM-2","issued":{"date-parts":[["2017"]]},"number-of-pages":"766","publisher":"Pearson","title":"Cryptography and Network Security Principles and Practice","type":"book"},"uris":["http://www.mendeley.com/documents/?uuid=614d2aec-8762-46ef-b197-91b1d5e23c5f"]},{"id":"ITEM-3","itemData":{"ISBN":"978-1-4842-5412-7","abstract":"Discover the simple steps to implementing information security standards using ISO 27001, the most popular information security standard across the world. You’ll see how it offers best practices to be followed, including the roles of all the stakeholders at the time of security framework implementation, post-implementation, and during monitoring of the implemented controls. Implementing an Information Security Management System provides implementation guidelines for ISO 27001:2013 to protect your information assets and ensure a safer enterprise environment. This book is a step-by-step guide on implementing secure ISMS for your organization. It will change the way you interpret and implement information security in your work area or organization.","author":[{"dropping-particle":"","family":"Chopra","given":"Abhishek","non-dropping-particle":"","parse-names":false,"suffix":""},{"dropping-particle":"","family":"Chaudhary","given":"Mukund","non-dropping-particle":"","parse-names":false,"suffix":""}],"id":"ITEM-3","issued":{"date-parts":[["2020"]]},"publisher":"Apress","publisher-place":"Berkeley, CA","title":"Implementing an Information Security Management System","type":"book"},"locator":"7","uris":["http://www.mendeley.com/documents/?uuid=0f1adeef-7cbf-4f62-b748-26c75d37dcae"]},{"id":"ITEM-4","itemData":{"ISBN":"9781538655252","abstract":"The data center needs a protection both physically and logically to secure information system from any security attacks. Any information security threats like stealing of information, denial of service and unauthorized access can cause an adverse impact on the corporate either loss of revenue, reputation and trust from the customer. Implementing Information Security Management System (ISMS) can help to identify, manage and reduce any information security threats in the data center. One of widely accepted ISMS standard today is ISO 27001. However, to the best of our knowledge, there is no specific ISMS standard that is designed for the data center at this moment. Existing standards such as ISO 27001 are designed to provide general information security that can be applied to different environments. In this paper, we propose an ISMS framework that is specifically designed for the data center to manage the aspect of confidentiality, integrity, and availability of information security. It is an implementation of people, process, and technology concept in protecting information security in the data center. This framework is developed based on ISO 27001, Annex A standard. By implementing this ISMS framework, management could reduce information security threats in the data center and support organization business continuity.","author":[{"dropping-particle":"","family":"Achmadi","given":"Dedy","non-dropping-particle":"","parse-names":false,"suffix":""},{"dropping-particle":"","family":"Suryanto","given":"Yohan","non-dropping-particle":"","parse-names":false,"suffix":""},{"dropping-particle":"","family":"Ramli","given":"Kalamullah","non-dropping-particle":"","parse-names":false,"suffix":""}],"container-title":"2018 International Workshop on Big Data and Information Security, IWBIS 2018","id":"ITEM-4","issued":{"date-parts":[["2018"]]},"page":"149-157","publisher":"IEEE","title":"On Developing Information Security Management System (ISMS) Framework for ISO 27001-based Data Center","type":"article-journal"},"uris":["http://www.mendeley.com/documents/?uuid=83bf4f4d-9875-4225-b9a9-70e90462c056"]},{"id":"ITEM-5","itemData":{"ISBN":"978-3-030-41986-8","author":[{"dropping-particle":"","family":"Alsmadi","given":"Izzat","non-dropping-particle":"","parse-names":false,"suffix":""},{"dropping-particle":"","family":"Easttom","given":"Chuck","non-dropping-particle":"","parse-names":false,"suffix":""},{"dropping-particle":"","family":"Tawalbeh","given":"Lo'ai","non-dropping-particle":"","parse-names":false,"suffix":""}],"id":"ITEM-5","issued":{"date-parts":[["2020"]]},"publisher":"Springer International Publishing","publisher-place":"Cham","title":"The NICE Cyber Security Framework","type":"book"},"locator":"55","uris":["http://www.mendeley.com/documents/?uuid=8578160e-520d-4def-a902-a39e18019ccd"]}],"mendeley":{"formattedCitation":"[5], [7], [8], [9, p. 7], [10, p. 55]","plainTextFormattedCitation":"[5], [7], [8], [9, p. 7], [10, p. 55]","previouslyFormattedCitation":"[5], [7], [8], [9, p. 7], [10, p. 55]"},"properties":{"noteIndex":0},"schema":"https://github.com/citation-style-language/schema/raw/master/csl-citation.json"}</w:instrText>
      </w:r>
      <w:r w:rsidR="006D3AEC">
        <w:fldChar w:fldCharType="separate"/>
      </w:r>
      <w:r w:rsidR="00BE516C" w:rsidRPr="00BE516C">
        <w:rPr>
          <w:noProof/>
        </w:rPr>
        <w:t>[5], [7], [8], [9, p. 7], [10, p. 55]</w:t>
      </w:r>
      <w:r w:rsidR="006D3AEC">
        <w:fldChar w:fldCharType="end"/>
      </w:r>
      <w:r w:rsidR="00B3202B">
        <w:t xml:space="preserve">. </w:t>
      </w:r>
    </w:p>
    <w:p w14:paraId="1D908D8B" w14:textId="4D92CE3C" w:rsidR="00A8599C" w:rsidRDefault="00A8599C" w:rsidP="00294674"/>
    <w:p w14:paraId="4F3622A2" w14:textId="77777777" w:rsidR="00A8599C" w:rsidRDefault="00A8599C" w:rsidP="00A8599C">
      <w:pPr>
        <w:keepNext/>
        <w:jc w:val="center"/>
      </w:pPr>
      <w:r w:rsidRPr="00A8599C">
        <w:rPr>
          <w:noProof/>
        </w:rPr>
        <w:drawing>
          <wp:inline distT="0" distB="0" distL="0" distR="0" wp14:anchorId="099CF14D" wp14:editId="203E4869">
            <wp:extent cx="2770306" cy="24155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777308" cy="2421645"/>
                    </a:xfrm>
                    <a:prstGeom prst="rect">
                      <a:avLst/>
                    </a:prstGeom>
                    <a:noFill/>
                    <a:ln>
                      <a:noFill/>
                    </a:ln>
                  </pic:spPr>
                </pic:pic>
              </a:graphicData>
            </a:graphic>
          </wp:inline>
        </w:drawing>
      </w:r>
    </w:p>
    <w:p w14:paraId="264B9020" w14:textId="08DE5500" w:rsidR="00A8599C" w:rsidRDefault="00A8599C" w:rsidP="00A8599C">
      <w:pPr>
        <w:pStyle w:val="Caption"/>
        <w:jc w:val="center"/>
      </w:pPr>
      <w:bookmarkStart w:id="6" w:name="_Toc61203428"/>
      <w:r>
        <w:t xml:space="preserve">Figure </w:t>
      </w:r>
      <w:r w:rsidR="00F22B3D">
        <w:fldChar w:fldCharType="begin"/>
      </w:r>
      <w:r w:rsidR="00F22B3D">
        <w:instrText xml:space="preserve"> STYLEREF 1 \s </w:instrText>
      </w:r>
      <w:r w:rsidR="00F22B3D">
        <w:fldChar w:fldCharType="separate"/>
      </w:r>
      <w:r w:rsidR="00F22B3D">
        <w:rPr>
          <w:noProof/>
        </w:rPr>
        <w:t>2</w:t>
      </w:r>
      <w:r w:rsidR="00F22B3D">
        <w:fldChar w:fldCharType="end"/>
      </w:r>
      <w:r w:rsidR="00F22B3D">
        <w:noBreakHyphen/>
      </w:r>
      <w:r w:rsidR="00F22B3D">
        <w:fldChar w:fldCharType="begin"/>
      </w:r>
      <w:r w:rsidR="00F22B3D">
        <w:instrText xml:space="preserve"> SEQ Figure \* ARABIC \s 1 </w:instrText>
      </w:r>
      <w:r w:rsidR="00F22B3D">
        <w:fldChar w:fldCharType="separate"/>
      </w:r>
      <w:r w:rsidR="00F22B3D">
        <w:rPr>
          <w:noProof/>
        </w:rPr>
        <w:t>1</w:t>
      </w:r>
      <w:r w:rsidR="00F22B3D">
        <w:fldChar w:fldCharType="end"/>
      </w:r>
      <w:r>
        <w:t xml:space="preserve"> The CIA triad</w:t>
      </w:r>
      <w:r w:rsidR="004E55DD">
        <w:t xml:space="preserve"> </w:t>
      </w:r>
      <w:r w:rsidR="004E55DD">
        <w:fldChar w:fldCharType="begin" w:fldLock="1"/>
      </w:r>
      <w:r w:rsidR="004C1859">
        <w:instrText>ADDIN CSL_CITATION {"citationItems":[{"id":"ITEM-1","itemData":{"ISBN":"978-1-4842-5412-7","abstract":"Discover the simple steps to implementing information security standards using ISO 27001, the most popular information security standard across the world. You’ll see how it offers best practices to be followed, including the roles of all the stakeholders at the time of security framework implementation, post-implementation, and during monitoring of the implemented controls. Implementing an Information Security Management System provides implementation guidelines for ISO 27001:2013 to protect your information assets and ensure a safer enterprise environment. This book is a step-by-step guide on implementing secure ISMS for your organization. It will change the way you interpret and implement information security in your work area or organization.","author":[{"dropping-particle":"","family":"Chopra","given":"Abhishek","non-dropping-particle":"","parse-names":false,"suffix":""},{"dropping-particle":"","family":"Chaudhary","given":"Mukund","non-dropping-particle":"","parse-names":false,"suffix":""}],"id":"ITEM-1","issued":{"date-parts":[["2020"]]},"publisher":"Apress","publisher-place":"Berkeley, CA","title":"Implementing an Information Security Management System","type":"book"},"locator":"8","uris":["http://www.mendeley.com/documents/?uuid=0f1adeef-7cbf-4f62-b748-26c75d37dcae"]}],"mendeley":{"formattedCitation":"[9, p. 8]","plainTextFormattedCitation":"[9, p. 8]","previouslyFormattedCitation":"[9, p. 8]"},"properties":{"noteIndex":0},"schema":"https://github.com/citation-style-language/schema/raw/master/csl-citation.json"}</w:instrText>
      </w:r>
      <w:r w:rsidR="004E55DD">
        <w:fldChar w:fldCharType="separate"/>
      </w:r>
      <w:r w:rsidR="00BE516C" w:rsidRPr="00BE516C">
        <w:rPr>
          <w:i w:val="0"/>
          <w:noProof/>
        </w:rPr>
        <w:t>[9, p. 8]</w:t>
      </w:r>
      <w:bookmarkEnd w:id="6"/>
      <w:r w:rsidR="004E55DD">
        <w:fldChar w:fldCharType="end"/>
      </w:r>
    </w:p>
    <w:p w14:paraId="2EC5B939" w14:textId="77777777" w:rsidR="00294674" w:rsidRDefault="00294674" w:rsidP="00294674"/>
    <w:p w14:paraId="3A541CAC" w14:textId="0983DE7C" w:rsidR="00C03F1C" w:rsidRDefault="00D648B6" w:rsidP="00E12A9C">
      <w:r>
        <w:t xml:space="preserve">The CIA triad is </w:t>
      </w:r>
      <w:r w:rsidR="007126CA">
        <w:t>one of the</w:t>
      </w:r>
      <w:r>
        <w:t xml:space="preserve"> core factor</w:t>
      </w:r>
      <w:r w:rsidR="007126CA">
        <w:t xml:space="preserve">s </w:t>
      </w:r>
      <w:r>
        <w:t>in every ISMS framework</w:t>
      </w:r>
      <w:r w:rsidR="00435B19">
        <w:t xml:space="preserve"> or model</w:t>
      </w:r>
      <w:r>
        <w:t xml:space="preserve">, and there </w:t>
      </w:r>
      <w:r w:rsidR="00C05F2E">
        <w:t xml:space="preserve">are </w:t>
      </w:r>
      <w:r w:rsidR="005F208D">
        <w:t>several</w:t>
      </w:r>
      <w:r w:rsidR="00275D33">
        <w:t xml:space="preserve"> </w:t>
      </w:r>
      <w:r w:rsidR="00C05F2E">
        <w:t>availabl</w:t>
      </w:r>
      <w:r w:rsidR="0024666A">
        <w:t>e</w:t>
      </w:r>
      <w:r w:rsidR="001A33F2">
        <w:t>,</w:t>
      </w:r>
      <w:r w:rsidR="0024666A">
        <w:t xml:space="preserve"> such as</w:t>
      </w:r>
      <w:r w:rsidR="00C03F1C">
        <w:t>:</w:t>
      </w:r>
    </w:p>
    <w:p w14:paraId="7DB11126" w14:textId="453AB18B" w:rsidR="00C03F1C" w:rsidRDefault="009E6194" w:rsidP="009049BE">
      <w:pPr>
        <w:pStyle w:val="ListParagraph"/>
        <w:numPr>
          <w:ilvl w:val="0"/>
          <w:numId w:val="3"/>
        </w:numPr>
      </w:pPr>
      <w:r>
        <w:t xml:space="preserve">Information Technology Infrastructure </w:t>
      </w:r>
      <w:r w:rsidR="00FF36AA">
        <w:t>L</w:t>
      </w:r>
      <w:r>
        <w:t>ibrary (</w:t>
      </w:r>
      <w:r w:rsidR="004138B2">
        <w:t>ITIL</w:t>
      </w:r>
      <w:r>
        <w:t>)</w:t>
      </w:r>
      <w:r w:rsidR="004138B2">
        <w:t xml:space="preserve">, </w:t>
      </w:r>
    </w:p>
    <w:p w14:paraId="4CBDC52B" w14:textId="77777777" w:rsidR="00C03F1C" w:rsidRDefault="009E6194" w:rsidP="009049BE">
      <w:pPr>
        <w:pStyle w:val="ListParagraph"/>
        <w:numPr>
          <w:ilvl w:val="0"/>
          <w:numId w:val="3"/>
        </w:numPr>
      </w:pPr>
      <w:r>
        <w:t>Control Objectives for Information and Related Technology (</w:t>
      </w:r>
      <w:r w:rsidR="004138B2">
        <w:t>COBIT</w:t>
      </w:r>
      <w:r>
        <w:t>)</w:t>
      </w:r>
      <w:r w:rsidR="004138B2">
        <w:t xml:space="preserve">, </w:t>
      </w:r>
    </w:p>
    <w:p w14:paraId="1E1E87B9" w14:textId="4A450F53" w:rsidR="00C03F1C" w:rsidRDefault="00E16426" w:rsidP="009049BE">
      <w:pPr>
        <w:pStyle w:val="ListParagraph"/>
        <w:numPr>
          <w:ilvl w:val="0"/>
          <w:numId w:val="3"/>
        </w:numPr>
      </w:pPr>
      <w:r>
        <w:rPr>
          <w:rStyle w:val="hgkelc"/>
        </w:rPr>
        <w:t>International Organi</w:t>
      </w:r>
      <w:r w:rsidR="00E110EC">
        <w:rPr>
          <w:rStyle w:val="hgkelc"/>
        </w:rPr>
        <w:t>s</w:t>
      </w:r>
      <w:r>
        <w:rPr>
          <w:rStyle w:val="hgkelc"/>
        </w:rPr>
        <w:t>ation for Standardi</w:t>
      </w:r>
      <w:r w:rsidR="00E110EC">
        <w:rPr>
          <w:rStyle w:val="hgkelc"/>
        </w:rPr>
        <w:t>s</w:t>
      </w:r>
      <w:r>
        <w:rPr>
          <w:rStyle w:val="hgkelc"/>
        </w:rPr>
        <w:t>ation/International Electrotechnical Commission</w:t>
      </w:r>
      <w:r>
        <w:t xml:space="preserve"> </w:t>
      </w:r>
      <w:r w:rsidR="00C41D88">
        <w:t>(</w:t>
      </w:r>
      <w:r w:rsidR="00B068E9">
        <w:t>ISO</w:t>
      </w:r>
      <w:r w:rsidR="00325CD5">
        <w:t>/IEC</w:t>
      </w:r>
      <w:r w:rsidR="00C41D88">
        <w:t>)</w:t>
      </w:r>
      <w:r w:rsidR="00325CD5">
        <w:t xml:space="preserve"> </w:t>
      </w:r>
      <w:r w:rsidR="00B068E9">
        <w:t>27000 family</w:t>
      </w:r>
      <w:r w:rsidR="00C03F1C">
        <w:t>,</w:t>
      </w:r>
    </w:p>
    <w:p w14:paraId="5669AF94" w14:textId="44FB2388" w:rsidR="00FC4911" w:rsidRDefault="00FC4911" w:rsidP="009049BE">
      <w:pPr>
        <w:pStyle w:val="ListParagraph"/>
        <w:numPr>
          <w:ilvl w:val="0"/>
          <w:numId w:val="3"/>
        </w:numPr>
      </w:pPr>
      <w:r>
        <w:t xml:space="preserve">National Institute of Standards and Technology </w:t>
      </w:r>
      <w:r w:rsidR="00CC08E3">
        <w:t xml:space="preserve">Cybersecurity Framework </w:t>
      </w:r>
      <w:r>
        <w:t>(NIST</w:t>
      </w:r>
      <w:r w:rsidR="00CC08E3">
        <w:t xml:space="preserve"> CSF</w:t>
      </w:r>
      <w:r>
        <w:t>)</w:t>
      </w:r>
      <w:r w:rsidR="00DE0F27">
        <w:t>.</w:t>
      </w:r>
    </w:p>
    <w:p w14:paraId="15331EA1" w14:textId="77777777" w:rsidR="004138B2" w:rsidRDefault="004138B2" w:rsidP="00E12A9C"/>
    <w:p w14:paraId="187429A3" w14:textId="5E40D9BB" w:rsidR="002856C3" w:rsidRDefault="002856C3" w:rsidP="00C068B2">
      <w:pPr>
        <w:pStyle w:val="Heading2"/>
      </w:pPr>
      <w:bookmarkStart w:id="7" w:name="_Toc57907779"/>
      <w:r>
        <w:lastRenderedPageBreak/>
        <w:t>ITIL</w:t>
      </w:r>
      <w:bookmarkEnd w:id="7"/>
    </w:p>
    <w:p w14:paraId="2FDBBE6D" w14:textId="12BC0505" w:rsidR="00B63902" w:rsidRDefault="003720EA" w:rsidP="009B6434">
      <w:r>
        <w:t>ITIL is a framework that has</w:t>
      </w:r>
      <w:r w:rsidR="00DD705D">
        <w:t xml:space="preserve"> evolved several iterations since </w:t>
      </w:r>
      <w:r w:rsidR="0006583D">
        <w:t>its</w:t>
      </w:r>
      <w:r w:rsidR="00DD705D">
        <w:t xml:space="preserve"> creation in the 1980’s by the UK Government</w:t>
      </w:r>
      <w:r w:rsidR="006472AC">
        <w:t xml:space="preserve"> </w:t>
      </w:r>
      <w:r w:rsidR="00C0718A">
        <w:t>(</w:t>
      </w:r>
      <w:r w:rsidR="006472AC">
        <w:t>now ITIL 4 as of 2019</w:t>
      </w:r>
      <w:r w:rsidR="00C0718A">
        <w:t>)</w:t>
      </w:r>
      <w:r w:rsidR="006472AC">
        <w:t>. The framework has</w:t>
      </w:r>
      <w:r>
        <w:t xml:space="preserve"> been designed for </w:t>
      </w:r>
      <w:r w:rsidR="006472AC">
        <w:t xml:space="preserve">the </w:t>
      </w:r>
      <w:r>
        <w:t xml:space="preserve">implementation of best practices compiled from both public and private sector organisations around the world. It is one of the most popular frameworks for ISMS and has been adopted globally by </w:t>
      </w:r>
      <w:r w:rsidR="00DD705D">
        <w:t>a variety of different sized companies</w:t>
      </w:r>
      <w:r w:rsidR="00B05A47">
        <w:t xml:space="preserve"> </w:t>
      </w:r>
      <w:r w:rsidR="003C192B">
        <w:fldChar w:fldCharType="begin" w:fldLock="1"/>
      </w:r>
      <w:r w:rsidR="004703E1">
        <w:instrText>ADDIN CSL_CITATION {"citationItems":[{"id":"ITEM-1","itemData":{"abstract":"In today's information age the increase importance of Information Systems (IS) which are highly dependent of Information Technology (IT) forces organizations to deploy IT Service Management (ITSM) frameworks. The increase complexity of new IT technologies, products and deployment models makes the management of an IS a big challenge to manage and to ensure its availability. This complexity drives IT organizations to manage the environment by silos or technologies and inhibits a holistic view of the target environment leaving space for failures. This paper intends to analyze and identify these issues and proposes an IT management framework that will help IT organizations to provide a better management of IS.","author":[{"dropping-particle":"","family":"Varga","given":"Sergio","non-dropping-particle":"","parse-names":false,"suffix":""},{"dropping-particle":"","family":"Barreto","given":"Gilmar","non-dropping-particle":"","parse-names":false,"suffix":""},{"dropping-particle":"","family":"Battaglin","given":"Paulo D.","non-dropping-particle":"","parse-names":false,"suffix":""}],"container-title":"Iberian Conference on Information Systems and Technologies, CISTI","id":"ITEM-1","issue":"June","issued":{"date-parts":[["2019"]]},"page":"19-22","title":"Increasing information systems availabiliy through accuracy, awareness, completeness and manageability of ITSM","type":"article-journal"},"uris":["http://www.mendeley.com/documents/?uuid=e9f9f613-f6f8-47c2-a1f4-d23f9233b86e"]},{"id":"ITEM-2","itemData":{"abstract":"This paper carries out a review of the issues that Small and Medium Enterprises (SMEs) face when trying to ensure their alignment with Information Technology Infrastructure Library (ITIL) guidelines. It is well-known that SMEs experience different challenges to those experienced by Large Enterprises, however their demands are the same as larger companies. Given that they have less labor and technological resources, they must optimize their service levels and adapt the activities of their IT departments to the needs of the company without negatively impacting service commitments. In this context our main objective is to establish a complete review concerning the important information that exists in relation to ITIL and its use in Small and Medium Enterprises, evaluating methods for the collection of evidence and analysis. For this reason we have conducted a systematic literature review with the automated search in the range 2007-2015 which has led us to identify thirty-nine articles of relevance. It is noted that, although it was initially expected that there might be enough information that would help us validate and interpret the way that ITIL functions for Small and Medium Enterprises, the reality is that there are not many publications of relevance that deal with the topic of ITIL and SMEs.","author":[{"dropping-particle":"","family":"Cruz-Hinojosa","given":"Nancy Judith","non-dropping-particle":"","parse-names":false,"suffix":""},{"dropping-particle":"","family":"Gutiérrez-De-Mesa","given":"José Antonio","non-dropping-particle":"","parse-names":false,"suffix":""}],"container-title":"Computer Standards and Interfaces","id":"ITEM-2","issued":{"date-parts":[["2016"]]},"page":"124-138","publisher":"Elsevier B.V.","title":"Literature review of the situation research faces in the application of ITIL in Small and Medium Enterprises","type":"article-journal","volume":"48"},"uris":["http://www.mendeley.com/documents/?uuid=7d06fd40-0417-46e0-be8c-93b0c0bfc81d"]},{"id":"ITEM-3","itemData":{"abstract":"Organizations of any size are tasked with managing security and risks of varying degrees of impact and complexity. Managing security can be one of the most intricate yet pervasive aspects of Information Technology Management. The service management philosophy that many organizations use is Information Technology Service Management (ITSM). Within ITSM, Information Technology Infrastructure Library (ITIL) is a set of best practices that can be used to manage security. The unique aspect of security incidents can be their sensitive nature. This sensitivity can complicate the management of security but does not preclude it from being managed in a way that is appropriate and effective for the organization. Due to the novelty of ITIL 4, there is a lack of research for effectively managing security incidents within an ITIL 4 framework. ITIL 4 represents a change in some of the core components of ITIL. This paper will examine how ITIL 4 can provide a framework for managing security.","author":[{"dropping-particle":"","family":"Berger","given":"Derrick","non-dropping-particle":"","parse-names":false,"suffix":""},{"dropping-particle":"","family":"Shashidhar","given":"Narasimha","non-dropping-particle":"","parse-names":false,"suffix":""},{"dropping-particle":"","family":"Varol","given":"Cihan","non-dropping-particle":"","parse-names":false,"suffix":""}],"container-title":"2020 8th International Symposium on Digital Forensics and Security (ISDFS)","id":"ITEM-3","issued":{"date-parts":[["2020","6"]]},"page":"1-6","publisher":"IEEE","title":"Using ITIL 4 in Security Management","type":"article-journal"},"uris":["http://www.mendeley.com/documents/?uuid=0f9f6006-5682-4576-8b99-7354a6e7a66c"]},{"id":"ITEM-4","itemData":{"abstract":"IT service management (ITSM) practitioners recognize the need for continuous improvement of IT services. Using a design science research approach, we develop a five–step process improvement framework for ITIL (Information Technology Infrastructure Library) service operations, based on the use of the Lean toolset. The proposed framework offers a structured approach for process improvement in practice and a basis for more systematic research.","author":[{"dropping-particle":"","family":"Obwegeser","given":"Nikolaus","non-dropping-particle":"","parse-names":false,"suffix":""},{"dropping-particle":"","family":"T. Nielsen","given":"Daniel","non-dropping-particle":"","parse-names":false,"suffix":""},{"dropping-particle":"","family":"M. Spandet","given":"Nicklas","non-dropping-particle":"","parse-names":false,"suffix":""}],"container-title":"Information Systems Management","id":"ITEM-4","issue":"2","issued":{"date-parts":[["2019","4","3"]]},"page":"141-167","publisher":"Taylor &amp; Francis","title":"Continual Process Improvement for ITIL Service Operations: A Lean Perspective","type":"article-journal","volume":"36"},"uris":["http://www.mendeley.com/documents/?uuid=ddfa87b1-3eba-4314-99f0-eff015756363"]}],"mendeley":{"formattedCitation":"[3], [11]–[13]","plainTextFormattedCitation":"[3], [11]–[13]","previouslyFormattedCitation":"[3], [11]–[13]"},"properties":{"noteIndex":0},"schema":"https://github.com/citation-style-language/schema/raw/master/csl-citation.json"}</w:instrText>
      </w:r>
      <w:r w:rsidR="003C192B">
        <w:fldChar w:fldCharType="separate"/>
      </w:r>
      <w:r w:rsidR="00E556F5" w:rsidRPr="00E556F5">
        <w:rPr>
          <w:noProof/>
        </w:rPr>
        <w:t>[3], [11]–[13]</w:t>
      </w:r>
      <w:r w:rsidR="003C192B">
        <w:fldChar w:fldCharType="end"/>
      </w:r>
      <w:r w:rsidR="00691C9D">
        <w:t xml:space="preserve">. </w:t>
      </w:r>
    </w:p>
    <w:p w14:paraId="7AEA83EC" w14:textId="7DFAD391" w:rsidR="00173C3A" w:rsidRDefault="00644A9D" w:rsidP="00A0659C">
      <w:r>
        <w:tab/>
        <w:t xml:space="preserve">ITIL describes </w:t>
      </w:r>
      <w:r w:rsidR="007116D4">
        <w:t xml:space="preserve">the </w:t>
      </w:r>
      <w:r>
        <w:t xml:space="preserve">development of documents that contain processes, </w:t>
      </w:r>
      <w:r w:rsidR="00FF0D34">
        <w:t>procedures,</w:t>
      </w:r>
      <w:r>
        <w:t xml:space="preserve"> and tasks </w:t>
      </w:r>
      <w:r w:rsidR="007116D4">
        <w:t xml:space="preserve">of </w:t>
      </w:r>
      <w:r>
        <w:t xml:space="preserve">which an organisation can </w:t>
      </w:r>
      <w:r w:rsidR="00544949">
        <w:t xml:space="preserve">first </w:t>
      </w:r>
      <w:r>
        <w:t xml:space="preserve">utilise as a baseline. </w:t>
      </w:r>
      <w:r w:rsidR="007116D4">
        <w:t>Moving forwards from</w:t>
      </w:r>
      <w:r>
        <w:t xml:space="preserve"> this baseline</w:t>
      </w:r>
      <w:r w:rsidR="00676C0F">
        <w:t>,</w:t>
      </w:r>
      <w:r>
        <w:t xml:space="preserve"> planning, implementation and measurements of </w:t>
      </w:r>
      <w:r w:rsidR="007116D4">
        <w:t>said</w:t>
      </w:r>
      <w:r>
        <w:t xml:space="preserve"> tasks</w:t>
      </w:r>
      <w:r w:rsidR="00E057BC">
        <w:t xml:space="preserve"> </w:t>
      </w:r>
      <w:r w:rsidR="000D488B">
        <w:t xml:space="preserve">would be carried out </w:t>
      </w:r>
      <w:r w:rsidR="00E057BC">
        <w:t xml:space="preserve">to align their various IT departments </w:t>
      </w:r>
      <w:r w:rsidR="000D488B">
        <w:t xml:space="preserve">of the business </w:t>
      </w:r>
      <w:r w:rsidR="00E057BC">
        <w:t>(infrastructure, development, operations, etc…)</w:t>
      </w:r>
      <w:r w:rsidR="004E509A">
        <w:t xml:space="preserve"> with the needs of the business to ensure the best service possible will be provided</w:t>
      </w:r>
      <w:r w:rsidR="00CD58C5">
        <w:t xml:space="preserve"> by promoting efficiency and effective organisation</w:t>
      </w:r>
      <w:r w:rsidR="001A2CFE">
        <w:t xml:space="preserve"> </w:t>
      </w:r>
      <w:r w:rsidR="001A2CFE">
        <w:fldChar w:fldCharType="begin" w:fldLock="1"/>
      </w:r>
      <w:r w:rsidR="00BA5CAE">
        <w:instrText>ADDIN CSL_CITATION {"citationItems":[{"id":"ITEM-1","itemData":{"abstract":"Security awareness, pulbic places, easy option","author":[{"dropping-particle":"","family":"Susanto","given":"Heru","non-dropping-particle":"","parse-names":false,"suffix":""},{"dropping-particle":"","family":"Almunawar","given":"Mohammad Nabil","non-dropping-particle":"","parse-names":false,"suffix":""}],"edition":"1","id":"ITEM-1","issued":{"date-parts":[["2017"]]},"publisher":"Apple Academic Press","title":"Information Security Management Systems - A Novel Framework and Software as a Tool for Compliance with Information Security Standards","type":"book"},"locator":"55","uris":["http://www.mendeley.com/documents/?uuid=d596961c-093c-4c08-a1b8-6d9447ad06ef"]},{"id":"ITEM-2","itemData":{"abstract":"In today's information age the increase importance of Information Systems (IS) which are highly dependent of Information Technology (IT) forces organizations to deploy IT Service Management (ITSM) frameworks. The increase complexity of new IT technologies, products and deployment models makes the management of an IS a big challenge to manage and to ensure its availability. This complexity drives IT organizations to manage the environment by silos or technologies and inhibits a holistic view of the target environment leaving space for failures. This paper intends to analyze and identify these issues and proposes an IT management framework that will help IT organizations to provide a better management of IS.","author":[{"dropping-particle":"","family":"Varga","given":"Sergio","non-dropping-particle":"","parse-names":false,"suffix":""},{"dropping-particle":"","family":"Barreto","given":"Gilmar","non-dropping-particle":"","parse-names":false,"suffix":""},{"dropping-particle":"","family":"Battaglin","given":"Paulo D.","non-dropping-particle":"","parse-names":false,"suffix":""}],"container-title":"Iberian Conference on Information Systems and Technologies, CISTI","id":"ITEM-2","issue":"June","issued":{"date-parts":[["2019"]]},"page":"19-22","title":"Increasing information systems availabiliy through accuracy, awareness, completeness and manageability of ITSM","type":"article-journal"},"uris":["http://www.mendeley.com/documents/?uuid=e9f9f613-f6f8-47c2-a1f4-d23f9233b86e"]},{"id":"ITEM-3","itemData":{"ISBN":"9781284116458","author":[{"dropping-particle":"","family":"Kim","given":"David","non-dropping-particle":"","parse-names":false,"suffix":""},{"dropping-particle":"","family":"Solomon","given":"Michael G","non-dropping-particle":"","parse-names":false,"suffix":""}],"edition":"3","id":"ITEM-3","issued":{"date-parts":[["2018"]]},"publisher":"Jones &amp; Barlett Learning","title":"Fundamentals of Information Security","type":"book"},"locator":"225","uris":["http://www.mendeley.com/documents/?uuid=3c992c02-311c-481d-991c-d9638f1ef81a"]}],"mendeley":{"formattedCitation":"[11], [14, p. 55], [15, p. 225]","plainTextFormattedCitation":"[11], [14, p. 55], [15, p. 225]","previouslyFormattedCitation":"[11], [14, p. 55], [15, p. 225]"},"properties":{"noteIndex":0},"schema":"https://github.com/citation-style-language/schema/raw/master/csl-citation.json"}</w:instrText>
      </w:r>
      <w:r w:rsidR="001A2CFE">
        <w:fldChar w:fldCharType="separate"/>
      </w:r>
      <w:r w:rsidR="00E556F5" w:rsidRPr="00E556F5">
        <w:rPr>
          <w:noProof/>
        </w:rPr>
        <w:t>[11], [14, p. 55], [15, p. 225]</w:t>
      </w:r>
      <w:r w:rsidR="001A2CFE">
        <w:fldChar w:fldCharType="end"/>
      </w:r>
      <w:r w:rsidR="002B73AE">
        <w:t>.</w:t>
      </w:r>
    </w:p>
    <w:p w14:paraId="6D62D1F2" w14:textId="1468DA49" w:rsidR="00C22484" w:rsidRDefault="00C22484" w:rsidP="00A0659C">
      <w:r>
        <w:tab/>
        <w:t>The key components</w:t>
      </w:r>
      <w:r w:rsidR="00707AE5">
        <w:t xml:space="preserve"> of the ITIL 4 framework are the service value system </w:t>
      </w:r>
      <w:r w:rsidR="00A82A71">
        <w:t>(</w:t>
      </w:r>
      <w:r w:rsidR="003A51C7">
        <w:t>ITIL service value chain, ITIL practices, ITIL guiding practices, governance and continual improvements</w:t>
      </w:r>
      <w:r w:rsidR="00A82A71">
        <w:t>)</w:t>
      </w:r>
      <w:r w:rsidR="003A51C7">
        <w:t xml:space="preserve">, </w:t>
      </w:r>
      <w:r w:rsidR="00707AE5">
        <w:t>and the four dimensions model</w:t>
      </w:r>
      <w:r w:rsidR="00A25CB4">
        <w:t xml:space="preserve"> (organisations and people, information and technology, partners and suppliers, value streams and processes)</w:t>
      </w:r>
      <w:r w:rsidR="0065545A">
        <w:t xml:space="preserve"> of which each must be appropriately addressed, else this may result in undeliverable services.</w:t>
      </w:r>
      <w:r w:rsidR="00C33967">
        <w:t xml:space="preserve"> </w:t>
      </w:r>
      <w:r w:rsidR="002D2B3E">
        <w:fldChar w:fldCharType="begin" w:fldLock="1"/>
      </w:r>
      <w:r w:rsidR="00BA5CAE">
        <w:instrText>ADDIN CSL_CITATION {"citationItems":[{"id":"ITEM-1","itemData":{"ISBN":"9780113316076","author":[{"dropping-particle":"","family":"Axelos","given":"","non-dropping-particle":"","parse-names":false,"suffix":""}],"edition":"1","id":"ITEM-1","issued":{"date-parts":[["2019"]]},"publisher":"TSO","title":"ITIL Foundation","type":"book"},"locator":"14-15","uris":["http://www.mendeley.com/documents/?uuid=1f59ce6c-7830-4542-b1ee-2e6608b2a6e8"]}],"mendeley":{"formattedCitation":"[16, pp. 14–15]","plainTextFormattedCitation":"[16, pp. 14–15]","previouslyFormattedCitation":"[16, pp. 14–15]"},"properties":{"noteIndex":0},"schema":"https://github.com/citation-style-language/schema/raw/master/csl-citation.json"}</w:instrText>
      </w:r>
      <w:r w:rsidR="002D2B3E">
        <w:fldChar w:fldCharType="separate"/>
      </w:r>
      <w:r w:rsidR="002D2B3E" w:rsidRPr="002D2B3E">
        <w:rPr>
          <w:noProof/>
        </w:rPr>
        <w:t>[16, pp. 14–15]</w:t>
      </w:r>
      <w:r w:rsidR="002D2B3E">
        <w:fldChar w:fldCharType="end"/>
      </w:r>
      <w:r w:rsidR="00707AE5">
        <w:t>.</w:t>
      </w:r>
      <w:r w:rsidR="0064074F">
        <w:t xml:space="preserve"> </w:t>
      </w:r>
    </w:p>
    <w:p w14:paraId="3050B43F" w14:textId="27352AC2" w:rsidR="00BB05D8" w:rsidRDefault="002E71C7" w:rsidP="00A0659C">
      <w:r>
        <w:tab/>
        <w:t xml:space="preserve">The ITIL focus </w:t>
      </w:r>
      <w:r w:rsidR="004878E6">
        <w:t>on the lifecycle of services (renewing and withdrawing of older services)</w:t>
      </w:r>
      <w:r w:rsidR="000538D7">
        <w:t xml:space="preserve"> and</w:t>
      </w:r>
      <w:r w:rsidR="004878E6">
        <w:t xml:space="preserve"> </w:t>
      </w:r>
      <w:r w:rsidR="00F62D55">
        <w:t>has been shown to increase the business</w:t>
      </w:r>
      <w:r w:rsidR="00BE0DEA">
        <w:t xml:space="preserve"> in areas such as service quality, customer satisfaction and return on investment improvement </w:t>
      </w:r>
      <w:r w:rsidR="00B00EF9">
        <w:fldChar w:fldCharType="begin" w:fldLock="1"/>
      </w:r>
      <w:r w:rsidR="00632009">
        <w:instrText>ADDIN CSL_CITATION {"citationItems":[{"id":"ITEM-1","itemData":{"abstract":"Enterprise Governance of Information Technology (EGIT) can be defined as a means to achieve business/IT alignment. Organizations can benefit from this alignment by implementing processes defined by EGIT frameworks to become more competitive and produce high-quality products and services. COBIT and ITIL are two well-known Process Reference Models (PRMs) that are widely adopted and adapted by organizations. PRMs are always related to a process assessment model (PAM) which holds all details to determine the capability of the processes of the reference model. However, in multi-framework environments, organizations struggle in assessing these frameworks processes implementation since each framework defines its own scope, structure, definitions, and terminology. To overcome this issue, the authors propose an approach that through semantic similarity compares COBIT PAM and TIPA for ITIL-the PAM for COBIT 5 and ITIL-core concepts to highlight their overlapping.","author":[{"dropping-particle":"","family":"Sony","given":"Bruno","non-dropping-particle":"","parse-names":false,"suffix":""},{"dropping-particle":"","family":"Borges","given":"Lopes","non-dropping-particle":"","parse-names":false,"suffix":""}],"id":"ITEM-1","issued":{"date-parts":[["2018"]]},"title":"Comparison of COBIT 5 and ITIL V3 using Semantic Analysis","type":"article-journal"},"uris":["http://www.mendeley.com/documents/?uuid=eb51c719-819d-4447-8ef0-7390a1b99f44"]}],"mendeley":{"formattedCitation":"[17]","plainTextFormattedCitation":"[17]","previouslyFormattedCitation":"[17]"},"properties":{"noteIndex":0},"schema":"https://github.com/citation-style-language/schema/raw/master/csl-citation.json"}</w:instrText>
      </w:r>
      <w:r w:rsidR="00B00EF9">
        <w:fldChar w:fldCharType="separate"/>
      </w:r>
      <w:r w:rsidR="00B00EF9" w:rsidRPr="00B00EF9">
        <w:rPr>
          <w:noProof/>
        </w:rPr>
        <w:t>[17]</w:t>
      </w:r>
      <w:r w:rsidR="00B00EF9">
        <w:fldChar w:fldCharType="end"/>
      </w:r>
      <w:r w:rsidR="00BE0DEA">
        <w:t>.</w:t>
      </w:r>
      <w:r w:rsidR="004E5155">
        <w:t xml:space="preserve"> </w:t>
      </w:r>
      <w:r w:rsidR="00EB5F53">
        <w:t>However w</w:t>
      </w:r>
      <w:r w:rsidR="00966156">
        <w:t xml:space="preserve">ith the reliance ITIL has on </w:t>
      </w:r>
      <w:r w:rsidR="009A2A59">
        <w:t xml:space="preserve">the implementation of </w:t>
      </w:r>
      <w:r w:rsidR="00966156">
        <w:t>processes,</w:t>
      </w:r>
      <w:r w:rsidR="00E925B6">
        <w:t xml:space="preserve"> it can be problematic due to the </w:t>
      </w:r>
      <w:r w:rsidR="00D45F75">
        <w:t xml:space="preserve">vast </w:t>
      </w:r>
      <w:r w:rsidR="00E925B6">
        <w:t xml:space="preserve">amount of </w:t>
      </w:r>
      <w:r w:rsidR="00D45F75">
        <w:t>unique</w:t>
      </w:r>
      <w:r w:rsidR="00E925B6">
        <w:t xml:space="preserve"> literatures on how to apply these processes</w:t>
      </w:r>
      <w:r w:rsidR="00D45F75">
        <w:t>,</w:t>
      </w:r>
      <w:r w:rsidR="00E925B6">
        <w:t xml:space="preserve"> as it can be difficult to find a common approach </w:t>
      </w:r>
      <w:r w:rsidR="005B7129">
        <w:fldChar w:fldCharType="begin" w:fldLock="1"/>
      </w:r>
      <w:r w:rsidR="00B51DD9">
        <w:instrText>ADDIN CSL_CITATION {"citationItems":[{"id":"ITEM-1","itemData":{"abstract":"One of the main points when implementing the Information Technology Infrastructure Library (ITIL) is which order the processes must be implemented. In the systematic literature review (SLR) developed, it is possible to find references about strategies and factors that ease the implementation of the ITIL, static sequences for the processes to be implemented, and recommendations about the first process to implement, but it is rather complicated to find references that explicitly define the order (adapted to a specific company) of the processes to be implemented. Thus, once it is shown that there is no methodology/algorithm providing a sequence of ITIL processes specifically adapted for each company, an algorithm to solve this problem is presented: The algorithm has a deep mathematical basis and returns a sequence of ITIL processes to optimize the efforts during implementation, so the company implementing the ITIL gets the closest to the competitors. The optimization is made considering parameters such as staff, age of the company, IT size, industry, etc. Thus, the sequence proposed is specific for each company. Finally, a comparative of the sequence obtained (from the proposed algorithm) with sequences discovered in the SLR is presented and applied to a real case.","author":[{"dropping-particle":"","family":"Rubio","given":"Juan Luis","non-dropping-particle":"","parse-names":false,"suffix":""},{"dropping-particle":"","family":"Arcilla","given":"Magdalena","non-dropping-particle":"","parse-names":false,"suffix":""}],"container-title":"Applied Sciences","id":"ITEM-1","issue":"1","issued":{"date-parts":[["2019","12","19"]]},"page":"34","title":"How to Optimize the Implementation of ITIL through a Process Ordering Algorithm","type":"article-journal","volume":"10"},"uris":["http://www.mendeley.com/documents/?uuid=81bd4eec-ed77-4068-a3e1-9a2a7c6b015e"]}],"mendeley":{"formattedCitation":"[18]","plainTextFormattedCitation":"[18]","previouslyFormattedCitation":"[18]"},"properties":{"noteIndex":0},"schema":"https://github.com/citation-style-language/schema/raw/master/csl-citation.json"}</w:instrText>
      </w:r>
      <w:r w:rsidR="005B7129">
        <w:fldChar w:fldCharType="separate"/>
      </w:r>
      <w:r w:rsidR="00364C8F" w:rsidRPr="00364C8F">
        <w:rPr>
          <w:noProof/>
        </w:rPr>
        <w:t>[18]</w:t>
      </w:r>
      <w:r w:rsidR="005B7129">
        <w:fldChar w:fldCharType="end"/>
      </w:r>
      <w:r w:rsidR="00E925B6">
        <w:t>.</w:t>
      </w:r>
    </w:p>
    <w:p w14:paraId="7B867775" w14:textId="331D325F" w:rsidR="004876EE" w:rsidRDefault="00A64329" w:rsidP="00A0659C">
      <w:r>
        <w:tab/>
        <w:t>ITIL 4 offers four</w:t>
      </w:r>
      <w:r w:rsidR="005B19FC">
        <w:t xml:space="preserve"> certification levels </w:t>
      </w:r>
      <w:r w:rsidR="005B19FC">
        <w:fldChar w:fldCharType="begin" w:fldLock="1"/>
      </w:r>
      <w:r w:rsidR="00B51DD9">
        <w:instrText>ADDIN CSL_CITATION {"citationItems":[{"id":"ITEM-1","itemData":{"URL":"https://www.axelos.com/certifications/itil-certifications","accessed":{"date-parts":[["2020","11","8"]]},"id":"ITEM-1","issued":{"date-parts":[["0"]]},"title":"ITIL Certifications | AXELOS","type":"webpage"},"uris":["http://www.mendeley.com/documents/?uuid=e230b5fc-6741-371b-96a2-4960d9b11543"]}],"mendeley":{"formattedCitation":"[19]","plainTextFormattedCitation":"[19]","previouslyFormattedCitation":"[19]"},"properties":{"noteIndex":0},"schema":"https://github.com/citation-style-language/schema/raw/master/csl-citation.json"}</w:instrText>
      </w:r>
      <w:r w:rsidR="005B19FC">
        <w:fldChar w:fldCharType="separate"/>
      </w:r>
      <w:r w:rsidR="00364C8F" w:rsidRPr="00364C8F">
        <w:rPr>
          <w:noProof/>
        </w:rPr>
        <w:t>[19]</w:t>
      </w:r>
      <w:r w:rsidR="005B19FC">
        <w:fldChar w:fldCharType="end"/>
      </w:r>
      <w:r w:rsidR="004876EE">
        <w:t>:</w:t>
      </w:r>
    </w:p>
    <w:p w14:paraId="58D5FA67" w14:textId="77777777" w:rsidR="004876EE" w:rsidRDefault="005B19FC" w:rsidP="009049BE">
      <w:pPr>
        <w:pStyle w:val="ListParagraph"/>
        <w:numPr>
          <w:ilvl w:val="0"/>
          <w:numId w:val="4"/>
        </w:numPr>
      </w:pPr>
      <w:r>
        <w:t xml:space="preserve">Foundation (an introduction to ITIL and ITSM), </w:t>
      </w:r>
    </w:p>
    <w:p w14:paraId="69D74157" w14:textId="77777777" w:rsidR="004876EE" w:rsidRDefault="004876EE" w:rsidP="009049BE">
      <w:pPr>
        <w:pStyle w:val="ListParagraph"/>
        <w:numPr>
          <w:ilvl w:val="0"/>
          <w:numId w:val="4"/>
        </w:numPr>
      </w:pPr>
      <w:r>
        <w:t>M</w:t>
      </w:r>
      <w:r w:rsidR="005B19FC">
        <w:t xml:space="preserve">anaging </w:t>
      </w:r>
      <w:r>
        <w:t>P</w:t>
      </w:r>
      <w:r w:rsidR="005B19FC">
        <w:t xml:space="preserve">rofessional (aimed toward IT practitioners which are working within the digital and technology teams across a business), </w:t>
      </w:r>
    </w:p>
    <w:p w14:paraId="5304DB3E" w14:textId="0815587D" w:rsidR="004876EE" w:rsidRDefault="004876EE" w:rsidP="009049BE">
      <w:pPr>
        <w:pStyle w:val="ListParagraph"/>
        <w:numPr>
          <w:ilvl w:val="0"/>
          <w:numId w:val="4"/>
        </w:numPr>
      </w:pPr>
      <w:r>
        <w:t>S</w:t>
      </w:r>
      <w:r w:rsidR="005B19FC">
        <w:t xml:space="preserve">trategic </w:t>
      </w:r>
      <w:r>
        <w:t>L</w:t>
      </w:r>
      <w:r w:rsidR="005B19FC">
        <w:t>eader (for someone working with any digitally enabled services)</w:t>
      </w:r>
      <w:r>
        <w:t>,</w:t>
      </w:r>
    </w:p>
    <w:p w14:paraId="2CFDEF8A" w14:textId="35F06CE2" w:rsidR="00A64329" w:rsidRDefault="004876EE" w:rsidP="009049BE">
      <w:pPr>
        <w:pStyle w:val="ListParagraph"/>
        <w:numPr>
          <w:ilvl w:val="0"/>
          <w:numId w:val="4"/>
        </w:numPr>
      </w:pPr>
      <w:r>
        <w:t>M</w:t>
      </w:r>
      <w:r w:rsidR="005B19FC">
        <w:t>aster.</w:t>
      </w:r>
    </w:p>
    <w:p w14:paraId="6B397261" w14:textId="77777777" w:rsidR="00904410" w:rsidRPr="00C068B2" w:rsidRDefault="00904410" w:rsidP="00C068B2"/>
    <w:p w14:paraId="322C3273" w14:textId="77777777" w:rsidR="00C068B2" w:rsidRDefault="002856C3" w:rsidP="00C068B2">
      <w:pPr>
        <w:pStyle w:val="Heading2"/>
      </w:pPr>
      <w:bookmarkStart w:id="8" w:name="_Toc57907780"/>
      <w:r>
        <w:t>COBIT</w:t>
      </w:r>
      <w:bookmarkEnd w:id="8"/>
      <w:r>
        <w:t xml:space="preserve"> </w:t>
      </w:r>
    </w:p>
    <w:p w14:paraId="4BDA0130" w14:textId="0BF8696B" w:rsidR="00693734" w:rsidRDefault="00F74837" w:rsidP="00E12A9C">
      <w:r>
        <w:t>COBIT</w:t>
      </w:r>
      <w:r w:rsidR="00797A57">
        <w:t>, now at its fifth iteration,</w:t>
      </w:r>
      <w:r w:rsidR="002856C3">
        <w:t xml:space="preserve"> is an internationally recognised framework created by the Information System Audit and Control Association (ISACA)</w:t>
      </w:r>
      <w:r w:rsidR="00E860AA">
        <w:t xml:space="preserve"> and the IT Governance Institute (ITGI)</w:t>
      </w:r>
      <w:r w:rsidR="002856C3">
        <w:t xml:space="preserve"> </w:t>
      </w:r>
      <w:r w:rsidR="002856C3">
        <w:fldChar w:fldCharType="begin" w:fldLock="1"/>
      </w:r>
      <w:r w:rsidR="00BA5CAE">
        <w:instrText>ADDIN CSL_CITATION {"citationItems":[{"id":"ITEM-1","itemData":{"abstract":"Security awareness, pulbic places, easy option","author":[{"dropping-particle":"","family":"Susanto","given":"Heru","non-dropping-particle":"","parse-names":false,"suffix":""},{"dropping-particle":"","family":"Almunawar","given":"Mohammad Nabil","non-dropping-particle":"","parse-names":false,"suffix":""}],"edition":"1","id":"ITEM-1","issued":{"date-parts":[["2017"]]},"publisher":"Apple Academic Press","title":"Information Security Management Systems - A Novel Framework and Software as a Tool for Compliance with Information Security Standards","type":"book"},"locator":"28","uris":["http://www.mendeley.com/documents/?uuid=d596961c-093c-4c08-a1b8-6d9447ad06ef"]},{"id":"ITEM-2","itemData":{"ISBN":"9781284116458","author":[{"dropping-particle":"","family":"Kim","given":"David","non-dropping-particle":"","parse-names":false,"suffix":""},{"dropping-particle":"","family":"Solomon","given":"Michael G","non-dropping-particle":"","parse-names":false,"suffix":""}],"edition":"3","id":"ITEM-2","issued":{"date-parts":[["2018"]]},"publisher":"Jones &amp; Barlett Learning","title":"Fundamentals of Information Security","type":"book"},"locator":"225","uris":["http://www.mendeley.com/documents/?uuid=3c992c02-311c-481d-991c-d9638f1ef81a"]}],"mendeley":{"formattedCitation":"[14, p. 28], [15, p. 225]","plainTextFormattedCitation":"[14, p. 28], [15, p. 225]","previouslyFormattedCitation":"[14, p. 28], [15, p. 225]"},"properties":{"noteIndex":0},"schema":"https://github.com/citation-style-language/schema/raw/master/csl-citation.json"}</w:instrText>
      </w:r>
      <w:r w:rsidR="002856C3">
        <w:fldChar w:fldCharType="separate"/>
      </w:r>
      <w:r w:rsidR="00E556F5" w:rsidRPr="00E556F5">
        <w:rPr>
          <w:noProof/>
        </w:rPr>
        <w:t>[14, p. 28], [15, p. 225]</w:t>
      </w:r>
      <w:r w:rsidR="002856C3">
        <w:fldChar w:fldCharType="end"/>
      </w:r>
      <w:r w:rsidR="00E860AA">
        <w:t xml:space="preserve">. COBIT, </w:t>
      </w:r>
      <w:r w:rsidR="00400770">
        <w:t>similar to</w:t>
      </w:r>
      <w:r w:rsidR="00E860AA">
        <w:t xml:space="preserve"> ITIL, is a framework that comprises of best practices for IT management, providing users with measures, indicators and processes to help develop the most beneficial behaviours, governance and control in a company</w:t>
      </w:r>
      <w:r w:rsidR="009C06D5">
        <w:t xml:space="preserve"> and ass</w:t>
      </w:r>
      <w:r w:rsidR="00ED2E56">
        <w:t>esses the maturity level of information systems by measuring its development and implementation</w:t>
      </w:r>
      <w:r w:rsidR="00FE6C99">
        <w:t xml:space="preserve"> </w:t>
      </w:r>
      <w:r w:rsidR="00FE6C99">
        <w:fldChar w:fldCharType="begin" w:fldLock="1"/>
      </w:r>
      <w:r w:rsidR="007F40E3">
        <w:instrText>ADDIN CSL_CITATION {"citationItems":[{"id":"ITEM-1","itemData":{"ISBN":"9781538658215","abstract":"In managing, regenerating, and fixing the operational performance of university required an information systems. IT division responsible to provide the proper information systems based on business and user perspective with decent quality IT service. Therefore, it is pertinent to measure the IT service performance must matching with the user needs and make users satisfied for using information systems. This research purpose is to identify and analyze the service maturity level that provided by IT division of BINUS University to information systems users, so that an evaluation of IT service performance is obtained. This research methodology is a questionnaire, literature study, and a data analysis of BINUS University, designing and measuring the maturity level by using the COBIT framework and the ITIL framework, as well as testing the relationship between the COBIT and ITIL maturity level results.","author":[{"dropping-particle":"","family":"Suryawan","given":"Angellia Debora","non-dropping-particle":"","parse-names":false,"suffix":""},{"dropping-particle":"","family":"Veronica","given":"","non-dropping-particle":"","parse-names":false,"suffix":""}],"container-title":"Proceedings of 2018 International Conference on Information Management and Technology, ICIMTech 2018","id":"ITEM-1","issue":"November","issued":{"date-parts":[["2018"]]},"page":"223-228","title":"Information Technology Service Performance Management Using COBIT and ITIL Frameworks : A Case Study","type":"article-journal"},"uris":["http://www.mendeley.com/documents/?uuid=eccb8a22-f0cc-4851-91e7-eb84c965a132"]}],"mendeley":{"formattedCitation":"[4]","plainTextFormattedCitation":"[4]","previouslyFormattedCitation":"[4]"},"properties":{"noteIndex":0},"schema":"https://github.com/citation-style-language/schema/raw/master/csl-citation.json"}</w:instrText>
      </w:r>
      <w:r w:rsidR="00FE6C99">
        <w:fldChar w:fldCharType="separate"/>
      </w:r>
      <w:r w:rsidR="00FE6C99" w:rsidRPr="00FE6C99">
        <w:rPr>
          <w:noProof/>
        </w:rPr>
        <w:t>[4]</w:t>
      </w:r>
      <w:r w:rsidR="00FE6C99">
        <w:fldChar w:fldCharType="end"/>
      </w:r>
      <w:r w:rsidR="00E860AA">
        <w:t>.</w:t>
      </w:r>
    </w:p>
    <w:p w14:paraId="5D99882A" w14:textId="48351625" w:rsidR="001B6534" w:rsidRDefault="00693734" w:rsidP="007C310C">
      <w:pPr>
        <w:ind w:firstLine="720"/>
      </w:pPr>
      <w:r>
        <w:t xml:space="preserve">COBIT </w:t>
      </w:r>
      <w:r w:rsidR="00B1708C">
        <w:t xml:space="preserve">has a broad coverage of general IT topics that </w:t>
      </w:r>
      <w:r>
        <w:t xml:space="preserve">concentrate on five key areas </w:t>
      </w:r>
      <w:r w:rsidR="00240781">
        <w:t xml:space="preserve">of IT </w:t>
      </w:r>
      <w:r w:rsidR="00A4729D">
        <w:t>g</w:t>
      </w:r>
      <w:r w:rsidR="00240781">
        <w:t>overnance</w:t>
      </w:r>
      <w:r w:rsidR="00EC49FB">
        <w:t>, of which are defined by a process reference model</w:t>
      </w:r>
      <w:r w:rsidR="005109B2">
        <w:t xml:space="preserve"> </w:t>
      </w:r>
      <w:r w:rsidR="005109B2">
        <w:fldChar w:fldCharType="begin" w:fldLock="1"/>
      </w:r>
      <w:r w:rsidR="00B51DD9">
        <w:instrText>ADDIN CSL_CITATION {"citationItems":[{"id":"ITEM-1","itemData":{"ISBN":"9781538670163","abstract":"The assessment of Enterprise Governance of IT (EGIT) frameworks and standards such as COBIT 5 and ISO 27001, when adopted simultaneously, implies an unreasonable effort because each framework and standard defines its own scope, definitions, and terminologies. Using these frameworks and standards independently prevents organizations from achieving the full benefits of EGIT since there are limitations on their application to specific Information Technology (IT) areas. Also, as these frameworks and standards overlap, at a time when organizations strive to be efficient and effective, it seems counterintuitive to be wasting resources by having different organizational departments handling both approaches independently. Thus, the primary goal of this paper is to facilitate the COBIT 5 and ISO 27001 simultaneous assessment. To reach this goal, an Enterprise Architecture (EA) metamodel representation of ISO 27001 and its mapping to COBIT 5 is proposed using ArchiMate as the EA modeling language. The ISO 27001 metamodel is also extended with ISO/IEC Technical Specification (TS) 33052 and ISO/IEC TS 33072 because these standards propose a Process Reference Model and a Process Assessment Model for Information Security management, which are essential models to assess ISO 27001 and COBIT 5 simultaneously. A field study was conducted in the Portuguese Navy regarding the COBIT 5 Manage Service Requests and Incidents process and its corresponding controls in ISO 27001 through the mapped ISO/ IEC TS 33052 processes.","author":[{"dropping-particle":"","family":"Almeida","given":"Rafael","non-dropping-particle":"","parse-names":false,"suffix":""},{"dropping-particle":"","family":"Lourinho","given":"Renato","non-dropping-particle":"","parse-names":false,"suffix":""},{"dropping-particle":"","family":"Silva","given":"Miguel Mira","non-dropping-particle":"Da","parse-names":false,"suffix":""},{"dropping-particle":"","family":"Pereira","given":"Rúben","non-dropping-particle":"","parse-names":false,"suffix":""}],"container-title":"Proceeding - 2018 20th IEEE International Conference on Business Informatics, CBI 2018","id":"ITEM-1","issued":{"date-parts":[["2018"]]},"page":"60-69","publisher":"IEEE","title":"A model for assessing COBIT 5 and ISO 27001 simultaneously","type":"article-journal","volume":"1"},"uris":["http://www.mendeley.com/documents/?uuid=490c0e25-cb4e-4873-8001-2f3f2925126c"]}],"mendeley":{"formattedCitation":"[20]","plainTextFormattedCitation":"[20]","previouslyFormattedCitation":"[20]"},"properties":{"noteIndex":0},"schema":"https://github.com/citation-style-language/schema/raw/master/csl-citation.json"}</w:instrText>
      </w:r>
      <w:r w:rsidR="005109B2">
        <w:fldChar w:fldCharType="separate"/>
      </w:r>
      <w:r w:rsidR="00364C8F" w:rsidRPr="00364C8F">
        <w:rPr>
          <w:noProof/>
        </w:rPr>
        <w:t>[20]</w:t>
      </w:r>
      <w:r w:rsidR="005109B2">
        <w:fldChar w:fldCharType="end"/>
      </w:r>
      <w:r w:rsidR="00EC49FB">
        <w:t>. These five key areas</w:t>
      </w:r>
      <w:r w:rsidR="001038EC">
        <w:t xml:space="preserve"> are </w:t>
      </w:r>
      <w:r w:rsidR="00F05E24">
        <w:t>s</w:t>
      </w:r>
      <w:r w:rsidR="00240781">
        <w:t>trategic alignment</w:t>
      </w:r>
      <w:r w:rsidR="0032698B">
        <w:t xml:space="preserve"> between business goals and IT usage</w:t>
      </w:r>
      <w:r w:rsidR="00240781">
        <w:t>, value delivery, resource management, risk management</w:t>
      </w:r>
      <w:r w:rsidR="00834BE2">
        <w:t xml:space="preserve"> </w:t>
      </w:r>
      <w:r w:rsidR="00240781">
        <w:t>and performance measurement</w:t>
      </w:r>
      <w:r w:rsidR="000D351A">
        <w:t xml:space="preserve"> </w:t>
      </w:r>
      <w:r w:rsidR="000D351A">
        <w:fldChar w:fldCharType="begin" w:fldLock="1"/>
      </w:r>
      <w:r w:rsidR="001A053D">
        <w:instrText>ADDIN CSL_CITATION {"citationItems":[{"id":"ITEM-1","itemData":{"abstract":"Security awareness, pulbic places, easy option","author":[{"dropping-particle":"","family":"Susanto","given":"Heru","non-dropping-particle":"","parse-names":false,"suffix":""},{"dropping-particle":"","family":"Almunawar","given":"Mohammad Nabil","non-dropping-particle":"","parse-names":false,"suffix":""}],"edition":"1","id":"ITEM-1","issued":{"date-parts":[["2017"]]},"publisher":"Apple Academic Press","title":"Information Security Management Systems - A Novel Framework and Software as a Tool for Compliance with Information Security Standards","type":"book"},"locator":"59","uris":["http://www.mendeley.com/documents/?uuid=d596961c-093c-4c08-a1b8-6d9447ad06ef"]},{"id":"ITEM-2","itemData":{"abstract":"Organizations of any size are tasked with managing security and risks of varying degrees of impact and complexity. Managing security can be one of the most intricate yet pervasive aspects of Information Technology Management. The service management philosophy that many organizations use is Information Technology Service Management (ITSM). Within ITSM, Information Technology Infrastructure Library (ITIL) is a set of best practices that can be used to manage security. The unique aspect of security incidents can be their sensitive nature. This sensitivity can complicate the management of security but does not preclude it from being managed in a way that is appropriate and effective for the organization. Due to the novelty of ITIL 4, there is a lack of research for effectively managing security incidents within an ITIL 4 framework. ITIL 4 represents a change in some of the core components of ITIL. This paper will examine how ITIL 4 can provide a framework for managing security.","author":[{"dropping-particle":"","family":"Berger","given":"Derrick","non-dropping-particle":"","parse-names":false,"suffix":""},{"dropping-particle":"","family":"Shashidhar","given":"Narasimha","non-dropping-particle":"","parse-names":false,"suffix":""},{"dropping-particle":"","family":"Varol","given":"Cihan","non-dropping-particle":"","parse-names":false,"suffix":""}],"container-title":"2020 8th International Symposium on Digital Forensics and Security (ISDFS)","id":"ITEM-2","issued":{"date-parts":[["2020","6"]]},"page":"1-6","publisher":"IEEE","title":"Using ITIL 4 in Security Management","type":"article-journal"},"uris":["http://www.mendeley.com/documents/?uuid=0f9f6006-5682-4576-8b99-7354a6e7a66c"]}],"mendeley":{"formattedCitation":"[3], [14, p. 59]","plainTextFormattedCitation":"[3], [14, p. 59]","previouslyFormattedCitation":"[3], [14, p. 59]"},"properties":{"noteIndex":0},"schema":"https://github.com/citation-style-language/schema/raw/master/csl-citation.json"}</w:instrText>
      </w:r>
      <w:r w:rsidR="000D351A">
        <w:fldChar w:fldCharType="separate"/>
      </w:r>
      <w:r w:rsidR="000D351A" w:rsidRPr="000D351A">
        <w:rPr>
          <w:noProof/>
        </w:rPr>
        <w:t>[3], [14, p. 59]</w:t>
      </w:r>
      <w:r w:rsidR="000D351A">
        <w:fldChar w:fldCharType="end"/>
      </w:r>
      <w:r w:rsidR="00240781">
        <w:t xml:space="preserve">. </w:t>
      </w:r>
    </w:p>
    <w:p w14:paraId="04EFE391" w14:textId="3A01FDE9" w:rsidR="004876EE" w:rsidRDefault="001B6534" w:rsidP="005A5A4E">
      <w:pPr>
        <w:ind w:firstLine="720"/>
      </w:pPr>
      <w:r>
        <w:t xml:space="preserve">It is thought </w:t>
      </w:r>
      <w:r w:rsidR="00321210">
        <w:t xml:space="preserve">by some </w:t>
      </w:r>
      <w:r>
        <w:t xml:space="preserve">that organisations which implement COBIT assessments into their </w:t>
      </w:r>
      <w:r w:rsidR="00AF0C0B">
        <w:t>risk management operations may be better prepared in terms of information security</w:t>
      </w:r>
      <w:r w:rsidR="00F87787">
        <w:t xml:space="preserve"> </w:t>
      </w:r>
      <w:r w:rsidR="0055610B">
        <w:fldChar w:fldCharType="begin" w:fldLock="1"/>
      </w:r>
      <w:r w:rsidR="00B51DD9">
        <w:instrText>ADDIN CSL_CITATION {"citationItems":[{"id":"ITEM-1","itemData":{"ISBN":"9781111138219","abstract":"The fourth edition of Principles of Information Security explores the field of information security and assurance with updated content including new innovations in technology and methodologies. Readers will revel in the comprehensive coverage that includes a historical overview of information security, discussions on risk management and security technology, current certification information, and more. The text builds on internationally recognized standards and bodies of knowledge to provide the knowledge and skills students need for their future roles as business decision-makers. Information security in the modern organization is a management issue which technology alone cannot answer; it is a problem that has important economic consequences for which management will be held accountable. Readers can feel confident that they are using a standards-based, content-driven resource to prepare for their work in the field.","author":[{"dropping-particle":"","family":"Whitman","given":"Michael E","non-dropping-particle":"","parse-names":false,"suffix":""},{"dropping-particle":"","family":"Mattord","given":"Herbert J","non-dropping-particle":"","parse-names":false,"suffix":""}],"edition":"4","id":"ITEM-1","issued":{"date-parts":[["2017"]]},"publisher":"Cengage Learning","title":"Principles of Information Security","type":"book"},"locator":"429","uris":["http://www.mendeley.com/documents/?uuid=8990b387-f379-4f54-bdad-40ed34a23d93"]}],"mendeley":{"formattedCitation":"[21, p. 429]","plainTextFormattedCitation":"[21, p. 429]","previouslyFormattedCitation":"[21, p. 429]"},"properties":{"noteIndex":0},"schema":"https://github.com/citation-style-language/schema/raw/master/csl-citation.json"}</w:instrText>
      </w:r>
      <w:r w:rsidR="0055610B">
        <w:fldChar w:fldCharType="separate"/>
      </w:r>
      <w:r w:rsidR="00364C8F" w:rsidRPr="00364C8F">
        <w:rPr>
          <w:noProof/>
        </w:rPr>
        <w:t>[21, p. 429]</w:t>
      </w:r>
      <w:r w:rsidR="0055610B">
        <w:fldChar w:fldCharType="end"/>
      </w:r>
      <w:r w:rsidR="00AF0C0B">
        <w:t>.</w:t>
      </w:r>
    </w:p>
    <w:p w14:paraId="0B20F08C" w14:textId="52C038CA" w:rsidR="004876EE" w:rsidRDefault="004876EE" w:rsidP="007C310C">
      <w:pPr>
        <w:ind w:firstLine="576"/>
      </w:pPr>
      <w:r>
        <w:t xml:space="preserve">COBIT offers three certification levels </w:t>
      </w:r>
      <w:r>
        <w:fldChar w:fldCharType="begin" w:fldLock="1"/>
      </w:r>
      <w:r w:rsidR="00B51DD9">
        <w:instrText>ADDIN CSL_CITATION {"citationItems":[{"id":"ITEM-1","itemData":{"URL":"https://www.isaca.org/credentialing/cobit/cobit-5-certifcates","accessed":{"date-parts":[["2020","11","8"]]},"id":"ITEM-1","issued":{"date-parts":[["0"]]},"title":"COBIT 5 Certification | Get COBIT 5 Certified | ISACA","type":"webpage"},"uris":["http://www.mendeley.com/documents/?uuid=ddc491fa-df0b-37a3-a4fd-e8cbfa3c39cd"]}],"mendeley":{"formattedCitation":"[22]","plainTextFormattedCitation":"[22]","previouslyFormattedCitation":"[22]"},"properties":{"noteIndex":0},"schema":"https://github.com/citation-style-language/schema/raw/master/csl-citation.json"}</w:instrText>
      </w:r>
      <w:r>
        <w:fldChar w:fldCharType="separate"/>
      </w:r>
      <w:r w:rsidR="00364C8F" w:rsidRPr="00364C8F">
        <w:rPr>
          <w:noProof/>
        </w:rPr>
        <w:t>[22]</w:t>
      </w:r>
      <w:r>
        <w:fldChar w:fldCharType="end"/>
      </w:r>
      <w:r>
        <w:t>:</w:t>
      </w:r>
    </w:p>
    <w:p w14:paraId="37CEB4E0" w14:textId="77777777" w:rsidR="004876EE" w:rsidRDefault="004876EE" w:rsidP="009049BE">
      <w:pPr>
        <w:pStyle w:val="ListParagraph"/>
        <w:numPr>
          <w:ilvl w:val="0"/>
          <w:numId w:val="5"/>
        </w:numPr>
      </w:pPr>
      <w:r>
        <w:t xml:space="preserve">Assessor (ensuring stronger and more reliable control over processes and communication with stakeholders), </w:t>
      </w:r>
    </w:p>
    <w:p w14:paraId="68AE13CC" w14:textId="3485F266" w:rsidR="004876EE" w:rsidRDefault="004876EE" w:rsidP="009049BE">
      <w:pPr>
        <w:pStyle w:val="ListParagraph"/>
        <w:numPr>
          <w:ilvl w:val="0"/>
          <w:numId w:val="5"/>
        </w:numPr>
      </w:pPr>
      <w:r>
        <w:t>Foundation (understanding of the IT management issues that organisations face in the current day and how COBIT can be used in response to said challenges)</w:t>
      </w:r>
      <w:r w:rsidR="001B14D4">
        <w:t>,</w:t>
      </w:r>
    </w:p>
    <w:p w14:paraId="4AA26EDB" w14:textId="75B321BC" w:rsidR="00FC36F6" w:rsidRDefault="004876EE" w:rsidP="009049BE">
      <w:pPr>
        <w:pStyle w:val="ListParagraph"/>
        <w:numPr>
          <w:ilvl w:val="0"/>
          <w:numId w:val="5"/>
        </w:numPr>
      </w:pPr>
      <w:r>
        <w:t xml:space="preserve">Implementation (professionals who have mastered applying governance of enterprise information technology, knowing and demonstrating how to apply COBIT to </w:t>
      </w:r>
      <w:r w:rsidR="00C30A15">
        <w:t>the needs of an organisation</w:t>
      </w:r>
      <w:r>
        <w:t>)</w:t>
      </w:r>
      <w:r w:rsidR="001B14D4">
        <w:t>.</w:t>
      </w:r>
    </w:p>
    <w:p w14:paraId="6FE07ECA" w14:textId="77777777" w:rsidR="002315EC" w:rsidRDefault="002315EC" w:rsidP="002315EC"/>
    <w:p w14:paraId="3B48E691" w14:textId="3531B9BB" w:rsidR="00023ADF" w:rsidRDefault="002856C3" w:rsidP="00023ADF">
      <w:pPr>
        <w:pStyle w:val="Heading2"/>
      </w:pPr>
      <w:bookmarkStart w:id="9" w:name="_Toc57907781"/>
      <w:r>
        <w:t>ISO</w:t>
      </w:r>
      <w:r w:rsidR="003A5ABB">
        <w:t>27001</w:t>
      </w:r>
      <w:bookmarkEnd w:id="9"/>
    </w:p>
    <w:p w14:paraId="3D884197" w14:textId="3F71A4D2" w:rsidR="00E970CA" w:rsidRPr="00DE47CE" w:rsidRDefault="00DA548A" w:rsidP="00DE47CE">
      <w:r>
        <w:t>Another</w:t>
      </w:r>
      <w:r w:rsidR="00DE47CE">
        <w:t xml:space="preserve"> of the </w:t>
      </w:r>
      <w:r w:rsidR="002328D2">
        <w:t>more prevalent</w:t>
      </w:r>
      <w:r w:rsidR="00380D3F">
        <w:t xml:space="preserve"> ISMS </w:t>
      </w:r>
      <w:r w:rsidR="002328D2">
        <w:t>standards</w:t>
      </w:r>
      <w:r w:rsidR="00380D3F">
        <w:t xml:space="preserve"> </w:t>
      </w:r>
      <w:r w:rsidR="00E93760">
        <w:t xml:space="preserve">is </w:t>
      </w:r>
      <w:r w:rsidR="002328D2">
        <w:t xml:space="preserve">the </w:t>
      </w:r>
      <w:r w:rsidR="00E93760">
        <w:t>ISO 27001</w:t>
      </w:r>
      <w:r w:rsidR="00A3145B">
        <w:t xml:space="preserve">, of the ISO 27000 family. </w:t>
      </w:r>
      <w:r w:rsidR="009A17D4">
        <w:t xml:space="preserve">ISO 27001 can be used to form a baseline for information security guidelines, and then ISO 27002 can be used </w:t>
      </w:r>
      <w:r w:rsidR="00B30CC9">
        <w:t xml:space="preserve">further to enhance </w:t>
      </w:r>
      <w:r w:rsidR="00C0656E">
        <w:t xml:space="preserve">the controls that are implemented by </w:t>
      </w:r>
      <w:r w:rsidR="00BE52E3">
        <w:t>it</w:t>
      </w:r>
      <w:r w:rsidR="00CF3CFD">
        <w:t xml:space="preserve"> as 27001 is the ISMS specification and 27002 is the code of practice</w:t>
      </w:r>
      <w:r w:rsidR="00BE52E3">
        <w:t xml:space="preserve"> </w:t>
      </w:r>
      <w:r w:rsidR="00BE52E3">
        <w:fldChar w:fldCharType="begin" w:fldLock="1"/>
      </w:r>
      <w:r w:rsidR="00B51DD9">
        <w:instrText>ADDIN CSL_CITATION {"citationItems":[{"id":"ITEM-1","itemData":{"ISBN":"9781728169149","abstract":"This article proposes a practical methodology for performing information security maturity assessment for organisations which operate an Information Security Management System (ISMS) based on the ISO 27001:2013 standard. The methodology uses a COBIT 5-comparable method to evaluate the maturity level of the security controls and clauses in ISO 27001:2013 and leverages on the guidelines in ISO 27002:2013. It was successfully used in an undisclosed company. Information security professionals can benefit from applying the same methodology or a similar one in organisations of various size and nature. The final product of the assessment is metrics and recommendations for improvement of the ISMS, which can be used for tactical and strategic decision-making, as well as input for organisational information security risk management.","author":[{"dropping-particle":"","family":"Monev","given":"Veselin","non-dropping-particle":"","parse-names":false,"suffix":""}],"container-title":"2020 34th International Conference on Information Technologies, InfoTech 2020 - Proceedings","id":"ITEM-1","issue":"September","issued":{"date-parts":[["2020"]]},"page":"17-18","title":"Organisational Information Security Maturity Assessment Based on ISO 27001 and ISO 27002","type":"article-journal"},"uris":["http://www.mendeley.com/documents/?uuid=940e6fda-c29a-4675-a649-ea838bb10ed0"]},{"id":"ITEM-2","itemData":{"author":[{"dropping-particle":"","family":"Whitman","given":"Michael E","non-dropping-particle":"","parse-names":false,"suffix":""},{"dropping-particle":"","family":"Mattord","given":"Herbert J","non-dropping-particle":"","parse-names":false,"suffix":""}],"edition":"6","id":"ITEM-2","issued":{"date-parts":[["2018"]]},"publisher":"Cengage","title":"Management of Information Security","type":"book"},"locator":"419","uris":["http://www.mendeley.com/documents/?uuid=c9f0d45c-89b2-4d61-98d0-6923add9330d"]}],"mendeley":{"formattedCitation":"[23], [24, p. 419]","plainTextFormattedCitation":"[23], [24, p. 419]","previouslyFormattedCitation":"[23], [24, p. 419]"},"properties":{"noteIndex":0},"schema":"https://github.com/citation-style-language/schema/raw/master/csl-citation.json"}</w:instrText>
      </w:r>
      <w:r w:rsidR="00BE52E3">
        <w:fldChar w:fldCharType="separate"/>
      </w:r>
      <w:r w:rsidR="00364C8F" w:rsidRPr="00364C8F">
        <w:rPr>
          <w:noProof/>
        </w:rPr>
        <w:t>[23], [24, p. 419]</w:t>
      </w:r>
      <w:r w:rsidR="00BE52E3">
        <w:fldChar w:fldCharType="end"/>
      </w:r>
      <w:r w:rsidR="00C0656E">
        <w:t>.</w:t>
      </w:r>
    </w:p>
    <w:p w14:paraId="30B93679" w14:textId="3B596A13" w:rsidR="008435DA" w:rsidRDefault="00CD3E25" w:rsidP="00460D5D">
      <w:pPr>
        <w:ind w:firstLine="720"/>
      </w:pPr>
      <w:r>
        <w:lastRenderedPageBreak/>
        <w:t>The ISO 2700</w:t>
      </w:r>
      <w:r w:rsidR="00CD4F4E">
        <w:t xml:space="preserve">1 does </w:t>
      </w:r>
      <w:r w:rsidR="00A7321A">
        <w:t>have</w:t>
      </w:r>
      <w:r w:rsidR="00CD4F4E">
        <w:t xml:space="preserve"> certification available, but it is not a </w:t>
      </w:r>
      <w:r w:rsidR="00607426">
        <w:t xml:space="preserve">requisite. It may be that some organisations </w:t>
      </w:r>
      <w:r w:rsidR="006B40B9">
        <w:t xml:space="preserve">implement the standard to benefit from the best practices, whilst other organisations </w:t>
      </w:r>
      <w:r w:rsidR="002E1E33">
        <w:t xml:space="preserve">acquire the certification for reassurance for their clientele, showing that </w:t>
      </w:r>
      <w:r w:rsidR="00A7321A">
        <w:t>the recommendations have been followed</w:t>
      </w:r>
      <w:r w:rsidR="004968EF">
        <w:t xml:space="preserve"> and potentially </w:t>
      </w:r>
      <w:r w:rsidR="000D5AE8">
        <w:t>showing the management attitude toward information security being proactive</w:t>
      </w:r>
      <w:r w:rsidR="00644A5D">
        <w:t xml:space="preserve"> and complying with international standard</w:t>
      </w:r>
      <w:r w:rsidR="008E748C">
        <w:t xml:space="preserve"> </w:t>
      </w:r>
      <w:r w:rsidR="007F14F4">
        <w:fldChar w:fldCharType="begin" w:fldLock="1"/>
      </w:r>
      <w:r w:rsidR="00B51DD9">
        <w:instrText>ADDIN CSL_CITATION {"citationItems":[{"id":"ITEM-1","itemData":{"author":[{"dropping-particle":"","family":"Whitman","given":"Michael E","non-dropping-particle":"","parse-names":false,"suffix":""},{"dropping-particle":"","family":"Mattord","given":"Herbert J","non-dropping-particle":"","parse-names":false,"suffix":""}],"edition":"6","id":"ITEM-1","issued":{"date-parts":[["2018"]]},"publisher":"Cengage","title":"Management of Information Security","type":"book"},"locator":"489","uris":["http://www.mendeley.com/documents/?uuid=c9f0d45c-89b2-4d61-98d0-6923add9330d"]},{"id":"ITEM-2","itemData":{"ISBN":"9780769556703","ISSN":"15301605","abstract":"The extensive organizational dependence on information technology (IT), along with worsening impact of information security incidents, has made information security one of the top management concerns. The ISO 27001 standard provides guidance to a sound information security management system (ISMS). However, implementation and accreditation costs can also be considerable. In this study, we explored whether the certification can benefit organizations by signaling the management's attitude toward security management and the appropriateness of ISMS implementation. We investigated firm performance after the ISO 27001 certification with samples from the United States and selected European countries. Different from our expectation, we found no evidence that ISO 27001 certification brought benefits to the certified firm in terms of return-on-assets and stock market performance. We attributed the results to the nature of ISO 27001 that a good information security management would be seen as an obligation, instead of a competitive advantage.","author":[{"dropping-particle":"","family":"Hsu","given":"Carol","non-dropping-particle":"","parse-names":false,"suffix":""},{"dropping-particle":"","family":"Wang","given":"Tawei","non-dropping-particle":"","parse-names":false,"suffix":""},{"dropping-particle":"","family":"Lu","given":"Ang","non-dropping-particle":"","parse-names":false,"suffix":""}],"container-title":"Proceedings of the Annual Hawaii International Conference on System Sciences","id":"ITEM-2","issued":{"date-parts":[["2016"]]},"page":"4842-4848","title":"The impact of ISO 27001 certification on firm performance","type":"article-journal","volume":"2016-March"},"uris":["http://www.mendeley.com/documents/?uuid=c6b3468b-de6f-4a00-8a96-9002d05a42d2"]}],"mendeley":{"formattedCitation":"[24, p. 489], [25]","plainTextFormattedCitation":"[24, p. 489], [25]","previouslyFormattedCitation":"[24, p. 489], [25]"},"properties":{"noteIndex":0},"schema":"https://github.com/citation-style-language/schema/raw/master/csl-citation.json"}</w:instrText>
      </w:r>
      <w:r w:rsidR="007F14F4">
        <w:fldChar w:fldCharType="separate"/>
      </w:r>
      <w:r w:rsidR="00364C8F" w:rsidRPr="00364C8F">
        <w:rPr>
          <w:noProof/>
        </w:rPr>
        <w:t>[24, p. 489], [25]</w:t>
      </w:r>
      <w:r w:rsidR="007F14F4">
        <w:fldChar w:fldCharType="end"/>
      </w:r>
      <w:r w:rsidR="00C14315">
        <w:t xml:space="preserve"> and </w:t>
      </w:r>
      <w:r w:rsidR="00F7111A">
        <w:t xml:space="preserve">furthering themselves in </w:t>
      </w:r>
      <w:r w:rsidR="007475F4">
        <w:t>compliance</w:t>
      </w:r>
      <w:r w:rsidR="00C14315">
        <w:t xml:space="preserve"> with GDPR </w:t>
      </w:r>
      <w:r w:rsidR="00C14315">
        <w:fldChar w:fldCharType="begin" w:fldLock="1"/>
      </w:r>
      <w:r w:rsidR="00B51DD9">
        <w:instrText>ADDIN CSL_CITATION {"citationItems":[{"id":"ITEM-1","itemData":{"ISBN":"9789899843493","ISSN":"21660735","abstract":"Personal Data Protection has been among the most discussed topics lately and a reason for great concern among organizations. The EU General Data Protection Regulation (GDPR)is the most important change in data privacy regulation in 20 years. The regulation will fundamentally reshape the way in which data is handled across every sector. The organizations had two years to implement it. As referred by many authors, the implementation of the regulation has not been an easy task for companies. The question we aim to answer in this study is how far the implementation of ISO 27001 standards might represent a facilitating factor to organizations for an easier compliance with the regulation. In order to answer this question, several websites (mostly of consulting companies)were analyzed, and the aspects considered as facilitating are listed in this paper.","author":[{"dropping-particle":"","family":"Lopes","given":"Isabel Maria","non-dropping-particle":"","parse-names":false,"suffix":""},{"dropping-particle":"","family":"Guarda","given":"Teresa","non-dropping-particle":"","parse-names":false,"suffix":""},{"dropping-particle":"","family":"Oliveira","given":"Pedro","non-dropping-particle":"","parse-names":false,"suffix":""}],"container-title":"Iberian Conference on Information Systems and Technologies, CISTI","id":"ITEM-1","issue":"June","issued":{"date-parts":[["2019"]]},"page":"1-6","publisher":"AISTI","title":"How ISO 27001 Can Help Achieve GDPR Compliance","type":"article-journal","volume":"2019-June"},"uris":["http://www.mendeley.com/documents/?uuid=63db6767-9fb7-4fc5-8cb7-3e5011d63785"]}],"mendeley":{"formattedCitation":"[26]","plainTextFormattedCitation":"[26]","previouslyFormattedCitation":"[26]"},"properties":{"noteIndex":0},"schema":"https://github.com/citation-style-language/schema/raw/master/csl-citation.json"}</w:instrText>
      </w:r>
      <w:r w:rsidR="00C14315">
        <w:fldChar w:fldCharType="separate"/>
      </w:r>
      <w:r w:rsidR="00364C8F" w:rsidRPr="00364C8F">
        <w:rPr>
          <w:noProof/>
        </w:rPr>
        <w:t>[26]</w:t>
      </w:r>
      <w:r w:rsidR="00C14315">
        <w:fldChar w:fldCharType="end"/>
      </w:r>
      <w:r w:rsidR="00A7321A">
        <w:t xml:space="preserve">. </w:t>
      </w:r>
    </w:p>
    <w:p w14:paraId="1F5E9906" w14:textId="14EF6CE8" w:rsidR="00E970CA" w:rsidRDefault="008435DA" w:rsidP="00460D5D">
      <w:pPr>
        <w:ind w:firstLine="720"/>
      </w:pPr>
      <w:r>
        <w:t xml:space="preserve">ISO 27001 </w:t>
      </w:r>
      <w:r w:rsidR="00E441BD">
        <w:t>has been said to be extremely well designed with documentation and also the requirements that it necessitates</w:t>
      </w:r>
      <w:r w:rsidR="00976FC4">
        <w:t xml:space="preserve"> with clear definitions regarding the types of documents and records which are needed, and the very minimum </w:t>
      </w:r>
      <w:r w:rsidR="004306DC">
        <w:t>which must be implemented</w:t>
      </w:r>
      <w:r w:rsidR="00C569BC">
        <w:t xml:space="preserve"> </w:t>
      </w:r>
      <w:r w:rsidR="00B75C0B">
        <w:fldChar w:fldCharType="begin" w:fldLock="1"/>
      </w:r>
      <w:r w:rsidR="00B51DD9">
        <w:instrText>ADDIN CSL_CITATION {"citationItems":[{"id":"ITEM-1","itemData":{"ISBN":"978-1-7281-4362-0","abstract":"This paper provides a high-level comparison between the National Institute of Standards and Technology's (NIST) Cyber Security Framework and the ISO 27001 Information Security Standard. Pros, cons and the advantages each framework holds over the other and how an organization would select an appropriate framework between CSF and ISO 27001 have been discussed along with a detailed comparison of how major security controls framework/guidelines like NIST SP 800-53, CIS Top-20 and ISO 27002 can be mapped back to each.","author":[{"dropping-particle":"","family":"Roy","given":"Prameet P.","non-dropping-particle":"","parse-names":false,"suffix":""}],"container-title":"2020 National Conference on Emerging Trends on Sustainable Technology and Engineering Applications (NCETSTEA)","id":"ITEM-1","issued":{"date-parts":[["2020","2","1"]]},"page":"1-3","publisher":"IEEE","title":"A High-Level Comparison between the NIST Cyber Security Framework and the ISO 27001 Information Security Standard","type":"paper-conference"},"uris":["http://www.mendeley.com/documents/?uuid=98ab6f00-ce50-3190-b44e-45ea9b160d10"]}],"mendeley":{"formattedCitation":"[27]","plainTextFormattedCitation":"[27]","previouslyFormattedCitation":"[27]"},"properties":{"noteIndex":0},"schema":"https://github.com/citation-style-language/schema/raw/master/csl-citation.json"}</w:instrText>
      </w:r>
      <w:r w:rsidR="00B75C0B">
        <w:fldChar w:fldCharType="separate"/>
      </w:r>
      <w:r w:rsidR="00364C8F" w:rsidRPr="00364C8F">
        <w:rPr>
          <w:noProof/>
        </w:rPr>
        <w:t>[27]</w:t>
      </w:r>
      <w:r w:rsidR="00B75C0B">
        <w:fldChar w:fldCharType="end"/>
      </w:r>
      <w:r w:rsidR="004306DC">
        <w:t>. This can push the organisation to distinctly identify</w:t>
      </w:r>
      <w:r w:rsidR="00972D18">
        <w:t xml:space="preserve"> responsibilities and roles</w:t>
      </w:r>
      <w:r w:rsidR="00352D32">
        <w:t xml:space="preserve">, adding </w:t>
      </w:r>
      <w:r w:rsidR="00381FDE">
        <w:t>simplicity</w:t>
      </w:r>
      <w:r w:rsidR="00352D32">
        <w:t xml:space="preserve"> and structure to an ISMS.</w:t>
      </w:r>
    </w:p>
    <w:p w14:paraId="084B0FA7" w14:textId="478BE2A2" w:rsidR="007B4190" w:rsidRDefault="007B4190" w:rsidP="00460D5D">
      <w:pPr>
        <w:ind w:firstLine="720"/>
      </w:pPr>
      <w:r>
        <w:t xml:space="preserve">ISO 27001 is primarily focused on information security, rather than covering other domains. Due to this, other models may prove to be more useful if they have a </w:t>
      </w:r>
      <w:r w:rsidR="0063257D">
        <w:t>broader</w:t>
      </w:r>
      <w:r>
        <w:t xml:space="preserve"> coverage.</w:t>
      </w:r>
      <w:r w:rsidR="0063257D">
        <w:t xml:space="preserve"> However on the other hand, as ISO 27001 specifically surrounds information security, it</w:t>
      </w:r>
      <w:r w:rsidR="00E3110D">
        <w:t xml:space="preserve"> may be more detailed in its requirements and may be better suited to information security than a model such as COBIT</w:t>
      </w:r>
      <w:r w:rsidR="00202221">
        <w:t xml:space="preserve"> </w:t>
      </w:r>
      <w:r w:rsidR="005D7335">
        <w:fldChar w:fldCharType="begin" w:fldLock="1"/>
      </w:r>
      <w:r w:rsidR="00B51DD9">
        <w:instrText>ADDIN CSL_CITATION {"citationItems":[{"id":"ITEM-1","itemData":{"ISBN":"9781538670163","abstract":"The assessment of Enterprise Governance of IT (EGIT) frameworks and standards such as COBIT 5 and ISO 27001, when adopted simultaneously, implies an unreasonable effort because each framework and standard defines its own scope, definitions, and terminologies. Using these frameworks and standards independently prevents organizations from achieving the full benefits of EGIT since there are limitations on their application to specific Information Technology (IT) areas. Also, as these frameworks and standards overlap, at a time when organizations strive to be efficient and effective, it seems counterintuitive to be wasting resources by having different organizational departments handling both approaches independently. Thus, the primary goal of this paper is to facilitate the COBIT 5 and ISO 27001 simultaneous assessment. To reach this goal, an Enterprise Architecture (EA) metamodel representation of ISO 27001 and its mapping to COBIT 5 is proposed using ArchiMate as the EA modeling language. The ISO 27001 metamodel is also extended with ISO/IEC Technical Specification (TS) 33052 and ISO/IEC TS 33072 because these standards propose a Process Reference Model and a Process Assessment Model for Information Security management, which are essential models to assess ISO 27001 and COBIT 5 simultaneously. A field study was conducted in the Portuguese Navy regarding the COBIT 5 Manage Service Requests and Incidents process and its corresponding controls in ISO 27001 through the mapped ISO/ IEC TS 33052 processes.","author":[{"dropping-particle":"","family":"Almeida","given":"Rafael","non-dropping-particle":"","parse-names":false,"suffix":""},{"dropping-particle":"","family":"Lourinho","given":"Renato","non-dropping-particle":"","parse-names":false,"suffix":""},{"dropping-particle":"","family":"Silva","given":"Miguel Mira","non-dropping-particle":"Da","parse-names":false,"suffix":""},{"dropping-particle":"","family":"Pereira","given":"Rúben","non-dropping-particle":"","parse-names":false,"suffix":""}],"container-title":"Proceeding - 2018 20th IEEE International Conference on Business Informatics, CBI 2018","id":"ITEM-1","issued":{"date-parts":[["2018"]]},"page":"60-69","publisher":"IEEE","title":"A model for assessing COBIT 5 and ISO 27001 simultaneously","type":"article-journal","volume":"1"},"uris":["http://www.mendeley.com/documents/?uuid=490c0e25-cb4e-4873-8001-2f3f2925126c"]}],"mendeley":{"formattedCitation":"[20]","plainTextFormattedCitation":"[20]","previouslyFormattedCitation":"[20]"},"properties":{"noteIndex":0},"schema":"https://github.com/citation-style-language/schema/raw/master/csl-citation.json"}</w:instrText>
      </w:r>
      <w:r w:rsidR="005D7335">
        <w:fldChar w:fldCharType="separate"/>
      </w:r>
      <w:r w:rsidR="00364C8F" w:rsidRPr="00364C8F">
        <w:rPr>
          <w:noProof/>
        </w:rPr>
        <w:t>[20]</w:t>
      </w:r>
      <w:r w:rsidR="005D7335">
        <w:fldChar w:fldCharType="end"/>
      </w:r>
      <w:r w:rsidR="00E3110D">
        <w:t>.</w:t>
      </w:r>
    </w:p>
    <w:p w14:paraId="5E286601" w14:textId="77777777" w:rsidR="006B40B9" w:rsidRDefault="006B40B9" w:rsidP="00515233"/>
    <w:p w14:paraId="5F118D06" w14:textId="2C752595" w:rsidR="00515233" w:rsidRDefault="00515233" w:rsidP="00515233">
      <w:pPr>
        <w:pStyle w:val="Heading2"/>
      </w:pPr>
      <w:bookmarkStart w:id="10" w:name="_Toc57907782"/>
      <w:r>
        <w:t>NIST</w:t>
      </w:r>
      <w:r w:rsidR="00F71DEF">
        <w:t xml:space="preserve"> </w:t>
      </w:r>
      <w:r w:rsidR="00D41A9E">
        <w:t>CSF</w:t>
      </w:r>
      <w:bookmarkEnd w:id="10"/>
    </w:p>
    <w:p w14:paraId="252F9E5F" w14:textId="0D3926F2" w:rsidR="003A3DBD" w:rsidRPr="003A3DBD" w:rsidRDefault="003A3DBD" w:rsidP="003A3DBD">
      <w:r>
        <w:t xml:space="preserve">The NIST CSF </w:t>
      </w:r>
      <w:r w:rsidR="000C6323">
        <w:t xml:space="preserve">was born </w:t>
      </w:r>
      <w:r w:rsidR="004F08B6">
        <w:t>via</w:t>
      </w:r>
      <w:r w:rsidR="000C6323">
        <w:t xml:space="preserve"> presidential order</w:t>
      </w:r>
      <w:r w:rsidR="004F08B6">
        <w:t xml:space="preserve"> in 2013 under “Improving Critical Infrastructure Cybersecurity”</w:t>
      </w:r>
      <w:r w:rsidR="00147DBC">
        <w:t>, and was created by the NIST</w:t>
      </w:r>
      <w:r w:rsidR="00BA5BDB">
        <w:t xml:space="preserve"> </w:t>
      </w:r>
      <w:r w:rsidR="00FB18DA">
        <w:fldChar w:fldCharType="begin" w:fldLock="1"/>
      </w:r>
      <w:r w:rsidR="00B51DD9">
        <w:instrText>ADDIN CSL_CITATION {"citationItems":[{"id":"ITEM-1","itemData":{"ISBN":"9781785618161","abstract":"West Texas A&amp;M University established a strategic initiative to develop the Internet of Things across its 176-acre campus that connects more than 42 different buildings, including 11 residence halls and a 2,393-acre working ranch that is dedicated to faculty and student research in agriculture, livestock, crop and land management, and the development and research of wind energy. The University has recently adopted the NIST Cybersecurity Framework, which is now used by 30 percent of U.S. organizations and is projected to reach 50 percent by 2020 [1]. This security policy framework, combined with a new information security governance model, has enabled the University to embark on other IoT initiatives that relate to mobile and wireless communications such as smart-connected transportation, smart-connected parking, and the deployment of a LoRaWAN network to support faculty research projects. Through these IoT initiatives, West Texas A&amp;M University will be able to transfer its insights and ideas to other similar regions in the nation, and even beyond our national borders.","author":[{"dropping-particle":"","family":"Webb","given":"James","non-dropping-particle":"","parse-names":false,"suffix":""},{"dropping-particle":"","family":"Hume","given":"Dustin","non-dropping-particle":"","parse-names":false,"suffix":""}],"container-title":"IET Conference Publications","id":"ITEM-1","issue":"CP740","issued":{"date-parts":[["2018"]]},"page":"1-7","title":"Campus IoT collaboration and governance using the NIST cybersecurity framework","type":"article-journal","volume":"2018"},"uris":["http://www.mendeley.com/documents/?uuid=b99e2a7b-732f-44dc-a31c-5f1ecc693435"]},{"id":"ITEM-2","itemData":{"ISBN":"9781538626443","abstract":"The applications deployed to serve the users, are the result of the organizations strategic decisions made to improve the business competitiveness. Considering that both clients, suppliers and members of the organization are increasingly dependent on the software and access them through any type of device, applications need to be designed with added value and must be in accordance with corporate strategies. Assurance of software delivery based on security analysis and good practices of confidentiality, integrity and availability, allows effective and reliable alignment between the organization, IT and users. This article proposes a heuristic conceptual framework of resilience, which allows the IT infrastructure to be managed reliably and safely. An alignment between the National Institute of Standards and Technology (NIST) cybersecurity framework and the Strategic Alignment Model (SAM) is proposed, which helps define the appropriate path for an application being used to return to its normal operation, after an error. To achieve this, an analysis is performed on the fault tolerance barrier, and explains how to monitor and restore errors before they become failure.","author":[{"dropping-particle":"","family":"Belalcazar","given":"Alberto","non-dropping-particle":"","parse-names":false,"suffix":""},{"dropping-particle":"","family":"Ron","given":"Mario","non-dropping-particle":"","parse-names":false,"suffix":""},{"dropping-particle":"","family":"Diaz","given":"Javier","non-dropping-particle":"","parse-names":false,"suffix":""},{"dropping-particle":"","family":"Molinari","given":"Lia","non-dropping-particle":"","parse-names":false,"suffix":""}],"container-title":"Proceedings - 2017 International Conference on Information Systems and Computer Science, INCISCOS 2017","id":"ITEM-2","issued":{"date-parts":[["2018"]]},"page":"181-187","title":"Towards a Strategic Resilience of Applications Through the NIST Cybersecurity Framework and the Strategic Alignment Model (SAM)","type":"article-journal","volume":"2017-Novem"},"uris":["http://www.mendeley.com/documents/?uuid=4d230d1d-2a44-43ba-8515-cefadfdd89d2"]}],"mendeley":{"formattedCitation":"[28], [29]","plainTextFormattedCitation":"[28], [29]","previouslyFormattedCitation":"[28], [29]"},"properties":{"noteIndex":0},"schema":"https://github.com/citation-style-language/schema/raw/master/csl-citation.json"}</w:instrText>
      </w:r>
      <w:r w:rsidR="00FB18DA">
        <w:fldChar w:fldCharType="separate"/>
      </w:r>
      <w:r w:rsidR="00364C8F" w:rsidRPr="00364C8F">
        <w:rPr>
          <w:noProof/>
        </w:rPr>
        <w:t>[28], [29]</w:t>
      </w:r>
      <w:r w:rsidR="00FB18DA">
        <w:fldChar w:fldCharType="end"/>
      </w:r>
      <w:r w:rsidR="00147DBC">
        <w:t>.</w:t>
      </w:r>
    </w:p>
    <w:p w14:paraId="09A967C9" w14:textId="72AA0CFC" w:rsidR="00F918EF" w:rsidRDefault="005862E2" w:rsidP="005862E2">
      <w:r>
        <w:t xml:space="preserve">The NIST CSF </w:t>
      </w:r>
      <w:r w:rsidR="002F1CA6">
        <w:t>is structured in such a way that it could be</w:t>
      </w:r>
      <w:r w:rsidR="00203E59">
        <w:t xml:space="preserve"> advantageous over other frameworks</w:t>
      </w:r>
      <w:r w:rsidR="00B35326">
        <w:t xml:space="preserve"> - </w:t>
      </w:r>
      <w:r w:rsidR="00203E59">
        <w:t xml:space="preserve">it </w:t>
      </w:r>
      <w:r w:rsidR="00B56AC0">
        <w:t>has been</w:t>
      </w:r>
      <w:r w:rsidR="00203E59">
        <w:t xml:space="preserve"> deemed more user friendly and streamlined by some</w:t>
      </w:r>
      <w:r w:rsidR="00B35326">
        <w:t xml:space="preserve"> </w:t>
      </w:r>
      <w:r w:rsidR="007C660D">
        <w:t>as</w:t>
      </w:r>
      <w:r w:rsidR="00B35326">
        <w:t xml:space="preserve"> </w:t>
      </w:r>
      <w:r w:rsidR="005528B5">
        <w:t>it is broken down into five domains which are</w:t>
      </w:r>
      <w:r w:rsidR="00F918EF">
        <w:t xml:space="preserve"> </w:t>
      </w:r>
      <w:r w:rsidR="00F918EF">
        <w:fldChar w:fldCharType="begin" w:fldLock="1"/>
      </w:r>
      <w:r w:rsidR="00B51DD9">
        <w:instrText>ADDIN CSL_CITATION {"citationItems":[{"id":"ITEM-1","itemData":{"ISBN":"978-1-7281-4362-0","abstract":"This paper provides a high-level comparison between the National Institute of Standards and Technology's (NIST) Cyber Security Framework and the ISO 27001 Information Security Standard. Pros, cons and the advantages each framework holds over the other and how an organization would select an appropriate framework between CSF and ISO 27001 have been discussed along with a detailed comparison of how major security controls framework/guidelines like NIST SP 800-53, CIS Top-20 and ISO 27002 can be mapped back to each.","author":[{"dropping-particle":"","family":"Roy","given":"Prameet P.","non-dropping-particle":"","parse-names":false,"suffix":""}],"container-title":"2020 National Conference on Emerging Trends on Sustainable Technology and Engineering Applications (NCETSTEA)","id":"ITEM-1","issued":{"date-parts":[["2020","2","1"]]},"page":"1-3","publisher":"IEEE","title":"A High-Level Comparison between the NIST Cyber Security Framework and the ISO 27001 Information Security Standard","type":"paper-conference"},"uris":["http://www.mendeley.com/documents/?uuid=98ab6f00-ce50-3190-b44e-45ea9b160d10"]},{"id":"ITEM-2","itemData":{"ISSN":"1941-045X","abstract":"Successfully addressing the cybersecurity needs of new technologies is not an easy task, but advances in data analytics, forensics, threat modeling, and other techniques presented in this special issue on Cyberthreats and Security can help us meet the challenge.","author":[{"dropping-particle":"","family":"Chang","given":"M","non-dropping-particle":"","parse-names":false,"suffix":""},{"dropping-particle":"","family":"Kuhn","given":"R","non-dropping-particle":"","parse-names":false,"suffix":""},{"dropping-particle":"","family":"Weil","given":"T","non-dropping-particle":"","parse-names":false,"suffix":""}],"container-title":"IT Professional","id":"ITEM-2","issue":"3","issued":{"date-parts":[["2018","5"]]},"page":"20-22","title":"Cyberthreats and Security","type":"article-journal","volume":"20"},"uris":["http://www.mendeley.com/documents/?uuid=f9d1e41c-d167-4c97-b9d1-a8dd367d3a48"]},{"id":"ITEM-3","itemData":{"ISBN":"9781467379519","abstract":"Organizations have become increasingly dependent on information systems to perform their business as usual activities. Moreover, organizations have registered an increase in the number of cyber-attacks, namely: industrial espionage, confidential information leakage, digital theft or pure damage to corporate image and reputation. In order to try to mitigate these issues, organizations like the National Institute of Standards and Technology (NIST) have made an effort to establish a cybersecurity protection guide. This paper presents a baseline for developing a generic and flexible model for manipulating key factors inside organizations: Processes, Human Resources and Technology, and extrapolate the percentage of compliance with the NIST cybersecurity framework, measure the current cybersecurity risk and allocate financial investments towards specific compliance objectives and reduce the overlapping of existing resources.","author":[{"dropping-particle":"","family":"Teodoro","given":"Nuno","non-dropping-particle":"","parse-names":false,"suffix":""},{"dropping-particle":"","family":"Gonçalves","given":"Luís","non-dropping-particle":"","parse-names":false,"suffix":""},{"dropping-particle":"","family":"Serrão","given":"Carlos","non-dropping-particle":"","parse-names":false,"suffix":""}],"container-title":"Proceedings - 14th IEEE International Conference on Trust, Security and Privacy in Computing and Communications, TrustCom 2015","id":"ITEM-3","issued":{"date-parts":[["2015"]]},"page":"418-425","title":"NIST cybersecurity framework compliance: A generic model for dynamic assessment and predictive requirements","type":"article-journal","volume":"1"},"uris":["http://www.mendeley.com/documents/?uuid=00ae3a63-dcd8-4093-af10-114839ac5b7d"]},{"id":"ITEM-4","itemData":{"ISBN":"9781538626443","abstract":"The applications deployed to serve the users, are the result of the organizations strategic decisions made to improve the business competitiveness. Considering that both clients, suppliers and members of the organization are increasingly dependent on the software and access them through any type of device, applications need to be designed with added value and must be in accordance with corporate strategies. Assurance of software delivery based on security analysis and good practices of confidentiality, integrity and availability, allows effective and reliable alignment between the organization, IT and users. This article proposes a heuristic conceptual framework of resilience, which allows the IT infrastructure to be managed reliably and safely. An alignment between the National Institute of Standards and Technology (NIST) cybersecurity framework and the Strategic Alignment Model (SAM) is proposed, which helps define the appropriate path for an application being used to return to its normal operation, after an error. To achieve this, an analysis is performed on the fault tolerance barrier, and explains how to monitor and restore errors before they become failure.","author":[{"dropping-particle":"","family":"Belalcazar","given":"Alberto","non-dropping-particle":"","parse-names":false,"suffix":""},{"dropping-particle":"","family":"Ron","given":"Mario","non-dropping-particle":"","parse-names":false,"suffix":""},{"dropping-particle":"","family":"Diaz","given":"Javier","non-dropping-particle":"","parse-names":false,"suffix":""},{"dropping-particle":"","family":"Molinari","given":"Lia","non-dropping-particle":"","parse-names":false,"suffix":""}],"container-title":"Proceedings - 2017 International Conference on Information Systems and Computer Science, INCISCOS 2017","id":"ITEM-4","issued":{"date-parts":[["2018"]]},"page":"181-187","title":"Towards a Strategic Resilience of Applications Through the NIST Cybersecurity Framework and the Strategic Alignment Model (SAM)","type":"article-journal","volume":"2017-Novem"},"uris":["http://www.mendeley.com/documents/?uuid=4d230d1d-2a44-43ba-8515-cefadfdd89d2"]}],"mendeley":{"formattedCitation":"[27], [29]–[31]","plainTextFormattedCitation":"[27], [29]–[31]","previouslyFormattedCitation":"[27], [29]–[31]"},"properties":{"noteIndex":0},"schema":"https://github.com/citation-style-language/schema/raw/master/csl-citation.json"}</w:instrText>
      </w:r>
      <w:r w:rsidR="00F918EF">
        <w:fldChar w:fldCharType="separate"/>
      </w:r>
      <w:r w:rsidR="00364C8F" w:rsidRPr="00364C8F">
        <w:rPr>
          <w:noProof/>
        </w:rPr>
        <w:t>[27], [29]–[31]</w:t>
      </w:r>
      <w:r w:rsidR="00F918EF">
        <w:fldChar w:fldCharType="end"/>
      </w:r>
      <w:r w:rsidR="00F918EF">
        <w:t>:</w:t>
      </w:r>
    </w:p>
    <w:p w14:paraId="2D27A836" w14:textId="4743D9CA" w:rsidR="00F918EF" w:rsidRDefault="00F918EF" w:rsidP="009049BE">
      <w:pPr>
        <w:pStyle w:val="ListParagraph"/>
        <w:numPr>
          <w:ilvl w:val="0"/>
          <w:numId w:val="6"/>
        </w:numPr>
      </w:pPr>
      <w:r>
        <w:t>I</w:t>
      </w:r>
      <w:r w:rsidR="00705CC6">
        <w:t>dentify</w:t>
      </w:r>
      <w:r w:rsidR="00E73126">
        <w:t xml:space="preserve"> (</w:t>
      </w:r>
      <w:r w:rsidR="007B269A">
        <w:t xml:space="preserve">develop an organisational understanding and awareness of </w:t>
      </w:r>
      <w:r w:rsidR="00316BAA">
        <w:t xml:space="preserve">a security </w:t>
      </w:r>
      <w:r w:rsidR="007B269A">
        <w:t>risk)</w:t>
      </w:r>
      <w:r w:rsidR="00705CC6">
        <w:t xml:space="preserve">, </w:t>
      </w:r>
    </w:p>
    <w:p w14:paraId="1CA66E55" w14:textId="37E37C63" w:rsidR="00F918EF" w:rsidRDefault="00F918EF" w:rsidP="009049BE">
      <w:pPr>
        <w:pStyle w:val="ListParagraph"/>
        <w:numPr>
          <w:ilvl w:val="0"/>
          <w:numId w:val="6"/>
        </w:numPr>
      </w:pPr>
      <w:r>
        <w:t>P</w:t>
      </w:r>
      <w:r w:rsidR="00705CC6">
        <w:t>rotect</w:t>
      </w:r>
      <w:r w:rsidR="00EA5457">
        <w:t xml:space="preserve"> (develop and implement safeguards to ensure service delivery)</w:t>
      </w:r>
      <w:r w:rsidR="00705CC6">
        <w:t>,</w:t>
      </w:r>
      <w:r w:rsidR="00BC0287">
        <w:t xml:space="preserve"> </w:t>
      </w:r>
    </w:p>
    <w:p w14:paraId="24225CC9" w14:textId="57CA4B11" w:rsidR="00F918EF" w:rsidRDefault="00F918EF" w:rsidP="009049BE">
      <w:pPr>
        <w:pStyle w:val="ListParagraph"/>
        <w:numPr>
          <w:ilvl w:val="0"/>
          <w:numId w:val="6"/>
        </w:numPr>
      </w:pPr>
      <w:r>
        <w:t>D</w:t>
      </w:r>
      <w:r w:rsidR="00705CC6">
        <w:t>etect</w:t>
      </w:r>
      <w:r w:rsidR="0047747A">
        <w:t xml:space="preserve"> </w:t>
      </w:r>
      <w:r>
        <w:t>(</w:t>
      </w:r>
      <w:r w:rsidR="00316918">
        <w:t>develop and implement appropriate organisational activities</w:t>
      </w:r>
      <w:r w:rsidR="00C7274C">
        <w:t xml:space="preserve"> to ensure timely </w:t>
      </w:r>
      <w:r w:rsidR="00316BAA">
        <w:t>identification of a security risk</w:t>
      </w:r>
      <w:r>
        <w:t>)</w:t>
      </w:r>
      <w:r w:rsidR="00705CC6">
        <w:t xml:space="preserve">, </w:t>
      </w:r>
    </w:p>
    <w:p w14:paraId="396C5585" w14:textId="49F6D150" w:rsidR="00F918EF" w:rsidRDefault="00F918EF" w:rsidP="009049BE">
      <w:pPr>
        <w:pStyle w:val="ListParagraph"/>
        <w:numPr>
          <w:ilvl w:val="0"/>
          <w:numId w:val="6"/>
        </w:numPr>
      </w:pPr>
      <w:r>
        <w:t>R</w:t>
      </w:r>
      <w:r w:rsidR="00705CC6">
        <w:t>espond</w:t>
      </w:r>
      <w:r w:rsidR="002D468D">
        <w:t xml:space="preserve"> (</w:t>
      </w:r>
      <w:r w:rsidR="0076541E">
        <w:t xml:space="preserve">develop an appropriate </w:t>
      </w:r>
      <w:r w:rsidR="000A0BE4">
        <w:t>action model</w:t>
      </w:r>
      <w:r w:rsidR="007678D7">
        <w:t xml:space="preserve"> to implement once a security risk is detected</w:t>
      </w:r>
      <w:r w:rsidR="00C7274C">
        <w:t>)</w:t>
      </w:r>
      <w:r w:rsidR="00742E98">
        <w:t>,</w:t>
      </w:r>
    </w:p>
    <w:p w14:paraId="2AB98428" w14:textId="48ABB358" w:rsidR="001E68EF" w:rsidRDefault="00F918EF" w:rsidP="009049BE">
      <w:pPr>
        <w:pStyle w:val="ListParagraph"/>
        <w:numPr>
          <w:ilvl w:val="0"/>
          <w:numId w:val="6"/>
        </w:numPr>
      </w:pPr>
      <w:r>
        <w:lastRenderedPageBreak/>
        <w:t>R</w:t>
      </w:r>
      <w:r w:rsidR="00705CC6">
        <w:t>ecover</w:t>
      </w:r>
      <w:r w:rsidR="00E76165">
        <w:t xml:space="preserve"> (</w:t>
      </w:r>
      <w:r w:rsidR="00D313AE">
        <w:t xml:space="preserve">develop </w:t>
      </w:r>
      <w:r w:rsidR="009853AB">
        <w:t xml:space="preserve">a process to maintain resilience and restoration </w:t>
      </w:r>
      <w:r w:rsidR="00766B0F">
        <w:t>facilities</w:t>
      </w:r>
      <w:r w:rsidR="00C82A49">
        <w:t xml:space="preserve"> that may have been impacted by a security risk</w:t>
      </w:r>
      <w:r w:rsidR="00E76165">
        <w:t>)</w:t>
      </w:r>
      <w:r w:rsidR="00B35326">
        <w:t>.</w:t>
      </w:r>
      <w:r w:rsidR="00E35E32">
        <w:t xml:space="preserve"> </w:t>
      </w:r>
    </w:p>
    <w:p w14:paraId="3FD68610" w14:textId="77777777" w:rsidR="00E810C0" w:rsidRDefault="00E810C0" w:rsidP="00E810C0"/>
    <w:p w14:paraId="2EA01987" w14:textId="6487C0F6" w:rsidR="005862E2" w:rsidRPr="005862E2" w:rsidRDefault="008E397F" w:rsidP="00E810C0">
      <w:r>
        <w:t>An</w:t>
      </w:r>
      <w:r w:rsidR="00B544D2">
        <w:t xml:space="preserve"> advantage the CSF has is that </w:t>
      </w:r>
      <w:r w:rsidR="009601C7">
        <w:t>several</w:t>
      </w:r>
      <w:r w:rsidR="00B544D2">
        <w:t xml:space="preserve"> categories and sub-categories within the framework </w:t>
      </w:r>
      <w:r w:rsidR="009C1BE3">
        <w:t>provide direct references to other frameworks such as the ISO 27</w:t>
      </w:r>
      <w:r w:rsidR="00224EEA">
        <w:t>001 and COBIT</w:t>
      </w:r>
      <w:r w:rsidR="00A76C77">
        <w:t xml:space="preserve">, discussed earlier, which can provide the ability to effectively combine </w:t>
      </w:r>
      <w:r w:rsidR="007944B3">
        <w:t xml:space="preserve">different </w:t>
      </w:r>
      <w:r w:rsidR="00467E1B">
        <w:t>(</w:t>
      </w:r>
      <w:r w:rsidR="007944B3">
        <w:t>and potentially better</w:t>
      </w:r>
      <w:r w:rsidR="00467E1B">
        <w:t>)</w:t>
      </w:r>
      <w:r w:rsidR="007944B3">
        <w:t xml:space="preserve"> elements </w:t>
      </w:r>
      <w:r w:rsidR="00467E1B">
        <w:t xml:space="preserve">from </w:t>
      </w:r>
      <w:r w:rsidR="000D4D86">
        <w:t>several other frameworks</w:t>
      </w:r>
      <w:r w:rsidR="00601D67">
        <w:t xml:space="preserve"> </w:t>
      </w:r>
      <w:r w:rsidR="00AA537B">
        <w:fldChar w:fldCharType="begin" w:fldLock="1"/>
      </w:r>
      <w:r w:rsidR="00E70173">
        <w:instrText>ADDIN CSL_CITATION {"citationItems":[{"id":"ITEM-1","itemData":{"ISBN":"978-1-7281-4362-0","abstract":"This paper provides a high-level comparison between the National Institute of Standards and Technology's (NIST) Cyber Security Framework and the ISO 27001 Information Security Standard. Pros, cons and the advantages each framework holds over the other and how an organization would select an appropriate framework between CSF and ISO 27001 have been discussed along with a detailed comparison of how major security controls framework/guidelines like NIST SP 800-53, CIS Top-20 and ISO 27002 can be mapped back to each.","author":[{"dropping-particle":"","family":"Roy","given":"Prameet P.","non-dropping-particle":"","parse-names":false,"suffix":""}],"container-title":"2020 National Conference on Emerging Trends on Sustainable Technology and Engineering Applications (NCETSTEA)","id":"ITEM-1","issued":{"date-parts":[["2020","2","1"]]},"page":"1-3","publisher":"IEEE","title":"A High-Level Comparison between the NIST Cyber Security Framework and the ISO 27001 Information Security Standard","type":"paper-conference"},"uris":["http://www.mendeley.com/documents/?uuid=98ab6f00-ce50-3190-b44e-45ea9b160d10"]},{"id":"ITEM-2","itemData":{"ISBN":"9781510888753","ISSN":"10506527","abstract":"This publication describes a voluntary risk management framework (“the Framework”) that consists of standards, guidelines, and best practices to manage cybersecurity-related risk.  The Framework’s prioritized, flexible, and cost-effective approach helps to promote the protection and resilience of critical infrastructure and other sectors important to the economy and national security.\r\n\r\nThis release, Version 1.1, includes a number of updates from the original Version 1.0 (from February 2014), including: a new section on self-assessment; expanded explanation of using the Framework for cyber supply chain risk management purposes; refinements to better account for authentication, authorization, and identity proofing; explanation of the relationship between implementation tiers and profiles; and consideration of coordinated vulnerability disclosure. Complete information about the Framework is available at https://www.nist.gov/cyberframework.","author":[{"dropping-particle":"","family":"Barrett","given":"Matt","non-dropping-particle":"","parse-names":false,"suffix":""}],"container-title":"Proceedings of the Annual ISA Analysis Division Symposium","id":"ITEM-2","issued":{"date-parts":[["2018"]]},"page":"9-25","title":"Framework for improving critical infrastructure cybersecurity","type":"article-journal","volume":"535"},"uris":["http://www.mendeley.com/documents/?uuid=a81953f8-d586-479c-99ed-a29080b46a07"]}],"mendeley":{"formattedCitation":"[27], [32]","plainTextFormattedCitation":"[27], [32]","previouslyFormattedCitation":"[27]"},"properties":{"noteIndex":0},"schema":"https://github.com/citation-style-language/schema/raw/master/csl-citation.json"}</w:instrText>
      </w:r>
      <w:r w:rsidR="00AA537B">
        <w:fldChar w:fldCharType="separate"/>
      </w:r>
      <w:r w:rsidR="00E70173" w:rsidRPr="00E70173">
        <w:rPr>
          <w:noProof/>
        </w:rPr>
        <w:t>[27], [32]</w:t>
      </w:r>
      <w:r w:rsidR="00AA537B">
        <w:fldChar w:fldCharType="end"/>
      </w:r>
      <w:r w:rsidR="000D4D86">
        <w:t>.</w:t>
      </w:r>
    </w:p>
    <w:p w14:paraId="0DDED75C" w14:textId="14737C00" w:rsidR="00191D10" w:rsidRDefault="002777A6" w:rsidP="00EB2777">
      <w:pPr>
        <w:ind w:firstLine="720"/>
      </w:pPr>
      <w:r>
        <w:t>There are a number of</w:t>
      </w:r>
      <w:r w:rsidR="00B66ECA">
        <w:t xml:space="preserve"> publicly </w:t>
      </w:r>
      <w:r w:rsidR="00E0071A">
        <w:t>available</w:t>
      </w:r>
      <w:r>
        <w:t xml:space="preserve"> documents available from NIST, </w:t>
      </w:r>
      <w:r w:rsidR="007E7F2D">
        <w:t>covering</w:t>
      </w:r>
      <w:r w:rsidR="008B1FC8">
        <w:t xml:space="preserve"> areas such as</w:t>
      </w:r>
      <w:r w:rsidR="007E7F2D">
        <w:t xml:space="preserve"> accepted principles and practices for securing IT systems</w:t>
      </w:r>
      <w:r w:rsidR="00341285">
        <w:t xml:space="preserve"> (SP 800-14)</w:t>
      </w:r>
      <w:r w:rsidR="00B84666">
        <w:t>, introductory documents to information security</w:t>
      </w:r>
      <w:r w:rsidR="00341285">
        <w:t xml:space="preserve"> (SP 800-12), a </w:t>
      </w:r>
      <w:r w:rsidR="00B84666">
        <w:t>guide for management</w:t>
      </w:r>
      <w:r w:rsidR="00262D82">
        <w:t xml:space="preserve"> </w:t>
      </w:r>
      <w:r w:rsidR="00341285">
        <w:t xml:space="preserve">(SP 800-100), and several more </w:t>
      </w:r>
      <w:r w:rsidR="00FF340D">
        <w:fldChar w:fldCharType="begin" w:fldLock="1"/>
      </w:r>
      <w:r w:rsidR="00B51DD9">
        <w:instrText>ADDIN CSL_CITATION {"citationItems":[{"id":"ITEM-1","itemData":{"author":[{"dropping-particle":"","family":"Whitman","given":"Michael E","non-dropping-particle":"","parse-names":false,"suffix":""},{"dropping-particle":"","family":"Mattord","given":"Herbert J","non-dropping-particle":"","parse-names":false,"suffix":""}],"edition":"6","id":"ITEM-1","issued":{"date-parts":[["2018"]]},"publisher":"Cengage","title":"Management of Information Security","type":"book"},"locator":"241","uris":["http://www.mendeley.com/documents/?uuid=c9f0d45c-89b2-4d61-98d0-6923add9330d"]}],"mendeley":{"formattedCitation":"[24, p. 241]","plainTextFormattedCitation":"[24, p. 241]","previouslyFormattedCitation":"[24, p. 241]"},"properties":{"noteIndex":0},"schema":"https://github.com/citation-style-language/schema/raw/master/csl-citation.json"}</w:instrText>
      </w:r>
      <w:r w:rsidR="00FF340D">
        <w:fldChar w:fldCharType="separate"/>
      </w:r>
      <w:r w:rsidR="00364C8F" w:rsidRPr="00364C8F">
        <w:rPr>
          <w:noProof/>
        </w:rPr>
        <w:t>[24, p. 241]</w:t>
      </w:r>
      <w:r w:rsidR="00FF340D">
        <w:fldChar w:fldCharType="end"/>
      </w:r>
      <w:r w:rsidR="00D93CC1">
        <w:t>.</w:t>
      </w:r>
      <w:r w:rsidR="007779F5">
        <w:t xml:space="preserve"> </w:t>
      </w:r>
      <w:r w:rsidR="00E0071A">
        <w:t xml:space="preserve">These documents being publicly available for a long time period means they have been scrutinised, reviewed and updated by </w:t>
      </w:r>
      <w:r w:rsidR="00C733CC">
        <w:t>relevant professionals to allow for the best practices to be followed.</w:t>
      </w:r>
    </w:p>
    <w:p w14:paraId="6087D3BD" w14:textId="77777777" w:rsidR="00175D8A" w:rsidRDefault="00175D8A">
      <w:pPr>
        <w:spacing w:after="160" w:line="259" w:lineRule="auto"/>
      </w:pPr>
    </w:p>
    <w:p w14:paraId="1E21D577" w14:textId="77777777" w:rsidR="00873F13" w:rsidRDefault="00873F13">
      <w:pPr>
        <w:spacing w:after="160" w:line="259" w:lineRule="auto"/>
        <w:rPr>
          <w:rFonts w:eastAsiaTheme="majorEastAsia" w:cstheme="majorBidi"/>
          <w:b/>
          <w:sz w:val="32"/>
          <w:szCs w:val="32"/>
        </w:rPr>
      </w:pPr>
      <w:r>
        <w:br w:type="page"/>
      </w:r>
    </w:p>
    <w:p w14:paraId="4B1FE367" w14:textId="4978109B" w:rsidR="00131B3C" w:rsidRPr="00131B3C" w:rsidRDefault="00162BB1" w:rsidP="004C6FF4">
      <w:pPr>
        <w:pStyle w:val="Heading1"/>
      </w:pPr>
      <w:r>
        <w:lastRenderedPageBreak/>
        <w:t>Staying Updated</w:t>
      </w:r>
    </w:p>
    <w:p w14:paraId="64491165" w14:textId="459FB444" w:rsidR="00582F3C" w:rsidRDefault="0045388D" w:rsidP="00131B3C">
      <w:r>
        <w:t xml:space="preserve">The reason that the </w:t>
      </w:r>
      <w:r w:rsidR="00087667">
        <w:t>aforementioned</w:t>
      </w:r>
      <w:r>
        <w:t xml:space="preserve"> frameworks have updated through several cycles</w:t>
      </w:r>
      <w:r w:rsidR="006B3A9E">
        <w:t xml:space="preserve"> can be represented by a number of </w:t>
      </w:r>
      <w:r w:rsidR="00C645B8">
        <w:t>explanations</w:t>
      </w:r>
      <w:r w:rsidR="00C87DC2">
        <w:t xml:space="preserve">. </w:t>
      </w:r>
      <w:r w:rsidR="00712386">
        <w:t xml:space="preserve">As previously mentioned, due to the ever-increasing number of devices connected to the Internet, coupled with this comes an increase in potential attack and threat vectors. </w:t>
      </w:r>
      <w:r w:rsidR="00EC7D3C">
        <w:t xml:space="preserve">Potential </w:t>
      </w:r>
      <w:r w:rsidR="00381602">
        <w:t>network-based</w:t>
      </w:r>
      <w:r w:rsidR="00EC7D3C">
        <w:t xml:space="preserve"> security risks can be easily deterred by keeping </w:t>
      </w:r>
      <w:r w:rsidR="00D01D45">
        <w:t xml:space="preserve">the regulations on </w:t>
      </w:r>
      <w:r w:rsidR="000D6875">
        <w:t>cybersecurity</w:t>
      </w:r>
      <w:r w:rsidR="00D01D45">
        <w:t xml:space="preserve"> up to date.</w:t>
      </w:r>
      <w:r w:rsidR="00C87DC2">
        <w:t xml:space="preserve"> But risk </w:t>
      </w:r>
      <w:r w:rsidR="007E1C3E">
        <w:t>does not</w:t>
      </w:r>
      <w:r w:rsidR="00C87DC2">
        <w:t xml:space="preserve"> end there – there are potential </w:t>
      </w:r>
      <w:r w:rsidR="009F302C">
        <w:t>risks with various sections of an organisation ranging from systems and information to staff and company property.</w:t>
      </w:r>
      <w:r w:rsidR="00E72CFB">
        <w:t xml:space="preserve"> Each of these can be covered by a security framework </w:t>
      </w:r>
      <w:r w:rsidR="00687A1F">
        <w:t xml:space="preserve">section </w:t>
      </w:r>
      <w:r w:rsidR="00E72CFB">
        <w:t>to ensure</w:t>
      </w:r>
      <w:r w:rsidR="00DC58F6">
        <w:t xml:space="preserve"> security and</w:t>
      </w:r>
      <w:r w:rsidR="00E72CFB">
        <w:t xml:space="preserve"> integrity.</w:t>
      </w:r>
      <w:r w:rsidR="00D8493D">
        <w:t xml:space="preserve"> </w:t>
      </w:r>
    </w:p>
    <w:p w14:paraId="7E2A19B5" w14:textId="5D7ECB45" w:rsidR="007F3F3D" w:rsidRPr="00131B3C" w:rsidRDefault="00D8493D" w:rsidP="004C6FF4">
      <w:pPr>
        <w:ind w:firstLine="720"/>
        <w:rPr>
          <w:rFonts w:eastAsiaTheme="majorEastAsia"/>
          <w:sz w:val="32"/>
          <w:szCs w:val="32"/>
        </w:rPr>
      </w:pPr>
      <w:r>
        <w:t>Therefore p</w:t>
      </w:r>
      <w:r w:rsidR="004B24F1">
        <w:t xml:space="preserve">olicies must be </w:t>
      </w:r>
      <w:r w:rsidR="00BE5642">
        <w:t>updated to ensure they are current, accurate, and to retain their effectiveness within an organisation</w:t>
      </w:r>
      <w:r w:rsidR="00CC11BD">
        <w:t xml:space="preserve"> </w:t>
      </w:r>
      <w:r w:rsidR="00973546">
        <w:fldChar w:fldCharType="begin" w:fldLock="1"/>
      </w:r>
      <w:r w:rsidR="00AE7E75">
        <w:instrText>ADDIN CSL_CITATION {"citationItems":[{"id":"ITEM-1","itemData":{"author":[{"dropping-particle":"","family":"Whitman","given":"Michael E","non-dropping-particle":"","parse-names":false,"suffix":""},{"dropping-particle":"","family":"Mattord","given":"Herbert J","non-dropping-particle":"","parse-names":false,"suffix":""}],"edition":"6","id":"ITEM-1","issued":{"date-parts":[["2018"]]},"publisher":"Cengage","title":"Management of Information Security","type":"book"},"locator":"210-211","uris":["http://www.mendeley.com/documents/?uuid=c9f0d45c-89b2-4d61-98d0-6923add9330d"]}],"mendeley":{"formattedCitation":"[24, pp. 210–211]","plainTextFormattedCitation":"[24, pp. 210–211]","previouslyFormattedCitation":"[24, pp. 210–211]"},"properties":{"noteIndex":0},"schema":"https://github.com/citation-style-language/schema/raw/master/csl-citation.json"}</w:instrText>
      </w:r>
      <w:r w:rsidR="00973546">
        <w:fldChar w:fldCharType="separate"/>
      </w:r>
      <w:r w:rsidR="00973546" w:rsidRPr="00973546">
        <w:rPr>
          <w:noProof/>
        </w:rPr>
        <w:t>[24, pp. 210–211]</w:t>
      </w:r>
      <w:r w:rsidR="00973546">
        <w:fldChar w:fldCharType="end"/>
      </w:r>
      <w:r w:rsidR="00CC11BD">
        <w:t>.</w:t>
      </w:r>
      <w:r w:rsidR="007F3F3D">
        <w:br w:type="page"/>
      </w:r>
    </w:p>
    <w:p w14:paraId="4F6251A9" w14:textId="77777777" w:rsidR="00175BE3" w:rsidRPr="00525131" w:rsidRDefault="00175BE3" w:rsidP="00175BE3">
      <w:pPr>
        <w:pStyle w:val="Heading1"/>
      </w:pPr>
      <w:bookmarkStart w:id="11" w:name="_Toc57907784"/>
      <w:r>
        <w:lastRenderedPageBreak/>
        <w:t>CaribbeanCoffee Framework Proposal</w:t>
      </w:r>
      <w:bookmarkEnd w:id="11"/>
    </w:p>
    <w:p w14:paraId="6002A436" w14:textId="6EF441C9" w:rsidR="00525131" w:rsidRDefault="00341AB2" w:rsidP="00525131">
      <w:r>
        <w:t>There has been exploration completed into how to combine several of the previously mentioned frameworks</w:t>
      </w:r>
      <w:r w:rsidR="00764D05">
        <w:t>, taking strengths from each</w:t>
      </w:r>
      <w:r w:rsidR="00EB5544">
        <w:t xml:space="preserve"> to develop an end framework encompassing all areas</w:t>
      </w:r>
      <w:r w:rsidR="00764D05">
        <w:t xml:space="preserve"> </w:t>
      </w:r>
      <w:r w:rsidR="008D1924">
        <w:fldChar w:fldCharType="begin" w:fldLock="1"/>
      </w:r>
      <w:r w:rsidR="00E70173">
        <w:instrText>ADDIN CSL_CITATION {"citationItems":[{"id":"ITEM-1","itemData":{"author":[{"dropping-particle":"","family":"Tekeni","given":"L","non-dropping-particle":"","parse-names":false,"suffix":""},{"dropping-particle":"","family":"Botha","given":"R","non-dropping-particle":"","parse-names":false,"suffix":""},{"dropping-particle":"","family":"Thomson","given":"K","non-dropping-particle":"","parse-names":false,"suffix":""}],"container-title":"Information Institute Conferences, Las Vegas","id":"ITEM-1","issued":{"date-parts":[["2016"]]},"page":"1-11","title":"An Overview of Access Control Practices : Guidance from ITIL , COBIT 5 and ISO / IEC","type":"paper-conference"},"uris":["http://www.mendeley.com/documents/?uuid=807f0102-ac69-4454-8034-e4fea0ebbc4b"]}],"mendeley":{"formattedCitation":"[33]","plainTextFormattedCitation":"[33]","previouslyFormattedCitation":"[32]"},"properties":{"noteIndex":0},"schema":"https://github.com/citation-style-language/schema/raw/master/csl-citation.json"}</w:instrText>
      </w:r>
      <w:r w:rsidR="008D1924">
        <w:fldChar w:fldCharType="separate"/>
      </w:r>
      <w:r w:rsidR="00E70173" w:rsidRPr="00E70173">
        <w:rPr>
          <w:noProof/>
        </w:rPr>
        <w:t>[33]</w:t>
      </w:r>
      <w:r w:rsidR="008D1924">
        <w:fldChar w:fldCharType="end"/>
      </w:r>
      <w:r w:rsidR="00914509">
        <w:t xml:space="preserve">, and it is important that </w:t>
      </w:r>
      <w:r w:rsidR="006D7831">
        <w:t>the author of an information security framework proposal adopts first an existing framework</w:t>
      </w:r>
      <w:r w:rsidR="00BC2BA1">
        <w:t xml:space="preserve"> to ensure correct coverage </w:t>
      </w:r>
      <w:r w:rsidR="00AE7E75">
        <w:fldChar w:fldCharType="begin" w:fldLock="1"/>
      </w:r>
      <w:r w:rsidR="00E70173">
        <w:instrText>ADDIN CSL_CITATION {"citationItems":[{"id":"ITEM-1","itemData":{"ISBN":"9781482245899","author":[{"dropping-particle":"","family":"Landoll","given":"Douglas","non-dropping-particle":"","parse-names":false,"suffix":""}],"edition":"1","id":"ITEM-1","issued":{"date-parts":[["2016"]]},"publisher":"CRC Press","title":"Information Security Policies, Procedures, and Standards: A Practitioner’s Reference","type":"book"},"locator":"25","uris":["http://www.mendeley.com/documents/?uuid=535c6468-be02-4e27-bb6e-6d8b27f10908"]}],"mendeley":{"formattedCitation":"[34, p. 25]","plainTextFormattedCitation":"[34, p. 25]","previouslyFormattedCitation":"[33, p. 25]"},"properties":{"noteIndex":0},"schema":"https://github.com/citation-style-language/schema/raw/master/csl-citation.json"}</w:instrText>
      </w:r>
      <w:r w:rsidR="00AE7E75">
        <w:fldChar w:fldCharType="separate"/>
      </w:r>
      <w:r w:rsidR="00E70173" w:rsidRPr="00E70173">
        <w:rPr>
          <w:noProof/>
        </w:rPr>
        <w:t>[34, p. 25]</w:t>
      </w:r>
      <w:r w:rsidR="00AE7E75">
        <w:fldChar w:fldCharType="end"/>
      </w:r>
      <w:r w:rsidR="00764D05">
        <w:t>.</w:t>
      </w:r>
      <w:r w:rsidR="00CC393B">
        <w:t xml:space="preserve"> Following the same principle, a framework has been produced for the CarribbeanCoffee </w:t>
      </w:r>
      <w:r w:rsidR="002E0D0E">
        <w:t>organisation</w:t>
      </w:r>
      <w:r w:rsidR="00CC393B">
        <w:t xml:space="preserve"> </w:t>
      </w:r>
      <w:r w:rsidR="00C15BDB">
        <w:t>which has attempted to merge distinct areas of each framework into one best suited for this case stud</w:t>
      </w:r>
      <w:r w:rsidR="00095445">
        <w:t>y</w:t>
      </w:r>
      <w:r w:rsidR="000A00E9">
        <w:t xml:space="preserve">, while using the NIST CSF as </w:t>
      </w:r>
      <w:r w:rsidR="005E2D86">
        <w:t>a backbone</w:t>
      </w:r>
      <w:r w:rsidR="00095445">
        <w:t>.</w:t>
      </w:r>
    </w:p>
    <w:p w14:paraId="1F30774F" w14:textId="5C686F8E" w:rsidR="00743501" w:rsidRDefault="00743501" w:rsidP="00525131">
      <w:r>
        <w:tab/>
      </w:r>
      <w:r w:rsidR="008103A6">
        <w:t xml:space="preserve">The framework proposal for CaribbeanCoffee </w:t>
      </w:r>
      <w:r w:rsidR="0016173D">
        <w:t xml:space="preserve">has </w:t>
      </w:r>
      <w:r w:rsidR="008D34AA">
        <w:t>considered</w:t>
      </w:r>
      <w:r w:rsidR="0016173D">
        <w:t xml:space="preserve"> risk assessment and management, policies for staff and users for utilisation of the cloud services, </w:t>
      </w:r>
      <w:r w:rsidR="009D3FF3">
        <w:t xml:space="preserve">security measures for the network, policies for the online side of the business </w:t>
      </w:r>
      <w:r w:rsidR="00CB434D">
        <w:t>(</w:t>
      </w:r>
      <w:r w:rsidR="009D3FF3">
        <w:t>social media</w:t>
      </w:r>
      <w:r w:rsidR="00CB434D">
        <w:t xml:space="preserve"> included)</w:t>
      </w:r>
      <w:r w:rsidR="009D3FF3">
        <w:t xml:space="preserve">, </w:t>
      </w:r>
      <w:r w:rsidR="00CB434D">
        <w:t>and the security of their information and intellectual property.</w:t>
      </w:r>
    </w:p>
    <w:p w14:paraId="0FBA6F33" w14:textId="777332D2" w:rsidR="00095445" w:rsidRDefault="00095445" w:rsidP="00525131">
      <w:r>
        <w:tab/>
        <w:t xml:space="preserve">The framework proposal is split into </w:t>
      </w:r>
      <w:r w:rsidR="002A74B6">
        <w:t>three</w:t>
      </w:r>
      <w:r>
        <w:t xml:space="preserve"> sections; Classify, Conserve, and Counter.</w:t>
      </w:r>
    </w:p>
    <w:p w14:paraId="3ED79BF1" w14:textId="77777777" w:rsidR="0053391D" w:rsidRDefault="0053391D" w:rsidP="00525131"/>
    <w:p w14:paraId="4BB3145B" w14:textId="77777777" w:rsidR="00F22B3D" w:rsidRDefault="00AD1B1E" w:rsidP="00F22B3D">
      <w:pPr>
        <w:keepNext/>
      </w:pPr>
      <w:r>
        <w:rPr>
          <w:noProof/>
        </w:rPr>
        <w:drawing>
          <wp:inline distT="0" distB="0" distL="0" distR="0" wp14:anchorId="5EC8A7F5" wp14:editId="0527BEE6">
            <wp:extent cx="5400040" cy="1723217"/>
            <wp:effectExtent l="0" t="0" r="0" b="10795"/>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68B0C78B" w14:textId="026D0EDD" w:rsidR="002E5423" w:rsidRDefault="00F22B3D" w:rsidP="00F22B3D">
      <w:pPr>
        <w:pStyle w:val="Caption"/>
        <w:jc w:val="center"/>
      </w:pPr>
      <w:bookmarkStart w:id="12" w:name="_Toc61203429"/>
      <w:r>
        <w:t xml:space="preserve">Figure </w:t>
      </w:r>
      <w:r>
        <w:fldChar w:fldCharType="begin"/>
      </w:r>
      <w:r>
        <w:instrText xml:space="preserve"> STYLEREF 1 \s </w:instrText>
      </w:r>
      <w:r>
        <w:fldChar w:fldCharType="separate"/>
      </w:r>
      <w:r>
        <w:rPr>
          <w:noProof/>
        </w:rPr>
        <w:t>4</w:t>
      </w:r>
      <w:r>
        <w:fldChar w:fldCharType="end"/>
      </w:r>
      <w:r>
        <w:noBreakHyphen/>
      </w:r>
      <w:r>
        <w:fldChar w:fldCharType="begin"/>
      </w:r>
      <w:r>
        <w:instrText xml:space="preserve"> SEQ Figure \* ARABIC \s 1 </w:instrText>
      </w:r>
      <w:r>
        <w:fldChar w:fldCharType="separate"/>
      </w:r>
      <w:r>
        <w:rPr>
          <w:noProof/>
        </w:rPr>
        <w:t>1</w:t>
      </w:r>
      <w:r>
        <w:fldChar w:fldCharType="end"/>
      </w:r>
      <w:r w:rsidR="00136810">
        <w:t xml:space="preserve"> CaribbeanCoffee C</w:t>
      </w:r>
      <w:r w:rsidR="004750F2">
        <w:t>3</w:t>
      </w:r>
      <w:r w:rsidR="00136810">
        <w:t xml:space="preserve"> framework</w:t>
      </w:r>
      <w:bookmarkEnd w:id="12"/>
    </w:p>
    <w:p w14:paraId="19173AE9" w14:textId="77777777" w:rsidR="001468AC" w:rsidRDefault="001468AC" w:rsidP="00525131"/>
    <w:p w14:paraId="287EC046" w14:textId="1A55E996" w:rsidR="002E5423" w:rsidRDefault="005C0F09" w:rsidP="002E5423">
      <w:pPr>
        <w:pStyle w:val="Heading2"/>
      </w:pPr>
      <w:r>
        <w:t>Classify</w:t>
      </w:r>
    </w:p>
    <w:p w14:paraId="7A271D37" w14:textId="6430AD23" w:rsidR="00A86DE4" w:rsidRDefault="007B6919" w:rsidP="005C0F09">
      <w:r>
        <w:t xml:space="preserve">The classify section of the framework </w:t>
      </w:r>
      <w:r w:rsidR="005471CC">
        <w:t xml:space="preserve">primarily is concerned with </w:t>
      </w:r>
      <w:r w:rsidR="007D24DC">
        <w:t>risk,</w:t>
      </w:r>
      <w:r w:rsidR="00C7237C">
        <w:t xml:space="preserve"> performing reviews of the </w:t>
      </w:r>
      <w:r w:rsidR="00C473F1">
        <w:t xml:space="preserve">current </w:t>
      </w:r>
      <w:r w:rsidR="00310198">
        <w:t>processes</w:t>
      </w:r>
      <w:r w:rsidR="007D24DC">
        <w:t>,</w:t>
      </w:r>
      <w:r w:rsidR="00E276A6">
        <w:t xml:space="preserve"> completing risk </w:t>
      </w:r>
      <w:r w:rsidR="00963C1F">
        <w:t>assessments,</w:t>
      </w:r>
      <w:r w:rsidR="00E276A6">
        <w:t xml:space="preserve"> and managing the risk(s).</w:t>
      </w:r>
    </w:p>
    <w:p w14:paraId="218BF483" w14:textId="1130177D" w:rsidR="00CA43D5" w:rsidRDefault="00CA43D5" w:rsidP="005C0F09"/>
    <w:p w14:paraId="7D01DE57" w14:textId="71655AED" w:rsidR="00CA43D5" w:rsidRDefault="00CA43D5" w:rsidP="00CA43D5">
      <w:pPr>
        <w:pStyle w:val="Heading3"/>
      </w:pPr>
      <w:r>
        <w:t>Review</w:t>
      </w:r>
    </w:p>
    <w:p w14:paraId="06C4025E" w14:textId="77777777" w:rsidR="00135C3D" w:rsidRDefault="00BC38BD" w:rsidP="00CA43D5">
      <w:r>
        <w:t xml:space="preserve">In line with the information provided on ITIL, regular reviews should be performed by the relevant </w:t>
      </w:r>
      <w:r w:rsidR="00AA5332">
        <w:t>persons, and as a result from the review</w:t>
      </w:r>
      <w:r w:rsidR="009A1FE4">
        <w:t>(s),</w:t>
      </w:r>
      <w:r w:rsidR="00AA5332">
        <w:t xml:space="preserve"> </w:t>
      </w:r>
      <w:r w:rsidR="00AA5332">
        <w:lastRenderedPageBreak/>
        <w:t>documents</w:t>
      </w:r>
      <w:r w:rsidR="009A1FE4">
        <w:t xml:space="preserve"> and policies</w:t>
      </w:r>
      <w:r w:rsidR="00AA5332">
        <w:t xml:space="preserve"> should be created or updated </w:t>
      </w:r>
      <w:r w:rsidR="000E3B03">
        <w:t>surrounding</w:t>
      </w:r>
      <w:r w:rsidR="00AA5332">
        <w:t xml:space="preserve"> processes, </w:t>
      </w:r>
      <w:r w:rsidR="00BA70F5">
        <w:t>procedures,</w:t>
      </w:r>
      <w:r w:rsidR="00AA5332">
        <w:t xml:space="preserve"> </w:t>
      </w:r>
      <w:r w:rsidR="00C51954">
        <w:t xml:space="preserve">and tasks for </w:t>
      </w:r>
      <w:r w:rsidR="00891968">
        <w:t>inspection</w:t>
      </w:r>
      <w:r w:rsidR="00BA70F5">
        <w:t xml:space="preserve"> and implementation</w:t>
      </w:r>
      <w:r w:rsidR="00C51954">
        <w:t xml:space="preserve">. </w:t>
      </w:r>
    </w:p>
    <w:p w14:paraId="060D1031" w14:textId="24D5D422" w:rsidR="00C51954" w:rsidRDefault="00A553B9" w:rsidP="00135C3D">
      <w:pPr>
        <w:ind w:firstLine="720"/>
      </w:pPr>
      <w:r>
        <w:t xml:space="preserve">For </w:t>
      </w:r>
      <w:r w:rsidR="00443174">
        <w:t>example,</w:t>
      </w:r>
      <w:r>
        <w:t xml:space="preserve"> i</w:t>
      </w:r>
      <w:r w:rsidR="00B0796A">
        <w:t xml:space="preserve">t is recommended to </w:t>
      </w:r>
      <w:r w:rsidR="00056A45">
        <w:t xml:space="preserve">either procure a </w:t>
      </w:r>
      <w:r w:rsidR="00AB0D0F">
        <w:t xml:space="preserve">dedicated </w:t>
      </w:r>
      <w:r w:rsidR="00056A45">
        <w:t xml:space="preserve">cyber security team or utilise a reputable </w:t>
      </w:r>
      <w:r w:rsidR="00AB0D0F">
        <w:t>third-party</w:t>
      </w:r>
      <w:r w:rsidR="00056A45">
        <w:t xml:space="preserve"> company to carry out</w:t>
      </w:r>
      <w:r w:rsidR="00666581">
        <w:t xml:space="preserve"> “red team” testing</w:t>
      </w:r>
      <w:r w:rsidR="00AB0D0F">
        <w:t xml:space="preserve"> to highlight any security flaws or weaknesses</w:t>
      </w:r>
      <w:r w:rsidR="00510288">
        <w:t xml:space="preserve"> </w:t>
      </w:r>
      <w:r w:rsidR="00582554">
        <w:t xml:space="preserve">– once this </w:t>
      </w:r>
      <w:r w:rsidR="00510288">
        <w:t xml:space="preserve">penetration testing </w:t>
      </w:r>
      <w:r w:rsidR="00582554">
        <w:t xml:space="preserve">document has been created or received, it will outline </w:t>
      </w:r>
      <w:r w:rsidR="00DE5D95">
        <w:t xml:space="preserve">areas </w:t>
      </w:r>
      <w:r w:rsidR="00C66409">
        <w:t xml:space="preserve">where best to concentrate efforts that tie in with other points </w:t>
      </w:r>
      <w:r w:rsidR="00D87612">
        <w:t xml:space="preserve">within Classify </w:t>
      </w:r>
      <w:r w:rsidR="00C66409">
        <w:t xml:space="preserve">such as risk assessment and </w:t>
      </w:r>
      <w:r w:rsidR="00EB62C3">
        <w:t>management</w:t>
      </w:r>
      <w:r w:rsidR="00C66409">
        <w:t>.</w:t>
      </w:r>
    </w:p>
    <w:p w14:paraId="3A37ED33" w14:textId="3D3D9008" w:rsidR="009B2787" w:rsidRDefault="009B2787" w:rsidP="00135C3D">
      <w:pPr>
        <w:ind w:firstLine="720"/>
      </w:pPr>
      <w:r>
        <w:t>Further information:</w:t>
      </w:r>
    </w:p>
    <w:p w14:paraId="42CF1F0E" w14:textId="77777777" w:rsidR="000D3007" w:rsidRDefault="005A7DA6" w:rsidP="009049BE">
      <w:pPr>
        <w:pStyle w:val="ListParagraph"/>
        <w:numPr>
          <w:ilvl w:val="0"/>
          <w:numId w:val="7"/>
        </w:numPr>
      </w:pPr>
      <w:r>
        <w:t xml:space="preserve">ISO/IEC 27001 </w:t>
      </w:r>
    </w:p>
    <w:p w14:paraId="27F84C2B" w14:textId="77777777" w:rsidR="000D3007" w:rsidRDefault="005A7DA6" w:rsidP="009049BE">
      <w:pPr>
        <w:pStyle w:val="ListParagraph"/>
        <w:numPr>
          <w:ilvl w:val="1"/>
          <w:numId w:val="7"/>
        </w:numPr>
      </w:pPr>
      <w:r w:rsidRPr="005A7DA6">
        <w:t>A.5.1.1</w:t>
      </w:r>
      <w:r w:rsidR="00C3314A">
        <w:t xml:space="preserve"> (Policies for Information Security)</w:t>
      </w:r>
      <w:r w:rsidR="004C2FA5">
        <w:t xml:space="preserve">, </w:t>
      </w:r>
    </w:p>
    <w:p w14:paraId="009859F2" w14:textId="1EE73C12" w:rsidR="005A7DA6" w:rsidRDefault="00BD7BD8" w:rsidP="009049BE">
      <w:pPr>
        <w:pStyle w:val="ListParagraph"/>
        <w:numPr>
          <w:ilvl w:val="1"/>
          <w:numId w:val="7"/>
        </w:numPr>
      </w:pPr>
      <w:r>
        <w:t>A.5.1.2 (</w:t>
      </w:r>
      <w:r w:rsidR="00274852">
        <w:t>Review of the Policies for Information Security)</w:t>
      </w:r>
      <w:r w:rsidR="004461BA">
        <w:t>,</w:t>
      </w:r>
    </w:p>
    <w:p w14:paraId="2F9B21DB" w14:textId="77777777" w:rsidR="000D3007" w:rsidRDefault="009F5B20" w:rsidP="009049BE">
      <w:pPr>
        <w:pStyle w:val="ListParagraph"/>
        <w:numPr>
          <w:ilvl w:val="0"/>
          <w:numId w:val="7"/>
        </w:numPr>
      </w:pPr>
      <w:r>
        <w:t xml:space="preserve">COBIT </w:t>
      </w:r>
    </w:p>
    <w:p w14:paraId="38F4CE4E" w14:textId="7B8EC7FD" w:rsidR="00C3314A" w:rsidRDefault="009F5B20" w:rsidP="009049BE">
      <w:pPr>
        <w:pStyle w:val="ListParagraph"/>
        <w:numPr>
          <w:ilvl w:val="1"/>
          <w:numId w:val="7"/>
        </w:numPr>
      </w:pPr>
      <w:r w:rsidRPr="009F5B20">
        <w:t>APO13.01</w:t>
      </w:r>
      <w:r>
        <w:t xml:space="preserve"> (</w:t>
      </w:r>
      <w:r w:rsidR="00885BC5" w:rsidRPr="00885BC5">
        <w:t>Establish and maintain an information security management system</w:t>
      </w:r>
      <w:r w:rsidR="00885BC5">
        <w:t>)</w:t>
      </w:r>
    </w:p>
    <w:p w14:paraId="53ED482B" w14:textId="50F6728F" w:rsidR="00E927CC" w:rsidRDefault="00E927CC" w:rsidP="00CA43D5"/>
    <w:p w14:paraId="1995C918" w14:textId="2102A21F" w:rsidR="00E927CC" w:rsidRDefault="00093C86" w:rsidP="00E927CC">
      <w:pPr>
        <w:pStyle w:val="Heading3"/>
      </w:pPr>
      <w:r>
        <w:t>Assess Risk</w:t>
      </w:r>
    </w:p>
    <w:p w14:paraId="1543C3F5" w14:textId="547597EF" w:rsidR="00864E5E" w:rsidRDefault="00484EED" w:rsidP="005C0F09">
      <w:r>
        <w:t xml:space="preserve">As part of the review section a major part of any ISMS must be risk assessment. This is to identify </w:t>
      </w:r>
      <w:r w:rsidR="00737B1B">
        <w:t xml:space="preserve">risk from any potential </w:t>
      </w:r>
      <w:r w:rsidR="00D81008">
        <w:t>risk areas</w:t>
      </w:r>
      <w:r w:rsidR="00737B1B">
        <w:t xml:space="preserve"> from information security, physical security, employee,</w:t>
      </w:r>
      <w:r w:rsidR="000D319D">
        <w:t xml:space="preserve"> user device, etc…</w:t>
      </w:r>
      <w:r w:rsidR="00DC7E62">
        <w:t xml:space="preserve"> </w:t>
      </w:r>
      <w:r w:rsidR="0015781A">
        <w:t xml:space="preserve">This also comprises of </w:t>
      </w:r>
      <w:r w:rsidR="00C93A7D">
        <w:t xml:space="preserve">risk identification, prevention </w:t>
      </w:r>
      <w:r w:rsidR="00C33216">
        <w:t xml:space="preserve">and management and is key to </w:t>
      </w:r>
      <w:r w:rsidR="002C5A93">
        <w:t xml:space="preserve">ensure risk is mitigated or policies and procedures are outlined </w:t>
      </w:r>
      <w:r w:rsidR="00D80F33">
        <w:t>to</w:t>
      </w:r>
      <w:r w:rsidR="002C5A93">
        <w:t xml:space="preserve"> deal with the possibility of</w:t>
      </w:r>
      <w:r w:rsidR="00371754">
        <w:t xml:space="preserve"> risk.</w:t>
      </w:r>
    </w:p>
    <w:p w14:paraId="3E5282AB" w14:textId="2576535C" w:rsidR="008E32BE" w:rsidRDefault="008E32BE" w:rsidP="005C0F09">
      <w:r>
        <w:tab/>
        <w:t>Further information:</w:t>
      </w:r>
    </w:p>
    <w:p w14:paraId="149F5110" w14:textId="77777777" w:rsidR="00AD19AF" w:rsidRDefault="008E32BE" w:rsidP="009049BE">
      <w:pPr>
        <w:pStyle w:val="ListParagraph"/>
        <w:numPr>
          <w:ilvl w:val="0"/>
          <w:numId w:val="8"/>
        </w:numPr>
      </w:pPr>
      <w:r>
        <w:t xml:space="preserve">ISO/IEC 27001 </w:t>
      </w:r>
    </w:p>
    <w:p w14:paraId="6EDC97A5" w14:textId="77777777" w:rsidR="00AD19AF" w:rsidRDefault="008E32BE" w:rsidP="009049BE">
      <w:pPr>
        <w:pStyle w:val="ListParagraph"/>
        <w:numPr>
          <w:ilvl w:val="1"/>
          <w:numId w:val="8"/>
        </w:numPr>
      </w:pPr>
      <w:r>
        <w:t>Clause 6.1</w:t>
      </w:r>
      <w:r w:rsidR="00874B30">
        <w:t>.1</w:t>
      </w:r>
      <w:r w:rsidR="004560CA">
        <w:t xml:space="preserve"> (Risk Planning)</w:t>
      </w:r>
      <w:r w:rsidR="00874B30">
        <w:t xml:space="preserve">, </w:t>
      </w:r>
    </w:p>
    <w:p w14:paraId="52FC0CA7" w14:textId="77777777" w:rsidR="00AD19AF" w:rsidRDefault="00874B30" w:rsidP="009049BE">
      <w:pPr>
        <w:pStyle w:val="ListParagraph"/>
        <w:numPr>
          <w:ilvl w:val="1"/>
          <w:numId w:val="8"/>
        </w:numPr>
      </w:pPr>
      <w:r>
        <w:t>6.1.2</w:t>
      </w:r>
      <w:r w:rsidR="004560CA">
        <w:t xml:space="preserve"> (Risk Assessment)</w:t>
      </w:r>
      <w:r>
        <w:t xml:space="preserve">, </w:t>
      </w:r>
    </w:p>
    <w:p w14:paraId="66DC71A5" w14:textId="6B59115D" w:rsidR="004560CA" w:rsidRDefault="00874B30" w:rsidP="009049BE">
      <w:pPr>
        <w:pStyle w:val="ListParagraph"/>
        <w:numPr>
          <w:ilvl w:val="1"/>
          <w:numId w:val="8"/>
        </w:numPr>
      </w:pPr>
      <w:r>
        <w:t>6.1.3</w:t>
      </w:r>
      <w:r w:rsidR="004560CA">
        <w:t xml:space="preserve"> (Risk Treatment)</w:t>
      </w:r>
      <w:r w:rsidR="004461BA">
        <w:t>,</w:t>
      </w:r>
    </w:p>
    <w:p w14:paraId="48FDCC39" w14:textId="77777777" w:rsidR="00AD19AF" w:rsidRDefault="009A1806" w:rsidP="009049BE">
      <w:pPr>
        <w:pStyle w:val="ListParagraph"/>
        <w:numPr>
          <w:ilvl w:val="0"/>
          <w:numId w:val="8"/>
        </w:numPr>
      </w:pPr>
      <w:r>
        <w:t xml:space="preserve">COBIT </w:t>
      </w:r>
    </w:p>
    <w:p w14:paraId="08CC2015" w14:textId="77777777" w:rsidR="00AD19AF" w:rsidRDefault="009A1806" w:rsidP="009049BE">
      <w:pPr>
        <w:pStyle w:val="ListParagraph"/>
        <w:numPr>
          <w:ilvl w:val="1"/>
          <w:numId w:val="8"/>
        </w:numPr>
      </w:pPr>
      <w:r w:rsidRPr="009A1806">
        <w:t>DSS04.02</w:t>
      </w:r>
      <w:r w:rsidR="00216896">
        <w:t xml:space="preserve"> (</w:t>
      </w:r>
      <w:r w:rsidR="00216896" w:rsidRPr="00216896">
        <w:t xml:space="preserve">Maintain </w:t>
      </w:r>
      <w:r w:rsidR="00216896">
        <w:t>B</w:t>
      </w:r>
      <w:r w:rsidR="00216896" w:rsidRPr="00216896">
        <w:t xml:space="preserve">usiness </w:t>
      </w:r>
      <w:r w:rsidR="00216896">
        <w:t>R</w:t>
      </w:r>
      <w:r w:rsidR="00216896" w:rsidRPr="00216896">
        <w:t>esilience</w:t>
      </w:r>
      <w:r w:rsidR="00216896">
        <w:t>)</w:t>
      </w:r>
      <w:r w:rsidR="0099508C">
        <w:t xml:space="preserve">, </w:t>
      </w:r>
    </w:p>
    <w:p w14:paraId="321A94DA" w14:textId="422B0E30" w:rsidR="00115082" w:rsidRPr="00216896" w:rsidRDefault="0099508C" w:rsidP="009049BE">
      <w:pPr>
        <w:pStyle w:val="ListParagraph"/>
        <w:numPr>
          <w:ilvl w:val="1"/>
          <w:numId w:val="8"/>
        </w:numPr>
      </w:pPr>
      <w:r w:rsidRPr="0099508C">
        <w:t xml:space="preserve">DSS04.03 </w:t>
      </w:r>
      <w:r>
        <w:t>(</w:t>
      </w:r>
      <w:r w:rsidRPr="0099508C">
        <w:t>Develop and implement a business continuity response</w:t>
      </w:r>
      <w:r>
        <w:t>)</w:t>
      </w:r>
    </w:p>
    <w:p w14:paraId="1D2FD686" w14:textId="77777777" w:rsidR="00311DBB" w:rsidRDefault="00311DBB" w:rsidP="005C0F09"/>
    <w:p w14:paraId="055151C2" w14:textId="4F4E653A" w:rsidR="005C0F09" w:rsidRDefault="005C0F09" w:rsidP="005C0F09">
      <w:pPr>
        <w:pStyle w:val="Heading2"/>
      </w:pPr>
      <w:r>
        <w:lastRenderedPageBreak/>
        <w:t>Conserve</w:t>
      </w:r>
    </w:p>
    <w:p w14:paraId="0D8E46ED" w14:textId="30B27B1C" w:rsidR="009E5D02" w:rsidRDefault="009E5D02" w:rsidP="009E5D02">
      <w:r>
        <w:t xml:space="preserve">Conserve has the primary goal of ensuring </w:t>
      </w:r>
      <w:r w:rsidR="00057C0E">
        <w:t>the CIA</w:t>
      </w:r>
      <w:r w:rsidR="00D128E1">
        <w:t xml:space="preserve"> triad</w:t>
      </w:r>
      <w:r w:rsidR="00057C0E">
        <w:t xml:space="preserve"> is met by various measures such as controls</w:t>
      </w:r>
      <w:r w:rsidR="00D128E1">
        <w:t xml:space="preserve"> and </w:t>
      </w:r>
      <w:r w:rsidR="00057C0E">
        <w:t>policies</w:t>
      </w:r>
      <w:r w:rsidR="00A90C0B">
        <w:t xml:space="preserve"> to safeguard</w:t>
      </w:r>
      <w:r w:rsidR="004E6264">
        <w:t xml:space="preserve"> the information stored by CaribbeanCoffee.</w:t>
      </w:r>
      <w:r w:rsidR="005E7596">
        <w:t xml:space="preserve"> This will predominantly outline the </w:t>
      </w:r>
      <w:r w:rsidR="00E2379A">
        <w:t>areas that these policies will cover.</w:t>
      </w:r>
    </w:p>
    <w:p w14:paraId="3EB3D5BB" w14:textId="2E8DCEEF" w:rsidR="00087416" w:rsidRDefault="00087416" w:rsidP="009E5D02"/>
    <w:p w14:paraId="19F377FC" w14:textId="1E783C8B" w:rsidR="001C3A56" w:rsidRDefault="00087416" w:rsidP="001C3A56">
      <w:pPr>
        <w:pStyle w:val="Heading3"/>
      </w:pPr>
      <w:r>
        <w:t>Network</w:t>
      </w:r>
    </w:p>
    <w:p w14:paraId="05B7613D" w14:textId="7AB84A70" w:rsidR="00AD0B28" w:rsidRDefault="00AD0B28" w:rsidP="00AD0B28">
      <w:r>
        <w:t>It is assumed that</w:t>
      </w:r>
      <w:r w:rsidR="00146728">
        <w:t xml:space="preserve"> CaribbeanCoffee have their own </w:t>
      </w:r>
      <w:r w:rsidR="00A8639C">
        <w:t xml:space="preserve">IT, </w:t>
      </w:r>
      <w:r w:rsidR="00D6356C">
        <w:t>helpdesk,</w:t>
      </w:r>
      <w:r w:rsidR="00A8639C">
        <w:t xml:space="preserve"> and </w:t>
      </w:r>
      <w:r w:rsidR="00146728">
        <w:t>network operations team, rather than this being outsourced.</w:t>
      </w:r>
      <w:r w:rsidR="008F590C">
        <w:t xml:space="preserve"> It would be </w:t>
      </w:r>
      <w:r w:rsidR="005E1FE1">
        <w:t xml:space="preserve">beneficial to have </w:t>
      </w:r>
      <w:r w:rsidR="00956CF3">
        <w:t>router and switch configuration</w:t>
      </w:r>
      <w:r w:rsidR="009166B1">
        <w:t xml:space="preserve"> </w:t>
      </w:r>
      <w:r w:rsidR="00956CF3">
        <w:t>policies</w:t>
      </w:r>
      <w:r w:rsidR="00C4763B">
        <w:t xml:space="preserve"> to ensure there is a baseline for security controls</w:t>
      </w:r>
      <w:r w:rsidR="00956CF3">
        <w:t xml:space="preserve">, </w:t>
      </w:r>
      <w:r w:rsidR="00C4763B">
        <w:t>intrusion detection system controls</w:t>
      </w:r>
      <w:r w:rsidR="00A8639C">
        <w:t xml:space="preserve">, </w:t>
      </w:r>
      <w:r w:rsidR="005442AF">
        <w:t>access control lists</w:t>
      </w:r>
      <w:r w:rsidR="008E6F14">
        <w:t>, along with service level agreements to ensure swift action in the instance that there is a problem or loss of service.</w:t>
      </w:r>
    </w:p>
    <w:p w14:paraId="0B0C9983" w14:textId="3958B4B8" w:rsidR="00D6356C" w:rsidRDefault="00D6356C" w:rsidP="00AD0B28">
      <w:r>
        <w:tab/>
        <w:t xml:space="preserve">For the internal IT and helpdesk, it will be required for virus control </w:t>
      </w:r>
      <w:r w:rsidR="002470A1">
        <w:t>and malicious software controls to be in place</w:t>
      </w:r>
      <w:r w:rsidR="00F433DE">
        <w:t xml:space="preserve"> to ensure machines are kept secure</w:t>
      </w:r>
      <w:r w:rsidR="002470A1">
        <w:t>.</w:t>
      </w:r>
    </w:p>
    <w:p w14:paraId="208418CB" w14:textId="2FFEB041" w:rsidR="00ED7467" w:rsidRDefault="00BF5082" w:rsidP="00AD0B28">
      <w:r>
        <w:tab/>
        <w:t xml:space="preserve">For staff, an acceptable usage policy will need to be in place for using the </w:t>
      </w:r>
      <w:r w:rsidR="00CA0E52">
        <w:t>network-based</w:t>
      </w:r>
      <w:r>
        <w:t xml:space="preserve"> equipment, outlining what they are and are not able to do on the </w:t>
      </w:r>
      <w:r w:rsidR="00812789">
        <w:t>network.</w:t>
      </w:r>
    </w:p>
    <w:p w14:paraId="3596E91C" w14:textId="7F250976" w:rsidR="00D60B8A" w:rsidRDefault="00D60B8A" w:rsidP="00AD0B28">
      <w:r>
        <w:tab/>
        <w:t>Further information:</w:t>
      </w:r>
    </w:p>
    <w:p w14:paraId="3F7CC902" w14:textId="77777777" w:rsidR="00002234" w:rsidRDefault="00BD4A49" w:rsidP="009049BE">
      <w:pPr>
        <w:pStyle w:val="ListParagraph"/>
        <w:numPr>
          <w:ilvl w:val="0"/>
          <w:numId w:val="9"/>
        </w:numPr>
      </w:pPr>
      <w:r>
        <w:t xml:space="preserve">ISO/IEC 27001 </w:t>
      </w:r>
    </w:p>
    <w:p w14:paraId="4DD6F5C3" w14:textId="77777777" w:rsidR="00002234" w:rsidRDefault="00BD4A49" w:rsidP="009049BE">
      <w:pPr>
        <w:pStyle w:val="ListParagraph"/>
        <w:numPr>
          <w:ilvl w:val="1"/>
          <w:numId w:val="9"/>
        </w:numPr>
      </w:pPr>
      <w:r w:rsidRPr="00BD4A49">
        <w:t>A.13.1.1</w:t>
      </w:r>
      <w:r>
        <w:t xml:space="preserve"> (Network Controls)</w:t>
      </w:r>
      <w:r w:rsidR="000113E9">
        <w:t xml:space="preserve">, </w:t>
      </w:r>
    </w:p>
    <w:p w14:paraId="6CAA6C15" w14:textId="7DCD738D" w:rsidR="00BD4A49" w:rsidRDefault="000113E9" w:rsidP="009049BE">
      <w:pPr>
        <w:pStyle w:val="ListParagraph"/>
        <w:numPr>
          <w:ilvl w:val="1"/>
          <w:numId w:val="9"/>
        </w:numPr>
      </w:pPr>
      <w:r>
        <w:t>A.13.1.2 (Security of Network Services)</w:t>
      </w:r>
    </w:p>
    <w:p w14:paraId="547503DD" w14:textId="77777777" w:rsidR="00002234" w:rsidRDefault="00062391" w:rsidP="009049BE">
      <w:pPr>
        <w:pStyle w:val="ListParagraph"/>
        <w:numPr>
          <w:ilvl w:val="0"/>
          <w:numId w:val="9"/>
        </w:numPr>
      </w:pPr>
      <w:r>
        <w:t xml:space="preserve">COBIT </w:t>
      </w:r>
    </w:p>
    <w:p w14:paraId="3F8DFA92" w14:textId="77777777" w:rsidR="00002234" w:rsidRDefault="002052EC" w:rsidP="009049BE">
      <w:pPr>
        <w:pStyle w:val="ListParagraph"/>
        <w:numPr>
          <w:ilvl w:val="1"/>
          <w:numId w:val="9"/>
        </w:numPr>
      </w:pPr>
      <w:r w:rsidRPr="002052EC">
        <w:t>DSS01.05</w:t>
      </w:r>
      <w:r>
        <w:t xml:space="preserve"> </w:t>
      </w:r>
      <w:r w:rsidR="00572AD4">
        <w:t>(Protect against Malicious Software)</w:t>
      </w:r>
      <w:r w:rsidR="00527992">
        <w:t xml:space="preserve">, </w:t>
      </w:r>
    </w:p>
    <w:p w14:paraId="5C1D294A" w14:textId="77777777" w:rsidR="00002234" w:rsidRDefault="00527992" w:rsidP="009049BE">
      <w:pPr>
        <w:pStyle w:val="ListParagraph"/>
        <w:numPr>
          <w:ilvl w:val="1"/>
          <w:numId w:val="9"/>
        </w:numPr>
      </w:pPr>
      <w:r w:rsidRPr="00527992">
        <w:t xml:space="preserve">DSS05.02 </w:t>
      </w:r>
      <w:r>
        <w:t>(</w:t>
      </w:r>
      <w:r w:rsidRPr="00527992">
        <w:t xml:space="preserve">Manage </w:t>
      </w:r>
      <w:r>
        <w:t>N</w:t>
      </w:r>
      <w:r w:rsidRPr="00527992">
        <w:t xml:space="preserve">etwork and </w:t>
      </w:r>
      <w:r>
        <w:t>C</w:t>
      </w:r>
      <w:r w:rsidRPr="00527992">
        <w:t xml:space="preserve">onnectivity </w:t>
      </w:r>
      <w:r>
        <w:t>S</w:t>
      </w:r>
      <w:r w:rsidRPr="00527992">
        <w:t>ecurity</w:t>
      </w:r>
      <w:r>
        <w:t>)</w:t>
      </w:r>
      <w:r w:rsidR="00002234">
        <w:t xml:space="preserve">, </w:t>
      </w:r>
    </w:p>
    <w:p w14:paraId="2574023C" w14:textId="44D28AA1" w:rsidR="00062391" w:rsidRPr="00AD0B28" w:rsidRDefault="00002234" w:rsidP="009049BE">
      <w:pPr>
        <w:pStyle w:val="ListParagraph"/>
        <w:numPr>
          <w:ilvl w:val="1"/>
          <w:numId w:val="9"/>
        </w:numPr>
      </w:pPr>
      <w:r w:rsidRPr="00002234">
        <w:t xml:space="preserve">DSS05.03 </w:t>
      </w:r>
      <w:r>
        <w:t>(</w:t>
      </w:r>
      <w:r w:rsidRPr="00002234">
        <w:t xml:space="preserve">Manage </w:t>
      </w:r>
      <w:r>
        <w:t>E</w:t>
      </w:r>
      <w:r w:rsidRPr="00002234">
        <w:t xml:space="preserve">ndpoint </w:t>
      </w:r>
      <w:r>
        <w:t>Se</w:t>
      </w:r>
      <w:r w:rsidRPr="00002234">
        <w:t>curity</w:t>
      </w:r>
      <w:r>
        <w:t>)</w:t>
      </w:r>
    </w:p>
    <w:p w14:paraId="0DE1C689" w14:textId="298A1B3C" w:rsidR="004D1605" w:rsidRDefault="004D1605" w:rsidP="004D1605"/>
    <w:p w14:paraId="32439FBE" w14:textId="00403CDC" w:rsidR="004D1605" w:rsidRDefault="004D1605" w:rsidP="004D1605">
      <w:pPr>
        <w:pStyle w:val="Heading3"/>
      </w:pPr>
      <w:r>
        <w:t>BYOD</w:t>
      </w:r>
      <w:r w:rsidR="0065273F">
        <w:t xml:space="preserve"> / Wireless Access</w:t>
      </w:r>
    </w:p>
    <w:p w14:paraId="649B6A19" w14:textId="049D9578" w:rsidR="00A22CE1" w:rsidRDefault="0065273F" w:rsidP="0065273F">
      <w:r>
        <w:t>The two have been combined</w:t>
      </w:r>
      <w:r w:rsidR="000C1FF2">
        <w:t>, however there would need to be in place a policy for the staff to bring their own devices and connect to the network</w:t>
      </w:r>
      <w:r w:rsidR="00AD0176">
        <w:t xml:space="preserve"> (if allowed). </w:t>
      </w:r>
      <w:r w:rsidR="00E51A26">
        <w:t>This would need to outline the device(s) that would be allowed to connect to the network, the type of connection they may have (for security purposes it may be best to have a guest network not connected to the core network)</w:t>
      </w:r>
      <w:r w:rsidR="00A62FAF">
        <w:t xml:space="preserve">, and the content that they can access. </w:t>
      </w:r>
      <w:r w:rsidR="00450FA9">
        <w:t xml:space="preserve">The wireless configuration will also need to be </w:t>
      </w:r>
      <w:r w:rsidR="00450FA9">
        <w:lastRenderedPageBreak/>
        <w:t>defined to ensure an appropriate level of security</w:t>
      </w:r>
      <w:r w:rsidR="002B50DF">
        <w:t>, and the connection must also be behind some form of intrusion prevention / detection system.</w:t>
      </w:r>
    </w:p>
    <w:p w14:paraId="3B6B8137" w14:textId="018EF6B7" w:rsidR="0065273F" w:rsidRPr="0065273F" w:rsidRDefault="00A62FAF" w:rsidP="00A22CE1">
      <w:pPr>
        <w:ind w:firstLine="360"/>
      </w:pPr>
      <w:r>
        <w:t>This would also include an acceptable usage policy for clients and customers, outlining the limitations of usage</w:t>
      </w:r>
      <w:r w:rsidR="00676AD9">
        <w:t xml:space="preserve"> such as a limited bandwidth</w:t>
      </w:r>
      <w:r w:rsidR="00B74652">
        <w:t xml:space="preserve"> or </w:t>
      </w:r>
      <w:r w:rsidR="00676AD9">
        <w:t xml:space="preserve">a set amount of data that they </w:t>
      </w:r>
      <w:r w:rsidR="00E4458F">
        <w:t>can</w:t>
      </w:r>
      <w:r w:rsidR="00676AD9">
        <w:t xml:space="preserve"> </w:t>
      </w:r>
      <w:r w:rsidR="00E4458F">
        <w:t>upload or download</w:t>
      </w:r>
      <w:r w:rsidR="00676AD9">
        <w:t xml:space="preserve"> per hour</w:t>
      </w:r>
      <w:r w:rsidR="00E667E2">
        <w:t xml:space="preserve"> or day</w:t>
      </w:r>
      <w:r w:rsidR="00676AD9">
        <w:t>.</w:t>
      </w:r>
    </w:p>
    <w:p w14:paraId="11D5EFAB" w14:textId="5729DC3E" w:rsidR="00D72FE8" w:rsidRPr="00D72FE8" w:rsidRDefault="00D72FE8" w:rsidP="009049BE">
      <w:pPr>
        <w:pStyle w:val="ListParagraph"/>
        <w:numPr>
          <w:ilvl w:val="0"/>
          <w:numId w:val="11"/>
        </w:numPr>
      </w:pPr>
      <w:r>
        <w:t>ISO/IEC 27001</w:t>
      </w:r>
    </w:p>
    <w:p w14:paraId="72C32D3C" w14:textId="4B9347B7" w:rsidR="003919F3" w:rsidRDefault="00D72FE8" w:rsidP="009049BE">
      <w:pPr>
        <w:pStyle w:val="ListParagraph"/>
        <w:numPr>
          <w:ilvl w:val="1"/>
          <w:numId w:val="11"/>
        </w:numPr>
      </w:pPr>
      <w:r w:rsidRPr="00D72FE8">
        <w:t xml:space="preserve">A.6.2.1 </w:t>
      </w:r>
      <w:r w:rsidR="00134FED">
        <w:t>(</w:t>
      </w:r>
      <w:r w:rsidRPr="00D72FE8">
        <w:t>Mobile Device Policy</w:t>
      </w:r>
      <w:r w:rsidR="00134FED">
        <w:t>),</w:t>
      </w:r>
    </w:p>
    <w:p w14:paraId="1119F40B" w14:textId="3AD60691" w:rsidR="003919F3" w:rsidRDefault="003919F3" w:rsidP="009049BE">
      <w:pPr>
        <w:pStyle w:val="ListParagraph"/>
        <w:numPr>
          <w:ilvl w:val="1"/>
          <w:numId w:val="11"/>
        </w:numPr>
      </w:pPr>
      <w:r>
        <w:t xml:space="preserve">A.13.1.1 </w:t>
      </w:r>
      <w:r w:rsidR="00134FED">
        <w:t>(</w:t>
      </w:r>
      <w:r>
        <w:t>Network Controls</w:t>
      </w:r>
      <w:r w:rsidR="00134FED">
        <w:t>),</w:t>
      </w:r>
    </w:p>
    <w:p w14:paraId="596D3C3A" w14:textId="0C3145DE" w:rsidR="003919F3" w:rsidRDefault="008C69C6" w:rsidP="009049BE">
      <w:pPr>
        <w:pStyle w:val="ListParagraph"/>
        <w:numPr>
          <w:ilvl w:val="1"/>
          <w:numId w:val="11"/>
        </w:numPr>
      </w:pPr>
      <w:r w:rsidRPr="008C69C6">
        <w:t xml:space="preserve">A.13.1.2 </w:t>
      </w:r>
      <w:r w:rsidR="00134FED">
        <w:t>(</w:t>
      </w:r>
      <w:r w:rsidRPr="008C69C6">
        <w:t>Security of Network Services</w:t>
      </w:r>
      <w:r w:rsidR="00134FED">
        <w:t>)</w:t>
      </w:r>
    </w:p>
    <w:p w14:paraId="12DEA853" w14:textId="0F63EEF7" w:rsidR="008C69C6" w:rsidRDefault="008C69C6" w:rsidP="009049BE">
      <w:pPr>
        <w:pStyle w:val="ListParagraph"/>
        <w:numPr>
          <w:ilvl w:val="0"/>
          <w:numId w:val="11"/>
        </w:numPr>
      </w:pPr>
      <w:r>
        <w:t>COBIT</w:t>
      </w:r>
    </w:p>
    <w:p w14:paraId="07D332FB" w14:textId="6F2AAA44" w:rsidR="008C69C6" w:rsidRDefault="008C69C6" w:rsidP="009049BE">
      <w:pPr>
        <w:pStyle w:val="ListParagraph"/>
        <w:numPr>
          <w:ilvl w:val="1"/>
          <w:numId w:val="11"/>
        </w:numPr>
      </w:pPr>
      <w:r w:rsidRPr="00002234">
        <w:t xml:space="preserve">DSS05.03 </w:t>
      </w:r>
      <w:r>
        <w:t>(</w:t>
      </w:r>
      <w:r w:rsidRPr="00002234">
        <w:t xml:space="preserve">Manage </w:t>
      </w:r>
      <w:r>
        <w:t>E</w:t>
      </w:r>
      <w:r w:rsidRPr="00002234">
        <w:t xml:space="preserve">ndpoint </w:t>
      </w:r>
      <w:r>
        <w:t>Se</w:t>
      </w:r>
      <w:r w:rsidRPr="00002234">
        <w:t>curity</w:t>
      </w:r>
      <w:r>
        <w:t>)</w:t>
      </w:r>
    </w:p>
    <w:p w14:paraId="6C3F3D01" w14:textId="77777777" w:rsidR="00D72FE8" w:rsidRDefault="00D72FE8" w:rsidP="00087416"/>
    <w:p w14:paraId="21FEDEFB" w14:textId="306FA328" w:rsidR="00ED7467" w:rsidRDefault="00ED7467" w:rsidP="00ED7467">
      <w:pPr>
        <w:pStyle w:val="Heading3"/>
      </w:pPr>
      <w:r>
        <w:t>Remote Access</w:t>
      </w:r>
    </w:p>
    <w:p w14:paraId="7570B94D" w14:textId="732CB94A" w:rsidR="00ED7467" w:rsidRDefault="00C3654F" w:rsidP="00087416">
      <w:r>
        <w:t>It is assumed that there may be remote access for staff working off-site, so a remote access policy will need to be created outlining any restrictions in place such as VPN usage rather than a simple RDP connection.</w:t>
      </w:r>
    </w:p>
    <w:p w14:paraId="15CD3B9B" w14:textId="6C29AD00" w:rsidR="00361C2C" w:rsidRDefault="00361C2C" w:rsidP="00087416">
      <w:r>
        <w:tab/>
        <w:t>Further Information:</w:t>
      </w:r>
    </w:p>
    <w:p w14:paraId="46BB9131" w14:textId="5A7B678B" w:rsidR="0096728E" w:rsidRDefault="0096728E" w:rsidP="009049BE">
      <w:pPr>
        <w:pStyle w:val="ListParagraph"/>
        <w:numPr>
          <w:ilvl w:val="0"/>
          <w:numId w:val="10"/>
        </w:numPr>
      </w:pPr>
      <w:r>
        <w:t xml:space="preserve">COBIT </w:t>
      </w:r>
    </w:p>
    <w:p w14:paraId="71170F73" w14:textId="60EB53C3" w:rsidR="0096728E" w:rsidRDefault="0096728E" w:rsidP="009049BE">
      <w:pPr>
        <w:pStyle w:val="ListParagraph"/>
        <w:numPr>
          <w:ilvl w:val="1"/>
          <w:numId w:val="10"/>
        </w:numPr>
      </w:pPr>
      <w:r w:rsidRPr="00002234">
        <w:t xml:space="preserve">DSS05.03 </w:t>
      </w:r>
      <w:r>
        <w:t>(</w:t>
      </w:r>
      <w:r w:rsidRPr="00002234">
        <w:t xml:space="preserve">Manage </w:t>
      </w:r>
      <w:r>
        <w:t>E</w:t>
      </w:r>
      <w:r w:rsidRPr="00002234">
        <w:t xml:space="preserve">ndpoint </w:t>
      </w:r>
      <w:r>
        <w:t>Se</w:t>
      </w:r>
      <w:r w:rsidRPr="00002234">
        <w:t>curity</w:t>
      </w:r>
      <w:r>
        <w:t>)</w:t>
      </w:r>
    </w:p>
    <w:p w14:paraId="1C44181A" w14:textId="77777777" w:rsidR="00C3654F" w:rsidRDefault="00C3654F" w:rsidP="00087416"/>
    <w:p w14:paraId="0596B92B" w14:textId="675C29A2" w:rsidR="00087416" w:rsidRDefault="00443024" w:rsidP="00087416">
      <w:pPr>
        <w:pStyle w:val="Heading3"/>
      </w:pPr>
      <w:r>
        <w:t>Social Media</w:t>
      </w:r>
    </w:p>
    <w:p w14:paraId="7BC591A4" w14:textId="023B37F4" w:rsidR="00443024" w:rsidRDefault="0053193B" w:rsidP="00443024">
      <w:r>
        <w:t xml:space="preserve">Though </w:t>
      </w:r>
      <w:r w:rsidR="006A4C91">
        <w:t xml:space="preserve">it has proven difficult to find social media policies or controls within the frameworks mentioned, as CaribbeanCoffee has a social media </w:t>
      </w:r>
      <w:r w:rsidR="00702B9C">
        <w:t xml:space="preserve">presence, there should be a policy outlining </w:t>
      </w:r>
      <w:r w:rsidR="00B91FA5">
        <w:t xml:space="preserve">items such as the type of communication(s) broadcast via social media, access should perhaps be restricted to a dedicated social media team, </w:t>
      </w:r>
      <w:r w:rsidR="00225C76">
        <w:t>what would be deemed as unacceptable and potentially damaging to the brand.</w:t>
      </w:r>
    </w:p>
    <w:p w14:paraId="3316D3D5" w14:textId="77777777" w:rsidR="0053193B" w:rsidRDefault="0053193B" w:rsidP="00443024"/>
    <w:p w14:paraId="73E8CAD1" w14:textId="73054A15" w:rsidR="00D213BF" w:rsidRDefault="00443024" w:rsidP="00D213BF">
      <w:pPr>
        <w:pStyle w:val="Heading3"/>
      </w:pPr>
      <w:r>
        <w:t>Password</w:t>
      </w:r>
    </w:p>
    <w:p w14:paraId="2CF7ECC9" w14:textId="35956FAA" w:rsidR="00E5774A" w:rsidRDefault="00743AFA" w:rsidP="00E5774A">
      <w:r>
        <w:t xml:space="preserve">A </w:t>
      </w:r>
      <w:r w:rsidR="003245C7">
        <w:t xml:space="preserve">basic authentication method is having passwords on systems, accounts and networks. A password policy would entail </w:t>
      </w:r>
      <w:r w:rsidR="00C13A5C">
        <w:t xml:space="preserve">that a password must be of a minimum length, contain a mixture of upper case, lower case characters, numbers and/or special characters. This can be taken further by not including </w:t>
      </w:r>
      <w:r w:rsidR="00C13A5C">
        <w:lastRenderedPageBreak/>
        <w:t xml:space="preserve">dictionary words, or </w:t>
      </w:r>
      <w:r w:rsidR="00685023">
        <w:t>consecutive numbers (12345)</w:t>
      </w:r>
      <w:r w:rsidR="001A6FEA">
        <w:t>. A password should expire on a regular basis such as every 30/60/90 days and a new one to be set.</w:t>
      </w:r>
    </w:p>
    <w:p w14:paraId="4255ACC7" w14:textId="6BD22488" w:rsidR="00AF5282" w:rsidRDefault="00AF5282" w:rsidP="00E5774A"/>
    <w:p w14:paraId="1777ACBB" w14:textId="370F8CCA" w:rsidR="00AF5282" w:rsidRDefault="00AF5282" w:rsidP="000E1A59">
      <w:pPr>
        <w:ind w:firstLine="720"/>
      </w:pPr>
      <w:r>
        <w:t>Further information:</w:t>
      </w:r>
    </w:p>
    <w:p w14:paraId="490AB06A" w14:textId="77777777" w:rsidR="000E1A59" w:rsidRDefault="00AF5282" w:rsidP="009049BE">
      <w:pPr>
        <w:pStyle w:val="ListParagraph"/>
        <w:numPr>
          <w:ilvl w:val="0"/>
          <w:numId w:val="10"/>
        </w:numPr>
      </w:pPr>
      <w:r>
        <w:t xml:space="preserve">NIST </w:t>
      </w:r>
    </w:p>
    <w:p w14:paraId="6A98EEEE" w14:textId="774BB7F0" w:rsidR="00AF5282" w:rsidRDefault="00AF5282" w:rsidP="009049BE">
      <w:pPr>
        <w:pStyle w:val="ListParagraph"/>
        <w:numPr>
          <w:ilvl w:val="1"/>
          <w:numId w:val="10"/>
        </w:numPr>
      </w:pPr>
      <w:r>
        <w:t>SP 800-63-3</w:t>
      </w:r>
      <w:r w:rsidR="00F427D7">
        <w:t xml:space="preserve"> (Digital Identity Guidelines)</w:t>
      </w:r>
    </w:p>
    <w:p w14:paraId="68D208D2" w14:textId="77777777" w:rsidR="00743AFA" w:rsidRPr="00E5774A" w:rsidRDefault="00743AFA" w:rsidP="00E5774A"/>
    <w:p w14:paraId="236E25AB" w14:textId="26BC3122" w:rsidR="00D213BF" w:rsidRDefault="00D213BF" w:rsidP="00D213BF">
      <w:pPr>
        <w:pStyle w:val="Heading3"/>
      </w:pPr>
      <w:r>
        <w:t>Intellectual Property</w:t>
      </w:r>
    </w:p>
    <w:p w14:paraId="782CD056" w14:textId="786BA515" w:rsidR="005B0E62" w:rsidRDefault="00E42B0F" w:rsidP="00E42B0F">
      <w:r>
        <w:t>As part of CaribbeanCoffee, their intellectual property is of utmost importance and extremely high priority for information security.</w:t>
      </w:r>
      <w:r w:rsidR="0093676A">
        <w:t xml:space="preserve"> Along with </w:t>
      </w:r>
      <w:r w:rsidR="00A24BEB">
        <w:t xml:space="preserve">all of the previous controls and policies, </w:t>
      </w:r>
      <w:r w:rsidR="00D75CF0">
        <w:t xml:space="preserve">it should be that anyone with a specific level of access to company information must </w:t>
      </w:r>
      <w:r w:rsidR="00BD0B1C">
        <w:t>sign a non-disclosure agreement (NDA). The NDA can assist with protection of important assets, such as the secret blend of coffee, for fear of legal action</w:t>
      </w:r>
      <w:r w:rsidR="00236733">
        <w:t>.</w:t>
      </w:r>
      <w:r w:rsidR="009759A2">
        <w:t xml:space="preserve"> This can also help with potential disgruntled, or previously dismissed employees.</w:t>
      </w:r>
    </w:p>
    <w:p w14:paraId="6BA631C8" w14:textId="403704C9" w:rsidR="005B0E62" w:rsidRPr="00E42B0F" w:rsidRDefault="005B0E62" w:rsidP="00B608E4">
      <w:pPr>
        <w:ind w:firstLine="720"/>
      </w:pPr>
      <w:r>
        <w:t>Further information:</w:t>
      </w:r>
    </w:p>
    <w:p w14:paraId="667E1FDF" w14:textId="77777777" w:rsidR="00B608E4" w:rsidRDefault="00DA26C1" w:rsidP="009049BE">
      <w:pPr>
        <w:pStyle w:val="ListParagraph"/>
        <w:numPr>
          <w:ilvl w:val="0"/>
          <w:numId w:val="10"/>
        </w:numPr>
      </w:pPr>
      <w:r>
        <w:t xml:space="preserve">ISO/IEC 27001 </w:t>
      </w:r>
    </w:p>
    <w:p w14:paraId="2A0F1C9A" w14:textId="6D7617DB" w:rsidR="00184410" w:rsidRDefault="00184410" w:rsidP="009049BE">
      <w:pPr>
        <w:pStyle w:val="ListParagraph"/>
        <w:numPr>
          <w:ilvl w:val="1"/>
          <w:numId w:val="10"/>
        </w:numPr>
      </w:pPr>
      <w:r w:rsidRPr="00184410">
        <w:t xml:space="preserve">A.13.2.4 </w:t>
      </w:r>
      <w:r>
        <w:t>(</w:t>
      </w:r>
      <w:r w:rsidRPr="00184410">
        <w:t>Confidentiality or Non-Disclosure Agreements</w:t>
      </w:r>
      <w:r>
        <w:t>)</w:t>
      </w:r>
    </w:p>
    <w:p w14:paraId="40789915" w14:textId="0F999CD5" w:rsidR="000C2CE4" w:rsidRDefault="000C2CE4" w:rsidP="009049BE">
      <w:pPr>
        <w:pStyle w:val="ListParagraph"/>
        <w:numPr>
          <w:ilvl w:val="0"/>
          <w:numId w:val="10"/>
        </w:numPr>
      </w:pPr>
      <w:r>
        <w:t>COBIT</w:t>
      </w:r>
    </w:p>
    <w:p w14:paraId="132263A9" w14:textId="6C446270" w:rsidR="00B608E4" w:rsidRDefault="00B608E4" w:rsidP="009049BE">
      <w:pPr>
        <w:pStyle w:val="ListParagraph"/>
        <w:numPr>
          <w:ilvl w:val="1"/>
          <w:numId w:val="10"/>
        </w:numPr>
      </w:pPr>
      <w:r w:rsidRPr="00B608E4">
        <w:t xml:space="preserve">DSS06.02 </w:t>
      </w:r>
      <w:r>
        <w:t>(</w:t>
      </w:r>
      <w:r w:rsidRPr="00B608E4">
        <w:t xml:space="preserve">Control the </w:t>
      </w:r>
      <w:r w:rsidR="00177F0D">
        <w:t>P</w:t>
      </w:r>
      <w:r w:rsidRPr="00B608E4">
        <w:t xml:space="preserve">rocessing of </w:t>
      </w:r>
      <w:r w:rsidR="00177F0D">
        <w:t>I</w:t>
      </w:r>
      <w:r w:rsidRPr="00B608E4">
        <w:t>nformation</w:t>
      </w:r>
      <w:r>
        <w:t>)</w:t>
      </w:r>
      <w:r w:rsidR="00134FED">
        <w:t>,</w:t>
      </w:r>
    </w:p>
    <w:p w14:paraId="03E40613" w14:textId="414F6574" w:rsidR="00057C0E" w:rsidRPr="009E5D02" w:rsidRDefault="00B3132D" w:rsidP="009049BE">
      <w:pPr>
        <w:pStyle w:val="ListParagraph"/>
        <w:numPr>
          <w:ilvl w:val="1"/>
          <w:numId w:val="10"/>
        </w:numPr>
      </w:pPr>
      <w:r w:rsidRPr="00B3132D">
        <w:t xml:space="preserve">DSS06.03 </w:t>
      </w:r>
      <w:r>
        <w:t>(</w:t>
      </w:r>
      <w:r w:rsidRPr="00B3132D">
        <w:t xml:space="preserve">Manage </w:t>
      </w:r>
      <w:r>
        <w:t>R</w:t>
      </w:r>
      <w:r w:rsidRPr="00B3132D">
        <w:t xml:space="preserve">oles, </w:t>
      </w:r>
      <w:r>
        <w:t>Re</w:t>
      </w:r>
      <w:r w:rsidRPr="00B3132D">
        <w:t xml:space="preserve">sponsibilities, </w:t>
      </w:r>
      <w:r>
        <w:t>A</w:t>
      </w:r>
      <w:r w:rsidRPr="00B3132D">
        <w:t xml:space="preserve">ccess </w:t>
      </w:r>
      <w:r>
        <w:t>P</w:t>
      </w:r>
      <w:r w:rsidRPr="00B3132D">
        <w:t xml:space="preserve">rivileges and </w:t>
      </w:r>
      <w:r>
        <w:t>L</w:t>
      </w:r>
      <w:r w:rsidRPr="00B3132D">
        <w:t xml:space="preserve">evels of </w:t>
      </w:r>
      <w:r>
        <w:t>A</w:t>
      </w:r>
      <w:r w:rsidRPr="00B3132D">
        <w:t>uthority</w:t>
      </w:r>
      <w:r>
        <w:t>)</w:t>
      </w:r>
    </w:p>
    <w:p w14:paraId="0A615682" w14:textId="0B56E3EC" w:rsidR="00311DBB" w:rsidRDefault="00311DBB" w:rsidP="005C0F09"/>
    <w:p w14:paraId="1F729194" w14:textId="4E2C54B9" w:rsidR="00D95D78" w:rsidRDefault="00D95D78" w:rsidP="00D95D78">
      <w:pPr>
        <w:pStyle w:val="Heading3"/>
      </w:pPr>
      <w:r>
        <w:t>Equipment Disposal</w:t>
      </w:r>
    </w:p>
    <w:p w14:paraId="1BFD119C" w14:textId="0F9BD6F9" w:rsidR="00D95D78" w:rsidRDefault="002653F0" w:rsidP="005C0F09">
      <w:r>
        <w:t>Any equipment or media sanitisation required must adhere to a policy created surrounding it which outlines secure disposal or deletion of data.</w:t>
      </w:r>
    </w:p>
    <w:p w14:paraId="6892CDC5" w14:textId="57676087" w:rsidR="002653F0" w:rsidRDefault="002653F0" w:rsidP="005C0F09">
      <w:r>
        <w:t>Further information:</w:t>
      </w:r>
    </w:p>
    <w:p w14:paraId="03A12078" w14:textId="218D1306" w:rsidR="002653F0" w:rsidRDefault="002653F0" w:rsidP="009049BE">
      <w:pPr>
        <w:pStyle w:val="ListParagraph"/>
        <w:numPr>
          <w:ilvl w:val="0"/>
          <w:numId w:val="12"/>
        </w:numPr>
      </w:pPr>
      <w:r>
        <w:t>NIST</w:t>
      </w:r>
    </w:p>
    <w:p w14:paraId="3C1F8A79" w14:textId="5C3CD5AC" w:rsidR="002653F0" w:rsidRDefault="00395532" w:rsidP="009049BE">
      <w:pPr>
        <w:pStyle w:val="ListParagraph"/>
        <w:numPr>
          <w:ilvl w:val="1"/>
          <w:numId w:val="12"/>
        </w:numPr>
      </w:pPr>
      <w:r>
        <w:t>SP 800-88</w:t>
      </w:r>
      <w:r w:rsidR="0095199A">
        <w:t xml:space="preserve"> (Guidelines for Media Sanitisation)</w:t>
      </w:r>
    </w:p>
    <w:p w14:paraId="2935B6F6" w14:textId="23F563B8" w:rsidR="00C037F9" w:rsidRDefault="00C037F9" w:rsidP="009049BE">
      <w:pPr>
        <w:pStyle w:val="ListParagraph"/>
        <w:numPr>
          <w:ilvl w:val="0"/>
          <w:numId w:val="12"/>
        </w:numPr>
      </w:pPr>
      <w:r>
        <w:t>ISO</w:t>
      </w:r>
      <w:r w:rsidR="002E4740">
        <w:t>/IEC</w:t>
      </w:r>
      <w:r>
        <w:t xml:space="preserve"> 27001</w:t>
      </w:r>
    </w:p>
    <w:p w14:paraId="4535289F" w14:textId="275F7775" w:rsidR="00C037F9" w:rsidRDefault="00C037F9" w:rsidP="009049BE">
      <w:pPr>
        <w:pStyle w:val="ListParagraph"/>
        <w:numPr>
          <w:ilvl w:val="1"/>
          <w:numId w:val="12"/>
        </w:numPr>
      </w:pPr>
      <w:r>
        <w:t>A.8.3.2</w:t>
      </w:r>
      <w:r>
        <w:t xml:space="preserve"> (Disposal of Media)</w:t>
      </w:r>
      <w:r w:rsidR="00F04FD0">
        <w:t>,</w:t>
      </w:r>
    </w:p>
    <w:p w14:paraId="3BF85AA8" w14:textId="04A82D69" w:rsidR="00C037F9" w:rsidRDefault="00A13950" w:rsidP="009049BE">
      <w:pPr>
        <w:pStyle w:val="ListParagraph"/>
        <w:numPr>
          <w:ilvl w:val="1"/>
          <w:numId w:val="12"/>
        </w:numPr>
      </w:pPr>
      <w:r>
        <w:t>A.11.2.7</w:t>
      </w:r>
      <w:r>
        <w:t xml:space="preserve"> (Secure Disposal or Reuse of Equipment)</w:t>
      </w:r>
    </w:p>
    <w:p w14:paraId="3B987DBC" w14:textId="77777777" w:rsidR="00311DBB" w:rsidRDefault="00311DBB" w:rsidP="005C0F09"/>
    <w:p w14:paraId="7EA9E972" w14:textId="5C90AB48" w:rsidR="005C0F09" w:rsidRPr="005C0F09" w:rsidRDefault="005C0F09" w:rsidP="005C0F09">
      <w:pPr>
        <w:pStyle w:val="Heading2"/>
      </w:pPr>
      <w:r>
        <w:lastRenderedPageBreak/>
        <w:t>Counter</w:t>
      </w:r>
    </w:p>
    <w:p w14:paraId="68FF2B37" w14:textId="3357F81C" w:rsidR="00C13869" w:rsidRDefault="000C5AAC" w:rsidP="00712E25">
      <w:r>
        <w:t xml:space="preserve">The Counter section of the </w:t>
      </w:r>
      <w:r w:rsidR="00720DBB">
        <w:t xml:space="preserve">framework principally </w:t>
      </w:r>
      <w:r w:rsidR="000B0785">
        <w:t>surrounds responses to data breaches</w:t>
      </w:r>
      <w:r w:rsidR="007969F3">
        <w:t>,</w:t>
      </w:r>
      <w:r w:rsidR="000B0785">
        <w:t xml:space="preserve"> and disaster recovery.</w:t>
      </w:r>
    </w:p>
    <w:p w14:paraId="745BE1E1" w14:textId="03F56283" w:rsidR="000B0785" w:rsidRDefault="000B0785" w:rsidP="00712E25"/>
    <w:p w14:paraId="77D0F31C" w14:textId="6A372018" w:rsidR="000B0785" w:rsidRDefault="000B0785" w:rsidP="000B0785">
      <w:pPr>
        <w:pStyle w:val="Heading3"/>
      </w:pPr>
      <w:r>
        <w:t>Security Response</w:t>
      </w:r>
    </w:p>
    <w:p w14:paraId="5FD73579" w14:textId="48433B5E" w:rsidR="000B0785" w:rsidRDefault="007969F3" w:rsidP="00712E25">
      <w:r>
        <w:t>There must be a security</w:t>
      </w:r>
      <w:r w:rsidR="00004863">
        <w:t xml:space="preserve"> / incident</w:t>
      </w:r>
      <w:r>
        <w:t xml:space="preserve"> response policy in place </w:t>
      </w:r>
      <w:r w:rsidR="00C11F5E">
        <w:t>outlining</w:t>
      </w:r>
      <w:r w:rsidR="004970AA">
        <w:t xml:space="preserve"> detection, containment, eradication,</w:t>
      </w:r>
      <w:r w:rsidR="00C11F5E">
        <w:t xml:space="preserve"> data / forensic collection, </w:t>
      </w:r>
      <w:r w:rsidR="00804E8F">
        <w:t xml:space="preserve">potential escalation paths, </w:t>
      </w:r>
      <w:r w:rsidR="002364B5">
        <w:t>roles</w:t>
      </w:r>
      <w:r w:rsidR="00955457">
        <w:t>,</w:t>
      </w:r>
      <w:r w:rsidR="002364B5">
        <w:t xml:space="preserve"> </w:t>
      </w:r>
      <w:r w:rsidR="00E8332C">
        <w:t>and responsibilities of members of the security response team</w:t>
      </w:r>
      <w:r w:rsidR="004970AA">
        <w:t>.</w:t>
      </w:r>
    </w:p>
    <w:p w14:paraId="561034CF" w14:textId="63612AF6" w:rsidR="005C519B" w:rsidRDefault="00B723A7" w:rsidP="00712E25">
      <w:r>
        <w:tab/>
        <w:t>Further information:</w:t>
      </w:r>
    </w:p>
    <w:p w14:paraId="5600BC97" w14:textId="73868E54" w:rsidR="005C519B" w:rsidRDefault="005C519B" w:rsidP="009049BE">
      <w:pPr>
        <w:pStyle w:val="ListParagraph"/>
        <w:numPr>
          <w:ilvl w:val="0"/>
          <w:numId w:val="13"/>
        </w:numPr>
      </w:pPr>
      <w:r>
        <w:t>ISO/IEC 27001</w:t>
      </w:r>
    </w:p>
    <w:p w14:paraId="706D73E3" w14:textId="0E506FA1" w:rsidR="00175D34" w:rsidRDefault="005C519B" w:rsidP="009049BE">
      <w:pPr>
        <w:pStyle w:val="ListParagraph"/>
        <w:numPr>
          <w:ilvl w:val="1"/>
          <w:numId w:val="13"/>
        </w:numPr>
      </w:pPr>
      <w:r w:rsidRPr="005C519B">
        <w:t xml:space="preserve">A.16.1.5 </w:t>
      </w:r>
      <w:r>
        <w:t>(</w:t>
      </w:r>
      <w:r w:rsidRPr="005C519B">
        <w:t>Response to Information Security Incidents</w:t>
      </w:r>
      <w:r>
        <w:t>)</w:t>
      </w:r>
      <w:r w:rsidR="005679EC">
        <w:t>,</w:t>
      </w:r>
    </w:p>
    <w:p w14:paraId="04617A63" w14:textId="5A070F7C" w:rsidR="00175D34" w:rsidRDefault="00175D34" w:rsidP="009049BE">
      <w:pPr>
        <w:pStyle w:val="ListParagraph"/>
        <w:numPr>
          <w:ilvl w:val="1"/>
          <w:numId w:val="13"/>
        </w:numPr>
      </w:pPr>
      <w:r>
        <w:t xml:space="preserve">A.16.1.6 </w:t>
      </w:r>
      <w:r>
        <w:t>(</w:t>
      </w:r>
      <w:r>
        <w:t>Learning from Information Security Incidents</w:t>
      </w:r>
      <w:r>
        <w:t>)</w:t>
      </w:r>
      <w:r w:rsidR="00AC7D8F">
        <w:t>,</w:t>
      </w:r>
    </w:p>
    <w:p w14:paraId="5BE9E781" w14:textId="1D84CE1D" w:rsidR="00AC7D8F" w:rsidRDefault="00AC7D8F" w:rsidP="009049BE">
      <w:pPr>
        <w:pStyle w:val="ListParagraph"/>
        <w:numPr>
          <w:ilvl w:val="1"/>
          <w:numId w:val="13"/>
        </w:numPr>
      </w:pPr>
      <w:r w:rsidRPr="00AC7D8F">
        <w:t>A.16.1.7 Collection of Evidence</w:t>
      </w:r>
    </w:p>
    <w:p w14:paraId="50AF6503" w14:textId="7303B2D6" w:rsidR="00C111CC" w:rsidRDefault="00C111CC" w:rsidP="009049BE">
      <w:pPr>
        <w:pStyle w:val="ListParagraph"/>
        <w:numPr>
          <w:ilvl w:val="0"/>
          <w:numId w:val="13"/>
        </w:numPr>
      </w:pPr>
      <w:r>
        <w:t>COBIT</w:t>
      </w:r>
    </w:p>
    <w:p w14:paraId="6FF0A29E" w14:textId="3D77889B" w:rsidR="00C111CC" w:rsidRDefault="00C111CC" w:rsidP="009049BE">
      <w:pPr>
        <w:pStyle w:val="ListParagraph"/>
        <w:numPr>
          <w:ilvl w:val="1"/>
          <w:numId w:val="13"/>
        </w:numPr>
      </w:pPr>
      <w:r w:rsidRPr="00C111CC">
        <w:t>APO12.06</w:t>
      </w:r>
      <w:r w:rsidR="006B76CE">
        <w:t xml:space="preserve"> (Respond to Risk)</w:t>
      </w:r>
      <w:r w:rsidR="00CF718C">
        <w:t>,</w:t>
      </w:r>
    </w:p>
    <w:p w14:paraId="2DC065AC" w14:textId="21D436E5" w:rsidR="00B372F0" w:rsidRDefault="00B372F0" w:rsidP="009049BE">
      <w:pPr>
        <w:pStyle w:val="ListParagraph"/>
        <w:numPr>
          <w:ilvl w:val="1"/>
          <w:numId w:val="13"/>
        </w:numPr>
      </w:pPr>
      <w:r w:rsidRPr="00B372F0">
        <w:t xml:space="preserve">DSS02.02 </w:t>
      </w:r>
      <w:r>
        <w:t>(</w:t>
      </w:r>
      <w:r w:rsidRPr="00B372F0">
        <w:t xml:space="preserve">Record, </w:t>
      </w:r>
      <w:r>
        <w:t>C</w:t>
      </w:r>
      <w:r w:rsidRPr="00B372F0">
        <w:t xml:space="preserve">lassify and </w:t>
      </w:r>
      <w:r>
        <w:t>Pr</w:t>
      </w:r>
      <w:r w:rsidRPr="00B372F0">
        <w:t xml:space="preserve">ioritize </w:t>
      </w:r>
      <w:r>
        <w:t>R</w:t>
      </w:r>
      <w:r w:rsidRPr="00B372F0">
        <w:t xml:space="preserve">equests and </w:t>
      </w:r>
      <w:r>
        <w:t>I</w:t>
      </w:r>
      <w:r w:rsidRPr="00B372F0">
        <w:t>ncidents</w:t>
      </w:r>
      <w:r>
        <w:t>)</w:t>
      </w:r>
    </w:p>
    <w:p w14:paraId="4B7A0227" w14:textId="77D3BD33" w:rsidR="00CF718C" w:rsidRDefault="00CF718C" w:rsidP="009049BE">
      <w:pPr>
        <w:pStyle w:val="ListParagraph"/>
        <w:numPr>
          <w:ilvl w:val="1"/>
          <w:numId w:val="13"/>
        </w:numPr>
      </w:pPr>
      <w:r w:rsidRPr="00CF718C">
        <w:t xml:space="preserve">DSS02.04 </w:t>
      </w:r>
      <w:r>
        <w:t>(</w:t>
      </w:r>
      <w:r w:rsidRPr="00CF718C">
        <w:t xml:space="preserve">Investigate, </w:t>
      </w:r>
      <w:r w:rsidR="00210BEC">
        <w:t>D</w:t>
      </w:r>
      <w:r w:rsidRPr="00CF718C">
        <w:t xml:space="preserve">iagnose and </w:t>
      </w:r>
      <w:r w:rsidR="00210BEC">
        <w:t>A</w:t>
      </w:r>
      <w:r w:rsidRPr="00CF718C">
        <w:t xml:space="preserve">llocate </w:t>
      </w:r>
      <w:r w:rsidR="00210BEC">
        <w:t>I</w:t>
      </w:r>
      <w:r w:rsidRPr="00CF718C">
        <w:t>ncidents</w:t>
      </w:r>
      <w:r>
        <w:t>)</w:t>
      </w:r>
    </w:p>
    <w:p w14:paraId="7369B4D0" w14:textId="77777777" w:rsidR="002747E8" w:rsidRDefault="002747E8" w:rsidP="00712E25"/>
    <w:p w14:paraId="063CA2E7" w14:textId="3CDE0AFB" w:rsidR="000B0785" w:rsidRPr="000C5AAC" w:rsidRDefault="000B0785" w:rsidP="000B0785">
      <w:pPr>
        <w:pStyle w:val="Heading3"/>
      </w:pPr>
      <w:r>
        <w:t>Disaster Recovery</w:t>
      </w:r>
    </w:p>
    <w:p w14:paraId="74FBE4FB" w14:textId="539B6C57" w:rsidR="007A2D89" w:rsidRDefault="00AE0B08" w:rsidP="00D4552B">
      <w:pPr>
        <w:rPr>
          <w:rFonts w:cs="Arial"/>
        </w:rPr>
      </w:pPr>
      <w:bookmarkStart w:id="13" w:name="_Toc57907785"/>
      <w:r>
        <w:rPr>
          <w:rFonts w:cs="Arial"/>
        </w:rPr>
        <w:t xml:space="preserve">A major concern within any organisation is what to do in event of a data breach. Following on from the security response, a disaster recovery policy plan must be in place to ensure the company suffers minimal </w:t>
      </w:r>
      <w:r w:rsidR="006B72A7">
        <w:rPr>
          <w:rFonts w:cs="Arial"/>
        </w:rPr>
        <w:t>downtime and</w:t>
      </w:r>
      <w:r w:rsidR="00893EC1">
        <w:rPr>
          <w:rFonts w:cs="Arial"/>
        </w:rPr>
        <w:t xml:space="preserve"> ensure that any events are recorded to improve security moving forward.</w:t>
      </w:r>
      <w:r w:rsidR="00C95530">
        <w:rPr>
          <w:rFonts w:cs="Arial"/>
        </w:rPr>
        <w:tab/>
      </w:r>
    </w:p>
    <w:p w14:paraId="59AD84D1" w14:textId="3DA1FAC3" w:rsidR="00AC0099" w:rsidRDefault="00AC0099" w:rsidP="00D4552B">
      <w:pPr>
        <w:rPr>
          <w:rFonts w:cs="Arial"/>
        </w:rPr>
      </w:pPr>
      <w:r>
        <w:rPr>
          <w:rFonts w:cs="Arial"/>
        </w:rPr>
        <w:tab/>
        <w:t>Further information:</w:t>
      </w:r>
    </w:p>
    <w:p w14:paraId="0A1DCEE1" w14:textId="028E6E79" w:rsidR="009049BE" w:rsidRDefault="009049BE" w:rsidP="009049BE">
      <w:pPr>
        <w:pStyle w:val="ListParagraph"/>
        <w:numPr>
          <w:ilvl w:val="0"/>
          <w:numId w:val="14"/>
        </w:numPr>
        <w:rPr>
          <w:rFonts w:cs="Arial"/>
        </w:rPr>
      </w:pPr>
      <w:r>
        <w:rPr>
          <w:rFonts w:cs="Arial"/>
        </w:rPr>
        <w:t>ISO/IEC 27001</w:t>
      </w:r>
    </w:p>
    <w:p w14:paraId="6C963855" w14:textId="38BCB5E2" w:rsidR="007A2D89" w:rsidRDefault="009049BE" w:rsidP="009049BE">
      <w:pPr>
        <w:pStyle w:val="ListParagraph"/>
        <w:numPr>
          <w:ilvl w:val="1"/>
          <w:numId w:val="14"/>
        </w:numPr>
        <w:rPr>
          <w:rFonts w:cs="Arial"/>
        </w:rPr>
      </w:pPr>
      <w:r w:rsidRPr="009049BE">
        <w:rPr>
          <w:rFonts w:cs="Arial"/>
        </w:rPr>
        <w:t>A.16.1.5</w:t>
      </w:r>
      <w:r w:rsidR="00AC112F">
        <w:rPr>
          <w:rFonts w:cs="Arial"/>
        </w:rPr>
        <w:t xml:space="preserve"> </w:t>
      </w:r>
      <w:r w:rsidR="00F96B48">
        <w:rPr>
          <w:rFonts w:cs="Arial"/>
        </w:rPr>
        <w:t>(</w:t>
      </w:r>
      <w:r w:rsidR="00F96B48" w:rsidRPr="00F96B48">
        <w:rPr>
          <w:rFonts w:cs="Arial"/>
        </w:rPr>
        <w:t>Response to Information Security Incidents</w:t>
      </w:r>
      <w:r w:rsidR="00F96B48">
        <w:rPr>
          <w:rFonts w:cs="Arial"/>
        </w:rPr>
        <w:t>),</w:t>
      </w:r>
    </w:p>
    <w:p w14:paraId="3A9A659C" w14:textId="0BD230BD" w:rsidR="00F96B48" w:rsidRDefault="00F96B48" w:rsidP="009049BE">
      <w:pPr>
        <w:pStyle w:val="ListParagraph"/>
        <w:numPr>
          <w:ilvl w:val="1"/>
          <w:numId w:val="14"/>
        </w:numPr>
        <w:rPr>
          <w:rFonts w:cs="Arial"/>
        </w:rPr>
      </w:pPr>
      <w:r w:rsidRPr="00F96B48">
        <w:rPr>
          <w:rFonts w:cs="Arial"/>
        </w:rPr>
        <w:t xml:space="preserve">A.16.1.6 </w:t>
      </w:r>
      <w:r>
        <w:rPr>
          <w:rFonts w:cs="Arial"/>
        </w:rPr>
        <w:t>(</w:t>
      </w:r>
      <w:r w:rsidRPr="00F96B48">
        <w:rPr>
          <w:rFonts w:cs="Arial"/>
        </w:rPr>
        <w:t>Learning from Information Security Incidents</w:t>
      </w:r>
      <w:r>
        <w:rPr>
          <w:rFonts w:cs="Arial"/>
        </w:rPr>
        <w:t>)</w:t>
      </w:r>
    </w:p>
    <w:p w14:paraId="61A381EA" w14:textId="6E07A5D8" w:rsidR="009049BE" w:rsidRDefault="009049BE" w:rsidP="009049BE">
      <w:pPr>
        <w:pStyle w:val="ListParagraph"/>
        <w:numPr>
          <w:ilvl w:val="0"/>
          <w:numId w:val="14"/>
        </w:numPr>
        <w:rPr>
          <w:rFonts w:cs="Arial"/>
        </w:rPr>
      </w:pPr>
      <w:r>
        <w:rPr>
          <w:rFonts w:cs="Arial"/>
        </w:rPr>
        <w:t>COBIT</w:t>
      </w:r>
    </w:p>
    <w:p w14:paraId="2DAF4F60" w14:textId="07399A99" w:rsidR="00F96B48" w:rsidRPr="003D2DA0" w:rsidRDefault="009049BE" w:rsidP="003D2DA0">
      <w:pPr>
        <w:pStyle w:val="ListParagraph"/>
        <w:numPr>
          <w:ilvl w:val="1"/>
          <w:numId w:val="14"/>
        </w:numPr>
        <w:rPr>
          <w:rFonts w:cs="Arial"/>
        </w:rPr>
      </w:pPr>
      <w:r w:rsidRPr="00AC0099">
        <w:rPr>
          <w:rFonts w:cs="Arial"/>
        </w:rPr>
        <w:t>DSS02.05</w:t>
      </w:r>
      <w:r>
        <w:rPr>
          <w:rFonts w:cs="Arial"/>
        </w:rPr>
        <w:t xml:space="preserve"> (</w:t>
      </w:r>
      <w:r w:rsidRPr="00AC0099">
        <w:rPr>
          <w:rFonts w:cs="Arial"/>
        </w:rPr>
        <w:t xml:space="preserve">Resolve and </w:t>
      </w:r>
      <w:r>
        <w:rPr>
          <w:rFonts w:cs="Arial"/>
        </w:rPr>
        <w:t>R</w:t>
      </w:r>
      <w:r w:rsidRPr="00AC0099">
        <w:rPr>
          <w:rFonts w:cs="Arial"/>
        </w:rPr>
        <w:t xml:space="preserve">ecover </w:t>
      </w:r>
      <w:r>
        <w:rPr>
          <w:rFonts w:cs="Arial"/>
        </w:rPr>
        <w:t>f</w:t>
      </w:r>
      <w:r w:rsidRPr="00AC0099">
        <w:rPr>
          <w:rFonts w:cs="Arial"/>
        </w:rPr>
        <w:t xml:space="preserve">rom </w:t>
      </w:r>
      <w:r>
        <w:rPr>
          <w:rFonts w:cs="Arial"/>
        </w:rPr>
        <w:t>I</w:t>
      </w:r>
      <w:r w:rsidRPr="00AC0099">
        <w:rPr>
          <w:rFonts w:cs="Arial"/>
        </w:rPr>
        <w:t>ncidents</w:t>
      </w:r>
      <w:r>
        <w:rPr>
          <w:rFonts w:cs="Arial"/>
        </w:rPr>
        <w:t>)</w:t>
      </w:r>
    </w:p>
    <w:p w14:paraId="03126131" w14:textId="7E8C6F49" w:rsidR="003E6ABD" w:rsidRPr="00D4552B" w:rsidRDefault="003E6ABD" w:rsidP="00D4552B">
      <w:r>
        <w:rPr>
          <w:rFonts w:cs="Arial"/>
        </w:rPr>
        <w:br w:type="page"/>
      </w:r>
    </w:p>
    <w:p w14:paraId="36790D66" w14:textId="13FD9A3A" w:rsidR="00C26283" w:rsidRPr="009A3676" w:rsidRDefault="004838A6" w:rsidP="001B42A7">
      <w:pPr>
        <w:pStyle w:val="Heading1"/>
        <w:rPr>
          <w:rFonts w:cs="Arial"/>
        </w:rPr>
      </w:pPr>
      <w:r>
        <w:rPr>
          <w:rFonts w:cs="Arial"/>
        </w:rPr>
        <w:lastRenderedPageBreak/>
        <w:t>Conclusion</w:t>
      </w:r>
      <w:bookmarkEnd w:id="13"/>
    </w:p>
    <w:p w14:paraId="358C66F4" w14:textId="55F6C5D3" w:rsidR="004A2477" w:rsidRDefault="003037C0" w:rsidP="00E432A4">
      <w:pPr>
        <w:rPr>
          <w:rFonts w:cs="Arial"/>
        </w:rPr>
      </w:pPr>
      <w:r>
        <w:rPr>
          <w:rFonts w:cs="Arial"/>
        </w:rPr>
        <w:t xml:space="preserve">An ISMS is </w:t>
      </w:r>
      <w:r w:rsidR="003012CB">
        <w:rPr>
          <w:rFonts w:cs="Arial"/>
        </w:rPr>
        <w:t>a paramount system</w:t>
      </w:r>
      <w:r>
        <w:rPr>
          <w:rFonts w:cs="Arial"/>
        </w:rPr>
        <w:t xml:space="preserve"> </w:t>
      </w:r>
      <w:r w:rsidR="003012CB">
        <w:rPr>
          <w:rFonts w:cs="Arial"/>
        </w:rPr>
        <w:t>for</w:t>
      </w:r>
      <w:r>
        <w:rPr>
          <w:rFonts w:cs="Arial"/>
        </w:rPr>
        <w:t xml:space="preserve"> any organisation</w:t>
      </w:r>
      <w:r w:rsidR="003012CB">
        <w:rPr>
          <w:rFonts w:cs="Arial"/>
        </w:rPr>
        <w:t xml:space="preserve"> </w:t>
      </w:r>
      <w:r>
        <w:rPr>
          <w:rFonts w:cs="Arial"/>
        </w:rPr>
        <w:t xml:space="preserve">to ensure </w:t>
      </w:r>
      <w:r w:rsidR="003012CB">
        <w:rPr>
          <w:rFonts w:cs="Arial"/>
        </w:rPr>
        <w:t>information and data security</w:t>
      </w:r>
      <w:r w:rsidR="005B2369">
        <w:rPr>
          <w:rFonts w:cs="Arial"/>
        </w:rPr>
        <w:t xml:space="preserve"> is </w:t>
      </w:r>
      <w:r w:rsidR="002F7C06">
        <w:rPr>
          <w:rFonts w:cs="Arial"/>
        </w:rPr>
        <w:t>successfully</w:t>
      </w:r>
      <w:r w:rsidR="005B2369">
        <w:rPr>
          <w:rFonts w:cs="Arial"/>
        </w:rPr>
        <w:t xml:space="preserve"> </w:t>
      </w:r>
      <w:r w:rsidR="008D6713">
        <w:rPr>
          <w:rFonts w:cs="Arial"/>
        </w:rPr>
        <w:t>accomplished</w:t>
      </w:r>
      <w:r w:rsidR="005B2369">
        <w:rPr>
          <w:rFonts w:cs="Arial"/>
        </w:rPr>
        <w:t>.</w:t>
      </w:r>
      <w:r w:rsidR="003463DA">
        <w:rPr>
          <w:rFonts w:cs="Arial"/>
        </w:rPr>
        <w:t xml:space="preserve"> </w:t>
      </w:r>
      <w:r w:rsidR="00DC5A4B">
        <w:rPr>
          <w:rFonts w:cs="Arial"/>
        </w:rPr>
        <w:t>Through the research completed</w:t>
      </w:r>
      <w:r w:rsidR="00F664AC">
        <w:rPr>
          <w:rFonts w:cs="Arial"/>
        </w:rPr>
        <w:t xml:space="preserve">, </w:t>
      </w:r>
      <w:r w:rsidR="00DC5A4B">
        <w:rPr>
          <w:rFonts w:cs="Arial"/>
        </w:rPr>
        <w:t xml:space="preserve">it is clear that the world of information security is of substantial size, and it </w:t>
      </w:r>
      <w:r w:rsidR="007F20B7">
        <w:rPr>
          <w:rFonts w:cs="Arial"/>
        </w:rPr>
        <w:t xml:space="preserve">requires a lot of information about a company in terms of processes, information held, </w:t>
      </w:r>
      <w:r w:rsidR="00481C81">
        <w:rPr>
          <w:rFonts w:cs="Arial"/>
        </w:rPr>
        <w:t xml:space="preserve">roles and responsibilities to </w:t>
      </w:r>
      <w:r w:rsidR="0048233D">
        <w:rPr>
          <w:rFonts w:cs="Arial"/>
        </w:rPr>
        <w:t>successfully</w:t>
      </w:r>
      <w:r w:rsidR="00481C81">
        <w:rPr>
          <w:rFonts w:cs="Arial"/>
        </w:rPr>
        <w:t xml:space="preserve"> produce an </w:t>
      </w:r>
      <w:r w:rsidR="0048233D">
        <w:rPr>
          <w:rFonts w:cs="Arial"/>
        </w:rPr>
        <w:t>effective</w:t>
      </w:r>
      <w:r w:rsidR="00481C81">
        <w:rPr>
          <w:rFonts w:cs="Arial"/>
        </w:rPr>
        <w:t xml:space="preserve"> framework.</w:t>
      </w:r>
    </w:p>
    <w:p w14:paraId="7710163A" w14:textId="64C88676" w:rsidR="00BD41C8" w:rsidRPr="009A3676" w:rsidRDefault="00BD41C8" w:rsidP="00E432A4">
      <w:pPr>
        <w:rPr>
          <w:rFonts w:cs="Arial"/>
        </w:rPr>
      </w:pPr>
      <w:r>
        <w:rPr>
          <w:rFonts w:cs="Arial"/>
        </w:rPr>
        <w:tab/>
        <w:t>Going forward, a larger knowledge of data security would be required in order to</w:t>
      </w:r>
      <w:r w:rsidR="00091F8F">
        <w:rPr>
          <w:rFonts w:cs="Arial"/>
        </w:rPr>
        <w:t xml:space="preserve"> provide a full framework for guidance as the one given within this report is basic due to limited </w:t>
      </w:r>
      <w:r w:rsidR="008A1009">
        <w:rPr>
          <w:rFonts w:cs="Arial"/>
        </w:rPr>
        <w:t>knowledge, however the gained experience has proven useful and interesting.</w:t>
      </w:r>
    </w:p>
    <w:p w14:paraId="7A87AEAD" w14:textId="2BC4E426" w:rsidR="00582678" w:rsidRPr="009A3676" w:rsidRDefault="00582678" w:rsidP="00BE7CA8">
      <w:pPr>
        <w:rPr>
          <w:rFonts w:cs="Arial"/>
        </w:rPr>
      </w:pPr>
    </w:p>
    <w:p w14:paraId="3F73C24B" w14:textId="1819FB9D" w:rsidR="005902FD" w:rsidRPr="009A3676" w:rsidRDefault="005902FD" w:rsidP="00317F72">
      <w:pPr>
        <w:ind w:firstLine="720"/>
        <w:rPr>
          <w:rFonts w:eastAsiaTheme="majorEastAsia" w:cs="Arial"/>
          <w:b/>
          <w:sz w:val="32"/>
          <w:szCs w:val="32"/>
        </w:rPr>
      </w:pPr>
      <w:r w:rsidRPr="009A3676">
        <w:rPr>
          <w:rFonts w:cs="Arial"/>
        </w:rPr>
        <w:br w:type="page"/>
      </w:r>
    </w:p>
    <w:p w14:paraId="5F5AE5CF" w14:textId="694CC6D2" w:rsidR="006B041E" w:rsidRPr="009A3676" w:rsidRDefault="002226C4" w:rsidP="006B041E">
      <w:pPr>
        <w:pStyle w:val="Heading1"/>
        <w:rPr>
          <w:rFonts w:cs="Arial"/>
        </w:rPr>
      </w:pPr>
      <w:bookmarkStart w:id="14" w:name="_Toc57907786"/>
      <w:r w:rsidRPr="009A3676">
        <w:rPr>
          <w:rFonts w:cs="Arial"/>
        </w:rPr>
        <w:lastRenderedPageBreak/>
        <w:t>References</w:t>
      </w:r>
      <w:bookmarkEnd w:id="14"/>
    </w:p>
    <w:p w14:paraId="4DC3374E" w14:textId="6C737005" w:rsidR="00E70173" w:rsidRPr="00E70173" w:rsidRDefault="006B041E" w:rsidP="00E70173">
      <w:pPr>
        <w:widowControl w:val="0"/>
        <w:autoSpaceDE w:val="0"/>
        <w:autoSpaceDN w:val="0"/>
        <w:adjustRightInd w:val="0"/>
        <w:ind w:left="640" w:hanging="640"/>
        <w:rPr>
          <w:rFonts w:cs="Arial"/>
          <w:noProof/>
          <w:szCs w:val="24"/>
        </w:rPr>
      </w:pPr>
      <w:r w:rsidRPr="009A3676">
        <w:rPr>
          <w:rFonts w:cs="Arial"/>
        </w:rPr>
        <w:fldChar w:fldCharType="begin" w:fldLock="1"/>
      </w:r>
      <w:r w:rsidRPr="009A3676">
        <w:rPr>
          <w:rFonts w:cs="Arial"/>
        </w:rPr>
        <w:instrText xml:space="preserve">ADDIN Mendeley Bibliography CSL_BIBLIOGRAPHY </w:instrText>
      </w:r>
      <w:r w:rsidRPr="009A3676">
        <w:rPr>
          <w:rFonts w:cs="Arial"/>
        </w:rPr>
        <w:fldChar w:fldCharType="separate"/>
      </w:r>
      <w:r w:rsidR="00E70173" w:rsidRPr="00E70173">
        <w:rPr>
          <w:rFonts w:cs="Arial"/>
          <w:noProof/>
          <w:szCs w:val="24"/>
        </w:rPr>
        <w:t>[1]</w:t>
      </w:r>
      <w:r w:rsidR="00E70173" w:rsidRPr="00E70173">
        <w:rPr>
          <w:rFonts w:cs="Arial"/>
          <w:noProof/>
          <w:szCs w:val="24"/>
        </w:rPr>
        <w:tab/>
        <w:t>Cisco, “Cisco Annual Internet Report (2018–2023),” 2020. [Online]. Available: https://www.cisco.com/c/en/us/solutions/collateral/executive-perspectives/annual-internet-report/white-paper-c11-741490.pdf.</w:t>
      </w:r>
    </w:p>
    <w:p w14:paraId="552D803B" w14:textId="77777777" w:rsidR="00E70173" w:rsidRPr="00E70173" w:rsidRDefault="00E70173" w:rsidP="00E70173">
      <w:pPr>
        <w:widowControl w:val="0"/>
        <w:autoSpaceDE w:val="0"/>
        <w:autoSpaceDN w:val="0"/>
        <w:adjustRightInd w:val="0"/>
        <w:ind w:left="640" w:hanging="640"/>
        <w:rPr>
          <w:rFonts w:cs="Arial"/>
          <w:noProof/>
          <w:szCs w:val="24"/>
        </w:rPr>
      </w:pPr>
      <w:r w:rsidRPr="00E70173">
        <w:rPr>
          <w:rFonts w:cs="Arial"/>
          <w:noProof/>
          <w:szCs w:val="24"/>
        </w:rPr>
        <w:t>[2]</w:t>
      </w:r>
      <w:r w:rsidRPr="00E70173">
        <w:rPr>
          <w:rFonts w:cs="Arial"/>
          <w:noProof/>
          <w:szCs w:val="24"/>
        </w:rPr>
        <w:tab/>
        <w:t xml:space="preserve">A. Coburn </w:t>
      </w:r>
      <w:r w:rsidRPr="00E70173">
        <w:rPr>
          <w:rFonts w:cs="Arial"/>
          <w:i/>
          <w:iCs/>
          <w:noProof/>
          <w:szCs w:val="24"/>
        </w:rPr>
        <w:t>et al.</w:t>
      </w:r>
      <w:r w:rsidRPr="00E70173">
        <w:rPr>
          <w:rFonts w:cs="Arial"/>
          <w:noProof/>
          <w:szCs w:val="24"/>
        </w:rPr>
        <w:t>, “Cyber Risk Outlook,” 2019. [Online]. Available: https://www.jbs.cam.ac.uk/fileadmin/user_upload/research/centres/risk/downloads/crs-cyber-risk-outlook-2019.pdf.</w:t>
      </w:r>
    </w:p>
    <w:p w14:paraId="4D9D298E" w14:textId="77777777" w:rsidR="00E70173" w:rsidRPr="00E70173" w:rsidRDefault="00E70173" w:rsidP="00E70173">
      <w:pPr>
        <w:widowControl w:val="0"/>
        <w:autoSpaceDE w:val="0"/>
        <w:autoSpaceDN w:val="0"/>
        <w:adjustRightInd w:val="0"/>
        <w:ind w:left="640" w:hanging="640"/>
        <w:rPr>
          <w:rFonts w:cs="Arial"/>
          <w:noProof/>
          <w:szCs w:val="24"/>
        </w:rPr>
      </w:pPr>
      <w:r w:rsidRPr="00E70173">
        <w:rPr>
          <w:rFonts w:cs="Arial"/>
          <w:noProof/>
          <w:szCs w:val="24"/>
        </w:rPr>
        <w:t>[3]</w:t>
      </w:r>
      <w:r w:rsidRPr="00E70173">
        <w:rPr>
          <w:rFonts w:cs="Arial"/>
          <w:noProof/>
          <w:szCs w:val="24"/>
        </w:rPr>
        <w:tab/>
        <w:t xml:space="preserve">D. Berger, N. Shashidhar, and C. Varol, “Using ITIL 4 in Security Management,” </w:t>
      </w:r>
      <w:r w:rsidRPr="00E70173">
        <w:rPr>
          <w:rFonts w:cs="Arial"/>
          <w:i/>
          <w:iCs/>
          <w:noProof/>
          <w:szCs w:val="24"/>
        </w:rPr>
        <w:t>2020 8th Int. Symp. Digit. Forensics Secur.</w:t>
      </w:r>
      <w:r w:rsidRPr="00E70173">
        <w:rPr>
          <w:rFonts w:cs="Arial"/>
          <w:noProof/>
          <w:szCs w:val="24"/>
        </w:rPr>
        <w:t>, pp. 1–6, Jun. 2020.</w:t>
      </w:r>
    </w:p>
    <w:p w14:paraId="2150096D" w14:textId="77777777" w:rsidR="00E70173" w:rsidRPr="00E70173" w:rsidRDefault="00E70173" w:rsidP="00E70173">
      <w:pPr>
        <w:widowControl w:val="0"/>
        <w:autoSpaceDE w:val="0"/>
        <w:autoSpaceDN w:val="0"/>
        <w:adjustRightInd w:val="0"/>
        <w:ind w:left="640" w:hanging="640"/>
        <w:rPr>
          <w:rFonts w:cs="Arial"/>
          <w:noProof/>
          <w:szCs w:val="24"/>
        </w:rPr>
      </w:pPr>
      <w:r w:rsidRPr="00E70173">
        <w:rPr>
          <w:rFonts w:cs="Arial"/>
          <w:noProof/>
          <w:szCs w:val="24"/>
        </w:rPr>
        <w:t>[4]</w:t>
      </w:r>
      <w:r w:rsidRPr="00E70173">
        <w:rPr>
          <w:rFonts w:cs="Arial"/>
          <w:noProof/>
          <w:szCs w:val="24"/>
        </w:rPr>
        <w:tab/>
        <w:t xml:space="preserve">A. D. Suryawan and Veronica, “Information Technology Service Performance Management Using COBIT and ITIL Frameworks : A Case Study,” </w:t>
      </w:r>
      <w:r w:rsidRPr="00E70173">
        <w:rPr>
          <w:rFonts w:cs="Arial"/>
          <w:i/>
          <w:iCs/>
          <w:noProof/>
          <w:szCs w:val="24"/>
        </w:rPr>
        <w:t>Proc. 2018 Int. Conf. Inf. Manag. Technol. ICIMTech 2018</w:t>
      </w:r>
      <w:r w:rsidRPr="00E70173">
        <w:rPr>
          <w:rFonts w:cs="Arial"/>
          <w:noProof/>
          <w:szCs w:val="24"/>
        </w:rPr>
        <w:t>, no. November, pp. 223–228, 2018.</w:t>
      </w:r>
    </w:p>
    <w:p w14:paraId="16865019" w14:textId="77777777" w:rsidR="00E70173" w:rsidRPr="00E70173" w:rsidRDefault="00E70173" w:rsidP="00E70173">
      <w:pPr>
        <w:widowControl w:val="0"/>
        <w:autoSpaceDE w:val="0"/>
        <w:autoSpaceDN w:val="0"/>
        <w:adjustRightInd w:val="0"/>
        <w:ind w:left="640" w:hanging="640"/>
        <w:rPr>
          <w:rFonts w:cs="Arial"/>
          <w:noProof/>
          <w:szCs w:val="24"/>
        </w:rPr>
      </w:pPr>
      <w:r w:rsidRPr="00E70173">
        <w:rPr>
          <w:rFonts w:cs="Arial"/>
          <w:noProof/>
          <w:szCs w:val="24"/>
        </w:rPr>
        <w:t>[5]</w:t>
      </w:r>
      <w:r w:rsidRPr="00E70173">
        <w:rPr>
          <w:rFonts w:cs="Arial"/>
          <w:noProof/>
          <w:szCs w:val="24"/>
        </w:rPr>
        <w:tab/>
        <w:t xml:space="preserve">D. Achmadi, Y. Suryanto, and K. Ramli, “On Developing Information Security Management System (ISMS) Framework for ISO 27001-based Data Center,” </w:t>
      </w:r>
      <w:r w:rsidRPr="00E70173">
        <w:rPr>
          <w:rFonts w:cs="Arial"/>
          <w:i/>
          <w:iCs/>
          <w:noProof/>
          <w:szCs w:val="24"/>
        </w:rPr>
        <w:t>2018 Int. Work. Big Data Inf. Secur. IWBIS 2018</w:t>
      </w:r>
      <w:r w:rsidRPr="00E70173">
        <w:rPr>
          <w:rFonts w:cs="Arial"/>
          <w:noProof/>
          <w:szCs w:val="24"/>
        </w:rPr>
        <w:t>, pp. 149–157, 2018.</w:t>
      </w:r>
    </w:p>
    <w:p w14:paraId="39BB9D15" w14:textId="77777777" w:rsidR="00E70173" w:rsidRPr="00E70173" w:rsidRDefault="00E70173" w:rsidP="00E70173">
      <w:pPr>
        <w:widowControl w:val="0"/>
        <w:autoSpaceDE w:val="0"/>
        <w:autoSpaceDN w:val="0"/>
        <w:adjustRightInd w:val="0"/>
        <w:ind w:left="640" w:hanging="640"/>
        <w:rPr>
          <w:rFonts w:cs="Arial"/>
          <w:noProof/>
          <w:szCs w:val="24"/>
        </w:rPr>
      </w:pPr>
      <w:r w:rsidRPr="00E70173">
        <w:rPr>
          <w:rFonts w:cs="Arial"/>
          <w:noProof/>
          <w:szCs w:val="24"/>
        </w:rPr>
        <w:t>[6]</w:t>
      </w:r>
      <w:r w:rsidRPr="00E70173">
        <w:rPr>
          <w:rFonts w:cs="Arial"/>
          <w:noProof/>
          <w:szCs w:val="24"/>
        </w:rPr>
        <w:tab/>
        <w:t xml:space="preserve">Z. Al-Rashdi, M. Dick, and I. Storey, “Literature-based analysis of the influences of the new forces on ISMS: A conceptual framework,” in </w:t>
      </w:r>
      <w:r w:rsidRPr="00E70173">
        <w:rPr>
          <w:rFonts w:cs="Arial"/>
          <w:i/>
          <w:iCs/>
          <w:noProof/>
          <w:szCs w:val="24"/>
        </w:rPr>
        <w:t>Proceedings of the 15th Australian Information Security Management Conference, AISM 2017</w:t>
      </w:r>
      <w:r w:rsidRPr="00E70173">
        <w:rPr>
          <w:rFonts w:cs="Arial"/>
          <w:noProof/>
          <w:szCs w:val="24"/>
        </w:rPr>
        <w:t>, 2017, pp. 116–124.</w:t>
      </w:r>
    </w:p>
    <w:p w14:paraId="6D860BD6" w14:textId="77777777" w:rsidR="00E70173" w:rsidRPr="00E70173" w:rsidRDefault="00E70173" w:rsidP="00E70173">
      <w:pPr>
        <w:widowControl w:val="0"/>
        <w:autoSpaceDE w:val="0"/>
        <w:autoSpaceDN w:val="0"/>
        <w:adjustRightInd w:val="0"/>
        <w:ind w:left="640" w:hanging="640"/>
        <w:rPr>
          <w:rFonts w:cs="Arial"/>
          <w:noProof/>
          <w:szCs w:val="24"/>
        </w:rPr>
      </w:pPr>
      <w:r w:rsidRPr="00E70173">
        <w:rPr>
          <w:rFonts w:cs="Arial"/>
          <w:noProof/>
          <w:szCs w:val="24"/>
        </w:rPr>
        <w:t>[7]</w:t>
      </w:r>
      <w:r w:rsidRPr="00E70173">
        <w:rPr>
          <w:rFonts w:cs="Arial"/>
          <w:noProof/>
          <w:szCs w:val="24"/>
        </w:rPr>
        <w:tab/>
        <w:t xml:space="preserve">V. Agrawal, “A Framework for the Information Classification in ISO 27005 Standard,” </w:t>
      </w:r>
      <w:r w:rsidRPr="00E70173">
        <w:rPr>
          <w:rFonts w:cs="Arial"/>
          <w:i/>
          <w:iCs/>
          <w:noProof/>
          <w:szCs w:val="24"/>
        </w:rPr>
        <w:t>Proc. - 4th IEEE Int. Conf. Cyber Secur. Cloud Comput. CSCloud 2017 3rd IEEE Int. Conf. Scalable Smart Cloud, SSC 2017</w:t>
      </w:r>
      <w:r w:rsidRPr="00E70173">
        <w:rPr>
          <w:rFonts w:cs="Arial"/>
          <w:noProof/>
          <w:szCs w:val="24"/>
        </w:rPr>
        <w:t>, pp. 264–269, 2017.</w:t>
      </w:r>
    </w:p>
    <w:p w14:paraId="4A810F72" w14:textId="77777777" w:rsidR="00E70173" w:rsidRPr="00E70173" w:rsidRDefault="00E70173" w:rsidP="00E70173">
      <w:pPr>
        <w:widowControl w:val="0"/>
        <w:autoSpaceDE w:val="0"/>
        <w:autoSpaceDN w:val="0"/>
        <w:adjustRightInd w:val="0"/>
        <w:ind w:left="640" w:hanging="640"/>
        <w:rPr>
          <w:rFonts w:cs="Arial"/>
          <w:noProof/>
          <w:szCs w:val="24"/>
        </w:rPr>
      </w:pPr>
      <w:r w:rsidRPr="00E70173">
        <w:rPr>
          <w:rFonts w:cs="Arial"/>
          <w:noProof/>
          <w:szCs w:val="24"/>
        </w:rPr>
        <w:t>[8]</w:t>
      </w:r>
      <w:r w:rsidRPr="00E70173">
        <w:rPr>
          <w:rFonts w:cs="Arial"/>
          <w:noProof/>
          <w:szCs w:val="24"/>
        </w:rPr>
        <w:tab/>
        <w:t xml:space="preserve">W. Stallings, </w:t>
      </w:r>
      <w:r w:rsidRPr="00E70173">
        <w:rPr>
          <w:rFonts w:cs="Arial"/>
          <w:i/>
          <w:iCs/>
          <w:noProof/>
          <w:szCs w:val="24"/>
        </w:rPr>
        <w:t>Cryptography and Network Security Principles and Practice</w:t>
      </w:r>
      <w:r w:rsidRPr="00E70173">
        <w:rPr>
          <w:rFonts w:cs="Arial"/>
          <w:noProof/>
          <w:szCs w:val="24"/>
        </w:rPr>
        <w:t>, 7th ed. Pearson, 2017.</w:t>
      </w:r>
    </w:p>
    <w:p w14:paraId="543A683F" w14:textId="77777777" w:rsidR="00E70173" w:rsidRPr="00E70173" w:rsidRDefault="00E70173" w:rsidP="00E70173">
      <w:pPr>
        <w:widowControl w:val="0"/>
        <w:autoSpaceDE w:val="0"/>
        <w:autoSpaceDN w:val="0"/>
        <w:adjustRightInd w:val="0"/>
        <w:ind w:left="640" w:hanging="640"/>
        <w:rPr>
          <w:rFonts w:cs="Arial"/>
          <w:noProof/>
          <w:szCs w:val="24"/>
        </w:rPr>
      </w:pPr>
      <w:r w:rsidRPr="00E70173">
        <w:rPr>
          <w:rFonts w:cs="Arial"/>
          <w:noProof/>
          <w:szCs w:val="24"/>
        </w:rPr>
        <w:t>[9]</w:t>
      </w:r>
      <w:r w:rsidRPr="00E70173">
        <w:rPr>
          <w:rFonts w:cs="Arial"/>
          <w:noProof/>
          <w:szCs w:val="24"/>
        </w:rPr>
        <w:tab/>
        <w:t xml:space="preserve">A. Chopra and M. Chaudhary, </w:t>
      </w:r>
      <w:r w:rsidRPr="00E70173">
        <w:rPr>
          <w:rFonts w:cs="Arial"/>
          <w:i/>
          <w:iCs/>
          <w:noProof/>
          <w:szCs w:val="24"/>
        </w:rPr>
        <w:t>Implementing an Information Security Management System</w:t>
      </w:r>
      <w:r w:rsidRPr="00E70173">
        <w:rPr>
          <w:rFonts w:cs="Arial"/>
          <w:noProof/>
          <w:szCs w:val="24"/>
        </w:rPr>
        <w:t>. Berkeley, CA: Apress, 2020.</w:t>
      </w:r>
    </w:p>
    <w:p w14:paraId="5FBE1EF0" w14:textId="77777777" w:rsidR="00E70173" w:rsidRPr="00E70173" w:rsidRDefault="00E70173" w:rsidP="00E70173">
      <w:pPr>
        <w:widowControl w:val="0"/>
        <w:autoSpaceDE w:val="0"/>
        <w:autoSpaceDN w:val="0"/>
        <w:adjustRightInd w:val="0"/>
        <w:ind w:left="640" w:hanging="640"/>
        <w:rPr>
          <w:rFonts w:cs="Arial"/>
          <w:noProof/>
          <w:szCs w:val="24"/>
        </w:rPr>
      </w:pPr>
      <w:r w:rsidRPr="00E70173">
        <w:rPr>
          <w:rFonts w:cs="Arial"/>
          <w:noProof/>
          <w:szCs w:val="24"/>
        </w:rPr>
        <w:t>[10]</w:t>
      </w:r>
      <w:r w:rsidRPr="00E70173">
        <w:rPr>
          <w:rFonts w:cs="Arial"/>
          <w:noProof/>
          <w:szCs w:val="24"/>
        </w:rPr>
        <w:tab/>
        <w:t xml:space="preserve">I. Alsmadi, C. Easttom, and L. Tawalbeh, </w:t>
      </w:r>
      <w:r w:rsidRPr="00E70173">
        <w:rPr>
          <w:rFonts w:cs="Arial"/>
          <w:i/>
          <w:iCs/>
          <w:noProof/>
          <w:szCs w:val="24"/>
        </w:rPr>
        <w:t>The NICE Cyber Security Framework</w:t>
      </w:r>
      <w:r w:rsidRPr="00E70173">
        <w:rPr>
          <w:rFonts w:cs="Arial"/>
          <w:noProof/>
          <w:szCs w:val="24"/>
        </w:rPr>
        <w:t>. Cham: Springer International Publishing, 2020.</w:t>
      </w:r>
    </w:p>
    <w:p w14:paraId="1BB5C62A" w14:textId="77777777" w:rsidR="00E70173" w:rsidRPr="00E70173" w:rsidRDefault="00E70173" w:rsidP="00E70173">
      <w:pPr>
        <w:widowControl w:val="0"/>
        <w:autoSpaceDE w:val="0"/>
        <w:autoSpaceDN w:val="0"/>
        <w:adjustRightInd w:val="0"/>
        <w:ind w:left="640" w:hanging="640"/>
        <w:rPr>
          <w:rFonts w:cs="Arial"/>
          <w:noProof/>
          <w:szCs w:val="24"/>
        </w:rPr>
      </w:pPr>
      <w:r w:rsidRPr="00E70173">
        <w:rPr>
          <w:rFonts w:cs="Arial"/>
          <w:noProof/>
          <w:szCs w:val="24"/>
        </w:rPr>
        <w:t>[11]</w:t>
      </w:r>
      <w:r w:rsidRPr="00E70173">
        <w:rPr>
          <w:rFonts w:cs="Arial"/>
          <w:noProof/>
          <w:szCs w:val="24"/>
        </w:rPr>
        <w:tab/>
        <w:t xml:space="preserve">S. Varga, G. Barreto, and P. D. Battaglin, “Increasing information systems availabiliy through accuracy, awareness, completeness and </w:t>
      </w:r>
      <w:r w:rsidRPr="00E70173">
        <w:rPr>
          <w:rFonts w:cs="Arial"/>
          <w:noProof/>
          <w:szCs w:val="24"/>
        </w:rPr>
        <w:lastRenderedPageBreak/>
        <w:t xml:space="preserve">manageability of ITSM,” </w:t>
      </w:r>
      <w:r w:rsidRPr="00E70173">
        <w:rPr>
          <w:rFonts w:cs="Arial"/>
          <w:i/>
          <w:iCs/>
          <w:noProof/>
          <w:szCs w:val="24"/>
        </w:rPr>
        <w:t>Iber. Conf. Inf. Syst. Technol. Cist.</w:t>
      </w:r>
      <w:r w:rsidRPr="00E70173">
        <w:rPr>
          <w:rFonts w:cs="Arial"/>
          <w:noProof/>
          <w:szCs w:val="24"/>
        </w:rPr>
        <w:t>, no. June, pp. 19–22, 2019.</w:t>
      </w:r>
    </w:p>
    <w:p w14:paraId="277FFF18" w14:textId="77777777" w:rsidR="00E70173" w:rsidRPr="00E70173" w:rsidRDefault="00E70173" w:rsidP="00E70173">
      <w:pPr>
        <w:widowControl w:val="0"/>
        <w:autoSpaceDE w:val="0"/>
        <w:autoSpaceDN w:val="0"/>
        <w:adjustRightInd w:val="0"/>
        <w:ind w:left="640" w:hanging="640"/>
        <w:rPr>
          <w:rFonts w:cs="Arial"/>
          <w:noProof/>
          <w:szCs w:val="24"/>
        </w:rPr>
      </w:pPr>
      <w:r w:rsidRPr="00E70173">
        <w:rPr>
          <w:rFonts w:cs="Arial"/>
          <w:noProof/>
          <w:szCs w:val="24"/>
        </w:rPr>
        <w:t>[12]</w:t>
      </w:r>
      <w:r w:rsidRPr="00E70173">
        <w:rPr>
          <w:rFonts w:cs="Arial"/>
          <w:noProof/>
          <w:szCs w:val="24"/>
        </w:rPr>
        <w:tab/>
        <w:t xml:space="preserve">N. J. Cruz-Hinojosa and J. A. Gutiérrez-De-Mesa, “Literature review of the situation research faces in the application of ITIL in Small and Medium Enterprises,” </w:t>
      </w:r>
      <w:r w:rsidRPr="00E70173">
        <w:rPr>
          <w:rFonts w:cs="Arial"/>
          <w:i/>
          <w:iCs/>
          <w:noProof/>
          <w:szCs w:val="24"/>
        </w:rPr>
        <w:t>Comput. Stand. Interfaces</w:t>
      </w:r>
      <w:r w:rsidRPr="00E70173">
        <w:rPr>
          <w:rFonts w:cs="Arial"/>
          <w:noProof/>
          <w:szCs w:val="24"/>
        </w:rPr>
        <w:t>, vol. 48, pp. 124–138, 2016.</w:t>
      </w:r>
    </w:p>
    <w:p w14:paraId="7469FA48" w14:textId="77777777" w:rsidR="00E70173" w:rsidRPr="00E70173" w:rsidRDefault="00E70173" w:rsidP="00E70173">
      <w:pPr>
        <w:widowControl w:val="0"/>
        <w:autoSpaceDE w:val="0"/>
        <w:autoSpaceDN w:val="0"/>
        <w:adjustRightInd w:val="0"/>
        <w:ind w:left="640" w:hanging="640"/>
        <w:rPr>
          <w:rFonts w:cs="Arial"/>
          <w:noProof/>
          <w:szCs w:val="24"/>
        </w:rPr>
      </w:pPr>
      <w:r w:rsidRPr="00E70173">
        <w:rPr>
          <w:rFonts w:cs="Arial"/>
          <w:noProof/>
          <w:szCs w:val="24"/>
        </w:rPr>
        <w:t>[13]</w:t>
      </w:r>
      <w:r w:rsidRPr="00E70173">
        <w:rPr>
          <w:rFonts w:cs="Arial"/>
          <w:noProof/>
          <w:szCs w:val="24"/>
        </w:rPr>
        <w:tab/>
        <w:t xml:space="preserve">N. Obwegeser, D. T. Nielsen, and N. M. Spandet, “Continual Process Improvement for ITIL Service Operations: A Lean Perspective,” </w:t>
      </w:r>
      <w:r w:rsidRPr="00E70173">
        <w:rPr>
          <w:rFonts w:cs="Arial"/>
          <w:i/>
          <w:iCs/>
          <w:noProof/>
          <w:szCs w:val="24"/>
        </w:rPr>
        <w:t>Inf. Syst. Manag.</w:t>
      </w:r>
      <w:r w:rsidRPr="00E70173">
        <w:rPr>
          <w:rFonts w:cs="Arial"/>
          <w:noProof/>
          <w:szCs w:val="24"/>
        </w:rPr>
        <w:t>, vol. 36, no. 2, pp. 141–167, Apr. 2019.</w:t>
      </w:r>
    </w:p>
    <w:p w14:paraId="20B38FB3" w14:textId="77777777" w:rsidR="00E70173" w:rsidRPr="00E70173" w:rsidRDefault="00E70173" w:rsidP="00E70173">
      <w:pPr>
        <w:widowControl w:val="0"/>
        <w:autoSpaceDE w:val="0"/>
        <w:autoSpaceDN w:val="0"/>
        <w:adjustRightInd w:val="0"/>
        <w:ind w:left="640" w:hanging="640"/>
        <w:rPr>
          <w:rFonts w:cs="Arial"/>
          <w:noProof/>
          <w:szCs w:val="24"/>
        </w:rPr>
      </w:pPr>
      <w:r w:rsidRPr="00E70173">
        <w:rPr>
          <w:rFonts w:cs="Arial"/>
          <w:noProof/>
          <w:szCs w:val="24"/>
        </w:rPr>
        <w:t>[14]</w:t>
      </w:r>
      <w:r w:rsidRPr="00E70173">
        <w:rPr>
          <w:rFonts w:cs="Arial"/>
          <w:noProof/>
          <w:szCs w:val="24"/>
        </w:rPr>
        <w:tab/>
        <w:t xml:space="preserve">H. Susanto and M. N. Almunawar, </w:t>
      </w:r>
      <w:r w:rsidRPr="00E70173">
        <w:rPr>
          <w:rFonts w:cs="Arial"/>
          <w:i/>
          <w:iCs/>
          <w:noProof/>
          <w:szCs w:val="24"/>
        </w:rPr>
        <w:t>Information Security Management Systems - A Novel Framework and Software as a Tool for Compliance with Information Security Standards</w:t>
      </w:r>
      <w:r w:rsidRPr="00E70173">
        <w:rPr>
          <w:rFonts w:cs="Arial"/>
          <w:noProof/>
          <w:szCs w:val="24"/>
        </w:rPr>
        <w:t>, 1st ed. Apple Academic Press, 2017.</w:t>
      </w:r>
    </w:p>
    <w:p w14:paraId="239C7D1A" w14:textId="77777777" w:rsidR="00E70173" w:rsidRPr="00E70173" w:rsidRDefault="00E70173" w:rsidP="00E70173">
      <w:pPr>
        <w:widowControl w:val="0"/>
        <w:autoSpaceDE w:val="0"/>
        <w:autoSpaceDN w:val="0"/>
        <w:adjustRightInd w:val="0"/>
        <w:ind w:left="640" w:hanging="640"/>
        <w:rPr>
          <w:rFonts w:cs="Arial"/>
          <w:noProof/>
          <w:szCs w:val="24"/>
        </w:rPr>
      </w:pPr>
      <w:r w:rsidRPr="00E70173">
        <w:rPr>
          <w:rFonts w:cs="Arial"/>
          <w:noProof/>
          <w:szCs w:val="24"/>
        </w:rPr>
        <w:t>[15]</w:t>
      </w:r>
      <w:r w:rsidRPr="00E70173">
        <w:rPr>
          <w:rFonts w:cs="Arial"/>
          <w:noProof/>
          <w:szCs w:val="24"/>
        </w:rPr>
        <w:tab/>
        <w:t xml:space="preserve">D. Kim and M. G. Solomon, </w:t>
      </w:r>
      <w:r w:rsidRPr="00E70173">
        <w:rPr>
          <w:rFonts w:cs="Arial"/>
          <w:i/>
          <w:iCs/>
          <w:noProof/>
          <w:szCs w:val="24"/>
        </w:rPr>
        <w:t>Fundamentals of Information Security</w:t>
      </w:r>
      <w:r w:rsidRPr="00E70173">
        <w:rPr>
          <w:rFonts w:cs="Arial"/>
          <w:noProof/>
          <w:szCs w:val="24"/>
        </w:rPr>
        <w:t>, 3rd ed. Jones &amp; Barlett Learning, 2018.</w:t>
      </w:r>
    </w:p>
    <w:p w14:paraId="45781554" w14:textId="77777777" w:rsidR="00E70173" w:rsidRPr="00E70173" w:rsidRDefault="00E70173" w:rsidP="00E70173">
      <w:pPr>
        <w:widowControl w:val="0"/>
        <w:autoSpaceDE w:val="0"/>
        <w:autoSpaceDN w:val="0"/>
        <w:adjustRightInd w:val="0"/>
        <w:ind w:left="640" w:hanging="640"/>
        <w:rPr>
          <w:rFonts w:cs="Arial"/>
          <w:noProof/>
          <w:szCs w:val="24"/>
        </w:rPr>
      </w:pPr>
      <w:r w:rsidRPr="00E70173">
        <w:rPr>
          <w:rFonts w:cs="Arial"/>
          <w:noProof/>
          <w:szCs w:val="24"/>
        </w:rPr>
        <w:t>[16]</w:t>
      </w:r>
      <w:r w:rsidRPr="00E70173">
        <w:rPr>
          <w:rFonts w:cs="Arial"/>
          <w:noProof/>
          <w:szCs w:val="24"/>
        </w:rPr>
        <w:tab/>
        <w:t xml:space="preserve">Axelos, </w:t>
      </w:r>
      <w:r w:rsidRPr="00E70173">
        <w:rPr>
          <w:rFonts w:cs="Arial"/>
          <w:i/>
          <w:iCs/>
          <w:noProof/>
          <w:szCs w:val="24"/>
        </w:rPr>
        <w:t>ITIL Foundation</w:t>
      </w:r>
      <w:r w:rsidRPr="00E70173">
        <w:rPr>
          <w:rFonts w:cs="Arial"/>
          <w:noProof/>
          <w:szCs w:val="24"/>
        </w:rPr>
        <w:t>, 1st ed. TSO, 2019.</w:t>
      </w:r>
    </w:p>
    <w:p w14:paraId="2AD70AEA" w14:textId="77777777" w:rsidR="00E70173" w:rsidRPr="00E70173" w:rsidRDefault="00E70173" w:rsidP="00E70173">
      <w:pPr>
        <w:widowControl w:val="0"/>
        <w:autoSpaceDE w:val="0"/>
        <w:autoSpaceDN w:val="0"/>
        <w:adjustRightInd w:val="0"/>
        <w:ind w:left="640" w:hanging="640"/>
        <w:rPr>
          <w:rFonts w:cs="Arial"/>
          <w:noProof/>
          <w:szCs w:val="24"/>
        </w:rPr>
      </w:pPr>
      <w:r w:rsidRPr="00E70173">
        <w:rPr>
          <w:rFonts w:cs="Arial"/>
          <w:noProof/>
          <w:szCs w:val="24"/>
        </w:rPr>
        <w:t>[17]</w:t>
      </w:r>
      <w:r w:rsidRPr="00E70173">
        <w:rPr>
          <w:rFonts w:cs="Arial"/>
          <w:noProof/>
          <w:szCs w:val="24"/>
        </w:rPr>
        <w:tab/>
        <w:t>B. Sony and L. Borges, “Comparison of COBIT 5 and ITIL V3 using Semantic Analysis,” 2018.</w:t>
      </w:r>
    </w:p>
    <w:p w14:paraId="16CA6CDB" w14:textId="77777777" w:rsidR="00E70173" w:rsidRPr="00E70173" w:rsidRDefault="00E70173" w:rsidP="00E70173">
      <w:pPr>
        <w:widowControl w:val="0"/>
        <w:autoSpaceDE w:val="0"/>
        <w:autoSpaceDN w:val="0"/>
        <w:adjustRightInd w:val="0"/>
        <w:ind w:left="640" w:hanging="640"/>
        <w:rPr>
          <w:rFonts w:cs="Arial"/>
          <w:noProof/>
          <w:szCs w:val="24"/>
        </w:rPr>
      </w:pPr>
      <w:r w:rsidRPr="00E70173">
        <w:rPr>
          <w:rFonts w:cs="Arial"/>
          <w:noProof/>
          <w:szCs w:val="24"/>
        </w:rPr>
        <w:t>[18]</w:t>
      </w:r>
      <w:r w:rsidRPr="00E70173">
        <w:rPr>
          <w:rFonts w:cs="Arial"/>
          <w:noProof/>
          <w:szCs w:val="24"/>
        </w:rPr>
        <w:tab/>
        <w:t xml:space="preserve">J. L. Rubio and M. Arcilla, “How to Optimize the Implementation of ITIL through a Process Ordering Algorithm,” </w:t>
      </w:r>
      <w:r w:rsidRPr="00E70173">
        <w:rPr>
          <w:rFonts w:cs="Arial"/>
          <w:i/>
          <w:iCs/>
          <w:noProof/>
          <w:szCs w:val="24"/>
        </w:rPr>
        <w:t>Appl. Sci.</w:t>
      </w:r>
      <w:r w:rsidRPr="00E70173">
        <w:rPr>
          <w:rFonts w:cs="Arial"/>
          <w:noProof/>
          <w:szCs w:val="24"/>
        </w:rPr>
        <w:t>, vol. 10, no. 1, p. 34, Dec. 2019.</w:t>
      </w:r>
    </w:p>
    <w:p w14:paraId="6EBEC9B9" w14:textId="77777777" w:rsidR="00E70173" w:rsidRPr="00E70173" w:rsidRDefault="00E70173" w:rsidP="00E70173">
      <w:pPr>
        <w:widowControl w:val="0"/>
        <w:autoSpaceDE w:val="0"/>
        <w:autoSpaceDN w:val="0"/>
        <w:adjustRightInd w:val="0"/>
        <w:ind w:left="640" w:hanging="640"/>
        <w:rPr>
          <w:rFonts w:cs="Arial"/>
          <w:noProof/>
          <w:szCs w:val="24"/>
        </w:rPr>
      </w:pPr>
      <w:r w:rsidRPr="00E70173">
        <w:rPr>
          <w:rFonts w:cs="Arial"/>
          <w:noProof/>
          <w:szCs w:val="24"/>
        </w:rPr>
        <w:t>[19]</w:t>
      </w:r>
      <w:r w:rsidRPr="00E70173">
        <w:rPr>
          <w:rFonts w:cs="Arial"/>
          <w:noProof/>
          <w:szCs w:val="24"/>
        </w:rPr>
        <w:tab/>
        <w:t>“ITIL Certifications | AXELOS.” https://www.axelos.com/certifications/itil-certifications (accessed Nov. 08, 2020).</w:t>
      </w:r>
    </w:p>
    <w:p w14:paraId="284DB8F1" w14:textId="77777777" w:rsidR="00E70173" w:rsidRPr="00E70173" w:rsidRDefault="00E70173" w:rsidP="00E70173">
      <w:pPr>
        <w:widowControl w:val="0"/>
        <w:autoSpaceDE w:val="0"/>
        <w:autoSpaceDN w:val="0"/>
        <w:adjustRightInd w:val="0"/>
        <w:ind w:left="640" w:hanging="640"/>
        <w:rPr>
          <w:rFonts w:cs="Arial"/>
          <w:noProof/>
          <w:szCs w:val="24"/>
        </w:rPr>
      </w:pPr>
      <w:r w:rsidRPr="00E70173">
        <w:rPr>
          <w:rFonts w:cs="Arial"/>
          <w:noProof/>
          <w:szCs w:val="24"/>
        </w:rPr>
        <w:t>[20]</w:t>
      </w:r>
      <w:r w:rsidRPr="00E70173">
        <w:rPr>
          <w:rFonts w:cs="Arial"/>
          <w:noProof/>
          <w:szCs w:val="24"/>
        </w:rPr>
        <w:tab/>
        <w:t xml:space="preserve">R. Almeida, R. Lourinho, M. M. Da Silva, and R. Pereira, “A model for assessing COBIT 5 and ISO 27001 simultaneously,” </w:t>
      </w:r>
      <w:r w:rsidRPr="00E70173">
        <w:rPr>
          <w:rFonts w:cs="Arial"/>
          <w:i/>
          <w:iCs/>
          <w:noProof/>
          <w:szCs w:val="24"/>
        </w:rPr>
        <w:t>Proceeding - 2018 20th IEEE Int. Conf. Bus. Informatics, CBI 2018</w:t>
      </w:r>
      <w:r w:rsidRPr="00E70173">
        <w:rPr>
          <w:rFonts w:cs="Arial"/>
          <w:noProof/>
          <w:szCs w:val="24"/>
        </w:rPr>
        <w:t>, vol. 1, pp. 60–69, 2018.</w:t>
      </w:r>
    </w:p>
    <w:p w14:paraId="48BCBD68" w14:textId="77777777" w:rsidR="00E70173" w:rsidRPr="00E70173" w:rsidRDefault="00E70173" w:rsidP="00E70173">
      <w:pPr>
        <w:widowControl w:val="0"/>
        <w:autoSpaceDE w:val="0"/>
        <w:autoSpaceDN w:val="0"/>
        <w:adjustRightInd w:val="0"/>
        <w:ind w:left="640" w:hanging="640"/>
        <w:rPr>
          <w:rFonts w:cs="Arial"/>
          <w:noProof/>
          <w:szCs w:val="24"/>
        </w:rPr>
      </w:pPr>
      <w:r w:rsidRPr="00E70173">
        <w:rPr>
          <w:rFonts w:cs="Arial"/>
          <w:noProof/>
          <w:szCs w:val="24"/>
        </w:rPr>
        <w:t>[21]</w:t>
      </w:r>
      <w:r w:rsidRPr="00E70173">
        <w:rPr>
          <w:rFonts w:cs="Arial"/>
          <w:noProof/>
          <w:szCs w:val="24"/>
        </w:rPr>
        <w:tab/>
        <w:t xml:space="preserve">M. E. Whitman and H. J. Mattord, </w:t>
      </w:r>
      <w:r w:rsidRPr="00E70173">
        <w:rPr>
          <w:rFonts w:cs="Arial"/>
          <w:i/>
          <w:iCs/>
          <w:noProof/>
          <w:szCs w:val="24"/>
        </w:rPr>
        <w:t>Principles of Information Security</w:t>
      </w:r>
      <w:r w:rsidRPr="00E70173">
        <w:rPr>
          <w:rFonts w:cs="Arial"/>
          <w:noProof/>
          <w:szCs w:val="24"/>
        </w:rPr>
        <w:t>, 4th ed. Cengage Learning, 2017.</w:t>
      </w:r>
    </w:p>
    <w:p w14:paraId="0BBB200B" w14:textId="77777777" w:rsidR="00E70173" w:rsidRPr="00E70173" w:rsidRDefault="00E70173" w:rsidP="00E70173">
      <w:pPr>
        <w:widowControl w:val="0"/>
        <w:autoSpaceDE w:val="0"/>
        <w:autoSpaceDN w:val="0"/>
        <w:adjustRightInd w:val="0"/>
        <w:ind w:left="640" w:hanging="640"/>
        <w:rPr>
          <w:rFonts w:cs="Arial"/>
          <w:noProof/>
          <w:szCs w:val="24"/>
        </w:rPr>
      </w:pPr>
      <w:r w:rsidRPr="00E70173">
        <w:rPr>
          <w:rFonts w:cs="Arial"/>
          <w:noProof/>
          <w:szCs w:val="24"/>
        </w:rPr>
        <w:t>[22]</w:t>
      </w:r>
      <w:r w:rsidRPr="00E70173">
        <w:rPr>
          <w:rFonts w:cs="Arial"/>
          <w:noProof/>
          <w:szCs w:val="24"/>
        </w:rPr>
        <w:tab/>
        <w:t>“COBIT 5 Certification | Get COBIT 5 Certified | ISACA.” https://www.isaca.org/credentialing/cobit/cobit-5-certifcates (accessed Nov. 08, 2020).</w:t>
      </w:r>
    </w:p>
    <w:p w14:paraId="24C8F0A2" w14:textId="77777777" w:rsidR="00E70173" w:rsidRPr="00E70173" w:rsidRDefault="00E70173" w:rsidP="00E70173">
      <w:pPr>
        <w:widowControl w:val="0"/>
        <w:autoSpaceDE w:val="0"/>
        <w:autoSpaceDN w:val="0"/>
        <w:adjustRightInd w:val="0"/>
        <w:ind w:left="640" w:hanging="640"/>
        <w:rPr>
          <w:rFonts w:cs="Arial"/>
          <w:noProof/>
          <w:szCs w:val="24"/>
        </w:rPr>
      </w:pPr>
      <w:r w:rsidRPr="00E70173">
        <w:rPr>
          <w:rFonts w:cs="Arial"/>
          <w:noProof/>
          <w:szCs w:val="24"/>
        </w:rPr>
        <w:t>[23]</w:t>
      </w:r>
      <w:r w:rsidRPr="00E70173">
        <w:rPr>
          <w:rFonts w:cs="Arial"/>
          <w:noProof/>
          <w:szCs w:val="24"/>
        </w:rPr>
        <w:tab/>
        <w:t xml:space="preserve">V. Monev, “Organisational Information Security Maturity Assessment Based on ISO 27001 and ISO 27002,” </w:t>
      </w:r>
      <w:r w:rsidRPr="00E70173">
        <w:rPr>
          <w:rFonts w:cs="Arial"/>
          <w:i/>
          <w:iCs/>
          <w:noProof/>
          <w:szCs w:val="24"/>
        </w:rPr>
        <w:t>2020 34th Int. Conf. Inf. Technol. InfoTech 2020 - Proc.</w:t>
      </w:r>
      <w:r w:rsidRPr="00E70173">
        <w:rPr>
          <w:rFonts w:cs="Arial"/>
          <w:noProof/>
          <w:szCs w:val="24"/>
        </w:rPr>
        <w:t>, no. September, pp. 17–18, 2020.</w:t>
      </w:r>
    </w:p>
    <w:p w14:paraId="4BC437E4" w14:textId="77777777" w:rsidR="00E70173" w:rsidRPr="00E70173" w:rsidRDefault="00E70173" w:rsidP="00E70173">
      <w:pPr>
        <w:widowControl w:val="0"/>
        <w:autoSpaceDE w:val="0"/>
        <w:autoSpaceDN w:val="0"/>
        <w:adjustRightInd w:val="0"/>
        <w:ind w:left="640" w:hanging="640"/>
        <w:rPr>
          <w:rFonts w:cs="Arial"/>
          <w:noProof/>
          <w:szCs w:val="24"/>
        </w:rPr>
      </w:pPr>
      <w:r w:rsidRPr="00E70173">
        <w:rPr>
          <w:rFonts w:cs="Arial"/>
          <w:noProof/>
          <w:szCs w:val="24"/>
        </w:rPr>
        <w:t>[24]</w:t>
      </w:r>
      <w:r w:rsidRPr="00E70173">
        <w:rPr>
          <w:rFonts w:cs="Arial"/>
          <w:noProof/>
          <w:szCs w:val="24"/>
        </w:rPr>
        <w:tab/>
        <w:t xml:space="preserve">M. E. Whitman and H. J. Mattord, </w:t>
      </w:r>
      <w:r w:rsidRPr="00E70173">
        <w:rPr>
          <w:rFonts w:cs="Arial"/>
          <w:i/>
          <w:iCs/>
          <w:noProof/>
          <w:szCs w:val="24"/>
        </w:rPr>
        <w:t>Management of Information Security</w:t>
      </w:r>
      <w:r w:rsidRPr="00E70173">
        <w:rPr>
          <w:rFonts w:cs="Arial"/>
          <w:noProof/>
          <w:szCs w:val="24"/>
        </w:rPr>
        <w:t>, 6th ed. Cengage, 2018.</w:t>
      </w:r>
    </w:p>
    <w:p w14:paraId="41A0F2C8" w14:textId="77777777" w:rsidR="00E70173" w:rsidRPr="00E70173" w:rsidRDefault="00E70173" w:rsidP="00E70173">
      <w:pPr>
        <w:widowControl w:val="0"/>
        <w:autoSpaceDE w:val="0"/>
        <w:autoSpaceDN w:val="0"/>
        <w:adjustRightInd w:val="0"/>
        <w:ind w:left="640" w:hanging="640"/>
        <w:rPr>
          <w:rFonts w:cs="Arial"/>
          <w:noProof/>
          <w:szCs w:val="24"/>
        </w:rPr>
      </w:pPr>
      <w:r w:rsidRPr="00E70173">
        <w:rPr>
          <w:rFonts w:cs="Arial"/>
          <w:noProof/>
          <w:szCs w:val="24"/>
        </w:rPr>
        <w:t>[25]</w:t>
      </w:r>
      <w:r w:rsidRPr="00E70173">
        <w:rPr>
          <w:rFonts w:cs="Arial"/>
          <w:noProof/>
          <w:szCs w:val="24"/>
        </w:rPr>
        <w:tab/>
        <w:t xml:space="preserve">C. Hsu, T. Wang, and A. Lu, “The impact of ISO 27001 certification on </w:t>
      </w:r>
      <w:r w:rsidRPr="00E70173">
        <w:rPr>
          <w:rFonts w:cs="Arial"/>
          <w:noProof/>
          <w:szCs w:val="24"/>
        </w:rPr>
        <w:lastRenderedPageBreak/>
        <w:t xml:space="preserve">firm performance,” </w:t>
      </w:r>
      <w:r w:rsidRPr="00E70173">
        <w:rPr>
          <w:rFonts w:cs="Arial"/>
          <w:i/>
          <w:iCs/>
          <w:noProof/>
          <w:szCs w:val="24"/>
        </w:rPr>
        <w:t>Proc. Annu. Hawaii Int. Conf. Syst. Sci.</w:t>
      </w:r>
      <w:r w:rsidRPr="00E70173">
        <w:rPr>
          <w:rFonts w:cs="Arial"/>
          <w:noProof/>
          <w:szCs w:val="24"/>
        </w:rPr>
        <w:t>, vol. 2016-March, pp. 4842–4848, 2016.</w:t>
      </w:r>
    </w:p>
    <w:p w14:paraId="568EAB09" w14:textId="77777777" w:rsidR="00E70173" w:rsidRPr="00E70173" w:rsidRDefault="00E70173" w:rsidP="00E70173">
      <w:pPr>
        <w:widowControl w:val="0"/>
        <w:autoSpaceDE w:val="0"/>
        <w:autoSpaceDN w:val="0"/>
        <w:adjustRightInd w:val="0"/>
        <w:ind w:left="640" w:hanging="640"/>
        <w:rPr>
          <w:rFonts w:cs="Arial"/>
          <w:noProof/>
          <w:szCs w:val="24"/>
        </w:rPr>
      </w:pPr>
      <w:r w:rsidRPr="00E70173">
        <w:rPr>
          <w:rFonts w:cs="Arial"/>
          <w:noProof/>
          <w:szCs w:val="24"/>
        </w:rPr>
        <w:t>[26]</w:t>
      </w:r>
      <w:r w:rsidRPr="00E70173">
        <w:rPr>
          <w:rFonts w:cs="Arial"/>
          <w:noProof/>
          <w:szCs w:val="24"/>
        </w:rPr>
        <w:tab/>
        <w:t xml:space="preserve">I. M. Lopes, T. Guarda, and P. Oliveira, “How ISO 27001 Can Help Achieve GDPR Compliance,” </w:t>
      </w:r>
      <w:r w:rsidRPr="00E70173">
        <w:rPr>
          <w:rFonts w:cs="Arial"/>
          <w:i/>
          <w:iCs/>
          <w:noProof/>
          <w:szCs w:val="24"/>
        </w:rPr>
        <w:t>Iber. Conf. Inf. Syst. Technol. Cist.</w:t>
      </w:r>
      <w:r w:rsidRPr="00E70173">
        <w:rPr>
          <w:rFonts w:cs="Arial"/>
          <w:noProof/>
          <w:szCs w:val="24"/>
        </w:rPr>
        <w:t>, vol. 2019-June, no. June, pp. 1–6, 2019.</w:t>
      </w:r>
    </w:p>
    <w:p w14:paraId="3A4463F1" w14:textId="77777777" w:rsidR="00E70173" w:rsidRPr="00E70173" w:rsidRDefault="00E70173" w:rsidP="00E70173">
      <w:pPr>
        <w:widowControl w:val="0"/>
        <w:autoSpaceDE w:val="0"/>
        <w:autoSpaceDN w:val="0"/>
        <w:adjustRightInd w:val="0"/>
        <w:ind w:left="640" w:hanging="640"/>
        <w:rPr>
          <w:rFonts w:cs="Arial"/>
          <w:noProof/>
          <w:szCs w:val="24"/>
        </w:rPr>
      </w:pPr>
      <w:r w:rsidRPr="00E70173">
        <w:rPr>
          <w:rFonts w:cs="Arial"/>
          <w:noProof/>
          <w:szCs w:val="24"/>
        </w:rPr>
        <w:t>[27]</w:t>
      </w:r>
      <w:r w:rsidRPr="00E70173">
        <w:rPr>
          <w:rFonts w:cs="Arial"/>
          <w:noProof/>
          <w:szCs w:val="24"/>
        </w:rPr>
        <w:tab/>
        <w:t xml:space="preserve">P. P. Roy, “A High-Level Comparison between the NIST Cyber Security Framework and the ISO 27001 Information Security Standard,” in </w:t>
      </w:r>
      <w:r w:rsidRPr="00E70173">
        <w:rPr>
          <w:rFonts w:cs="Arial"/>
          <w:i/>
          <w:iCs/>
          <w:noProof/>
          <w:szCs w:val="24"/>
        </w:rPr>
        <w:t>2020 National Conference on Emerging Trends on Sustainable Technology and Engineering Applications (NCETSTEA)</w:t>
      </w:r>
      <w:r w:rsidRPr="00E70173">
        <w:rPr>
          <w:rFonts w:cs="Arial"/>
          <w:noProof/>
          <w:szCs w:val="24"/>
        </w:rPr>
        <w:t>, Feb. 2020, pp. 1–3.</w:t>
      </w:r>
    </w:p>
    <w:p w14:paraId="6CBAEF10" w14:textId="77777777" w:rsidR="00E70173" w:rsidRPr="00E70173" w:rsidRDefault="00E70173" w:rsidP="00E70173">
      <w:pPr>
        <w:widowControl w:val="0"/>
        <w:autoSpaceDE w:val="0"/>
        <w:autoSpaceDN w:val="0"/>
        <w:adjustRightInd w:val="0"/>
        <w:ind w:left="640" w:hanging="640"/>
        <w:rPr>
          <w:rFonts w:cs="Arial"/>
          <w:noProof/>
          <w:szCs w:val="24"/>
        </w:rPr>
      </w:pPr>
      <w:r w:rsidRPr="00E70173">
        <w:rPr>
          <w:rFonts w:cs="Arial"/>
          <w:noProof/>
          <w:szCs w:val="24"/>
        </w:rPr>
        <w:t>[28]</w:t>
      </w:r>
      <w:r w:rsidRPr="00E70173">
        <w:rPr>
          <w:rFonts w:cs="Arial"/>
          <w:noProof/>
          <w:szCs w:val="24"/>
        </w:rPr>
        <w:tab/>
        <w:t xml:space="preserve">J. Webb and D. Hume, “Campus IoT collaboration and governance using the NIST cybersecurity framework,” </w:t>
      </w:r>
      <w:r w:rsidRPr="00E70173">
        <w:rPr>
          <w:rFonts w:cs="Arial"/>
          <w:i/>
          <w:iCs/>
          <w:noProof/>
          <w:szCs w:val="24"/>
        </w:rPr>
        <w:t>IET Conf. Publ.</w:t>
      </w:r>
      <w:r w:rsidRPr="00E70173">
        <w:rPr>
          <w:rFonts w:cs="Arial"/>
          <w:noProof/>
          <w:szCs w:val="24"/>
        </w:rPr>
        <w:t>, vol. 2018, no. CP740, pp. 1–7, 2018.</w:t>
      </w:r>
    </w:p>
    <w:p w14:paraId="5A7222D6" w14:textId="77777777" w:rsidR="00E70173" w:rsidRPr="00E70173" w:rsidRDefault="00E70173" w:rsidP="00E70173">
      <w:pPr>
        <w:widowControl w:val="0"/>
        <w:autoSpaceDE w:val="0"/>
        <w:autoSpaceDN w:val="0"/>
        <w:adjustRightInd w:val="0"/>
        <w:ind w:left="640" w:hanging="640"/>
        <w:rPr>
          <w:rFonts w:cs="Arial"/>
          <w:noProof/>
          <w:szCs w:val="24"/>
        </w:rPr>
      </w:pPr>
      <w:r w:rsidRPr="00E70173">
        <w:rPr>
          <w:rFonts w:cs="Arial"/>
          <w:noProof/>
          <w:szCs w:val="24"/>
        </w:rPr>
        <w:t>[29]</w:t>
      </w:r>
      <w:r w:rsidRPr="00E70173">
        <w:rPr>
          <w:rFonts w:cs="Arial"/>
          <w:noProof/>
          <w:szCs w:val="24"/>
        </w:rPr>
        <w:tab/>
        <w:t xml:space="preserve">A. Belalcazar, M. Ron, J. Diaz, and L. Molinari, “Towards a Strategic Resilience of Applications Through the NIST Cybersecurity Framework and the Strategic Alignment Model (SAM),” </w:t>
      </w:r>
      <w:r w:rsidRPr="00E70173">
        <w:rPr>
          <w:rFonts w:cs="Arial"/>
          <w:i/>
          <w:iCs/>
          <w:noProof/>
          <w:szCs w:val="24"/>
        </w:rPr>
        <w:t>Proc. - 2017 Int. Conf. Inf. Syst. Comput. Sci. INCISCOS 2017</w:t>
      </w:r>
      <w:r w:rsidRPr="00E70173">
        <w:rPr>
          <w:rFonts w:cs="Arial"/>
          <w:noProof/>
          <w:szCs w:val="24"/>
        </w:rPr>
        <w:t>, vol. 2017-Novem, pp. 181–187, 2018.</w:t>
      </w:r>
    </w:p>
    <w:p w14:paraId="67AF467A" w14:textId="77777777" w:rsidR="00E70173" w:rsidRPr="00E70173" w:rsidRDefault="00E70173" w:rsidP="00E70173">
      <w:pPr>
        <w:widowControl w:val="0"/>
        <w:autoSpaceDE w:val="0"/>
        <w:autoSpaceDN w:val="0"/>
        <w:adjustRightInd w:val="0"/>
        <w:ind w:left="640" w:hanging="640"/>
        <w:rPr>
          <w:rFonts w:cs="Arial"/>
          <w:noProof/>
          <w:szCs w:val="24"/>
        </w:rPr>
      </w:pPr>
      <w:r w:rsidRPr="00E70173">
        <w:rPr>
          <w:rFonts w:cs="Arial"/>
          <w:noProof/>
          <w:szCs w:val="24"/>
        </w:rPr>
        <w:t>[30]</w:t>
      </w:r>
      <w:r w:rsidRPr="00E70173">
        <w:rPr>
          <w:rFonts w:cs="Arial"/>
          <w:noProof/>
          <w:szCs w:val="24"/>
        </w:rPr>
        <w:tab/>
        <w:t xml:space="preserve">M. Chang, R. Kuhn, and T. Weil, “Cyberthreats and Security,” </w:t>
      </w:r>
      <w:r w:rsidRPr="00E70173">
        <w:rPr>
          <w:rFonts w:cs="Arial"/>
          <w:i/>
          <w:iCs/>
          <w:noProof/>
          <w:szCs w:val="24"/>
        </w:rPr>
        <w:t>IT Prof.</w:t>
      </w:r>
      <w:r w:rsidRPr="00E70173">
        <w:rPr>
          <w:rFonts w:cs="Arial"/>
          <w:noProof/>
          <w:szCs w:val="24"/>
        </w:rPr>
        <w:t>, vol. 20, no. 3, pp. 20–22, May 2018.</w:t>
      </w:r>
    </w:p>
    <w:p w14:paraId="4A2FB540" w14:textId="77777777" w:rsidR="00E70173" w:rsidRPr="00E70173" w:rsidRDefault="00E70173" w:rsidP="00E70173">
      <w:pPr>
        <w:widowControl w:val="0"/>
        <w:autoSpaceDE w:val="0"/>
        <w:autoSpaceDN w:val="0"/>
        <w:adjustRightInd w:val="0"/>
        <w:ind w:left="640" w:hanging="640"/>
        <w:rPr>
          <w:rFonts w:cs="Arial"/>
          <w:noProof/>
          <w:szCs w:val="24"/>
        </w:rPr>
      </w:pPr>
      <w:r w:rsidRPr="00E70173">
        <w:rPr>
          <w:rFonts w:cs="Arial"/>
          <w:noProof/>
          <w:szCs w:val="24"/>
        </w:rPr>
        <w:t>[31]</w:t>
      </w:r>
      <w:r w:rsidRPr="00E70173">
        <w:rPr>
          <w:rFonts w:cs="Arial"/>
          <w:noProof/>
          <w:szCs w:val="24"/>
        </w:rPr>
        <w:tab/>
        <w:t xml:space="preserve">N. Teodoro, L. Gonçalves, and C. Serrão, “NIST cybersecurity framework compliance: A generic model for dynamic assessment and predictive requirements,” </w:t>
      </w:r>
      <w:r w:rsidRPr="00E70173">
        <w:rPr>
          <w:rFonts w:cs="Arial"/>
          <w:i/>
          <w:iCs/>
          <w:noProof/>
          <w:szCs w:val="24"/>
        </w:rPr>
        <w:t>Proc. - 14th IEEE Int. Conf. Trust. Secur. Priv. Comput. Commun. Trust. 2015</w:t>
      </w:r>
      <w:r w:rsidRPr="00E70173">
        <w:rPr>
          <w:rFonts w:cs="Arial"/>
          <w:noProof/>
          <w:szCs w:val="24"/>
        </w:rPr>
        <w:t>, vol. 1, pp. 418–425, 2015.</w:t>
      </w:r>
    </w:p>
    <w:p w14:paraId="2349268D" w14:textId="77777777" w:rsidR="00E70173" w:rsidRPr="00E70173" w:rsidRDefault="00E70173" w:rsidP="00E70173">
      <w:pPr>
        <w:widowControl w:val="0"/>
        <w:autoSpaceDE w:val="0"/>
        <w:autoSpaceDN w:val="0"/>
        <w:adjustRightInd w:val="0"/>
        <w:ind w:left="640" w:hanging="640"/>
        <w:rPr>
          <w:rFonts w:cs="Arial"/>
          <w:noProof/>
          <w:szCs w:val="24"/>
        </w:rPr>
      </w:pPr>
      <w:r w:rsidRPr="00E70173">
        <w:rPr>
          <w:rFonts w:cs="Arial"/>
          <w:noProof/>
          <w:szCs w:val="24"/>
        </w:rPr>
        <w:t>[32]</w:t>
      </w:r>
      <w:r w:rsidRPr="00E70173">
        <w:rPr>
          <w:rFonts w:cs="Arial"/>
          <w:noProof/>
          <w:szCs w:val="24"/>
        </w:rPr>
        <w:tab/>
        <w:t xml:space="preserve">M. Barrett, “Framework for improving critical infrastructure cybersecurity,” </w:t>
      </w:r>
      <w:r w:rsidRPr="00E70173">
        <w:rPr>
          <w:rFonts w:cs="Arial"/>
          <w:i/>
          <w:iCs/>
          <w:noProof/>
          <w:szCs w:val="24"/>
        </w:rPr>
        <w:t>Proc. Annu. ISA Anal. Div. Symp.</w:t>
      </w:r>
      <w:r w:rsidRPr="00E70173">
        <w:rPr>
          <w:rFonts w:cs="Arial"/>
          <w:noProof/>
          <w:szCs w:val="24"/>
        </w:rPr>
        <w:t>, vol. 535, pp. 9–25, 2018.</w:t>
      </w:r>
    </w:p>
    <w:p w14:paraId="4858C1F1" w14:textId="77777777" w:rsidR="00E70173" w:rsidRPr="00E70173" w:rsidRDefault="00E70173" w:rsidP="00E70173">
      <w:pPr>
        <w:widowControl w:val="0"/>
        <w:autoSpaceDE w:val="0"/>
        <w:autoSpaceDN w:val="0"/>
        <w:adjustRightInd w:val="0"/>
        <w:ind w:left="640" w:hanging="640"/>
        <w:rPr>
          <w:rFonts w:cs="Arial"/>
          <w:noProof/>
          <w:szCs w:val="24"/>
        </w:rPr>
      </w:pPr>
      <w:r w:rsidRPr="00E70173">
        <w:rPr>
          <w:rFonts w:cs="Arial"/>
          <w:noProof/>
          <w:szCs w:val="24"/>
        </w:rPr>
        <w:t>[33]</w:t>
      </w:r>
      <w:r w:rsidRPr="00E70173">
        <w:rPr>
          <w:rFonts w:cs="Arial"/>
          <w:noProof/>
          <w:szCs w:val="24"/>
        </w:rPr>
        <w:tab/>
        <w:t xml:space="preserve">L. Tekeni, R. Botha, and K. Thomson, “An Overview of Access Control Practices : Guidance from ITIL , COBIT 5 and ISO / IEC,” in </w:t>
      </w:r>
      <w:r w:rsidRPr="00E70173">
        <w:rPr>
          <w:rFonts w:cs="Arial"/>
          <w:i/>
          <w:iCs/>
          <w:noProof/>
          <w:szCs w:val="24"/>
        </w:rPr>
        <w:t>Information Institute Conferences, Las Vegas</w:t>
      </w:r>
      <w:r w:rsidRPr="00E70173">
        <w:rPr>
          <w:rFonts w:cs="Arial"/>
          <w:noProof/>
          <w:szCs w:val="24"/>
        </w:rPr>
        <w:t>, 2016, pp. 1–11.</w:t>
      </w:r>
    </w:p>
    <w:p w14:paraId="101528C6" w14:textId="77777777" w:rsidR="00E70173" w:rsidRPr="00E70173" w:rsidRDefault="00E70173" w:rsidP="00E70173">
      <w:pPr>
        <w:widowControl w:val="0"/>
        <w:autoSpaceDE w:val="0"/>
        <w:autoSpaceDN w:val="0"/>
        <w:adjustRightInd w:val="0"/>
        <w:ind w:left="640" w:hanging="640"/>
        <w:rPr>
          <w:rFonts w:cs="Arial"/>
          <w:noProof/>
        </w:rPr>
      </w:pPr>
      <w:r w:rsidRPr="00E70173">
        <w:rPr>
          <w:rFonts w:cs="Arial"/>
          <w:noProof/>
          <w:szCs w:val="24"/>
        </w:rPr>
        <w:t>[34]</w:t>
      </w:r>
      <w:r w:rsidRPr="00E70173">
        <w:rPr>
          <w:rFonts w:cs="Arial"/>
          <w:noProof/>
          <w:szCs w:val="24"/>
        </w:rPr>
        <w:tab/>
        <w:t xml:space="preserve">D. Landoll, </w:t>
      </w:r>
      <w:r w:rsidRPr="00E70173">
        <w:rPr>
          <w:rFonts w:cs="Arial"/>
          <w:i/>
          <w:iCs/>
          <w:noProof/>
          <w:szCs w:val="24"/>
        </w:rPr>
        <w:t>Information Security Policies, Procedures, and Standards: A Practitioner’s Reference</w:t>
      </w:r>
      <w:r w:rsidRPr="00E70173">
        <w:rPr>
          <w:rFonts w:cs="Arial"/>
          <w:noProof/>
          <w:szCs w:val="24"/>
        </w:rPr>
        <w:t>, 1st ed. CRC Press, 2016.</w:t>
      </w:r>
    </w:p>
    <w:p w14:paraId="23B176A2" w14:textId="0E51F962" w:rsidR="004E05DD" w:rsidRDefault="006B041E" w:rsidP="00C26F96">
      <w:r w:rsidRPr="009A3676">
        <w:fldChar w:fldCharType="end"/>
      </w:r>
    </w:p>
    <w:p w14:paraId="3FE2CB75" w14:textId="77777777" w:rsidR="00C623A2" w:rsidRDefault="00C623A2" w:rsidP="00C26F96"/>
    <w:p w14:paraId="038C3692" w14:textId="77777777" w:rsidR="00C623A2" w:rsidRDefault="00C623A2" w:rsidP="00C26F96">
      <w:pPr>
        <w:rPr>
          <w:rFonts w:eastAsiaTheme="majorEastAsia" w:cstheme="majorBidi"/>
          <w:b/>
          <w:sz w:val="32"/>
          <w:szCs w:val="32"/>
        </w:rPr>
      </w:pPr>
      <w:r>
        <w:br w:type="page"/>
      </w:r>
    </w:p>
    <w:p w14:paraId="4757A422" w14:textId="04C8B62C" w:rsidR="000A5DD7" w:rsidRDefault="000A5DD7" w:rsidP="004E05DD">
      <w:pPr>
        <w:pStyle w:val="Heading1"/>
        <w:numPr>
          <w:ilvl w:val="0"/>
          <w:numId w:val="0"/>
        </w:numPr>
      </w:pPr>
      <w:bookmarkStart w:id="15" w:name="_Toc57907787"/>
      <w:r>
        <w:lastRenderedPageBreak/>
        <w:t xml:space="preserve">Appendix </w:t>
      </w:r>
      <w:r w:rsidR="00AD0A48">
        <w:t>A</w:t>
      </w:r>
      <w:r w:rsidR="000F31BB">
        <w:t xml:space="preserve"> Test Cases</w:t>
      </w:r>
      <w:bookmarkEnd w:id="15"/>
    </w:p>
    <w:p w14:paraId="3AB01FE0" w14:textId="2450C1BA" w:rsidR="00CD0ADA" w:rsidRDefault="00CD0ADA" w:rsidP="00CD0ADA">
      <w:r>
        <w:t>This appendix comprises of all of the test cases for the relevant object files.</w:t>
      </w:r>
    </w:p>
    <w:p w14:paraId="4924BA03" w14:textId="77777777" w:rsidR="00CD0ADA" w:rsidRPr="00CD0ADA" w:rsidRDefault="00CD0ADA" w:rsidP="00CD0ADA"/>
    <w:p w14:paraId="11C588F5" w14:textId="3C4B3FD5" w:rsidR="001D1E6D" w:rsidRDefault="001D1E6D" w:rsidP="001D1E6D">
      <w:pPr>
        <w:pStyle w:val="Heading2"/>
        <w:numPr>
          <w:ilvl w:val="0"/>
          <w:numId w:val="0"/>
        </w:numPr>
      </w:pPr>
      <w:bookmarkStart w:id="16" w:name="_Toc57907788"/>
      <w:r>
        <w:t>Appendix A</w:t>
      </w:r>
      <w:r w:rsidR="00E752E1">
        <w:t>.</w:t>
      </w:r>
      <w:r>
        <w:t>1</w:t>
      </w:r>
      <w:r w:rsidR="00FF3F7E">
        <w:t xml:space="preserve"> HostAP Test Cases</w:t>
      </w:r>
      <w:bookmarkEnd w:id="16"/>
    </w:p>
    <w:p w14:paraId="12846768" w14:textId="7790A2AE" w:rsidR="00B766D4" w:rsidRPr="00450C14" w:rsidRDefault="00F7332C" w:rsidP="00E432A4">
      <w:pPr>
        <w:rPr>
          <w:rFonts w:cs="Arial"/>
          <w:szCs w:val="24"/>
        </w:rPr>
      </w:pPr>
      <w:r>
        <w:t xml:space="preserve">These are the test cases for the HostAP to ensure the AP is created correctly </w:t>
      </w:r>
    </w:p>
    <w:sectPr w:rsidR="00B766D4" w:rsidRPr="00450C14" w:rsidSect="00E25A28">
      <w:footerReference w:type="first" r:id="rId21"/>
      <w:pgSz w:w="11907" w:h="16840" w:code="9"/>
      <w:pgMar w:top="1134" w:right="1418" w:bottom="851" w:left="1985" w:header="709" w:footer="1021"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82AF268" w14:textId="77777777" w:rsidR="0073014C" w:rsidRDefault="0073014C">
      <w:pPr>
        <w:spacing w:line="240" w:lineRule="auto"/>
      </w:pPr>
      <w:r>
        <w:separator/>
      </w:r>
    </w:p>
  </w:endnote>
  <w:endnote w:type="continuationSeparator" w:id="0">
    <w:p w14:paraId="1B9C802F" w14:textId="77777777" w:rsidR="0073014C" w:rsidRDefault="0073014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94847273"/>
      <w:docPartObj>
        <w:docPartGallery w:val="Page Numbers (Bottom of Page)"/>
        <w:docPartUnique/>
      </w:docPartObj>
    </w:sdtPr>
    <w:sdtEndPr>
      <w:rPr>
        <w:color w:val="7F7F7F" w:themeColor="background1" w:themeShade="7F"/>
        <w:spacing w:val="60"/>
      </w:rPr>
    </w:sdtEndPr>
    <w:sdtContent>
      <w:p w14:paraId="3FFD8EA1" w14:textId="69C65C62" w:rsidR="00EF0066" w:rsidRPr="007E1671" w:rsidRDefault="00EF0066" w:rsidP="007E1671">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2A0080">
          <w:rPr>
            <w:b/>
            <w:bCs/>
            <w:noProof/>
          </w:rPr>
          <w:t>30</w:t>
        </w:r>
        <w:r>
          <w:rPr>
            <w:b/>
            <w:bCs/>
            <w:noProof/>
          </w:rPr>
          <w:fldChar w:fldCharType="end"/>
        </w:r>
        <w:r>
          <w:rPr>
            <w:b/>
            <w:bCs/>
          </w:rPr>
          <w:t xml:space="preserve"> | </w:t>
        </w:r>
        <w:r>
          <w:rPr>
            <w:color w:val="7F7F7F" w:themeColor="background1" w:themeShade="7F"/>
            <w:spacing w:val="60"/>
          </w:rPr>
          <w:t>Page</w:t>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01746206"/>
      <w:docPartObj>
        <w:docPartGallery w:val="Page Numbers (Bottom of Page)"/>
        <w:docPartUnique/>
      </w:docPartObj>
    </w:sdtPr>
    <w:sdtEndPr>
      <w:rPr>
        <w:color w:val="7F7F7F" w:themeColor="background1" w:themeShade="7F"/>
        <w:spacing w:val="60"/>
      </w:rPr>
    </w:sdtEndPr>
    <w:sdtContent>
      <w:p w14:paraId="1E9DBBEB" w14:textId="06C41282" w:rsidR="00EF0066" w:rsidRDefault="00EF0066">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312816">
          <w:rPr>
            <w:b/>
            <w:bCs/>
            <w:noProof/>
          </w:rPr>
          <w:t>i</w:t>
        </w:r>
        <w:r>
          <w:rPr>
            <w:b/>
            <w:bCs/>
            <w:noProof/>
          </w:rPr>
          <w:fldChar w:fldCharType="end"/>
        </w:r>
        <w:r>
          <w:rPr>
            <w:b/>
            <w:bCs/>
          </w:rPr>
          <w:t xml:space="preserve"> | </w:t>
        </w:r>
        <w:r>
          <w:rPr>
            <w:color w:val="7F7F7F" w:themeColor="background1" w:themeShade="7F"/>
            <w:spacing w:val="60"/>
          </w:rPr>
          <w:t>Page</w:t>
        </w:r>
      </w:p>
    </w:sdtContent>
  </w:sdt>
  <w:p w14:paraId="0CC8E09C" w14:textId="77777777" w:rsidR="00EF0066" w:rsidRDefault="00EF006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6094513"/>
      <w:docPartObj>
        <w:docPartGallery w:val="Page Numbers (Bottom of Page)"/>
        <w:docPartUnique/>
      </w:docPartObj>
    </w:sdtPr>
    <w:sdtEndPr>
      <w:rPr>
        <w:color w:val="7F7F7F" w:themeColor="background1" w:themeShade="7F"/>
        <w:spacing w:val="60"/>
      </w:rPr>
    </w:sdtEndPr>
    <w:sdtContent>
      <w:p w14:paraId="1CB623EA" w14:textId="56A65E1D" w:rsidR="00EF0066" w:rsidRDefault="00EF0066">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312816">
          <w:rPr>
            <w:b/>
            <w:bCs/>
            <w:noProof/>
          </w:rPr>
          <w:t>1</w:t>
        </w:r>
        <w:r>
          <w:rPr>
            <w:b/>
            <w:bCs/>
            <w:noProof/>
          </w:rPr>
          <w:fldChar w:fldCharType="end"/>
        </w:r>
        <w:r>
          <w:rPr>
            <w:b/>
            <w:bCs/>
          </w:rPr>
          <w:t xml:space="preserve"> | </w:t>
        </w:r>
        <w:r>
          <w:rPr>
            <w:color w:val="7F7F7F" w:themeColor="background1" w:themeShade="7F"/>
            <w:spacing w:val="60"/>
          </w:rPr>
          <w:t>Page</w:t>
        </w:r>
      </w:p>
    </w:sdtContent>
  </w:sdt>
  <w:p w14:paraId="128C80F5" w14:textId="77777777" w:rsidR="00EF0066" w:rsidRDefault="00EF00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8A2E68" w14:textId="77777777" w:rsidR="0073014C" w:rsidRDefault="0073014C">
      <w:pPr>
        <w:spacing w:line="240" w:lineRule="auto"/>
      </w:pPr>
      <w:r>
        <w:separator/>
      </w:r>
    </w:p>
  </w:footnote>
  <w:footnote w:type="continuationSeparator" w:id="0">
    <w:p w14:paraId="537730A0" w14:textId="77777777" w:rsidR="0073014C" w:rsidRDefault="0073014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402AB4"/>
    <w:multiLevelType w:val="multilevel"/>
    <w:tmpl w:val="1312DE22"/>
    <w:styleLink w:val="Headings"/>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080" w:hanging="360"/>
      </w:pPr>
      <w:rPr>
        <w:rFonts w:hint="default"/>
      </w:rPr>
    </w:lvl>
    <w:lvl w:ilvl="3">
      <w:start w:val="1"/>
      <w:numFmt w:val="decimal"/>
      <w:lvlText w:val="%1.%2.%3.%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06B041E8"/>
    <w:multiLevelType w:val="hybridMultilevel"/>
    <w:tmpl w:val="4A0AD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02359D"/>
    <w:multiLevelType w:val="hybridMultilevel"/>
    <w:tmpl w:val="F85ED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3A5739"/>
    <w:multiLevelType w:val="hybridMultilevel"/>
    <w:tmpl w:val="C0BEC1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B8702E"/>
    <w:multiLevelType w:val="hybridMultilevel"/>
    <w:tmpl w:val="337EC19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AD25F9"/>
    <w:multiLevelType w:val="hybridMultilevel"/>
    <w:tmpl w:val="F41C5B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C27AB6"/>
    <w:multiLevelType w:val="hybridMultilevel"/>
    <w:tmpl w:val="E38292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EE71D5"/>
    <w:multiLevelType w:val="hybridMultilevel"/>
    <w:tmpl w:val="8A84603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9502E9"/>
    <w:multiLevelType w:val="hybridMultilevel"/>
    <w:tmpl w:val="8E283B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11C131A"/>
    <w:multiLevelType w:val="multilevel"/>
    <w:tmpl w:val="FAC0304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0" w15:restartNumberingAfterBreak="0">
    <w:nsid w:val="4AE86280"/>
    <w:multiLevelType w:val="hybridMultilevel"/>
    <w:tmpl w:val="2208CD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E8464A4"/>
    <w:multiLevelType w:val="hybridMultilevel"/>
    <w:tmpl w:val="4478437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7C74FF5"/>
    <w:multiLevelType w:val="hybridMultilevel"/>
    <w:tmpl w:val="3E5A6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F23953"/>
    <w:multiLevelType w:val="hybridMultilevel"/>
    <w:tmpl w:val="A3B282B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9"/>
  </w:num>
  <w:num w:numId="3">
    <w:abstractNumId w:val="12"/>
  </w:num>
  <w:num w:numId="4">
    <w:abstractNumId w:val="2"/>
  </w:num>
  <w:num w:numId="5">
    <w:abstractNumId w:val="1"/>
  </w:num>
  <w:num w:numId="6">
    <w:abstractNumId w:val="5"/>
  </w:num>
  <w:num w:numId="7">
    <w:abstractNumId w:val="6"/>
  </w:num>
  <w:num w:numId="8">
    <w:abstractNumId w:val="3"/>
  </w:num>
  <w:num w:numId="9">
    <w:abstractNumId w:val="10"/>
  </w:num>
  <w:num w:numId="10">
    <w:abstractNumId w:val="4"/>
  </w:num>
  <w:num w:numId="11">
    <w:abstractNumId w:val="13"/>
  </w:num>
  <w:num w:numId="12">
    <w:abstractNumId w:val="7"/>
  </w:num>
  <w:num w:numId="13">
    <w:abstractNumId w:val="11"/>
  </w:num>
  <w:num w:numId="14">
    <w:abstractNumId w:val="8"/>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59B"/>
    <w:rsid w:val="0000106F"/>
    <w:rsid w:val="00001213"/>
    <w:rsid w:val="0000133D"/>
    <w:rsid w:val="00001546"/>
    <w:rsid w:val="0000187F"/>
    <w:rsid w:val="00001BC1"/>
    <w:rsid w:val="000020DB"/>
    <w:rsid w:val="00002234"/>
    <w:rsid w:val="0000233A"/>
    <w:rsid w:val="000028C7"/>
    <w:rsid w:val="00002B37"/>
    <w:rsid w:val="000039B0"/>
    <w:rsid w:val="00004270"/>
    <w:rsid w:val="0000481E"/>
    <w:rsid w:val="00004863"/>
    <w:rsid w:val="00004A5B"/>
    <w:rsid w:val="00004B6A"/>
    <w:rsid w:val="00004C92"/>
    <w:rsid w:val="00004CF8"/>
    <w:rsid w:val="00004FAE"/>
    <w:rsid w:val="00005037"/>
    <w:rsid w:val="0000503B"/>
    <w:rsid w:val="000052F4"/>
    <w:rsid w:val="000054EA"/>
    <w:rsid w:val="00005603"/>
    <w:rsid w:val="000058CF"/>
    <w:rsid w:val="00005949"/>
    <w:rsid w:val="00005AAD"/>
    <w:rsid w:val="00006530"/>
    <w:rsid w:val="000066DF"/>
    <w:rsid w:val="00006979"/>
    <w:rsid w:val="00006F45"/>
    <w:rsid w:val="00006F55"/>
    <w:rsid w:val="00007228"/>
    <w:rsid w:val="0000722B"/>
    <w:rsid w:val="0000795F"/>
    <w:rsid w:val="00007A7F"/>
    <w:rsid w:val="00007ECA"/>
    <w:rsid w:val="00007EEB"/>
    <w:rsid w:val="00007FC7"/>
    <w:rsid w:val="000100C1"/>
    <w:rsid w:val="0001024F"/>
    <w:rsid w:val="000103A2"/>
    <w:rsid w:val="000113E9"/>
    <w:rsid w:val="000118C7"/>
    <w:rsid w:val="00011C39"/>
    <w:rsid w:val="00012146"/>
    <w:rsid w:val="000121C2"/>
    <w:rsid w:val="00012402"/>
    <w:rsid w:val="000124DD"/>
    <w:rsid w:val="00012860"/>
    <w:rsid w:val="0001316D"/>
    <w:rsid w:val="0001325E"/>
    <w:rsid w:val="00013381"/>
    <w:rsid w:val="00013642"/>
    <w:rsid w:val="000136C1"/>
    <w:rsid w:val="000139CC"/>
    <w:rsid w:val="000143D3"/>
    <w:rsid w:val="00014400"/>
    <w:rsid w:val="00014889"/>
    <w:rsid w:val="00014DB9"/>
    <w:rsid w:val="0001500A"/>
    <w:rsid w:val="00015335"/>
    <w:rsid w:val="000157B7"/>
    <w:rsid w:val="00015AC1"/>
    <w:rsid w:val="00015D4E"/>
    <w:rsid w:val="00015E7B"/>
    <w:rsid w:val="000167A1"/>
    <w:rsid w:val="00016A98"/>
    <w:rsid w:val="00016BEF"/>
    <w:rsid w:val="000170BA"/>
    <w:rsid w:val="00017138"/>
    <w:rsid w:val="00017263"/>
    <w:rsid w:val="00017A33"/>
    <w:rsid w:val="00017E9B"/>
    <w:rsid w:val="00020320"/>
    <w:rsid w:val="000206C5"/>
    <w:rsid w:val="000207F6"/>
    <w:rsid w:val="00020863"/>
    <w:rsid w:val="00020C38"/>
    <w:rsid w:val="000210BC"/>
    <w:rsid w:val="000210DF"/>
    <w:rsid w:val="0002174C"/>
    <w:rsid w:val="00021ADC"/>
    <w:rsid w:val="00021AFA"/>
    <w:rsid w:val="00021F56"/>
    <w:rsid w:val="0002202A"/>
    <w:rsid w:val="000222E6"/>
    <w:rsid w:val="00022437"/>
    <w:rsid w:val="00022A9A"/>
    <w:rsid w:val="00023686"/>
    <w:rsid w:val="00023ADF"/>
    <w:rsid w:val="00023C41"/>
    <w:rsid w:val="00024006"/>
    <w:rsid w:val="00024410"/>
    <w:rsid w:val="00024994"/>
    <w:rsid w:val="00024B02"/>
    <w:rsid w:val="0002509B"/>
    <w:rsid w:val="000251B3"/>
    <w:rsid w:val="00025A4A"/>
    <w:rsid w:val="00025B53"/>
    <w:rsid w:val="00026311"/>
    <w:rsid w:val="00026993"/>
    <w:rsid w:val="00026F20"/>
    <w:rsid w:val="00026FD9"/>
    <w:rsid w:val="00027255"/>
    <w:rsid w:val="000274B3"/>
    <w:rsid w:val="00027ACA"/>
    <w:rsid w:val="000300B5"/>
    <w:rsid w:val="0003041E"/>
    <w:rsid w:val="00030850"/>
    <w:rsid w:val="00030AB9"/>
    <w:rsid w:val="00030C4B"/>
    <w:rsid w:val="000312FC"/>
    <w:rsid w:val="00031382"/>
    <w:rsid w:val="00031DA3"/>
    <w:rsid w:val="00033938"/>
    <w:rsid w:val="000339B4"/>
    <w:rsid w:val="00033AB5"/>
    <w:rsid w:val="00033D29"/>
    <w:rsid w:val="000340A0"/>
    <w:rsid w:val="000345DE"/>
    <w:rsid w:val="000350CB"/>
    <w:rsid w:val="00035B73"/>
    <w:rsid w:val="00035CE9"/>
    <w:rsid w:val="000363E2"/>
    <w:rsid w:val="0003640A"/>
    <w:rsid w:val="00036963"/>
    <w:rsid w:val="00036AC2"/>
    <w:rsid w:val="00036BD8"/>
    <w:rsid w:val="00036F2C"/>
    <w:rsid w:val="000374F8"/>
    <w:rsid w:val="00037B40"/>
    <w:rsid w:val="00037B8E"/>
    <w:rsid w:val="00037C80"/>
    <w:rsid w:val="00040085"/>
    <w:rsid w:val="00040769"/>
    <w:rsid w:val="00040778"/>
    <w:rsid w:val="00040972"/>
    <w:rsid w:val="000409F2"/>
    <w:rsid w:val="00040B81"/>
    <w:rsid w:val="00040D92"/>
    <w:rsid w:val="000410C9"/>
    <w:rsid w:val="0004129E"/>
    <w:rsid w:val="000414B3"/>
    <w:rsid w:val="00041855"/>
    <w:rsid w:val="00041BE4"/>
    <w:rsid w:val="0004213C"/>
    <w:rsid w:val="00042160"/>
    <w:rsid w:val="00042242"/>
    <w:rsid w:val="000422AA"/>
    <w:rsid w:val="000422CC"/>
    <w:rsid w:val="00042336"/>
    <w:rsid w:val="00042770"/>
    <w:rsid w:val="0004334F"/>
    <w:rsid w:val="0004347C"/>
    <w:rsid w:val="00043532"/>
    <w:rsid w:val="00043C7A"/>
    <w:rsid w:val="00043F2E"/>
    <w:rsid w:val="00044190"/>
    <w:rsid w:val="0004446C"/>
    <w:rsid w:val="00045139"/>
    <w:rsid w:val="0004520D"/>
    <w:rsid w:val="000454E5"/>
    <w:rsid w:val="000457B6"/>
    <w:rsid w:val="0004657E"/>
    <w:rsid w:val="0005095F"/>
    <w:rsid w:val="00050CDB"/>
    <w:rsid w:val="00050EDA"/>
    <w:rsid w:val="00050F3D"/>
    <w:rsid w:val="00051817"/>
    <w:rsid w:val="00051D8F"/>
    <w:rsid w:val="000528F6"/>
    <w:rsid w:val="00052E54"/>
    <w:rsid w:val="000530EE"/>
    <w:rsid w:val="00053209"/>
    <w:rsid w:val="00053479"/>
    <w:rsid w:val="000536B6"/>
    <w:rsid w:val="000538D7"/>
    <w:rsid w:val="0005430F"/>
    <w:rsid w:val="00054311"/>
    <w:rsid w:val="000552D6"/>
    <w:rsid w:val="000555BF"/>
    <w:rsid w:val="00055A83"/>
    <w:rsid w:val="00055CF6"/>
    <w:rsid w:val="00055D77"/>
    <w:rsid w:val="00055F60"/>
    <w:rsid w:val="00056264"/>
    <w:rsid w:val="00056742"/>
    <w:rsid w:val="00056A45"/>
    <w:rsid w:val="00056BEB"/>
    <w:rsid w:val="00056E9B"/>
    <w:rsid w:val="0005713E"/>
    <w:rsid w:val="00057C0E"/>
    <w:rsid w:val="0006005E"/>
    <w:rsid w:val="0006008A"/>
    <w:rsid w:val="00060264"/>
    <w:rsid w:val="0006027A"/>
    <w:rsid w:val="000603E0"/>
    <w:rsid w:val="00060441"/>
    <w:rsid w:val="000604C6"/>
    <w:rsid w:val="00060566"/>
    <w:rsid w:val="0006086B"/>
    <w:rsid w:val="00060A37"/>
    <w:rsid w:val="00060BA0"/>
    <w:rsid w:val="0006104A"/>
    <w:rsid w:val="00061601"/>
    <w:rsid w:val="000619BB"/>
    <w:rsid w:val="00062391"/>
    <w:rsid w:val="00063804"/>
    <w:rsid w:val="00063EA3"/>
    <w:rsid w:val="00064DAF"/>
    <w:rsid w:val="00064E4E"/>
    <w:rsid w:val="0006583D"/>
    <w:rsid w:val="00066158"/>
    <w:rsid w:val="00066413"/>
    <w:rsid w:val="00066FAF"/>
    <w:rsid w:val="0006700D"/>
    <w:rsid w:val="000671D5"/>
    <w:rsid w:val="00067440"/>
    <w:rsid w:val="0006776A"/>
    <w:rsid w:val="00070C1D"/>
    <w:rsid w:val="00070C87"/>
    <w:rsid w:val="00070CEB"/>
    <w:rsid w:val="00070DBD"/>
    <w:rsid w:val="00070FB7"/>
    <w:rsid w:val="0007106F"/>
    <w:rsid w:val="00071130"/>
    <w:rsid w:val="000722C1"/>
    <w:rsid w:val="00072448"/>
    <w:rsid w:val="00072F68"/>
    <w:rsid w:val="00072F84"/>
    <w:rsid w:val="00073185"/>
    <w:rsid w:val="0007319C"/>
    <w:rsid w:val="00073329"/>
    <w:rsid w:val="00073655"/>
    <w:rsid w:val="00073C6A"/>
    <w:rsid w:val="00074521"/>
    <w:rsid w:val="00074895"/>
    <w:rsid w:val="00074999"/>
    <w:rsid w:val="00074F09"/>
    <w:rsid w:val="000753A4"/>
    <w:rsid w:val="00075A14"/>
    <w:rsid w:val="00075FA8"/>
    <w:rsid w:val="00076611"/>
    <w:rsid w:val="000772D9"/>
    <w:rsid w:val="00077526"/>
    <w:rsid w:val="0007763F"/>
    <w:rsid w:val="0007766B"/>
    <w:rsid w:val="00077E4B"/>
    <w:rsid w:val="00080183"/>
    <w:rsid w:val="00080507"/>
    <w:rsid w:val="000805FD"/>
    <w:rsid w:val="0008095C"/>
    <w:rsid w:val="00080BA0"/>
    <w:rsid w:val="00080BA8"/>
    <w:rsid w:val="000817CF"/>
    <w:rsid w:val="00081C83"/>
    <w:rsid w:val="000822F4"/>
    <w:rsid w:val="000824EE"/>
    <w:rsid w:val="00082636"/>
    <w:rsid w:val="00082859"/>
    <w:rsid w:val="00082C38"/>
    <w:rsid w:val="00082CA2"/>
    <w:rsid w:val="00082EF4"/>
    <w:rsid w:val="00083115"/>
    <w:rsid w:val="00083174"/>
    <w:rsid w:val="00083647"/>
    <w:rsid w:val="00084260"/>
    <w:rsid w:val="00084300"/>
    <w:rsid w:val="000845C8"/>
    <w:rsid w:val="0008487D"/>
    <w:rsid w:val="00085764"/>
    <w:rsid w:val="00085AE3"/>
    <w:rsid w:val="00085DB0"/>
    <w:rsid w:val="00085E31"/>
    <w:rsid w:val="00086173"/>
    <w:rsid w:val="00086B95"/>
    <w:rsid w:val="000872BB"/>
    <w:rsid w:val="00087416"/>
    <w:rsid w:val="00087667"/>
    <w:rsid w:val="00087749"/>
    <w:rsid w:val="00087787"/>
    <w:rsid w:val="0008798F"/>
    <w:rsid w:val="00090234"/>
    <w:rsid w:val="00090274"/>
    <w:rsid w:val="00090517"/>
    <w:rsid w:val="000908DD"/>
    <w:rsid w:val="00090AD3"/>
    <w:rsid w:val="00090BC7"/>
    <w:rsid w:val="00090CAC"/>
    <w:rsid w:val="00090DD4"/>
    <w:rsid w:val="00091066"/>
    <w:rsid w:val="000914DB"/>
    <w:rsid w:val="00091519"/>
    <w:rsid w:val="000917A4"/>
    <w:rsid w:val="000919A0"/>
    <w:rsid w:val="00091A46"/>
    <w:rsid w:val="00091D1B"/>
    <w:rsid w:val="00091F8F"/>
    <w:rsid w:val="000921A9"/>
    <w:rsid w:val="000924E1"/>
    <w:rsid w:val="0009261B"/>
    <w:rsid w:val="000928DF"/>
    <w:rsid w:val="00093349"/>
    <w:rsid w:val="0009348A"/>
    <w:rsid w:val="00093733"/>
    <w:rsid w:val="000937F2"/>
    <w:rsid w:val="00093C86"/>
    <w:rsid w:val="00093D7E"/>
    <w:rsid w:val="0009449E"/>
    <w:rsid w:val="00094FEC"/>
    <w:rsid w:val="000953EC"/>
    <w:rsid w:val="00095445"/>
    <w:rsid w:val="00095755"/>
    <w:rsid w:val="00095B06"/>
    <w:rsid w:val="00095B0A"/>
    <w:rsid w:val="00095D81"/>
    <w:rsid w:val="00096FDA"/>
    <w:rsid w:val="00097316"/>
    <w:rsid w:val="000973EC"/>
    <w:rsid w:val="0009770D"/>
    <w:rsid w:val="00097A84"/>
    <w:rsid w:val="00097AB9"/>
    <w:rsid w:val="00097B6F"/>
    <w:rsid w:val="00097CB4"/>
    <w:rsid w:val="000A0004"/>
    <w:rsid w:val="000A00E9"/>
    <w:rsid w:val="000A03E4"/>
    <w:rsid w:val="000A0922"/>
    <w:rsid w:val="000A0AC9"/>
    <w:rsid w:val="000A0BE4"/>
    <w:rsid w:val="000A1435"/>
    <w:rsid w:val="000A15A9"/>
    <w:rsid w:val="000A15AF"/>
    <w:rsid w:val="000A21E0"/>
    <w:rsid w:val="000A23AD"/>
    <w:rsid w:val="000A23C7"/>
    <w:rsid w:val="000A298E"/>
    <w:rsid w:val="000A2E76"/>
    <w:rsid w:val="000A3015"/>
    <w:rsid w:val="000A3520"/>
    <w:rsid w:val="000A360A"/>
    <w:rsid w:val="000A3877"/>
    <w:rsid w:val="000A3D0C"/>
    <w:rsid w:val="000A3F82"/>
    <w:rsid w:val="000A41DB"/>
    <w:rsid w:val="000A446F"/>
    <w:rsid w:val="000A48F7"/>
    <w:rsid w:val="000A49F0"/>
    <w:rsid w:val="000A4B6B"/>
    <w:rsid w:val="000A4E61"/>
    <w:rsid w:val="000A4E9C"/>
    <w:rsid w:val="000A5269"/>
    <w:rsid w:val="000A569D"/>
    <w:rsid w:val="000A57DC"/>
    <w:rsid w:val="000A5A22"/>
    <w:rsid w:val="000A5A93"/>
    <w:rsid w:val="000A5C7C"/>
    <w:rsid w:val="000A5DD7"/>
    <w:rsid w:val="000A6BD9"/>
    <w:rsid w:val="000A6FB7"/>
    <w:rsid w:val="000A7522"/>
    <w:rsid w:val="000A757C"/>
    <w:rsid w:val="000A7B26"/>
    <w:rsid w:val="000B04C0"/>
    <w:rsid w:val="000B0785"/>
    <w:rsid w:val="000B0823"/>
    <w:rsid w:val="000B08B5"/>
    <w:rsid w:val="000B0913"/>
    <w:rsid w:val="000B0A37"/>
    <w:rsid w:val="000B0C5E"/>
    <w:rsid w:val="000B12B4"/>
    <w:rsid w:val="000B178F"/>
    <w:rsid w:val="000B28F0"/>
    <w:rsid w:val="000B2D71"/>
    <w:rsid w:val="000B2D8D"/>
    <w:rsid w:val="000B30E7"/>
    <w:rsid w:val="000B334A"/>
    <w:rsid w:val="000B3539"/>
    <w:rsid w:val="000B3C2C"/>
    <w:rsid w:val="000B3F98"/>
    <w:rsid w:val="000B4881"/>
    <w:rsid w:val="000B48FA"/>
    <w:rsid w:val="000B4C7D"/>
    <w:rsid w:val="000B5339"/>
    <w:rsid w:val="000B5932"/>
    <w:rsid w:val="000B6114"/>
    <w:rsid w:val="000B62C0"/>
    <w:rsid w:val="000B67EE"/>
    <w:rsid w:val="000B6C2C"/>
    <w:rsid w:val="000B7034"/>
    <w:rsid w:val="000B7285"/>
    <w:rsid w:val="000B741B"/>
    <w:rsid w:val="000B76F0"/>
    <w:rsid w:val="000B79EA"/>
    <w:rsid w:val="000B7AEB"/>
    <w:rsid w:val="000B7E04"/>
    <w:rsid w:val="000C038E"/>
    <w:rsid w:val="000C048F"/>
    <w:rsid w:val="000C0928"/>
    <w:rsid w:val="000C0D35"/>
    <w:rsid w:val="000C0D3D"/>
    <w:rsid w:val="000C164C"/>
    <w:rsid w:val="000C1E2E"/>
    <w:rsid w:val="000C1FF2"/>
    <w:rsid w:val="000C23ED"/>
    <w:rsid w:val="000C250F"/>
    <w:rsid w:val="000C26D5"/>
    <w:rsid w:val="000C29D5"/>
    <w:rsid w:val="000C2A57"/>
    <w:rsid w:val="000C2CE4"/>
    <w:rsid w:val="000C2CEB"/>
    <w:rsid w:val="000C2E26"/>
    <w:rsid w:val="000C30EC"/>
    <w:rsid w:val="000C349F"/>
    <w:rsid w:val="000C375E"/>
    <w:rsid w:val="000C3AB2"/>
    <w:rsid w:val="000C3AD0"/>
    <w:rsid w:val="000C412B"/>
    <w:rsid w:val="000C41D5"/>
    <w:rsid w:val="000C42C5"/>
    <w:rsid w:val="000C4878"/>
    <w:rsid w:val="000C4913"/>
    <w:rsid w:val="000C4CEE"/>
    <w:rsid w:val="000C4E16"/>
    <w:rsid w:val="000C51E7"/>
    <w:rsid w:val="000C53BD"/>
    <w:rsid w:val="000C5965"/>
    <w:rsid w:val="000C5AAC"/>
    <w:rsid w:val="000C5FA9"/>
    <w:rsid w:val="000C607C"/>
    <w:rsid w:val="000C6323"/>
    <w:rsid w:val="000C6495"/>
    <w:rsid w:val="000C64DB"/>
    <w:rsid w:val="000C65EB"/>
    <w:rsid w:val="000C6720"/>
    <w:rsid w:val="000C673C"/>
    <w:rsid w:val="000C78CE"/>
    <w:rsid w:val="000C798B"/>
    <w:rsid w:val="000D0478"/>
    <w:rsid w:val="000D0A86"/>
    <w:rsid w:val="000D134B"/>
    <w:rsid w:val="000D177B"/>
    <w:rsid w:val="000D1BE5"/>
    <w:rsid w:val="000D2151"/>
    <w:rsid w:val="000D2651"/>
    <w:rsid w:val="000D2772"/>
    <w:rsid w:val="000D3007"/>
    <w:rsid w:val="000D319D"/>
    <w:rsid w:val="000D351A"/>
    <w:rsid w:val="000D38FD"/>
    <w:rsid w:val="000D3EDB"/>
    <w:rsid w:val="000D4202"/>
    <w:rsid w:val="000D43D0"/>
    <w:rsid w:val="000D449E"/>
    <w:rsid w:val="000D45B9"/>
    <w:rsid w:val="000D461F"/>
    <w:rsid w:val="000D488B"/>
    <w:rsid w:val="000D4CA3"/>
    <w:rsid w:val="000D4D86"/>
    <w:rsid w:val="000D5353"/>
    <w:rsid w:val="000D53A7"/>
    <w:rsid w:val="000D549B"/>
    <w:rsid w:val="000D5AE8"/>
    <w:rsid w:val="000D627B"/>
    <w:rsid w:val="000D64FF"/>
    <w:rsid w:val="000D6875"/>
    <w:rsid w:val="000D6AE0"/>
    <w:rsid w:val="000D6BAA"/>
    <w:rsid w:val="000D7366"/>
    <w:rsid w:val="000D76FB"/>
    <w:rsid w:val="000D7AD0"/>
    <w:rsid w:val="000E065A"/>
    <w:rsid w:val="000E0AF8"/>
    <w:rsid w:val="000E137A"/>
    <w:rsid w:val="000E1665"/>
    <w:rsid w:val="000E182C"/>
    <w:rsid w:val="000E1A59"/>
    <w:rsid w:val="000E26EF"/>
    <w:rsid w:val="000E2C6C"/>
    <w:rsid w:val="000E2F69"/>
    <w:rsid w:val="000E3500"/>
    <w:rsid w:val="000E3B03"/>
    <w:rsid w:val="000E3C48"/>
    <w:rsid w:val="000E3F0A"/>
    <w:rsid w:val="000E3F19"/>
    <w:rsid w:val="000E492F"/>
    <w:rsid w:val="000E49B2"/>
    <w:rsid w:val="000E5010"/>
    <w:rsid w:val="000E510A"/>
    <w:rsid w:val="000E53F9"/>
    <w:rsid w:val="000E54C1"/>
    <w:rsid w:val="000E57B6"/>
    <w:rsid w:val="000E5A1A"/>
    <w:rsid w:val="000E611E"/>
    <w:rsid w:val="000E65CE"/>
    <w:rsid w:val="000E6AFF"/>
    <w:rsid w:val="000E6DDC"/>
    <w:rsid w:val="000E6DF5"/>
    <w:rsid w:val="000E78CC"/>
    <w:rsid w:val="000E7BD5"/>
    <w:rsid w:val="000E7CFA"/>
    <w:rsid w:val="000E7F9A"/>
    <w:rsid w:val="000F0350"/>
    <w:rsid w:val="000F0C53"/>
    <w:rsid w:val="000F0D40"/>
    <w:rsid w:val="000F13FE"/>
    <w:rsid w:val="000F2253"/>
    <w:rsid w:val="000F2418"/>
    <w:rsid w:val="000F2513"/>
    <w:rsid w:val="000F2522"/>
    <w:rsid w:val="000F31BB"/>
    <w:rsid w:val="000F33CD"/>
    <w:rsid w:val="000F34BD"/>
    <w:rsid w:val="000F358F"/>
    <w:rsid w:val="000F3692"/>
    <w:rsid w:val="000F397D"/>
    <w:rsid w:val="000F3D58"/>
    <w:rsid w:val="000F422A"/>
    <w:rsid w:val="000F437C"/>
    <w:rsid w:val="000F4391"/>
    <w:rsid w:val="000F43FC"/>
    <w:rsid w:val="000F441F"/>
    <w:rsid w:val="000F44E5"/>
    <w:rsid w:val="000F45F4"/>
    <w:rsid w:val="000F4652"/>
    <w:rsid w:val="000F4794"/>
    <w:rsid w:val="000F47FA"/>
    <w:rsid w:val="000F49DF"/>
    <w:rsid w:val="000F4BB7"/>
    <w:rsid w:val="000F55F2"/>
    <w:rsid w:val="000F591E"/>
    <w:rsid w:val="000F5CC8"/>
    <w:rsid w:val="000F6FE2"/>
    <w:rsid w:val="000F7134"/>
    <w:rsid w:val="000F7159"/>
    <w:rsid w:val="000F7304"/>
    <w:rsid w:val="000F7C38"/>
    <w:rsid w:val="000F7CBD"/>
    <w:rsid w:val="00100467"/>
    <w:rsid w:val="00100D5B"/>
    <w:rsid w:val="00100DCB"/>
    <w:rsid w:val="00100E32"/>
    <w:rsid w:val="0010104A"/>
    <w:rsid w:val="00101D1D"/>
    <w:rsid w:val="00102097"/>
    <w:rsid w:val="001023B4"/>
    <w:rsid w:val="001026EB"/>
    <w:rsid w:val="00102D98"/>
    <w:rsid w:val="00102ECB"/>
    <w:rsid w:val="00102FCC"/>
    <w:rsid w:val="0010343F"/>
    <w:rsid w:val="001037FD"/>
    <w:rsid w:val="001038EC"/>
    <w:rsid w:val="00104727"/>
    <w:rsid w:val="00104E90"/>
    <w:rsid w:val="00104E9B"/>
    <w:rsid w:val="00105006"/>
    <w:rsid w:val="00105196"/>
    <w:rsid w:val="0010596A"/>
    <w:rsid w:val="00105986"/>
    <w:rsid w:val="00105F53"/>
    <w:rsid w:val="001061A2"/>
    <w:rsid w:val="0010679C"/>
    <w:rsid w:val="0010727E"/>
    <w:rsid w:val="0010779A"/>
    <w:rsid w:val="0011021A"/>
    <w:rsid w:val="00110AF7"/>
    <w:rsid w:val="00110B10"/>
    <w:rsid w:val="00111167"/>
    <w:rsid w:val="0011194F"/>
    <w:rsid w:val="0011248E"/>
    <w:rsid w:val="00112570"/>
    <w:rsid w:val="0011261C"/>
    <w:rsid w:val="00113104"/>
    <w:rsid w:val="001135A0"/>
    <w:rsid w:val="00113979"/>
    <w:rsid w:val="00113C50"/>
    <w:rsid w:val="00113EE6"/>
    <w:rsid w:val="001144F0"/>
    <w:rsid w:val="0011494F"/>
    <w:rsid w:val="00114B0E"/>
    <w:rsid w:val="00114B74"/>
    <w:rsid w:val="00114E1D"/>
    <w:rsid w:val="00115082"/>
    <w:rsid w:val="00115417"/>
    <w:rsid w:val="001155BC"/>
    <w:rsid w:val="001156B7"/>
    <w:rsid w:val="001159C1"/>
    <w:rsid w:val="00115E46"/>
    <w:rsid w:val="001160A4"/>
    <w:rsid w:val="00116BC7"/>
    <w:rsid w:val="00116ECF"/>
    <w:rsid w:val="00116F20"/>
    <w:rsid w:val="0011739D"/>
    <w:rsid w:val="001176E1"/>
    <w:rsid w:val="00117875"/>
    <w:rsid w:val="00120240"/>
    <w:rsid w:val="00120CCF"/>
    <w:rsid w:val="001212DD"/>
    <w:rsid w:val="001214E1"/>
    <w:rsid w:val="0012176A"/>
    <w:rsid w:val="00121BDA"/>
    <w:rsid w:val="00122257"/>
    <w:rsid w:val="00122422"/>
    <w:rsid w:val="0012253E"/>
    <w:rsid w:val="0012262A"/>
    <w:rsid w:val="00122A86"/>
    <w:rsid w:val="001230FF"/>
    <w:rsid w:val="00125598"/>
    <w:rsid w:val="00125669"/>
    <w:rsid w:val="0012579A"/>
    <w:rsid w:val="0012581C"/>
    <w:rsid w:val="001265E8"/>
    <w:rsid w:val="0012668B"/>
    <w:rsid w:val="001266DD"/>
    <w:rsid w:val="0012678F"/>
    <w:rsid w:val="00126865"/>
    <w:rsid w:val="00126E1C"/>
    <w:rsid w:val="00126F45"/>
    <w:rsid w:val="00127632"/>
    <w:rsid w:val="001276F8"/>
    <w:rsid w:val="00127ABD"/>
    <w:rsid w:val="00127C5B"/>
    <w:rsid w:val="001302AC"/>
    <w:rsid w:val="001305CE"/>
    <w:rsid w:val="00130A8E"/>
    <w:rsid w:val="00130C88"/>
    <w:rsid w:val="00130D64"/>
    <w:rsid w:val="0013111B"/>
    <w:rsid w:val="0013143E"/>
    <w:rsid w:val="00131584"/>
    <w:rsid w:val="00131B3C"/>
    <w:rsid w:val="0013233E"/>
    <w:rsid w:val="00132636"/>
    <w:rsid w:val="00132EC1"/>
    <w:rsid w:val="00132FA9"/>
    <w:rsid w:val="00133108"/>
    <w:rsid w:val="00133769"/>
    <w:rsid w:val="00133E0F"/>
    <w:rsid w:val="001348AD"/>
    <w:rsid w:val="001348F1"/>
    <w:rsid w:val="00134FED"/>
    <w:rsid w:val="001350EA"/>
    <w:rsid w:val="00135444"/>
    <w:rsid w:val="00135C3D"/>
    <w:rsid w:val="00135F33"/>
    <w:rsid w:val="00136697"/>
    <w:rsid w:val="00136810"/>
    <w:rsid w:val="00136962"/>
    <w:rsid w:val="00136AF8"/>
    <w:rsid w:val="00136BA7"/>
    <w:rsid w:val="00136BB2"/>
    <w:rsid w:val="00136CA2"/>
    <w:rsid w:val="00136CD9"/>
    <w:rsid w:val="00136D79"/>
    <w:rsid w:val="00136ED8"/>
    <w:rsid w:val="00137471"/>
    <w:rsid w:val="001376FE"/>
    <w:rsid w:val="0013771B"/>
    <w:rsid w:val="00137889"/>
    <w:rsid w:val="00137C21"/>
    <w:rsid w:val="00137D1D"/>
    <w:rsid w:val="00137FDC"/>
    <w:rsid w:val="00137FE6"/>
    <w:rsid w:val="0014075B"/>
    <w:rsid w:val="001412A2"/>
    <w:rsid w:val="001418F0"/>
    <w:rsid w:val="00141D36"/>
    <w:rsid w:val="001422F9"/>
    <w:rsid w:val="00143243"/>
    <w:rsid w:val="0014346D"/>
    <w:rsid w:val="00143778"/>
    <w:rsid w:val="0014384D"/>
    <w:rsid w:val="00143922"/>
    <w:rsid w:val="00143BC3"/>
    <w:rsid w:val="00143DC5"/>
    <w:rsid w:val="00143F4A"/>
    <w:rsid w:val="001443E1"/>
    <w:rsid w:val="0014464A"/>
    <w:rsid w:val="00144721"/>
    <w:rsid w:val="00145092"/>
    <w:rsid w:val="00145541"/>
    <w:rsid w:val="001466A1"/>
    <w:rsid w:val="00146728"/>
    <w:rsid w:val="0014679D"/>
    <w:rsid w:val="001468AC"/>
    <w:rsid w:val="001469E3"/>
    <w:rsid w:val="00146B30"/>
    <w:rsid w:val="00147C50"/>
    <w:rsid w:val="00147DBC"/>
    <w:rsid w:val="00150766"/>
    <w:rsid w:val="00150840"/>
    <w:rsid w:val="00150E4A"/>
    <w:rsid w:val="00151B87"/>
    <w:rsid w:val="00151C7E"/>
    <w:rsid w:val="001522DE"/>
    <w:rsid w:val="00152EFE"/>
    <w:rsid w:val="00153036"/>
    <w:rsid w:val="0015340C"/>
    <w:rsid w:val="001535EA"/>
    <w:rsid w:val="00153820"/>
    <w:rsid w:val="00153DCB"/>
    <w:rsid w:val="001547BE"/>
    <w:rsid w:val="00154E67"/>
    <w:rsid w:val="00154EB6"/>
    <w:rsid w:val="00155224"/>
    <w:rsid w:val="001556FF"/>
    <w:rsid w:val="00155E01"/>
    <w:rsid w:val="00156398"/>
    <w:rsid w:val="00156520"/>
    <w:rsid w:val="001567E3"/>
    <w:rsid w:val="00156B3F"/>
    <w:rsid w:val="00157250"/>
    <w:rsid w:val="00157457"/>
    <w:rsid w:val="00157460"/>
    <w:rsid w:val="001574CB"/>
    <w:rsid w:val="0015781A"/>
    <w:rsid w:val="001600F4"/>
    <w:rsid w:val="001604B8"/>
    <w:rsid w:val="00160A5C"/>
    <w:rsid w:val="00160B52"/>
    <w:rsid w:val="0016124F"/>
    <w:rsid w:val="001616A5"/>
    <w:rsid w:val="001616E9"/>
    <w:rsid w:val="0016173D"/>
    <w:rsid w:val="00161B54"/>
    <w:rsid w:val="001621E9"/>
    <w:rsid w:val="00162405"/>
    <w:rsid w:val="00162B4B"/>
    <w:rsid w:val="00162BB1"/>
    <w:rsid w:val="00164581"/>
    <w:rsid w:val="001645CE"/>
    <w:rsid w:val="00164846"/>
    <w:rsid w:val="00164CA1"/>
    <w:rsid w:val="00164CA9"/>
    <w:rsid w:val="00164F09"/>
    <w:rsid w:val="00164FFC"/>
    <w:rsid w:val="001654AB"/>
    <w:rsid w:val="0016639F"/>
    <w:rsid w:val="0016682C"/>
    <w:rsid w:val="00166DAE"/>
    <w:rsid w:val="00166EDA"/>
    <w:rsid w:val="001671A4"/>
    <w:rsid w:val="001671C4"/>
    <w:rsid w:val="0016729E"/>
    <w:rsid w:val="00167632"/>
    <w:rsid w:val="00167A93"/>
    <w:rsid w:val="00167BED"/>
    <w:rsid w:val="00167E42"/>
    <w:rsid w:val="0017023E"/>
    <w:rsid w:val="00170A8B"/>
    <w:rsid w:val="001715EE"/>
    <w:rsid w:val="0017164C"/>
    <w:rsid w:val="001716E9"/>
    <w:rsid w:val="00172349"/>
    <w:rsid w:val="00172794"/>
    <w:rsid w:val="00172AEA"/>
    <w:rsid w:val="00173641"/>
    <w:rsid w:val="00173C3A"/>
    <w:rsid w:val="00173D92"/>
    <w:rsid w:val="00173E9E"/>
    <w:rsid w:val="001742DC"/>
    <w:rsid w:val="00174718"/>
    <w:rsid w:val="00174E67"/>
    <w:rsid w:val="00175012"/>
    <w:rsid w:val="00175298"/>
    <w:rsid w:val="001757D3"/>
    <w:rsid w:val="00175BE3"/>
    <w:rsid w:val="00175D34"/>
    <w:rsid w:val="00175D8A"/>
    <w:rsid w:val="001764CE"/>
    <w:rsid w:val="00176897"/>
    <w:rsid w:val="00176BFD"/>
    <w:rsid w:val="00176F9F"/>
    <w:rsid w:val="0017714D"/>
    <w:rsid w:val="0017781A"/>
    <w:rsid w:val="00177F0D"/>
    <w:rsid w:val="00177F24"/>
    <w:rsid w:val="001800DA"/>
    <w:rsid w:val="001804AE"/>
    <w:rsid w:val="00181568"/>
    <w:rsid w:val="0018171C"/>
    <w:rsid w:val="00182322"/>
    <w:rsid w:val="00182701"/>
    <w:rsid w:val="0018284C"/>
    <w:rsid w:val="00182BDB"/>
    <w:rsid w:val="00182EC5"/>
    <w:rsid w:val="00183F37"/>
    <w:rsid w:val="00184410"/>
    <w:rsid w:val="001848CA"/>
    <w:rsid w:val="00184CB3"/>
    <w:rsid w:val="00184E12"/>
    <w:rsid w:val="00184FB6"/>
    <w:rsid w:val="00186111"/>
    <w:rsid w:val="00186E85"/>
    <w:rsid w:val="00187146"/>
    <w:rsid w:val="00187154"/>
    <w:rsid w:val="00187B0E"/>
    <w:rsid w:val="00187F2F"/>
    <w:rsid w:val="00187F9C"/>
    <w:rsid w:val="00190210"/>
    <w:rsid w:val="0019096D"/>
    <w:rsid w:val="00190D52"/>
    <w:rsid w:val="00191370"/>
    <w:rsid w:val="0019138A"/>
    <w:rsid w:val="00191554"/>
    <w:rsid w:val="00191559"/>
    <w:rsid w:val="00191B25"/>
    <w:rsid w:val="00191D10"/>
    <w:rsid w:val="001920CB"/>
    <w:rsid w:val="001921F5"/>
    <w:rsid w:val="001926E4"/>
    <w:rsid w:val="00192F74"/>
    <w:rsid w:val="0019301E"/>
    <w:rsid w:val="00193341"/>
    <w:rsid w:val="001937C1"/>
    <w:rsid w:val="00193C40"/>
    <w:rsid w:val="001940E6"/>
    <w:rsid w:val="00194331"/>
    <w:rsid w:val="001943C0"/>
    <w:rsid w:val="00194459"/>
    <w:rsid w:val="00194507"/>
    <w:rsid w:val="0019452F"/>
    <w:rsid w:val="00194BE6"/>
    <w:rsid w:val="001951C5"/>
    <w:rsid w:val="001951DB"/>
    <w:rsid w:val="00195A3E"/>
    <w:rsid w:val="00195CE3"/>
    <w:rsid w:val="001961DE"/>
    <w:rsid w:val="0019659B"/>
    <w:rsid w:val="00196D20"/>
    <w:rsid w:val="00196E62"/>
    <w:rsid w:val="0019742C"/>
    <w:rsid w:val="001A00D3"/>
    <w:rsid w:val="001A03A0"/>
    <w:rsid w:val="001A053D"/>
    <w:rsid w:val="001A09DA"/>
    <w:rsid w:val="001A0CA2"/>
    <w:rsid w:val="001A0DA9"/>
    <w:rsid w:val="001A0E4F"/>
    <w:rsid w:val="001A0F27"/>
    <w:rsid w:val="001A14AD"/>
    <w:rsid w:val="001A16CC"/>
    <w:rsid w:val="001A1B2A"/>
    <w:rsid w:val="001A2024"/>
    <w:rsid w:val="001A23E3"/>
    <w:rsid w:val="001A2A92"/>
    <w:rsid w:val="001A2B65"/>
    <w:rsid w:val="001A2CFE"/>
    <w:rsid w:val="001A33F2"/>
    <w:rsid w:val="001A3565"/>
    <w:rsid w:val="001A36B3"/>
    <w:rsid w:val="001A3E2E"/>
    <w:rsid w:val="001A3F77"/>
    <w:rsid w:val="001A40AF"/>
    <w:rsid w:val="001A454B"/>
    <w:rsid w:val="001A47DC"/>
    <w:rsid w:val="001A4B76"/>
    <w:rsid w:val="001A51F5"/>
    <w:rsid w:val="001A564D"/>
    <w:rsid w:val="001A5829"/>
    <w:rsid w:val="001A5B9C"/>
    <w:rsid w:val="001A6445"/>
    <w:rsid w:val="001A6822"/>
    <w:rsid w:val="001A6AAB"/>
    <w:rsid w:val="001A6E92"/>
    <w:rsid w:val="001A6FEA"/>
    <w:rsid w:val="001A71F9"/>
    <w:rsid w:val="001A7556"/>
    <w:rsid w:val="001A7CE5"/>
    <w:rsid w:val="001A7DF4"/>
    <w:rsid w:val="001A7E48"/>
    <w:rsid w:val="001B0269"/>
    <w:rsid w:val="001B0D67"/>
    <w:rsid w:val="001B14D4"/>
    <w:rsid w:val="001B158D"/>
    <w:rsid w:val="001B15C3"/>
    <w:rsid w:val="001B15FB"/>
    <w:rsid w:val="001B1C18"/>
    <w:rsid w:val="001B251A"/>
    <w:rsid w:val="001B2BFF"/>
    <w:rsid w:val="001B3B70"/>
    <w:rsid w:val="001B3CF1"/>
    <w:rsid w:val="001B42A7"/>
    <w:rsid w:val="001B586C"/>
    <w:rsid w:val="001B5A41"/>
    <w:rsid w:val="001B5B66"/>
    <w:rsid w:val="001B5C8C"/>
    <w:rsid w:val="001B5D3F"/>
    <w:rsid w:val="001B5E93"/>
    <w:rsid w:val="001B5F2E"/>
    <w:rsid w:val="001B63AF"/>
    <w:rsid w:val="001B6534"/>
    <w:rsid w:val="001B668E"/>
    <w:rsid w:val="001B6740"/>
    <w:rsid w:val="001B700E"/>
    <w:rsid w:val="001B70A9"/>
    <w:rsid w:val="001B7325"/>
    <w:rsid w:val="001B7487"/>
    <w:rsid w:val="001B780A"/>
    <w:rsid w:val="001B7A04"/>
    <w:rsid w:val="001B7D95"/>
    <w:rsid w:val="001B7F6D"/>
    <w:rsid w:val="001C0205"/>
    <w:rsid w:val="001C0249"/>
    <w:rsid w:val="001C0D30"/>
    <w:rsid w:val="001C155F"/>
    <w:rsid w:val="001C1948"/>
    <w:rsid w:val="001C2664"/>
    <w:rsid w:val="001C2B2C"/>
    <w:rsid w:val="001C32B7"/>
    <w:rsid w:val="001C39C1"/>
    <w:rsid w:val="001C39C4"/>
    <w:rsid w:val="001C3A56"/>
    <w:rsid w:val="001C4259"/>
    <w:rsid w:val="001C4590"/>
    <w:rsid w:val="001C56AD"/>
    <w:rsid w:val="001C588A"/>
    <w:rsid w:val="001C5972"/>
    <w:rsid w:val="001C5D35"/>
    <w:rsid w:val="001C620B"/>
    <w:rsid w:val="001C6518"/>
    <w:rsid w:val="001C6817"/>
    <w:rsid w:val="001C68AF"/>
    <w:rsid w:val="001C7D0E"/>
    <w:rsid w:val="001C7D93"/>
    <w:rsid w:val="001D0005"/>
    <w:rsid w:val="001D029A"/>
    <w:rsid w:val="001D035E"/>
    <w:rsid w:val="001D04FD"/>
    <w:rsid w:val="001D07B9"/>
    <w:rsid w:val="001D0DAD"/>
    <w:rsid w:val="001D19F7"/>
    <w:rsid w:val="001D1E6D"/>
    <w:rsid w:val="001D2A3A"/>
    <w:rsid w:val="001D2AD3"/>
    <w:rsid w:val="001D3258"/>
    <w:rsid w:val="001D32FA"/>
    <w:rsid w:val="001D4438"/>
    <w:rsid w:val="001D524B"/>
    <w:rsid w:val="001D57ED"/>
    <w:rsid w:val="001D5A5A"/>
    <w:rsid w:val="001D5EAD"/>
    <w:rsid w:val="001D60E6"/>
    <w:rsid w:val="001D637C"/>
    <w:rsid w:val="001D67D2"/>
    <w:rsid w:val="001D691E"/>
    <w:rsid w:val="001D699D"/>
    <w:rsid w:val="001D69B0"/>
    <w:rsid w:val="001D6A1C"/>
    <w:rsid w:val="001D6A32"/>
    <w:rsid w:val="001D77FE"/>
    <w:rsid w:val="001D786B"/>
    <w:rsid w:val="001D7E06"/>
    <w:rsid w:val="001D7E72"/>
    <w:rsid w:val="001E0192"/>
    <w:rsid w:val="001E05BA"/>
    <w:rsid w:val="001E1403"/>
    <w:rsid w:val="001E1454"/>
    <w:rsid w:val="001E161D"/>
    <w:rsid w:val="001E195A"/>
    <w:rsid w:val="001E1E6C"/>
    <w:rsid w:val="001E268B"/>
    <w:rsid w:val="001E276B"/>
    <w:rsid w:val="001E2EB2"/>
    <w:rsid w:val="001E31C3"/>
    <w:rsid w:val="001E349E"/>
    <w:rsid w:val="001E34F9"/>
    <w:rsid w:val="001E374D"/>
    <w:rsid w:val="001E49B0"/>
    <w:rsid w:val="001E51C7"/>
    <w:rsid w:val="001E602F"/>
    <w:rsid w:val="001E6049"/>
    <w:rsid w:val="001E68EF"/>
    <w:rsid w:val="001E6DB9"/>
    <w:rsid w:val="001E7109"/>
    <w:rsid w:val="001E726D"/>
    <w:rsid w:val="001E794A"/>
    <w:rsid w:val="001E7CC4"/>
    <w:rsid w:val="001E7EE7"/>
    <w:rsid w:val="001F1450"/>
    <w:rsid w:val="001F1637"/>
    <w:rsid w:val="001F1F5F"/>
    <w:rsid w:val="001F207A"/>
    <w:rsid w:val="001F2DAD"/>
    <w:rsid w:val="001F2FF4"/>
    <w:rsid w:val="001F3342"/>
    <w:rsid w:val="001F4501"/>
    <w:rsid w:val="001F46F9"/>
    <w:rsid w:val="001F4D00"/>
    <w:rsid w:val="001F5002"/>
    <w:rsid w:val="001F511D"/>
    <w:rsid w:val="001F5470"/>
    <w:rsid w:val="001F703E"/>
    <w:rsid w:val="001F720B"/>
    <w:rsid w:val="001F7262"/>
    <w:rsid w:val="001F7932"/>
    <w:rsid w:val="001F7B10"/>
    <w:rsid w:val="001F7BFB"/>
    <w:rsid w:val="0020042C"/>
    <w:rsid w:val="00200D0B"/>
    <w:rsid w:val="00200D8D"/>
    <w:rsid w:val="00201697"/>
    <w:rsid w:val="00201699"/>
    <w:rsid w:val="002019B6"/>
    <w:rsid w:val="00202221"/>
    <w:rsid w:val="002023ED"/>
    <w:rsid w:val="00202415"/>
    <w:rsid w:val="002027B9"/>
    <w:rsid w:val="002028A0"/>
    <w:rsid w:val="002038BD"/>
    <w:rsid w:val="002039A0"/>
    <w:rsid w:val="00203E59"/>
    <w:rsid w:val="002043B6"/>
    <w:rsid w:val="00204889"/>
    <w:rsid w:val="00204B17"/>
    <w:rsid w:val="00204BC1"/>
    <w:rsid w:val="002052EC"/>
    <w:rsid w:val="002057D3"/>
    <w:rsid w:val="00205B9A"/>
    <w:rsid w:val="00205E9F"/>
    <w:rsid w:val="002065A1"/>
    <w:rsid w:val="00206634"/>
    <w:rsid w:val="00206672"/>
    <w:rsid w:val="0020758D"/>
    <w:rsid w:val="00207A39"/>
    <w:rsid w:val="002105F8"/>
    <w:rsid w:val="00210BEC"/>
    <w:rsid w:val="002113C8"/>
    <w:rsid w:val="00211DE9"/>
    <w:rsid w:val="00211E1A"/>
    <w:rsid w:val="0021202C"/>
    <w:rsid w:val="002120E9"/>
    <w:rsid w:val="002122C2"/>
    <w:rsid w:val="0021238A"/>
    <w:rsid w:val="00212CFA"/>
    <w:rsid w:val="00212F13"/>
    <w:rsid w:val="002132F9"/>
    <w:rsid w:val="002133A0"/>
    <w:rsid w:val="002137A5"/>
    <w:rsid w:val="00214367"/>
    <w:rsid w:val="002145A0"/>
    <w:rsid w:val="00214B53"/>
    <w:rsid w:val="00214C59"/>
    <w:rsid w:val="00214F90"/>
    <w:rsid w:val="00215961"/>
    <w:rsid w:val="00215DD0"/>
    <w:rsid w:val="002161BE"/>
    <w:rsid w:val="00216518"/>
    <w:rsid w:val="00216896"/>
    <w:rsid w:val="00216A08"/>
    <w:rsid w:val="00216A53"/>
    <w:rsid w:val="00216E25"/>
    <w:rsid w:val="00216E2A"/>
    <w:rsid w:val="00216F8E"/>
    <w:rsid w:val="00216FB8"/>
    <w:rsid w:val="00217099"/>
    <w:rsid w:val="0021758A"/>
    <w:rsid w:val="00217792"/>
    <w:rsid w:val="00217DA1"/>
    <w:rsid w:val="002210BC"/>
    <w:rsid w:val="002211E7"/>
    <w:rsid w:val="002214B6"/>
    <w:rsid w:val="002219F3"/>
    <w:rsid w:val="00221A6D"/>
    <w:rsid w:val="00221D7F"/>
    <w:rsid w:val="00222095"/>
    <w:rsid w:val="002220D6"/>
    <w:rsid w:val="002226C4"/>
    <w:rsid w:val="00223222"/>
    <w:rsid w:val="002233E3"/>
    <w:rsid w:val="00223558"/>
    <w:rsid w:val="00224602"/>
    <w:rsid w:val="0022477D"/>
    <w:rsid w:val="002247EE"/>
    <w:rsid w:val="00224B89"/>
    <w:rsid w:val="00224EDE"/>
    <w:rsid w:val="00224EEA"/>
    <w:rsid w:val="00224F68"/>
    <w:rsid w:val="00225494"/>
    <w:rsid w:val="00225C48"/>
    <w:rsid w:val="00225C76"/>
    <w:rsid w:val="00226227"/>
    <w:rsid w:val="00226914"/>
    <w:rsid w:val="00226921"/>
    <w:rsid w:val="002269A5"/>
    <w:rsid w:val="00226AAD"/>
    <w:rsid w:val="00226E52"/>
    <w:rsid w:val="00227372"/>
    <w:rsid w:val="0022764C"/>
    <w:rsid w:val="00227D26"/>
    <w:rsid w:val="0023000D"/>
    <w:rsid w:val="0023006B"/>
    <w:rsid w:val="002300D0"/>
    <w:rsid w:val="00230438"/>
    <w:rsid w:val="00230666"/>
    <w:rsid w:val="002306A3"/>
    <w:rsid w:val="00230726"/>
    <w:rsid w:val="002309D6"/>
    <w:rsid w:val="00230A74"/>
    <w:rsid w:val="002315EC"/>
    <w:rsid w:val="00231711"/>
    <w:rsid w:val="00231824"/>
    <w:rsid w:val="00231FA1"/>
    <w:rsid w:val="00232500"/>
    <w:rsid w:val="002328D2"/>
    <w:rsid w:val="00232F0B"/>
    <w:rsid w:val="002330E4"/>
    <w:rsid w:val="002332A8"/>
    <w:rsid w:val="002339A1"/>
    <w:rsid w:val="002339DF"/>
    <w:rsid w:val="00233B51"/>
    <w:rsid w:val="00234FBC"/>
    <w:rsid w:val="00235513"/>
    <w:rsid w:val="00235C51"/>
    <w:rsid w:val="00235C5B"/>
    <w:rsid w:val="002361DB"/>
    <w:rsid w:val="002364B5"/>
    <w:rsid w:val="00236733"/>
    <w:rsid w:val="00236D4E"/>
    <w:rsid w:val="00236EF5"/>
    <w:rsid w:val="00237037"/>
    <w:rsid w:val="0023762E"/>
    <w:rsid w:val="00237E99"/>
    <w:rsid w:val="00240124"/>
    <w:rsid w:val="00240332"/>
    <w:rsid w:val="002404C7"/>
    <w:rsid w:val="0024057F"/>
    <w:rsid w:val="00240585"/>
    <w:rsid w:val="00240781"/>
    <w:rsid w:val="00240F18"/>
    <w:rsid w:val="00240FF4"/>
    <w:rsid w:val="00241267"/>
    <w:rsid w:val="00241789"/>
    <w:rsid w:val="00241F4C"/>
    <w:rsid w:val="002427EA"/>
    <w:rsid w:val="00242B16"/>
    <w:rsid w:val="00242C80"/>
    <w:rsid w:val="00243821"/>
    <w:rsid w:val="002438F3"/>
    <w:rsid w:val="00243C9F"/>
    <w:rsid w:val="002442A2"/>
    <w:rsid w:val="002442F8"/>
    <w:rsid w:val="00244843"/>
    <w:rsid w:val="00244B9C"/>
    <w:rsid w:val="00244D36"/>
    <w:rsid w:val="002462C9"/>
    <w:rsid w:val="0024666A"/>
    <w:rsid w:val="00246B33"/>
    <w:rsid w:val="00246D2E"/>
    <w:rsid w:val="00246D42"/>
    <w:rsid w:val="002470A1"/>
    <w:rsid w:val="00247942"/>
    <w:rsid w:val="00247E77"/>
    <w:rsid w:val="00250150"/>
    <w:rsid w:val="00250937"/>
    <w:rsid w:val="002510DC"/>
    <w:rsid w:val="00251198"/>
    <w:rsid w:val="00251808"/>
    <w:rsid w:val="00251909"/>
    <w:rsid w:val="00251B1C"/>
    <w:rsid w:val="00251BB7"/>
    <w:rsid w:val="00251C98"/>
    <w:rsid w:val="00251FC5"/>
    <w:rsid w:val="002521DB"/>
    <w:rsid w:val="00252511"/>
    <w:rsid w:val="00253D04"/>
    <w:rsid w:val="00253F1D"/>
    <w:rsid w:val="00254269"/>
    <w:rsid w:val="002546E9"/>
    <w:rsid w:val="00254BC3"/>
    <w:rsid w:val="00254E08"/>
    <w:rsid w:val="00254FB4"/>
    <w:rsid w:val="00255391"/>
    <w:rsid w:val="00255458"/>
    <w:rsid w:val="0025579C"/>
    <w:rsid w:val="00255A82"/>
    <w:rsid w:val="00255DCA"/>
    <w:rsid w:val="00255E8A"/>
    <w:rsid w:val="00256482"/>
    <w:rsid w:val="00256529"/>
    <w:rsid w:val="0025681E"/>
    <w:rsid w:val="002569B9"/>
    <w:rsid w:val="00256B73"/>
    <w:rsid w:val="00257037"/>
    <w:rsid w:val="002570E1"/>
    <w:rsid w:val="002576C9"/>
    <w:rsid w:val="00257703"/>
    <w:rsid w:val="00257909"/>
    <w:rsid w:val="002579E0"/>
    <w:rsid w:val="00260539"/>
    <w:rsid w:val="00260574"/>
    <w:rsid w:val="0026072B"/>
    <w:rsid w:val="0026088E"/>
    <w:rsid w:val="00260AC7"/>
    <w:rsid w:val="00260BEF"/>
    <w:rsid w:val="00260DF8"/>
    <w:rsid w:val="00262945"/>
    <w:rsid w:val="002629C1"/>
    <w:rsid w:val="00262AB0"/>
    <w:rsid w:val="00262D82"/>
    <w:rsid w:val="00263B34"/>
    <w:rsid w:val="00263FAE"/>
    <w:rsid w:val="002640D5"/>
    <w:rsid w:val="002644FB"/>
    <w:rsid w:val="00264F4D"/>
    <w:rsid w:val="002653F0"/>
    <w:rsid w:val="00265BE2"/>
    <w:rsid w:val="002661EC"/>
    <w:rsid w:val="00266862"/>
    <w:rsid w:val="002677BC"/>
    <w:rsid w:val="0027005F"/>
    <w:rsid w:val="00270298"/>
    <w:rsid w:val="0027048F"/>
    <w:rsid w:val="00271333"/>
    <w:rsid w:val="002719A4"/>
    <w:rsid w:val="00271CEA"/>
    <w:rsid w:val="00271D1C"/>
    <w:rsid w:val="00271EE1"/>
    <w:rsid w:val="00271FEE"/>
    <w:rsid w:val="00272145"/>
    <w:rsid w:val="00272758"/>
    <w:rsid w:val="00272A9C"/>
    <w:rsid w:val="00272C26"/>
    <w:rsid w:val="00273107"/>
    <w:rsid w:val="0027347B"/>
    <w:rsid w:val="0027395E"/>
    <w:rsid w:val="002740AA"/>
    <w:rsid w:val="00274503"/>
    <w:rsid w:val="002747E8"/>
    <w:rsid w:val="00274852"/>
    <w:rsid w:val="00274A4D"/>
    <w:rsid w:val="00274F05"/>
    <w:rsid w:val="002753AD"/>
    <w:rsid w:val="00275AF8"/>
    <w:rsid w:val="00275D33"/>
    <w:rsid w:val="002760F1"/>
    <w:rsid w:val="002763F3"/>
    <w:rsid w:val="0027673C"/>
    <w:rsid w:val="00276A4E"/>
    <w:rsid w:val="00276EEB"/>
    <w:rsid w:val="0027733F"/>
    <w:rsid w:val="002775E0"/>
    <w:rsid w:val="002777A6"/>
    <w:rsid w:val="00280016"/>
    <w:rsid w:val="002800BE"/>
    <w:rsid w:val="00280760"/>
    <w:rsid w:val="00280CC0"/>
    <w:rsid w:val="00280F6C"/>
    <w:rsid w:val="0028108E"/>
    <w:rsid w:val="002813BC"/>
    <w:rsid w:val="00281670"/>
    <w:rsid w:val="0028260F"/>
    <w:rsid w:val="0028276A"/>
    <w:rsid w:val="00283020"/>
    <w:rsid w:val="00283412"/>
    <w:rsid w:val="00284668"/>
    <w:rsid w:val="002846F2"/>
    <w:rsid w:val="00284757"/>
    <w:rsid w:val="0028475E"/>
    <w:rsid w:val="00284787"/>
    <w:rsid w:val="00284BEF"/>
    <w:rsid w:val="00285064"/>
    <w:rsid w:val="00285347"/>
    <w:rsid w:val="00285416"/>
    <w:rsid w:val="002856C3"/>
    <w:rsid w:val="0028589F"/>
    <w:rsid w:val="002859BE"/>
    <w:rsid w:val="00285BAA"/>
    <w:rsid w:val="00285C9A"/>
    <w:rsid w:val="00285ECF"/>
    <w:rsid w:val="002869EE"/>
    <w:rsid w:val="00287212"/>
    <w:rsid w:val="00287980"/>
    <w:rsid w:val="00287A86"/>
    <w:rsid w:val="002904DF"/>
    <w:rsid w:val="00290665"/>
    <w:rsid w:val="00290944"/>
    <w:rsid w:val="00290CE8"/>
    <w:rsid w:val="00290FFD"/>
    <w:rsid w:val="0029188B"/>
    <w:rsid w:val="00291C30"/>
    <w:rsid w:val="00291E03"/>
    <w:rsid w:val="00291EF8"/>
    <w:rsid w:val="00292077"/>
    <w:rsid w:val="0029268A"/>
    <w:rsid w:val="002927B5"/>
    <w:rsid w:val="00292F73"/>
    <w:rsid w:val="00293149"/>
    <w:rsid w:val="00293395"/>
    <w:rsid w:val="00293471"/>
    <w:rsid w:val="00293709"/>
    <w:rsid w:val="00293A9E"/>
    <w:rsid w:val="00293CC2"/>
    <w:rsid w:val="00293D7E"/>
    <w:rsid w:val="00294585"/>
    <w:rsid w:val="00294674"/>
    <w:rsid w:val="00294C44"/>
    <w:rsid w:val="00294DCC"/>
    <w:rsid w:val="0029548B"/>
    <w:rsid w:val="0029559C"/>
    <w:rsid w:val="00295A32"/>
    <w:rsid w:val="00295B27"/>
    <w:rsid w:val="00295D65"/>
    <w:rsid w:val="002961EA"/>
    <w:rsid w:val="00296D38"/>
    <w:rsid w:val="00296D39"/>
    <w:rsid w:val="0029735B"/>
    <w:rsid w:val="0029760C"/>
    <w:rsid w:val="002978D8"/>
    <w:rsid w:val="002979D6"/>
    <w:rsid w:val="00297DC5"/>
    <w:rsid w:val="00297FBB"/>
    <w:rsid w:val="002A0080"/>
    <w:rsid w:val="002A0143"/>
    <w:rsid w:val="002A0637"/>
    <w:rsid w:val="002A0B9E"/>
    <w:rsid w:val="002A0E4C"/>
    <w:rsid w:val="002A11EE"/>
    <w:rsid w:val="002A13C2"/>
    <w:rsid w:val="002A1814"/>
    <w:rsid w:val="002A1D05"/>
    <w:rsid w:val="002A1E11"/>
    <w:rsid w:val="002A2034"/>
    <w:rsid w:val="002A23C4"/>
    <w:rsid w:val="002A2694"/>
    <w:rsid w:val="002A2D0A"/>
    <w:rsid w:val="002A2EF3"/>
    <w:rsid w:val="002A2F8D"/>
    <w:rsid w:val="002A316A"/>
    <w:rsid w:val="002A399A"/>
    <w:rsid w:val="002A3A34"/>
    <w:rsid w:val="002A3DA5"/>
    <w:rsid w:val="002A4468"/>
    <w:rsid w:val="002A4533"/>
    <w:rsid w:val="002A48BC"/>
    <w:rsid w:val="002A4980"/>
    <w:rsid w:val="002A4D58"/>
    <w:rsid w:val="002A50C9"/>
    <w:rsid w:val="002A525A"/>
    <w:rsid w:val="002A5390"/>
    <w:rsid w:val="002A5645"/>
    <w:rsid w:val="002A5669"/>
    <w:rsid w:val="002A56F0"/>
    <w:rsid w:val="002A59A3"/>
    <w:rsid w:val="002A59BD"/>
    <w:rsid w:val="002A602E"/>
    <w:rsid w:val="002A6130"/>
    <w:rsid w:val="002A61B5"/>
    <w:rsid w:val="002A6255"/>
    <w:rsid w:val="002A6CFE"/>
    <w:rsid w:val="002A7116"/>
    <w:rsid w:val="002A73D4"/>
    <w:rsid w:val="002A74B6"/>
    <w:rsid w:val="002A757A"/>
    <w:rsid w:val="002A78D2"/>
    <w:rsid w:val="002A7B23"/>
    <w:rsid w:val="002A7B50"/>
    <w:rsid w:val="002B00F6"/>
    <w:rsid w:val="002B0254"/>
    <w:rsid w:val="002B05E5"/>
    <w:rsid w:val="002B071D"/>
    <w:rsid w:val="002B0857"/>
    <w:rsid w:val="002B1100"/>
    <w:rsid w:val="002B1C41"/>
    <w:rsid w:val="002B2051"/>
    <w:rsid w:val="002B2211"/>
    <w:rsid w:val="002B2407"/>
    <w:rsid w:val="002B251F"/>
    <w:rsid w:val="002B295C"/>
    <w:rsid w:val="002B2DFE"/>
    <w:rsid w:val="002B3099"/>
    <w:rsid w:val="002B32A7"/>
    <w:rsid w:val="002B448D"/>
    <w:rsid w:val="002B50DF"/>
    <w:rsid w:val="002B52CC"/>
    <w:rsid w:val="002B5D16"/>
    <w:rsid w:val="002B5E0E"/>
    <w:rsid w:val="002B5EEA"/>
    <w:rsid w:val="002B62EC"/>
    <w:rsid w:val="002B692C"/>
    <w:rsid w:val="002B6F94"/>
    <w:rsid w:val="002B7192"/>
    <w:rsid w:val="002B73AE"/>
    <w:rsid w:val="002B7CA5"/>
    <w:rsid w:val="002B7D72"/>
    <w:rsid w:val="002C0630"/>
    <w:rsid w:val="002C0988"/>
    <w:rsid w:val="002C0D5B"/>
    <w:rsid w:val="002C162A"/>
    <w:rsid w:val="002C1E22"/>
    <w:rsid w:val="002C22BC"/>
    <w:rsid w:val="002C2541"/>
    <w:rsid w:val="002C2748"/>
    <w:rsid w:val="002C2780"/>
    <w:rsid w:val="002C2AE5"/>
    <w:rsid w:val="002C2C65"/>
    <w:rsid w:val="002C368F"/>
    <w:rsid w:val="002C493C"/>
    <w:rsid w:val="002C4E3F"/>
    <w:rsid w:val="002C54B4"/>
    <w:rsid w:val="002C5874"/>
    <w:rsid w:val="002C5885"/>
    <w:rsid w:val="002C590E"/>
    <w:rsid w:val="002C5A93"/>
    <w:rsid w:val="002C6250"/>
    <w:rsid w:val="002C63BA"/>
    <w:rsid w:val="002C6AFE"/>
    <w:rsid w:val="002C6F44"/>
    <w:rsid w:val="002C704E"/>
    <w:rsid w:val="002D008A"/>
    <w:rsid w:val="002D0407"/>
    <w:rsid w:val="002D0588"/>
    <w:rsid w:val="002D0AEC"/>
    <w:rsid w:val="002D0DD0"/>
    <w:rsid w:val="002D107E"/>
    <w:rsid w:val="002D1494"/>
    <w:rsid w:val="002D1843"/>
    <w:rsid w:val="002D1D78"/>
    <w:rsid w:val="002D28A4"/>
    <w:rsid w:val="002D2B3E"/>
    <w:rsid w:val="002D2C91"/>
    <w:rsid w:val="002D2E02"/>
    <w:rsid w:val="002D352D"/>
    <w:rsid w:val="002D36C9"/>
    <w:rsid w:val="002D37A1"/>
    <w:rsid w:val="002D3897"/>
    <w:rsid w:val="002D3A9E"/>
    <w:rsid w:val="002D3B1A"/>
    <w:rsid w:val="002D3ED9"/>
    <w:rsid w:val="002D42C7"/>
    <w:rsid w:val="002D4428"/>
    <w:rsid w:val="002D468D"/>
    <w:rsid w:val="002D46EC"/>
    <w:rsid w:val="002D47BB"/>
    <w:rsid w:val="002D4978"/>
    <w:rsid w:val="002D4F91"/>
    <w:rsid w:val="002D5439"/>
    <w:rsid w:val="002D5B31"/>
    <w:rsid w:val="002D6974"/>
    <w:rsid w:val="002D6A25"/>
    <w:rsid w:val="002D74A9"/>
    <w:rsid w:val="002D793A"/>
    <w:rsid w:val="002D7A25"/>
    <w:rsid w:val="002E06FD"/>
    <w:rsid w:val="002E086C"/>
    <w:rsid w:val="002E0D0E"/>
    <w:rsid w:val="002E11BC"/>
    <w:rsid w:val="002E140A"/>
    <w:rsid w:val="002E16B7"/>
    <w:rsid w:val="002E197A"/>
    <w:rsid w:val="002E1E33"/>
    <w:rsid w:val="002E1FE4"/>
    <w:rsid w:val="002E2090"/>
    <w:rsid w:val="002E28E5"/>
    <w:rsid w:val="002E2B45"/>
    <w:rsid w:val="002E30E4"/>
    <w:rsid w:val="002E371B"/>
    <w:rsid w:val="002E3AB7"/>
    <w:rsid w:val="002E3DE2"/>
    <w:rsid w:val="002E3E4A"/>
    <w:rsid w:val="002E411E"/>
    <w:rsid w:val="002E4601"/>
    <w:rsid w:val="002E4740"/>
    <w:rsid w:val="002E47CB"/>
    <w:rsid w:val="002E480C"/>
    <w:rsid w:val="002E49FB"/>
    <w:rsid w:val="002E4F61"/>
    <w:rsid w:val="002E5423"/>
    <w:rsid w:val="002E56F8"/>
    <w:rsid w:val="002E57A2"/>
    <w:rsid w:val="002E5859"/>
    <w:rsid w:val="002E5B8C"/>
    <w:rsid w:val="002E5E0A"/>
    <w:rsid w:val="002E5F49"/>
    <w:rsid w:val="002E6A73"/>
    <w:rsid w:val="002E6BE5"/>
    <w:rsid w:val="002E7032"/>
    <w:rsid w:val="002E71C7"/>
    <w:rsid w:val="002E737A"/>
    <w:rsid w:val="002E7C94"/>
    <w:rsid w:val="002E7D19"/>
    <w:rsid w:val="002F06C3"/>
    <w:rsid w:val="002F0BB9"/>
    <w:rsid w:val="002F0E65"/>
    <w:rsid w:val="002F1224"/>
    <w:rsid w:val="002F1281"/>
    <w:rsid w:val="002F135D"/>
    <w:rsid w:val="002F190D"/>
    <w:rsid w:val="002F1A79"/>
    <w:rsid w:val="002F1CA6"/>
    <w:rsid w:val="002F1E0E"/>
    <w:rsid w:val="002F1FB9"/>
    <w:rsid w:val="002F2324"/>
    <w:rsid w:val="002F2668"/>
    <w:rsid w:val="002F26DE"/>
    <w:rsid w:val="002F2851"/>
    <w:rsid w:val="002F2903"/>
    <w:rsid w:val="002F3383"/>
    <w:rsid w:val="002F33E1"/>
    <w:rsid w:val="002F3731"/>
    <w:rsid w:val="002F3F86"/>
    <w:rsid w:val="002F557A"/>
    <w:rsid w:val="002F58EB"/>
    <w:rsid w:val="002F5B27"/>
    <w:rsid w:val="002F5F9B"/>
    <w:rsid w:val="002F6127"/>
    <w:rsid w:val="002F644F"/>
    <w:rsid w:val="002F68BB"/>
    <w:rsid w:val="002F6E94"/>
    <w:rsid w:val="002F7153"/>
    <w:rsid w:val="002F759E"/>
    <w:rsid w:val="002F794D"/>
    <w:rsid w:val="002F7AB2"/>
    <w:rsid w:val="002F7C06"/>
    <w:rsid w:val="002F7D1A"/>
    <w:rsid w:val="002F7D86"/>
    <w:rsid w:val="00300356"/>
    <w:rsid w:val="00300637"/>
    <w:rsid w:val="00300B28"/>
    <w:rsid w:val="00300DE8"/>
    <w:rsid w:val="00301090"/>
    <w:rsid w:val="003012CB"/>
    <w:rsid w:val="003015BA"/>
    <w:rsid w:val="00301D13"/>
    <w:rsid w:val="00301DC9"/>
    <w:rsid w:val="0030295D"/>
    <w:rsid w:val="00302A8D"/>
    <w:rsid w:val="00302C5A"/>
    <w:rsid w:val="0030300C"/>
    <w:rsid w:val="003037C0"/>
    <w:rsid w:val="00303AA3"/>
    <w:rsid w:val="00304109"/>
    <w:rsid w:val="0030436C"/>
    <w:rsid w:val="00304A97"/>
    <w:rsid w:val="00304E41"/>
    <w:rsid w:val="00304E82"/>
    <w:rsid w:val="00305251"/>
    <w:rsid w:val="003058E1"/>
    <w:rsid w:val="00305914"/>
    <w:rsid w:val="0030594B"/>
    <w:rsid w:val="00305A60"/>
    <w:rsid w:val="0030653D"/>
    <w:rsid w:val="00306760"/>
    <w:rsid w:val="00307D94"/>
    <w:rsid w:val="00307FB9"/>
    <w:rsid w:val="0031011C"/>
    <w:rsid w:val="00310198"/>
    <w:rsid w:val="0031029A"/>
    <w:rsid w:val="0031049D"/>
    <w:rsid w:val="003106FB"/>
    <w:rsid w:val="00310703"/>
    <w:rsid w:val="00310E2D"/>
    <w:rsid w:val="003112E5"/>
    <w:rsid w:val="0031136B"/>
    <w:rsid w:val="0031138B"/>
    <w:rsid w:val="003119FE"/>
    <w:rsid w:val="00311A4C"/>
    <w:rsid w:val="00311B21"/>
    <w:rsid w:val="00311B41"/>
    <w:rsid w:val="00311DBB"/>
    <w:rsid w:val="003122B1"/>
    <w:rsid w:val="003122DA"/>
    <w:rsid w:val="00312816"/>
    <w:rsid w:val="00312824"/>
    <w:rsid w:val="003135FD"/>
    <w:rsid w:val="003138D3"/>
    <w:rsid w:val="0031403D"/>
    <w:rsid w:val="003141C7"/>
    <w:rsid w:val="00314339"/>
    <w:rsid w:val="00314E45"/>
    <w:rsid w:val="00315046"/>
    <w:rsid w:val="0031597D"/>
    <w:rsid w:val="00315B7F"/>
    <w:rsid w:val="00315D83"/>
    <w:rsid w:val="00316682"/>
    <w:rsid w:val="00316918"/>
    <w:rsid w:val="00316AFE"/>
    <w:rsid w:val="00316BAA"/>
    <w:rsid w:val="00316CBC"/>
    <w:rsid w:val="00316D1F"/>
    <w:rsid w:val="00316E0A"/>
    <w:rsid w:val="00316ECA"/>
    <w:rsid w:val="0031744C"/>
    <w:rsid w:val="003179E0"/>
    <w:rsid w:val="00317AFB"/>
    <w:rsid w:val="00317F72"/>
    <w:rsid w:val="0032020B"/>
    <w:rsid w:val="003202AC"/>
    <w:rsid w:val="003202CA"/>
    <w:rsid w:val="003202EA"/>
    <w:rsid w:val="00320308"/>
    <w:rsid w:val="0032055E"/>
    <w:rsid w:val="00320D54"/>
    <w:rsid w:val="00321059"/>
    <w:rsid w:val="003210AD"/>
    <w:rsid w:val="003210EF"/>
    <w:rsid w:val="00321210"/>
    <w:rsid w:val="003217DF"/>
    <w:rsid w:val="00321A3F"/>
    <w:rsid w:val="00321EBB"/>
    <w:rsid w:val="00322116"/>
    <w:rsid w:val="00322351"/>
    <w:rsid w:val="003227DC"/>
    <w:rsid w:val="00322ECC"/>
    <w:rsid w:val="00323B5D"/>
    <w:rsid w:val="00323E08"/>
    <w:rsid w:val="00324397"/>
    <w:rsid w:val="003243DB"/>
    <w:rsid w:val="003245C7"/>
    <w:rsid w:val="00324A87"/>
    <w:rsid w:val="00325318"/>
    <w:rsid w:val="003255E9"/>
    <w:rsid w:val="00325AA2"/>
    <w:rsid w:val="00325CD5"/>
    <w:rsid w:val="00325D3F"/>
    <w:rsid w:val="0032693D"/>
    <w:rsid w:val="0032698B"/>
    <w:rsid w:val="00326BFF"/>
    <w:rsid w:val="00327841"/>
    <w:rsid w:val="0032789D"/>
    <w:rsid w:val="00327E45"/>
    <w:rsid w:val="0033051F"/>
    <w:rsid w:val="003306D5"/>
    <w:rsid w:val="0033106F"/>
    <w:rsid w:val="00331533"/>
    <w:rsid w:val="00331A3C"/>
    <w:rsid w:val="00331B82"/>
    <w:rsid w:val="00331D2E"/>
    <w:rsid w:val="00331D5E"/>
    <w:rsid w:val="00331E34"/>
    <w:rsid w:val="00331E39"/>
    <w:rsid w:val="0033241D"/>
    <w:rsid w:val="00332466"/>
    <w:rsid w:val="00332908"/>
    <w:rsid w:val="00332ABC"/>
    <w:rsid w:val="00332B73"/>
    <w:rsid w:val="00332C81"/>
    <w:rsid w:val="00332F5A"/>
    <w:rsid w:val="00332FA0"/>
    <w:rsid w:val="00333A76"/>
    <w:rsid w:val="00333B73"/>
    <w:rsid w:val="00333E8B"/>
    <w:rsid w:val="00333F42"/>
    <w:rsid w:val="00333F6D"/>
    <w:rsid w:val="0033423A"/>
    <w:rsid w:val="00334747"/>
    <w:rsid w:val="00334956"/>
    <w:rsid w:val="0033507C"/>
    <w:rsid w:val="00335298"/>
    <w:rsid w:val="0033566C"/>
    <w:rsid w:val="00335D75"/>
    <w:rsid w:val="00335EF7"/>
    <w:rsid w:val="00335FF3"/>
    <w:rsid w:val="003366A6"/>
    <w:rsid w:val="00336988"/>
    <w:rsid w:val="003376FB"/>
    <w:rsid w:val="003400EF"/>
    <w:rsid w:val="00340418"/>
    <w:rsid w:val="00340C63"/>
    <w:rsid w:val="00340F3C"/>
    <w:rsid w:val="00341285"/>
    <w:rsid w:val="0034133F"/>
    <w:rsid w:val="00341AB2"/>
    <w:rsid w:val="00341B87"/>
    <w:rsid w:val="00341DA4"/>
    <w:rsid w:val="00341EE6"/>
    <w:rsid w:val="0034284A"/>
    <w:rsid w:val="00342993"/>
    <w:rsid w:val="00342E5D"/>
    <w:rsid w:val="003434EA"/>
    <w:rsid w:val="00343601"/>
    <w:rsid w:val="00343855"/>
    <w:rsid w:val="00343930"/>
    <w:rsid w:val="00343F16"/>
    <w:rsid w:val="0034407D"/>
    <w:rsid w:val="003440F7"/>
    <w:rsid w:val="0034419B"/>
    <w:rsid w:val="003448A1"/>
    <w:rsid w:val="00345337"/>
    <w:rsid w:val="0034546E"/>
    <w:rsid w:val="00345533"/>
    <w:rsid w:val="00345A29"/>
    <w:rsid w:val="00345C32"/>
    <w:rsid w:val="00346388"/>
    <w:rsid w:val="003463DA"/>
    <w:rsid w:val="00346AEA"/>
    <w:rsid w:val="00347076"/>
    <w:rsid w:val="003474E0"/>
    <w:rsid w:val="00347A67"/>
    <w:rsid w:val="00347F5F"/>
    <w:rsid w:val="003501C7"/>
    <w:rsid w:val="003507E4"/>
    <w:rsid w:val="0035084C"/>
    <w:rsid w:val="00350C16"/>
    <w:rsid w:val="00350DFA"/>
    <w:rsid w:val="00351037"/>
    <w:rsid w:val="00351099"/>
    <w:rsid w:val="00351FB7"/>
    <w:rsid w:val="003521FA"/>
    <w:rsid w:val="003522E0"/>
    <w:rsid w:val="00352657"/>
    <w:rsid w:val="003527A8"/>
    <w:rsid w:val="00352D32"/>
    <w:rsid w:val="00353357"/>
    <w:rsid w:val="00353505"/>
    <w:rsid w:val="00353706"/>
    <w:rsid w:val="003538A6"/>
    <w:rsid w:val="00353A19"/>
    <w:rsid w:val="00353EE2"/>
    <w:rsid w:val="0035486F"/>
    <w:rsid w:val="00354981"/>
    <w:rsid w:val="00354BB5"/>
    <w:rsid w:val="00355297"/>
    <w:rsid w:val="003555B4"/>
    <w:rsid w:val="00355BED"/>
    <w:rsid w:val="003574EC"/>
    <w:rsid w:val="00357871"/>
    <w:rsid w:val="00357CE3"/>
    <w:rsid w:val="00357FD9"/>
    <w:rsid w:val="00360051"/>
    <w:rsid w:val="00360B42"/>
    <w:rsid w:val="00360B84"/>
    <w:rsid w:val="00360C75"/>
    <w:rsid w:val="0036176B"/>
    <w:rsid w:val="003617E7"/>
    <w:rsid w:val="0036185C"/>
    <w:rsid w:val="00361B80"/>
    <w:rsid w:val="00361C2C"/>
    <w:rsid w:val="003631AB"/>
    <w:rsid w:val="0036407E"/>
    <w:rsid w:val="003641A4"/>
    <w:rsid w:val="00364C8F"/>
    <w:rsid w:val="00365092"/>
    <w:rsid w:val="00365C2A"/>
    <w:rsid w:val="00365D1B"/>
    <w:rsid w:val="00366AA0"/>
    <w:rsid w:val="00366AEB"/>
    <w:rsid w:val="0036726F"/>
    <w:rsid w:val="0036734A"/>
    <w:rsid w:val="0036739D"/>
    <w:rsid w:val="0036740A"/>
    <w:rsid w:val="0036786B"/>
    <w:rsid w:val="003679A2"/>
    <w:rsid w:val="003704D0"/>
    <w:rsid w:val="0037062A"/>
    <w:rsid w:val="003706ED"/>
    <w:rsid w:val="0037087E"/>
    <w:rsid w:val="00370FDC"/>
    <w:rsid w:val="00371034"/>
    <w:rsid w:val="003713BD"/>
    <w:rsid w:val="00371754"/>
    <w:rsid w:val="00371F40"/>
    <w:rsid w:val="00372038"/>
    <w:rsid w:val="003720EA"/>
    <w:rsid w:val="00374D6E"/>
    <w:rsid w:val="00374ED2"/>
    <w:rsid w:val="00374FB4"/>
    <w:rsid w:val="0037510E"/>
    <w:rsid w:val="003753A9"/>
    <w:rsid w:val="00375474"/>
    <w:rsid w:val="003754B3"/>
    <w:rsid w:val="00375911"/>
    <w:rsid w:val="003760C7"/>
    <w:rsid w:val="003771AB"/>
    <w:rsid w:val="003774CB"/>
    <w:rsid w:val="003775D3"/>
    <w:rsid w:val="00377A0F"/>
    <w:rsid w:val="00377B73"/>
    <w:rsid w:val="00377C99"/>
    <w:rsid w:val="0038025B"/>
    <w:rsid w:val="00380AC1"/>
    <w:rsid w:val="00380C1B"/>
    <w:rsid w:val="00380D3F"/>
    <w:rsid w:val="00381602"/>
    <w:rsid w:val="0038174C"/>
    <w:rsid w:val="00381FDE"/>
    <w:rsid w:val="00382821"/>
    <w:rsid w:val="003839EF"/>
    <w:rsid w:val="00384505"/>
    <w:rsid w:val="00384EB7"/>
    <w:rsid w:val="00384ECA"/>
    <w:rsid w:val="00385095"/>
    <w:rsid w:val="00385543"/>
    <w:rsid w:val="0038555F"/>
    <w:rsid w:val="0038566A"/>
    <w:rsid w:val="00385C58"/>
    <w:rsid w:val="00385C87"/>
    <w:rsid w:val="003862F1"/>
    <w:rsid w:val="00387172"/>
    <w:rsid w:val="0039085E"/>
    <w:rsid w:val="003908BB"/>
    <w:rsid w:val="00390C04"/>
    <w:rsid w:val="00390C60"/>
    <w:rsid w:val="003919F3"/>
    <w:rsid w:val="00392B20"/>
    <w:rsid w:val="00392D2C"/>
    <w:rsid w:val="00393148"/>
    <w:rsid w:val="00393393"/>
    <w:rsid w:val="00393735"/>
    <w:rsid w:val="00393E3B"/>
    <w:rsid w:val="003940AF"/>
    <w:rsid w:val="003943FA"/>
    <w:rsid w:val="003948AA"/>
    <w:rsid w:val="0039503D"/>
    <w:rsid w:val="003953A4"/>
    <w:rsid w:val="00395532"/>
    <w:rsid w:val="00395763"/>
    <w:rsid w:val="003958FC"/>
    <w:rsid w:val="00395A96"/>
    <w:rsid w:val="00395CBD"/>
    <w:rsid w:val="0039655C"/>
    <w:rsid w:val="00396799"/>
    <w:rsid w:val="003968CA"/>
    <w:rsid w:val="003968CB"/>
    <w:rsid w:val="00396DAD"/>
    <w:rsid w:val="00396E36"/>
    <w:rsid w:val="003973F2"/>
    <w:rsid w:val="0039786B"/>
    <w:rsid w:val="00397EA0"/>
    <w:rsid w:val="00397F7D"/>
    <w:rsid w:val="003A1226"/>
    <w:rsid w:val="003A1388"/>
    <w:rsid w:val="003A1E7F"/>
    <w:rsid w:val="003A233D"/>
    <w:rsid w:val="003A2526"/>
    <w:rsid w:val="003A26DB"/>
    <w:rsid w:val="003A3A2B"/>
    <w:rsid w:val="003A3DBD"/>
    <w:rsid w:val="003A404F"/>
    <w:rsid w:val="003A484D"/>
    <w:rsid w:val="003A4893"/>
    <w:rsid w:val="003A4C10"/>
    <w:rsid w:val="003A4D23"/>
    <w:rsid w:val="003A4EB8"/>
    <w:rsid w:val="003A515E"/>
    <w:rsid w:val="003A51C7"/>
    <w:rsid w:val="003A55EC"/>
    <w:rsid w:val="003A5ABB"/>
    <w:rsid w:val="003A5F97"/>
    <w:rsid w:val="003A6060"/>
    <w:rsid w:val="003A60C2"/>
    <w:rsid w:val="003A648E"/>
    <w:rsid w:val="003A6755"/>
    <w:rsid w:val="003A692B"/>
    <w:rsid w:val="003A72BF"/>
    <w:rsid w:val="003A7318"/>
    <w:rsid w:val="003A7448"/>
    <w:rsid w:val="003A755E"/>
    <w:rsid w:val="003A757F"/>
    <w:rsid w:val="003A774D"/>
    <w:rsid w:val="003A77AC"/>
    <w:rsid w:val="003A7855"/>
    <w:rsid w:val="003B0AC1"/>
    <w:rsid w:val="003B0CDE"/>
    <w:rsid w:val="003B0E8B"/>
    <w:rsid w:val="003B1072"/>
    <w:rsid w:val="003B18B9"/>
    <w:rsid w:val="003B1C3C"/>
    <w:rsid w:val="003B1F07"/>
    <w:rsid w:val="003B2A75"/>
    <w:rsid w:val="003B2D7B"/>
    <w:rsid w:val="003B3258"/>
    <w:rsid w:val="003B327B"/>
    <w:rsid w:val="003B34D8"/>
    <w:rsid w:val="003B3732"/>
    <w:rsid w:val="003B4066"/>
    <w:rsid w:val="003B4212"/>
    <w:rsid w:val="003B4419"/>
    <w:rsid w:val="003B4677"/>
    <w:rsid w:val="003B49FF"/>
    <w:rsid w:val="003B4BBF"/>
    <w:rsid w:val="003B4E26"/>
    <w:rsid w:val="003B4E29"/>
    <w:rsid w:val="003B5118"/>
    <w:rsid w:val="003B52B8"/>
    <w:rsid w:val="003B558F"/>
    <w:rsid w:val="003B5686"/>
    <w:rsid w:val="003B5EBE"/>
    <w:rsid w:val="003B6698"/>
    <w:rsid w:val="003B6845"/>
    <w:rsid w:val="003B6AD7"/>
    <w:rsid w:val="003B6B00"/>
    <w:rsid w:val="003B7263"/>
    <w:rsid w:val="003C08BF"/>
    <w:rsid w:val="003C0991"/>
    <w:rsid w:val="003C0E54"/>
    <w:rsid w:val="003C1159"/>
    <w:rsid w:val="003C117C"/>
    <w:rsid w:val="003C171A"/>
    <w:rsid w:val="003C17BB"/>
    <w:rsid w:val="003C192B"/>
    <w:rsid w:val="003C1A71"/>
    <w:rsid w:val="003C1D53"/>
    <w:rsid w:val="003C248B"/>
    <w:rsid w:val="003C2801"/>
    <w:rsid w:val="003C2E5D"/>
    <w:rsid w:val="003C3399"/>
    <w:rsid w:val="003C34A8"/>
    <w:rsid w:val="003C3684"/>
    <w:rsid w:val="003C397A"/>
    <w:rsid w:val="003C3E72"/>
    <w:rsid w:val="003C3EF0"/>
    <w:rsid w:val="003C3F5A"/>
    <w:rsid w:val="003C4872"/>
    <w:rsid w:val="003C51EA"/>
    <w:rsid w:val="003C527B"/>
    <w:rsid w:val="003C6068"/>
    <w:rsid w:val="003C61E3"/>
    <w:rsid w:val="003C627D"/>
    <w:rsid w:val="003C65C1"/>
    <w:rsid w:val="003C691C"/>
    <w:rsid w:val="003C6D2A"/>
    <w:rsid w:val="003C6D31"/>
    <w:rsid w:val="003C6F28"/>
    <w:rsid w:val="003C71B2"/>
    <w:rsid w:val="003C7419"/>
    <w:rsid w:val="003C7766"/>
    <w:rsid w:val="003C7AB7"/>
    <w:rsid w:val="003D001E"/>
    <w:rsid w:val="003D00A0"/>
    <w:rsid w:val="003D04F5"/>
    <w:rsid w:val="003D0F6C"/>
    <w:rsid w:val="003D1291"/>
    <w:rsid w:val="003D194D"/>
    <w:rsid w:val="003D279F"/>
    <w:rsid w:val="003D28A6"/>
    <w:rsid w:val="003D2A11"/>
    <w:rsid w:val="003D2CF7"/>
    <w:rsid w:val="003D2DA0"/>
    <w:rsid w:val="003D2F78"/>
    <w:rsid w:val="003D33E7"/>
    <w:rsid w:val="003D359A"/>
    <w:rsid w:val="003D39DF"/>
    <w:rsid w:val="003D3ADC"/>
    <w:rsid w:val="003D4181"/>
    <w:rsid w:val="003D50F7"/>
    <w:rsid w:val="003D5B6E"/>
    <w:rsid w:val="003D5B99"/>
    <w:rsid w:val="003D5C6B"/>
    <w:rsid w:val="003D60F4"/>
    <w:rsid w:val="003D6111"/>
    <w:rsid w:val="003D641B"/>
    <w:rsid w:val="003D6CB9"/>
    <w:rsid w:val="003D7517"/>
    <w:rsid w:val="003D781E"/>
    <w:rsid w:val="003D7917"/>
    <w:rsid w:val="003E00A8"/>
    <w:rsid w:val="003E07C4"/>
    <w:rsid w:val="003E0A12"/>
    <w:rsid w:val="003E1069"/>
    <w:rsid w:val="003E1157"/>
    <w:rsid w:val="003E13B4"/>
    <w:rsid w:val="003E1709"/>
    <w:rsid w:val="003E17B3"/>
    <w:rsid w:val="003E187E"/>
    <w:rsid w:val="003E1CA4"/>
    <w:rsid w:val="003E1FA3"/>
    <w:rsid w:val="003E230B"/>
    <w:rsid w:val="003E23BE"/>
    <w:rsid w:val="003E2CD1"/>
    <w:rsid w:val="003E3088"/>
    <w:rsid w:val="003E3430"/>
    <w:rsid w:val="003E3D47"/>
    <w:rsid w:val="003E3DDC"/>
    <w:rsid w:val="003E4E29"/>
    <w:rsid w:val="003E5281"/>
    <w:rsid w:val="003E5375"/>
    <w:rsid w:val="003E57F4"/>
    <w:rsid w:val="003E5A0A"/>
    <w:rsid w:val="003E6163"/>
    <w:rsid w:val="003E6843"/>
    <w:rsid w:val="003E69E8"/>
    <w:rsid w:val="003E6A21"/>
    <w:rsid w:val="003E6ABD"/>
    <w:rsid w:val="003E6E08"/>
    <w:rsid w:val="003E7420"/>
    <w:rsid w:val="003E768C"/>
    <w:rsid w:val="003E7825"/>
    <w:rsid w:val="003E79ED"/>
    <w:rsid w:val="003E7F46"/>
    <w:rsid w:val="003F0150"/>
    <w:rsid w:val="003F0663"/>
    <w:rsid w:val="003F0709"/>
    <w:rsid w:val="003F076E"/>
    <w:rsid w:val="003F0E8C"/>
    <w:rsid w:val="003F239A"/>
    <w:rsid w:val="003F2A9E"/>
    <w:rsid w:val="003F3493"/>
    <w:rsid w:val="003F3F00"/>
    <w:rsid w:val="003F40E8"/>
    <w:rsid w:val="003F477F"/>
    <w:rsid w:val="003F4FC0"/>
    <w:rsid w:val="003F5CAF"/>
    <w:rsid w:val="003F5F22"/>
    <w:rsid w:val="003F61BE"/>
    <w:rsid w:val="003F6272"/>
    <w:rsid w:val="003F63C5"/>
    <w:rsid w:val="003F6456"/>
    <w:rsid w:val="003F6622"/>
    <w:rsid w:val="003F68AA"/>
    <w:rsid w:val="003F736D"/>
    <w:rsid w:val="003F7467"/>
    <w:rsid w:val="003F77B4"/>
    <w:rsid w:val="003F7ADB"/>
    <w:rsid w:val="003F7E73"/>
    <w:rsid w:val="00400770"/>
    <w:rsid w:val="0040078C"/>
    <w:rsid w:val="004008A6"/>
    <w:rsid w:val="004012D5"/>
    <w:rsid w:val="00401925"/>
    <w:rsid w:val="0040215D"/>
    <w:rsid w:val="00402273"/>
    <w:rsid w:val="004024DF"/>
    <w:rsid w:val="004026AD"/>
    <w:rsid w:val="004027B8"/>
    <w:rsid w:val="00402CF4"/>
    <w:rsid w:val="00402CF5"/>
    <w:rsid w:val="00402F92"/>
    <w:rsid w:val="004033C9"/>
    <w:rsid w:val="004033EA"/>
    <w:rsid w:val="00403442"/>
    <w:rsid w:val="0040410B"/>
    <w:rsid w:val="00404C98"/>
    <w:rsid w:val="00404D7D"/>
    <w:rsid w:val="00404E03"/>
    <w:rsid w:val="004050AD"/>
    <w:rsid w:val="00405167"/>
    <w:rsid w:val="0040545A"/>
    <w:rsid w:val="00405759"/>
    <w:rsid w:val="00405E53"/>
    <w:rsid w:val="00405FBF"/>
    <w:rsid w:val="004069F8"/>
    <w:rsid w:val="00407129"/>
    <w:rsid w:val="004072EB"/>
    <w:rsid w:val="00407559"/>
    <w:rsid w:val="00407930"/>
    <w:rsid w:val="00407967"/>
    <w:rsid w:val="00407AC9"/>
    <w:rsid w:val="00407DA4"/>
    <w:rsid w:val="00407ED0"/>
    <w:rsid w:val="00407FBB"/>
    <w:rsid w:val="004105CF"/>
    <w:rsid w:val="00410966"/>
    <w:rsid w:val="00410B2E"/>
    <w:rsid w:val="00410FE2"/>
    <w:rsid w:val="00411852"/>
    <w:rsid w:val="0041199D"/>
    <w:rsid w:val="00411A89"/>
    <w:rsid w:val="00411C20"/>
    <w:rsid w:val="00411F10"/>
    <w:rsid w:val="00412126"/>
    <w:rsid w:val="0041247C"/>
    <w:rsid w:val="00412681"/>
    <w:rsid w:val="00413067"/>
    <w:rsid w:val="00413290"/>
    <w:rsid w:val="00413620"/>
    <w:rsid w:val="00413677"/>
    <w:rsid w:val="004138B2"/>
    <w:rsid w:val="00413CF6"/>
    <w:rsid w:val="0041451A"/>
    <w:rsid w:val="004149DE"/>
    <w:rsid w:val="00414C80"/>
    <w:rsid w:val="004156EA"/>
    <w:rsid w:val="00415B55"/>
    <w:rsid w:val="00415D14"/>
    <w:rsid w:val="00416915"/>
    <w:rsid w:val="00416D15"/>
    <w:rsid w:val="00416E3B"/>
    <w:rsid w:val="004174F2"/>
    <w:rsid w:val="0041759B"/>
    <w:rsid w:val="0041781A"/>
    <w:rsid w:val="0041785D"/>
    <w:rsid w:val="00417A58"/>
    <w:rsid w:val="00417FDD"/>
    <w:rsid w:val="0042014B"/>
    <w:rsid w:val="004205C0"/>
    <w:rsid w:val="00420817"/>
    <w:rsid w:val="004210E1"/>
    <w:rsid w:val="004211DD"/>
    <w:rsid w:val="004214DD"/>
    <w:rsid w:val="004218B4"/>
    <w:rsid w:val="004219DE"/>
    <w:rsid w:val="00421A5E"/>
    <w:rsid w:val="00421FA2"/>
    <w:rsid w:val="00422781"/>
    <w:rsid w:val="00422FC9"/>
    <w:rsid w:val="00423859"/>
    <w:rsid w:val="004242FE"/>
    <w:rsid w:val="00424437"/>
    <w:rsid w:val="00424867"/>
    <w:rsid w:val="00425B42"/>
    <w:rsid w:val="00425D0D"/>
    <w:rsid w:val="00425D8A"/>
    <w:rsid w:val="00425E4E"/>
    <w:rsid w:val="004260B9"/>
    <w:rsid w:val="0042692D"/>
    <w:rsid w:val="0042717A"/>
    <w:rsid w:val="00427EA2"/>
    <w:rsid w:val="00427F6C"/>
    <w:rsid w:val="00430202"/>
    <w:rsid w:val="004306DC"/>
    <w:rsid w:val="00430D8C"/>
    <w:rsid w:val="004311AF"/>
    <w:rsid w:val="004315AA"/>
    <w:rsid w:val="0043160A"/>
    <w:rsid w:val="00431637"/>
    <w:rsid w:val="00432304"/>
    <w:rsid w:val="00432522"/>
    <w:rsid w:val="00432E59"/>
    <w:rsid w:val="00433106"/>
    <w:rsid w:val="00433EE7"/>
    <w:rsid w:val="004346A6"/>
    <w:rsid w:val="004348DE"/>
    <w:rsid w:val="00434A54"/>
    <w:rsid w:val="00434AAD"/>
    <w:rsid w:val="004352C8"/>
    <w:rsid w:val="0043567B"/>
    <w:rsid w:val="00435820"/>
    <w:rsid w:val="00435B18"/>
    <w:rsid w:val="00435B19"/>
    <w:rsid w:val="00436372"/>
    <w:rsid w:val="004365F2"/>
    <w:rsid w:val="004367BC"/>
    <w:rsid w:val="004367F9"/>
    <w:rsid w:val="00436B3D"/>
    <w:rsid w:val="0043725F"/>
    <w:rsid w:val="00437A47"/>
    <w:rsid w:val="00437CA8"/>
    <w:rsid w:val="0044002B"/>
    <w:rsid w:val="00440286"/>
    <w:rsid w:val="004403D5"/>
    <w:rsid w:val="004409F2"/>
    <w:rsid w:val="00440BF1"/>
    <w:rsid w:val="00440D31"/>
    <w:rsid w:val="004410B5"/>
    <w:rsid w:val="00441221"/>
    <w:rsid w:val="0044127D"/>
    <w:rsid w:val="004414CA"/>
    <w:rsid w:val="004418C4"/>
    <w:rsid w:val="00441C82"/>
    <w:rsid w:val="00441FC6"/>
    <w:rsid w:val="004420E5"/>
    <w:rsid w:val="00442230"/>
    <w:rsid w:val="0044235B"/>
    <w:rsid w:val="00443024"/>
    <w:rsid w:val="00443174"/>
    <w:rsid w:val="00443746"/>
    <w:rsid w:val="00443AB7"/>
    <w:rsid w:val="00443D99"/>
    <w:rsid w:val="004445F0"/>
    <w:rsid w:val="00444BB3"/>
    <w:rsid w:val="00444EE4"/>
    <w:rsid w:val="00445492"/>
    <w:rsid w:val="00445BCF"/>
    <w:rsid w:val="00445BFA"/>
    <w:rsid w:val="00445C53"/>
    <w:rsid w:val="00445E79"/>
    <w:rsid w:val="00445FC6"/>
    <w:rsid w:val="0044613D"/>
    <w:rsid w:val="004461BA"/>
    <w:rsid w:val="004462BE"/>
    <w:rsid w:val="00446365"/>
    <w:rsid w:val="0044647A"/>
    <w:rsid w:val="00446D91"/>
    <w:rsid w:val="0044707E"/>
    <w:rsid w:val="004477EB"/>
    <w:rsid w:val="004478D0"/>
    <w:rsid w:val="00447B9A"/>
    <w:rsid w:val="004503F3"/>
    <w:rsid w:val="00450C14"/>
    <w:rsid w:val="00450CFB"/>
    <w:rsid w:val="00450FA9"/>
    <w:rsid w:val="00451765"/>
    <w:rsid w:val="0045198C"/>
    <w:rsid w:val="00451BB4"/>
    <w:rsid w:val="00451C21"/>
    <w:rsid w:val="00452440"/>
    <w:rsid w:val="004524F4"/>
    <w:rsid w:val="00452B6D"/>
    <w:rsid w:val="00452E2F"/>
    <w:rsid w:val="00453068"/>
    <w:rsid w:val="0045325C"/>
    <w:rsid w:val="004533BA"/>
    <w:rsid w:val="004535E6"/>
    <w:rsid w:val="0045388D"/>
    <w:rsid w:val="004549AD"/>
    <w:rsid w:val="00454D59"/>
    <w:rsid w:val="00454E35"/>
    <w:rsid w:val="00455413"/>
    <w:rsid w:val="00455443"/>
    <w:rsid w:val="004558CA"/>
    <w:rsid w:val="004559F4"/>
    <w:rsid w:val="00455A44"/>
    <w:rsid w:val="00455A9C"/>
    <w:rsid w:val="00455C2E"/>
    <w:rsid w:val="00455DDF"/>
    <w:rsid w:val="00455F9A"/>
    <w:rsid w:val="004560CA"/>
    <w:rsid w:val="00456104"/>
    <w:rsid w:val="004564CD"/>
    <w:rsid w:val="00456770"/>
    <w:rsid w:val="00457074"/>
    <w:rsid w:val="0045715F"/>
    <w:rsid w:val="0045739D"/>
    <w:rsid w:val="004578CB"/>
    <w:rsid w:val="004579F0"/>
    <w:rsid w:val="00457E7D"/>
    <w:rsid w:val="00457F53"/>
    <w:rsid w:val="00460D5D"/>
    <w:rsid w:val="004613C3"/>
    <w:rsid w:val="00461D2A"/>
    <w:rsid w:val="00461E64"/>
    <w:rsid w:val="00462463"/>
    <w:rsid w:val="00463468"/>
    <w:rsid w:val="00463EB4"/>
    <w:rsid w:val="004640E0"/>
    <w:rsid w:val="00464364"/>
    <w:rsid w:val="004645C8"/>
    <w:rsid w:val="00464775"/>
    <w:rsid w:val="004649E9"/>
    <w:rsid w:val="00464C32"/>
    <w:rsid w:val="00464C5E"/>
    <w:rsid w:val="00465677"/>
    <w:rsid w:val="00465A7C"/>
    <w:rsid w:val="00465AFC"/>
    <w:rsid w:val="00465C85"/>
    <w:rsid w:val="00465E20"/>
    <w:rsid w:val="00465E59"/>
    <w:rsid w:val="004669DA"/>
    <w:rsid w:val="00466B0E"/>
    <w:rsid w:val="00466F09"/>
    <w:rsid w:val="004671A0"/>
    <w:rsid w:val="0046751E"/>
    <w:rsid w:val="00467E03"/>
    <w:rsid w:val="00467E1B"/>
    <w:rsid w:val="004703E1"/>
    <w:rsid w:val="00470577"/>
    <w:rsid w:val="0047065E"/>
    <w:rsid w:val="004708D8"/>
    <w:rsid w:val="00470C07"/>
    <w:rsid w:val="00470D3E"/>
    <w:rsid w:val="004713C0"/>
    <w:rsid w:val="00471E35"/>
    <w:rsid w:val="004724A6"/>
    <w:rsid w:val="00472797"/>
    <w:rsid w:val="004727AD"/>
    <w:rsid w:val="00472C08"/>
    <w:rsid w:val="004739FC"/>
    <w:rsid w:val="00473C4F"/>
    <w:rsid w:val="00473EF3"/>
    <w:rsid w:val="0047414B"/>
    <w:rsid w:val="004741C5"/>
    <w:rsid w:val="00474532"/>
    <w:rsid w:val="004746F1"/>
    <w:rsid w:val="0047488F"/>
    <w:rsid w:val="004748E8"/>
    <w:rsid w:val="00474DAC"/>
    <w:rsid w:val="004750F2"/>
    <w:rsid w:val="0047554D"/>
    <w:rsid w:val="00475F8A"/>
    <w:rsid w:val="004760DB"/>
    <w:rsid w:val="004761D4"/>
    <w:rsid w:val="0047694E"/>
    <w:rsid w:val="00477240"/>
    <w:rsid w:val="0047747A"/>
    <w:rsid w:val="00477540"/>
    <w:rsid w:val="004775A7"/>
    <w:rsid w:val="004775D8"/>
    <w:rsid w:val="00477661"/>
    <w:rsid w:val="00477954"/>
    <w:rsid w:val="004805E6"/>
    <w:rsid w:val="0048144F"/>
    <w:rsid w:val="00481AFE"/>
    <w:rsid w:val="00481C81"/>
    <w:rsid w:val="0048233D"/>
    <w:rsid w:val="004838A6"/>
    <w:rsid w:val="00484EED"/>
    <w:rsid w:val="0048563A"/>
    <w:rsid w:val="004858E9"/>
    <w:rsid w:val="0048595D"/>
    <w:rsid w:val="00485B99"/>
    <w:rsid w:val="00485BD0"/>
    <w:rsid w:val="00486B7A"/>
    <w:rsid w:val="00486B9F"/>
    <w:rsid w:val="00486D28"/>
    <w:rsid w:val="004871CA"/>
    <w:rsid w:val="00487452"/>
    <w:rsid w:val="004876EE"/>
    <w:rsid w:val="004878E6"/>
    <w:rsid w:val="00487C49"/>
    <w:rsid w:val="004902C8"/>
    <w:rsid w:val="00490D84"/>
    <w:rsid w:val="0049111C"/>
    <w:rsid w:val="004912BB"/>
    <w:rsid w:val="00491462"/>
    <w:rsid w:val="00491C1A"/>
    <w:rsid w:val="00491EB3"/>
    <w:rsid w:val="004921F0"/>
    <w:rsid w:val="004927E8"/>
    <w:rsid w:val="00492CE2"/>
    <w:rsid w:val="00493517"/>
    <w:rsid w:val="00493572"/>
    <w:rsid w:val="004936D9"/>
    <w:rsid w:val="0049390A"/>
    <w:rsid w:val="00493F22"/>
    <w:rsid w:val="0049451A"/>
    <w:rsid w:val="00494796"/>
    <w:rsid w:val="00494E95"/>
    <w:rsid w:val="004950AF"/>
    <w:rsid w:val="0049548A"/>
    <w:rsid w:val="004957ED"/>
    <w:rsid w:val="00495843"/>
    <w:rsid w:val="00495E34"/>
    <w:rsid w:val="00495F84"/>
    <w:rsid w:val="0049602B"/>
    <w:rsid w:val="004963A1"/>
    <w:rsid w:val="0049689D"/>
    <w:rsid w:val="004968EF"/>
    <w:rsid w:val="004969CF"/>
    <w:rsid w:val="00496F61"/>
    <w:rsid w:val="00497042"/>
    <w:rsid w:val="004970AA"/>
    <w:rsid w:val="004971FE"/>
    <w:rsid w:val="0049739A"/>
    <w:rsid w:val="00497A3D"/>
    <w:rsid w:val="00497A8C"/>
    <w:rsid w:val="00497A9D"/>
    <w:rsid w:val="00497D71"/>
    <w:rsid w:val="004A0118"/>
    <w:rsid w:val="004A049E"/>
    <w:rsid w:val="004A0724"/>
    <w:rsid w:val="004A0928"/>
    <w:rsid w:val="004A0D0A"/>
    <w:rsid w:val="004A0E91"/>
    <w:rsid w:val="004A0F5E"/>
    <w:rsid w:val="004A0F67"/>
    <w:rsid w:val="004A14A4"/>
    <w:rsid w:val="004A1589"/>
    <w:rsid w:val="004A16D2"/>
    <w:rsid w:val="004A1873"/>
    <w:rsid w:val="004A19F8"/>
    <w:rsid w:val="004A1A8B"/>
    <w:rsid w:val="004A20AB"/>
    <w:rsid w:val="004A20B4"/>
    <w:rsid w:val="004A2477"/>
    <w:rsid w:val="004A26E1"/>
    <w:rsid w:val="004A2F3D"/>
    <w:rsid w:val="004A34C9"/>
    <w:rsid w:val="004A38CD"/>
    <w:rsid w:val="004A4186"/>
    <w:rsid w:val="004A4489"/>
    <w:rsid w:val="004A45E0"/>
    <w:rsid w:val="004A490D"/>
    <w:rsid w:val="004A49D9"/>
    <w:rsid w:val="004A4A17"/>
    <w:rsid w:val="004A4EE4"/>
    <w:rsid w:val="004A5043"/>
    <w:rsid w:val="004A51D8"/>
    <w:rsid w:val="004A5364"/>
    <w:rsid w:val="004A5487"/>
    <w:rsid w:val="004A5E9B"/>
    <w:rsid w:val="004A6692"/>
    <w:rsid w:val="004A68BF"/>
    <w:rsid w:val="004A6C1C"/>
    <w:rsid w:val="004A71EA"/>
    <w:rsid w:val="004A7427"/>
    <w:rsid w:val="004A7689"/>
    <w:rsid w:val="004A770B"/>
    <w:rsid w:val="004A7A1E"/>
    <w:rsid w:val="004A7B84"/>
    <w:rsid w:val="004B09CB"/>
    <w:rsid w:val="004B1CBC"/>
    <w:rsid w:val="004B2408"/>
    <w:rsid w:val="004B24F1"/>
    <w:rsid w:val="004B26AB"/>
    <w:rsid w:val="004B2775"/>
    <w:rsid w:val="004B2825"/>
    <w:rsid w:val="004B2F4D"/>
    <w:rsid w:val="004B3B3C"/>
    <w:rsid w:val="004B3C5E"/>
    <w:rsid w:val="004B47E0"/>
    <w:rsid w:val="004B49D4"/>
    <w:rsid w:val="004B4B23"/>
    <w:rsid w:val="004B4BF2"/>
    <w:rsid w:val="004B514E"/>
    <w:rsid w:val="004B55EC"/>
    <w:rsid w:val="004B56D7"/>
    <w:rsid w:val="004B5A02"/>
    <w:rsid w:val="004B6498"/>
    <w:rsid w:val="004B6E69"/>
    <w:rsid w:val="004B7999"/>
    <w:rsid w:val="004B7BBA"/>
    <w:rsid w:val="004B7CA7"/>
    <w:rsid w:val="004B7EEE"/>
    <w:rsid w:val="004B7F80"/>
    <w:rsid w:val="004C0325"/>
    <w:rsid w:val="004C036B"/>
    <w:rsid w:val="004C063C"/>
    <w:rsid w:val="004C1859"/>
    <w:rsid w:val="004C1BB4"/>
    <w:rsid w:val="004C1E8D"/>
    <w:rsid w:val="004C2173"/>
    <w:rsid w:val="004C246F"/>
    <w:rsid w:val="004C2517"/>
    <w:rsid w:val="004C2664"/>
    <w:rsid w:val="004C2F10"/>
    <w:rsid w:val="004C2FA5"/>
    <w:rsid w:val="004C32FC"/>
    <w:rsid w:val="004C3B16"/>
    <w:rsid w:val="004C3E53"/>
    <w:rsid w:val="004C4099"/>
    <w:rsid w:val="004C410D"/>
    <w:rsid w:val="004C4150"/>
    <w:rsid w:val="004C4675"/>
    <w:rsid w:val="004C4BFB"/>
    <w:rsid w:val="004C4F5B"/>
    <w:rsid w:val="004C590C"/>
    <w:rsid w:val="004C5941"/>
    <w:rsid w:val="004C5A64"/>
    <w:rsid w:val="004C5BFC"/>
    <w:rsid w:val="004C5BFD"/>
    <w:rsid w:val="004C66AE"/>
    <w:rsid w:val="004C6B67"/>
    <w:rsid w:val="004C6FF4"/>
    <w:rsid w:val="004C7494"/>
    <w:rsid w:val="004D0349"/>
    <w:rsid w:val="004D0804"/>
    <w:rsid w:val="004D093B"/>
    <w:rsid w:val="004D0B77"/>
    <w:rsid w:val="004D155B"/>
    <w:rsid w:val="004D15AF"/>
    <w:rsid w:val="004D1605"/>
    <w:rsid w:val="004D1865"/>
    <w:rsid w:val="004D1ED0"/>
    <w:rsid w:val="004D24FA"/>
    <w:rsid w:val="004D25E9"/>
    <w:rsid w:val="004D2D3A"/>
    <w:rsid w:val="004D2EC7"/>
    <w:rsid w:val="004D3599"/>
    <w:rsid w:val="004D4E52"/>
    <w:rsid w:val="004D4F72"/>
    <w:rsid w:val="004D5B48"/>
    <w:rsid w:val="004D5C36"/>
    <w:rsid w:val="004D620B"/>
    <w:rsid w:val="004D6ECB"/>
    <w:rsid w:val="004D7851"/>
    <w:rsid w:val="004D7A6F"/>
    <w:rsid w:val="004D7AB7"/>
    <w:rsid w:val="004E05DD"/>
    <w:rsid w:val="004E0B1E"/>
    <w:rsid w:val="004E0D2D"/>
    <w:rsid w:val="004E0D83"/>
    <w:rsid w:val="004E0E09"/>
    <w:rsid w:val="004E0EE3"/>
    <w:rsid w:val="004E11EF"/>
    <w:rsid w:val="004E1249"/>
    <w:rsid w:val="004E148D"/>
    <w:rsid w:val="004E205B"/>
    <w:rsid w:val="004E2694"/>
    <w:rsid w:val="004E2F42"/>
    <w:rsid w:val="004E2F6F"/>
    <w:rsid w:val="004E3000"/>
    <w:rsid w:val="004E3FDE"/>
    <w:rsid w:val="004E432E"/>
    <w:rsid w:val="004E4C64"/>
    <w:rsid w:val="004E509A"/>
    <w:rsid w:val="004E5155"/>
    <w:rsid w:val="004E55DD"/>
    <w:rsid w:val="004E57B5"/>
    <w:rsid w:val="004E5A71"/>
    <w:rsid w:val="004E5BD3"/>
    <w:rsid w:val="004E5F05"/>
    <w:rsid w:val="004E5F3A"/>
    <w:rsid w:val="004E6264"/>
    <w:rsid w:val="004E67F1"/>
    <w:rsid w:val="004E680A"/>
    <w:rsid w:val="004E6BA5"/>
    <w:rsid w:val="004E6BE6"/>
    <w:rsid w:val="004E75DD"/>
    <w:rsid w:val="004E77B0"/>
    <w:rsid w:val="004E7801"/>
    <w:rsid w:val="004E7A88"/>
    <w:rsid w:val="004E7F25"/>
    <w:rsid w:val="004F04D9"/>
    <w:rsid w:val="004F08B6"/>
    <w:rsid w:val="004F0C9F"/>
    <w:rsid w:val="004F16B8"/>
    <w:rsid w:val="004F24AC"/>
    <w:rsid w:val="004F24F7"/>
    <w:rsid w:val="004F29E3"/>
    <w:rsid w:val="004F2AF2"/>
    <w:rsid w:val="004F2B7D"/>
    <w:rsid w:val="004F2FC7"/>
    <w:rsid w:val="004F30C2"/>
    <w:rsid w:val="004F34AE"/>
    <w:rsid w:val="004F35D4"/>
    <w:rsid w:val="004F3826"/>
    <w:rsid w:val="004F3E8E"/>
    <w:rsid w:val="004F4602"/>
    <w:rsid w:val="004F4C84"/>
    <w:rsid w:val="004F584C"/>
    <w:rsid w:val="004F5984"/>
    <w:rsid w:val="004F60EC"/>
    <w:rsid w:val="004F624A"/>
    <w:rsid w:val="004F6275"/>
    <w:rsid w:val="004F6A39"/>
    <w:rsid w:val="004F6BB2"/>
    <w:rsid w:val="004F6BE3"/>
    <w:rsid w:val="004F707C"/>
    <w:rsid w:val="004F75AD"/>
    <w:rsid w:val="004F7C35"/>
    <w:rsid w:val="004F7E8C"/>
    <w:rsid w:val="00500040"/>
    <w:rsid w:val="005002A9"/>
    <w:rsid w:val="00500788"/>
    <w:rsid w:val="00500835"/>
    <w:rsid w:val="00501C25"/>
    <w:rsid w:val="00502178"/>
    <w:rsid w:val="0050225A"/>
    <w:rsid w:val="00502399"/>
    <w:rsid w:val="005025D6"/>
    <w:rsid w:val="00502615"/>
    <w:rsid w:val="00502D49"/>
    <w:rsid w:val="00502DBA"/>
    <w:rsid w:val="00503049"/>
    <w:rsid w:val="00503489"/>
    <w:rsid w:val="005036AA"/>
    <w:rsid w:val="005037B8"/>
    <w:rsid w:val="00504041"/>
    <w:rsid w:val="00504FE8"/>
    <w:rsid w:val="00505439"/>
    <w:rsid w:val="00505533"/>
    <w:rsid w:val="00505C7B"/>
    <w:rsid w:val="00505C97"/>
    <w:rsid w:val="00505E0C"/>
    <w:rsid w:val="005060BE"/>
    <w:rsid w:val="005065BB"/>
    <w:rsid w:val="00506DFE"/>
    <w:rsid w:val="00506F24"/>
    <w:rsid w:val="0050783D"/>
    <w:rsid w:val="0050793C"/>
    <w:rsid w:val="00510288"/>
    <w:rsid w:val="00510493"/>
    <w:rsid w:val="005104B8"/>
    <w:rsid w:val="005107F0"/>
    <w:rsid w:val="005109B2"/>
    <w:rsid w:val="005112B0"/>
    <w:rsid w:val="00511619"/>
    <w:rsid w:val="00511629"/>
    <w:rsid w:val="00511F96"/>
    <w:rsid w:val="00512499"/>
    <w:rsid w:val="005124D4"/>
    <w:rsid w:val="005128CE"/>
    <w:rsid w:val="00512C70"/>
    <w:rsid w:val="00512EA9"/>
    <w:rsid w:val="00513178"/>
    <w:rsid w:val="005131E2"/>
    <w:rsid w:val="00513C41"/>
    <w:rsid w:val="00513E05"/>
    <w:rsid w:val="00514323"/>
    <w:rsid w:val="0051441A"/>
    <w:rsid w:val="005146E5"/>
    <w:rsid w:val="00514CFD"/>
    <w:rsid w:val="00514D57"/>
    <w:rsid w:val="00515233"/>
    <w:rsid w:val="005166AF"/>
    <w:rsid w:val="00516D84"/>
    <w:rsid w:val="00517718"/>
    <w:rsid w:val="00517A93"/>
    <w:rsid w:val="00517DAE"/>
    <w:rsid w:val="0052027A"/>
    <w:rsid w:val="00520292"/>
    <w:rsid w:val="0052059A"/>
    <w:rsid w:val="00520746"/>
    <w:rsid w:val="005208EA"/>
    <w:rsid w:val="00520E9B"/>
    <w:rsid w:val="00521C09"/>
    <w:rsid w:val="00521F6E"/>
    <w:rsid w:val="0052349F"/>
    <w:rsid w:val="005235D5"/>
    <w:rsid w:val="005239CB"/>
    <w:rsid w:val="00523BB7"/>
    <w:rsid w:val="00523FCC"/>
    <w:rsid w:val="00524611"/>
    <w:rsid w:val="0052488E"/>
    <w:rsid w:val="00524B75"/>
    <w:rsid w:val="00525131"/>
    <w:rsid w:val="005254ED"/>
    <w:rsid w:val="00525509"/>
    <w:rsid w:val="00525567"/>
    <w:rsid w:val="0052557A"/>
    <w:rsid w:val="00525AAD"/>
    <w:rsid w:val="00526203"/>
    <w:rsid w:val="00526B32"/>
    <w:rsid w:val="00527490"/>
    <w:rsid w:val="00527992"/>
    <w:rsid w:val="00527A39"/>
    <w:rsid w:val="00527B49"/>
    <w:rsid w:val="00527CD9"/>
    <w:rsid w:val="0053008C"/>
    <w:rsid w:val="00530FD5"/>
    <w:rsid w:val="00530FE7"/>
    <w:rsid w:val="00531479"/>
    <w:rsid w:val="0053182E"/>
    <w:rsid w:val="00531891"/>
    <w:rsid w:val="0053193B"/>
    <w:rsid w:val="00531DAA"/>
    <w:rsid w:val="0053202B"/>
    <w:rsid w:val="005321FF"/>
    <w:rsid w:val="00532773"/>
    <w:rsid w:val="005330B5"/>
    <w:rsid w:val="00533555"/>
    <w:rsid w:val="0053385F"/>
    <w:rsid w:val="0053391D"/>
    <w:rsid w:val="00533BBA"/>
    <w:rsid w:val="00534269"/>
    <w:rsid w:val="00534E0D"/>
    <w:rsid w:val="00534E45"/>
    <w:rsid w:val="00535096"/>
    <w:rsid w:val="005355B1"/>
    <w:rsid w:val="00535B33"/>
    <w:rsid w:val="00535CC0"/>
    <w:rsid w:val="005366D8"/>
    <w:rsid w:val="00536B66"/>
    <w:rsid w:val="00536EB4"/>
    <w:rsid w:val="00537059"/>
    <w:rsid w:val="005370C6"/>
    <w:rsid w:val="005376A5"/>
    <w:rsid w:val="00537EE6"/>
    <w:rsid w:val="00537F07"/>
    <w:rsid w:val="00541188"/>
    <w:rsid w:val="0054127E"/>
    <w:rsid w:val="005412E2"/>
    <w:rsid w:val="00541346"/>
    <w:rsid w:val="00541435"/>
    <w:rsid w:val="00541557"/>
    <w:rsid w:val="0054174C"/>
    <w:rsid w:val="00541E54"/>
    <w:rsid w:val="00541EF2"/>
    <w:rsid w:val="00542183"/>
    <w:rsid w:val="0054263B"/>
    <w:rsid w:val="00542E8F"/>
    <w:rsid w:val="00542FBB"/>
    <w:rsid w:val="00542FC8"/>
    <w:rsid w:val="00543A5A"/>
    <w:rsid w:val="00544122"/>
    <w:rsid w:val="005442AF"/>
    <w:rsid w:val="00544522"/>
    <w:rsid w:val="005446CC"/>
    <w:rsid w:val="00544921"/>
    <w:rsid w:val="00544949"/>
    <w:rsid w:val="00544D57"/>
    <w:rsid w:val="005450DB"/>
    <w:rsid w:val="005451CD"/>
    <w:rsid w:val="0054530F"/>
    <w:rsid w:val="005455B0"/>
    <w:rsid w:val="005457E7"/>
    <w:rsid w:val="0054592E"/>
    <w:rsid w:val="00545A49"/>
    <w:rsid w:val="00545B5D"/>
    <w:rsid w:val="00545BF7"/>
    <w:rsid w:val="00545F2F"/>
    <w:rsid w:val="0054635E"/>
    <w:rsid w:val="00546453"/>
    <w:rsid w:val="005471CC"/>
    <w:rsid w:val="005472D6"/>
    <w:rsid w:val="0054735C"/>
    <w:rsid w:val="005476E2"/>
    <w:rsid w:val="00547D20"/>
    <w:rsid w:val="00547F66"/>
    <w:rsid w:val="005502A7"/>
    <w:rsid w:val="005507F3"/>
    <w:rsid w:val="005508EE"/>
    <w:rsid w:val="00550F11"/>
    <w:rsid w:val="00550FAD"/>
    <w:rsid w:val="0055156B"/>
    <w:rsid w:val="00551D80"/>
    <w:rsid w:val="00551DE6"/>
    <w:rsid w:val="00552225"/>
    <w:rsid w:val="0055248A"/>
    <w:rsid w:val="0055248D"/>
    <w:rsid w:val="00552532"/>
    <w:rsid w:val="005528B5"/>
    <w:rsid w:val="00553434"/>
    <w:rsid w:val="00553728"/>
    <w:rsid w:val="005537DB"/>
    <w:rsid w:val="00553873"/>
    <w:rsid w:val="005539A9"/>
    <w:rsid w:val="005539C3"/>
    <w:rsid w:val="00553A53"/>
    <w:rsid w:val="00553C9E"/>
    <w:rsid w:val="00553E02"/>
    <w:rsid w:val="005546F8"/>
    <w:rsid w:val="00554AA7"/>
    <w:rsid w:val="005553BB"/>
    <w:rsid w:val="005553DE"/>
    <w:rsid w:val="0055555E"/>
    <w:rsid w:val="0055573D"/>
    <w:rsid w:val="0055610B"/>
    <w:rsid w:val="005561FC"/>
    <w:rsid w:val="005568F6"/>
    <w:rsid w:val="00556CB8"/>
    <w:rsid w:val="0055743A"/>
    <w:rsid w:val="005576D3"/>
    <w:rsid w:val="0055794E"/>
    <w:rsid w:val="00557C46"/>
    <w:rsid w:val="0056011E"/>
    <w:rsid w:val="00560230"/>
    <w:rsid w:val="0056026D"/>
    <w:rsid w:val="00560366"/>
    <w:rsid w:val="00560EF7"/>
    <w:rsid w:val="00561339"/>
    <w:rsid w:val="0056134A"/>
    <w:rsid w:val="0056179B"/>
    <w:rsid w:val="00562E53"/>
    <w:rsid w:val="005633B3"/>
    <w:rsid w:val="0056388C"/>
    <w:rsid w:val="0056487F"/>
    <w:rsid w:val="00564FEF"/>
    <w:rsid w:val="0056520C"/>
    <w:rsid w:val="00565C1B"/>
    <w:rsid w:val="00565C79"/>
    <w:rsid w:val="00565D99"/>
    <w:rsid w:val="00565DBE"/>
    <w:rsid w:val="005667C3"/>
    <w:rsid w:val="00566829"/>
    <w:rsid w:val="00566D0A"/>
    <w:rsid w:val="00566F7A"/>
    <w:rsid w:val="005670D6"/>
    <w:rsid w:val="0056728B"/>
    <w:rsid w:val="0056733A"/>
    <w:rsid w:val="00567443"/>
    <w:rsid w:val="00567664"/>
    <w:rsid w:val="00567856"/>
    <w:rsid w:val="005679EC"/>
    <w:rsid w:val="0057010E"/>
    <w:rsid w:val="005701E4"/>
    <w:rsid w:val="00570F29"/>
    <w:rsid w:val="0057140E"/>
    <w:rsid w:val="0057152C"/>
    <w:rsid w:val="00571671"/>
    <w:rsid w:val="00571928"/>
    <w:rsid w:val="00571AA6"/>
    <w:rsid w:val="00571C8A"/>
    <w:rsid w:val="005722C7"/>
    <w:rsid w:val="0057277B"/>
    <w:rsid w:val="005727A2"/>
    <w:rsid w:val="00572AD4"/>
    <w:rsid w:val="00572BC3"/>
    <w:rsid w:val="00572D27"/>
    <w:rsid w:val="00572ED9"/>
    <w:rsid w:val="00573062"/>
    <w:rsid w:val="00573215"/>
    <w:rsid w:val="00573455"/>
    <w:rsid w:val="005737E1"/>
    <w:rsid w:val="0057385D"/>
    <w:rsid w:val="00573E18"/>
    <w:rsid w:val="00573F30"/>
    <w:rsid w:val="00574095"/>
    <w:rsid w:val="00574137"/>
    <w:rsid w:val="00574650"/>
    <w:rsid w:val="005747E5"/>
    <w:rsid w:val="00574D42"/>
    <w:rsid w:val="00575950"/>
    <w:rsid w:val="00575D38"/>
    <w:rsid w:val="00576B72"/>
    <w:rsid w:val="00577821"/>
    <w:rsid w:val="00577BD4"/>
    <w:rsid w:val="00577E79"/>
    <w:rsid w:val="00580237"/>
    <w:rsid w:val="005804AC"/>
    <w:rsid w:val="00580995"/>
    <w:rsid w:val="00580CC6"/>
    <w:rsid w:val="0058102F"/>
    <w:rsid w:val="0058142B"/>
    <w:rsid w:val="0058154C"/>
    <w:rsid w:val="0058194A"/>
    <w:rsid w:val="00581D35"/>
    <w:rsid w:val="00581DA5"/>
    <w:rsid w:val="00581EE7"/>
    <w:rsid w:val="00582554"/>
    <w:rsid w:val="0058262F"/>
    <w:rsid w:val="00582659"/>
    <w:rsid w:val="00582678"/>
    <w:rsid w:val="005826FF"/>
    <w:rsid w:val="00582F3C"/>
    <w:rsid w:val="00583242"/>
    <w:rsid w:val="00583B1C"/>
    <w:rsid w:val="00583CB6"/>
    <w:rsid w:val="00583D33"/>
    <w:rsid w:val="00584594"/>
    <w:rsid w:val="0058463D"/>
    <w:rsid w:val="00584AF4"/>
    <w:rsid w:val="00585007"/>
    <w:rsid w:val="00585CC7"/>
    <w:rsid w:val="00585D30"/>
    <w:rsid w:val="00585EC4"/>
    <w:rsid w:val="005862E2"/>
    <w:rsid w:val="005869A7"/>
    <w:rsid w:val="00586CA8"/>
    <w:rsid w:val="00586E3E"/>
    <w:rsid w:val="00587043"/>
    <w:rsid w:val="005871B5"/>
    <w:rsid w:val="00587227"/>
    <w:rsid w:val="00587366"/>
    <w:rsid w:val="00587385"/>
    <w:rsid w:val="00587E9E"/>
    <w:rsid w:val="005902FD"/>
    <w:rsid w:val="005909F6"/>
    <w:rsid w:val="005912BA"/>
    <w:rsid w:val="00591703"/>
    <w:rsid w:val="00591766"/>
    <w:rsid w:val="005921C4"/>
    <w:rsid w:val="00592413"/>
    <w:rsid w:val="00592A72"/>
    <w:rsid w:val="00592D37"/>
    <w:rsid w:val="0059305C"/>
    <w:rsid w:val="005932CB"/>
    <w:rsid w:val="00593596"/>
    <w:rsid w:val="00593D76"/>
    <w:rsid w:val="00594545"/>
    <w:rsid w:val="00595D43"/>
    <w:rsid w:val="005961A9"/>
    <w:rsid w:val="005963FE"/>
    <w:rsid w:val="005964E5"/>
    <w:rsid w:val="005966C0"/>
    <w:rsid w:val="0059690A"/>
    <w:rsid w:val="00596E8E"/>
    <w:rsid w:val="00596FA1"/>
    <w:rsid w:val="00597422"/>
    <w:rsid w:val="0059750E"/>
    <w:rsid w:val="005A039B"/>
    <w:rsid w:val="005A09DC"/>
    <w:rsid w:val="005A09F4"/>
    <w:rsid w:val="005A0C6C"/>
    <w:rsid w:val="005A1277"/>
    <w:rsid w:val="005A14B2"/>
    <w:rsid w:val="005A1D13"/>
    <w:rsid w:val="005A2255"/>
    <w:rsid w:val="005A2793"/>
    <w:rsid w:val="005A2C50"/>
    <w:rsid w:val="005A2FE0"/>
    <w:rsid w:val="005A3856"/>
    <w:rsid w:val="005A39D5"/>
    <w:rsid w:val="005A416D"/>
    <w:rsid w:val="005A424E"/>
    <w:rsid w:val="005A4E58"/>
    <w:rsid w:val="005A4FA8"/>
    <w:rsid w:val="005A4FAC"/>
    <w:rsid w:val="005A5122"/>
    <w:rsid w:val="005A5A4E"/>
    <w:rsid w:val="005A5A84"/>
    <w:rsid w:val="005A5BDE"/>
    <w:rsid w:val="005A5F30"/>
    <w:rsid w:val="005A64C5"/>
    <w:rsid w:val="005A652E"/>
    <w:rsid w:val="005A6DA9"/>
    <w:rsid w:val="005A6DD5"/>
    <w:rsid w:val="005A7049"/>
    <w:rsid w:val="005A70AA"/>
    <w:rsid w:val="005A7631"/>
    <w:rsid w:val="005A77CC"/>
    <w:rsid w:val="005A7B14"/>
    <w:rsid w:val="005A7B2B"/>
    <w:rsid w:val="005A7DA6"/>
    <w:rsid w:val="005B0307"/>
    <w:rsid w:val="005B03F6"/>
    <w:rsid w:val="005B083E"/>
    <w:rsid w:val="005B0922"/>
    <w:rsid w:val="005B0A77"/>
    <w:rsid w:val="005B0B96"/>
    <w:rsid w:val="005B0BDE"/>
    <w:rsid w:val="005B0C60"/>
    <w:rsid w:val="005B0CA2"/>
    <w:rsid w:val="005B0E62"/>
    <w:rsid w:val="005B0E8B"/>
    <w:rsid w:val="005B0F2B"/>
    <w:rsid w:val="005B0F5A"/>
    <w:rsid w:val="005B1076"/>
    <w:rsid w:val="005B117D"/>
    <w:rsid w:val="005B1673"/>
    <w:rsid w:val="005B1969"/>
    <w:rsid w:val="005B19FC"/>
    <w:rsid w:val="005B2369"/>
    <w:rsid w:val="005B2411"/>
    <w:rsid w:val="005B28EE"/>
    <w:rsid w:val="005B31D3"/>
    <w:rsid w:val="005B3B2E"/>
    <w:rsid w:val="005B4259"/>
    <w:rsid w:val="005B4B6F"/>
    <w:rsid w:val="005B4F51"/>
    <w:rsid w:val="005B5532"/>
    <w:rsid w:val="005B55B0"/>
    <w:rsid w:val="005B5963"/>
    <w:rsid w:val="005B5AC6"/>
    <w:rsid w:val="005B6B5F"/>
    <w:rsid w:val="005B7050"/>
    <w:rsid w:val="005B7129"/>
    <w:rsid w:val="005B7290"/>
    <w:rsid w:val="005B7E3D"/>
    <w:rsid w:val="005B7F17"/>
    <w:rsid w:val="005C0405"/>
    <w:rsid w:val="005C0A95"/>
    <w:rsid w:val="005C0BD7"/>
    <w:rsid w:val="005C0F09"/>
    <w:rsid w:val="005C11E6"/>
    <w:rsid w:val="005C23D0"/>
    <w:rsid w:val="005C2468"/>
    <w:rsid w:val="005C290B"/>
    <w:rsid w:val="005C2A84"/>
    <w:rsid w:val="005C2E24"/>
    <w:rsid w:val="005C2E73"/>
    <w:rsid w:val="005C349D"/>
    <w:rsid w:val="005C46EB"/>
    <w:rsid w:val="005C47ED"/>
    <w:rsid w:val="005C4F20"/>
    <w:rsid w:val="005C519B"/>
    <w:rsid w:val="005C53AB"/>
    <w:rsid w:val="005C5CB2"/>
    <w:rsid w:val="005C5CD8"/>
    <w:rsid w:val="005C5D62"/>
    <w:rsid w:val="005C609E"/>
    <w:rsid w:val="005C60D7"/>
    <w:rsid w:val="005C60F5"/>
    <w:rsid w:val="005C6120"/>
    <w:rsid w:val="005C61E7"/>
    <w:rsid w:val="005C6206"/>
    <w:rsid w:val="005C672A"/>
    <w:rsid w:val="005C682A"/>
    <w:rsid w:val="005C6DE7"/>
    <w:rsid w:val="005C7526"/>
    <w:rsid w:val="005C7564"/>
    <w:rsid w:val="005C7E3E"/>
    <w:rsid w:val="005D06C5"/>
    <w:rsid w:val="005D100A"/>
    <w:rsid w:val="005D11BB"/>
    <w:rsid w:val="005D133A"/>
    <w:rsid w:val="005D268C"/>
    <w:rsid w:val="005D2B22"/>
    <w:rsid w:val="005D3315"/>
    <w:rsid w:val="005D34CF"/>
    <w:rsid w:val="005D359F"/>
    <w:rsid w:val="005D3A4B"/>
    <w:rsid w:val="005D3DFB"/>
    <w:rsid w:val="005D481E"/>
    <w:rsid w:val="005D4C28"/>
    <w:rsid w:val="005D4CA9"/>
    <w:rsid w:val="005D4D88"/>
    <w:rsid w:val="005D5023"/>
    <w:rsid w:val="005D50F1"/>
    <w:rsid w:val="005D5251"/>
    <w:rsid w:val="005D56DD"/>
    <w:rsid w:val="005D56F0"/>
    <w:rsid w:val="005D5846"/>
    <w:rsid w:val="005D5DF4"/>
    <w:rsid w:val="005D5EE9"/>
    <w:rsid w:val="005D601C"/>
    <w:rsid w:val="005D6550"/>
    <w:rsid w:val="005D687C"/>
    <w:rsid w:val="005D690C"/>
    <w:rsid w:val="005D69D5"/>
    <w:rsid w:val="005D6DC0"/>
    <w:rsid w:val="005D6EB5"/>
    <w:rsid w:val="005D6EED"/>
    <w:rsid w:val="005D71CA"/>
    <w:rsid w:val="005D7335"/>
    <w:rsid w:val="005D7501"/>
    <w:rsid w:val="005E0227"/>
    <w:rsid w:val="005E09C8"/>
    <w:rsid w:val="005E0BC5"/>
    <w:rsid w:val="005E0D5F"/>
    <w:rsid w:val="005E15F2"/>
    <w:rsid w:val="005E1FE1"/>
    <w:rsid w:val="005E2687"/>
    <w:rsid w:val="005E2D86"/>
    <w:rsid w:val="005E2E19"/>
    <w:rsid w:val="005E2E9F"/>
    <w:rsid w:val="005E2EB7"/>
    <w:rsid w:val="005E3FE9"/>
    <w:rsid w:val="005E419E"/>
    <w:rsid w:val="005E443A"/>
    <w:rsid w:val="005E4C83"/>
    <w:rsid w:val="005E537D"/>
    <w:rsid w:val="005E68EE"/>
    <w:rsid w:val="005E6FDE"/>
    <w:rsid w:val="005E712C"/>
    <w:rsid w:val="005E7267"/>
    <w:rsid w:val="005E7596"/>
    <w:rsid w:val="005E791E"/>
    <w:rsid w:val="005E79E2"/>
    <w:rsid w:val="005E7A4B"/>
    <w:rsid w:val="005E7BB0"/>
    <w:rsid w:val="005E7E7E"/>
    <w:rsid w:val="005F0236"/>
    <w:rsid w:val="005F0283"/>
    <w:rsid w:val="005F02C6"/>
    <w:rsid w:val="005F080E"/>
    <w:rsid w:val="005F09D4"/>
    <w:rsid w:val="005F0C17"/>
    <w:rsid w:val="005F101A"/>
    <w:rsid w:val="005F11E9"/>
    <w:rsid w:val="005F155F"/>
    <w:rsid w:val="005F188B"/>
    <w:rsid w:val="005F1ACF"/>
    <w:rsid w:val="005F1DC0"/>
    <w:rsid w:val="005F1E2E"/>
    <w:rsid w:val="005F1F5A"/>
    <w:rsid w:val="005F208D"/>
    <w:rsid w:val="005F2130"/>
    <w:rsid w:val="005F22BE"/>
    <w:rsid w:val="005F23FF"/>
    <w:rsid w:val="005F24BD"/>
    <w:rsid w:val="005F273F"/>
    <w:rsid w:val="005F2902"/>
    <w:rsid w:val="005F3480"/>
    <w:rsid w:val="005F3956"/>
    <w:rsid w:val="005F505D"/>
    <w:rsid w:val="005F5139"/>
    <w:rsid w:val="005F604F"/>
    <w:rsid w:val="005F6E21"/>
    <w:rsid w:val="005F73AD"/>
    <w:rsid w:val="0060054C"/>
    <w:rsid w:val="00600B73"/>
    <w:rsid w:val="00600CC1"/>
    <w:rsid w:val="00601317"/>
    <w:rsid w:val="006014BD"/>
    <w:rsid w:val="00601584"/>
    <w:rsid w:val="00601D67"/>
    <w:rsid w:val="0060237F"/>
    <w:rsid w:val="0060248F"/>
    <w:rsid w:val="00602D72"/>
    <w:rsid w:val="00602D8E"/>
    <w:rsid w:val="00602E98"/>
    <w:rsid w:val="00603403"/>
    <w:rsid w:val="00603784"/>
    <w:rsid w:val="00603985"/>
    <w:rsid w:val="00604061"/>
    <w:rsid w:val="006046E4"/>
    <w:rsid w:val="00604B0E"/>
    <w:rsid w:val="00605307"/>
    <w:rsid w:val="006057AD"/>
    <w:rsid w:val="006059F7"/>
    <w:rsid w:val="00605B03"/>
    <w:rsid w:val="00605DA7"/>
    <w:rsid w:val="0060610B"/>
    <w:rsid w:val="0060634E"/>
    <w:rsid w:val="00606B22"/>
    <w:rsid w:val="00606CB8"/>
    <w:rsid w:val="00607426"/>
    <w:rsid w:val="006074E6"/>
    <w:rsid w:val="006103A7"/>
    <w:rsid w:val="006104B0"/>
    <w:rsid w:val="00610672"/>
    <w:rsid w:val="006106B8"/>
    <w:rsid w:val="00610B11"/>
    <w:rsid w:val="00610C08"/>
    <w:rsid w:val="00610C0C"/>
    <w:rsid w:val="00610F6B"/>
    <w:rsid w:val="00611274"/>
    <w:rsid w:val="00611600"/>
    <w:rsid w:val="00612190"/>
    <w:rsid w:val="0061263A"/>
    <w:rsid w:val="006127D9"/>
    <w:rsid w:val="006129A2"/>
    <w:rsid w:val="00612D61"/>
    <w:rsid w:val="006133EF"/>
    <w:rsid w:val="006139BE"/>
    <w:rsid w:val="00613B16"/>
    <w:rsid w:val="00613ECD"/>
    <w:rsid w:val="00614521"/>
    <w:rsid w:val="0061466E"/>
    <w:rsid w:val="00614DC6"/>
    <w:rsid w:val="006151AF"/>
    <w:rsid w:val="0061536D"/>
    <w:rsid w:val="00615580"/>
    <w:rsid w:val="0061573F"/>
    <w:rsid w:val="006158E4"/>
    <w:rsid w:val="00615E62"/>
    <w:rsid w:val="00615F57"/>
    <w:rsid w:val="00616101"/>
    <w:rsid w:val="00616211"/>
    <w:rsid w:val="0061661A"/>
    <w:rsid w:val="006169F3"/>
    <w:rsid w:val="00616AAF"/>
    <w:rsid w:val="00616B71"/>
    <w:rsid w:val="00616BDE"/>
    <w:rsid w:val="00616C0B"/>
    <w:rsid w:val="00617159"/>
    <w:rsid w:val="00617607"/>
    <w:rsid w:val="00617728"/>
    <w:rsid w:val="0061792E"/>
    <w:rsid w:val="00617EC5"/>
    <w:rsid w:val="006201DF"/>
    <w:rsid w:val="00620212"/>
    <w:rsid w:val="00620DB9"/>
    <w:rsid w:val="006211D1"/>
    <w:rsid w:val="00621A21"/>
    <w:rsid w:val="006224EB"/>
    <w:rsid w:val="0062271E"/>
    <w:rsid w:val="00622AE1"/>
    <w:rsid w:val="00622FAE"/>
    <w:rsid w:val="00624526"/>
    <w:rsid w:val="00624AB2"/>
    <w:rsid w:val="00625117"/>
    <w:rsid w:val="00625493"/>
    <w:rsid w:val="00625A85"/>
    <w:rsid w:val="00625BB1"/>
    <w:rsid w:val="00626870"/>
    <w:rsid w:val="006271D1"/>
    <w:rsid w:val="006272FA"/>
    <w:rsid w:val="006277D4"/>
    <w:rsid w:val="00627854"/>
    <w:rsid w:val="00627916"/>
    <w:rsid w:val="00627935"/>
    <w:rsid w:val="00627C93"/>
    <w:rsid w:val="00627D87"/>
    <w:rsid w:val="00627EDB"/>
    <w:rsid w:val="00630221"/>
    <w:rsid w:val="00630429"/>
    <w:rsid w:val="006305E7"/>
    <w:rsid w:val="00630B50"/>
    <w:rsid w:val="00630BC0"/>
    <w:rsid w:val="00630DFB"/>
    <w:rsid w:val="00632009"/>
    <w:rsid w:val="0063257D"/>
    <w:rsid w:val="006328A2"/>
    <w:rsid w:val="00632AD0"/>
    <w:rsid w:val="00632D17"/>
    <w:rsid w:val="00632DCD"/>
    <w:rsid w:val="006337CC"/>
    <w:rsid w:val="006338D7"/>
    <w:rsid w:val="00634C95"/>
    <w:rsid w:val="00635021"/>
    <w:rsid w:val="00635ADE"/>
    <w:rsid w:val="00635F23"/>
    <w:rsid w:val="00635F71"/>
    <w:rsid w:val="0063645F"/>
    <w:rsid w:val="00636B36"/>
    <w:rsid w:val="00636C40"/>
    <w:rsid w:val="00636D82"/>
    <w:rsid w:val="00637168"/>
    <w:rsid w:val="0063726B"/>
    <w:rsid w:val="00637348"/>
    <w:rsid w:val="006373DA"/>
    <w:rsid w:val="00637444"/>
    <w:rsid w:val="006405DD"/>
    <w:rsid w:val="0064074F"/>
    <w:rsid w:val="00640E8F"/>
    <w:rsid w:val="0064158A"/>
    <w:rsid w:val="00641D87"/>
    <w:rsid w:val="00642039"/>
    <w:rsid w:val="006420C4"/>
    <w:rsid w:val="006420CA"/>
    <w:rsid w:val="00642C79"/>
    <w:rsid w:val="006430ED"/>
    <w:rsid w:val="006431DE"/>
    <w:rsid w:val="006436D8"/>
    <w:rsid w:val="00643953"/>
    <w:rsid w:val="00643C9E"/>
    <w:rsid w:val="00643DA4"/>
    <w:rsid w:val="00644178"/>
    <w:rsid w:val="006442CA"/>
    <w:rsid w:val="00644A5D"/>
    <w:rsid w:val="00644A9D"/>
    <w:rsid w:val="00644F3E"/>
    <w:rsid w:val="00645096"/>
    <w:rsid w:val="00645115"/>
    <w:rsid w:val="006454C1"/>
    <w:rsid w:val="006465A8"/>
    <w:rsid w:val="006465EF"/>
    <w:rsid w:val="00646CF3"/>
    <w:rsid w:val="006472AC"/>
    <w:rsid w:val="006476E4"/>
    <w:rsid w:val="0064773E"/>
    <w:rsid w:val="00647762"/>
    <w:rsid w:val="00647FCF"/>
    <w:rsid w:val="006504DA"/>
    <w:rsid w:val="006505E3"/>
    <w:rsid w:val="006505FD"/>
    <w:rsid w:val="0065078C"/>
    <w:rsid w:val="00650BBC"/>
    <w:rsid w:val="00650BF9"/>
    <w:rsid w:val="00650F18"/>
    <w:rsid w:val="00651020"/>
    <w:rsid w:val="0065120A"/>
    <w:rsid w:val="0065187F"/>
    <w:rsid w:val="00651AE7"/>
    <w:rsid w:val="00651F29"/>
    <w:rsid w:val="006520B6"/>
    <w:rsid w:val="00652273"/>
    <w:rsid w:val="0065273F"/>
    <w:rsid w:val="006529EA"/>
    <w:rsid w:val="006529F1"/>
    <w:rsid w:val="00652A03"/>
    <w:rsid w:val="00653FDA"/>
    <w:rsid w:val="006544B9"/>
    <w:rsid w:val="006549F9"/>
    <w:rsid w:val="0065507B"/>
    <w:rsid w:val="0065545A"/>
    <w:rsid w:val="00655C01"/>
    <w:rsid w:val="00655E7B"/>
    <w:rsid w:val="00655F27"/>
    <w:rsid w:val="0065600F"/>
    <w:rsid w:val="00656464"/>
    <w:rsid w:val="006565F4"/>
    <w:rsid w:val="006566B4"/>
    <w:rsid w:val="00656CBF"/>
    <w:rsid w:val="00656D66"/>
    <w:rsid w:val="006576B9"/>
    <w:rsid w:val="006607A4"/>
    <w:rsid w:val="00661644"/>
    <w:rsid w:val="00661D00"/>
    <w:rsid w:val="00661D84"/>
    <w:rsid w:val="00661E16"/>
    <w:rsid w:val="00662247"/>
    <w:rsid w:val="00662D08"/>
    <w:rsid w:val="00663167"/>
    <w:rsid w:val="00664331"/>
    <w:rsid w:val="00664713"/>
    <w:rsid w:val="00665145"/>
    <w:rsid w:val="006657EF"/>
    <w:rsid w:val="00666038"/>
    <w:rsid w:val="00666581"/>
    <w:rsid w:val="006667C2"/>
    <w:rsid w:val="00666869"/>
    <w:rsid w:val="00666885"/>
    <w:rsid w:val="00666C67"/>
    <w:rsid w:val="00666E00"/>
    <w:rsid w:val="00666E09"/>
    <w:rsid w:val="00666F29"/>
    <w:rsid w:val="00667210"/>
    <w:rsid w:val="00667C10"/>
    <w:rsid w:val="00667C3B"/>
    <w:rsid w:val="00667E23"/>
    <w:rsid w:val="00667F85"/>
    <w:rsid w:val="006700B4"/>
    <w:rsid w:val="0067013C"/>
    <w:rsid w:val="00670544"/>
    <w:rsid w:val="006705BB"/>
    <w:rsid w:val="006708A7"/>
    <w:rsid w:val="006708C2"/>
    <w:rsid w:val="0067118E"/>
    <w:rsid w:val="0067138D"/>
    <w:rsid w:val="00671458"/>
    <w:rsid w:val="00671730"/>
    <w:rsid w:val="00671869"/>
    <w:rsid w:val="006718A9"/>
    <w:rsid w:val="00671964"/>
    <w:rsid w:val="00671AA1"/>
    <w:rsid w:val="00672628"/>
    <w:rsid w:val="00672C78"/>
    <w:rsid w:val="006733FA"/>
    <w:rsid w:val="006737CC"/>
    <w:rsid w:val="00673A65"/>
    <w:rsid w:val="00674445"/>
    <w:rsid w:val="00674CF0"/>
    <w:rsid w:val="0067534F"/>
    <w:rsid w:val="0067573C"/>
    <w:rsid w:val="00675795"/>
    <w:rsid w:val="006757F6"/>
    <w:rsid w:val="00675A72"/>
    <w:rsid w:val="00675DF4"/>
    <w:rsid w:val="006762AF"/>
    <w:rsid w:val="0067656B"/>
    <w:rsid w:val="006768AF"/>
    <w:rsid w:val="006768CC"/>
    <w:rsid w:val="00676AD9"/>
    <w:rsid w:val="00676C0F"/>
    <w:rsid w:val="006770F3"/>
    <w:rsid w:val="00677698"/>
    <w:rsid w:val="00677F4C"/>
    <w:rsid w:val="006802A4"/>
    <w:rsid w:val="00680B87"/>
    <w:rsid w:val="006810D1"/>
    <w:rsid w:val="006812D9"/>
    <w:rsid w:val="00681C12"/>
    <w:rsid w:val="00681F85"/>
    <w:rsid w:val="006823AD"/>
    <w:rsid w:val="00682452"/>
    <w:rsid w:val="006828C2"/>
    <w:rsid w:val="00683AC8"/>
    <w:rsid w:val="00683B7F"/>
    <w:rsid w:val="00683C23"/>
    <w:rsid w:val="00683C25"/>
    <w:rsid w:val="006844E8"/>
    <w:rsid w:val="00684E90"/>
    <w:rsid w:val="00685023"/>
    <w:rsid w:val="00685258"/>
    <w:rsid w:val="00686844"/>
    <w:rsid w:val="00687250"/>
    <w:rsid w:val="0068751C"/>
    <w:rsid w:val="00687727"/>
    <w:rsid w:val="006878A6"/>
    <w:rsid w:val="00687A1F"/>
    <w:rsid w:val="00690273"/>
    <w:rsid w:val="00690CC0"/>
    <w:rsid w:val="0069139D"/>
    <w:rsid w:val="0069145D"/>
    <w:rsid w:val="00691C9D"/>
    <w:rsid w:val="00691D07"/>
    <w:rsid w:val="00691E34"/>
    <w:rsid w:val="00692262"/>
    <w:rsid w:val="006929F8"/>
    <w:rsid w:val="00692A28"/>
    <w:rsid w:val="00692DDF"/>
    <w:rsid w:val="00692E43"/>
    <w:rsid w:val="00693047"/>
    <w:rsid w:val="00693734"/>
    <w:rsid w:val="00695013"/>
    <w:rsid w:val="0069516C"/>
    <w:rsid w:val="006955F6"/>
    <w:rsid w:val="00696428"/>
    <w:rsid w:val="006964C7"/>
    <w:rsid w:val="00696849"/>
    <w:rsid w:val="00696B81"/>
    <w:rsid w:val="00696EA8"/>
    <w:rsid w:val="006977F1"/>
    <w:rsid w:val="00697E22"/>
    <w:rsid w:val="006A08BB"/>
    <w:rsid w:val="006A0933"/>
    <w:rsid w:val="006A1508"/>
    <w:rsid w:val="006A15B2"/>
    <w:rsid w:val="006A16EB"/>
    <w:rsid w:val="006A19B3"/>
    <w:rsid w:val="006A19C7"/>
    <w:rsid w:val="006A1DDB"/>
    <w:rsid w:val="006A1E5C"/>
    <w:rsid w:val="006A2189"/>
    <w:rsid w:val="006A321C"/>
    <w:rsid w:val="006A34A7"/>
    <w:rsid w:val="006A354B"/>
    <w:rsid w:val="006A3CFE"/>
    <w:rsid w:val="006A42A8"/>
    <w:rsid w:val="006A4472"/>
    <w:rsid w:val="006A47F8"/>
    <w:rsid w:val="006A4909"/>
    <w:rsid w:val="006A4C91"/>
    <w:rsid w:val="006A4CC7"/>
    <w:rsid w:val="006A4EC3"/>
    <w:rsid w:val="006A5EAE"/>
    <w:rsid w:val="006A5FF2"/>
    <w:rsid w:val="006A630D"/>
    <w:rsid w:val="006A68C7"/>
    <w:rsid w:val="006A68FD"/>
    <w:rsid w:val="006A6AF9"/>
    <w:rsid w:val="006A6BAB"/>
    <w:rsid w:val="006A6C4C"/>
    <w:rsid w:val="006A6E49"/>
    <w:rsid w:val="006A714B"/>
    <w:rsid w:val="006A75BA"/>
    <w:rsid w:val="006A7870"/>
    <w:rsid w:val="006B0303"/>
    <w:rsid w:val="006B036E"/>
    <w:rsid w:val="006B041E"/>
    <w:rsid w:val="006B0432"/>
    <w:rsid w:val="006B0498"/>
    <w:rsid w:val="006B085A"/>
    <w:rsid w:val="006B087E"/>
    <w:rsid w:val="006B0C23"/>
    <w:rsid w:val="006B1148"/>
    <w:rsid w:val="006B1475"/>
    <w:rsid w:val="006B1509"/>
    <w:rsid w:val="006B17CF"/>
    <w:rsid w:val="006B1964"/>
    <w:rsid w:val="006B1CBA"/>
    <w:rsid w:val="006B1D46"/>
    <w:rsid w:val="006B1E91"/>
    <w:rsid w:val="006B24E4"/>
    <w:rsid w:val="006B2E12"/>
    <w:rsid w:val="006B3066"/>
    <w:rsid w:val="006B30E6"/>
    <w:rsid w:val="006B391A"/>
    <w:rsid w:val="006B3A8A"/>
    <w:rsid w:val="006B3A9E"/>
    <w:rsid w:val="006B40B9"/>
    <w:rsid w:val="006B4F08"/>
    <w:rsid w:val="006B54D1"/>
    <w:rsid w:val="006B566B"/>
    <w:rsid w:val="006B5EEE"/>
    <w:rsid w:val="006B645D"/>
    <w:rsid w:val="006B6895"/>
    <w:rsid w:val="006B72A7"/>
    <w:rsid w:val="006B76CE"/>
    <w:rsid w:val="006B76FA"/>
    <w:rsid w:val="006B7A93"/>
    <w:rsid w:val="006B7CDD"/>
    <w:rsid w:val="006B7D7C"/>
    <w:rsid w:val="006C0B0E"/>
    <w:rsid w:val="006C0D6D"/>
    <w:rsid w:val="006C11B9"/>
    <w:rsid w:val="006C1386"/>
    <w:rsid w:val="006C19FF"/>
    <w:rsid w:val="006C1E58"/>
    <w:rsid w:val="006C23DA"/>
    <w:rsid w:val="006C2D41"/>
    <w:rsid w:val="006C3FC3"/>
    <w:rsid w:val="006C45AA"/>
    <w:rsid w:val="006C4A40"/>
    <w:rsid w:val="006C53DF"/>
    <w:rsid w:val="006C56E2"/>
    <w:rsid w:val="006C5DF6"/>
    <w:rsid w:val="006C5E50"/>
    <w:rsid w:val="006C5FC0"/>
    <w:rsid w:val="006C6012"/>
    <w:rsid w:val="006C613F"/>
    <w:rsid w:val="006C6803"/>
    <w:rsid w:val="006C7636"/>
    <w:rsid w:val="006C7A05"/>
    <w:rsid w:val="006C7BA0"/>
    <w:rsid w:val="006D00ED"/>
    <w:rsid w:val="006D0368"/>
    <w:rsid w:val="006D1796"/>
    <w:rsid w:val="006D2186"/>
    <w:rsid w:val="006D251D"/>
    <w:rsid w:val="006D28EE"/>
    <w:rsid w:val="006D2B7B"/>
    <w:rsid w:val="006D2F17"/>
    <w:rsid w:val="006D2F60"/>
    <w:rsid w:val="006D3071"/>
    <w:rsid w:val="006D312B"/>
    <w:rsid w:val="006D3AEC"/>
    <w:rsid w:val="006D3CE4"/>
    <w:rsid w:val="006D3D47"/>
    <w:rsid w:val="006D416F"/>
    <w:rsid w:val="006D4C0F"/>
    <w:rsid w:val="006D4C77"/>
    <w:rsid w:val="006D4F59"/>
    <w:rsid w:val="006D5340"/>
    <w:rsid w:val="006D552B"/>
    <w:rsid w:val="006D58F0"/>
    <w:rsid w:val="006D5E3F"/>
    <w:rsid w:val="006D5E4E"/>
    <w:rsid w:val="006D61FB"/>
    <w:rsid w:val="006D64AC"/>
    <w:rsid w:val="006D650E"/>
    <w:rsid w:val="006D717A"/>
    <w:rsid w:val="006D747D"/>
    <w:rsid w:val="006D7831"/>
    <w:rsid w:val="006E0771"/>
    <w:rsid w:val="006E0BEF"/>
    <w:rsid w:val="006E11EA"/>
    <w:rsid w:val="006E134F"/>
    <w:rsid w:val="006E13D8"/>
    <w:rsid w:val="006E1D09"/>
    <w:rsid w:val="006E1F08"/>
    <w:rsid w:val="006E2271"/>
    <w:rsid w:val="006E262C"/>
    <w:rsid w:val="006E26B7"/>
    <w:rsid w:val="006E2760"/>
    <w:rsid w:val="006E281A"/>
    <w:rsid w:val="006E2BB5"/>
    <w:rsid w:val="006E35AB"/>
    <w:rsid w:val="006E3909"/>
    <w:rsid w:val="006E428C"/>
    <w:rsid w:val="006E4431"/>
    <w:rsid w:val="006E4846"/>
    <w:rsid w:val="006E49F2"/>
    <w:rsid w:val="006E4E15"/>
    <w:rsid w:val="006E5079"/>
    <w:rsid w:val="006E51DA"/>
    <w:rsid w:val="006E5805"/>
    <w:rsid w:val="006E5F3A"/>
    <w:rsid w:val="006E69EE"/>
    <w:rsid w:val="006E6B9B"/>
    <w:rsid w:val="006E6C77"/>
    <w:rsid w:val="006E6CE3"/>
    <w:rsid w:val="006E7397"/>
    <w:rsid w:val="006E7774"/>
    <w:rsid w:val="006E79B1"/>
    <w:rsid w:val="006E7E28"/>
    <w:rsid w:val="006F01DA"/>
    <w:rsid w:val="006F02C8"/>
    <w:rsid w:val="006F039D"/>
    <w:rsid w:val="006F0604"/>
    <w:rsid w:val="006F0693"/>
    <w:rsid w:val="006F0D93"/>
    <w:rsid w:val="006F0FE9"/>
    <w:rsid w:val="006F179E"/>
    <w:rsid w:val="006F17B9"/>
    <w:rsid w:val="006F1B30"/>
    <w:rsid w:val="006F1C47"/>
    <w:rsid w:val="006F1CDC"/>
    <w:rsid w:val="006F1EB9"/>
    <w:rsid w:val="006F2528"/>
    <w:rsid w:val="006F2EC2"/>
    <w:rsid w:val="006F2FFE"/>
    <w:rsid w:val="006F3A3B"/>
    <w:rsid w:val="006F3CFD"/>
    <w:rsid w:val="006F402A"/>
    <w:rsid w:val="006F42F2"/>
    <w:rsid w:val="006F4890"/>
    <w:rsid w:val="006F499C"/>
    <w:rsid w:val="006F4FCC"/>
    <w:rsid w:val="006F61F3"/>
    <w:rsid w:val="006F72B6"/>
    <w:rsid w:val="006F7889"/>
    <w:rsid w:val="006F7DED"/>
    <w:rsid w:val="00700775"/>
    <w:rsid w:val="0070124B"/>
    <w:rsid w:val="00701CB2"/>
    <w:rsid w:val="007024DD"/>
    <w:rsid w:val="00702518"/>
    <w:rsid w:val="007027C8"/>
    <w:rsid w:val="00702B9C"/>
    <w:rsid w:val="00702BC7"/>
    <w:rsid w:val="0070322B"/>
    <w:rsid w:val="007033AE"/>
    <w:rsid w:val="0070343A"/>
    <w:rsid w:val="00703874"/>
    <w:rsid w:val="00703A3D"/>
    <w:rsid w:val="00703FAB"/>
    <w:rsid w:val="00704170"/>
    <w:rsid w:val="007044D1"/>
    <w:rsid w:val="0070486E"/>
    <w:rsid w:val="00704F32"/>
    <w:rsid w:val="00705C76"/>
    <w:rsid w:val="00705CC6"/>
    <w:rsid w:val="00706028"/>
    <w:rsid w:val="00706143"/>
    <w:rsid w:val="007062E9"/>
    <w:rsid w:val="0070662D"/>
    <w:rsid w:val="00706961"/>
    <w:rsid w:val="007074C0"/>
    <w:rsid w:val="00707AE5"/>
    <w:rsid w:val="007109C7"/>
    <w:rsid w:val="00710AF1"/>
    <w:rsid w:val="00710BA7"/>
    <w:rsid w:val="00710E35"/>
    <w:rsid w:val="00710ED6"/>
    <w:rsid w:val="0071126C"/>
    <w:rsid w:val="007116D4"/>
    <w:rsid w:val="0071185A"/>
    <w:rsid w:val="00711C39"/>
    <w:rsid w:val="00711F71"/>
    <w:rsid w:val="00712386"/>
    <w:rsid w:val="007125D4"/>
    <w:rsid w:val="007126CA"/>
    <w:rsid w:val="0071297C"/>
    <w:rsid w:val="00712A24"/>
    <w:rsid w:val="00712C5D"/>
    <w:rsid w:val="00712E25"/>
    <w:rsid w:val="0071306D"/>
    <w:rsid w:val="0071319E"/>
    <w:rsid w:val="0071361E"/>
    <w:rsid w:val="00713631"/>
    <w:rsid w:val="007138E1"/>
    <w:rsid w:val="00713990"/>
    <w:rsid w:val="007139BD"/>
    <w:rsid w:val="00713E76"/>
    <w:rsid w:val="00714610"/>
    <w:rsid w:val="007146E1"/>
    <w:rsid w:val="0071505E"/>
    <w:rsid w:val="0071551B"/>
    <w:rsid w:val="00715C14"/>
    <w:rsid w:val="0071682C"/>
    <w:rsid w:val="00716F74"/>
    <w:rsid w:val="007175EE"/>
    <w:rsid w:val="007177B2"/>
    <w:rsid w:val="00717A4E"/>
    <w:rsid w:val="00720367"/>
    <w:rsid w:val="0072039C"/>
    <w:rsid w:val="007206C1"/>
    <w:rsid w:val="0072095E"/>
    <w:rsid w:val="00720DBB"/>
    <w:rsid w:val="00720ED7"/>
    <w:rsid w:val="00722203"/>
    <w:rsid w:val="00723706"/>
    <w:rsid w:val="007237E3"/>
    <w:rsid w:val="00723FE0"/>
    <w:rsid w:val="00724077"/>
    <w:rsid w:val="00724623"/>
    <w:rsid w:val="00724742"/>
    <w:rsid w:val="00724770"/>
    <w:rsid w:val="00724AA2"/>
    <w:rsid w:val="00724C56"/>
    <w:rsid w:val="00725110"/>
    <w:rsid w:val="007259D0"/>
    <w:rsid w:val="00725DD6"/>
    <w:rsid w:val="00725DDA"/>
    <w:rsid w:val="0072676C"/>
    <w:rsid w:val="00726AAA"/>
    <w:rsid w:val="00726E6D"/>
    <w:rsid w:val="00726EEA"/>
    <w:rsid w:val="00726F74"/>
    <w:rsid w:val="00727072"/>
    <w:rsid w:val="0072745E"/>
    <w:rsid w:val="00727599"/>
    <w:rsid w:val="00727CC6"/>
    <w:rsid w:val="0073014C"/>
    <w:rsid w:val="007310A2"/>
    <w:rsid w:val="007312ED"/>
    <w:rsid w:val="00731365"/>
    <w:rsid w:val="0073170E"/>
    <w:rsid w:val="007318F7"/>
    <w:rsid w:val="00731BCA"/>
    <w:rsid w:val="00731C04"/>
    <w:rsid w:val="00731C4C"/>
    <w:rsid w:val="00731E10"/>
    <w:rsid w:val="00731EDF"/>
    <w:rsid w:val="00731FD9"/>
    <w:rsid w:val="0073217A"/>
    <w:rsid w:val="00732329"/>
    <w:rsid w:val="00732B01"/>
    <w:rsid w:val="00732BC3"/>
    <w:rsid w:val="00733292"/>
    <w:rsid w:val="00733660"/>
    <w:rsid w:val="007336BD"/>
    <w:rsid w:val="0073391C"/>
    <w:rsid w:val="00733BB6"/>
    <w:rsid w:val="00733F85"/>
    <w:rsid w:val="00733F93"/>
    <w:rsid w:val="00733FD3"/>
    <w:rsid w:val="00734743"/>
    <w:rsid w:val="00734E1A"/>
    <w:rsid w:val="007352E6"/>
    <w:rsid w:val="00735C78"/>
    <w:rsid w:val="00735EFD"/>
    <w:rsid w:val="0073604E"/>
    <w:rsid w:val="007364BC"/>
    <w:rsid w:val="007367F4"/>
    <w:rsid w:val="00736B46"/>
    <w:rsid w:val="00736F33"/>
    <w:rsid w:val="0073729C"/>
    <w:rsid w:val="007379EA"/>
    <w:rsid w:val="00737B1B"/>
    <w:rsid w:val="007405D4"/>
    <w:rsid w:val="00740708"/>
    <w:rsid w:val="007411ED"/>
    <w:rsid w:val="007413BE"/>
    <w:rsid w:val="00741A18"/>
    <w:rsid w:val="007427F1"/>
    <w:rsid w:val="00742831"/>
    <w:rsid w:val="00742E98"/>
    <w:rsid w:val="00743501"/>
    <w:rsid w:val="00743AFA"/>
    <w:rsid w:val="00744142"/>
    <w:rsid w:val="007445D6"/>
    <w:rsid w:val="0074551C"/>
    <w:rsid w:val="00745590"/>
    <w:rsid w:val="00745AE1"/>
    <w:rsid w:val="00745B3C"/>
    <w:rsid w:val="00745EBE"/>
    <w:rsid w:val="0074663D"/>
    <w:rsid w:val="0074740E"/>
    <w:rsid w:val="0074749A"/>
    <w:rsid w:val="007475F4"/>
    <w:rsid w:val="007477BD"/>
    <w:rsid w:val="007478DF"/>
    <w:rsid w:val="00747EF2"/>
    <w:rsid w:val="00750344"/>
    <w:rsid w:val="0075039C"/>
    <w:rsid w:val="00750621"/>
    <w:rsid w:val="0075126B"/>
    <w:rsid w:val="00751642"/>
    <w:rsid w:val="00751BA5"/>
    <w:rsid w:val="00751E94"/>
    <w:rsid w:val="00751EC0"/>
    <w:rsid w:val="007528B0"/>
    <w:rsid w:val="00752A05"/>
    <w:rsid w:val="00752ACF"/>
    <w:rsid w:val="00752B4F"/>
    <w:rsid w:val="00752ED4"/>
    <w:rsid w:val="0075301F"/>
    <w:rsid w:val="00753550"/>
    <w:rsid w:val="007541B9"/>
    <w:rsid w:val="007541BC"/>
    <w:rsid w:val="007546AC"/>
    <w:rsid w:val="007548E3"/>
    <w:rsid w:val="00755138"/>
    <w:rsid w:val="00755B55"/>
    <w:rsid w:val="007568CB"/>
    <w:rsid w:val="00757A69"/>
    <w:rsid w:val="00757E99"/>
    <w:rsid w:val="007600F6"/>
    <w:rsid w:val="007609DF"/>
    <w:rsid w:val="00761D1A"/>
    <w:rsid w:val="00761EBF"/>
    <w:rsid w:val="0076200C"/>
    <w:rsid w:val="00762CB9"/>
    <w:rsid w:val="0076370F"/>
    <w:rsid w:val="00763871"/>
    <w:rsid w:val="00763F55"/>
    <w:rsid w:val="00764163"/>
    <w:rsid w:val="00764332"/>
    <w:rsid w:val="00764D05"/>
    <w:rsid w:val="0076505B"/>
    <w:rsid w:val="007650AB"/>
    <w:rsid w:val="00765288"/>
    <w:rsid w:val="0076538B"/>
    <w:rsid w:val="0076541E"/>
    <w:rsid w:val="007656E9"/>
    <w:rsid w:val="0076589B"/>
    <w:rsid w:val="00765E53"/>
    <w:rsid w:val="007662B1"/>
    <w:rsid w:val="007666A3"/>
    <w:rsid w:val="007667F0"/>
    <w:rsid w:val="007668C7"/>
    <w:rsid w:val="00766965"/>
    <w:rsid w:val="00766B0F"/>
    <w:rsid w:val="0076712B"/>
    <w:rsid w:val="0076714D"/>
    <w:rsid w:val="00767620"/>
    <w:rsid w:val="00767718"/>
    <w:rsid w:val="007678D7"/>
    <w:rsid w:val="00767B44"/>
    <w:rsid w:val="00767CFB"/>
    <w:rsid w:val="00767E94"/>
    <w:rsid w:val="00770409"/>
    <w:rsid w:val="00770843"/>
    <w:rsid w:val="007708C4"/>
    <w:rsid w:val="00770D01"/>
    <w:rsid w:val="00771616"/>
    <w:rsid w:val="00772440"/>
    <w:rsid w:val="00772CAA"/>
    <w:rsid w:val="007741DA"/>
    <w:rsid w:val="00774B47"/>
    <w:rsid w:val="0077573A"/>
    <w:rsid w:val="00775CF1"/>
    <w:rsid w:val="00776440"/>
    <w:rsid w:val="0077674A"/>
    <w:rsid w:val="00776770"/>
    <w:rsid w:val="00776806"/>
    <w:rsid w:val="00776BAD"/>
    <w:rsid w:val="00776BC8"/>
    <w:rsid w:val="00777789"/>
    <w:rsid w:val="00777866"/>
    <w:rsid w:val="007779F5"/>
    <w:rsid w:val="00777A7F"/>
    <w:rsid w:val="0078010B"/>
    <w:rsid w:val="00780645"/>
    <w:rsid w:val="00780AB8"/>
    <w:rsid w:val="00780F78"/>
    <w:rsid w:val="007810BF"/>
    <w:rsid w:val="0078145C"/>
    <w:rsid w:val="00781938"/>
    <w:rsid w:val="00781D90"/>
    <w:rsid w:val="00781F94"/>
    <w:rsid w:val="007821CC"/>
    <w:rsid w:val="007824D4"/>
    <w:rsid w:val="0078271E"/>
    <w:rsid w:val="00782CD3"/>
    <w:rsid w:val="00783AE1"/>
    <w:rsid w:val="007841D8"/>
    <w:rsid w:val="007842EA"/>
    <w:rsid w:val="00784789"/>
    <w:rsid w:val="00784BBB"/>
    <w:rsid w:val="00784D3D"/>
    <w:rsid w:val="00784F3B"/>
    <w:rsid w:val="007856E4"/>
    <w:rsid w:val="00785C77"/>
    <w:rsid w:val="007864F0"/>
    <w:rsid w:val="007866D1"/>
    <w:rsid w:val="0078671D"/>
    <w:rsid w:val="007867C5"/>
    <w:rsid w:val="0078698C"/>
    <w:rsid w:val="00786CB3"/>
    <w:rsid w:val="0078755A"/>
    <w:rsid w:val="0078769A"/>
    <w:rsid w:val="00787AA0"/>
    <w:rsid w:val="00787CB6"/>
    <w:rsid w:val="00787CF6"/>
    <w:rsid w:val="00790242"/>
    <w:rsid w:val="0079024C"/>
    <w:rsid w:val="007908AD"/>
    <w:rsid w:val="0079100B"/>
    <w:rsid w:val="00791340"/>
    <w:rsid w:val="00791DE7"/>
    <w:rsid w:val="00791E28"/>
    <w:rsid w:val="007920CE"/>
    <w:rsid w:val="007922DA"/>
    <w:rsid w:val="007923BA"/>
    <w:rsid w:val="00792669"/>
    <w:rsid w:val="00792BB7"/>
    <w:rsid w:val="00793BE6"/>
    <w:rsid w:val="007942D5"/>
    <w:rsid w:val="007944B3"/>
    <w:rsid w:val="007944FC"/>
    <w:rsid w:val="00794AF2"/>
    <w:rsid w:val="00794B0C"/>
    <w:rsid w:val="00794F2D"/>
    <w:rsid w:val="00795BDF"/>
    <w:rsid w:val="00795C59"/>
    <w:rsid w:val="0079645C"/>
    <w:rsid w:val="00796824"/>
    <w:rsid w:val="007969F3"/>
    <w:rsid w:val="00797A57"/>
    <w:rsid w:val="00797A58"/>
    <w:rsid w:val="00797EF0"/>
    <w:rsid w:val="007A0015"/>
    <w:rsid w:val="007A0102"/>
    <w:rsid w:val="007A0495"/>
    <w:rsid w:val="007A05E2"/>
    <w:rsid w:val="007A0B92"/>
    <w:rsid w:val="007A0E32"/>
    <w:rsid w:val="007A0E8E"/>
    <w:rsid w:val="007A1112"/>
    <w:rsid w:val="007A16D4"/>
    <w:rsid w:val="007A19EB"/>
    <w:rsid w:val="007A1B3F"/>
    <w:rsid w:val="007A1C46"/>
    <w:rsid w:val="007A20C7"/>
    <w:rsid w:val="007A2925"/>
    <w:rsid w:val="007A2D89"/>
    <w:rsid w:val="007A2EED"/>
    <w:rsid w:val="007A3112"/>
    <w:rsid w:val="007A33F0"/>
    <w:rsid w:val="007A3951"/>
    <w:rsid w:val="007A4058"/>
    <w:rsid w:val="007A4905"/>
    <w:rsid w:val="007A4B39"/>
    <w:rsid w:val="007A5EE9"/>
    <w:rsid w:val="007A5EEF"/>
    <w:rsid w:val="007A640E"/>
    <w:rsid w:val="007A6485"/>
    <w:rsid w:val="007A663D"/>
    <w:rsid w:val="007A66BC"/>
    <w:rsid w:val="007A6A7A"/>
    <w:rsid w:val="007A6EB9"/>
    <w:rsid w:val="007A6F79"/>
    <w:rsid w:val="007A7511"/>
    <w:rsid w:val="007A75DB"/>
    <w:rsid w:val="007A760F"/>
    <w:rsid w:val="007A7A28"/>
    <w:rsid w:val="007A7AA2"/>
    <w:rsid w:val="007A7AC2"/>
    <w:rsid w:val="007A7AEF"/>
    <w:rsid w:val="007B0001"/>
    <w:rsid w:val="007B00FB"/>
    <w:rsid w:val="007B012E"/>
    <w:rsid w:val="007B0637"/>
    <w:rsid w:val="007B0681"/>
    <w:rsid w:val="007B080F"/>
    <w:rsid w:val="007B0AC9"/>
    <w:rsid w:val="007B1BC6"/>
    <w:rsid w:val="007B2236"/>
    <w:rsid w:val="007B2350"/>
    <w:rsid w:val="007B2468"/>
    <w:rsid w:val="007B253B"/>
    <w:rsid w:val="007B269A"/>
    <w:rsid w:val="007B271D"/>
    <w:rsid w:val="007B27A0"/>
    <w:rsid w:val="007B2C12"/>
    <w:rsid w:val="007B2E3F"/>
    <w:rsid w:val="007B3AD1"/>
    <w:rsid w:val="007B3DA4"/>
    <w:rsid w:val="007B3EF2"/>
    <w:rsid w:val="007B4190"/>
    <w:rsid w:val="007B44D4"/>
    <w:rsid w:val="007B48F7"/>
    <w:rsid w:val="007B5727"/>
    <w:rsid w:val="007B59DC"/>
    <w:rsid w:val="007B5B9E"/>
    <w:rsid w:val="007B5F78"/>
    <w:rsid w:val="007B6284"/>
    <w:rsid w:val="007B6919"/>
    <w:rsid w:val="007B6C00"/>
    <w:rsid w:val="007B6ECF"/>
    <w:rsid w:val="007B715C"/>
    <w:rsid w:val="007B7B29"/>
    <w:rsid w:val="007C0671"/>
    <w:rsid w:val="007C0C88"/>
    <w:rsid w:val="007C0D72"/>
    <w:rsid w:val="007C104A"/>
    <w:rsid w:val="007C18C7"/>
    <w:rsid w:val="007C1E4A"/>
    <w:rsid w:val="007C1F0D"/>
    <w:rsid w:val="007C21BE"/>
    <w:rsid w:val="007C23B0"/>
    <w:rsid w:val="007C24A1"/>
    <w:rsid w:val="007C24EC"/>
    <w:rsid w:val="007C2C5F"/>
    <w:rsid w:val="007C2F51"/>
    <w:rsid w:val="007C3039"/>
    <w:rsid w:val="007C310C"/>
    <w:rsid w:val="007C312C"/>
    <w:rsid w:val="007C3621"/>
    <w:rsid w:val="007C421D"/>
    <w:rsid w:val="007C42E1"/>
    <w:rsid w:val="007C453B"/>
    <w:rsid w:val="007C4ADE"/>
    <w:rsid w:val="007C4FA8"/>
    <w:rsid w:val="007C5025"/>
    <w:rsid w:val="007C52FF"/>
    <w:rsid w:val="007C558E"/>
    <w:rsid w:val="007C5BC3"/>
    <w:rsid w:val="007C5D2E"/>
    <w:rsid w:val="007C660D"/>
    <w:rsid w:val="007C6945"/>
    <w:rsid w:val="007C69B6"/>
    <w:rsid w:val="007C6F14"/>
    <w:rsid w:val="007C7091"/>
    <w:rsid w:val="007C72DC"/>
    <w:rsid w:val="007C7AE3"/>
    <w:rsid w:val="007C7E17"/>
    <w:rsid w:val="007C7F4C"/>
    <w:rsid w:val="007C7F6A"/>
    <w:rsid w:val="007D10C0"/>
    <w:rsid w:val="007D122A"/>
    <w:rsid w:val="007D1D0E"/>
    <w:rsid w:val="007D1DE6"/>
    <w:rsid w:val="007D24DC"/>
    <w:rsid w:val="007D2788"/>
    <w:rsid w:val="007D27F6"/>
    <w:rsid w:val="007D288C"/>
    <w:rsid w:val="007D3485"/>
    <w:rsid w:val="007D381B"/>
    <w:rsid w:val="007D3B9B"/>
    <w:rsid w:val="007D3BB1"/>
    <w:rsid w:val="007D3FB8"/>
    <w:rsid w:val="007D41EB"/>
    <w:rsid w:val="007D4AA7"/>
    <w:rsid w:val="007D54D5"/>
    <w:rsid w:val="007D5552"/>
    <w:rsid w:val="007D5CCD"/>
    <w:rsid w:val="007D655F"/>
    <w:rsid w:val="007D65D9"/>
    <w:rsid w:val="007D6713"/>
    <w:rsid w:val="007D6B18"/>
    <w:rsid w:val="007D6DDB"/>
    <w:rsid w:val="007D71DE"/>
    <w:rsid w:val="007D746A"/>
    <w:rsid w:val="007D7799"/>
    <w:rsid w:val="007D7852"/>
    <w:rsid w:val="007D79AD"/>
    <w:rsid w:val="007D7EEE"/>
    <w:rsid w:val="007E0D6A"/>
    <w:rsid w:val="007E1211"/>
    <w:rsid w:val="007E127F"/>
    <w:rsid w:val="007E12C4"/>
    <w:rsid w:val="007E13D4"/>
    <w:rsid w:val="007E1671"/>
    <w:rsid w:val="007E16DC"/>
    <w:rsid w:val="007E16F6"/>
    <w:rsid w:val="007E1C3E"/>
    <w:rsid w:val="007E1E4B"/>
    <w:rsid w:val="007E2040"/>
    <w:rsid w:val="007E256A"/>
    <w:rsid w:val="007E300B"/>
    <w:rsid w:val="007E304C"/>
    <w:rsid w:val="007E31DD"/>
    <w:rsid w:val="007E3432"/>
    <w:rsid w:val="007E37EE"/>
    <w:rsid w:val="007E3845"/>
    <w:rsid w:val="007E3B42"/>
    <w:rsid w:val="007E4043"/>
    <w:rsid w:val="007E41A0"/>
    <w:rsid w:val="007E44C0"/>
    <w:rsid w:val="007E5133"/>
    <w:rsid w:val="007E62D2"/>
    <w:rsid w:val="007E62E6"/>
    <w:rsid w:val="007E6A4F"/>
    <w:rsid w:val="007E6A6E"/>
    <w:rsid w:val="007E7F2D"/>
    <w:rsid w:val="007F00D7"/>
    <w:rsid w:val="007F017E"/>
    <w:rsid w:val="007F0F3D"/>
    <w:rsid w:val="007F14F4"/>
    <w:rsid w:val="007F185E"/>
    <w:rsid w:val="007F18B4"/>
    <w:rsid w:val="007F1C1F"/>
    <w:rsid w:val="007F1F7B"/>
    <w:rsid w:val="007F20B7"/>
    <w:rsid w:val="007F2484"/>
    <w:rsid w:val="007F251E"/>
    <w:rsid w:val="007F3043"/>
    <w:rsid w:val="007F32E6"/>
    <w:rsid w:val="007F33F5"/>
    <w:rsid w:val="007F3A8A"/>
    <w:rsid w:val="007F3F3D"/>
    <w:rsid w:val="007F3FB7"/>
    <w:rsid w:val="007F40E3"/>
    <w:rsid w:val="007F4903"/>
    <w:rsid w:val="007F5138"/>
    <w:rsid w:val="007F5BD7"/>
    <w:rsid w:val="007F6097"/>
    <w:rsid w:val="007F6195"/>
    <w:rsid w:val="007F62E7"/>
    <w:rsid w:val="007F6CAD"/>
    <w:rsid w:val="007F71BC"/>
    <w:rsid w:val="007F724E"/>
    <w:rsid w:val="007F74F5"/>
    <w:rsid w:val="007F7B97"/>
    <w:rsid w:val="007F7C3D"/>
    <w:rsid w:val="00800471"/>
    <w:rsid w:val="008004CD"/>
    <w:rsid w:val="008007E5"/>
    <w:rsid w:val="00801412"/>
    <w:rsid w:val="008015D3"/>
    <w:rsid w:val="00801616"/>
    <w:rsid w:val="008018F2"/>
    <w:rsid w:val="00802109"/>
    <w:rsid w:val="00802352"/>
    <w:rsid w:val="0080237F"/>
    <w:rsid w:val="00802628"/>
    <w:rsid w:val="00802947"/>
    <w:rsid w:val="00802971"/>
    <w:rsid w:val="00802D1A"/>
    <w:rsid w:val="00802D48"/>
    <w:rsid w:val="00803172"/>
    <w:rsid w:val="00803CED"/>
    <w:rsid w:val="00803DFB"/>
    <w:rsid w:val="0080429D"/>
    <w:rsid w:val="00804B97"/>
    <w:rsid w:val="00804C6E"/>
    <w:rsid w:val="00804D91"/>
    <w:rsid w:val="00804E8F"/>
    <w:rsid w:val="0080526D"/>
    <w:rsid w:val="008052B8"/>
    <w:rsid w:val="00805303"/>
    <w:rsid w:val="008059AD"/>
    <w:rsid w:val="0080664C"/>
    <w:rsid w:val="008066D3"/>
    <w:rsid w:val="00806B58"/>
    <w:rsid w:val="00806DFE"/>
    <w:rsid w:val="00806FE4"/>
    <w:rsid w:val="008103A6"/>
    <w:rsid w:val="0081080D"/>
    <w:rsid w:val="00810B8C"/>
    <w:rsid w:val="00810F1D"/>
    <w:rsid w:val="00810F69"/>
    <w:rsid w:val="00811291"/>
    <w:rsid w:val="00811672"/>
    <w:rsid w:val="008119A6"/>
    <w:rsid w:val="0081200C"/>
    <w:rsid w:val="00812497"/>
    <w:rsid w:val="0081276F"/>
    <w:rsid w:val="00812773"/>
    <w:rsid w:val="00812789"/>
    <w:rsid w:val="0081286B"/>
    <w:rsid w:val="008129C7"/>
    <w:rsid w:val="00812D18"/>
    <w:rsid w:val="00812D78"/>
    <w:rsid w:val="00812F43"/>
    <w:rsid w:val="00812F69"/>
    <w:rsid w:val="008130C8"/>
    <w:rsid w:val="00813273"/>
    <w:rsid w:val="00813EBF"/>
    <w:rsid w:val="008142CA"/>
    <w:rsid w:val="008144E6"/>
    <w:rsid w:val="0081503F"/>
    <w:rsid w:val="0081515D"/>
    <w:rsid w:val="00815891"/>
    <w:rsid w:val="00815CCD"/>
    <w:rsid w:val="00815F50"/>
    <w:rsid w:val="00815F74"/>
    <w:rsid w:val="00816DC0"/>
    <w:rsid w:val="0081733B"/>
    <w:rsid w:val="00817805"/>
    <w:rsid w:val="00817D3A"/>
    <w:rsid w:val="0082099A"/>
    <w:rsid w:val="0082143D"/>
    <w:rsid w:val="00822D3B"/>
    <w:rsid w:val="00823495"/>
    <w:rsid w:val="008247A3"/>
    <w:rsid w:val="00824E49"/>
    <w:rsid w:val="00825104"/>
    <w:rsid w:val="008256DA"/>
    <w:rsid w:val="00825941"/>
    <w:rsid w:val="008259FC"/>
    <w:rsid w:val="00825B17"/>
    <w:rsid w:val="0082600D"/>
    <w:rsid w:val="00826490"/>
    <w:rsid w:val="008268F1"/>
    <w:rsid w:val="00827095"/>
    <w:rsid w:val="0082726C"/>
    <w:rsid w:val="008273A0"/>
    <w:rsid w:val="008275C3"/>
    <w:rsid w:val="00827CFA"/>
    <w:rsid w:val="00830965"/>
    <w:rsid w:val="0083121A"/>
    <w:rsid w:val="008316B6"/>
    <w:rsid w:val="00831CE3"/>
    <w:rsid w:val="00831F2F"/>
    <w:rsid w:val="00832389"/>
    <w:rsid w:val="008326E0"/>
    <w:rsid w:val="00832838"/>
    <w:rsid w:val="00832B59"/>
    <w:rsid w:val="00832C38"/>
    <w:rsid w:val="00832CD8"/>
    <w:rsid w:val="00832D1B"/>
    <w:rsid w:val="00832D91"/>
    <w:rsid w:val="00833432"/>
    <w:rsid w:val="008338F3"/>
    <w:rsid w:val="00833ABC"/>
    <w:rsid w:val="00833B89"/>
    <w:rsid w:val="00834088"/>
    <w:rsid w:val="008341E3"/>
    <w:rsid w:val="00834594"/>
    <w:rsid w:val="00834BE2"/>
    <w:rsid w:val="0083528B"/>
    <w:rsid w:val="0083536C"/>
    <w:rsid w:val="008353B2"/>
    <w:rsid w:val="00835538"/>
    <w:rsid w:val="0083594E"/>
    <w:rsid w:val="00835C4B"/>
    <w:rsid w:val="00835F24"/>
    <w:rsid w:val="0083629A"/>
    <w:rsid w:val="00836E37"/>
    <w:rsid w:val="008372E4"/>
    <w:rsid w:val="008377C3"/>
    <w:rsid w:val="00837944"/>
    <w:rsid w:val="00837E44"/>
    <w:rsid w:val="0084003E"/>
    <w:rsid w:val="00840465"/>
    <w:rsid w:val="00840553"/>
    <w:rsid w:val="00840A7B"/>
    <w:rsid w:val="00840C8C"/>
    <w:rsid w:val="00840D67"/>
    <w:rsid w:val="008410DC"/>
    <w:rsid w:val="00841445"/>
    <w:rsid w:val="00841A68"/>
    <w:rsid w:val="00841BF8"/>
    <w:rsid w:val="00841D39"/>
    <w:rsid w:val="008428D2"/>
    <w:rsid w:val="00843163"/>
    <w:rsid w:val="0084318D"/>
    <w:rsid w:val="00843546"/>
    <w:rsid w:val="008435DA"/>
    <w:rsid w:val="00843AC4"/>
    <w:rsid w:val="0084433E"/>
    <w:rsid w:val="00844487"/>
    <w:rsid w:val="0084459F"/>
    <w:rsid w:val="00844B14"/>
    <w:rsid w:val="00844DAD"/>
    <w:rsid w:val="00844F6C"/>
    <w:rsid w:val="00845FED"/>
    <w:rsid w:val="00846046"/>
    <w:rsid w:val="0084618C"/>
    <w:rsid w:val="008461E6"/>
    <w:rsid w:val="00847042"/>
    <w:rsid w:val="0084797A"/>
    <w:rsid w:val="00847A4B"/>
    <w:rsid w:val="00850890"/>
    <w:rsid w:val="00850AA3"/>
    <w:rsid w:val="00850C61"/>
    <w:rsid w:val="00850C6B"/>
    <w:rsid w:val="00852332"/>
    <w:rsid w:val="00852593"/>
    <w:rsid w:val="0085297A"/>
    <w:rsid w:val="00853E9E"/>
    <w:rsid w:val="008543E2"/>
    <w:rsid w:val="00854D2C"/>
    <w:rsid w:val="00855602"/>
    <w:rsid w:val="008556CD"/>
    <w:rsid w:val="00855B97"/>
    <w:rsid w:val="00855FD3"/>
    <w:rsid w:val="0085607C"/>
    <w:rsid w:val="00856704"/>
    <w:rsid w:val="00856EC0"/>
    <w:rsid w:val="008576E5"/>
    <w:rsid w:val="008579A4"/>
    <w:rsid w:val="00857B92"/>
    <w:rsid w:val="00857DE4"/>
    <w:rsid w:val="00857E99"/>
    <w:rsid w:val="00857FDE"/>
    <w:rsid w:val="008601FD"/>
    <w:rsid w:val="008609CF"/>
    <w:rsid w:val="00860F05"/>
    <w:rsid w:val="00861007"/>
    <w:rsid w:val="00861111"/>
    <w:rsid w:val="00861F6C"/>
    <w:rsid w:val="00862153"/>
    <w:rsid w:val="00862A4C"/>
    <w:rsid w:val="00862BCC"/>
    <w:rsid w:val="00862BEE"/>
    <w:rsid w:val="00863D1E"/>
    <w:rsid w:val="00863FA5"/>
    <w:rsid w:val="0086468B"/>
    <w:rsid w:val="00864971"/>
    <w:rsid w:val="00864E5E"/>
    <w:rsid w:val="008651AC"/>
    <w:rsid w:val="00865AB5"/>
    <w:rsid w:val="00866718"/>
    <w:rsid w:val="00866823"/>
    <w:rsid w:val="00866F54"/>
    <w:rsid w:val="008676F0"/>
    <w:rsid w:val="00867C47"/>
    <w:rsid w:val="00867C7D"/>
    <w:rsid w:val="00867F1E"/>
    <w:rsid w:val="00867F4C"/>
    <w:rsid w:val="00870304"/>
    <w:rsid w:val="00870FB2"/>
    <w:rsid w:val="0087110A"/>
    <w:rsid w:val="0087115A"/>
    <w:rsid w:val="008711F0"/>
    <w:rsid w:val="008713A7"/>
    <w:rsid w:val="0087213A"/>
    <w:rsid w:val="00872202"/>
    <w:rsid w:val="008724B2"/>
    <w:rsid w:val="0087269F"/>
    <w:rsid w:val="008726B3"/>
    <w:rsid w:val="0087278F"/>
    <w:rsid w:val="00872FE5"/>
    <w:rsid w:val="00873626"/>
    <w:rsid w:val="00873772"/>
    <w:rsid w:val="0087389B"/>
    <w:rsid w:val="00873F13"/>
    <w:rsid w:val="00874B09"/>
    <w:rsid w:val="00874B30"/>
    <w:rsid w:val="00875173"/>
    <w:rsid w:val="00875308"/>
    <w:rsid w:val="008755EB"/>
    <w:rsid w:val="008758FC"/>
    <w:rsid w:val="00875DF9"/>
    <w:rsid w:val="00875F4F"/>
    <w:rsid w:val="0087630B"/>
    <w:rsid w:val="0087668C"/>
    <w:rsid w:val="00876F95"/>
    <w:rsid w:val="008770A6"/>
    <w:rsid w:val="00877526"/>
    <w:rsid w:val="0087761D"/>
    <w:rsid w:val="00877626"/>
    <w:rsid w:val="00877CBF"/>
    <w:rsid w:val="008804BE"/>
    <w:rsid w:val="00880AD1"/>
    <w:rsid w:val="00881156"/>
    <w:rsid w:val="00881395"/>
    <w:rsid w:val="008819B9"/>
    <w:rsid w:val="00881D50"/>
    <w:rsid w:val="00882488"/>
    <w:rsid w:val="00882B3D"/>
    <w:rsid w:val="00882C6A"/>
    <w:rsid w:val="00882CF6"/>
    <w:rsid w:val="00882D67"/>
    <w:rsid w:val="008837B6"/>
    <w:rsid w:val="0088396D"/>
    <w:rsid w:val="00883FCC"/>
    <w:rsid w:val="0088420F"/>
    <w:rsid w:val="0088440C"/>
    <w:rsid w:val="00884793"/>
    <w:rsid w:val="0088481E"/>
    <w:rsid w:val="0088485B"/>
    <w:rsid w:val="00884E49"/>
    <w:rsid w:val="008850D2"/>
    <w:rsid w:val="00885BC5"/>
    <w:rsid w:val="008868D1"/>
    <w:rsid w:val="00886D35"/>
    <w:rsid w:val="00886F06"/>
    <w:rsid w:val="00887D6A"/>
    <w:rsid w:val="00887FB2"/>
    <w:rsid w:val="0089066C"/>
    <w:rsid w:val="00890A0A"/>
    <w:rsid w:val="00890BDE"/>
    <w:rsid w:val="00891476"/>
    <w:rsid w:val="00891581"/>
    <w:rsid w:val="008916B5"/>
    <w:rsid w:val="0089178F"/>
    <w:rsid w:val="008918DF"/>
    <w:rsid w:val="00891968"/>
    <w:rsid w:val="0089199E"/>
    <w:rsid w:val="008919F1"/>
    <w:rsid w:val="008919FF"/>
    <w:rsid w:val="008920ED"/>
    <w:rsid w:val="008926B2"/>
    <w:rsid w:val="00892B4A"/>
    <w:rsid w:val="00892B72"/>
    <w:rsid w:val="00893EAC"/>
    <w:rsid w:val="00893EC1"/>
    <w:rsid w:val="008943C8"/>
    <w:rsid w:val="008949C4"/>
    <w:rsid w:val="00895E36"/>
    <w:rsid w:val="008964A2"/>
    <w:rsid w:val="00896625"/>
    <w:rsid w:val="0089684F"/>
    <w:rsid w:val="00896D7C"/>
    <w:rsid w:val="00896EC9"/>
    <w:rsid w:val="00897242"/>
    <w:rsid w:val="008974D9"/>
    <w:rsid w:val="0089792C"/>
    <w:rsid w:val="00897AE4"/>
    <w:rsid w:val="00897D59"/>
    <w:rsid w:val="008A04DA"/>
    <w:rsid w:val="008A0556"/>
    <w:rsid w:val="008A1009"/>
    <w:rsid w:val="008A1465"/>
    <w:rsid w:val="008A16DD"/>
    <w:rsid w:val="008A1C0D"/>
    <w:rsid w:val="008A1C23"/>
    <w:rsid w:val="008A20B6"/>
    <w:rsid w:val="008A26BA"/>
    <w:rsid w:val="008A30AE"/>
    <w:rsid w:val="008A31C3"/>
    <w:rsid w:val="008A3773"/>
    <w:rsid w:val="008A3BF2"/>
    <w:rsid w:val="008A41F6"/>
    <w:rsid w:val="008A4809"/>
    <w:rsid w:val="008A4B8D"/>
    <w:rsid w:val="008A4BE8"/>
    <w:rsid w:val="008A4DE2"/>
    <w:rsid w:val="008A4FD3"/>
    <w:rsid w:val="008A5655"/>
    <w:rsid w:val="008A574D"/>
    <w:rsid w:val="008A58C6"/>
    <w:rsid w:val="008A5D38"/>
    <w:rsid w:val="008A5D58"/>
    <w:rsid w:val="008A61B0"/>
    <w:rsid w:val="008A7898"/>
    <w:rsid w:val="008A7A29"/>
    <w:rsid w:val="008B01A6"/>
    <w:rsid w:val="008B042C"/>
    <w:rsid w:val="008B065D"/>
    <w:rsid w:val="008B096C"/>
    <w:rsid w:val="008B197D"/>
    <w:rsid w:val="008B1AC3"/>
    <w:rsid w:val="008B1B90"/>
    <w:rsid w:val="008B1D8B"/>
    <w:rsid w:val="008B1FC8"/>
    <w:rsid w:val="008B2108"/>
    <w:rsid w:val="008B21BE"/>
    <w:rsid w:val="008B2502"/>
    <w:rsid w:val="008B27B8"/>
    <w:rsid w:val="008B302B"/>
    <w:rsid w:val="008B363A"/>
    <w:rsid w:val="008B385B"/>
    <w:rsid w:val="008B3D78"/>
    <w:rsid w:val="008B45B7"/>
    <w:rsid w:val="008B4794"/>
    <w:rsid w:val="008B47F6"/>
    <w:rsid w:val="008B4C18"/>
    <w:rsid w:val="008B515E"/>
    <w:rsid w:val="008B53EF"/>
    <w:rsid w:val="008B5D2E"/>
    <w:rsid w:val="008B5DC8"/>
    <w:rsid w:val="008B6016"/>
    <w:rsid w:val="008B69EC"/>
    <w:rsid w:val="008B6DD2"/>
    <w:rsid w:val="008B714B"/>
    <w:rsid w:val="008B71E7"/>
    <w:rsid w:val="008B7240"/>
    <w:rsid w:val="008B7508"/>
    <w:rsid w:val="008B79EF"/>
    <w:rsid w:val="008B7B9C"/>
    <w:rsid w:val="008B7BB0"/>
    <w:rsid w:val="008C01EC"/>
    <w:rsid w:val="008C04E8"/>
    <w:rsid w:val="008C07D9"/>
    <w:rsid w:val="008C08FD"/>
    <w:rsid w:val="008C167D"/>
    <w:rsid w:val="008C1CCE"/>
    <w:rsid w:val="008C31CD"/>
    <w:rsid w:val="008C33E7"/>
    <w:rsid w:val="008C3B19"/>
    <w:rsid w:val="008C3EBD"/>
    <w:rsid w:val="008C40BD"/>
    <w:rsid w:val="008C45C2"/>
    <w:rsid w:val="008C4DED"/>
    <w:rsid w:val="008C513B"/>
    <w:rsid w:val="008C5938"/>
    <w:rsid w:val="008C5E74"/>
    <w:rsid w:val="008C612F"/>
    <w:rsid w:val="008C688C"/>
    <w:rsid w:val="008C6995"/>
    <w:rsid w:val="008C69C6"/>
    <w:rsid w:val="008C6A19"/>
    <w:rsid w:val="008C6C0E"/>
    <w:rsid w:val="008C6C66"/>
    <w:rsid w:val="008C6CC9"/>
    <w:rsid w:val="008C6CDA"/>
    <w:rsid w:val="008C6EB5"/>
    <w:rsid w:val="008C714A"/>
    <w:rsid w:val="008C7B0A"/>
    <w:rsid w:val="008C7C68"/>
    <w:rsid w:val="008C7E48"/>
    <w:rsid w:val="008D17F1"/>
    <w:rsid w:val="008D1924"/>
    <w:rsid w:val="008D1BAE"/>
    <w:rsid w:val="008D1D2A"/>
    <w:rsid w:val="008D2AE3"/>
    <w:rsid w:val="008D2EEF"/>
    <w:rsid w:val="008D34AA"/>
    <w:rsid w:val="008D3BEB"/>
    <w:rsid w:val="008D3D92"/>
    <w:rsid w:val="008D4847"/>
    <w:rsid w:val="008D4948"/>
    <w:rsid w:val="008D4DEF"/>
    <w:rsid w:val="008D4E9A"/>
    <w:rsid w:val="008D5349"/>
    <w:rsid w:val="008D55FE"/>
    <w:rsid w:val="008D5642"/>
    <w:rsid w:val="008D5ACF"/>
    <w:rsid w:val="008D5C78"/>
    <w:rsid w:val="008D5EEA"/>
    <w:rsid w:val="008D6713"/>
    <w:rsid w:val="008D6FA8"/>
    <w:rsid w:val="008D71B6"/>
    <w:rsid w:val="008D7BCD"/>
    <w:rsid w:val="008D7F62"/>
    <w:rsid w:val="008E0525"/>
    <w:rsid w:val="008E06BE"/>
    <w:rsid w:val="008E06F7"/>
    <w:rsid w:val="008E0908"/>
    <w:rsid w:val="008E09B6"/>
    <w:rsid w:val="008E1653"/>
    <w:rsid w:val="008E192B"/>
    <w:rsid w:val="008E1C09"/>
    <w:rsid w:val="008E1C98"/>
    <w:rsid w:val="008E1DCF"/>
    <w:rsid w:val="008E25AE"/>
    <w:rsid w:val="008E27AF"/>
    <w:rsid w:val="008E2BD1"/>
    <w:rsid w:val="008E32BE"/>
    <w:rsid w:val="008E381F"/>
    <w:rsid w:val="008E397F"/>
    <w:rsid w:val="008E3A3D"/>
    <w:rsid w:val="008E3E69"/>
    <w:rsid w:val="008E4020"/>
    <w:rsid w:val="008E4027"/>
    <w:rsid w:val="008E4335"/>
    <w:rsid w:val="008E4BEA"/>
    <w:rsid w:val="008E4EAB"/>
    <w:rsid w:val="008E5159"/>
    <w:rsid w:val="008E51F7"/>
    <w:rsid w:val="008E53E5"/>
    <w:rsid w:val="008E556B"/>
    <w:rsid w:val="008E5C58"/>
    <w:rsid w:val="008E5E78"/>
    <w:rsid w:val="008E61C5"/>
    <w:rsid w:val="008E6E16"/>
    <w:rsid w:val="008E6F14"/>
    <w:rsid w:val="008E7041"/>
    <w:rsid w:val="008E748C"/>
    <w:rsid w:val="008E75A9"/>
    <w:rsid w:val="008E7969"/>
    <w:rsid w:val="008E7F43"/>
    <w:rsid w:val="008F00DC"/>
    <w:rsid w:val="008F079F"/>
    <w:rsid w:val="008F091E"/>
    <w:rsid w:val="008F09AD"/>
    <w:rsid w:val="008F1613"/>
    <w:rsid w:val="008F1632"/>
    <w:rsid w:val="008F1B3A"/>
    <w:rsid w:val="008F20C8"/>
    <w:rsid w:val="008F25A9"/>
    <w:rsid w:val="008F307E"/>
    <w:rsid w:val="008F31C1"/>
    <w:rsid w:val="008F37C1"/>
    <w:rsid w:val="008F37F2"/>
    <w:rsid w:val="008F386B"/>
    <w:rsid w:val="008F3DFB"/>
    <w:rsid w:val="008F4507"/>
    <w:rsid w:val="008F48EA"/>
    <w:rsid w:val="008F590C"/>
    <w:rsid w:val="008F5B6A"/>
    <w:rsid w:val="008F5F6A"/>
    <w:rsid w:val="008F60C1"/>
    <w:rsid w:val="008F6795"/>
    <w:rsid w:val="008F680C"/>
    <w:rsid w:val="008F7643"/>
    <w:rsid w:val="008F7E69"/>
    <w:rsid w:val="0090000F"/>
    <w:rsid w:val="00900213"/>
    <w:rsid w:val="00900305"/>
    <w:rsid w:val="00900638"/>
    <w:rsid w:val="00900CA3"/>
    <w:rsid w:val="00900E79"/>
    <w:rsid w:val="0090113F"/>
    <w:rsid w:val="00901765"/>
    <w:rsid w:val="00901915"/>
    <w:rsid w:val="00901C7A"/>
    <w:rsid w:val="0090202F"/>
    <w:rsid w:val="00902137"/>
    <w:rsid w:val="009025CB"/>
    <w:rsid w:val="00902EE6"/>
    <w:rsid w:val="00903330"/>
    <w:rsid w:val="0090334A"/>
    <w:rsid w:val="009034C9"/>
    <w:rsid w:val="00903E27"/>
    <w:rsid w:val="00903E9F"/>
    <w:rsid w:val="00904410"/>
    <w:rsid w:val="00904797"/>
    <w:rsid w:val="009049BE"/>
    <w:rsid w:val="00904A72"/>
    <w:rsid w:val="00904F2A"/>
    <w:rsid w:val="00904F2D"/>
    <w:rsid w:val="00905022"/>
    <w:rsid w:val="0090547C"/>
    <w:rsid w:val="00905905"/>
    <w:rsid w:val="00905BD8"/>
    <w:rsid w:val="00905DDE"/>
    <w:rsid w:val="009061C1"/>
    <w:rsid w:val="00906644"/>
    <w:rsid w:val="00906935"/>
    <w:rsid w:val="00907143"/>
    <w:rsid w:val="009077C3"/>
    <w:rsid w:val="00907BB1"/>
    <w:rsid w:val="009101EA"/>
    <w:rsid w:val="00910DC6"/>
    <w:rsid w:val="00911732"/>
    <w:rsid w:val="00911D98"/>
    <w:rsid w:val="00911FD5"/>
    <w:rsid w:val="00912419"/>
    <w:rsid w:val="0091248E"/>
    <w:rsid w:val="009134C3"/>
    <w:rsid w:val="00913B7B"/>
    <w:rsid w:val="00913D65"/>
    <w:rsid w:val="00913F75"/>
    <w:rsid w:val="00914509"/>
    <w:rsid w:val="00914E3C"/>
    <w:rsid w:val="00914E96"/>
    <w:rsid w:val="00914E99"/>
    <w:rsid w:val="009156A6"/>
    <w:rsid w:val="00915797"/>
    <w:rsid w:val="00915998"/>
    <w:rsid w:val="009166B1"/>
    <w:rsid w:val="00916CFF"/>
    <w:rsid w:val="009172FA"/>
    <w:rsid w:val="0091771F"/>
    <w:rsid w:val="00920024"/>
    <w:rsid w:val="00920176"/>
    <w:rsid w:val="009209A7"/>
    <w:rsid w:val="009209DA"/>
    <w:rsid w:val="00920A57"/>
    <w:rsid w:val="00920D1D"/>
    <w:rsid w:val="00920E9B"/>
    <w:rsid w:val="00921416"/>
    <w:rsid w:val="00921581"/>
    <w:rsid w:val="00921EA4"/>
    <w:rsid w:val="009223B8"/>
    <w:rsid w:val="00922705"/>
    <w:rsid w:val="00922AFB"/>
    <w:rsid w:val="00922B3A"/>
    <w:rsid w:val="00922BDF"/>
    <w:rsid w:val="00923330"/>
    <w:rsid w:val="00923664"/>
    <w:rsid w:val="0092373B"/>
    <w:rsid w:val="009238FD"/>
    <w:rsid w:val="009240A1"/>
    <w:rsid w:val="009241E7"/>
    <w:rsid w:val="0092429F"/>
    <w:rsid w:val="0092434A"/>
    <w:rsid w:val="00924384"/>
    <w:rsid w:val="009251CF"/>
    <w:rsid w:val="009260D2"/>
    <w:rsid w:val="0092645E"/>
    <w:rsid w:val="0092665C"/>
    <w:rsid w:val="009266FF"/>
    <w:rsid w:val="00926722"/>
    <w:rsid w:val="00926941"/>
    <w:rsid w:val="0092719E"/>
    <w:rsid w:val="00927D33"/>
    <w:rsid w:val="009302FD"/>
    <w:rsid w:val="00930402"/>
    <w:rsid w:val="00930496"/>
    <w:rsid w:val="00930707"/>
    <w:rsid w:val="00930FDB"/>
    <w:rsid w:val="00931230"/>
    <w:rsid w:val="009315B7"/>
    <w:rsid w:val="00931872"/>
    <w:rsid w:val="009328F4"/>
    <w:rsid w:val="009334DA"/>
    <w:rsid w:val="00933793"/>
    <w:rsid w:val="00933965"/>
    <w:rsid w:val="00933CA5"/>
    <w:rsid w:val="009342B9"/>
    <w:rsid w:val="009343A2"/>
    <w:rsid w:val="00934588"/>
    <w:rsid w:val="00935462"/>
    <w:rsid w:val="00935596"/>
    <w:rsid w:val="00935964"/>
    <w:rsid w:val="00936100"/>
    <w:rsid w:val="00936321"/>
    <w:rsid w:val="0093676A"/>
    <w:rsid w:val="00936A18"/>
    <w:rsid w:val="00936A4E"/>
    <w:rsid w:val="00936C10"/>
    <w:rsid w:val="00936CA8"/>
    <w:rsid w:val="00936EFB"/>
    <w:rsid w:val="00937865"/>
    <w:rsid w:val="00937C3D"/>
    <w:rsid w:val="009400EC"/>
    <w:rsid w:val="00940287"/>
    <w:rsid w:val="009403AE"/>
    <w:rsid w:val="0094060E"/>
    <w:rsid w:val="00940811"/>
    <w:rsid w:val="00940CA0"/>
    <w:rsid w:val="00941649"/>
    <w:rsid w:val="00942988"/>
    <w:rsid w:val="00942CBD"/>
    <w:rsid w:val="0094327D"/>
    <w:rsid w:val="00943285"/>
    <w:rsid w:val="0094362F"/>
    <w:rsid w:val="0094372B"/>
    <w:rsid w:val="00943DC2"/>
    <w:rsid w:val="00943DEA"/>
    <w:rsid w:val="009442F2"/>
    <w:rsid w:val="009444E8"/>
    <w:rsid w:val="0094458C"/>
    <w:rsid w:val="00944CFF"/>
    <w:rsid w:val="0094540E"/>
    <w:rsid w:val="00945A05"/>
    <w:rsid w:val="00945E4A"/>
    <w:rsid w:val="00945F5C"/>
    <w:rsid w:val="009463E6"/>
    <w:rsid w:val="009464D5"/>
    <w:rsid w:val="009469BD"/>
    <w:rsid w:val="00946A71"/>
    <w:rsid w:val="00946BD7"/>
    <w:rsid w:val="009475B6"/>
    <w:rsid w:val="009476E0"/>
    <w:rsid w:val="00947A8A"/>
    <w:rsid w:val="00947D65"/>
    <w:rsid w:val="0095017D"/>
    <w:rsid w:val="0095080C"/>
    <w:rsid w:val="00950816"/>
    <w:rsid w:val="009508AE"/>
    <w:rsid w:val="00950B19"/>
    <w:rsid w:val="00951946"/>
    <w:rsid w:val="0095195F"/>
    <w:rsid w:val="0095199A"/>
    <w:rsid w:val="00951A55"/>
    <w:rsid w:val="009525B7"/>
    <w:rsid w:val="00952C78"/>
    <w:rsid w:val="00952CFD"/>
    <w:rsid w:val="00952D41"/>
    <w:rsid w:val="009545BF"/>
    <w:rsid w:val="00954652"/>
    <w:rsid w:val="00954EC9"/>
    <w:rsid w:val="00955242"/>
    <w:rsid w:val="00955457"/>
    <w:rsid w:val="0095586B"/>
    <w:rsid w:val="00955A80"/>
    <w:rsid w:val="00955ACF"/>
    <w:rsid w:val="00955F5B"/>
    <w:rsid w:val="009563CF"/>
    <w:rsid w:val="00956755"/>
    <w:rsid w:val="00956CF3"/>
    <w:rsid w:val="00957048"/>
    <w:rsid w:val="009571AD"/>
    <w:rsid w:val="00957521"/>
    <w:rsid w:val="009576BE"/>
    <w:rsid w:val="00957A3C"/>
    <w:rsid w:val="00957AB9"/>
    <w:rsid w:val="009600F3"/>
    <w:rsid w:val="009601C7"/>
    <w:rsid w:val="0096055F"/>
    <w:rsid w:val="0096091A"/>
    <w:rsid w:val="00960A89"/>
    <w:rsid w:val="00960D02"/>
    <w:rsid w:val="009610EC"/>
    <w:rsid w:val="00961621"/>
    <w:rsid w:val="0096173D"/>
    <w:rsid w:val="00961795"/>
    <w:rsid w:val="009618CB"/>
    <w:rsid w:val="00961B64"/>
    <w:rsid w:val="00961BEA"/>
    <w:rsid w:val="00961D77"/>
    <w:rsid w:val="009629BE"/>
    <w:rsid w:val="00963C1F"/>
    <w:rsid w:val="00964330"/>
    <w:rsid w:val="00964586"/>
    <w:rsid w:val="00965666"/>
    <w:rsid w:val="00965818"/>
    <w:rsid w:val="00965EB2"/>
    <w:rsid w:val="0096602F"/>
    <w:rsid w:val="00966156"/>
    <w:rsid w:val="00966E69"/>
    <w:rsid w:val="0096728E"/>
    <w:rsid w:val="00967481"/>
    <w:rsid w:val="0096769B"/>
    <w:rsid w:val="009677D0"/>
    <w:rsid w:val="00967954"/>
    <w:rsid w:val="00967C7E"/>
    <w:rsid w:val="00967FD5"/>
    <w:rsid w:val="0097074E"/>
    <w:rsid w:val="009709E8"/>
    <w:rsid w:val="00970A24"/>
    <w:rsid w:val="009710BE"/>
    <w:rsid w:val="009710C6"/>
    <w:rsid w:val="00971310"/>
    <w:rsid w:val="00972089"/>
    <w:rsid w:val="009727EA"/>
    <w:rsid w:val="009728BB"/>
    <w:rsid w:val="00972D18"/>
    <w:rsid w:val="00972E69"/>
    <w:rsid w:val="009733A1"/>
    <w:rsid w:val="0097345F"/>
    <w:rsid w:val="00973546"/>
    <w:rsid w:val="00973936"/>
    <w:rsid w:val="00973F40"/>
    <w:rsid w:val="00974959"/>
    <w:rsid w:val="00974AFA"/>
    <w:rsid w:val="00974D1C"/>
    <w:rsid w:val="009750BA"/>
    <w:rsid w:val="009759A2"/>
    <w:rsid w:val="00975D46"/>
    <w:rsid w:val="00975DA6"/>
    <w:rsid w:val="00975F3C"/>
    <w:rsid w:val="00976274"/>
    <w:rsid w:val="00976304"/>
    <w:rsid w:val="00976398"/>
    <w:rsid w:val="00976610"/>
    <w:rsid w:val="00976676"/>
    <w:rsid w:val="00976A3E"/>
    <w:rsid w:val="00976A94"/>
    <w:rsid w:val="00976FC4"/>
    <w:rsid w:val="00976FEF"/>
    <w:rsid w:val="0097704B"/>
    <w:rsid w:val="00980697"/>
    <w:rsid w:val="009806A5"/>
    <w:rsid w:val="00980B18"/>
    <w:rsid w:val="00980D53"/>
    <w:rsid w:val="00981134"/>
    <w:rsid w:val="00981AD1"/>
    <w:rsid w:val="00981F4E"/>
    <w:rsid w:val="00982171"/>
    <w:rsid w:val="0098233B"/>
    <w:rsid w:val="0098236A"/>
    <w:rsid w:val="009829A2"/>
    <w:rsid w:val="00982C35"/>
    <w:rsid w:val="009837B3"/>
    <w:rsid w:val="00983823"/>
    <w:rsid w:val="009839E9"/>
    <w:rsid w:val="00983D36"/>
    <w:rsid w:val="00983DE4"/>
    <w:rsid w:val="00983ED3"/>
    <w:rsid w:val="009850E4"/>
    <w:rsid w:val="009853AB"/>
    <w:rsid w:val="00985FBF"/>
    <w:rsid w:val="009860AE"/>
    <w:rsid w:val="0098646F"/>
    <w:rsid w:val="00986551"/>
    <w:rsid w:val="00986557"/>
    <w:rsid w:val="00986915"/>
    <w:rsid w:val="009872DF"/>
    <w:rsid w:val="009878E1"/>
    <w:rsid w:val="00987953"/>
    <w:rsid w:val="00987B55"/>
    <w:rsid w:val="00987EDE"/>
    <w:rsid w:val="00990045"/>
    <w:rsid w:val="00990358"/>
    <w:rsid w:val="009903C8"/>
    <w:rsid w:val="00990B62"/>
    <w:rsid w:val="00990BF7"/>
    <w:rsid w:val="00990D87"/>
    <w:rsid w:val="00990DF4"/>
    <w:rsid w:val="009911F3"/>
    <w:rsid w:val="00991858"/>
    <w:rsid w:val="009918CD"/>
    <w:rsid w:val="0099238E"/>
    <w:rsid w:val="0099294F"/>
    <w:rsid w:val="00992BD2"/>
    <w:rsid w:val="00993193"/>
    <w:rsid w:val="0099384C"/>
    <w:rsid w:val="009938A4"/>
    <w:rsid w:val="00993A9B"/>
    <w:rsid w:val="00993C6A"/>
    <w:rsid w:val="0099481F"/>
    <w:rsid w:val="0099508C"/>
    <w:rsid w:val="009954DA"/>
    <w:rsid w:val="009961F1"/>
    <w:rsid w:val="00996895"/>
    <w:rsid w:val="0099711B"/>
    <w:rsid w:val="00997308"/>
    <w:rsid w:val="00997994"/>
    <w:rsid w:val="009A014F"/>
    <w:rsid w:val="009A04DD"/>
    <w:rsid w:val="009A05A1"/>
    <w:rsid w:val="009A0A0B"/>
    <w:rsid w:val="009A0A33"/>
    <w:rsid w:val="009A0C09"/>
    <w:rsid w:val="009A146E"/>
    <w:rsid w:val="009A14EA"/>
    <w:rsid w:val="009A1566"/>
    <w:rsid w:val="009A17D4"/>
    <w:rsid w:val="009A1806"/>
    <w:rsid w:val="009A1FE4"/>
    <w:rsid w:val="009A2528"/>
    <w:rsid w:val="009A2692"/>
    <w:rsid w:val="009A2883"/>
    <w:rsid w:val="009A2A59"/>
    <w:rsid w:val="009A365F"/>
    <w:rsid w:val="009A3676"/>
    <w:rsid w:val="009A3EFE"/>
    <w:rsid w:val="009A42AB"/>
    <w:rsid w:val="009A487B"/>
    <w:rsid w:val="009A4DF6"/>
    <w:rsid w:val="009A4EE9"/>
    <w:rsid w:val="009A5426"/>
    <w:rsid w:val="009A5704"/>
    <w:rsid w:val="009A579A"/>
    <w:rsid w:val="009A5A0E"/>
    <w:rsid w:val="009A698D"/>
    <w:rsid w:val="009A6DFA"/>
    <w:rsid w:val="009A6F0E"/>
    <w:rsid w:val="009A7463"/>
    <w:rsid w:val="009A763C"/>
    <w:rsid w:val="009A795D"/>
    <w:rsid w:val="009A7C32"/>
    <w:rsid w:val="009B06F5"/>
    <w:rsid w:val="009B0D54"/>
    <w:rsid w:val="009B0F44"/>
    <w:rsid w:val="009B13BC"/>
    <w:rsid w:val="009B2787"/>
    <w:rsid w:val="009B2CD4"/>
    <w:rsid w:val="009B2F73"/>
    <w:rsid w:val="009B2FD5"/>
    <w:rsid w:val="009B3558"/>
    <w:rsid w:val="009B3E85"/>
    <w:rsid w:val="009B3F95"/>
    <w:rsid w:val="009B41D8"/>
    <w:rsid w:val="009B45C9"/>
    <w:rsid w:val="009B4968"/>
    <w:rsid w:val="009B4EA8"/>
    <w:rsid w:val="009B505B"/>
    <w:rsid w:val="009B586E"/>
    <w:rsid w:val="009B5A0A"/>
    <w:rsid w:val="009B5B61"/>
    <w:rsid w:val="009B621B"/>
    <w:rsid w:val="009B628A"/>
    <w:rsid w:val="009B6434"/>
    <w:rsid w:val="009B6578"/>
    <w:rsid w:val="009B6BC1"/>
    <w:rsid w:val="009B6E3D"/>
    <w:rsid w:val="009B6F49"/>
    <w:rsid w:val="009B702F"/>
    <w:rsid w:val="009B7519"/>
    <w:rsid w:val="009B77F2"/>
    <w:rsid w:val="009B7908"/>
    <w:rsid w:val="009C005D"/>
    <w:rsid w:val="009C00CD"/>
    <w:rsid w:val="009C0150"/>
    <w:rsid w:val="009C023A"/>
    <w:rsid w:val="009C0434"/>
    <w:rsid w:val="009C06D5"/>
    <w:rsid w:val="009C0CB5"/>
    <w:rsid w:val="009C0DEF"/>
    <w:rsid w:val="009C11AE"/>
    <w:rsid w:val="009C14A4"/>
    <w:rsid w:val="009C1538"/>
    <w:rsid w:val="009C171F"/>
    <w:rsid w:val="009C173E"/>
    <w:rsid w:val="009C1BDE"/>
    <w:rsid w:val="009C1BE3"/>
    <w:rsid w:val="009C1C22"/>
    <w:rsid w:val="009C22D1"/>
    <w:rsid w:val="009C2ED2"/>
    <w:rsid w:val="009C2F08"/>
    <w:rsid w:val="009C3922"/>
    <w:rsid w:val="009C40BB"/>
    <w:rsid w:val="009C41FB"/>
    <w:rsid w:val="009C43FD"/>
    <w:rsid w:val="009C4945"/>
    <w:rsid w:val="009C4BB8"/>
    <w:rsid w:val="009C5765"/>
    <w:rsid w:val="009C5BCE"/>
    <w:rsid w:val="009C5F33"/>
    <w:rsid w:val="009C6566"/>
    <w:rsid w:val="009C6706"/>
    <w:rsid w:val="009C725D"/>
    <w:rsid w:val="009C75CD"/>
    <w:rsid w:val="009C77CC"/>
    <w:rsid w:val="009C7F19"/>
    <w:rsid w:val="009D0240"/>
    <w:rsid w:val="009D06EA"/>
    <w:rsid w:val="009D079C"/>
    <w:rsid w:val="009D0930"/>
    <w:rsid w:val="009D1244"/>
    <w:rsid w:val="009D1818"/>
    <w:rsid w:val="009D1EA4"/>
    <w:rsid w:val="009D1F9B"/>
    <w:rsid w:val="009D26B2"/>
    <w:rsid w:val="009D2E54"/>
    <w:rsid w:val="009D3A1A"/>
    <w:rsid w:val="009D3C75"/>
    <w:rsid w:val="009D3FF3"/>
    <w:rsid w:val="009D43BF"/>
    <w:rsid w:val="009D452B"/>
    <w:rsid w:val="009D519C"/>
    <w:rsid w:val="009D5255"/>
    <w:rsid w:val="009D5880"/>
    <w:rsid w:val="009D599E"/>
    <w:rsid w:val="009D5B3E"/>
    <w:rsid w:val="009D5E58"/>
    <w:rsid w:val="009D618F"/>
    <w:rsid w:val="009D67EC"/>
    <w:rsid w:val="009D6C3F"/>
    <w:rsid w:val="009D6C79"/>
    <w:rsid w:val="009D74C8"/>
    <w:rsid w:val="009D7594"/>
    <w:rsid w:val="009D76C8"/>
    <w:rsid w:val="009D7933"/>
    <w:rsid w:val="009D7B87"/>
    <w:rsid w:val="009E0D8E"/>
    <w:rsid w:val="009E10F9"/>
    <w:rsid w:val="009E1380"/>
    <w:rsid w:val="009E1A60"/>
    <w:rsid w:val="009E1DA9"/>
    <w:rsid w:val="009E1F64"/>
    <w:rsid w:val="009E23AB"/>
    <w:rsid w:val="009E245B"/>
    <w:rsid w:val="009E2DDB"/>
    <w:rsid w:val="009E3B77"/>
    <w:rsid w:val="009E4042"/>
    <w:rsid w:val="009E4210"/>
    <w:rsid w:val="009E4DE0"/>
    <w:rsid w:val="009E4E12"/>
    <w:rsid w:val="009E52BD"/>
    <w:rsid w:val="009E5871"/>
    <w:rsid w:val="009E5A70"/>
    <w:rsid w:val="009E5D02"/>
    <w:rsid w:val="009E6194"/>
    <w:rsid w:val="009E6403"/>
    <w:rsid w:val="009E6485"/>
    <w:rsid w:val="009E64DE"/>
    <w:rsid w:val="009E6B8B"/>
    <w:rsid w:val="009E72E3"/>
    <w:rsid w:val="009E74F5"/>
    <w:rsid w:val="009E7C14"/>
    <w:rsid w:val="009F0569"/>
    <w:rsid w:val="009F0854"/>
    <w:rsid w:val="009F1097"/>
    <w:rsid w:val="009F10E4"/>
    <w:rsid w:val="009F142D"/>
    <w:rsid w:val="009F1EB6"/>
    <w:rsid w:val="009F207D"/>
    <w:rsid w:val="009F2373"/>
    <w:rsid w:val="009F2424"/>
    <w:rsid w:val="009F2642"/>
    <w:rsid w:val="009F2727"/>
    <w:rsid w:val="009F2B60"/>
    <w:rsid w:val="009F2D6A"/>
    <w:rsid w:val="009F2F83"/>
    <w:rsid w:val="009F302C"/>
    <w:rsid w:val="009F30D2"/>
    <w:rsid w:val="009F33E5"/>
    <w:rsid w:val="009F4463"/>
    <w:rsid w:val="009F4E95"/>
    <w:rsid w:val="009F519D"/>
    <w:rsid w:val="009F5928"/>
    <w:rsid w:val="009F5B20"/>
    <w:rsid w:val="009F5CF8"/>
    <w:rsid w:val="009F5D3D"/>
    <w:rsid w:val="009F625E"/>
    <w:rsid w:val="009F62C5"/>
    <w:rsid w:val="009F66CD"/>
    <w:rsid w:val="009F6740"/>
    <w:rsid w:val="009F6C7B"/>
    <w:rsid w:val="009F6DAA"/>
    <w:rsid w:val="009F75EC"/>
    <w:rsid w:val="009F776A"/>
    <w:rsid w:val="009F7981"/>
    <w:rsid w:val="009F7A14"/>
    <w:rsid w:val="00A0085E"/>
    <w:rsid w:val="00A009B4"/>
    <w:rsid w:val="00A01915"/>
    <w:rsid w:val="00A01C99"/>
    <w:rsid w:val="00A020D8"/>
    <w:rsid w:val="00A02150"/>
    <w:rsid w:val="00A029BE"/>
    <w:rsid w:val="00A02B6B"/>
    <w:rsid w:val="00A02D66"/>
    <w:rsid w:val="00A032C3"/>
    <w:rsid w:val="00A035B0"/>
    <w:rsid w:val="00A03927"/>
    <w:rsid w:val="00A03931"/>
    <w:rsid w:val="00A03A20"/>
    <w:rsid w:val="00A03B55"/>
    <w:rsid w:val="00A03FE4"/>
    <w:rsid w:val="00A0435E"/>
    <w:rsid w:val="00A04791"/>
    <w:rsid w:val="00A055A6"/>
    <w:rsid w:val="00A055AD"/>
    <w:rsid w:val="00A055EF"/>
    <w:rsid w:val="00A0562F"/>
    <w:rsid w:val="00A05AB3"/>
    <w:rsid w:val="00A05E5C"/>
    <w:rsid w:val="00A06428"/>
    <w:rsid w:val="00A0659C"/>
    <w:rsid w:val="00A06AE9"/>
    <w:rsid w:val="00A07141"/>
    <w:rsid w:val="00A07240"/>
    <w:rsid w:val="00A073E3"/>
    <w:rsid w:val="00A07403"/>
    <w:rsid w:val="00A07BFF"/>
    <w:rsid w:val="00A07C3D"/>
    <w:rsid w:val="00A1023F"/>
    <w:rsid w:val="00A10288"/>
    <w:rsid w:val="00A103B7"/>
    <w:rsid w:val="00A104AA"/>
    <w:rsid w:val="00A10793"/>
    <w:rsid w:val="00A10858"/>
    <w:rsid w:val="00A10C24"/>
    <w:rsid w:val="00A10E2F"/>
    <w:rsid w:val="00A10E51"/>
    <w:rsid w:val="00A118B0"/>
    <w:rsid w:val="00A118C0"/>
    <w:rsid w:val="00A121A7"/>
    <w:rsid w:val="00A12A84"/>
    <w:rsid w:val="00A12E66"/>
    <w:rsid w:val="00A1310A"/>
    <w:rsid w:val="00A1354E"/>
    <w:rsid w:val="00A13950"/>
    <w:rsid w:val="00A13F2A"/>
    <w:rsid w:val="00A1470B"/>
    <w:rsid w:val="00A15176"/>
    <w:rsid w:val="00A15392"/>
    <w:rsid w:val="00A153A9"/>
    <w:rsid w:val="00A1597B"/>
    <w:rsid w:val="00A15BE9"/>
    <w:rsid w:val="00A15F41"/>
    <w:rsid w:val="00A16213"/>
    <w:rsid w:val="00A16FCC"/>
    <w:rsid w:val="00A171B5"/>
    <w:rsid w:val="00A176E6"/>
    <w:rsid w:val="00A17A5A"/>
    <w:rsid w:val="00A17A88"/>
    <w:rsid w:val="00A17B12"/>
    <w:rsid w:val="00A17D1C"/>
    <w:rsid w:val="00A205C2"/>
    <w:rsid w:val="00A20F00"/>
    <w:rsid w:val="00A21111"/>
    <w:rsid w:val="00A221BB"/>
    <w:rsid w:val="00A22276"/>
    <w:rsid w:val="00A2288A"/>
    <w:rsid w:val="00A22A34"/>
    <w:rsid w:val="00A22CE1"/>
    <w:rsid w:val="00A2353A"/>
    <w:rsid w:val="00A23FBE"/>
    <w:rsid w:val="00A24110"/>
    <w:rsid w:val="00A24BEB"/>
    <w:rsid w:val="00A25364"/>
    <w:rsid w:val="00A25CB4"/>
    <w:rsid w:val="00A2600C"/>
    <w:rsid w:val="00A267EB"/>
    <w:rsid w:val="00A27148"/>
    <w:rsid w:val="00A2716C"/>
    <w:rsid w:val="00A2734A"/>
    <w:rsid w:val="00A27538"/>
    <w:rsid w:val="00A27542"/>
    <w:rsid w:val="00A27880"/>
    <w:rsid w:val="00A27D1B"/>
    <w:rsid w:val="00A30031"/>
    <w:rsid w:val="00A30053"/>
    <w:rsid w:val="00A30115"/>
    <w:rsid w:val="00A30A52"/>
    <w:rsid w:val="00A30AE0"/>
    <w:rsid w:val="00A3145B"/>
    <w:rsid w:val="00A317CE"/>
    <w:rsid w:val="00A31E51"/>
    <w:rsid w:val="00A32659"/>
    <w:rsid w:val="00A32E2C"/>
    <w:rsid w:val="00A335E1"/>
    <w:rsid w:val="00A33B50"/>
    <w:rsid w:val="00A33CA7"/>
    <w:rsid w:val="00A33E44"/>
    <w:rsid w:val="00A33E8D"/>
    <w:rsid w:val="00A344F5"/>
    <w:rsid w:val="00A348F9"/>
    <w:rsid w:val="00A34DD0"/>
    <w:rsid w:val="00A351F8"/>
    <w:rsid w:val="00A35314"/>
    <w:rsid w:val="00A3580E"/>
    <w:rsid w:val="00A35F0E"/>
    <w:rsid w:val="00A36250"/>
    <w:rsid w:val="00A36888"/>
    <w:rsid w:val="00A36F6F"/>
    <w:rsid w:val="00A3739B"/>
    <w:rsid w:val="00A37483"/>
    <w:rsid w:val="00A3796A"/>
    <w:rsid w:val="00A37D7C"/>
    <w:rsid w:val="00A40666"/>
    <w:rsid w:val="00A40F0B"/>
    <w:rsid w:val="00A41304"/>
    <w:rsid w:val="00A41567"/>
    <w:rsid w:val="00A419BA"/>
    <w:rsid w:val="00A41D92"/>
    <w:rsid w:val="00A41E25"/>
    <w:rsid w:val="00A42A17"/>
    <w:rsid w:val="00A42AF7"/>
    <w:rsid w:val="00A42F83"/>
    <w:rsid w:val="00A43878"/>
    <w:rsid w:val="00A439CE"/>
    <w:rsid w:val="00A44497"/>
    <w:rsid w:val="00A44556"/>
    <w:rsid w:val="00A4457B"/>
    <w:rsid w:val="00A445B1"/>
    <w:rsid w:val="00A44951"/>
    <w:rsid w:val="00A44DF1"/>
    <w:rsid w:val="00A45097"/>
    <w:rsid w:val="00A4527C"/>
    <w:rsid w:val="00A452D3"/>
    <w:rsid w:val="00A45E08"/>
    <w:rsid w:val="00A46552"/>
    <w:rsid w:val="00A46597"/>
    <w:rsid w:val="00A4678D"/>
    <w:rsid w:val="00A46DE9"/>
    <w:rsid w:val="00A46E5A"/>
    <w:rsid w:val="00A4728C"/>
    <w:rsid w:val="00A4729D"/>
    <w:rsid w:val="00A47571"/>
    <w:rsid w:val="00A503C1"/>
    <w:rsid w:val="00A50461"/>
    <w:rsid w:val="00A5053C"/>
    <w:rsid w:val="00A50734"/>
    <w:rsid w:val="00A50BEA"/>
    <w:rsid w:val="00A50D26"/>
    <w:rsid w:val="00A5102D"/>
    <w:rsid w:val="00A51603"/>
    <w:rsid w:val="00A51E3E"/>
    <w:rsid w:val="00A51F6B"/>
    <w:rsid w:val="00A524D4"/>
    <w:rsid w:val="00A52C22"/>
    <w:rsid w:val="00A52E48"/>
    <w:rsid w:val="00A53292"/>
    <w:rsid w:val="00A53410"/>
    <w:rsid w:val="00A540BC"/>
    <w:rsid w:val="00A5459E"/>
    <w:rsid w:val="00A546F2"/>
    <w:rsid w:val="00A54EB2"/>
    <w:rsid w:val="00A54FC1"/>
    <w:rsid w:val="00A5525A"/>
    <w:rsid w:val="00A553B9"/>
    <w:rsid w:val="00A5551A"/>
    <w:rsid w:val="00A55E60"/>
    <w:rsid w:val="00A564FA"/>
    <w:rsid w:val="00A5657B"/>
    <w:rsid w:val="00A565D8"/>
    <w:rsid w:val="00A566A9"/>
    <w:rsid w:val="00A56B66"/>
    <w:rsid w:val="00A56C42"/>
    <w:rsid w:val="00A56CFC"/>
    <w:rsid w:val="00A56E84"/>
    <w:rsid w:val="00A5708D"/>
    <w:rsid w:val="00A57537"/>
    <w:rsid w:val="00A57D2F"/>
    <w:rsid w:val="00A6008B"/>
    <w:rsid w:val="00A607D5"/>
    <w:rsid w:val="00A6143E"/>
    <w:rsid w:val="00A619D7"/>
    <w:rsid w:val="00A62182"/>
    <w:rsid w:val="00A62425"/>
    <w:rsid w:val="00A629F4"/>
    <w:rsid w:val="00A62FAF"/>
    <w:rsid w:val="00A63562"/>
    <w:rsid w:val="00A63D60"/>
    <w:rsid w:val="00A63F45"/>
    <w:rsid w:val="00A63FB8"/>
    <w:rsid w:val="00A641A6"/>
    <w:rsid w:val="00A64329"/>
    <w:rsid w:val="00A64814"/>
    <w:rsid w:val="00A64B82"/>
    <w:rsid w:val="00A65E0D"/>
    <w:rsid w:val="00A65EF8"/>
    <w:rsid w:val="00A6621F"/>
    <w:rsid w:val="00A67475"/>
    <w:rsid w:val="00A67653"/>
    <w:rsid w:val="00A67C2F"/>
    <w:rsid w:val="00A67D14"/>
    <w:rsid w:val="00A7003C"/>
    <w:rsid w:val="00A703C7"/>
    <w:rsid w:val="00A707FD"/>
    <w:rsid w:val="00A70BA4"/>
    <w:rsid w:val="00A70EC6"/>
    <w:rsid w:val="00A71B61"/>
    <w:rsid w:val="00A720E0"/>
    <w:rsid w:val="00A7264F"/>
    <w:rsid w:val="00A727B5"/>
    <w:rsid w:val="00A72BAF"/>
    <w:rsid w:val="00A7321A"/>
    <w:rsid w:val="00A735BE"/>
    <w:rsid w:val="00A739D7"/>
    <w:rsid w:val="00A73E9B"/>
    <w:rsid w:val="00A73FBE"/>
    <w:rsid w:val="00A74161"/>
    <w:rsid w:val="00A7426B"/>
    <w:rsid w:val="00A742C2"/>
    <w:rsid w:val="00A74778"/>
    <w:rsid w:val="00A74D37"/>
    <w:rsid w:val="00A76C77"/>
    <w:rsid w:val="00A76D39"/>
    <w:rsid w:val="00A7738C"/>
    <w:rsid w:val="00A7793D"/>
    <w:rsid w:val="00A77945"/>
    <w:rsid w:val="00A77E51"/>
    <w:rsid w:val="00A77EA2"/>
    <w:rsid w:val="00A807CC"/>
    <w:rsid w:val="00A80F2F"/>
    <w:rsid w:val="00A80F67"/>
    <w:rsid w:val="00A81552"/>
    <w:rsid w:val="00A8291F"/>
    <w:rsid w:val="00A82A71"/>
    <w:rsid w:val="00A82DEF"/>
    <w:rsid w:val="00A82E6C"/>
    <w:rsid w:val="00A84014"/>
    <w:rsid w:val="00A842F9"/>
    <w:rsid w:val="00A8435A"/>
    <w:rsid w:val="00A8447B"/>
    <w:rsid w:val="00A84BE4"/>
    <w:rsid w:val="00A84C9B"/>
    <w:rsid w:val="00A84CB7"/>
    <w:rsid w:val="00A84F8D"/>
    <w:rsid w:val="00A856A4"/>
    <w:rsid w:val="00A8599C"/>
    <w:rsid w:val="00A85B3D"/>
    <w:rsid w:val="00A85CB5"/>
    <w:rsid w:val="00A85DD7"/>
    <w:rsid w:val="00A8639C"/>
    <w:rsid w:val="00A868BB"/>
    <w:rsid w:val="00A8693D"/>
    <w:rsid w:val="00A86C64"/>
    <w:rsid w:val="00A86DE4"/>
    <w:rsid w:val="00A86F92"/>
    <w:rsid w:val="00A8717D"/>
    <w:rsid w:val="00A87407"/>
    <w:rsid w:val="00A8753F"/>
    <w:rsid w:val="00A87BB9"/>
    <w:rsid w:val="00A87DE9"/>
    <w:rsid w:val="00A9002A"/>
    <w:rsid w:val="00A9035F"/>
    <w:rsid w:val="00A90542"/>
    <w:rsid w:val="00A90A32"/>
    <w:rsid w:val="00A90C0B"/>
    <w:rsid w:val="00A90D5F"/>
    <w:rsid w:val="00A9134A"/>
    <w:rsid w:val="00A9167C"/>
    <w:rsid w:val="00A91E9F"/>
    <w:rsid w:val="00A91FF2"/>
    <w:rsid w:val="00A926A2"/>
    <w:rsid w:val="00A938B7"/>
    <w:rsid w:val="00A938FC"/>
    <w:rsid w:val="00A93B44"/>
    <w:rsid w:val="00A9439F"/>
    <w:rsid w:val="00A943F2"/>
    <w:rsid w:val="00A94B4C"/>
    <w:rsid w:val="00A9515C"/>
    <w:rsid w:val="00A95861"/>
    <w:rsid w:val="00A96E5C"/>
    <w:rsid w:val="00A97542"/>
    <w:rsid w:val="00A97946"/>
    <w:rsid w:val="00A979AD"/>
    <w:rsid w:val="00A97EAE"/>
    <w:rsid w:val="00AA014F"/>
    <w:rsid w:val="00AA032A"/>
    <w:rsid w:val="00AA03E3"/>
    <w:rsid w:val="00AA115D"/>
    <w:rsid w:val="00AA120C"/>
    <w:rsid w:val="00AA1560"/>
    <w:rsid w:val="00AA1F53"/>
    <w:rsid w:val="00AA205E"/>
    <w:rsid w:val="00AA2480"/>
    <w:rsid w:val="00AA287D"/>
    <w:rsid w:val="00AA28D7"/>
    <w:rsid w:val="00AA2E27"/>
    <w:rsid w:val="00AA2FFC"/>
    <w:rsid w:val="00AA3BFF"/>
    <w:rsid w:val="00AA3CA5"/>
    <w:rsid w:val="00AA4276"/>
    <w:rsid w:val="00AA4C8F"/>
    <w:rsid w:val="00AA50FB"/>
    <w:rsid w:val="00AA5133"/>
    <w:rsid w:val="00AA5332"/>
    <w:rsid w:val="00AA537B"/>
    <w:rsid w:val="00AA5396"/>
    <w:rsid w:val="00AA6001"/>
    <w:rsid w:val="00AA7103"/>
    <w:rsid w:val="00AA77AD"/>
    <w:rsid w:val="00AA7E2A"/>
    <w:rsid w:val="00AA7E34"/>
    <w:rsid w:val="00AB003A"/>
    <w:rsid w:val="00AB004F"/>
    <w:rsid w:val="00AB0D0F"/>
    <w:rsid w:val="00AB13EF"/>
    <w:rsid w:val="00AB188A"/>
    <w:rsid w:val="00AB18AC"/>
    <w:rsid w:val="00AB1A11"/>
    <w:rsid w:val="00AB1A29"/>
    <w:rsid w:val="00AB1C80"/>
    <w:rsid w:val="00AB24DC"/>
    <w:rsid w:val="00AB2C57"/>
    <w:rsid w:val="00AB3211"/>
    <w:rsid w:val="00AB3237"/>
    <w:rsid w:val="00AB3366"/>
    <w:rsid w:val="00AB3397"/>
    <w:rsid w:val="00AB36FC"/>
    <w:rsid w:val="00AB3BD7"/>
    <w:rsid w:val="00AB48CF"/>
    <w:rsid w:val="00AB4911"/>
    <w:rsid w:val="00AB4AF1"/>
    <w:rsid w:val="00AB5377"/>
    <w:rsid w:val="00AB5411"/>
    <w:rsid w:val="00AB56EC"/>
    <w:rsid w:val="00AB61D4"/>
    <w:rsid w:val="00AB6A92"/>
    <w:rsid w:val="00AB6DCD"/>
    <w:rsid w:val="00AB6E9E"/>
    <w:rsid w:val="00AB76D0"/>
    <w:rsid w:val="00AB78D1"/>
    <w:rsid w:val="00AB7E0A"/>
    <w:rsid w:val="00AC0099"/>
    <w:rsid w:val="00AC049D"/>
    <w:rsid w:val="00AC073B"/>
    <w:rsid w:val="00AC0774"/>
    <w:rsid w:val="00AC0B36"/>
    <w:rsid w:val="00AC0CC5"/>
    <w:rsid w:val="00AC0EF0"/>
    <w:rsid w:val="00AC0F2A"/>
    <w:rsid w:val="00AC112F"/>
    <w:rsid w:val="00AC120B"/>
    <w:rsid w:val="00AC1D69"/>
    <w:rsid w:val="00AC1EC7"/>
    <w:rsid w:val="00AC22D6"/>
    <w:rsid w:val="00AC263C"/>
    <w:rsid w:val="00AC2BA1"/>
    <w:rsid w:val="00AC2F74"/>
    <w:rsid w:val="00AC3101"/>
    <w:rsid w:val="00AC33C0"/>
    <w:rsid w:val="00AC37CA"/>
    <w:rsid w:val="00AC43AA"/>
    <w:rsid w:val="00AC476C"/>
    <w:rsid w:val="00AC4FE2"/>
    <w:rsid w:val="00AC50E4"/>
    <w:rsid w:val="00AC5124"/>
    <w:rsid w:val="00AC5891"/>
    <w:rsid w:val="00AC5C5C"/>
    <w:rsid w:val="00AC64CF"/>
    <w:rsid w:val="00AC65D4"/>
    <w:rsid w:val="00AC6A2B"/>
    <w:rsid w:val="00AC7375"/>
    <w:rsid w:val="00AC75AE"/>
    <w:rsid w:val="00AC78BC"/>
    <w:rsid w:val="00AC7951"/>
    <w:rsid w:val="00AC7D8F"/>
    <w:rsid w:val="00AC7E56"/>
    <w:rsid w:val="00AD0176"/>
    <w:rsid w:val="00AD04BB"/>
    <w:rsid w:val="00AD0793"/>
    <w:rsid w:val="00AD0A48"/>
    <w:rsid w:val="00AD0B28"/>
    <w:rsid w:val="00AD0B94"/>
    <w:rsid w:val="00AD19AF"/>
    <w:rsid w:val="00AD1AA4"/>
    <w:rsid w:val="00AD1B1E"/>
    <w:rsid w:val="00AD1F09"/>
    <w:rsid w:val="00AD2077"/>
    <w:rsid w:val="00AD20A4"/>
    <w:rsid w:val="00AD2189"/>
    <w:rsid w:val="00AD242D"/>
    <w:rsid w:val="00AD2520"/>
    <w:rsid w:val="00AD2A64"/>
    <w:rsid w:val="00AD2AA6"/>
    <w:rsid w:val="00AD2CEE"/>
    <w:rsid w:val="00AD2F74"/>
    <w:rsid w:val="00AD3F21"/>
    <w:rsid w:val="00AD47FE"/>
    <w:rsid w:val="00AD4D8E"/>
    <w:rsid w:val="00AD5036"/>
    <w:rsid w:val="00AD5189"/>
    <w:rsid w:val="00AD543B"/>
    <w:rsid w:val="00AD5DEC"/>
    <w:rsid w:val="00AD5E50"/>
    <w:rsid w:val="00AD5F7A"/>
    <w:rsid w:val="00AD6249"/>
    <w:rsid w:val="00AD6A84"/>
    <w:rsid w:val="00AD6FD9"/>
    <w:rsid w:val="00AD74F2"/>
    <w:rsid w:val="00AD762A"/>
    <w:rsid w:val="00AD7940"/>
    <w:rsid w:val="00AD79A9"/>
    <w:rsid w:val="00AD79D7"/>
    <w:rsid w:val="00AD7A15"/>
    <w:rsid w:val="00AD7DBA"/>
    <w:rsid w:val="00AD7DCD"/>
    <w:rsid w:val="00AD7E75"/>
    <w:rsid w:val="00AE0159"/>
    <w:rsid w:val="00AE0B08"/>
    <w:rsid w:val="00AE0F30"/>
    <w:rsid w:val="00AE0FD1"/>
    <w:rsid w:val="00AE10B9"/>
    <w:rsid w:val="00AE158F"/>
    <w:rsid w:val="00AE1BBE"/>
    <w:rsid w:val="00AE1DD7"/>
    <w:rsid w:val="00AE2175"/>
    <w:rsid w:val="00AE24A9"/>
    <w:rsid w:val="00AE2CCB"/>
    <w:rsid w:val="00AE317D"/>
    <w:rsid w:val="00AE320D"/>
    <w:rsid w:val="00AE3EFE"/>
    <w:rsid w:val="00AE3F6B"/>
    <w:rsid w:val="00AE44DF"/>
    <w:rsid w:val="00AE4CC7"/>
    <w:rsid w:val="00AE4E29"/>
    <w:rsid w:val="00AE5752"/>
    <w:rsid w:val="00AE5C8F"/>
    <w:rsid w:val="00AE5E67"/>
    <w:rsid w:val="00AE6314"/>
    <w:rsid w:val="00AE68D8"/>
    <w:rsid w:val="00AE69AE"/>
    <w:rsid w:val="00AE6ADC"/>
    <w:rsid w:val="00AE7005"/>
    <w:rsid w:val="00AE706B"/>
    <w:rsid w:val="00AE71FB"/>
    <w:rsid w:val="00AE77BC"/>
    <w:rsid w:val="00AE78B7"/>
    <w:rsid w:val="00AE7A38"/>
    <w:rsid w:val="00AE7E75"/>
    <w:rsid w:val="00AF0360"/>
    <w:rsid w:val="00AF0A8E"/>
    <w:rsid w:val="00AF0B3F"/>
    <w:rsid w:val="00AF0C0B"/>
    <w:rsid w:val="00AF170C"/>
    <w:rsid w:val="00AF1E43"/>
    <w:rsid w:val="00AF217C"/>
    <w:rsid w:val="00AF2CAF"/>
    <w:rsid w:val="00AF2D4E"/>
    <w:rsid w:val="00AF37B0"/>
    <w:rsid w:val="00AF3894"/>
    <w:rsid w:val="00AF4310"/>
    <w:rsid w:val="00AF4C1F"/>
    <w:rsid w:val="00AF5052"/>
    <w:rsid w:val="00AF51D3"/>
    <w:rsid w:val="00AF5282"/>
    <w:rsid w:val="00AF535E"/>
    <w:rsid w:val="00AF5694"/>
    <w:rsid w:val="00AF5DD6"/>
    <w:rsid w:val="00AF6250"/>
    <w:rsid w:val="00AF6368"/>
    <w:rsid w:val="00AF64BE"/>
    <w:rsid w:val="00AF70D2"/>
    <w:rsid w:val="00AF7494"/>
    <w:rsid w:val="00AF79B0"/>
    <w:rsid w:val="00AF7CBF"/>
    <w:rsid w:val="00AF7E01"/>
    <w:rsid w:val="00B00130"/>
    <w:rsid w:val="00B002C5"/>
    <w:rsid w:val="00B00520"/>
    <w:rsid w:val="00B00537"/>
    <w:rsid w:val="00B005FB"/>
    <w:rsid w:val="00B00C44"/>
    <w:rsid w:val="00B00EF9"/>
    <w:rsid w:val="00B00F39"/>
    <w:rsid w:val="00B016DB"/>
    <w:rsid w:val="00B01D3D"/>
    <w:rsid w:val="00B0257D"/>
    <w:rsid w:val="00B026DE"/>
    <w:rsid w:val="00B02864"/>
    <w:rsid w:val="00B02BBD"/>
    <w:rsid w:val="00B02E6F"/>
    <w:rsid w:val="00B0469E"/>
    <w:rsid w:val="00B04909"/>
    <w:rsid w:val="00B05432"/>
    <w:rsid w:val="00B05723"/>
    <w:rsid w:val="00B05820"/>
    <w:rsid w:val="00B059FF"/>
    <w:rsid w:val="00B05A47"/>
    <w:rsid w:val="00B05E3A"/>
    <w:rsid w:val="00B05E98"/>
    <w:rsid w:val="00B068E9"/>
    <w:rsid w:val="00B069DD"/>
    <w:rsid w:val="00B06A5B"/>
    <w:rsid w:val="00B06C80"/>
    <w:rsid w:val="00B0796A"/>
    <w:rsid w:val="00B1076D"/>
    <w:rsid w:val="00B10A2A"/>
    <w:rsid w:val="00B10B61"/>
    <w:rsid w:val="00B10C31"/>
    <w:rsid w:val="00B113AD"/>
    <w:rsid w:val="00B11C4D"/>
    <w:rsid w:val="00B122D3"/>
    <w:rsid w:val="00B1246D"/>
    <w:rsid w:val="00B12492"/>
    <w:rsid w:val="00B136A3"/>
    <w:rsid w:val="00B13845"/>
    <w:rsid w:val="00B13927"/>
    <w:rsid w:val="00B140D3"/>
    <w:rsid w:val="00B1419B"/>
    <w:rsid w:val="00B14CDD"/>
    <w:rsid w:val="00B15159"/>
    <w:rsid w:val="00B15280"/>
    <w:rsid w:val="00B15BC9"/>
    <w:rsid w:val="00B15DAF"/>
    <w:rsid w:val="00B15F56"/>
    <w:rsid w:val="00B1617B"/>
    <w:rsid w:val="00B1630E"/>
    <w:rsid w:val="00B163AC"/>
    <w:rsid w:val="00B167B4"/>
    <w:rsid w:val="00B168BE"/>
    <w:rsid w:val="00B1708C"/>
    <w:rsid w:val="00B17285"/>
    <w:rsid w:val="00B17777"/>
    <w:rsid w:val="00B17820"/>
    <w:rsid w:val="00B20098"/>
    <w:rsid w:val="00B208E8"/>
    <w:rsid w:val="00B2118B"/>
    <w:rsid w:val="00B213E2"/>
    <w:rsid w:val="00B21652"/>
    <w:rsid w:val="00B2169B"/>
    <w:rsid w:val="00B216CA"/>
    <w:rsid w:val="00B216D7"/>
    <w:rsid w:val="00B2197C"/>
    <w:rsid w:val="00B22046"/>
    <w:rsid w:val="00B222A9"/>
    <w:rsid w:val="00B23004"/>
    <w:rsid w:val="00B23221"/>
    <w:rsid w:val="00B233F7"/>
    <w:rsid w:val="00B2350A"/>
    <w:rsid w:val="00B236C0"/>
    <w:rsid w:val="00B23C50"/>
    <w:rsid w:val="00B23CD2"/>
    <w:rsid w:val="00B23EFD"/>
    <w:rsid w:val="00B23FEC"/>
    <w:rsid w:val="00B24135"/>
    <w:rsid w:val="00B242D6"/>
    <w:rsid w:val="00B248AE"/>
    <w:rsid w:val="00B24DC2"/>
    <w:rsid w:val="00B24DFE"/>
    <w:rsid w:val="00B25667"/>
    <w:rsid w:val="00B257AE"/>
    <w:rsid w:val="00B2618B"/>
    <w:rsid w:val="00B26263"/>
    <w:rsid w:val="00B263DC"/>
    <w:rsid w:val="00B26839"/>
    <w:rsid w:val="00B268E0"/>
    <w:rsid w:val="00B269D2"/>
    <w:rsid w:val="00B26A98"/>
    <w:rsid w:val="00B278D5"/>
    <w:rsid w:val="00B27E24"/>
    <w:rsid w:val="00B30785"/>
    <w:rsid w:val="00B30CC9"/>
    <w:rsid w:val="00B30FA9"/>
    <w:rsid w:val="00B3132D"/>
    <w:rsid w:val="00B31BC5"/>
    <w:rsid w:val="00B3202B"/>
    <w:rsid w:val="00B321BA"/>
    <w:rsid w:val="00B32344"/>
    <w:rsid w:val="00B32F14"/>
    <w:rsid w:val="00B331D5"/>
    <w:rsid w:val="00B33D95"/>
    <w:rsid w:val="00B33DC4"/>
    <w:rsid w:val="00B33EE1"/>
    <w:rsid w:val="00B343DB"/>
    <w:rsid w:val="00B348DF"/>
    <w:rsid w:val="00B34A9A"/>
    <w:rsid w:val="00B34F43"/>
    <w:rsid w:val="00B35326"/>
    <w:rsid w:val="00B357A3"/>
    <w:rsid w:val="00B35E3B"/>
    <w:rsid w:val="00B35F09"/>
    <w:rsid w:val="00B36019"/>
    <w:rsid w:val="00B3627A"/>
    <w:rsid w:val="00B36A12"/>
    <w:rsid w:val="00B36A45"/>
    <w:rsid w:val="00B36EFB"/>
    <w:rsid w:val="00B36FC3"/>
    <w:rsid w:val="00B372F0"/>
    <w:rsid w:val="00B373F1"/>
    <w:rsid w:val="00B3777F"/>
    <w:rsid w:val="00B37917"/>
    <w:rsid w:val="00B37E19"/>
    <w:rsid w:val="00B41096"/>
    <w:rsid w:val="00B419A7"/>
    <w:rsid w:val="00B41B7E"/>
    <w:rsid w:val="00B42088"/>
    <w:rsid w:val="00B424F5"/>
    <w:rsid w:val="00B43129"/>
    <w:rsid w:val="00B43153"/>
    <w:rsid w:val="00B4338C"/>
    <w:rsid w:val="00B44C5C"/>
    <w:rsid w:val="00B45319"/>
    <w:rsid w:val="00B45582"/>
    <w:rsid w:val="00B458A4"/>
    <w:rsid w:val="00B458C5"/>
    <w:rsid w:val="00B45FB5"/>
    <w:rsid w:val="00B463AF"/>
    <w:rsid w:val="00B46A05"/>
    <w:rsid w:val="00B46D8A"/>
    <w:rsid w:val="00B47053"/>
    <w:rsid w:val="00B47786"/>
    <w:rsid w:val="00B5011C"/>
    <w:rsid w:val="00B504A4"/>
    <w:rsid w:val="00B5083C"/>
    <w:rsid w:val="00B50939"/>
    <w:rsid w:val="00B50A82"/>
    <w:rsid w:val="00B50BC1"/>
    <w:rsid w:val="00B50E4E"/>
    <w:rsid w:val="00B50E59"/>
    <w:rsid w:val="00B51DD9"/>
    <w:rsid w:val="00B5202B"/>
    <w:rsid w:val="00B522D3"/>
    <w:rsid w:val="00B522D8"/>
    <w:rsid w:val="00B527E5"/>
    <w:rsid w:val="00B52894"/>
    <w:rsid w:val="00B528EF"/>
    <w:rsid w:val="00B529AD"/>
    <w:rsid w:val="00B52F51"/>
    <w:rsid w:val="00B539DB"/>
    <w:rsid w:val="00B53BCC"/>
    <w:rsid w:val="00B544D2"/>
    <w:rsid w:val="00B545A9"/>
    <w:rsid w:val="00B546C5"/>
    <w:rsid w:val="00B54B6A"/>
    <w:rsid w:val="00B5534C"/>
    <w:rsid w:val="00B556D1"/>
    <w:rsid w:val="00B559B5"/>
    <w:rsid w:val="00B55E32"/>
    <w:rsid w:val="00B56415"/>
    <w:rsid w:val="00B56AC0"/>
    <w:rsid w:val="00B56B99"/>
    <w:rsid w:val="00B56D4E"/>
    <w:rsid w:val="00B56E96"/>
    <w:rsid w:val="00B571BC"/>
    <w:rsid w:val="00B575E2"/>
    <w:rsid w:val="00B57CEA"/>
    <w:rsid w:val="00B57E9A"/>
    <w:rsid w:val="00B57EE0"/>
    <w:rsid w:val="00B57F1C"/>
    <w:rsid w:val="00B57FA2"/>
    <w:rsid w:val="00B60273"/>
    <w:rsid w:val="00B60486"/>
    <w:rsid w:val="00B608E4"/>
    <w:rsid w:val="00B60AB7"/>
    <w:rsid w:val="00B60CA4"/>
    <w:rsid w:val="00B60D44"/>
    <w:rsid w:val="00B60E90"/>
    <w:rsid w:val="00B61131"/>
    <w:rsid w:val="00B6199A"/>
    <w:rsid w:val="00B620AD"/>
    <w:rsid w:val="00B629DA"/>
    <w:rsid w:val="00B62A7E"/>
    <w:rsid w:val="00B634A2"/>
    <w:rsid w:val="00B63902"/>
    <w:rsid w:val="00B63942"/>
    <w:rsid w:val="00B63A4A"/>
    <w:rsid w:val="00B63A97"/>
    <w:rsid w:val="00B63EB3"/>
    <w:rsid w:val="00B64030"/>
    <w:rsid w:val="00B642E4"/>
    <w:rsid w:val="00B6460B"/>
    <w:rsid w:val="00B64B16"/>
    <w:rsid w:val="00B65149"/>
    <w:rsid w:val="00B65E1C"/>
    <w:rsid w:val="00B66068"/>
    <w:rsid w:val="00B66A3B"/>
    <w:rsid w:val="00B66BDB"/>
    <w:rsid w:val="00B66D32"/>
    <w:rsid w:val="00B66ECA"/>
    <w:rsid w:val="00B66ECB"/>
    <w:rsid w:val="00B67451"/>
    <w:rsid w:val="00B67722"/>
    <w:rsid w:val="00B677CD"/>
    <w:rsid w:val="00B67E8E"/>
    <w:rsid w:val="00B700CD"/>
    <w:rsid w:val="00B707FC"/>
    <w:rsid w:val="00B70C41"/>
    <w:rsid w:val="00B70D95"/>
    <w:rsid w:val="00B71F5E"/>
    <w:rsid w:val="00B721D0"/>
    <w:rsid w:val="00B7225C"/>
    <w:rsid w:val="00B723A7"/>
    <w:rsid w:val="00B72697"/>
    <w:rsid w:val="00B72884"/>
    <w:rsid w:val="00B7299C"/>
    <w:rsid w:val="00B72B0D"/>
    <w:rsid w:val="00B72C60"/>
    <w:rsid w:val="00B73067"/>
    <w:rsid w:val="00B73856"/>
    <w:rsid w:val="00B73C87"/>
    <w:rsid w:val="00B74376"/>
    <w:rsid w:val="00B74474"/>
    <w:rsid w:val="00B74652"/>
    <w:rsid w:val="00B7484C"/>
    <w:rsid w:val="00B74AF1"/>
    <w:rsid w:val="00B7567D"/>
    <w:rsid w:val="00B757B8"/>
    <w:rsid w:val="00B75C0B"/>
    <w:rsid w:val="00B75F6D"/>
    <w:rsid w:val="00B760E9"/>
    <w:rsid w:val="00B7615E"/>
    <w:rsid w:val="00B762A1"/>
    <w:rsid w:val="00B76302"/>
    <w:rsid w:val="00B766D4"/>
    <w:rsid w:val="00B7674F"/>
    <w:rsid w:val="00B767CF"/>
    <w:rsid w:val="00B7685C"/>
    <w:rsid w:val="00B76CF2"/>
    <w:rsid w:val="00B77086"/>
    <w:rsid w:val="00B772D1"/>
    <w:rsid w:val="00B774A5"/>
    <w:rsid w:val="00B774C5"/>
    <w:rsid w:val="00B77BF8"/>
    <w:rsid w:val="00B80354"/>
    <w:rsid w:val="00B80C4D"/>
    <w:rsid w:val="00B80EAC"/>
    <w:rsid w:val="00B81454"/>
    <w:rsid w:val="00B81AB6"/>
    <w:rsid w:val="00B82733"/>
    <w:rsid w:val="00B82C78"/>
    <w:rsid w:val="00B82C8F"/>
    <w:rsid w:val="00B82CFE"/>
    <w:rsid w:val="00B83259"/>
    <w:rsid w:val="00B83A7A"/>
    <w:rsid w:val="00B83E50"/>
    <w:rsid w:val="00B84088"/>
    <w:rsid w:val="00B845C8"/>
    <w:rsid w:val="00B84664"/>
    <w:rsid w:val="00B84666"/>
    <w:rsid w:val="00B846F5"/>
    <w:rsid w:val="00B84B77"/>
    <w:rsid w:val="00B84B98"/>
    <w:rsid w:val="00B84DAD"/>
    <w:rsid w:val="00B8500B"/>
    <w:rsid w:val="00B86012"/>
    <w:rsid w:val="00B8633C"/>
    <w:rsid w:val="00B867F1"/>
    <w:rsid w:val="00B87403"/>
    <w:rsid w:val="00B87B72"/>
    <w:rsid w:val="00B87B99"/>
    <w:rsid w:val="00B90245"/>
    <w:rsid w:val="00B90316"/>
    <w:rsid w:val="00B912E0"/>
    <w:rsid w:val="00B91E09"/>
    <w:rsid w:val="00B91E46"/>
    <w:rsid w:val="00B91FA5"/>
    <w:rsid w:val="00B92432"/>
    <w:rsid w:val="00B92A5C"/>
    <w:rsid w:val="00B92C3C"/>
    <w:rsid w:val="00B930B5"/>
    <w:rsid w:val="00B931DE"/>
    <w:rsid w:val="00B9354C"/>
    <w:rsid w:val="00B936AD"/>
    <w:rsid w:val="00B93834"/>
    <w:rsid w:val="00B939BB"/>
    <w:rsid w:val="00B93B5F"/>
    <w:rsid w:val="00B93C94"/>
    <w:rsid w:val="00B944CF"/>
    <w:rsid w:val="00B94880"/>
    <w:rsid w:val="00B949EE"/>
    <w:rsid w:val="00B9601D"/>
    <w:rsid w:val="00B96546"/>
    <w:rsid w:val="00B965F1"/>
    <w:rsid w:val="00B9684E"/>
    <w:rsid w:val="00B969EC"/>
    <w:rsid w:val="00B97BAB"/>
    <w:rsid w:val="00B97BC9"/>
    <w:rsid w:val="00BA005A"/>
    <w:rsid w:val="00BA1297"/>
    <w:rsid w:val="00BA1425"/>
    <w:rsid w:val="00BA16E7"/>
    <w:rsid w:val="00BA2142"/>
    <w:rsid w:val="00BA2177"/>
    <w:rsid w:val="00BA23A6"/>
    <w:rsid w:val="00BA25D5"/>
    <w:rsid w:val="00BA25E1"/>
    <w:rsid w:val="00BA260C"/>
    <w:rsid w:val="00BA26E5"/>
    <w:rsid w:val="00BA2A35"/>
    <w:rsid w:val="00BA3139"/>
    <w:rsid w:val="00BA3286"/>
    <w:rsid w:val="00BA38E5"/>
    <w:rsid w:val="00BA426D"/>
    <w:rsid w:val="00BA4414"/>
    <w:rsid w:val="00BA4477"/>
    <w:rsid w:val="00BA4931"/>
    <w:rsid w:val="00BA5015"/>
    <w:rsid w:val="00BA5448"/>
    <w:rsid w:val="00BA5B99"/>
    <w:rsid w:val="00BA5BCE"/>
    <w:rsid w:val="00BA5BDB"/>
    <w:rsid w:val="00BA5CAE"/>
    <w:rsid w:val="00BA6236"/>
    <w:rsid w:val="00BA6A4E"/>
    <w:rsid w:val="00BA6D5E"/>
    <w:rsid w:val="00BA6DA3"/>
    <w:rsid w:val="00BA70F5"/>
    <w:rsid w:val="00BA73F0"/>
    <w:rsid w:val="00BA7517"/>
    <w:rsid w:val="00BA7C60"/>
    <w:rsid w:val="00BB05D8"/>
    <w:rsid w:val="00BB08FB"/>
    <w:rsid w:val="00BB0D88"/>
    <w:rsid w:val="00BB0DD0"/>
    <w:rsid w:val="00BB1378"/>
    <w:rsid w:val="00BB1811"/>
    <w:rsid w:val="00BB18DF"/>
    <w:rsid w:val="00BB192F"/>
    <w:rsid w:val="00BB1DFA"/>
    <w:rsid w:val="00BB1F0C"/>
    <w:rsid w:val="00BB211C"/>
    <w:rsid w:val="00BB23CD"/>
    <w:rsid w:val="00BB29D5"/>
    <w:rsid w:val="00BB3809"/>
    <w:rsid w:val="00BB3961"/>
    <w:rsid w:val="00BB3DD4"/>
    <w:rsid w:val="00BB42C9"/>
    <w:rsid w:val="00BB43D2"/>
    <w:rsid w:val="00BB43F0"/>
    <w:rsid w:val="00BB47A6"/>
    <w:rsid w:val="00BB47BE"/>
    <w:rsid w:val="00BB47EB"/>
    <w:rsid w:val="00BB4C06"/>
    <w:rsid w:val="00BB4DA5"/>
    <w:rsid w:val="00BB56D8"/>
    <w:rsid w:val="00BB6161"/>
    <w:rsid w:val="00BB62B9"/>
    <w:rsid w:val="00BB6373"/>
    <w:rsid w:val="00BB658C"/>
    <w:rsid w:val="00BB6F13"/>
    <w:rsid w:val="00BB74EA"/>
    <w:rsid w:val="00BB7A1B"/>
    <w:rsid w:val="00BC01F0"/>
    <w:rsid w:val="00BC0287"/>
    <w:rsid w:val="00BC03B5"/>
    <w:rsid w:val="00BC06E9"/>
    <w:rsid w:val="00BC0788"/>
    <w:rsid w:val="00BC07BE"/>
    <w:rsid w:val="00BC125D"/>
    <w:rsid w:val="00BC1BCA"/>
    <w:rsid w:val="00BC25C2"/>
    <w:rsid w:val="00BC27E3"/>
    <w:rsid w:val="00BC2BA1"/>
    <w:rsid w:val="00BC2F34"/>
    <w:rsid w:val="00BC32A7"/>
    <w:rsid w:val="00BC3840"/>
    <w:rsid w:val="00BC38BD"/>
    <w:rsid w:val="00BC4311"/>
    <w:rsid w:val="00BC43CF"/>
    <w:rsid w:val="00BC55B6"/>
    <w:rsid w:val="00BC5B52"/>
    <w:rsid w:val="00BC5B7E"/>
    <w:rsid w:val="00BC5D6C"/>
    <w:rsid w:val="00BC6659"/>
    <w:rsid w:val="00BC67FB"/>
    <w:rsid w:val="00BC69FF"/>
    <w:rsid w:val="00BC6D10"/>
    <w:rsid w:val="00BC77B9"/>
    <w:rsid w:val="00BC7E2D"/>
    <w:rsid w:val="00BD0947"/>
    <w:rsid w:val="00BD0B1C"/>
    <w:rsid w:val="00BD0FD1"/>
    <w:rsid w:val="00BD130C"/>
    <w:rsid w:val="00BD1515"/>
    <w:rsid w:val="00BD16AC"/>
    <w:rsid w:val="00BD1735"/>
    <w:rsid w:val="00BD187D"/>
    <w:rsid w:val="00BD1947"/>
    <w:rsid w:val="00BD1D12"/>
    <w:rsid w:val="00BD1D95"/>
    <w:rsid w:val="00BD1EB0"/>
    <w:rsid w:val="00BD210E"/>
    <w:rsid w:val="00BD2A43"/>
    <w:rsid w:val="00BD33E7"/>
    <w:rsid w:val="00BD36FF"/>
    <w:rsid w:val="00BD41C5"/>
    <w:rsid w:val="00BD41C8"/>
    <w:rsid w:val="00BD4338"/>
    <w:rsid w:val="00BD48C0"/>
    <w:rsid w:val="00BD4A49"/>
    <w:rsid w:val="00BD4FB4"/>
    <w:rsid w:val="00BD539B"/>
    <w:rsid w:val="00BD5952"/>
    <w:rsid w:val="00BD5DCD"/>
    <w:rsid w:val="00BD5ED7"/>
    <w:rsid w:val="00BD60AE"/>
    <w:rsid w:val="00BD62E9"/>
    <w:rsid w:val="00BD6529"/>
    <w:rsid w:val="00BD6A96"/>
    <w:rsid w:val="00BD6BD7"/>
    <w:rsid w:val="00BD735E"/>
    <w:rsid w:val="00BD7AE5"/>
    <w:rsid w:val="00BD7BD8"/>
    <w:rsid w:val="00BD7F35"/>
    <w:rsid w:val="00BE02BA"/>
    <w:rsid w:val="00BE0523"/>
    <w:rsid w:val="00BE0733"/>
    <w:rsid w:val="00BE0DEA"/>
    <w:rsid w:val="00BE1876"/>
    <w:rsid w:val="00BE1922"/>
    <w:rsid w:val="00BE1C8A"/>
    <w:rsid w:val="00BE1E68"/>
    <w:rsid w:val="00BE204D"/>
    <w:rsid w:val="00BE24B0"/>
    <w:rsid w:val="00BE27FF"/>
    <w:rsid w:val="00BE318F"/>
    <w:rsid w:val="00BE340A"/>
    <w:rsid w:val="00BE4254"/>
    <w:rsid w:val="00BE46D9"/>
    <w:rsid w:val="00BE4818"/>
    <w:rsid w:val="00BE492B"/>
    <w:rsid w:val="00BE4AF7"/>
    <w:rsid w:val="00BE4FA0"/>
    <w:rsid w:val="00BE516C"/>
    <w:rsid w:val="00BE52E3"/>
    <w:rsid w:val="00BE5642"/>
    <w:rsid w:val="00BE5FBC"/>
    <w:rsid w:val="00BE62D2"/>
    <w:rsid w:val="00BE6A2E"/>
    <w:rsid w:val="00BE6DEC"/>
    <w:rsid w:val="00BE7680"/>
    <w:rsid w:val="00BE7B40"/>
    <w:rsid w:val="00BE7CA8"/>
    <w:rsid w:val="00BF02AC"/>
    <w:rsid w:val="00BF05CB"/>
    <w:rsid w:val="00BF0635"/>
    <w:rsid w:val="00BF0CA6"/>
    <w:rsid w:val="00BF1895"/>
    <w:rsid w:val="00BF2171"/>
    <w:rsid w:val="00BF2306"/>
    <w:rsid w:val="00BF23C0"/>
    <w:rsid w:val="00BF23EA"/>
    <w:rsid w:val="00BF2C96"/>
    <w:rsid w:val="00BF2EBF"/>
    <w:rsid w:val="00BF38FC"/>
    <w:rsid w:val="00BF3B35"/>
    <w:rsid w:val="00BF3FFD"/>
    <w:rsid w:val="00BF45B5"/>
    <w:rsid w:val="00BF4981"/>
    <w:rsid w:val="00BF4CDF"/>
    <w:rsid w:val="00BF5082"/>
    <w:rsid w:val="00BF5202"/>
    <w:rsid w:val="00BF546E"/>
    <w:rsid w:val="00BF54EE"/>
    <w:rsid w:val="00BF59B1"/>
    <w:rsid w:val="00BF5C62"/>
    <w:rsid w:val="00BF5DF3"/>
    <w:rsid w:val="00BF6357"/>
    <w:rsid w:val="00BF6A02"/>
    <w:rsid w:val="00BF70AC"/>
    <w:rsid w:val="00BF791D"/>
    <w:rsid w:val="00BF7D4F"/>
    <w:rsid w:val="00BF7F33"/>
    <w:rsid w:val="00C00007"/>
    <w:rsid w:val="00C00B2A"/>
    <w:rsid w:val="00C00FB6"/>
    <w:rsid w:val="00C0111F"/>
    <w:rsid w:val="00C011D2"/>
    <w:rsid w:val="00C024E8"/>
    <w:rsid w:val="00C02E0D"/>
    <w:rsid w:val="00C03103"/>
    <w:rsid w:val="00C03614"/>
    <w:rsid w:val="00C037F9"/>
    <w:rsid w:val="00C03887"/>
    <w:rsid w:val="00C039EE"/>
    <w:rsid w:val="00C03E7D"/>
    <w:rsid w:val="00C03F1C"/>
    <w:rsid w:val="00C043ED"/>
    <w:rsid w:val="00C04A9D"/>
    <w:rsid w:val="00C0501B"/>
    <w:rsid w:val="00C05245"/>
    <w:rsid w:val="00C05373"/>
    <w:rsid w:val="00C05A21"/>
    <w:rsid w:val="00C05A9A"/>
    <w:rsid w:val="00C05ED9"/>
    <w:rsid w:val="00C05F2E"/>
    <w:rsid w:val="00C063C4"/>
    <w:rsid w:val="00C0656E"/>
    <w:rsid w:val="00C0677D"/>
    <w:rsid w:val="00C068B2"/>
    <w:rsid w:val="00C0718A"/>
    <w:rsid w:val="00C102B4"/>
    <w:rsid w:val="00C10354"/>
    <w:rsid w:val="00C10491"/>
    <w:rsid w:val="00C106B9"/>
    <w:rsid w:val="00C10838"/>
    <w:rsid w:val="00C111CC"/>
    <w:rsid w:val="00C11860"/>
    <w:rsid w:val="00C1190D"/>
    <w:rsid w:val="00C119AF"/>
    <w:rsid w:val="00C119FA"/>
    <w:rsid w:val="00C11A5B"/>
    <w:rsid w:val="00C11F5E"/>
    <w:rsid w:val="00C12751"/>
    <w:rsid w:val="00C1292D"/>
    <w:rsid w:val="00C12C7F"/>
    <w:rsid w:val="00C134E4"/>
    <w:rsid w:val="00C13722"/>
    <w:rsid w:val="00C13869"/>
    <w:rsid w:val="00C13A5C"/>
    <w:rsid w:val="00C13F20"/>
    <w:rsid w:val="00C1429C"/>
    <w:rsid w:val="00C14315"/>
    <w:rsid w:val="00C14565"/>
    <w:rsid w:val="00C14581"/>
    <w:rsid w:val="00C14E99"/>
    <w:rsid w:val="00C151D5"/>
    <w:rsid w:val="00C15618"/>
    <w:rsid w:val="00C15BDB"/>
    <w:rsid w:val="00C15F02"/>
    <w:rsid w:val="00C165D8"/>
    <w:rsid w:val="00C16D0C"/>
    <w:rsid w:val="00C16EDC"/>
    <w:rsid w:val="00C1727C"/>
    <w:rsid w:val="00C172CB"/>
    <w:rsid w:val="00C179E3"/>
    <w:rsid w:val="00C17D3D"/>
    <w:rsid w:val="00C17D5F"/>
    <w:rsid w:val="00C2015A"/>
    <w:rsid w:val="00C202B1"/>
    <w:rsid w:val="00C209C9"/>
    <w:rsid w:val="00C2104A"/>
    <w:rsid w:val="00C211D9"/>
    <w:rsid w:val="00C21282"/>
    <w:rsid w:val="00C216BD"/>
    <w:rsid w:val="00C21766"/>
    <w:rsid w:val="00C21B2E"/>
    <w:rsid w:val="00C21B7F"/>
    <w:rsid w:val="00C2219A"/>
    <w:rsid w:val="00C2231B"/>
    <w:rsid w:val="00C22484"/>
    <w:rsid w:val="00C22C33"/>
    <w:rsid w:val="00C22D33"/>
    <w:rsid w:val="00C22DD5"/>
    <w:rsid w:val="00C22F20"/>
    <w:rsid w:val="00C23077"/>
    <w:rsid w:val="00C23214"/>
    <w:rsid w:val="00C232CD"/>
    <w:rsid w:val="00C2341B"/>
    <w:rsid w:val="00C2341F"/>
    <w:rsid w:val="00C235A2"/>
    <w:rsid w:val="00C235CE"/>
    <w:rsid w:val="00C235F4"/>
    <w:rsid w:val="00C2371E"/>
    <w:rsid w:val="00C23CD2"/>
    <w:rsid w:val="00C23D69"/>
    <w:rsid w:val="00C23EE2"/>
    <w:rsid w:val="00C23F29"/>
    <w:rsid w:val="00C2441A"/>
    <w:rsid w:val="00C24967"/>
    <w:rsid w:val="00C249EE"/>
    <w:rsid w:val="00C24A6C"/>
    <w:rsid w:val="00C24DA3"/>
    <w:rsid w:val="00C24F35"/>
    <w:rsid w:val="00C24F68"/>
    <w:rsid w:val="00C2516F"/>
    <w:rsid w:val="00C257BC"/>
    <w:rsid w:val="00C26268"/>
    <w:rsid w:val="00C26283"/>
    <w:rsid w:val="00C26A68"/>
    <w:rsid w:val="00C26B55"/>
    <w:rsid w:val="00C26F96"/>
    <w:rsid w:val="00C27D74"/>
    <w:rsid w:val="00C3008E"/>
    <w:rsid w:val="00C30235"/>
    <w:rsid w:val="00C3033E"/>
    <w:rsid w:val="00C30A15"/>
    <w:rsid w:val="00C30DB7"/>
    <w:rsid w:val="00C30FA2"/>
    <w:rsid w:val="00C31108"/>
    <w:rsid w:val="00C31215"/>
    <w:rsid w:val="00C31227"/>
    <w:rsid w:val="00C3151C"/>
    <w:rsid w:val="00C315AA"/>
    <w:rsid w:val="00C31617"/>
    <w:rsid w:val="00C318D2"/>
    <w:rsid w:val="00C328AB"/>
    <w:rsid w:val="00C32AD7"/>
    <w:rsid w:val="00C32C20"/>
    <w:rsid w:val="00C3309C"/>
    <w:rsid w:val="00C330E7"/>
    <w:rsid w:val="00C3314A"/>
    <w:rsid w:val="00C331D2"/>
    <w:rsid w:val="00C33216"/>
    <w:rsid w:val="00C33347"/>
    <w:rsid w:val="00C336A2"/>
    <w:rsid w:val="00C33967"/>
    <w:rsid w:val="00C33C9F"/>
    <w:rsid w:val="00C34514"/>
    <w:rsid w:val="00C347EB"/>
    <w:rsid w:val="00C354A9"/>
    <w:rsid w:val="00C3554C"/>
    <w:rsid w:val="00C357E5"/>
    <w:rsid w:val="00C3627C"/>
    <w:rsid w:val="00C3654F"/>
    <w:rsid w:val="00C36581"/>
    <w:rsid w:val="00C367CA"/>
    <w:rsid w:val="00C36D11"/>
    <w:rsid w:val="00C37139"/>
    <w:rsid w:val="00C37669"/>
    <w:rsid w:val="00C37879"/>
    <w:rsid w:val="00C37A30"/>
    <w:rsid w:val="00C37CF8"/>
    <w:rsid w:val="00C37D42"/>
    <w:rsid w:val="00C40016"/>
    <w:rsid w:val="00C402A0"/>
    <w:rsid w:val="00C40583"/>
    <w:rsid w:val="00C40A55"/>
    <w:rsid w:val="00C40AB4"/>
    <w:rsid w:val="00C41A18"/>
    <w:rsid w:val="00C41D88"/>
    <w:rsid w:val="00C41F3D"/>
    <w:rsid w:val="00C42416"/>
    <w:rsid w:val="00C428A1"/>
    <w:rsid w:val="00C429B5"/>
    <w:rsid w:val="00C42E8C"/>
    <w:rsid w:val="00C43272"/>
    <w:rsid w:val="00C43A76"/>
    <w:rsid w:val="00C43E4C"/>
    <w:rsid w:val="00C44774"/>
    <w:rsid w:val="00C44CD0"/>
    <w:rsid w:val="00C459B0"/>
    <w:rsid w:val="00C45EA1"/>
    <w:rsid w:val="00C4645D"/>
    <w:rsid w:val="00C466C1"/>
    <w:rsid w:val="00C46A41"/>
    <w:rsid w:val="00C46F3A"/>
    <w:rsid w:val="00C4727F"/>
    <w:rsid w:val="00C472CE"/>
    <w:rsid w:val="00C473F1"/>
    <w:rsid w:val="00C4763B"/>
    <w:rsid w:val="00C47908"/>
    <w:rsid w:val="00C47E2E"/>
    <w:rsid w:val="00C50810"/>
    <w:rsid w:val="00C50ECD"/>
    <w:rsid w:val="00C50F6E"/>
    <w:rsid w:val="00C51023"/>
    <w:rsid w:val="00C510DA"/>
    <w:rsid w:val="00C51616"/>
    <w:rsid w:val="00C51954"/>
    <w:rsid w:val="00C51973"/>
    <w:rsid w:val="00C51BC2"/>
    <w:rsid w:val="00C52872"/>
    <w:rsid w:val="00C52981"/>
    <w:rsid w:val="00C534E4"/>
    <w:rsid w:val="00C5377E"/>
    <w:rsid w:val="00C541F1"/>
    <w:rsid w:val="00C544BE"/>
    <w:rsid w:val="00C5450B"/>
    <w:rsid w:val="00C54A5C"/>
    <w:rsid w:val="00C54D21"/>
    <w:rsid w:val="00C557A4"/>
    <w:rsid w:val="00C55906"/>
    <w:rsid w:val="00C56096"/>
    <w:rsid w:val="00C56966"/>
    <w:rsid w:val="00C569BC"/>
    <w:rsid w:val="00C5764F"/>
    <w:rsid w:val="00C5765D"/>
    <w:rsid w:val="00C57CB8"/>
    <w:rsid w:val="00C60066"/>
    <w:rsid w:val="00C60335"/>
    <w:rsid w:val="00C616A9"/>
    <w:rsid w:val="00C617DE"/>
    <w:rsid w:val="00C61B4B"/>
    <w:rsid w:val="00C61CD4"/>
    <w:rsid w:val="00C62300"/>
    <w:rsid w:val="00C623A2"/>
    <w:rsid w:val="00C6251A"/>
    <w:rsid w:val="00C6261C"/>
    <w:rsid w:val="00C62688"/>
    <w:rsid w:val="00C62692"/>
    <w:rsid w:val="00C6285C"/>
    <w:rsid w:val="00C62A3F"/>
    <w:rsid w:val="00C62B68"/>
    <w:rsid w:val="00C62F71"/>
    <w:rsid w:val="00C63039"/>
    <w:rsid w:val="00C635B8"/>
    <w:rsid w:val="00C637BB"/>
    <w:rsid w:val="00C63C66"/>
    <w:rsid w:val="00C63F83"/>
    <w:rsid w:val="00C6404C"/>
    <w:rsid w:val="00C6411E"/>
    <w:rsid w:val="00C644B7"/>
    <w:rsid w:val="00C645B8"/>
    <w:rsid w:val="00C64727"/>
    <w:rsid w:val="00C64768"/>
    <w:rsid w:val="00C648AB"/>
    <w:rsid w:val="00C64B24"/>
    <w:rsid w:val="00C659F9"/>
    <w:rsid w:val="00C65B59"/>
    <w:rsid w:val="00C65C48"/>
    <w:rsid w:val="00C65EE0"/>
    <w:rsid w:val="00C6636F"/>
    <w:rsid w:val="00C66409"/>
    <w:rsid w:val="00C66BA2"/>
    <w:rsid w:val="00C66BDF"/>
    <w:rsid w:val="00C66D37"/>
    <w:rsid w:val="00C66D3A"/>
    <w:rsid w:val="00C66DC3"/>
    <w:rsid w:val="00C66ECB"/>
    <w:rsid w:val="00C673FB"/>
    <w:rsid w:val="00C674C6"/>
    <w:rsid w:val="00C67518"/>
    <w:rsid w:val="00C676BC"/>
    <w:rsid w:val="00C677C0"/>
    <w:rsid w:val="00C7052F"/>
    <w:rsid w:val="00C706B9"/>
    <w:rsid w:val="00C708A9"/>
    <w:rsid w:val="00C70A08"/>
    <w:rsid w:val="00C70B29"/>
    <w:rsid w:val="00C7136C"/>
    <w:rsid w:val="00C71715"/>
    <w:rsid w:val="00C7205A"/>
    <w:rsid w:val="00C7237C"/>
    <w:rsid w:val="00C72460"/>
    <w:rsid w:val="00C72506"/>
    <w:rsid w:val="00C7274C"/>
    <w:rsid w:val="00C72EC9"/>
    <w:rsid w:val="00C733CC"/>
    <w:rsid w:val="00C734DF"/>
    <w:rsid w:val="00C73503"/>
    <w:rsid w:val="00C73735"/>
    <w:rsid w:val="00C7377B"/>
    <w:rsid w:val="00C737CD"/>
    <w:rsid w:val="00C73871"/>
    <w:rsid w:val="00C73B0B"/>
    <w:rsid w:val="00C73C66"/>
    <w:rsid w:val="00C73DDD"/>
    <w:rsid w:val="00C73F57"/>
    <w:rsid w:val="00C74082"/>
    <w:rsid w:val="00C74625"/>
    <w:rsid w:val="00C74F2B"/>
    <w:rsid w:val="00C75507"/>
    <w:rsid w:val="00C75C43"/>
    <w:rsid w:val="00C75CBE"/>
    <w:rsid w:val="00C7683D"/>
    <w:rsid w:val="00C76B18"/>
    <w:rsid w:val="00C76B50"/>
    <w:rsid w:val="00C76D3C"/>
    <w:rsid w:val="00C76D9E"/>
    <w:rsid w:val="00C76F55"/>
    <w:rsid w:val="00C77140"/>
    <w:rsid w:val="00C7717A"/>
    <w:rsid w:val="00C7740D"/>
    <w:rsid w:val="00C77688"/>
    <w:rsid w:val="00C777AF"/>
    <w:rsid w:val="00C778A9"/>
    <w:rsid w:val="00C80BA3"/>
    <w:rsid w:val="00C80CAA"/>
    <w:rsid w:val="00C80D20"/>
    <w:rsid w:val="00C80DD0"/>
    <w:rsid w:val="00C80EB6"/>
    <w:rsid w:val="00C80F87"/>
    <w:rsid w:val="00C80FD5"/>
    <w:rsid w:val="00C81448"/>
    <w:rsid w:val="00C81B47"/>
    <w:rsid w:val="00C82009"/>
    <w:rsid w:val="00C8200B"/>
    <w:rsid w:val="00C822C3"/>
    <w:rsid w:val="00C825EA"/>
    <w:rsid w:val="00C82654"/>
    <w:rsid w:val="00C82A49"/>
    <w:rsid w:val="00C82DB4"/>
    <w:rsid w:val="00C82EE5"/>
    <w:rsid w:val="00C833B5"/>
    <w:rsid w:val="00C84259"/>
    <w:rsid w:val="00C847C9"/>
    <w:rsid w:val="00C85D29"/>
    <w:rsid w:val="00C8606E"/>
    <w:rsid w:val="00C862C6"/>
    <w:rsid w:val="00C864EE"/>
    <w:rsid w:val="00C86ACD"/>
    <w:rsid w:val="00C86AD5"/>
    <w:rsid w:val="00C86D0F"/>
    <w:rsid w:val="00C870E7"/>
    <w:rsid w:val="00C872CF"/>
    <w:rsid w:val="00C872FB"/>
    <w:rsid w:val="00C8778E"/>
    <w:rsid w:val="00C87DC2"/>
    <w:rsid w:val="00C87DEE"/>
    <w:rsid w:val="00C87E51"/>
    <w:rsid w:val="00C87E75"/>
    <w:rsid w:val="00C90395"/>
    <w:rsid w:val="00C903EA"/>
    <w:rsid w:val="00C90580"/>
    <w:rsid w:val="00C907D1"/>
    <w:rsid w:val="00C90FDC"/>
    <w:rsid w:val="00C91591"/>
    <w:rsid w:val="00C91CC9"/>
    <w:rsid w:val="00C91D6F"/>
    <w:rsid w:val="00C92433"/>
    <w:rsid w:val="00C92FC2"/>
    <w:rsid w:val="00C9306B"/>
    <w:rsid w:val="00C93110"/>
    <w:rsid w:val="00C93A7D"/>
    <w:rsid w:val="00C93C00"/>
    <w:rsid w:val="00C93D65"/>
    <w:rsid w:val="00C9401E"/>
    <w:rsid w:val="00C9408A"/>
    <w:rsid w:val="00C94259"/>
    <w:rsid w:val="00C94755"/>
    <w:rsid w:val="00C947E2"/>
    <w:rsid w:val="00C948DF"/>
    <w:rsid w:val="00C94D3D"/>
    <w:rsid w:val="00C9525C"/>
    <w:rsid w:val="00C95530"/>
    <w:rsid w:val="00C95693"/>
    <w:rsid w:val="00C95A18"/>
    <w:rsid w:val="00C95C60"/>
    <w:rsid w:val="00C95DAC"/>
    <w:rsid w:val="00C96732"/>
    <w:rsid w:val="00C97066"/>
    <w:rsid w:val="00C974DE"/>
    <w:rsid w:val="00CA075C"/>
    <w:rsid w:val="00CA0B90"/>
    <w:rsid w:val="00CA0DF1"/>
    <w:rsid w:val="00CA0E52"/>
    <w:rsid w:val="00CA12AC"/>
    <w:rsid w:val="00CA1E27"/>
    <w:rsid w:val="00CA2628"/>
    <w:rsid w:val="00CA29AB"/>
    <w:rsid w:val="00CA3665"/>
    <w:rsid w:val="00CA36D8"/>
    <w:rsid w:val="00CA3BB5"/>
    <w:rsid w:val="00CA41C6"/>
    <w:rsid w:val="00CA43D5"/>
    <w:rsid w:val="00CA48EE"/>
    <w:rsid w:val="00CA4CAA"/>
    <w:rsid w:val="00CA4DC3"/>
    <w:rsid w:val="00CA54BF"/>
    <w:rsid w:val="00CA5E60"/>
    <w:rsid w:val="00CA5FFE"/>
    <w:rsid w:val="00CA60DD"/>
    <w:rsid w:val="00CA64D6"/>
    <w:rsid w:val="00CA6A30"/>
    <w:rsid w:val="00CA6ACA"/>
    <w:rsid w:val="00CA7088"/>
    <w:rsid w:val="00CA7650"/>
    <w:rsid w:val="00CA7D1B"/>
    <w:rsid w:val="00CB06DB"/>
    <w:rsid w:val="00CB099B"/>
    <w:rsid w:val="00CB136F"/>
    <w:rsid w:val="00CB1728"/>
    <w:rsid w:val="00CB1E29"/>
    <w:rsid w:val="00CB1E83"/>
    <w:rsid w:val="00CB2055"/>
    <w:rsid w:val="00CB212B"/>
    <w:rsid w:val="00CB25E3"/>
    <w:rsid w:val="00CB3724"/>
    <w:rsid w:val="00CB3DD2"/>
    <w:rsid w:val="00CB3FD6"/>
    <w:rsid w:val="00CB4068"/>
    <w:rsid w:val="00CB434D"/>
    <w:rsid w:val="00CB45DA"/>
    <w:rsid w:val="00CB465F"/>
    <w:rsid w:val="00CB4A07"/>
    <w:rsid w:val="00CB4B14"/>
    <w:rsid w:val="00CB4CFA"/>
    <w:rsid w:val="00CB53CD"/>
    <w:rsid w:val="00CB558F"/>
    <w:rsid w:val="00CB6471"/>
    <w:rsid w:val="00CB65A4"/>
    <w:rsid w:val="00CB6D57"/>
    <w:rsid w:val="00CB6D8F"/>
    <w:rsid w:val="00CB7049"/>
    <w:rsid w:val="00CB7E20"/>
    <w:rsid w:val="00CB7F5E"/>
    <w:rsid w:val="00CC030E"/>
    <w:rsid w:val="00CC04D6"/>
    <w:rsid w:val="00CC08E3"/>
    <w:rsid w:val="00CC0A37"/>
    <w:rsid w:val="00CC0C41"/>
    <w:rsid w:val="00CC11BD"/>
    <w:rsid w:val="00CC1420"/>
    <w:rsid w:val="00CC393B"/>
    <w:rsid w:val="00CC3E13"/>
    <w:rsid w:val="00CC3F04"/>
    <w:rsid w:val="00CC45E5"/>
    <w:rsid w:val="00CC5240"/>
    <w:rsid w:val="00CC570D"/>
    <w:rsid w:val="00CC5B46"/>
    <w:rsid w:val="00CC5CA4"/>
    <w:rsid w:val="00CC654E"/>
    <w:rsid w:val="00CC6908"/>
    <w:rsid w:val="00CC7080"/>
    <w:rsid w:val="00CC7094"/>
    <w:rsid w:val="00CC760A"/>
    <w:rsid w:val="00CC7F9A"/>
    <w:rsid w:val="00CD006C"/>
    <w:rsid w:val="00CD07B1"/>
    <w:rsid w:val="00CD0ADA"/>
    <w:rsid w:val="00CD0CC0"/>
    <w:rsid w:val="00CD0EA7"/>
    <w:rsid w:val="00CD0F65"/>
    <w:rsid w:val="00CD19F3"/>
    <w:rsid w:val="00CD1C0F"/>
    <w:rsid w:val="00CD1F3D"/>
    <w:rsid w:val="00CD29E6"/>
    <w:rsid w:val="00CD31C2"/>
    <w:rsid w:val="00CD38A2"/>
    <w:rsid w:val="00CD3E25"/>
    <w:rsid w:val="00CD410F"/>
    <w:rsid w:val="00CD48EA"/>
    <w:rsid w:val="00CD4CAE"/>
    <w:rsid w:val="00CD4F4E"/>
    <w:rsid w:val="00CD4FC9"/>
    <w:rsid w:val="00CD5172"/>
    <w:rsid w:val="00CD51C8"/>
    <w:rsid w:val="00CD58C5"/>
    <w:rsid w:val="00CD5F68"/>
    <w:rsid w:val="00CD5FC5"/>
    <w:rsid w:val="00CD62FF"/>
    <w:rsid w:val="00CD6FFD"/>
    <w:rsid w:val="00CD7879"/>
    <w:rsid w:val="00CD7E89"/>
    <w:rsid w:val="00CE04C5"/>
    <w:rsid w:val="00CE09B8"/>
    <w:rsid w:val="00CE1CB0"/>
    <w:rsid w:val="00CE2E95"/>
    <w:rsid w:val="00CE32FA"/>
    <w:rsid w:val="00CE364D"/>
    <w:rsid w:val="00CE41CF"/>
    <w:rsid w:val="00CE4666"/>
    <w:rsid w:val="00CE4842"/>
    <w:rsid w:val="00CE4AE8"/>
    <w:rsid w:val="00CE5025"/>
    <w:rsid w:val="00CE5337"/>
    <w:rsid w:val="00CE665F"/>
    <w:rsid w:val="00CE6A98"/>
    <w:rsid w:val="00CE6BEF"/>
    <w:rsid w:val="00CE6DDF"/>
    <w:rsid w:val="00CE6F13"/>
    <w:rsid w:val="00CE71D6"/>
    <w:rsid w:val="00CE72C9"/>
    <w:rsid w:val="00CE73B3"/>
    <w:rsid w:val="00CE74DF"/>
    <w:rsid w:val="00CE78C9"/>
    <w:rsid w:val="00CE792C"/>
    <w:rsid w:val="00CF0860"/>
    <w:rsid w:val="00CF08B7"/>
    <w:rsid w:val="00CF0C4C"/>
    <w:rsid w:val="00CF0D3C"/>
    <w:rsid w:val="00CF12E8"/>
    <w:rsid w:val="00CF1406"/>
    <w:rsid w:val="00CF16FE"/>
    <w:rsid w:val="00CF1A43"/>
    <w:rsid w:val="00CF1E43"/>
    <w:rsid w:val="00CF2062"/>
    <w:rsid w:val="00CF2477"/>
    <w:rsid w:val="00CF288B"/>
    <w:rsid w:val="00CF2C29"/>
    <w:rsid w:val="00CF2F1A"/>
    <w:rsid w:val="00CF372D"/>
    <w:rsid w:val="00CF37CA"/>
    <w:rsid w:val="00CF39D1"/>
    <w:rsid w:val="00CF3C3D"/>
    <w:rsid w:val="00CF3CFD"/>
    <w:rsid w:val="00CF413A"/>
    <w:rsid w:val="00CF42CC"/>
    <w:rsid w:val="00CF450B"/>
    <w:rsid w:val="00CF485B"/>
    <w:rsid w:val="00CF4ABA"/>
    <w:rsid w:val="00CF4C35"/>
    <w:rsid w:val="00CF5191"/>
    <w:rsid w:val="00CF5255"/>
    <w:rsid w:val="00CF58B1"/>
    <w:rsid w:val="00CF5B20"/>
    <w:rsid w:val="00CF6340"/>
    <w:rsid w:val="00CF718C"/>
    <w:rsid w:val="00CF727D"/>
    <w:rsid w:val="00CF7751"/>
    <w:rsid w:val="00CF78FF"/>
    <w:rsid w:val="00CF7BB7"/>
    <w:rsid w:val="00CF7DE2"/>
    <w:rsid w:val="00CF7EF2"/>
    <w:rsid w:val="00D01379"/>
    <w:rsid w:val="00D016F7"/>
    <w:rsid w:val="00D017BB"/>
    <w:rsid w:val="00D017BC"/>
    <w:rsid w:val="00D01CBD"/>
    <w:rsid w:val="00D01D45"/>
    <w:rsid w:val="00D026C3"/>
    <w:rsid w:val="00D02A0B"/>
    <w:rsid w:val="00D02AD2"/>
    <w:rsid w:val="00D02B13"/>
    <w:rsid w:val="00D031B4"/>
    <w:rsid w:val="00D03590"/>
    <w:rsid w:val="00D036FB"/>
    <w:rsid w:val="00D03C84"/>
    <w:rsid w:val="00D03D1B"/>
    <w:rsid w:val="00D040B7"/>
    <w:rsid w:val="00D04A59"/>
    <w:rsid w:val="00D04ADB"/>
    <w:rsid w:val="00D04D1F"/>
    <w:rsid w:val="00D05B7F"/>
    <w:rsid w:val="00D05F22"/>
    <w:rsid w:val="00D05F26"/>
    <w:rsid w:val="00D063ED"/>
    <w:rsid w:val="00D06990"/>
    <w:rsid w:val="00D06D8C"/>
    <w:rsid w:val="00D07174"/>
    <w:rsid w:val="00D0730A"/>
    <w:rsid w:val="00D07499"/>
    <w:rsid w:val="00D1010C"/>
    <w:rsid w:val="00D10263"/>
    <w:rsid w:val="00D10686"/>
    <w:rsid w:val="00D10D0D"/>
    <w:rsid w:val="00D111EB"/>
    <w:rsid w:val="00D1143C"/>
    <w:rsid w:val="00D117B0"/>
    <w:rsid w:val="00D1184A"/>
    <w:rsid w:val="00D128E1"/>
    <w:rsid w:val="00D129FC"/>
    <w:rsid w:val="00D1305F"/>
    <w:rsid w:val="00D130DC"/>
    <w:rsid w:val="00D13650"/>
    <w:rsid w:val="00D137DA"/>
    <w:rsid w:val="00D13A0F"/>
    <w:rsid w:val="00D13CF7"/>
    <w:rsid w:val="00D146E0"/>
    <w:rsid w:val="00D147C8"/>
    <w:rsid w:val="00D14E7D"/>
    <w:rsid w:val="00D15216"/>
    <w:rsid w:val="00D15283"/>
    <w:rsid w:val="00D16D6A"/>
    <w:rsid w:val="00D16F65"/>
    <w:rsid w:val="00D17103"/>
    <w:rsid w:val="00D17424"/>
    <w:rsid w:val="00D17490"/>
    <w:rsid w:val="00D17943"/>
    <w:rsid w:val="00D17C57"/>
    <w:rsid w:val="00D20A13"/>
    <w:rsid w:val="00D213BF"/>
    <w:rsid w:val="00D21778"/>
    <w:rsid w:val="00D21A23"/>
    <w:rsid w:val="00D22096"/>
    <w:rsid w:val="00D221CD"/>
    <w:rsid w:val="00D22568"/>
    <w:rsid w:val="00D22788"/>
    <w:rsid w:val="00D230EE"/>
    <w:rsid w:val="00D23608"/>
    <w:rsid w:val="00D237BA"/>
    <w:rsid w:val="00D23E32"/>
    <w:rsid w:val="00D23F53"/>
    <w:rsid w:val="00D24512"/>
    <w:rsid w:val="00D24AB5"/>
    <w:rsid w:val="00D24BD3"/>
    <w:rsid w:val="00D24EA2"/>
    <w:rsid w:val="00D255D9"/>
    <w:rsid w:val="00D2659C"/>
    <w:rsid w:val="00D26951"/>
    <w:rsid w:val="00D26B4A"/>
    <w:rsid w:val="00D26DEC"/>
    <w:rsid w:val="00D26ECD"/>
    <w:rsid w:val="00D272A7"/>
    <w:rsid w:val="00D27B28"/>
    <w:rsid w:val="00D27DA4"/>
    <w:rsid w:val="00D3016D"/>
    <w:rsid w:val="00D3073E"/>
    <w:rsid w:val="00D313AE"/>
    <w:rsid w:val="00D31A3E"/>
    <w:rsid w:val="00D31D88"/>
    <w:rsid w:val="00D31E39"/>
    <w:rsid w:val="00D32334"/>
    <w:rsid w:val="00D32868"/>
    <w:rsid w:val="00D328A4"/>
    <w:rsid w:val="00D32C52"/>
    <w:rsid w:val="00D32FF2"/>
    <w:rsid w:val="00D3311B"/>
    <w:rsid w:val="00D3340A"/>
    <w:rsid w:val="00D3376F"/>
    <w:rsid w:val="00D33888"/>
    <w:rsid w:val="00D33AA7"/>
    <w:rsid w:val="00D34227"/>
    <w:rsid w:val="00D347E7"/>
    <w:rsid w:val="00D3487F"/>
    <w:rsid w:val="00D351DE"/>
    <w:rsid w:val="00D35918"/>
    <w:rsid w:val="00D366FE"/>
    <w:rsid w:val="00D3711F"/>
    <w:rsid w:val="00D37AE6"/>
    <w:rsid w:val="00D4009E"/>
    <w:rsid w:val="00D402F2"/>
    <w:rsid w:val="00D40674"/>
    <w:rsid w:val="00D4099B"/>
    <w:rsid w:val="00D41321"/>
    <w:rsid w:val="00D417A6"/>
    <w:rsid w:val="00D41999"/>
    <w:rsid w:val="00D41A9E"/>
    <w:rsid w:val="00D41C1B"/>
    <w:rsid w:val="00D41F01"/>
    <w:rsid w:val="00D4205E"/>
    <w:rsid w:val="00D42620"/>
    <w:rsid w:val="00D42E3F"/>
    <w:rsid w:val="00D430D9"/>
    <w:rsid w:val="00D437CF"/>
    <w:rsid w:val="00D4385A"/>
    <w:rsid w:val="00D43DFA"/>
    <w:rsid w:val="00D43FEF"/>
    <w:rsid w:val="00D44256"/>
    <w:rsid w:val="00D446BF"/>
    <w:rsid w:val="00D4498A"/>
    <w:rsid w:val="00D44996"/>
    <w:rsid w:val="00D451EF"/>
    <w:rsid w:val="00D4552B"/>
    <w:rsid w:val="00D45727"/>
    <w:rsid w:val="00D45BFB"/>
    <w:rsid w:val="00D45F75"/>
    <w:rsid w:val="00D46801"/>
    <w:rsid w:val="00D46825"/>
    <w:rsid w:val="00D469F3"/>
    <w:rsid w:val="00D46AD1"/>
    <w:rsid w:val="00D46DCD"/>
    <w:rsid w:val="00D46F68"/>
    <w:rsid w:val="00D471CC"/>
    <w:rsid w:val="00D4756C"/>
    <w:rsid w:val="00D50270"/>
    <w:rsid w:val="00D5066F"/>
    <w:rsid w:val="00D50DC8"/>
    <w:rsid w:val="00D50F03"/>
    <w:rsid w:val="00D511A2"/>
    <w:rsid w:val="00D51746"/>
    <w:rsid w:val="00D517E5"/>
    <w:rsid w:val="00D51B2E"/>
    <w:rsid w:val="00D52337"/>
    <w:rsid w:val="00D5289F"/>
    <w:rsid w:val="00D53AD8"/>
    <w:rsid w:val="00D5433B"/>
    <w:rsid w:val="00D54C39"/>
    <w:rsid w:val="00D55A6D"/>
    <w:rsid w:val="00D55D4A"/>
    <w:rsid w:val="00D55E14"/>
    <w:rsid w:val="00D56375"/>
    <w:rsid w:val="00D566D6"/>
    <w:rsid w:val="00D569E4"/>
    <w:rsid w:val="00D56EB8"/>
    <w:rsid w:val="00D57516"/>
    <w:rsid w:val="00D57BE3"/>
    <w:rsid w:val="00D57BE8"/>
    <w:rsid w:val="00D57FC4"/>
    <w:rsid w:val="00D57FD7"/>
    <w:rsid w:val="00D60325"/>
    <w:rsid w:val="00D60470"/>
    <w:rsid w:val="00D60904"/>
    <w:rsid w:val="00D609A4"/>
    <w:rsid w:val="00D60B8A"/>
    <w:rsid w:val="00D60C4B"/>
    <w:rsid w:val="00D60F31"/>
    <w:rsid w:val="00D6155A"/>
    <w:rsid w:val="00D6166F"/>
    <w:rsid w:val="00D616C9"/>
    <w:rsid w:val="00D61979"/>
    <w:rsid w:val="00D61AE2"/>
    <w:rsid w:val="00D61CAA"/>
    <w:rsid w:val="00D61D35"/>
    <w:rsid w:val="00D62255"/>
    <w:rsid w:val="00D6245B"/>
    <w:rsid w:val="00D62A27"/>
    <w:rsid w:val="00D63230"/>
    <w:rsid w:val="00D6356C"/>
    <w:rsid w:val="00D63E0C"/>
    <w:rsid w:val="00D644F8"/>
    <w:rsid w:val="00D648B6"/>
    <w:rsid w:val="00D64E2B"/>
    <w:rsid w:val="00D64EBD"/>
    <w:rsid w:val="00D652EB"/>
    <w:rsid w:val="00D66968"/>
    <w:rsid w:val="00D6697C"/>
    <w:rsid w:val="00D66B21"/>
    <w:rsid w:val="00D66E2E"/>
    <w:rsid w:val="00D66EA8"/>
    <w:rsid w:val="00D66FA2"/>
    <w:rsid w:val="00D674E3"/>
    <w:rsid w:val="00D67668"/>
    <w:rsid w:val="00D67777"/>
    <w:rsid w:val="00D67A33"/>
    <w:rsid w:val="00D702F1"/>
    <w:rsid w:val="00D7056F"/>
    <w:rsid w:val="00D70D11"/>
    <w:rsid w:val="00D710F1"/>
    <w:rsid w:val="00D71554"/>
    <w:rsid w:val="00D71F85"/>
    <w:rsid w:val="00D726EB"/>
    <w:rsid w:val="00D7289F"/>
    <w:rsid w:val="00D72A3E"/>
    <w:rsid w:val="00D72FE8"/>
    <w:rsid w:val="00D73009"/>
    <w:rsid w:val="00D73D91"/>
    <w:rsid w:val="00D73E1A"/>
    <w:rsid w:val="00D741E2"/>
    <w:rsid w:val="00D74A28"/>
    <w:rsid w:val="00D75404"/>
    <w:rsid w:val="00D75BAF"/>
    <w:rsid w:val="00D75CF0"/>
    <w:rsid w:val="00D760C8"/>
    <w:rsid w:val="00D762ED"/>
    <w:rsid w:val="00D7665B"/>
    <w:rsid w:val="00D76A52"/>
    <w:rsid w:val="00D8038C"/>
    <w:rsid w:val="00D80718"/>
    <w:rsid w:val="00D80F33"/>
    <w:rsid w:val="00D81008"/>
    <w:rsid w:val="00D8109C"/>
    <w:rsid w:val="00D812CE"/>
    <w:rsid w:val="00D816B5"/>
    <w:rsid w:val="00D8170D"/>
    <w:rsid w:val="00D81AA6"/>
    <w:rsid w:val="00D81B1B"/>
    <w:rsid w:val="00D8227A"/>
    <w:rsid w:val="00D82464"/>
    <w:rsid w:val="00D82A88"/>
    <w:rsid w:val="00D82BCE"/>
    <w:rsid w:val="00D82F05"/>
    <w:rsid w:val="00D82F15"/>
    <w:rsid w:val="00D82F65"/>
    <w:rsid w:val="00D8369D"/>
    <w:rsid w:val="00D83D7D"/>
    <w:rsid w:val="00D8409E"/>
    <w:rsid w:val="00D844CA"/>
    <w:rsid w:val="00D8456E"/>
    <w:rsid w:val="00D8493D"/>
    <w:rsid w:val="00D84B1E"/>
    <w:rsid w:val="00D84E70"/>
    <w:rsid w:val="00D85D16"/>
    <w:rsid w:val="00D86463"/>
    <w:rsid w:val="00D867A9"/>
    <w:rsid w:val="00D86885"/>
    <w:rsid w:val="00D86E53"/>
    <w:rsid w:val="00D87612"/>
    <w:rsid w:val="00D87D07"/>
    <w:rsid w:val="00D87FB4"/>
    <w:rsid w:val="00D90076"/>
    <w:rsid w:val="00D91499"/>
    <w:rsid w:val="00D91566"/>
    <w:rsid w:val="00D91CB8"/>
    <w:rsid w:val="00D92663"/>
    <w:rsid w:val="00D930EB"/>
    <w:rsid w:val="00D935DB"/>
    <w:rsid w:val="00D93695"/>
    <w:rsid w:val="00D93AF2"/>
    <w:rsid w:val="00D93CC1"/>
    <w:rsid w:val="00D9409A"/>
    <w:rsid w:val="00D9410B"/>
    <w:rsid w:val="00D945AD"/>
    <w:rsid w:val="00D95076"/>
    <w:rsid w:val="00D9543C"/>
    <w:rsid w:val="00D9579A"/>
    <w:rsid w:val="00D9587B"/>
    <w:rsid w:val="00D95D78"/>
    <w:rsid w:val="00D96299"/>
    <w:rsid w:val="00D96314"/>
    <w:rsid w:val="00D9672D"/>
    <w:rsid w:val="00D96772"/>
    <w:rsid w:val="00D967AC"/>
    <w:rsid w:val="00D968B8"/>
    <w:rsid w:val="00D968D2"/>
    <w:rsid w:val="00D96957"/>
    <w:rsid w:val="00D97117"/>
    <w:rsid w:val="00D971C3"/>
    <w:rsid w:val="00D972B6"/>
    <w:rsid w:val="00D97396"/>
    <w:rsid w:val="00D97767"/>
    <w:rsid w:val="00D97BA8"/>
    <w:rsid w:val="00D97E14"/>
    <w:rsid w:val="00D97E64"/>
    <w:rsid w:val="00DA0175"/>
    <w:rsid w:val="00DA03F2"/>
    <w:rsid w:val="00DA1177"/>
    <w:rsid w:val="00DA1A37"/>
    <w:rsid w:val="00DA1E65"/>
    <w:rsid w:val="00DA258A"/>
    <w:rsid w:val="00DA26C1"/>
    <w:rsid w:val="00DA28C8"/>
    <w:rsid w:val="00DA2967"/>
    <w:rsid w:val="00DA29B2"/>
    <w:rsid w:val="00DA2BB5"/>
    <w:rsid w:val="00DA2D53"/>
    <w:rsid w:val="00DA2D5C"/>
    <w:rsid w:val="00DA2F8C"/>
    <w:rsid w:val="00DA3950"/>
    <w:rsid w:val="00DA39A6"/>
    <w:rsid w:val="00DA3AEE"/>
    <w:rsid w:val="00DA3B10"/>
    <w:rsid w:val="00DA40E8"/>
    <w:rsid w:val="00DA486A"/>
    <w:rsid w:val="00DA4E2F"/>
    <w:rsid w:val="00DA5423"/>
    <w:rsid w:val="00DA548A"/>
    <w:rsid w:val="00DA5677"/>
    <w:rsid w:val="00DA5894"/>
    <w:rsid w:val="00DA5F98"/>
    <w:rsid w:val="00DA6071"/>
    <w:rsid w:val="00DA68B4"/>
    <w:rsid w:val="00DA6BE3"/>
    <w:rsid w:val="00DA7145"/>
    <w:rsid w:val="00DA7361"/>
    <w:rsid w:val="00DA7675"/>
    <w:rsid w:val="00DA7E32"/>
    <w:rsid w:val="00DB011B"/>
    <w:rsid w:val="00DB0753"/>
    <w:rsid w:val="00DB0D51"/>
    <w:rsid w:val="00DB0E35"/>
    <w:rsid w:val="00DB1553"/>
    <w:rsid w:val="00DB1A78"/>
    <w:rsid w:val="00DB1CBB"/>
    <w:rsid w:val="00DB1CC0"/>
    <w:rsid w:val="00DB3149"/>
    <w:rsid w:val="00DB3331"/>
    <w:rsid w:val="00DB3841"/>
    <w:rsid w:val="00DB3D01"/>
    <w:rsid w:val="00DB3EED"/>
    <w:rsid w:val="00DB41DB"/>
    <w:rsid w:val="00DB4B00"/>
    <w:rsid w:val="00DB4C02"/>
    <w:rsid w:val="00DB532F"/>
    <w:rsid w:val="00DB5DF7"/>
    <w:rsid w:val="00DB5EDA"/>
    <w:rsid w:val="00DB5F07"/>
    <w:rsid w:val="00DB5F0B"/>
    <w:rsid w:val="00DB603A"/>
    <w:rsid w:val="00DB608D"/>
    <w:rsid w:val="00DB6479"/>
    <w:rsid w:val="00DB67E6"/>
    <w:rsid w:val="00DB7414"/>
    <w:rsid w:val="00DB79D2"/>
    <w:rsid w:val="00DB7BFD"/>
    <w:rsid w:val="00DB7D31"/>
    <w:rsid w:val="00DB7FA2"/>
    <w:rsid w:val="00DC0002"/>
    <w:rsid w:val="00DC00EC"/>
    <w:rsid w:val="00DC02A3"/>
    <w:rsid w:val="00DC035C"/>
    <w:rsid w:val="00DC0533"/>
    <w:rsid w:val="00DC0681"/>
    <w:rsid w:val="00DC0A8F"/>
    <w:rsid w:val="00DC0C97"/>
    <w:rsid w:val="00DC19CF"/>
    <w:rsid w:val="00DC19D9"/>
    <w:rsid w:val="00DC1AAF"/>
    <w:rsid w:val="00DC1E05"/>
    <w:rsid w:val="00DC2968"/>
    <w:rsid w:val="00DC2BEE"/>
    <w:rsid w:val="00DC2EDC"/>
    <w:rsid w:val="00DC3C93"/>
    <w:rsid w:val="00DC407B"/>
    <w:rsid w:val="00DC4183"/>
    <w:rsid w:val="00DC44A7"/>
    <w:rsid w:val="00DC48C9"/>
    <w:rsid w:val="00DC4C49"/>
    <w:rsid w:val="00DC4EFB"/>
    <w:rsid w:val="00DC4F44"/>
    <w:rsid w:val="00DC52AB"/>
    <w:rsid w:val="00DC561C"/>
    <w:rsid w:val="00DC58F6"/>
    <w:rsid w:val="00DC59C0"/>
    <w:rsid w:val="00DC5A4B"/>
    <w:rsid w:val="00DC62BE"/>
    <w:rsid w:val="00DC6303"/>
    <w:rsid w:val="00DC6870"/>
    <w:rsid w:val="00DC6D3C"/>
    <w:rsid w:val="00DC6D58"/>
    <w:rsid w:val="00DC6E92"/>
    <w:rsid w:val="00DC70D5"/>
    <w:rsid w:val="00DC7595"/>
    <w:rsid w:val="00DC7A94"/>
    <w:rsid w:val="00DC7E62"/>
    <w:rsid w:val="00DC7EF0"/>
    <w:rsid w:val="00DC7F84"/>
    <w:rsid w:val="00DD061D"/>
    <w:rsid w:val="00DD0AE6"/>
    <w:rsid w:val="00DD106E"/>
    <w:rsid w:val="00DD1224"/>
    <w:rsid w:val="00DD1416"/>
    <w:rsid w:val="00DD1503"/>
    <w:rsid w:val="00DD15B5"/>
    <w:rsid w:val="00DD16F1"/>
    <w:rsid w:val="00DD2367"/>
    <w:rsid w:val="00DD2C83"/>
    <w:rsid w:val="00DD337E"/>
    <w:rsid w:val="00DD380E"/>
    <w:rsid w:val="00DD39EB"/>
    <w:rsid w:val="00DD531A"/>
    <w:rsid w:val="00DD5935"/>
    <w:rsid w:val="00DD59FF"/>
    <w:rsid w:val="00DD5CC2"/>
    <w:rsid w:val="00DD62E6"/>
    <w:rsid w:val="00DD6B34"/>
    <w:rsid w:val="00DD705D"/>
    <w:rsid w:val="00DD7635"/>
    <w:rsid w:val="00DD7937"/>
    <w:rsid w:val="00DD7D62"/>
    <w:rsid w:val="00DD7DEE"/>
    <w:rsid w:val="00DD7FDF"/>
    <w:rsid w:val="00DE0047"/>
    <w:rsid w:val="00DE02F8"/>
    <w:rsid w:val="00DE087D"/>
    <w:rsid w:val="00DE0A80"/>
    <w:rsid w:val="00DE0F27"/>
    <w:rsid w:val="00DE129C"/>
    <w:rsid w:val="00DE12D7"/>
    <w:rsid w:val="00DE190F"/>
    <w:rsid w:val="00DE1BB4"/>
    <w:rsid w:val="00DE1C04"/>
    <w:rsid w:val="00DE22C8"/>
    <w:rsid w:val="00DE27C7"/>
    <w:rsid w:val="00DE2EC3"/>
    <w:rsid w:val="00DE301C"/>
    <w:rsid w:val="00DE310A"/>
    <w:rsid w:val="00DE374F"/>
    <w:rsid w:val="00DE394D"/>
    <w:rsid w:val="00DE3AEF"/>
    <w:rsid w:val="00DE3F80"/>
    <w:rsid w:val="00DE3FCB"/>
    <w:rsid w:val="00DE4327"/>
    <w:rsid w:val="00DE43AB"/>
    <w:rsid w:val="00DE446E"/>
    <w:rsid w:val="00DE45EB"/>
    <w:rsid w:val="00DE4638"/>
    <w:rsid w:val="00DE47CE"/>
    <w:rsid w:val="00DE4AEC"/>
    <w:rsid w:val="00DE55A8"/>
    <w:rsid w:val="00DE58FB"/>
    <w:rsid w:val="00DE5C4D"/>
    <w:rsid w:val="00DE5D95"/>
    <w:rsid w:val="00DE5DE2"/>
    <w:rsid w:val="00DE6C17"/>
    <w:rsid w:val="00DE71E6"/>
    <w:rsid w:val="00DE76C5"/>
    <w:rsid w:val="00DE779B"/>
    <w:rsid w:val="00DE78EE"/>
    <w:rsid w:val="00DE7A75"/>
    <w:rsid w:val="00DE7F42"/>
    <w:rsid w:val="00DE7FE0"/>
    <w:rsid w:val="00DF0326"/>
    <w:rsid w:val="00DF0341"/>
    <w:rsid w:val="00DF0FA5"/>
    <w:rsid w:val="00DF0FC4"/>
    <w:rsid w:val="00DF1351"/>
    <w:rsid w:val="00DF1362"/>
    <w:rsid w:val="00DF146B"/>
    <w:rsid w:val="00DF173D"/>
    <w:rsid w:val="00DF1875"/>
    <w:rsid w:val="00DF1AED"/>
    <w:rsid w:val="00DF1BBB"/>
    <w:rsid w:val="00DF1FFC"/>
    <w:rsid w:val="00DF258B"/>
    <w:rsid w:val="00DF2699"/>
    <w:rsid w:val="00DF2831"/>
    <w:rsid w:val="00DF298D"/>
    <w:rsid w:val="00DF2BD3"/>
    <w:rsid w:val="00DF2C9E"/>
    <w:rsid w:val="00DF2D98"/>
    <w:rsid w:val="00DF338E"/>
    <w:rsid w:val="00DF3577"/>
    <w:rsid w:val="00DF38D9"/>
    <w:rsid w:val="00DF395C"/>
    <w:rsid w:val="00DF3F39"/>
    <w:rsid w:val="00DF4BCE"/>
    <w:rsid w:val="00DF4E33"/>
    <w:rsid w:val="00DF544C"/>
    <w:rsid w:val="00DF6418"/>
    <w:rsid w:val="00DF6684"/>
    <w:rsid w:val="00DF6D26"/>
    <w:rsid w:val="00DF7304"/>
    <w:rsid w:val="00DF7718"/>
    <w:rsid w:val="00DF7AF9"/>
    <w:rsid w:val="00DF7C91"/>
    <w:rsid w:val="00DF7ED0"/>
    <w:rsid w:val="00DF7F22"/>
    <w:rsid w:val="00E000C9"/>
    <w:rsid w:val="00E0071A"/>
    <w:rsid w:val="00E00B93"/>
    <w:rsid w:val="00E010A7"/>
    <w:rsid w:val="00E012F0"/>
    <w:rsid w:val="00E0163C"/>
    <w:rsid w:val="00E01C8E"/>
    <w:rsid w:val="00E01E28"/>
    <w:rsid w:val="00E02171"/>
    <w:rsid w:val="00E02611"/>
    <w:rsid w:val="00E02659"/>
    <w:rsid w:val="00E02989"/>
    <w:rsid w:val="00E02C4E"/>
    <w:rsid w:val="00E037F1"/>
    <w:rsid w:val="00E04139"/>
    <w:rsid w:val="00E042E2"/>
    <w:rsid w:val="00E05085"/>
    <w:rsid w:val="00E056CC"/>
    <w:rsid w:val="00E057BC"/>
    <w:rsid w:val="00E05C78"/>
    <w:rsid w:val="00E05ED8"/>
    <w:rsid w:val="00E05F76"/>
    <w:rsid w:val="00E06322"/>
    <w:rsid w:val="00E06430"/>
    <w:rsid w:val="00E069A9"/>
    <w:rsid w:val="00E06B96"/>
    <w:rsid w:val="00E072D3"/>
    <w:rsid w:val="00E076FC"/>
    <w:rsid w:val="00E077C1"/>
    <w:rsid w:val="00E07AF1"/>
    <w:rsid w:val="00E07EF2"/>
    <w:rsid w:val="00E07FD6"/>
    <w:rsid w:val="00E10687"/>
    <w:rsid w:val="00E108AB"/>
    <w:rsid w:val="00E10997"/>
    <w:rsid w:val="00E10F79"/>
    <w:rsid w:val="00E10FF1"/>
    <w:rsid w:val="00E110EC"/>
    <w:rsid w:val="00E11A80"/>
    <w:rsid w:val="00E11BBC"/>
    <w:rsid w:val="00E11CB1"/>
    <w:rsid w:val="00E1254F"/>
    <w:rsid w:val="00E12576"/>
    <w:rsid w:val="00E127B7"/>
    <w:rsid w:val="00E12A9C"/>
    <w:rsid w:val="00E12AAF"/>
    <w:rsid w:val="00E12C76"/>
    <w:rsid w:val="00E132EE"/>
    <w:rsid w:val="00E1387F"/>
    <w:rsid w:val="00E13E4C"/>
    <w:rsid w:val="00E14398"/>
    <w:rsid w:val="00E1442A"/>
    <w:rsid w:val="00E14918"/>
    <w:rsid w:val="00E1551D"/>
    <w:rsid w:val="00E15C88"/>
    <w:rsid w:val="00E161FB"/>
    <w:rsid w:val="00E1626F"/>
    <w:rsid w:val="00E16426"/>
    <w:rsid w:val="00E16811"/>
    <w:rsid w:val="00E16A64"/>
    <w:rsid w:val="00E16C52"/>
    <w:rsid w:val="00E16D0E"/>
    <w:rsid w:val="00E170A5"/>
    <w:rsid w:val="00E1792E"/>
    <w:rsid w:val="00E179BC"/>
    <w:rsid w:val="00E17CB0"/>
    <w:rsid w:val="00E2069D"/>
    <w:rsid w:val="00E20778"/>
    <w:rsid w:val="00E20817"/>
    <w:rsid w:val="00E20879"/>
    <w:rsid w:val="00E20C3F"/>
    <w:rsid w:val="00E20F4A"/>
    <w:rsid w:val="00E21165"/>
    <w:rsid w:val="00E21CA8"/>
    <w:rsid w:val="00E22580"/>
    <w:rsid w:val="00E226C8"/>
    <w:rsid w:val="00E2283D"/>
    <w:rsid w:val="00E23152"/>
    <w:rsid w:val="00E2316D"/>
    <w:rsid w:val="00E233C7"/>
    <w:rsid w:val="00E2379A"/>
    <w:rsid w:val="00E238A2"/>
    <w:rsid w:val="00E23C02"/>
    <w:rsid w:val="00E23E81"/>
    <w:rsid w:val="00E23F69"/>
    <w:rsid w:val="00E244D6"/>
    <w:rsid w:val="00E24988"/>
    <w:rsid w:val="00E24D3C"/>
    <w:rsid w:val="00E2508C"/>
    <w:rsid w:val="00E25A28"/>
    <w:rsid w:val="00E25F40"/>
    <w:rsid w:val="00E26113"/>
    <w:rsid w:val="00E2667B"/>
    <w:rsid w:val="00E266FB"/>
    <w:rsid w:val="00E2712C"/>
    <w:rsid w:val="00E275A8"/>
    <w:rsid w:val="00E276A6"/>
    <w:rsid w:val="00E27E43"/>
    <w:rsid w:val="00E27E6F"/>
    <w:rsid w:val="00E27F3A"/>
    <w:rsid w:val="00E300A3"/>
    <w:rsid w:val="00E3011E"/>
    <w:rsid w:val="00E308E9"/>
    <w:rsid w:val="00E3110D"/>
    <w:rsid w:val="00E314E9"/>
    <w:rsid w:val="00E31568"/>
    <w:rsid w:val="00E31D74"/>
    <w:rsid w:val="00E321ED"/>
    <w:rsid w:val="00E32571"/>
    <w:rsid w:val="00E3259B"/>
    <w:rsid w:val="00E32896"/>
    <w:rsid w:val="00E32B68"/>
    <w:rsid w:val="00E32C5A"/>
    <w:rsid w:val="00E32C68"/>
    <w:rsid w:val="00E332D9"/>
    <w:rsid w:val="00E33906"/>
    <w:rsid w:val="00E339E3"/>
    <w:rsid w:val="00E33C8E"/>
    <w:rsid w:val="00E33CDC"/>
    <w:rsid w:val="00E33E94"/>
    <w:rsid w:val="00E340AB"/>
    <w:rsid w:val="00E34285"/>
    <w:rsid w:val="00E3437E"/>
    <w:rsid w:val="00E343BD"/>
    <w:rsid w:val="00E34BED"/>
    <w:rsid w:val="00E351A7"/>
    <w:rsid w:val="00E352A2"/>
    <w:rsid w:val="00E35441"/>
    <w:rsid w:val="00E35588"/>
    <w:rsid w:val="00E358C3"/>
    <w:rsid w:val="00E35C56"/>
    <w:rsid w:val="00E35D80"/>
    <w:rsid w:val="00E35E32"/>
    <w:rsid w:val="00E36107"/>
    <w:rsid w:val="00E3664C"/>
    <w:rsid w:val="00E369FF"/>
    <w:rsid w:val="00E37355"/>
    <w:rsid w:val="00E3754F"/>
    <w:rsid w:val="00E37B46"/>
    <w:rsid w:val="00E37D5B"/>
    <w:rsid w:val="00E37E53"/>
    <w:rsid w:val="00E409E5"/>
    <w:rsid w:val="00E40DE2"/>
    <w:rsid w:val="00E41237"/>
    <w:rsid w:val="00E41507"/>
    <w:rsid w:val="00E41A38"/>
    <w:rsid w:val="00E41ACF"/>
    <w:rsid w:val="00E41F8D"/>
    <w:rsid w:val="00E42650"/>
    <w:rsid w:val="00E42715"/>
    <w:rsid w:val="00E42B0F"/>
    <w:rsid w:val="00E42D2D"/>
    <w:rsid w:val="00E43268"/>
    <w:rsid w:val="00E432A4"/>
    <w:rsid w:val="00E43996"/>
    <w:rsid w:val="00E4402E"/>
    <w:rsid w:val="00E4405F"/>
    <w:rsid w:val="00E441BD"/>
    <w:rsid w:val="00E4458F"/>
    <w:rsid w:val="00E445E5"/>
    <w:rsid w:val="00E44D97"/>
    <w:rsid w:val="00E4585A"/>
    <w:rsid w:val="00E45AC6"/>
    <w:rsid w:val="00E45B69"/>
    <w:rsid w:val="00E45DBD"/>
    <w:rsid w:val="00E45E3B"/>
    <w:rsid w:val="00E464BD"/>
    <w:rsid w:val="00E46696"/>
    <w:rsid w:val="00E47184"/>
    <w:rsid w:val="00E473D9"/>
    <w:rsid w:val="00E50723"/>
    <w:rsid w:val="00E512C1"/>
    <w:rsid w:val="00E51319"/>
    <w:rsid w:val="00E51341"/>
    <w:rsid w:val="00E51A26"/>
    <w:rsid w:val="00E51D64"/>
    <w:rsid w:val="00E51EB9"/>
    <w:rsid w:val="00E51F0D"/>
    <w:rsid w:val="00E521E5"/>
    <w:rsid w:val="00E525D4"/>
    <w:rsid w:val="00E52BEE"/>
    <w:rsid w:val="00E52FE2"/>
    <w:rsid w:val="00E530B6"/>
    <w:rsid w:val="00E5349F"/>
    <w:rsid w:val="00E53691"/>
    <w:rsid w:val="00E5378D"/>
    <w:rsid w:val="00E53B81"/>
    <w:rsid w:val="00E53C83"/>
    <w:rsid w:val="00E53F19"/>
    <w:rsid w:val="00E540FE"/>
    <w:rsid w:val="00E54297"/>
    <w:rsid w:val="00E544C5"/>
    <w:rsid w:val="00E5468F"/>
    <w:rsid w:val="00E546F5"/>
    <w:rsid w:val="00E548E0"/>
    <w:rsid w:val="00E54AF2"/>
    <w:rsid w:val="00E54B8F"/>
    <w:rsid w:val="00E5539F"/>
    <w:rsid w:val="00E556F5"/>
    <w:rsid w:val="00E559A2"/>
    <w:rsid w:val="00E559A3"/>
    <w:rsid w:val="00E56228"/>
    <w:rsid w:val="00E56336"/>
    <w:rsid w:val="00E564DE"/>
    <w:rsid w:val="00E565F9"/>
    <w:rsid w:val="00E56F00"/>
    <w:rsid w:val="00E570B6"/>
    <w:rsid w:val="00E574CB"/>
    <w:rsid w:val="00E57547"/>
    <w:rsid w:val="00E5774A"/>
    <w:rsid w:val="00E57B4B"/>
    <w:rsid w:val="00E57CB1"/>
    <w:rsid w:val="00E57DF8"/>
    <w:rsid w:val="00E6008A"/>
    <w:rsid w:val="00E6049D"/>
    <w:rsid w:val="00E60FEB"/>
    <w:rsid w:val="00E611AF"/>
    <w:rsid w:val="00E61213"/>
    <w:rsid w:val="00E62951"/>
    <w:rsid w:val="00E62E8E"/>
    <w:rsid w:val="00E63200"/>
    <w:rsid w:val="00E632BA"/>
    <w:rsid w:val="00E63466"/>
    <w:rsid w:val="00E63534"/>
    <w:rsid w:val="00E637BE"/>
    <w:rsid w:val="00E63822"/>
    <w:rsid w:val="00E6385A"/>
    <w:rsid w:val="00E63B80"/>
    <w:rsid w:val="00E641E7"/>
    <w:rsid w:val="00E642A9"/>
    <w:rsid w:val="00E646B0"/>
    <w:rsid w:val="00E64D44"/>
    <w:rsid w:val="00E650B0"/>
    <w:rsid w:val="00E653BD"/>
    <w:rsid w:val="00E65ACF"/>
    <w:rsid w:val="00E65B97"/>
    <w:rsid w:val="00E65BE8"/>
    <w:rsid w:val="00E65D45"/>
    <w:rsid w:val="00E65DB9"/>
    <w:rsid w:val="00E65E77"/>
    <w:rsid w:val="00E65F5B"/>
    <w:rsid w:val="00E662B9"/>
    <w:rsid w:val="00E665BE"/>
    <w:rsid w:val="00E667E2"/>
    <w:rsid w:val="00E66C07"/>
    <w:rsid w:val="00E67396"/>
    <w:rsid w:val="00E67721"/>
    <w:rsid w:val="00E679A4"/>
    <w:rsid w:val="00E7006F"/>
    <w:rsid w:val="00E70126"/>
    <w:rsid w:val="00E70173"/>
    <w:rsid w:val="00E7023E"/>
    <w:rsid w:val="00E70380"/>
    <w:rsid w:val="00E7039E"/>
    <w:rsid w:val="00E70610"/>
    <w:rsid w:val="00E70762"/>
    <w:rsid w:val="00E709A2"/>
    <w:rsid w:val="00E70D7C"/>
    <w:rsid w:val="00E7182F"/>
    <w:rsid w:val="00E718E0"/>
    <w:rsid w:val="00E72109"/>
    <w:rsid w:val="00E7230E"/>
    <w:rsid w:val="00E72533"/>
    <w:rsid w:val="00E72B4E"/>
    <w:rsid w:val="00E72CFB"/>
    <w:rsid w:val="00E73126"/>
    <w:rsid w:val="00E74323"/>
    <w:rsid w:val="00E7480E"/>
    <w:rsid w:val="00E74A52"/>
    <w:rsid w:val="00E74DDC"/>
    <w:rsid w:val="00E752E1"/>
    <w:rsid w:val="00E7551D"/>
    <w:rsid w:val="00E75657"/>
    <w:rsid w:val="00E76010"/>
    <w:rsid w:val="00E7613D"/>
    <w:rsid w:val="00E76165"/>
    <w:rsid w:val="00E76489"/>
    <w:rsid w:val="00E76AF8"/>
    <w:rsid w:val="00E76B91"/>
    <w:rsid w:val="00E76BB5"/>
    <w:rsid w:val="00E76C7A"/>
    <w:rsid w:val="00E76CB7"/>
    <w:rsid w:val="00E76D42"/>
    <w:rsid w:val="00E77454"/>
    <w:rsid w:val="00E775A1"/>
    <w:rsid w:val="00E77962"/>
    <w:rsid w:val="00E77D58"/>
    <w:rsid w:val="00E80281"/>
    <w:rsid w:val="00E80532"/>
    <w:rsid w:val="00E8068F"/>
    <w:rsid w:val="00E806BC"/>
    <w:rsid w:val="00E80877"/>
    <w:rsid w:val="00E810C0"/>
    <w:rsid w:val="00E8138E"/>
    <w:rsid w:val="00E813F8"/>
    <w:rsid w:val="00E819CB"/>
    <w:rsid w:val="00E8250F"/>
    <w:rsid w:val="00E82873"/>
    <w:rsid w:val="00E82901"/>
    <w:rsid w:val="00E82D7C"/>
    <w:rsid w:val="00E8332C"/>
    <w:rsid w:val="00E837FD"/>
    <w:rsid w:val="00E83C4D"/>
    <w:rsid w:val="00E83FA6"/>
    <w:rsid w:val="00E84BAE"/>
    <w:rsid w:val="00E8586A"/>
    <w:rsid w:val="00E85C21"/>
    <w:rsid w:val="00E85C38"/>
    <w:rsid w:val="00E85C3A"/>
    <w:rsid w:val="00E860AA"/>
    <w:rsid w:val="00E863C4"/>
    <w:rsid w:val="00E86CCE"/>
    <w:rsid w:val="00E86EA6"/>
    <w:rsid w:val="00E87742"/>
    <w:rsid w:val="00E87D48"/>
    <w:rsid w:val="00E9036D"/>
    <w:rsid w:val="00E904CC"/>
    <w:rsid w:val="00E90E7A"/>
    <w:rsid w:val="00E90EC3"/>
    <w:rsid w:val="00E9105A"/>
    <w:rsid w:val="00E9150C"/>
    <w:rsid w:val="00E91894"/>
    <w:rsid w:val="00E920D1"/>
    <w:rsid w:val="00E925B6"/>
    <w:rsid w:val="00E92783"/>
    <w:rsid w:val="00E927CC"/>
    <w:rsid w:val="00E92C9A"/>
    <w:rsid w:val="00E931D2"/>
    <w:rsid w:val="00E93201"/>
    <w:rsid w:val="00E93408"/>
    <w:rsid w:val="00E93760"/>
    <w:rsid w:val="00E93C00"/>
    <w:rsid w:val="00E9436F"/>
    <w:rsid w:val="00E9478B"/>
    <w:rsid w:val="00E948F8"/>
    <w:rsid w:val="00E94AD6"/>
    <w:rsid w:val="00E95592"/>
    <w:rsid w:val="00E95667"/>
    <w:rsid w:val="00E959A9"/>
    <w:rsid w:val="00E961AB"/>
    <w:rsid w:val="00E966FA"/>
    <w:rsid w:val="00E96968"/>
    <w:rsid w:val="00E96D61"/>
    <w:rsid w:val="00E96DA3"/>
    <w:rsid w:val="00E96EA1"/>
    <w:rsid w:val="00E970CA"/>
    <w:rsid w:val="00E97197"/>
    <w:rsid w:val="00E97716"/>
    <w:rsid w:val="00E979D7"/>
    <w:rsid w:val="00E97C10"/>
    <w:rsid w:val="00E97CA7"/>
    <w:rsid w:val="00E97D2B"/>
    <w:rsid w:val="00EA06FC"/>
    <w:rsid w:val="00EA0D26"/>
    <w:rsid w:val="00EA138F"/>
    <w:rsid w:val="00EA1544"/>
    <w:rsid w:val="00EA1881"/>
    <w:rsid w:val="00EA1B9A"/>
    <w:rsid w:val="00EA2016"/>
    <w:rsid w:val="00EA24B5"/>
    <w:rsid w:val="00EA2548"/>
    <w:rsid w:val="00EA2627"/>
    <w:rsid w:val="00EA2D00"/>
    <w:rsid w:val="00EA35D9"/>
    <w:rsid w:val="00EA3C36"/>
    <w:rsid w:val="00EA43B8"/>
    <w:rsid w:val="00EA4400"/>
    <w:rsid w:val="00EA4541"/>
    <w:rsid w:val="00EA482A"/>
    <w:rsid w:val="00EA5104"/>
    <w:rsid w:val="00EA5457"/>
    <w:rsid w:val="00EA568D"/>
    <w:rsid w:val="00EA5FE5"/>
    <w:rsid w:val="00EA63B9"/>
    <w:rsid w:val="00EA652C"/>
    <w:rsid w:val="00EA6679"/>
    <w:rsid w:val="00EA6BC2"/>
    <w:rsid w:val="00EA738B"/>
    <w:rsid w:val="00EA791A"/>
    <w:rsid w:val="00EB03BA"/>
    <w:rsid w:val="00EB0A50"/>
    <w:rsid w:val="00EB0EAB"/>
    <w:rsid w:val="00EB0F83"/>
    <w:rsid w:val="00EB0FFF"/>
    <w:rsid w:val="00EB10D9"/>
    <w:rsid w:val="00EB1180"/>
    <w:rsid w:val="00EB11A1"/>
    <w:rsid w:val="00EB1428"/>
    <w:rsid w:val="00EB22D0"/>
    <w:rsid w:val="00EB26CA"/>
    <w:rsid w:val="00EB2777"/>
    <w:rsid w:val="00EB289C"/>
    <w:rsid w:val="00EB299C"/>
    <w:rsid w:val="00EB2EDA"/>
    <w:rsid w:val="00EB302C"/>
    <w:rsid w:val="00EB31E0"/>
    <w:rsid w:val="00EB38B5"/>
    <w:rsid w:val="00EB3AA6"/>
    <w:rsid w:val="00EB3E62"/>
    <w:rsid w:val="00EB44E7"/>
    <w:rsid w:val="00EB4552"/>
    <w:rsid w:val="00EB4ACC"/>
    <w:rsid w:val="00EB4C67"/>
    <w:rsid w:val="00EB4EC7"/>
    <w:rsid w:val="00EB5159"/>
    <w:rsid w:val="00EB5544"/>
    <w:rsid w:val="00EB570F"/>
    <w:rsid w:val="00EB5F53"/>
    <w:rsid w:val="00EB62C3"/>
    <w:rsid w:val="00EB634E"/>
    <w:rsid w:val="00EB6727"/>
    <w:rsid w:val="00EB6B0B"/>
    <w:rsid w:val="00EB6C40"/>
    <w:rsid w:val="00EB6F33"/>
    <w:rsid w:val="00EB6F6A"/>
    <w:rsid w:val="00EB74F6"/>
    <w:rsid w:val="00EB7C8C"/>
    <w:rsid w:val="00EB7CF1"/>
    <w:rsid w:val="00EC0576"/>
    <w:rsid w:val="00EC0F96"/>
    <w:rsid w:val="00EC168A"/>
    <w:rsid w:val="00EC1BFE"/>
    <w:rsid w:val="00EC225F"/>
    <w:rsid w:val="00EC2878"/>
    <w:rsid w:val="00EC2DA7"/>
    <w:rsid w:val="00EC2FD3"/>
    <w:rsid w:val="00EC37DC"/>
    <w:rsid w:val="00EC43D5"/>
    <w:rsid w:val="00EC49FB"/>
    <w:rsid w:val="00EC4F27"/>
    <w:rsid w:val="00EC5467"/>
    <w:rsid w:val="00EC59DC"/>
    <w:rsid w:val="00EC59F4"/>
    <w:rsid w:val="00EC67E9"/>
    <w:rsid w:val="00EC6A22"/>
    <w:rsid w:val="00EC6A85"/>
    <w:rsid w:val="00EC6F88"/>
    <w:rsid w:val="00EC6FA1"/>
    <w:rsid w:val="00EC71D5"/>
    <w:rsid w:val="00EC72F4"/>
    <w:rsid w:val="00EC77BD"/>
    <w:rsid w:val="00EC77BE"/>
    <w:rsid w:val="00EC7D3C"/>
    <w:rsid w:val="00ED016F"/>
    <w:rsid w:val="00ED0284"/>
    <w:rsid w:val="00ED043A"/>
    <w:rsid w:val="00ED0840"/>
    <w:rsid w:val="00ED1527"/>
    <w:rsid w:val="00ED15B1"/>
    <w:rsid w:val="00ED15DD"/>
    <w:rsid w:val="00ED1741"/>
    <w:rsid w:val="00ED2847"/>
    <w:rsid w:val="00ED289F"/>
    <w:rsid w:val="00ED2B67"/>
    <w:rsid w:val="00ED2CDC"/>
    <w:rsid w:val="00ED2E56"/>
    <w:rsid w:val="00ED2FD7"/>
    <w:rsid w:val="00ED357D"/>
    <w:rsid w:val="00ED36A1"/>
    <w:rsid w:val="00ED3AE7"/>
    <w:rsid w:val="00ED3E08"/>
    <w:rsid w:val="00ED411F"/>
    <w:rsid w:val="00ED445B"/>
    <w:rsid w:val="00ED447D"/>
    <w:rsid w:val="00ED4C0E"/>
    <w:rsid w:val="00ED4D50"/>
    <w:rsid w:val="00ED4EAA"/>
    <w:rsid w:val="00ED4EB8"/>
    <w:rsid w:val="00ED4F0C"/>
    <w:rsid w:val="00ED4F57"/>
    <w:rsid w:val="00ED5035"/>
    <w:rsid w:val="00ED5068"/>
    <w:rsid w:val="00ED55E3"/>
    <w:rsid w:val="00ED6838"/>
    <w:rsid w:val="00ED6A48"/>
    <w:rsid w:val="00ED743C"/>
    <w:rsid w:val="00ED7467"/>
    <w:rsid w:val="00ED7499"/>
    <w:rsid w:val="00ED7763"/>
    <w:rsid w:val="00ED7861"/>
    <w:rsid w:val="00ED791E"/>
    <w:rsid w:val="00ED7BEF"/>
    <w:rsid w:val="00ED7C2C"/>
    <w:rsid w:val="00EE0972"/>
    <w:rsid w:val="00EE0B91"/>
    <w:rsid w:val="00EE1207"/>
    <w:rsid w:val="00EE1B27"/>
    <w:rsid w:val="00EE1F8D"/>
    <w:rsid w:val="00EE234C"/>
    <w:rsid w:val="00EE2CF2"/>
    <w:rsid w:val="00EE365B"/>
    <w:rsid w:val="00EE39A8"/>
    <w:rsid w:val="00EE3A2A"/>
    <w:rsid w:val="00EE3F89"/>
    <w:rsid w:val="00EE40CF"/>
    <w:rsid w:val="00EE4543"/>
    <w:rsid w:val="00EE4968"/>
    <w:rsid w:val="00EE547F"/>
    <w:rsid w:val="00EE5500"/>
    <w:rsid w:val="00EE58BA"/>
    <w:rsid w:val="00EE5CC9"/>
    <w:rsid w:val="00EE5EA3"/>
    <w:rsid w:val="00EE66CF"/>
    <w:rsid w:val="00EE6827"/>
    <w:rsid w:val="00EE7630"/>
    <w:rsid w:val="00EE785A"/>
    <w:rsid w:val="00EE7B65"/>
    <w:rsid w:val="00EE7F41"/>
    <w:rsid w:val="00EE7FAC"/>
    <w:rsid w:val="00EF0042"/>
    <w:rsid w:val="00EF0066"/>
    <w:rsid w:val="00EF00EF"/>
    <w:rsid w:val="00EF0A0E"/>
    <w:rsid w:val="00EF1388"/>
    <w:rsid w:val="00EF2262"/>
    <w:rsid w:val="00EF24BF"/>
    <w:rsid w:val="00EF26EF"/>
    <w:rsid w:val="00EF273D"/>
    <w:rsid w:val="00EF3244"/>
    <w:rsid w:val="00EF332D"/>
    <w:rsid w:val="00EF37E7"/>
    <w:rsid w:val="00EF3980"/>
    <w:rsid w:val="00EF3DA3"/>
    <w:rsid w:val="00EF479C"/>
    <w:rsid w:val="00EF5305"/>
    <w:rsid w:val="00EF5684"/>
    <w:rsid w:val="00EF5C87"/>
    <w:rsid w:val="00EF6AD2"/>
    <w:rsid w:val="00EF724E"/>
    <w:rsid w:val="00EF7464"/>
    <w:rsid w:val="00EF74E6"/>
    <w:rsid w:val="00EF7750"/>
    <w:rsid w:val="00F00010"/>
    <w:rsid w:val="00F00127"/>
    <w:rsid w:val="00F00A5E"/>
    <w:rsid w:val="00F00C24"/>
    <w:rsid w:val="00F010CD"/>
    <w:rsid w:val="00F016A5"/>
    <w:rsid w:val="00F019F8"/>
    <w:rsid w:val="00F01A3A"/>
    <w:rsid w:val="00F02113"/>
    <w:rsid w:val="00F02462"/>
    <w:rsid w:val="00F0305B"/>
    <w:rsid w:val="00F035B8"/>
    <w:rsid w:val="00F03AD4"/>
    <w:rsid w:val="00F0401F"/>
    <w:rsid w:val="00F041AB"/>
    <w:rsid w:val="00F04330"/>
    <w:rsid w:val="00F04E7B"/>
    <w:rsid w:val="00F04FD0"/>
    <w:rsid w:val="00F054CF"/>
    <w:rsid w:val="00F05705"/>
    <w:rsid w:val="00F058AD"/>
    <w:rsid w:val="00F058DB"/>
    <w:rsid w:val="00F05CD1"/>
    <w:rsid w:val="00F05D09"/>
    <w:rsid w:val="00F05DD6"/>
    <w:rsid w:val="00F05E24"/>
    <w:rsid w:val="00F07060"/>
    <w:rsid w:val="00F07154"/>
    <w:rsid w:val="00F0760D"/>
    <w:rsid w:val="00F07C3D"/>
    <w:rsid w:val="00F07C5A"/>
    <w:rsid w:val="00F07C92"/>
    <w:rsid w:val="00F07FEC"/>
    <w:rsid w:val="00F10451"/>
    <w:rsid w:val="00F10ABC"/>
    <w:rsid w:val="00F10F9B"/>
    <w:rsid w:val="00F1158C"/>
    <w:rsid w:val="00F1172E"/>
    <w:rsid w:val="00F11AA9"/>
    <w:rsid w:val="00F11E0C"/>
    <w:rsid w:val="00F11E21"/>
    <w:rsid w:val="00F12329"/>
    <w:rsid w:val="00F1260A"/>
    <w:rsid w:val="00F127AE"/>
    <w:rsid w:val="00F12FD9"/>
    <w:rsid w:val="00F132B2"/>
    <w:rsid w:val="00F13542"/>
    <w:rsid w:val="00F139B8"/>
    <w:rsid w:val="00F13B51"/>
    <w:rsid w:val="00F14327"/>
    <w:rsid w:val="00F148E4"/>
    <w:rsid w:val="00F14BD1"/>
    <w:rsid w:val="00F14DD6"/>
    <w:rsid w:val="00F152FF"/>
    <w:rsid w:val="00F15668"/>
    <w:rsid w:val="00F15A78"/>
    <w:rsid w:val="00F15EDC"/>
    <w:rsid w:val="00F16E13"/>
    <w:rsid w:val="00F170B7"/>
    <w:rsid w:val="00F1791B"/>
    <w:rsid w:val="00F20809"/>
    <w:rsid w:val="00F20E55"/>
    <w:rsid w:val="00F20EBE"/>
    <w:rsid w:val="00F20FDA"/>
    <w:rsid w:val="00F214DA"/>
    <w:rsid w:val="00F21764"/>
    <w:rsid w:val="00F21B6F"/>
    <w:rsid w:val="00F21BF0"/>
    <w:rsid w:val="00F21CF8"/>
    <w:rsid w:val="00F22365"/>
    <w:rsid w:val="00F2248B"/>
    <w:rsid w:val="00F22A84"/>
    <w:rsid w:val="00F22B3D"/>
    <w:rsid w:val="00F22CBC"/>
    <w:rsid w:val="00F22E46"/>
    <w:rsid w:val="00F22F5C"/>
    <w:rsid w:val="00F233E7"/>
    <w:rsid w:val="00F23B73"/>
    <w:rsid w:val="00F23E87"/>
    <w:rsid w:val="00F2433A"/>
    <w:rsid w:val="00F24592"/>
    <w:rsid w:val="00F249BC"/>
    <w:rsid w:val="00F24C53"/>
    <w:rsid w:val="00F24F45"/>
    <w:rsid w:val="00F255C7"/>
    <w:rsid w:val="00F255E0"/>
    <w:rsid w:val="00F2579C"/>
    <w:rsid w:val="00F2608C"/>
    <w:rsid w:val="00F26106"/>
    <w:rsid w:val="00F268FD"/>
    <w:rsid w:val="00F26E9B"/>
    <w:rsid w:val="00F270F3"/>
    <w:rsid w:val="00F27C84"/>
    <w:rsid w:val="00F30217"/>
    <w:rsid w:val="00F3071E"/>
    <w:rsid w:val="00F3201A"/>
    <w:rsid w:val="00F32984"/>
    <w:rsid w:val="00F329CE"/>
    <w:rsid w:val="00F32FEE"/>
    <w:rsid w:val="00F33293"/>
    <w:rsid w:val="00F332FD"/>
    <w:rsid w:val="00F3389C"/>
    <w:rsid w:val="00F338B2"/>
    <w:rsid w:val="00F3407E"/>
    <w:rsid w:val="00F346EE"/>
    <w:rsid w:val="00F34771"/>
    <w:rsid w:val="00F34B07"/>
    <w:rsid w:val="00F34BEC"/>
    <w:rsid w:val="00F35735"/>
    <w:rsid w:val="00F35740"/>
    <w:rsid w:val="00F35998"/>
    <w:rsid w:val="00F3610A"/>
    <w:rsid w:val="00F36192"/>
    <w:rsid w:val="00F362DF"/>
    <w:rsid w:val="00F36572"/>
    <w:rsid w:val="00F367E3"/>
    <w:rsid w:val="00F36996"/>
    <w:rsid w:val="00F3699A"/>
    <w:rsid w:val="00F37471"/>
    <w:rsid w:val="00F3764F"/>
    <w:rsid w:val="00F376AC"/>
    <w:rsid w:val="00F4074C"/>
    <w:rsid w:val="00F40771"/>
    <w:rsid w:val="00F40B1D"/>
    <w:rsid w:val="00F40BFC"/>
    <w:rsid w:val="00F40C98"/>
    <w:rsid w:val="00F40EF7"/>
    <w:rsid w:val="00F40F37"/>
    <w:rsid w:val="00F4153D"/>
    <w:rsid w:val="00F41865"/>
    <w:rsid w:val="00F418A5"/>
    <w:rsid w:val="00F41B86"/>
    <w:rsid w:val="00F41CAC"/>
    <w:rsid w:val="00F41D46"/>
    <w:rsid w:val="00F424A9"/>
    <w:rsid w:val="00F427D7"/>
    <w:rsid w:val="00F42997"/>
    <w:rsid w:val="00F43280"/>
    <w:rsid w:val="00F43394"/>
    <w:rsid w:val="00F433DE"/>
    <w:rsid w:val="00F433E3"/>
    <w:rsid w:val="00F435C2"/>
    <w:rsid w:val="00F437CD"/>
    <w:rsid w:val="00F437D6"/>
    <w:rsid w:val="00F449C2"/>
    <w:rsid w:val="00F45172"/>
    <w:rsid w:val="00F4523C"/>
    <w:rsid w:val="00F45264"/>
    <w:rsid w:val="00F466CC"/>
    <w:rsid w:val="00F46981"/>
    <w:rsid w:val="00F46D7A"/>
    <w:rsid w:val="00F46F41"/>
    <w:rsid w:val="00F4708A"/>
    <w:rsid w:val="00F471C4"/>
    <w:rsid w:val="00F4750F"/>
    <w:rsid w:val="00F47785"/>
    <w:rsid w:val="00F479CE"/>
    <w:rsid w:val="00F500E8"/>
    <w:rsid w:val="00F502C1"/>
    <w:rsid w:val="00F507BE"/>
    <w:rsid w:val="00F50C95"/>
    <w:rsid w:val="00F51503"/>
    <w:rsid w:val="00F52D1F"/>
    <w:rsid w:val="00F531C9"/>
    <w:rsid w:val="00F532CC"/>
    <w:rsid w:val="00F5332E"/>
    <w:rsid w:val="00F53728"/>
    <w:rsid w:val="00F53ACD"/>
    <w:rsid w:val="00F53CB9"/>
    <w:rsid w:val="00F5415E"/>
    <w:rsid w:val="00F5431F"/>
    <w:rsid w:val="00F547B8"/>
    <w:rsid w:val="00F54C5C"/>
    <w:rsid w:val="00F557C2"/>
    <w:rsid w:val="00F55A32"/>
    <w:rsid w:val="00F55E27"/>
    <w:rsid w:val="00F55EFB"/>
    <w:rsid w:val="00F564AA"/>
    <w:rsid w:val="00F56A4A"/>
    <w:rsid w:val="00F56F28"/>
    <w:rsid w:val="00F57B79"/>
    <w:rsid w:val="00F57F58"/>
    <w:rsid w:val="00F6076E"/>
    <w:rsid w:val="00F607AC"/>
    <w:rsid w:val="00F608C5"/>
    <w:rsid w:val="00F612A4"/>
    <w:rsid w:val="00F6208B"/>
    <w:rsid w:val="00F6261A"/>
    <w:rsid w:val="00F6277A"/>
    <w:rsid w:val="00F62D55"/>
    <w:rsid w:val="00F62FAE"/>
    <w:rsid w:val="00F63DF5"/>
    <w:rsid w:val="00F64781"/>
    <w:rsid w:val="00F657BE"/>
    <w:rsid w:val="00F6581D"/>
    <w:rsid w:val="00F65DCB"/>
    <w:rsid w:val="00F664AC"/>
    <w:rsid w:val="00F666EA"/>
    <w:rsid w:val="00F66828"/>
    <w:rsid w:val="00F66C68"/>
    <w:rsid w:val="00F66D9B"/>
    <w:rsid w:val="00F66E56"/>
    <w:rsid w:val="00F6728C"/>
    <w:rsid w:val="00F67F7F"/>
    <w:rsid w:val="00F70014"/>
    <w:rsid w:val="00F70111"/>
    <w:rsid w:val="00F7091E"/>
    <w:rsid w:val="00F7111A"/>
    <w:rsid w:val="00F715C6"/>
    <w:rsid w:val="00F71B78"/>
    <w:rsid w:val="00F71DEF"/>
    <w:rsid w:val="00F71E2E"/>
    <w:rsid w:val="00F7298A"/>
    <w:rsid w:val="00F72CF1"/>
    <w:rsid w:val="00F7332C"/>
    <w:rsid w:val="00F7333F"/>
    <w:rsid w:val="00F7350C"/>
    <w:rsid w:val="00F74236"/>
    <w:rsid w:val="00F74837"/>
    <w:rsid w:val="00F74964"/>
    <w:rsid w:val="00F752EC"/>
    <w:rsid w:val="00F75420"/>
    <w:rsid w:val="00F757B8"/>
    <w:rsid w:val="00F75807"/>
    <w:rsid w:val="00F75F11"/>
    <w:rsid w:val="00F76461"/>
    <w:rsid w:val="00F76568"/>
    <w:rsid w:val="00F767C3"/>
    <w:rsid w:val="00F76BBE"/>
    <w:rsid w:val="00F76D6B"/>
    <w:rsid w:val="00F76E7C"/>
    <w:rsid w:val="00F76FD1"/>
    <w:rsid w:val="00F7718C"/>
    <w:rsid w:val="00F77191"/>
    <w:rsid w:val="00F7743B"/>
    <w:rsid w:val="00F77EE3"/>
    <w:rsid w:val="00F77F46"/>
    <w:rsid w:val="00F77FF1"/>
    <w:rsid w:val="00F806DD"/>
    <w:rsid w:val="00F807F2"/>
    <w:rsid w:val="00F80B3E"/>
    <w:rsid w:val="00F80DE5"/>
    <w:rsid w:val="00F80F4E"/>
    <w:rsid w:val="00F81BDE"/>
    <w:rsid w:val="00F822D5"/>
    <w:rsid w:val="00F8249C"/>
    <w:rsid w:val="00F8264F"/>
    <w:rsid w:val="00F82872"/>
    <w:rsid w:val="00F82976"/>
    <w:rsid w:val="00F82AB8"/>
    <w:rsid w:val="00F82AC3"/>
    <w:rsid w:val="00F83D9A"/>
    <w:rsid w:val="00F842A8"/>
    <w:rsid w:val="00F84922"/>
    <w:rsid w:val="00F84A0A"/>
    <w:rsid w:val="00F84C23"/>
    <w:rsid w:val="00F84F95"/>
    <w:rsid w:val="00F85547"/>
    <w:rsid w:val="00F85978"/>
    <w:rsid w:val="00F85F87"/>
    <w:rsid w:val="00F8646A"/>
    <w:rsid w:val="00F864FE"/>
    <w:rsid w:val="00F868B1"/>
    <w:rsid w:val="00F86EF6"/>
    <w:rsid w:val="00F86FD5"/>
    <w:rsid w:val="00F87134"/>
    <w:rsid w:val="00F87787"/>
    <w:rsid w:val="00F8797B"/>
    <w:rsid w:val="00F9017C"/>
    <w:rsid w:val="00F904D4"/>
    <w:rsid w:val="00F909C3"/>
    <w:rsid w:val="00F90EAA"/>
    <w:rsid w:val="00F90F1A"/>
    <w:rsid w:val="00F9153D"/>
    <w:rsid w:val="00F915EE"/>
    <w:rsid w:val="00F918CC"/>
    <w:rsid w:val="00F918EF"/>
    <w:rsid w:val="00F91B09"/>
    <w:rsid w:val="00F91EF0"/>
    <w:rsid w:val="00F92247"/>
    <w:rsid w:val="00F923A1"/>
    <w:rsid w:val="00F932B9"/>
    <w:rsid w:val="00F93465"/>
    <w:rsid w:val="00F93711"/>
    <w:rsid w:val="00F937ED"/>
    <w:rsid w:val="00F93A19"/>
    <w:rsid w:val="00F93D7A"/>
    <w:rsid w:val="00F94096"/>
    <w:rsid w:val="00F942B8"/>
    <w:rsid w:val="00F947A0"/>
    <w:rsid w:val="00F94B02"/>
    <w:rsid w:val="00F94FF0"/>
    <w:rsid w:val="00F950E5"/>
    <w:rsid w:val="00F95687"/>
    <w:rsid w:val="00F956DF"/>
    <w:rsid w:val="00F95733"/>
    <w:rsid w:val="00F95C73"/>
    <w:rsid w:val="00F96362"/>
    <w:rsid w:val="00F96620"/>
    <w:rsid w:val="00F96AE6"/>
    <w:rsid w:val="00F96B48"/>
    <w:rsid w:val="00F96BAC"/>
    <w:rsid w:val="00F96EEC"/>
    <w:rsid w:val="00F97591"/>
    <w:rsid w:val="00F97AC4"/>
    <w:rsid w:val="00F97C67"/>
    <w:rsid w:val="00FA03EE"/>
    <w:rsid w:val="00FA17F7"/>
    <w:rsid w:val="00FA1A21"/>
    <w:rsid w:val="00FA1E97"/>
    <w:rsid w:val="00FA20EF"/>
    <w:rsid w:val="00FA27F0"/>
    <w:rsid w:val="00FA2A2F"/>
    <w:rsid w:val="00FA33BC"/>
    <w:rsid w:val="00FA37A7"/>
    <w:rsid w:val="00FA391D"/>
    <w:rsid w:val="00FA3B3C"/>
    <w:rsid w:val="00FA3EBD"/>
    <w:rsid w:val="00FA42D8"/>
    <w:rsid w:val="00FA4660"/>
    <w:rsid w:val="00FA499C"/>
    <w:rsid w:val="00FA4E32"/>
    <w:rsid w:val="00FA4F2D"/>
    <w:rsid w:val="00FA505D"/>
    <w:rsid w:val="00FA50F3"/>
    <w:rsid w:val="00FA522D"/>
    <w:rsid w:val="00FA64C3"/>
    <w:rsid w:val="00FA668E"/>
    <w:rsid w:val="00FA68FD"/>
    <w:rsid w:val="00FA69F6"/>
    <w:rsid w:val="00FA73E4"/>
    <w:rsid w:val="00FA76FC"/>
    <w:rsid w:val="00FA7C79"/>
    <w:rsid w:val="00FB0262"/>
    <w:rsid w:val="00FB07D9"/>
    <w:rsid w:val="00FB0974"/>
    <w:rsid w:val="00FB097E"/>
    <w:rsid w:val="00FB0CE2"/>
    <w:rsid w:val="00FB1147"/>
    <w:rsid w:val="00FB13E1"/>
    <w:rsid w:val="00FB18DA"/>
    <w:rsid w:val="00FB1968"/>
    <w:rsid w:val="00FB2102"/>
    <w:rsid w:val="00FB25C9"/>
    <w:rsid w:val="00FB2A7F"/>
    <w:rsid w:val="00FB2C6D"/>
    <w:rsid w:val="00FB2E0B"/>
    <w:rsid w:val="00FB3097"/>
    <w:rsid w:val="00FB3823"/>
    <w:rsid w:val="00FB3D3D"/>
    <w:rsid w:val="00FB437F"/>
    <w:rsid w:val="00FB452E"/>
    <w:rsid w:val="00FB4582"/>
    <w:rsid w:val="00FB4640"/>
    <w:rsid w:val="00FB496B"/>
    <w:rsid w:val="00FB4D09"/>
    <w:rsid w:val="00FB5530"/>
    <w:rsid w:val="00FB5621"/>
    <w:rsid w:val="00FB59E2"/>
    <w:rsid w:val="00FB69BD"/>
    <w:rsid w:val="00FB71AA"/>
    <w:rsid w:val="00FB75E5"/>
    <w:rsid w:val="00FB79B5"/>
    <w:rsid w:val="00FB7A77"/>
    <w:rsid w:val="00FC0747"/>
    <w:rsid w:val="00FC09AC"/>
    <w:rsid w:val="00FC1798"/>
    <w:rsid w:val="00FC1A17"/>
    <w:rsid w:val="00FC27A2"/>
    <w:rsid w:val="00FC2B04"/>
    <w:rsid w:val="00FC36F6"/>
    <w:rsid w:val="00FC3724"/>
    <w:rsid w:val="00FC3890"/>
    <w:rsid w:val="00FC3DE3"/>
    <w:rsid w:val="00FC3EFB"/>
    <w:rsid w:val="00FC4028"/>
    <w:rsid w:val="00FC4231"/>
    <w:rsid w:val="00FC4365"/>
    <w:rsid w:val="00FC458C"/>
    <w:rsid w:val="00FC4911"/>
    <w:rsid w:val="00FC553B"/>
    <w:rsid w:val="00FC57CB"/>
    <w:rsid w:val="00FC57F8"/>
    <w:rsid w:val="00FC58CA"/>
    <w:rsid w:val="00FC5980"/>
    <w:rsid w:val="00FC63D0"/>
    <w:rsid w:val="00FC665B"/>
    <w:rsid w:val="00FC682E"/>
    <w:rsid w:val="00FC6F14"/>
    <w:rsid w:val="00FC6FAF"/>
    <w:rsid w:val="00FC6FD8"/>
    <w:rsid w:val="00FC70F3"/>
    <w:rsid w:val="00FD0146"/>
    <w:rsid w:val="00FD072D"/>
    <w:rsid w:val="00FD0A05"/>
    <w:rsid w:val="00FD11B1"/>
    <w:rsid w:val="00FD1298"/>
    <w:rsid w:val="00FD14B7"/>
    <w:rsid w:val="00FD18F5"/>
    <w:rsid w:val="00FD1954"/>
    <w:rsid w:val="00FD1B76"/>
    <w:rsid w:val="00FD1D97"/>
    <w:rsid w:val="00FD1FAE"/>
    <w:rsid w:val="00FD2102"/>
    <w:rsid w:val="00FD305E"/>
    <w:rsid w:val="00FD332E"/>
    <w:rsid w:val="00FD34A8"/>
    <w:rsid w:val="00FD354C"/>
    <w:rsid w:val="00FD394E"/>
    <w:rsid w:val="00FD47A5"/>
    <w:rsid w:val="00FD49A0"/>
    <w:rsid w:val="00FD4F51"/>
    <w:rsid w:val="00FD5676"/>
    <w:rsid w:val="00FD5684"/>
    <w:rsid w:val="00FD5BC2"/>
    <w:rsid w:val="00FD62EA"/>
    <w:rsid w:val="00FD63C6"/>
    <w:rsid w:val="00FD66D0"/>
    <w:rsid w:val="00FD6C8B"/>
    <w:rsid w:val="00FD6D3E"/>
    <w:rsid w:val="00FD7C0F"/>
    <w:rsid w:val="00FD7C13"/>
    <w:rsid w:val="00FD7E08"/>
    <w:rsid w:val="00FE015A"/>
    <w:rsid w:val="00FE029B"/>
    <w:rsid w:val="00FE03B0"/>
    <w:rsid w:val="00FE078A"/>
    <w:rsid w:val="00FE0B44"/>
    <w:rsid w:val="00FE12AB"/>
    <w:rsid w:val="00FE12E0"/>
    <w:rsid w:val="00FE1B77"/>
    <w:rsid w:val="00FE221D"/>
    <w:rsid w:val="00FE2434"/>
    <w:rsid w:val="00FE2D1D"/>
    <w:rsid w:val="00FE345C"/>
    <w:rsid w:val="00FE3FD4"/>
    <w:rsid w:val="00FE4EE7"/>
    <w:rsid w:val="00FE5E9F"/>
    <w:rsid w:val="00FE5F51"/>
    <w:rsid w:val="00FE69A8"/>
    <w:rsid w:val="00FE69E0"/>
    <w:rsid w:val="00FE6C99"/>
    <w:rsid w:val="00FE7115"/>
    <w:rsid w:val="00FE7D83"/>
    <w:rsid w:val="00FE7E36"/>
    <w:rsid w:val="00FF0D34"/>
    <w:rsid w:val="00FF1841"/>
    <w:rsid w:val="00FF1A10"/>
    <w:rsid w:val="00FF2839"/>
    <w:rsid w:val="00FF340D"/>
    <w:rsid w:val="00FF36AA"/>
    <w:rsid w:val="00FF3B04"/>
    <w:rsid w:val="00FF3F7E"/>
    <w:rsid w:val="00FF4036"/>
    <w:rsid w:val="00FF4846"/>
    <w:rsid w:val="00FF4CA1"/>
    <w:rsid w:val="00FF4ECC"/>
    <w:rsid w:val="00FF5068"/>
    <w:rsid w:val="00FF518E"/>
    <w:rsid w:val="00FF59EE"/>
    <w:rsid w:val="00FF5EC9"/>
    <w:rsid w:val="00FF5EE2"/>
    <w:rsid w:val="00FF6CA1"/>
    <w:rsid w:val="00FF6FF6"/>
    <w:rsid w:val="00FF7349"/>
    <w:rsid w:val="00FF7931"/>
    <w:rsid w:val="00FF79A8"/>
    <w:rsid w:val="00FF7A2E"/>
    <w:rsid w:val="00FF7B96"/>
    <w:rsid w:val="00FF7D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5A75AB1"/>
  <w15:chartTrackingRefBased/>
  <w15:docId w15:val="{BF0031F7-60C4-482C-AF36-24DE12AA5C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Arial UWTSD"/>
    <w:qFormat/>
    <w:rsid w:val="0028260F"/>
    <w:pPr>
      <w:spacing w:after="0" w:line="360" w:lineRule="auto"/>
    </w:pPr>
    <w:rPr>
      <w:rFonts w:ascii="Arial" w:eastAsia="Times New Roman" w:hAnsi="Arial" w:cs="Times New Roman"/>
      <w:sz w:val="24"/>
      <w:szCs w:val="20"/>
      <w:lang w:eastAsia="en-GB"/>
    </w:rPr>
  </w:style>
  <w:style w:type="paragraph" w:styleId="Heading1">
    <w:name w:val="heading 1"/>
    <w:basedOn w:val="Normal"/>
    <w:next w:val="Normal"/>
    <w:link w:val="Heading1Char"/>
    <w:uiPriority w:val="9"/>
    <w:qFormat/>
    <w:rsid w:val="0028260F"/>
    <w:pPr>
      <w:keepNext/>
      <w:keepLines/>
      <w:numPr>
        <w:numId w:val="2"/>
      </w:numPr>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28260F"/>
    <w:pPr>
      <w:keepNext/>
      <w:keepLines/>
      <w:numPr>
        <w:ilvl w:val="1"/>
        <w:numId w:val="2"/>
      </w:numPr>
      <w:spacing w:before="4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E642A9"/>
    <w:pPr>
      <w:keepNext/>
      <w:keepLines/>
      <w:numPr>
        <w:ilvl w:val="2"/>
        <w:numId w:val="2"/>
      </w:numPr>
      <w:spacing w:before="40"/>
      <w:outlineLvl w:val="2"/>
    </w:pPr>
    <w:rPr>
      <w:rFonts w:eastAsiaTheme="majorEastAsia" w:cstheme="majorBidi"/>
      <w:b/>
      <w:sz w:val="28"/>
      <w:szCs w:val="24"/>
    </w:rPr>
  </w:style>
  <w:style w:type="paragraph" w:styleId="Heading4">
    <w:name w:val="heading 4"/>
    <w:basedOn w:val="Normal"/>
    <w:next w:val="Normal"/>
    <w:link w:val="Heading4Char"/>
    <w:uiPriority w:val="9"/>
    <w:unhideWhenUsed/>
    <w:qFormat/>
    <w:rsid w:val="00307D94"/>
    <w:pPr>
      <w:keepNext/>
      <w:keepLines/>
      <w:numPr>
        <w:ilvl w:val="3"/>
        <w:numId w:val="2"/>
      </w:numPr>
      <w:spacing w:before="40"/>
      <w:ind w:left="862" w:hanging="862"/>
      <w:outlineLvl w:val="3"/>
    </w:pPr>
    <w:rPr>
      <w:rFonts w:eastAsiaTheme="majorEastAsia" w:cs="Arial"/>
      <w:b/>
      <w:i/>
      <w:iCs/>
      <w:color w:val="000000" w:themeColor="text1"/>
      <w:sz w:val="28"/>
    </w:rPr>
  </w:style>
  <w:style w:type="paragraph" w:styleId="Heading5">
    <w:name w:val="heading 5"/>
    <w:basedOn w:val="Normal"/>
    <w:next w:val="Normal"/>
    <w:link w:val="Heading5Char"/>
    <w:uiPriority w:val="9"/>
    <w:unhideWhenUsed/>
    <w:qFormat/>
    <w:rsid w:val="009266FF"/>
    <w:pPr>
      <w:keepNext/>
      <w:keepLines/>
      <w:numPr>
        <w:ilvl w:val="4"/>
        <w:numId w:val="2"/>
      </w:numPr>
      <w:spacing w:before="40" w:line="259" w:lineRule="auto"/>
      <w:outlineLvl w:val="4"/>
    </w:pPr>
    <w:rPr>
      <w:rFonts w:asciiTheme="majorHAnsi" w:eastAsiaTheme="majorEastAsia" w:hAnsiTheme="majorHAnsi" w:cstheme="majorBidi"/>
      <w:caps/>
      <w:color w:val="2F5496" w:themeColor="accent1" w:themeShade="BF"/>
      <w:sz w:val="22"/>
      <w:szCs w:val="22"/>
      <w:lang w:eastAsia="en-US"/>
    </w:rPr>
  </w:style>
  <w:style w:type="paragraph" w:styleId="Heading6">
    <w:name w:val="heading 6"/>
    <w:basedOn w:val="Normal"/>
    <w:next w:val="Normal"/>
    <w:link w:val="Heading6Char"/>
    <w:uiPriority w:val="9"/>
    <w:unhideWhenUsed/>
    <w:qFormat/>
    <w:rsid w:val="009266FF"/>
    <w:pPr>
      <w:keepNext/>
      <w:keepLines/>
      <w:numPr>
        <w:ilvl w:val="5"/>
        <w:numId w:val="2"/>
      </w:numPr>
      <w:spacing w:before="40" w:line="259" w:lineRule="auto"/>
      <w:outlineLvl w:val="5"/>
    </w:pPr>
    <w:rPr>
      <w:rFonts w:asciiTheme="majorHAnsi" w:eastAsiaTheme="majorEastAsia" w:hAnsiTheme="majorHAnsi" w:cstheme="majorBidi"/>
      <w:i/>
      <w:iCs/>
      <w:caps/>
      <w:color w:val="1F3864" w:themeColor="accent1" w:themeShade="80"/>
      <w:sz w:val="22"/>
      <w:szCs w:val="22"/>
      <w:lang w:eastAsia="en-US"/>
    </w:rPr>
  </w:style>
  <w:style w:type="paragraph" w:styleId="Heading7">
    <w:name w:val="heading 7"/>
    <w:basedOn w:val="Normal"/>
    <w:next w:val="Normal"/>
    <w:link w:val="Heading7Char"/>
    <w:uiPriority w:val="9"/>
    <w:unhideWhenUsed/>
    <w:qFormat/>
    <w:rsid w:val="009266FF"/>
    <w:pPr>
      <w:keepNext/>
      <w:keepLines/>
      <w:numPr>
        <w:ilvl w:val="6"/>
        <w:numId w:val="2"/>
      </w:numPr>
      <w:spacing w:before="40" w:line="259" w:lineRule="auto"/>
      <w:outlineLvl w:val="6"/>
    </w:pPr>
    <w:rPr>
      <w:rFonts w:asciiTheme="majorHAnsi" w:eastAsiaTheme="majorEastAsia" w:hAnsiTheme="majorHAnsi" w:cstheme="majorBidi"/>
      <w:b/>
      <w:bCs/>
      <w:color w:val="1F3864" w:themeColor="accent1" w:themeShade="80"/>
      <w:sz w:val="22"/>
      <w:szCs w:val="22"/>
      <w:lang w:eastAsia="en-US"/>
    </w:rPr>
  </w:style>
  <w:style w:type="paragraph" w:styleId="Heading8">
    <w:name w:val="heading 8"/>
    <w:basedOn w:val="Normal"/>
    <w:next w:val="Normal"/>
    <w:link w:val="Heading8Char"/>
    <w:uiPriority w:val="9"/>
    <w:semiHidden/>
    <w:unhideWhenUsed/>
    <w:qFormat/>
    <w:rsid w:val="009266FF"/>
    <w:pPr>
      <w:keepNext/>
      <w:keepLines/>
      <w:numPr>
        <w:ilvl w:val="7"/>
        <w:numId w:val="2"/>
      </w:numPr>
      <w:spacing w:before="40" w:line="259" w:lineRule="auto"/>
      <w:outlineLvl w:val="7"/>
    </w:pPr>
    <w:rPr>
      <w:rFonts w:asciiTheme="majorHAnsi" w:eastAsiaTheme="majorEastAsia" w:hAnsiTheme="majorHAnsi" w:cstheme="majorBidi"/>
      <w:b/>
      <w:bCs/>
      <w:i/>
      <w:iCs/>
      <w:color w:val="1F3864" w:themeColor="accent1" w:themeShade="80"/>
      <w:sz w:val="22"/>
      <w:szCs w:val="22"/>
      <w:lang w:eastAsia="en-US"/>
    </w:rPr>
  </w:style>
  <w:style w:type="paragraph" w:styleId="Heading9">
    <w:name w:val="heading 9"/>
    <w:basedOn w:val="Normal"/>
    <w:next w:val="Normal"/>
    <w:link w:val="Heading9Char"/>
    <w:uiPriority w:val="9"/>
    <w:semiHidden/>
    <w:unhideWhenUsed/>
    <w:qFormat/>
    <w:rsid w:val="009266FF"/>
    <w:pPr>
      <w:keepNext/>
      <w:keepLines/>
      <w:numPr>
        <w:ilvl w:val="8"/>
        <w:numId w:val="2"/>
      </w:numPr>
      <w:spacing w:before="40" w:line="259" w:lineRule="auto"/>
      <w:outlineLvl w:val="8"/>
    </w:pPr>
    <w:rPr>
      <w:rFonts w:asciiTheme="majorHAnsi" w:eastAsiaTheme="majorEastAsia" w:hAnsiTheme="majorHAnsi" w:cstheme="majorBidi"/>
      <w:i/>
      <w:iCs/>
      <w:color w:val="1F3864" w:themeColor="accent1" w:themeShade="80"/>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260F"/>
    <w:rPr>
      <w:rFonts w:ascii="Arial" w:eastAsiaTheme="majorEastAsia" w:hAnsi="Arial" w:cstheme="majorBidi"/>
      <w:b/>
      <w:sz w:val="32"/>
      <w:szCs w:val="32"/>
      <w:lang w:eastAsia="en-GB"/>
    </w:rPr>
  </w:style>
  <w:style w:type="paragraph" w:styleId="TOCHeading">
    <w:name w:val="TOC Heading"/>
    <w:basedOn w:val="Heading1"/>
    <w:next w:val="Normal"/>
    <w:uiPriority w:val="39"/>
    <w:unhideWhenUsed/>
    <w:qFormat/>
    <w:rsid w:val="0041759B"/>
    <w:pPr>
      <w:numPr>
        <w:numId w:val="0"/>
      </w:numPr>
      <w:spacing w:line="259" w:lineRule="auto"/>
      <w:outlineLvl w:val="9"/>
    </w:pPr>
    <w:rPr>
      <w:rFonts w:asciiTheme="majorHAnsi" w:hAnsiTheme="majorHAnsi"/>
      <w:b w:val="0"/>
      <w:color w:val="2F5496" w:themeColor="accent1" w:themeShade="BF"/>
      <w:lang w:val="en-US" w:eastAsia="en-US"/>
    </w:rPr>
  </w:style>
  <w:style w:type="paragraph" w:styleId="TOC1">
    <w:name w:val="toc 1"/>
    <w:basedOn w:val="Normal"/>
    <w:next w:val="Normal"/>
    <w:autoRedefine/>
    <w:uiPriority w:val="39"/>
    <w:unhideWhenUsed/>
    <w:rsid w:val="0041759B"/>
    <w:pPr>
      <w:spacing w:after="100"/>
    </w:pPr>
  </w:style>
  <w:style w:type="character" w:styleId="Hyperlink">
    <w:name w:val="Hyperlink"/>
    <w:basedOn w:val="DefaultParagraphFont"/>
    <w:uiPriority w:val="99"/>
    <w:unhideWhenUsed/>
    <w:rsid w:val="0041759B"/>
    <w:rPr>
      <w:color w:val="0563C1" w:themeColor="hyperlink"/>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41759B"/>
    <w:pPr>
      <w:ind w:left="720"/>
      <w:contextualSpacing/>
    </w:pPr>
  </w:style>
  <w:style w:type="paragraph" w:styleId="Footer">
    <w:name w:val="footer"/>
    <w:basedOn w:val="Normal"/>
    <w:link w:val="FooterChar"/>
    <w:uiPriority w:val="99"/>
    <w:unhideWhenUsed/>
    <w:rsid w:val="0041759B"/>
    <w:pPr>
      <w:tabs>
        <w:tab w:val="center" w:pos="4513"/>
        <w:tab w:val="right" w:pos="9026"/>
      </w:tabs>
      <w:spacing w:line="240" w:lineRule="auto"/>
    </w:pPr>
  </w:style>
  <w:style w:type="character" w:customStyle="1" w:styleId="FooterChar">
    <w:name w:val="Footer Char"/>
    <w:basedOn w:val="DefaultParagraphFont"/>
    <w:link w:val="Footer"/>
    <w:uiPriority w:val="99"/>
    <w:rsid w:val="0041759B"/>
    <w:rPr>
      <w:rFonts w:ascii="Times New Roman" w:eastAsia="Times New Roman" w:hAnsi="Times New Roman" w:cs="Times New Roman"/>
      <w:sz w:val="20"/>
      <w:szCs w:val="20"/>
      <w:lang w:eastAsia="en-GB"/>
    </w:rPr>
  </w:style>
  <w:style w:type="character" w:styleId="Strong">
    <w:name w:val="Strong"/>
    <w:basedOn w:val="DefaultParagraphFont"/>
    <w:uiPriority w:val="22"/>
    <w:qFormat/>
    <w:rsid w:val="0041759B"/>
    <w:rPr>
      <w:b/>
      <w:bCs/>
    </w:rPr>
  </w:style>
  <w:style w:type="paragraph" w:styleId="Quote">
    <w:name w:val="Quote"/>
    <w:basedOn w:val="Normal"/>
    <w:next w:val="Normal"/>
    <w:link w:val="QuoteChar"/>
    <w:uiPriority w:val="29"/>
    <w:qFormat/>
    <w:rsid w:val="0041759B"/>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41759B"/>
    <w:rPr>
      <w:rFonts w:ascii="Times New Roman" w:eastAsia="Times New Roman" w:hAnsi="Times New Roman" w:cs="Times New Roman"/>
      <w:i/>
      <w:iCs/>
      <w:color w:val="404040" w:themeColor="text1" w:themeTint="BF"/>
      <w:sz w:val="20"/>
      <w:szCs w:val="20"/>
      <w:lang w:eastAsia="en-GB"/>
    </w:rPr>
  </w:style>
  <w:style w:type="paragraph" w:styleId="Caption">
    <w:name w:val="caption"/>
    <w:basedOn w:val="Normal"/>
    <w:next w:val="Normal"/>
    <w:uiPriority w:val="35"/>
    <w:unhideWhenUsed/>
    <w:qFormat/>
    <w:rsid w:val="0028260F"/>
    <w:pPr>
      <w:spacing w:after="200" w:line="240" w:lineRule="auto"/>
    </w:pPr>
    <w:rPr>
      <w:i/>
      <w:iCs/>
      <w:color w:val="44546A" w:themeColor="text2"/>
      <w:sz w:val="20"/>
      <w:szCs w:val="18"/>
    </w:rPr>
  </w:style>
  <w:style w:type="character" w:customStyle="1" w:styleId="Heading4Char">
    <w:name w:val="Heading 4 Char"/>
    <w:basedOn w:val="DefaultParagraphFont"/>
    <w:link w:val="Heading4"/>
    <w:uiPriority w:val="9"/>
    <w:rsid w:val="00307D94"/>
    <w:rPr>
      <w:rFonts w:ascii="Arial" w:eastAsiaTheme="majorEastAsia" w:hAnsi="Arial" w:cs="Arial"/>
      <w:b/>
      <w:i/>
      <w:iCs/>
      <w:color w:val="000000" w:themeColor="text1"/>
      <w:sz w:val="28"/>
      <w:szCs w:val="20"/>
      <w:lang w:eastAsia="en-GB"/>
    </w:rPr>
  </w:style>
  <w:style w:type="paragraph" w:styleId="NormalWeb">
    <w:name w:val="Normal (Web)"/>
    <w:basedOn w:val="Normal"/>
    <w:uiPriority w:val="99"/>
    <w:semiHidden/>
    <w:unhideWhenUsed/>
    <w:rsid w:val="00936100"/>
    <w:pPr>
      <w:spacing w:before="100" w:beforeAutospacing="1" w:after="100" w:afterAutospacing="1" w:line="240" w:lineRule="auto"/>
    </w:pPr>
    <w:rPr>
      <w:szCs w:val="24"/>
    </w:rPr>
  </w:style>
  <w:style w:type="paragraph" w:styleId="NoSpacing">
    <w:name w:val="No Spacing"/>
    <w:link w:val="NoSpacingChar"/>
    <w:uiPriority w:val="1"/>
    <w:qFormat/>
    <w:rsid w:val="00E1387F"/>
    <w:pPr>
      <w:spacing w:after="0" w:line="240" w:lineRule="auto"/>
    </w:pPr>
    <w:rPr>
      <w:rFonts w:ascii="Arial" w:eastAsia="Times New Roman" w:hAnsi="Arial" w:cs="Times New Roman"/>
      <w:sz w:val="20"/>
      <w:szCs w:val="20"/>
      <w:lang w:eastAsia="en-GB"/>
    </w:rPr>
  </w:style>
  <w:style w:type="character" w:customStyle="1" w:styleId="NoSpacingChar">
    <w:name w:val="No Spacing Char"/>
    <w:basedOn w:val="DefaultParagraphFont"/>
    <w:link w:val="NoSpacing"/>
    <w:uiPriority w:val="1"/>
    <w:rsid w:val="00FC57CB"/>
    <w:rPr>
      <w:rFonts w:ascii="Arial" w:eastAsia="Times New Roman" w:hAnsi="Arial" w:cs="Times New Roman"/>
      <w:sz w:val="20"/>
      <w:szCs w:val="20"/>
      <w:lang w:eastAsia="en-GB"/>
    </w:rPr>
  </w:style>
  <w:style w:type="paragraph" w:styleId="Header">
    <w:name w:val="header"/>
    <w:basedOn w:val="Normal"/>
    <w:link w:val="HeaderChar"/>
    <w:uiPriority w:val="99"/>
    <w:unhideWhenUsed/>
    <w:rsid w:val="00CC0C41"/>
    <w:pPr>
      <w:tabs>
        <w:tab w:val="center" w:pos="4513"/>
        <w:tab w:val="right" w:pos="9026"/>
      </w:tabs>
      <w:spacing w:line="240" w:lineRule="auto"/>
    </w:pPr>
  </w:style>
  <w:style w:type="character" w:customStyle="1" w:styleId="HeaderChar">
    <w:name w:val="Header Char"/>
    <w:basedOn w:val="DefaultParagraphFont"/>
    <w:link w:val="Header"/>
    <w:uiPriority w:val="99"/>
    <w:rsid w:val="00CC0C41"/>
    <w:rPr>
      <w:rFonts w:ascii="Arial" w:eastAsia="Times New Roman" w:hAnsi="Arial" w:cs="Times New Roman"/>
      <w:sz w:val="20"/>
      <w:szCs w:val="20"/>
      <w:lang w:eastAsia="en-GB"/>
    </w:rPr>
  </w:style>
  <w:style w:type="character" w:customStyle="1" w:styleId="Heading2Char">
    <w:name w:val="Heading 2 Char"/>
    <w:basedOn w:val="DefaultParagraphFont"/>
    <w:link w:val="Heading2"/>
    <w:uiPriority w:val="9"/>
    <w:rsid w:val="0028260F"/>
    <w:rPr>
      <w:rFonts w:ascii="Arial" w:eastAsiaTheme="majorEastAsia" w:hAnsi="Arial" w:cstheme="majorBidi"/>
      <w:b/>
      <w:sz w:val="28"/>
      <w:szCs w:val="26"/>
      <w:lang w:eastAsia="en-GB"/>
    </w:rPr>
  </w:style>
  <w:style w:type="paragraph" w:styleId="TOC2">
    <w:name w:val="toc 2"/>
    <w:basedOn w:val="Normal"/>
    <w:next w:val="Normal"/>
    <w:autoRedefine/>
    <w:uiPriority w:val="39"/>
    <w:unhideWhenUsed/>
    <w:rsid w:val="0028260F"/>
    <w:pPr>
      <w:spacing w:after="100"/>
      <w:ind w:left="240"/>
    </w:pPr>
  </w:style>
  <w:style w:type="character" w:customStyle="1" w:styleId="Heading3Char">
    <w:name w:val="Heading 3 Char"/>
    <w:basedOn w:val="DefaultParagraphFont"/>
    <w:link w:val="Heading3"/>
    <w:uiPriority w:val="9"/>
    <w:rsid w:val="00E642A9"/>
    <w:rPr>
      <w:rFonts w:ascii="Arial" w:eastAsiaTheme="majorEastAsia" w:hAnsi="Arial" w:cstheme="majorBidi"/>
      <w:b/>
      <w:sz w:val="28"/>
      <w:szCs w:val="24"/>
      <w:lang w:eastAsia="en-GB"/>
    </w:rPr>
  </w:style>
  <w:style w:type="paragraph" w:styleId="TOC3">
    <w:name w:val="toc 3"/>
    <w:basedOn w:val="Normal"/>
    <w:next w:val="Normal"/>
    <w:autoRedefine/>
    <w:uiPriority w:val="39"/>
    <w:unhideWhenUsed/>
    <w:rsid w:val="00E94AD6"/>
    <w:pPr>
      <w:spacing w:after="100"/>
      <w:ind w:left="480"/>
    </w:pPr>
  </w:style>
  <w:style w:type="character" w:styleId="PlaceholderText">
    <w:name w:val="Placeholder Text"/>
    <w:basedOn w:val="DefaultParagraphFont"/>
    <w:uiPriority w:val="99"/>
    <w:semiHidden/>
    <w:rsid w:val="004963A1"/>
    <w:rPr>
      <w:color w:val="808080"/>
    </w:rPr>
  </w:style>
  <w:style w:type="character" w:customStyle="1" w:styleId="mvector">
    <w:name w:val="mvector"/>
    <w:basedOn w:val="DefaultParagraphFont"/>
    <w:rsid w:val="00904F2D"/>
  </w:style>
  <w:style w:type="character" w:customStyle="1" w:styleId="mformula">
    <w:name w:val="mformula"/>
    <w:basedOn w:val="DefaultParagraphFont"/>
    <w:rsid w:val="00904F2D"/>
  </w:style>
  <w:style w:type="table" w:styleId="TableGrid">
    <w:name w:val="Table Grid"/>
    <w:basedOn w:val="TableNormal"/>
    <w:uiPriority w:val="39"/>
    <w:rsid w:val="00D60F31"/>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andard">
    <w:name w:val="Standard"/>
    <w:rsid w:val="002576C9"/>
    <w:pPr>
      <w:suppressAutoHyphens/>
      <w:autoSpaceDN w:val="0"/>
      <w:spacing w:after="0" w:line="240" w:lineRule="auto"/>
    </w:pPr>
    <w:rPr>
      <w:rFonts w:ascii="Times New Roman" w:eastAsia="Times New Roman" w:hAnsi="Times New Roman" w:cs="Times New Roman"/>
      <w:kern w:val="3"/>
      <w:sz w:val="20"/>
      <w:szCs w:val="20"/>
      <w:lang w:eastAsia="en-GB"/>
    </w:rPr>
  </w:style>
  <w:style w:type="paragraph" w:styleId="BalloonText">
    <w:name w:val="Balloon Text"/>
    <w:basedOn w:val="Normal"/>
    <w:link w:val="BalloonTextChar"/>
    <w:uiPriority w:val="99"/>
    <w:semiHidden/>
    <w:unhideWhenUsed/>
    <w:rsid w:val="00293709"/>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93709"/>
    <w:rPr>
      <w:rFonts w:ascii="Segoe UI" w:eastAsia="Times New Roman" w:hAnsi="Segoe UI" w:cs="Segoe UI"/>
      <w:sz w:val="18"/>
      <w:szCs w:val="18"/>
      <w:lang w:eastAsia="en-GB"/>
    </w:rPr>
  </w:style>
  <w:style w:type="character" w:customStyle="1" w:styleId="Heading5Char">
    <w:name w:val="Heading 5 Char"/>
    <w:basedOn w:val="DefaultParagraphFont"/>
    <w:link w:val="Heading5"/>
    <w:uiPriority w:val="9"/>
    <w:rsid w:val="009266FF"/>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rsid w:val="009266FF"/>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rsid w:val="009266FF"/>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9266FF"/>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9266FF"/>
    <w:rPr>
      <w:rFonts w:asciiTheme="majorHAnsi" w:eastAsiaTheme="majorEastAsia" w:hAnsiTheme="majorHAnsi" w:cstheme="majorBidi"/>
      <w:i/>
      <w:iCs/>
      <w:color w:val="1F3864" w:themeColor="accent1" w:themeShade="80"/>
    </w:rPr>
  </w:style>
  <w:style w:type="paragraph" w:styleId="FootnoteText">
    <w:name w:val="footnote text"/>
    <w:basedOn w:val="Normal"/>
    <w:link w:val="FootnoteTextChar"/>
    <w:uiPriority w:val="99"/>
    <w:semiHidden/>
    <w:unhideWhenUsed/>
    <w:rsid w:val="009266FF"/>
    <w:pPr>
      <w:spacing w:line="240" w:lineRule="auto"/>
    </w:pPr>
    <w:rPr>
      <w:rFonts w:asciiTheme="minorHAnsi" w:eastAsiaTheme="minorEastAsia" w:hAnsiTheme="minorHAnsi" w:cstheme="minorBidi"/>
      <w:sz w:val="20"/>
      <w:lang w:eastAsia="en-US"/>
    </w:rPr>
  </w:style>
  <w:style w:type="character" w:customStyle="1" w:styleId="FootnoteTextChar">
    <w:name w:val="Footnote Text Char"/>
    <w:basedOn w:val="DefaultParagraphFont"/>
    <w:link w:val="FootnoteText"/>
    <w:uiPriority w:val="99"/>
    <w:semiHidden/>
    <w:rsid w:val="009266FF"/>
    <w:rPr>
      <w:rFonts w:eastAsiaTheme="minorEastAsia"/>
      <w:sz w:val="20"/>
      <w:szCs w:val="20"/>
    </w:rPr>
  </w:style>
  <w:style w:type="character" w:styleId="FootnoteReference">
    <w:name w:val="footnote reference"/>
    <w:basedOn w:val="DefaultParagraphFont"/>
    <w:uiPriority w:val="99"/>
    <w:semiHidden/>
    <w:unhideWhenUsed/>
    <w:rsid w:val="009266FF"/>
    <w:rPr>
      <w:vertAlign w:val="superscript"/>
    </w:rPr>
  </w:style>
  <w:style w:type="character" w:styleId="FollowedHyperlink">
    <w:name w:val="FollowedHyperlink"/>
    <w:basedOn w:val="DefaultParagraphFont"/>
    <w:uiPriority w:val="99"/>
    <w:semiHidden/>
    <w:unhideWhenUsed/>
    <w:rsid w:val="009266FF"/>
    <w:rPr>
      <w:color w:val="954F72" w:themeColor="followedHyperlink"/>
      <w:u w:val="single"/>
    </w:rPr>
  </w:style>
  <w:style w:type="paragraph" w:styleId="Title">
    <w:name w:val="Title"/>
    <w:basedOn w:val="Normal"/>
    <w:next w:val="Normal"/>
    <w:link w:val="TitleChar"/>
    <w:uiPriority w:val="10"/>
    <w:qFormat/>
    <w:rsid w:val="009266FF"/>
    <w:pPr>
      <w:spacing w:line="204" w:lineRule="auto"/>
      <w:contextualSpacing/>
    </w:pPr>
    <w:rPr>
      <w:rFonts w:asciiTheme="majorHAnsi" w:eastAsiaTheme="majorEastAsia" w:hAnsiTheme="majorHAnsi" w:cstheme="majorBidi"/>
      <w:caps/>
      <w:color w:val="44546A" w:themeColor="text2"/>
      <w:spacing w:val="-15"/>
      <w:sz w:val="72"/>
      <w:szCs w:val="72"/>
      <w:lang w:eastAsia="en-US"/>
    </w:rPr>
  </w:style>
  <w:style w:type="character" w:customStyle="1" w:styleId="TitleChar">
    <w:name w:val="Title Char"/>
    <w:basedOn w:val="DefaultParagraphFont"/>
    <w:link w:val="Title"/>
    <w:uiPriority w:val="10"/>
    <w:rsid w:val="009266FF"/>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9266FF"/>
    <w:pPr>
      <w:numPr>
        <w:ilvl w:val="1"/>
      </w:numPr>
      <w:spacing w:after="240" w:line="240" w:lineRule="auto"/>
    </w:pPr>
    <w:rPr>
      <w:rFonts w:asciiTheme="majorHAnsi" w:eastAsiaTheme="majorEastAsia" w:hAnsiTheme="majorHAnsi" w:cstheme="majorBidi"/>
      <w:color w:val="4472C4" w:themeColor="accent1"/>
      <w:sz w:val="28"/>
      <w:szCs w:val="28"/>
      <w:lang w:eastAsia="en-US"/>
    </w:rPr>
  </w:style>
  <w:style w:type="character" w:customStyle="1" w:styleId="SubtitleChar">
    <w:name w:val="Subtitle Char"/>
    <w:basedOn w:val="DefaultParagraphFont"/>
    <w:link w:val="Subtitle"/>
    <w:uiPriority w:val="11"/>
    <w:rsid w:val="009266FF"/>
    <w:rPr>
      <w:rFonts w:asciiTheme="majorHAnsi" w:eastAsiaTheme="majorEastAsia" w:hAnsiTheme="majorHAnsi" w:cstheme="majorBidi"/>
      <w:color w:val="4472C4" w:themeColor="accent1"/>
      <w:sz w:val="28"/>
      <w:szCs w:val="28"/>
    </w:rPr>
  </w:style>
  <w:style w:type="character" w:styleId="Emphasis">
    <w:name w:val="Emphasis"/>
    <w:basedOn w:val="DefaultParagraphFont"/>
    <w:uiPriority w:val="20"/>
    <w:qFormat/>
    <w:rsid w:val="009266FF"/>
    <w:rPr>
      <w:i/>
      <w:iCs/>
    </w:rPr>
  </w:style>
  <w:style w:type="paragraph" w:styleId="IntenseQuote">
    <w:name w:val="Intense Quote"/>
    <w:basedOn w:val="Normal"/>
    <w:next w:val="Normal"/>
    <w:link w:val="IntenseQuoteChar"/>
    <w:uiPriority w:val="30"/>
    <w:qFormat/>
    <w:rsid w:val="009266FF"/>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lang w:eastAsia="en-US"/>
    </w:rPr>
  </w:style>
  <w:style w:type="character" w:customStyle="1" w:styleId="IntenseQuoteChar">
    <w:name w:val="Intense Quote Char"/>
    <w:basedOn w:val="DefaultParagraphFont"/>
    <w:link w:val="IntenseQuote"/>
    <w:uiPriority w:val="30"/>
    <w:rsid w:val="009266FF"/>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9266FF"/>
    <w:rPr>
      <w:i/>
      <w:iCs/>
      <w:color w:val="595959" w:themeColor="text1" w:themeTint="A6"/>
    </w:rPr>
  </w:style>
  <w:style w:type="character" w:styleId="IntenseEmphasis">
    <w:name w:val="Intense Emphasis"/>
    <w:basedOn w:val="DefaultParagraphFont"/>
    <w:uiPriority w:val="21"/>
    <w:qFormat/>
    <w:rsid w:val="009266FF"/>
    <w:rPr>
      <w:b/>
      <w:bCs/>
      <w:i/>
      <w:iCs/>
    </w:rPr>
  </w:style>
  <w:style w:type="character" w:styleId="SubtleReference">
    <w:name w:val="Subtle Reference"/>
    <w:basedOn w:val="DefaultParagraphFont"/>
    <w:uiPriority w:val="31"/>
    <w:qFormat/>
    <w:rsid w:val="009266FF"/>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9266FF"/>
    <w:rPr>
      <w:b/>
      <w:bCs/>
      <w:smallCaps/>
      <w:color w:val="44546A" w:themeColor="text2"/>
      <w:u w:val="single"/>
    </w:rPr>
  </w:style>
  <w:style w:type="character" w:styleId="BookTitle">
    <w:name w:val="Book Title"/>
    <w:basedOn w:val="DefaultParagraphFont"/>
    <w:uiPriority w:val="33"/>
    <w:qFormat/>
    <w:rsid w:val="009266FF"/>
    <w:rPr>
      <w:b/>
      <w:bCs/>
      <w:smallCaps/>
      <w:spacing w:val="10"/>
    </w:rPr>
  </w:style>
  <w:style w:type="paragraph" w:styleId="TableofFigures">
    <w:name w:val="table of figures"/>
    <w:basedOn w:val="Normal"/>
    <w:next w:val="Normal"/>
    <w:uiPriority w:val="99"/>
    <w:unhideWhenUsed/>
    <w:rsid w:val="0018284C"/>
    <w:pPr>
      <w:spacing w:before="120" w:after="120" w:line="259" w:lineRule="auto"/>
    </w:pPr>
    <w:rPr>
      <w:rFonts w:eastAsiaTheme="minorEastAsia" w:cstheme="minorBidi"/>
      <w:szCs w:val="22"/>
      <w:lang w:eastAsia="en-U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596E8E"/>
    <w:rPr>
      <w:rFonts w:ascii="Arial" w:eastAsia="Times New Roman" w:hAnsi="Arial" w:cs="Times New Roman"/>
      <w:sz w:val="24"/>
      <w:szCs w:val="20"/>
      <w:lang w:eastAsia="en-GB"/>
    </w:rPr>
  </w:style>
  <w:style w:type="character" w:styleId="CommentReference">
    <w:name w:val="annotation reference"/>
    <w:basedOn w:val="DefaultParagraphFont"/>
    <w:uiPriority w:val="99"/>
    <w:semiHidden/>
    <w:unhideWhenUsed/>
    <w:rsid w:val="008E25AE"/>
    <w:rPr>
      <w:sz w:val="16"/>
      <w:szCs w:val="16"/>
    </w:rPr>
  </w:style>
  <w:style w:type="paragraph" w:styleId="CommentText">
    <w:name w:val="annotation text"/>
    <w:basedOn w:val="Normal"/>
    <w:link w:val="CommentTextChar"/>
    <w:uiPriority w:val="99"/>
    <w:unhideWhenUsed/>
    <w:rsid w:val="008E25AE"/>
    <w:pPr>
      <w:spacing w:line="240" w:lineRule="auto"/>
    </w:pPr>
    <w:rPr>
      <w:sz w:val="20"/>
    </w:rPr>
  </w:style>
  <w:style w:type="character" w:customStyle="1" w:styleId="CommentTextChar">
    <w:name w:val="Comment Text Char"/>
    <w:basedOn w:val="DefaultParagraphFont"/>
    <w:link w:val="CommentText"/>
    <w:uiPriority w:val="99"/>
    <w:rsid w:val="008E25AE"/>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8E25AE"/>
    <w:rPr>
      <w:b/>
      <w:bCs/>
    </w:rPr>
  </w:style>
  <w:style w:type="character" w:customStyle="1" w:styleId="CommentSubjectChar">
    <w:name w:val="Comment Subject Char"/>
    <w:basedOn w:val="CommentTextChar"/>
    <w:link w:val="CommentSubject"/>
    <w:uiPriority w:val="99"/>
    <w:semiHidden/>
    <w:rsid w:val="008E25AE"/>
    <w:rPr>
      <w:rFonts w:ascii="Arial" w:eastAsia="Times New Roman" w:hAnsi="Arial" w:cs="Times New Roman"/>
      <w:b/>
      <w:bCs/>
      <w:sz w:val="20"/>
      <w:szCs w:val="20"/>
      <w:lang w:eastAsia="en-GB"/>
    </w:rPr>
  </w:style>
  <w:style w:type="paragraph" w:styleId="BodyText3">
    <w:name w:val="Body Text 3"/>
    <w:basedOn w:val="Normal"/>
    <w:link w:val="BodyText3Char"/>
    <w:rsid w:val="001B15C3"/>
    <w:pPr>
      <w:spacing w:line="240" w:lineRule="auto"/>
      <w:jc w:val="both"/>
    </w:pPr>
    <w:rPr>
      <w:rFonts w:ascii="Times New Roman" w:hAnsi="Times New Roman"/>
      <w:szCs w:val="17"/>
      <w:lang w:eastAsia="en-US"/>
    </w:rPr>
  </w:style>
  <w:style w:type="character" w:customStyle="1" w:styleId="BodyText3Char">
    <w:name w:val="Body Text 3 Char"/>
    <w:basedOn w:val="DefaultParagraphFont"/>
    <w:link w:val="BodyText3"/>
    <w:rsid w:val="001B15C3"/>
    <w:rPr>
      <w:rFonts w:ascii="Times New Roman" w:eastAsia="Times New Roman" w:hAnsi="Times New Roman" w:cs="Times New Roman"/>
      <w:sz w:val="24"/>
      <w:szCs w:val="17"/>
    </w:rPr>
  </w:style>
  <w:style w:type="numbering" w:customStyle="1" w:styleId="Headings">
    <w:name w:val="Headings"/>
    <w:uiPriority w:val="99"/>
    <w:rsid w:val="00C97066"/>
    <w:pPr>
      <w:numPr>
        <w:numId w:val="1"/>
      </w:numPr>
    </w:pPr>
  </w:style>
  <w:style w:type="paragraph" w:styleId="BodyText">
    <w:name w:val="Body Text"/>
    <w:basedOn w:val="Normal"/>
    <w:link w:val="BodyTextChar"/>
    <w:uiPriority w:val="99"/>
    <w:semiHidden/>
    <w:unhideWhenUsed/>
    <w:rsid w:val="00D609A4"/>
    <w:pPr>
      <w:spacing w:after="120"/>
    </w:pPr>
  </w:style>
  <w:style w:type="character" w:customStyle="1" w:styleId="BodyTextChar">
    <w:name w:val="Body Text Char"/>
    <w:basedOn w:val="DefaultParagraphFont"/>
    <w:link w:val="BodyText"/>
    <w:uiPriority w:val="99"/>
    <w:semiHidden/>
    <w:rsid w:val="00D609A4"/>
    <w:rPr>
      <w:rFonts w:ascii="Arial" w:eastAsia="Times New Roman" w:hAnsi="Arial" w:cs="Times New Roman"/>
      <w:sz w:val="24"/>
      <w:szCs w:val="20"/>
      <w:lang w:eastAsia="en-GB"/>
    </w:rPr>
  </w:style>
  <w:style w:type="paragraph" w:styleId="TOC4">
    <w:name w:val="toc 4"/>
    <w:basedOn w:val="Normal"/>
    <w:next w:val="Normal"/>
    <w:autoRedefine/>
    <w:uiPriority w:val="39"/>
    <w:unhideWhenUsed/>
    <w:rsid w:val="00F37471"/>
    <w:pPr>
      <w:spacing w:after="100" w:line="259" w:lineRule="auto"/>
      <w:ind w:left="660"/>
    </w:pPr>
    <w:rPr>
      <w:rFonts w:asciiTheme="minorHAnsi" w:eastAsiaTheme="minorEastAsia" w:hAnsiTheme="minorHAnsi" w:cstheme="minorBidi"/>
      <w:sz w:val="22"/>
      <w:szCs w:val="22"/>
    </w:rPr>
  </w:style>
  <w:style w:type="paragraph" w:styleId="TOC5">
    <w:name w:val="toc 5"/>
    <w:basedOn w:val="Normal"/>
    <w:next w:val="Normal"/>
    <w:autoRedefine/>
    <w:uiPriority w:val="39"/>
    <w:unhideWhenUsed/>
    <w:rsid w:val="00F37471"/>
    <w:pPr>
      <w:spacing w:after="100" w:line="259" w:lineRule="auto"/>
      <w:ind w:left="880"/>
    </w:pPr>
    <w:rPr>
      <w:rFonts w:asciiTheme="minorHAnsi" w:eastAsiaTheme="minorEastAsia" w:hAnsiTheme="minorHAnsi" w:cstheme="minorBidi"/>
      <w:sz w:val="22"/>
      <w:szCs w:val="22"/>
    </w:rPr>
  </w:style>
  <w:style w:type="paragraph" w:styleId="TOC6">
    <w:name w:val="toc 6"/>
    <w:basedOn w:val="Normal"/>
    <w:next w:val="Normal"/>
    <w:autoRedefine/>
    <w:uiPriority w:val="39"/>
    <w:unhideWhenUsed/>
    <w:rsid w:val="00F37471"/>
    <w:pPr>
      <w:spacing w:after="100" w:line="259" w:lineRule="auto"/>
      <w:ind w:left="1100"/>
    </w:pPr>
    <w:rPr>
      <w:rFonts w:asciiTheme="minorHAnsi" w:eastAsiaTheme="minorEastAsia" w:hAnsiTheme="minorHAnsi" w:cstheme="minorBidi"/>
      <w:sz w:val="22"/>
      <w:szCs w:val="22"/>
    </w:rPr>
  </w:style>
  <w:style w:type="paragraph" w:styleId="TOC7">
    <w:name w:val="toc 7"/>
    <w:basedOn w:val="Normal"/>
    <w:next w:val="Normal"/>
    <w:autoRedefine/>
    <w:uiPriority w:val="39"/>
    <w:unhideWhenUsed/>
    <w:rsid w:val="00F37471"/>
    <w:pPr>
      <w:spacing w:after="100" w:line="259" w:lineRule="auto"/>
      <w:ind w:left="1320"/>
    </w:pPr>
    <w:rPr>
      <w:rFonts w:asciiTheme="minorHAnsi" w:eastAsiaTheme="minorEastAsia" w:hAnsiTheme="minorHAnsi" w:cstheme="minorBidi"/>
      <w:sz w:val="22"/>
      <w:szCs w:val="22"/>
    </w:rPr>
  </w:style>
  <w:style w:type="paragraph" w:styleId="TOC8">
    <w:name w:val="toc 8"/>
    <w:basedOn w:val="Normal"/>
    <w:next w:val="Normal"/>
    <w:autoRedefine/>
    <w:uiPriority w:val="39"/>
    <w:unhideWhenUsed/>
    <w:rsid w:val="00F37471"/>
    <w:pPr>
      <w:spacing w:after="100" w:line="259" w:lineRule="auto"/>
      <w:ind w:left="1540"/>
    </w:pPr>
    <w:rPr>
      <w:rFonts w:asciiTheme="minorHAnsi" w:eastAsiaTheme="minorEastAsia" w:hAnsiTheme="minorHAnsi" w:cstheme="minorBidi"/>
      <w:sz w:val="22"/>
      <w:szCs w:val="22"/>
    </w:rPr>
  </w:style>
  <w:style w:type="paragraph" w:styleId="TOC9">
    <w:name w:val="toc 9"/>
    <w:basedOn w:val="Normal"/>
    <w:next w:val="Normal"/>
    <w:autoRedefine/>
    <w:uiPriority w:val="39"/>
    <w:unhideWhenUsed/>
    <w:rsid w:val="00F37471"/>
    <w:pPr>
      <w:spacing w:after="100" w:line="259" w:lineRule="auto"/>
      <w:ind w:left="1760"/>
    </w:pPr>
    <w:rPr>
      <w:rFonts w:asciiTheme="minorHAnsi" w:eastAsiaTheme="minorEastAsia" w:hAnsiTheme="minorHAnsi" w:cstheme="minorBidi"/>
      <w:sz w:val="22"/>
      <w:szCs w:val="22"/>
    </w:rPr>
  </w:style>
  <w:style w:type="character" w:styleId="UnresolvedMention">
    <w:name w:val="Unresolved Mention"/>
    <w:basedOn w:val="DefaultParagraphFont"/>
    <w:uiPriority w:val="99"/>
    <w:semiHidden/>
    <w:unhideWhenUsed/>
    <w:rsid w:val="00F37471"/>
    <w:rPr>
      <w:color w:val="605E5C"/>
      <w:shd w:val="clear" w:color="auto" w:fill="E1DFDD"/>
    </w:rPr>
  </w:style>
  <w:style w:type="paragraph" w:styleId="Index1">
    <w:name w:val="index 1"/>
    <w:basedOn w:val="Normal"/>
    <w:next w:val="Normal"/>
    <w:autoRedefine/>
    <w:uiPriority w:val="99"/>
    <w:semiHidden/>
    <w:unhideWhenUsed/>
    <w:rsid w:val="00C357E5"/>
    <w:pPr>
      <w:spacing w:line="240" w:lineRule="auto"/>
      <w:ind w:left="240" w:hanging="240"/>
    </w:pPr>
  </w:style>
  <w:style w:type="paragraph" w:styleId="Index2">
    <w:name w:val="index 2"/>
    <w:basedOn w:val="Normal"/>
    <w:next w:val="Normal"/>
    <w:autoRedefine/>
    <w:uiPriority w:val="99"/>
    <w:semiHidden/>
    <w:unhideWhenUsed/>
    <w:rsid w:val="00C357E5"/>
    <w:pPr>
      <w:spacing w:line="240" w:lineRule="auto"/>
      <w:ind w:left="480" w:hanging="240"/>
    </w:pPr>
  </w:style>
  <w:style w:type="character" w:customStyle="1" w:styleId="hgkelc">
    <w:name w:val="hgkelc"/>
    <w:basedOn w:val="DefaultParagraphFont"/>
    <w:rsid w:val="00E164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7241988">
      <w:bodyDiv w:val="1"/>
      <w:marLeft w:val="0"/>
      <w:marRight w:val="0"/>
      <w:marTop w:val="0"/>
      <w:marBottom w:val="0"/>
      <w:divBdr>
        <w:top w:val="none" w:sz="0" w:space="0" w:color="auto"/>
        <w:left w:val="none" w:sz="0" w:space="0" w:color="auto"/>
        <w:bottom w:val="none" w:sz="0" w:space="0" w:color="auto"/>
        <w:right w:val="none" w:sz="0" w:space="0" w:color="auto"/>
      </w:divBdr>
    </w:div>
    <w:div w:id="190338508">
      <w:bodyDiv w:val="1"/>
      <w:marLeft w:val="0"/>
      <w:marRight w:val="0"/>
      <w:marTop w:val="0"/>
      <w:marBottom w:val="0"/>
      <w:divBdr>
        <w:top w:val="none" w:sz="0" w:space="0" w:color="auto"/>
        <w:left w:val="none" w:sz="0" w:space="0" w:color="auto"/>
        <w:bottom w:val="none" w:sz="0" w:space="0" w:color="auto"/>
        <w:right w:val="none" w:sz="0" w:space="0" w:color="auto"/>
      </w:divBdr>
    </w:div>
    <w:div w:id="207109824">
      <w:bodyDiv w:val="1"/>
      <w:marLeft w:val="0"/>
      <w:marRight w:val="0"/>
      <w:marTop w:val="0"/>
      <w:marBottom w:val="0"/>
      <w:divBdr>
        <w:top w:val="none" w:sz="0" w:space="0" w:color="auto"/>
        <w:left w:val="none" w:sz="0" w:space="0" w:color="auto"/>
        <w:bottom w:val="none" w:sz="0" w:space="0" w:color="auto"/>
        <w:right w:val="none" w:sz="0" w:space="0" w:color="auto"/>
      </w:divBdr>
      <w:divsChild>
        <w:div w:id="1899898673">
          <w:marLeft w:val="0"/>
          <w:marRight w:val="0"/>
          <w:marTop w:val="0"/>
          <w:marBottom w:val="0"/>
          <w:divBdr>
            <w:top w:val="none" w:sz="0" w:space="0" w:color="auto"/>
            <w:left w:val="none" w:sz="0" w:space="0" w:color="auto"/>
            <w:bottom w:val="none" w:sz="0" w:space="0" w:color="auto"/>
            <w:right w:val="none" w:sz="0" w:space="0" w:color="auto"/>
          </w:divBdr>
        </w:div>
      </w:divsChild>
    </w:div>
    <w:div w:id="228813428">
      <w:bodyDiv w:val="1"/>
      <w:marLeft w:val="0"/>
      <w:marRight w:val="0"/>
      <w:marTop w:val="0"/>
      <w:marBottom w:val="0"/>
      <w:divBdr>
        <w:top w:val="none" w:sz="0" w:space="0" w:color="auto"/>
        <w:left w:val="none" w:sz="0" w:space="0" w:color="auto"/>
        <w:bottom w:val="none" w:sz="0" w:space="0" w:color="auto"/>
        <w:right w:val="none" w:sz="0" w:space="0" w:color="auto"/>
      </w:divBdr>
    </w:div>
    <w:div w:id="234357719">
      <w:bodyDiv w:val="1"/>
      <w:marLeft w:val="0"/>
      <w:marRight w:val="0"/>
      <w:marTop w:val="0"/>
      <w:marBottom w:val="0"/>
      <w:divBdr>
        <w:top w:val="none" w:sz="0" w:space="0" w:color="auto"/>
        <w:left w:val="none" w:sz="0" w:space="0" w:color="auto"/>
        <w:bottom w:val="none" w:sz="0" w:space="0" w:color="auto"/>
        <w:right w:val="none" w:sz="0" w:space="0" w:color="auto"/>
      </w:divBdr>
    </w:div>
    <w:div w:id="241988172">
      <w:bodyDiv w:val="1"/>
      <w:marLeft w:val="0"/>
      <w:marRight w:val="0"/>
      <w:marTop w:val="0"/>
      <w:marBottom w:val="0"/>
      <w:divBdr>
        <w:top w:val="none" w:sz="0" w:space="0" w:color="auto"/>
        <w:left w:val="none" w:sz="0" w:space="0" w:color="auto"/>
        <w:bottom w:val="none" w:sz="0" w:space="0" w:color="auto"/>
        <w:right w:val="none" w:sz="0" w:space="0" w:color="auto"/>
      </w:divBdr>
    </w:div>
    <w:div w:id="268319917">
      <w:bodyDiv w:val="1"/>
      <w:marLeft w:val="0"/>
      <w:marRight w:val="0"/>
      <w:marTop w:val="0"/>
      <w:marBottom w:val="0"/>
      <w:divBdr>
        <w:top w:val="none" w:sz="0" w:space="0" w:color="auto"/>
        <w:left w:val="none" w:sz="0" w:space="0" w:color="auto"/>
        <w:bottom w:val="none" w:sz="0" w:space="0" w:color="auto"/>
        <w:right w:val="none" w:sz="0" w:space="0" w:color="auto"/>
      </w:divBdr>
    </w:div>
    <w:div w:id="315184968">
      <w:bodyDiv w:val="1"/>
      <w:marLeft w:val="0"/>
      <w:marRight w:val="0"/>
      <w:marTop w:val="0"/>
      <w:marBottom w:val="0"/>
      <w:divBdr>
        <w:top w:val="none" w:sz="0" w:space="0" w:color="auto"/>
        <w:left w:val="none" w:sz="0" w:space="0" w:color="auto"/>
        <w:bottom w:val="none" w:sz="0" w:space="0" w:color="auto"/>
        <w:right w:val="none" w:sz="0" w:space="0" w:color="auto"/>
      </w:divBdr>
    </w:div>
    <w:div w:id="324358789">
      <w:bodyDiv w:val="1"/>
      <w:marLeft w:val="0"/>
      <w:marRight w:val="0"/>
      <w:marTop w:val="0"/>
      <w:marBottom w:val="0"/>
      <w:divBdr>
        <w:top w:val="none" w:sz="0" w:space="0" w:color="auto"/>
        <w:left w:val="none" w:sz="0" w:space="0" w:color="auto"/>
        <w:bottom w:val="none" w:sz="0" w:space="0" w:color="auto"/>
        <w:right w:val="none" w:sz="0" w:space="0" w:color="auto"/>
      </w:divBdr>
    </w:div>
    <w:div w:id="371881367">
      <w:bodyDiv w:val="1"/>
      <w:marLeft w:val="0"/>
      <w:marRight w:val="0"/>
      <w:marTop w:val="0"/>
      <w:marBottom w:val="0"/>
      <w:divBdr>
        <w:top w:val="none" w:sz="0" w:space="0" w:color="auto"/>
        <w:left w:val="none" w:sz="0" w:space="0" w:color="auto"/>
        <w:bottom w:val="none" w:sz="0" w:space="0" w:color="auto"/>
        <w:right w:val="none" w:sz="0" w:space="0" w:color="auto"/>
      </w:divBdr>
    </w:div>
    <w:div w:id="499464672">
      <w:bodyDiv w:val="1"/>
      <w:marLeft w:val="0"/>
      <w:marRight w:val="0"/>
      <w:marTop w:val="0"/>
      <w:marBottom w:val="0"/>
      <w:divBdr>
        <w:top w:val="none" w:sz="0" w:space="0" w:color="auto"/>
        <w:left w:val="none" w:sz="0" w:space="0" w:color="auto"/>
        <w:bottom w:val="none" w:sz="0" w:space="0" w:color="auto"/>
        <w:right w:val="none" w:sz="0" w:space="0" w:color="auto"/>
      </w:divBdr>
    </w:div>
    <w:div w:id="510266277">
      <w:bodyDiv w:val="1"/>
      <w:marLeft w:val="0"/>
      <w:marRight w:val="0"/>
      <w:marTop w:val="0"/>
      <w:marBottom w:val="0"/>
      <w:divBdr>
        <w:top w:val="none" w:sz="0" w:space="0" w:color="auto"/>
        <w:left w:val="none" w:sz="0" w:space="0" w:color="auto"/>
        <w:bottom w:val="none" w:sz="0" w:space="0" w:color="auto"/>
        <w:right w:val="none" w:sz="0" w:space="0" w:color="auto"/>
      </w:divBdr>
    </w:div>
    <w:div w:id="514392134">
      <w:bodyDiv w:val="1"/>
      <w:marLeft w:val="0"/>
      <w:marRight w:val="0"/>
      <w:marTop w:val="0"/>
      <w:marBottom w:val="0"/>
      <w:divBdr>
        <w:top w:val="none" w:sz="0" w:space="0" w:color="auto"/>
        <w:left w:val="none" w:sz="0" w:space="0" w:color="auto"/>
        <w:bottom w:val="none" w:sz="0" w:space="0" w:color="auto"/>
        <w:right w:val="none" w:sz="0" w:space="0" w:color="auto"/>
      </w:divBdr>
    </w:div>
    <w:div w:id="541596150">
      <w:bodyDiv w:val="1"/>
      <w:marLeft w:val="0"/>
      <w:marRight w:val="0"/>
      <w:marTop w:val="0"/>
      <w:marBottom w:val="0"/>
      <w:divBdr>
        <w:top w:val="none" w:sz="0" w:space="0" w:color="auto"/>
        <w:left w:val="none" w:sz="0" w:space="0" w:color="auto"/>
        <w:bottom w:val="none" w:sz="0" w:space="0" w:color="auto"/>
        <w:right w:val="none" w:sz="0" w:space="0" w:color="auto"/>
      </w:divBdr>
    </w:div>
    <w:div w:id="598485799">
      <w:bodyDiv w:val="1"/>
      <w:marLeft w:val="0"/>
      <w:marRight w:val="0"/>
      <w:marTop w:val="0"/>
      <w:marBottom w:val="0"/>
      <w:divBdr>
        <w:top w:val="none" w:sz="0" w:space="0" w:color="auto"/>
        <w:left w:val="none" w:sz="0" w:space="0" w:color="auto"/>
        <w:bottom w:val="none" w:sz="0" w:space="0" w:color="auto"/>
        <w:right w:val="none" w:sz="0" w:space="0" w:color="auto"/>
      </w:divBdr>
    </w:div>
    <w:div w:id="606739458">
      <w:bodyDiv w:val="1"/>
      <w:marLeft w:val="0"/>
      <w:marRight w:val="0"/>
      <w:marTop w:val="0"/>
      <w:marBottom w:val="0"/>
      <w:divBdr>
        <w:top w:val="none" w:sz="0" w:space="0" w:color="auto"/>
        <w:left w:val="none" w:sz="0" w:space="0" w:color="auto"/>
        <w:bottom w:val="none" w:sz="0" w:space="0" w:color="auto"/>
        <w:right w:val="none" w:sz="0" w:space="0" w:color="auto"/>
      </w:divBdr>
    </w:div>
    <w:div w:id="618072326">
      <w:bodyDiv w:val="1"/>
      <w:marLeft w:val="0"/>
      <w:marRight w:val="0"/>
      <w:marTop w:val="0"/>
      <w:marBottom w:val="0"/>
      <w:divBdr>
        <w:top w:val="none" w:sz="0" w:space="0" w:color="auto"/>
        <w:left w:val="none" w:sz="0" w:space="0" w:color="auto"/>
        <w:bottom w:val="none" w:sz="0" w:space="0" w:color="auto"/>
        <w:right w:val="none" w:sz="0" w:space="0" w:color="auto"/>
      </w:divBdr>
    </w:div>
    <w:div w:id="707753596">
      <w:bodyDiv w:val="1"/>
      <w:marLeft w:val="0"/>
      <w:marRight w:val="0"/>
      <w:marTop w:val="0"/>
      <w:marBottom w:val="0"/>
      <w:divBdr>
        <w:top w:val="none" w:sz="0" w:space="0" w:color="auto"/>
        <w:left w:val="none" w:sz="0" w:space="0" w:color="auto"/>
        <w:bottom w:val="none" w:sz="0" w:space="0" w:color="auto"/>
        <w:right w:val="none" w:sz="0" w:space="0" w:color="auto"/>
      </w:divBdr>
    </w:div>
    <w:div w:id="830483309">
      <w:bodyDiv w:val="1"/>
      <w:marLeft w:val="0"/>
      <w:marRight w:val="0"/>
      <w:marTop w:val="0"/>
      <w:marBottom w:val="0"/>
      <w:divBdr>
        <w:top w:val="none" w:sz="0" w:space="0" w:color="auto"/>
        <w:left w:val="none" w:sz="0" w:space="0" w:color="auto"/>
        <w:bottom w:val="none" w:sz="0" w:space="0" w:color="auto"/>
        <w:right w:val="none" w:sz="0" w:space="0" w:color="auto"/>
      </w:divBdr>
    </w:div>
    <w:div w:id="900598003">
      <w:bodyDiv w:val="1"/>
      <w:marLeft w:val="0"/>
      <w:marRight w:val="0"/>
      <w:marTop w:val="0"/>
      <w:marBottom w:val="0"/>
      <w:divBdr>
        <w:top w:val="none" w:sz="0" w:space="0" w:color="auto"/>
        <w:left w:val="none" w:sz="0" w:space="0" w:color="auto"/>
        <w:bottom w:val="none" w:sz="0" w:space="0" w:color="auto"/>
        <w:right w:val="none" w:sz="0" w:space="0" w:color="auto"/>
      </w:divBdr>
    </w:div>
    <w:div w:id="919413512">
      <w:bodyDiv w:val="1"/>
      <w:marLeft w:val="0"/>
      <w:marRight w:val="0"/>
      <w:marTop w:val="0"/>
      <w:marBottom w:val="0"/>
      <w:divBdr>
        <w:top w:val="none" w:sz="0" w:space="0" w:color="auto"/>
        <w:left w:val="none" w:sz="0" w:space="0" w:color="auto"/>
        <w:bottom w:val="none" w:sz="0" w:space="0" w:color="auto"/>
        <w:right w:val="none" w:sz="0" w:space="0" w:color="auto"/>
      </w:divBdr>
    </w:div>
    <w:div w:id="1012493929">
      <w:bodyDiv w:val="1"/>
      <w:marLeft w:val="0"/>
      <w:marRight w:val="0"/>
      <w:marTop w:val="0"/>
      <w:marBottom w:val="0"/>
      <w:divBdr>
        <w:top w:val="none" w:sz="0" w:space="0" w:color="auto"/>
        <w:left w:val="none" w:sz="0" w:space="0" w:color="auto"/>
        <w:bottom w:val="none" w:sz="0" w:space="0" w:color="auto"/>
        <w:right w:val="none" w:sz="0" w:space="0" w:color="auto"/>
      </w:divBdr>
    </w:div>
    <w:div w:id="1067731462">
      <w:bodyDiv w:val="1"/>
      <w:marLeft w:val="0"/>
      <w:marRight w:val="0"/>
      <w:marTop w:val="0"/>
      <w:marBottom w:val="0"/>
      <w:divBdr>
        <w:top w:val="none" w:sz="0" w:space="0" w:color="auto"/>
        <w:left w:val="none" w:sz="0" w:space="0" w:color="auto"/>
        <w:bottom w:val="none" w:sz="0" w:space="0" w:color="auto"/>
        <w:right w:val="none" w:sz="0" w:space="0" w:color="auto"/>
      </w:divBdr>
    </w:div>
    <w:div w:id="1073310895">
      <w:bodyDiv w:val="1"/>
      <w:marLeft w:val="0"/>
      <w:marRight w:val="0"/>
      <w:marTop w:val="0"/>
      <w:marBottom w:val="0"/>
      <w:divBdr>
        <w:top w:val="none" w:sz="0" w:space="0" w:color="auto"/>
        <w:left w:val="none" w:sz="0" w:space="0" w:color="auto"/>
        <w:bottom w:val="none" w:sz="0" w:space="0" w:color="auto"/>
        <w:right w:val="none" w:sz="0" w:space="0" w:color="auto"/>
      </w:divBdr>
    </w:div>
    <w:div w:id="1085880650">
      <w:bodyDiv w:val="1"/>
      <w:marLeft w:val="0"/>
      <w:marRight w:val="0"/>
      <w:marTop w:val="0"/>
      <w:marBottom w:val="0"/>
      <w:divBdr>
        <w:top w:val="none" w:sz="0" w:space="0" w:color="auto"/>
        <w:left w:val="none" w:sz="0" w:space="0" w:color="auto"/>
        <w:bottom w:val="none" w:sz="0" w:space="0" w:color="auto"/>
        <w:right w:val="none" w:sz="0" w:space="0" w:color="auto"/>
      </w:divBdr>
      <w:divsChild>
        <w:div w:id="1310935383">
          <w:marLeft w:val="0"/>
          <w:marRight w:val="0"/>
          <w:marTop w:val="0"/>
          <w:marBottom w:val="0"/>
          <w:divBdr>
            <w:top w:val="none" w:sz="0" w:space="0" w:color="auto"/>
            <w:left w:val="none" w:sz="0" w:space="0" w:color="auto"/>
            <w:bottom w:val="none" w:sz="0" w:space="0" w:color="auto"/>
            <w:right w:val="none" w:sz="0" w:space="0" w:color="auto"/>
          </w:divBdr>
        </w:div>
        <w:div w:id="540825681">
          <w:marLeft w:val="0"/>
          <w:marRight w:val="0"/>
          <w:marTop w:val="0"/>
          <w:marBottom w:val="0"/>
          <w:divBdr>
            <w:top w:val="none" w:sz="0" w:space="0" w:color="auto"/>
            <w:left w:val="none" w:sz="0" w:space="0" w:color="auto"/>
            <w:bottom w:val="none" w:sz="0" w:space="0" w:color="auto"/>
            <w:right w:val="none" w:sz="0" w:space="0" w:color="auto"/>
          </w:divBdr>
        </w:div>
        <w:div w:id="1105540009">
          <w:marLeft w:val="0"/>
          <w:marRight w:val="0"/>
          <w:marTop w:val="0"/>
          <w:marBottom w:val="0"/>
          <w:divBdr>
            <w:top w:val="none" w:sz="0" w:space="0" w:color="auto"/>
            <w:left w:val="none" w:sz="0" w:space="0" w:color="auto"/>
            <w:bottom w:val="none" w:sz="0" w:space="0" w:color="auto"/>
            <w:right w:val="none" w:sz="0" w:space="0" w:color="auto"/>
          </w:divBdr>
        </w:div>
        <w:div w:id="1961915264">
          <w:marLeft w:val="0"/>
          <w:marRight w:val="0"/>
          <w:marTop w:val="0"/>
          <w:marBottom w:val="0"/>
          <w:divBdr>
            <w:top w:val="none" w:sz="0" w:space="0" w:color="auto"/>
            <w:left w:val="none" w:sz="0" w:space="0" w:color="auto"/>
            <w:bottom w:val="none" w:sz="0" w:space="0" w:color="auto"/>
            <w:right w:val="none" w:sz="0" w:space="0" w:color="auto"/>
          </w:divBdr>
          <w:divsChild>
            <w:div w:id="1833179197">
              <w:marLeft w:val="-75"/>
              <w:marRight w:val="0"/>
              <w:marTop w:val="30"/>
              <w:marBottom w:val="30"/>
              <w:divBdr>
                <w:top w:val="none" w:sz="0" w:space="0" w:color="auto"/>
                <w:left w:val="none" w:sz="0" w:space="0" w:color="auto"/>
                <w:bottom w:val="none" w:sz="0" w:space="0" w:color="auto"/>
                <w:right w:val="none" w:sz="0" w:space="0" w:color="auto"/>
              </w:divBdr>
              <w:divsChild>
                <w:div w:id="423383106">
                  <w:marLeft w:val="0"/>
                  <w:marRight w:val="0"/>
                  <w:marTop w:val="0"/>
                  <w:marBottom w:val="0"/>
                  <w:divBdr>
                    <w:top w:val="none" w:sz="0" w:space="0" w:color="auto"/>
                    <w:left w:val="none" w:sz="0" w:space="0" w:color="auto"/>
                    <w:bottom w:val="none" w:sz="0" w:space="0" w:color="auto"/>
                    <w:right w:val="none" w:sz="0" w:space="0" w:color="auto"/>
                  </w:divBdr>
                  <w:divsChild>
                    <w:div w:id="61104899">
                      <w:marLeft w:val="0"/>
                      <w:marRight w:val="0"/>
                      <w:marTop w:val="0"/>
                      <w:marBottom w:val="0"/>
                      <w:divBdr>
                        <w:top w:val="none" w:sz="0" w:space="0" w:color="auto"/>
                        <w:left w:val="none" w:sz="0" w:space="0" w:color="auto"/>
                        <w:bottom w:val="none" w:sz="0" w:space="0" w:color="auto"/>
                        <w:right w:val="none" w:sz="0" w:space="0" w:color="auto"/>
                      </w:divBdr>
                    </w:div>
                  </w:divsChild>
                </w:div>
                <w:div w:id="1162353845">
                  <w:marLeft w:val="0"/>
                  <w:marRight w:val="0"/>
                  <w:marTop w:val="0"/>
                  <w:marBottom w:val="0"/>
                  <w:divBdr>
                    <w:top w:val="none" w:sz="0" w:space="0" w:color="auto"/>
                    <w:left w:val="none" w:sz="0" w:space="0" w:color="auto"/>
                    <w:bottom w:val="none" w:sz="0" w:space="0" w:color="auto"/>
                    <w:right w:val="none" w:sz="0" w:space="0" w:color="auto"/>
                  </w:divBdr>
                  <w:divsChild>
                    <w:div w:id="120076711">
                      <w:marLeft w:val="0"/>
                      <w:marRight w:val="0"/>
                      <w:marTop w:val="0"/>
                      <w:marBottom w:val="0"/>
                      <w:divBdr>
                        <w:top w:val="none" w:sz="0" w:space="0" w:color="auto"/>
                        <w:left w:val="none" w:sz="0" w:space="0" w:color="auto"/>
                        <w:bottom w:val="none" w:sz="0" w:space="0" w:color="auto"/>
                        <w:right w:val="none" w:sz="0" w:space="0" w:color="auto"/>
                      </w:divBdr>
                    </w:div>
                  </w:divsChild>
                </w:div>
                <w:div w:id="1969897547">
                  <w:marLeft w:val="0"/>
                  <w:marRight w:val="0"/>
                  <w:marTop w:val="0"/>
                  <w:marBottom w:val="0"/>
                  <w:divBdr>
                    <w:top w:val="none" w:sz="0" w:space="0" w:color="auto"/>
                    <w:left w:val="none" w:sz="0" w:space="0" w:color="auto"/>
                    <w:bottom w:val="none" w:sz="0" w:space="0" w:color="auto"/>
                    <w:right w:val="none" w:sz="0" w:space="0" w:color="auto"/>
                  </w:divBdr>
                  <w:divsChild>
                    <w:div w:id="1386105717">
                      <w:marLeft w:val="0"/>
                      <w:marRight w:val="0"/>
                      <w:marTop w:val="0"/>
                      <w:marBottom w:val="0"/>
                      <w:divBdr>
                        <w:top w:val="none" w:sz="0" w:space="0" w:color="auto"/>
                        <w:left w:val="none" w:sz="0" w:space="0" w:color="auto"/>
                        <w:bottom w:val="none" w:sz="0" w:space="0" w:color="auto"/>
                        <w:right w:val="none" w:sz="0" w:space="0" w:color="auto"/>
                      </w:divBdr>
                    </w:div>
                  </w:divsChild>
                </w:div>
                <w:div w:id="16539814">
                  <w:marLeft w:val="0"/>
                  <w:marRight w:val="0"/>
                  <w:marTop w:val="0"/>
                  <w:marBottom w:val="0"/>
                  <w:divBdr>
                    <w:top w:val="none" w:sz="0" w:space="0" w:color="auto"/>
                    <w:left w:val="none" w:sz="0" w:space="0" w:color="auto"/>
                    <w:bottom w:val="none" w:sz="0" w:space="0" w:color="auto"/>
                    <w:right w:val="none" w:sz="0" w:space="0" w:color="auto"/>
                  </w:divBdr>
                  <w:divsChild>
                    <w:div w:id="278922047">
                      <w:marLeft w:val="0"/>
                      <w:marRight w:val="0"/>
                      <w:marTop w:val="0"/>
                      <w:marBottom w:val="0"/>
                      <w:divBdr>
                        <w:top w:val="none" w:sz="0" w:space="0" w:color="auto"/>
                        <w:left w:val="none" w:sz="0" w:space="0" w:color="auto"/>
                        <w:bottom w:val="none" w:sz="0" w:space="0" w:color="auto"/>
                        <w:right w:val="none" w:sz="0" w:space="0" w:color="auto"/>
                      </w:divBdr>
                    </w:div>
                  </w:divsChild>
                </w:div>
                <w:div w:id="668750880">
                  <w:marLeft w:val="0"/>
                  <w:marRight w:val="0"/>
                  <w:marTop w:val="0"/>
                  <w:marBottom w:val="0"/>
                  <w:divBdr>
                    <w:top w:val="none" w:sz="0" w:space="0" w:color="auto"/>
                    <w:left w:val="none" w:sz="0" w:space="0" w:color="auto"/>
                    <w:bottom w:val="none" w:sz="0" w:space="0" w:color="auto"/>
                    <w:right w:val="none" w:sz="0" w:space="0" w:color="auto"/>
                  </w:divBdr>
                  <w:divsChild>
                    <w:div w:id="1932817454">
                      <w:marLeft w:val="0"/>
                      <w:marRight w:val="0"/>
                      <w:marTop w:val="0"/>
                      <w:marBottom w:val="0"/>
                      <w:divBdr>
                        <w:top w:val="none" w:sz="0" w:space="0" w:color="auto"/>
                        <w:left w:val="none" w:sz="0" w:space="0" w:color="auto"/>
                        <w:bottom w:val="none" w:sz="0" w:space="0" w:color="auto"/>
                        <w:right w:val="none" w:sz="0" w:space="0" w:color="auto"/>
                      </w:divBdr>
                    </w:div>
                  </w:divsChild>
                </w:div>
                <w:div w:id="736824958">
                  <w:marLeft w:val="0"/>
                  <w:marRight w:val="0"/>
                  <w:marTop w:val="0"/>
                  <w:marBottom w:val="0"/>
                  <w:divBdr>
                    <w:top w:val="none" w:sz="0" w:space="0" w:color="auto"/>
                    <w:left w:val="none" w:sz="0" w:space="0" w:color="auto"/>
                    <w:bottom w:val="none" w:sz="0" w:space="0" w:color="auto"/>
                    <w:right w:val="none" w:sz="0" w:space="0" w:color="auto"/>
                  </w:divBdr>
                  <w:divsChild>
                    <w:div w:id="1820220363">
                      <w:marLeft w:val="0"/>
                      <w:marRight w:val="0"/>
                      <w:marTop w:val="0"/>
                      <w:marBottom w:val="0"/>
                      <w:divBdr>
                        <w:top w:val="none" w:sz="0" w:space="0" w:color="auto"/>
                        <w:left w:val="none" w:sz="0" w:space="0" w:color="auto"/>
                        <w:bottom w:val="none" w:sz="0" w:space="0" w:color="auto"/>
                        <w:right w:val="none" w:sz="0" w:space="0" w:color="auto"/>
                      </w:divBdr>
                    </w:div>
                  </w:divsChild>
                </w:div>
                <w:div w:id="1252274212">
                  <w:marLeft w:val="0"/>
                  <w:marRight w:val="0"/>
                  <w:marTop w:val="0"/>
                  <w:marBottom w:val="0"/>
                  <w:divBdr>
                    <w:top w:val="none" w:sz="0" w:space="0" w:color="auto"/>
                    <w:left w:val="none" w:sz="0" w:space="0" w:color="auto"/>
                    <w:bottom w:val="none" w:sz="0" w:space="0" w:color="auto"/>
                    <w:right w:val="none" w:sz="0" w:space="0" w:color="auto"/>
                  </w:divBdr>
                  <w:divsChild>
                    <w:div w:id="150756504">
                      <w:marLeft w:val="0"/>
                      <w:marRight w:val="0"/>
                      <w:marTop w:val="0"/>
                      <w:marBottom w:val="0"/>
                      <w:divBdr>
                        <w:top w:val="none" w:sz="0" w:space="0" w:color="auto"/>
                        <w:left w:val="none" w:sz="0" w:space="0" w:color="auto"/>
                        <w:bottom w:val="none" w:sz="0" w:space="0" w:color="auto"/>
                        <w:right w:val="none" w:sz="0" w:space="0" w:color="auto"/>
                      </w:divBdr>
                    </w:div>
                  </w:divsChild>
                </w:div>
                <w:div w:id="1837266188">
                  <w:marLeft w:val="0"/>
                  <w:marRight w:val="0"/>
                  <w:marTop w:val="0"/>
                  <w:marBottom w:val="0"/>
                  <w:divBdr>
                    <w:top w:val="none" w:sz="0" w:space="0" w:color="auto"/>
                    <w:left w:val="none" w:sz="0" w:space="0" w:color="auto"/>
                    <w:bottom w:val="none" w:sz="0" w:space="0" w:color="auto"/>
                    <w:right w:val="none" w:sz="0" w:space="0" w:color="auto"/>
                  </w:divBdr>
                  <w:divsChild>
                    <w:div w:id="1813475909">
                      <w:marLeft w:val="0"/>
                      <w:marRight w:val="0"/>
                      <w:marTop w:val="0"/>
                      <w:marBottom w:val="0"/>
                      <w:divBdr>
                        <w:top w:val="none" w:sz="0" w:space="0" w:color="auto"/>
                        <w:left w:val="none" w:sz="0" w:space="0" w:color="auto"/>
                        <w:bottom w:val="none" w:sz="0" w:space="0" w:color="auto"/>
                        <w:right w:val="none" w:sz="0" w:space="0" w:color="auto"/>
                      </w:divBdr>
                    </w:div>
                  </w:divsChild>
                </w:div>
                <w:div w:id="1415666155">
                  <w:marLeft w:val="0"/>
                  <w:marRight w:val="0"/>
                  <w:marTop w:val="0"/>
                  <w:marBottom w:val="0"/>
                  <w:divBdr>
                    <w:top w:val="none" w:sz="0" w:space="0" w:color="auto"/>
                    <w:left w:val="none" w:sz="0" w:space="0" w:color="auto"/>
                    <w:bottom w:val="none" w:sz="0" w:space="0" w:color="auto"/>
                    <w:right w:val="none" w:sz="0" w:space="0" w:color="auto"/>
                  </w:divBdr>
                  <w:divsChild>
                    <w:div w:id="146745452">
                      <w:marLeft w:val="0"/>
                      <w:marRight w:val="0"/>
                      <w:marTop w:val="0"/>
                      <w:marBottom w:val="0"/>
                      <w:divBdr>
                        <w:top w:val="none" w:sz="0" w:space="0" w:color="auto"/>
                        <w:left w:val="none" w:sz="0" w:space="0" w:color="auto"/>
                        <w:bottom w:val="none" w:sz="0" w:space="0" w:color="auto"/>
                        <w:right w:val="none" w:sz="0" w:space="0" w:color="auto"/>
                      </w:divBdr>
                    </w:div>
                  </w:divsChild>
                </w:div>
                <w:div w:id="168444475">
                  <w:marLeft w:val="0"/>
                  <w:marRight w:val="0"/>
                  <w:marTop w:val="0"/>
                  <w:marBottom w:val="0"/>
                  <w:divBdr>
                    <w:top w:val="none" w:sz="0" w:space="0" w:color="auto"/>
                    <w:left w:val="none" w:sz="0" w:space="0" w:color="auto"/>
                    <w:bottom w:val="none" w:sz="0" w:space="0" w:color="auto"/>
                    <w:right w:val="none" w:sz="0" w:space="0" w:color="auto"/>
                  </w:divBdr>
                  <w:divsChild>
                    <w:div w:id="578713101">
                      <w:marLeft w:val="0"/>
                      <w:marRight w:val="0"/>
                      <w:marTop w:val="0"/>
                      <w:marBottom w:val="0"/>
                      <w:divBdr>
                        <w:top w:val="none" w:sz="0" w:space="0" w:color="auto"/>
                        <w:left w:val="none" w:sz="0" w:space="0" w:color="auto"/>
                        <w:bottom w:val="none" w:sz="0" w:space="0" w:color="auto"/>
                        <w:right w:val="none" w:sz="0" w:space="0" w:color="auto"/>
                      </w:divBdr>
                    </w:div>
                  </w:divsChild>
                </w:div>
                <w:div w:id="363946936">
                  <w:marLeft w:val="0"/>
                  <w:marRight w:val="0"/>
                  <w:marTop w:val="0"/>
                  <w:marBottom w:val="0"/>
                  <w:divBdr>
                    <w:top w:val="none" w:sz="0" w:space="0" w:color="auto"/>
                    <w:left w:val="none" w:sz="0" w:space="0" w:color="auto"/>
                    <w:bottom w:val="none" w:sz="0" w:space="0" w:color="auto"/>
                    <w:right w:val="none" w:sz="0" w:space="0" w:color="auto"/>
                  </w:divBdr>
                  <w:divsChild>
                    <w:div w:id="2127045038">
                      <w:marLeft w:val="0"/>
                      <w:marRight w:val="0"/>
                      <w:marTop w:val="0"/>
                      <w:marBottom w:val="0"/>
                      <w:divBdr>
                        <w:top w:val="none" w:sz="0" w:space="0" w:color="auto"/>
                        <w:left w:val="none" w:sz="0" w:space="0" w:color="auto"/>
                        <w:bottom w:val="none" w:sz="0" w:space="0" w:color="auto"/>
                        <w:right w:val="none" w:sz="0" w:space="0" w:color="auto"/>
                      </w:divBdr>
                    </w:div>
                  </w:divsChild>
                </w:div>
                <w:div w:id="248469232">
                  <w:marLeft w:val="0"/>
                  <w:marRight w:val="0"/>
                  <w:marTop w:val="0"/>
                  <w:marBottom w:val="0"/>
                  <w:divBdr>
                    <w:top w:val="none" w:sz="0" w:space="0" w:color="auto"/>
                    <w:left w:val="none" w:sz="0" w:space="0" w:color="auto"/>
                    <w:bottom w:val="none" w:sz="0" w:space="0" w:color="auto"/>
                    <w:right w:val="none" w:sz="0" w:space="0" w:color="auto"/>
                  </w:divBdr>
                  <w:divsChild>
                    <w:div w:id="817066352">
                      <w:marLeft w:val="0"/>
                      <w:marRight w:val="0"/>
                      <w:marTop w:val="0"/>
                      <w:marBottom w:val="0"/>
                      <w:divBdr>
                        <w:top w:val="none" w:sz="0" w:space="0" w:color="auto"/>
                        <w:left w:val="none" w:sz="0" w:space="0" w:color="auto"/>
                        <w:bottom w:val="none" w:sz="0" w:space="0" w:color="auto"/>
                        <w:right w:val="none" w:sz="0" w:space="0" w:color="auto"/>
                      </w:divBdr>
                    </w:div>
                  </w:divsChild>
                </w:div>
                <w:div w:id="2138597314">
                  <w:marLeft w:val="0"/>
                  <w:marRight w:val="0"/>
                  <w:marTop w:val="0"/>
                  <w:marBottom w:val="0"/>
                  <w:divBdr>
                    <w:top w:val="none" w:sz="0" w:space="0" w:color="auto"/>
                    <w:left w:val="none" w:sz="0" w:space="0" w:color="auto"/>
                    <w:bottom w:val="none" w:sz="0" w:space="0" w:color="auto"/>
                    <w:right w:val="none" w:sz="0" w:space="0" w:color="auto"/>
                  </w:divBdr>
                  <w:divsChild>
                    <w:div w:id="1462309252">
                      <w:marLeft w:val="0"/>
                      <w:marRight w:val="0"/>
                      <w:marTop w:val="0"/>
                      <w:marBottom w:val="0"/>
                      <w:divBdr>
                        <w:top w:val="none" w:sz="0" w:space="0" w:color="auto"/>
                        <w:left w:val="none" w:sz="0" w:space="0" w:color="auto"/>
                        <w:bottom w:val="none" w:sz="0" w:space="0" w:color="auto"/>
                        <w:right w:val="none" w:sz="0" w:space="0" w:color="auto"/>
                      </w:divBdr>
                    </w:div>
                  </w:divsChild>
                </w:div>
                <w:div w:id="1086849425">
                  <w:marLeft w:val="0"/>
                  <w:marRight w:val="0"/>
                  <w:marTop w:val="0"/>
                  <w:marBottom w:val="0"/>
                  <w:divBdr>
                    <w:top w:val="none" w:sz="0" w:space="0" w:color="auto"/>
                    <w:left w:val="none" w:sz="0" w:space="0" w:color="auto"/>
                    <w:bottom w:val="none" w:sz="0" w:space="0" w:color="auto"/>
                    <w:right w:val="none" w:sz="0" w:space="0" w:color="auto"/>
                  </w:divBdr>
                  <w:divsChild>
                    <w:div w:id="605424899">
                      <w:marLeft w:val="0"/>
                      <w:marRight w:val="0"/>
                      <w:marTop w:val="0"/>
                      <w:marBottom w:val="0"/>
                      <w:divBdr>
                        <w:top w:val="none" w:sz="0" w:space="0" w:color="auto"/>
                        <w:left w:val="none" w:sz="0" w:space="0" w:color="auto"/>
                        <w:bottom w:val="none" w:sz="0" w:space="0" w:color="auto"/>
                        <w:right w:val="none" w:sz="0" w:space="0" w:color="auto"/>
                      </w:divBdr>
                    </w:div>
                  </w:divsChild>
                </w:div>
                <w:div w:id="666708873">
                  <w:marLeft w:val="0"/>
                  <w:marRight w:val="0"/>
                  <w:marTop w:val="0"/>
                  <w:marBottom w:val="0"/>
                  <w:divBdr>
                    <w:top w:val="none" w:sz="0" w:space="0" w:color="auto"/>
                    <w:left w:val="none" w:sz="0" w:space="0" w:color="auto"/>
                    <w:bottom w:val="none" w:sz="0" w:space="0" w:color="auto"/>
                    <w:right w:val="none" w:sz="0" w:space="0" w:color="auto"/>
                  </w:divBdr>
                  <w:divsChild>
                    <w:div w:id="509954267">
                      <w:marLeft w:val="0"/>
                      <w:marRight w:val="0"/>
                      <w:marTop w:val="0"/>
                      <w:marBottom w:val="0"/>
                      <w:divBdr>
                        <w:top w:val="none" w:sz="0" w:space="0" w:color="auto"/>
                        <w:left w:val="none" w:sz="0" w:space="0" w:color="auto"/>
                        <w:bottom w:val="none" w:sz="0" w:space="0" w:color="auto"/>
                        <w:right w:val="none" w:sz="0" w:space="0" w:color="auto"/>
                      </w:divBdr>
                    </w:div>
                  </w:divsChild>
                </w:div>
                <w:div w:id="1908225155">
                  <w:marLeft w:val="0"/>
                  <w:marRight w:val="0"/>
                  <w:marTop w:val="0"/>
                  <w:marBottom w:val="0"/>
                  <w:divBdr>
                    <w:top w:val="none" w:sz="0" w:space="0" w:color="auto"/>
                    <w:left w:val="none" w:sz="0" w:space="0" w:color="auto"/>
                    <w:bottom w:val="none" w:sz="0" w:space="0" w:color="auto"/>
                    <w:right w:val="none" w:sz="0" w:space="0" w:color="auto"/>
                  </w:divBdr>
                  <w:divsChild>
                    <w:div w:id="704985382">
                      <w:marLeft w:val="0"/>
                      <w:marRight w:val="0"/>
                      <w:marTop w:val="0"/>
                      <w:marBottom w:val="0"/>
                      <w:divBdr>
                        <w:top w:val="none" w:sz="0" w:space="0" w:color="auto"/>
                        <w:left w:val="none" w:sz="0" w:space="0" w:color="auto"/>
                        <w:bottom w:val="none" w:sz="0" w:space="0" w:color="auto"/>
                        <w:right w:val="none" w:sz="0" w:space="0" w:color="auto"/>
                      </w:divBdr>
                    </w:div>
                  </w:divsChild>
                </w:div>
                <w:div w:id="846601198">
                  <w:marLeft w:val="0"/>
                  <w:marRight w:val="0"/>
                  <w:marTop w:val="0"/>
                  <w:marBottom w:val="0"/>
                  <w:divBdr>
                    <w:top w:val="none" w:sz="0" w:space="0" w:color="auto"/>
                    <w:left w:val="none" w:sz="0" w:space="0" w:color="auto"/>
                    <w:bottom w:val="none" w:sz="0" w:space="0" w:color="auto"/>
                    <w:right w:val="none" w:sz="0" w:space="0" w:color="auto"/>
                  </w:divBdr>
                  <w:divsChild>
                    <w:div w:id="527649118">
                      <w:marLeft w:val="0"/>
                      <w:marRight w:val="0"/>
                      <w:marTop w:val="0"/>
                      <w:marBottom w:val="0"/>
                      <w:divBdr>
                        <w:top w:val="none" w:sz="0" w:space="0" w:color="auto"/>
                        <w:left w:val="none" w:sz="0" w:space="0" w:color="auto"/>
                        <w:bottom w:val="none" w:sz="0" w:space="0" w:color="auto"/>
                        <w:right w:val="none" w:sz="0" w:space="0" w:color="auto"/>
                      </w:divBdr>
                    </w:div>
                  </w:divsChild>
                </w:div>
                <w:div w:id="862747798">
                  <w:marLeft w:val="0"/>
                  <w:marRight w:val="0"/>
                  <w:marTop w:val="0"/>
                  <w:marBottom w:val="0"/>
                  <w:divBdr>
                    <w:top w:val="none" w:sz="0" w:space="0" w:color="auto"/>
                    <w:left w:val="none" w:sz="0" w:space="0" w:color="auto"/>
                    <w:bottom w:val="none" w:sz="0" w:space="0" w:color="auto"/>
                    <w:right w:val="none" w:sz="0" w:space="0" w:color="auto"/>
                  </w:divBdr>
                  <w:divsChild>
                    <w:div w:id="2066952694">
                      <w:marLeft w:val="0"/>
                      <w:marRight w:val="0"/>
                      <w:marTop w:val="0"/>
                      <w:marBottom w:val="0"/>
                      <w:divBdr>
                        <w:top w:val="none" w:sz="0" w:space="0" w:color="auto"/>
                        <w:left w:val="none" w:sz="0" w:space="0" w:color="auto"/>
                        <w:bottom w:val="none" w:sz="0" w:space="0" w:color="auto"/>
                        <w:right w:val="none" w:sz="0" w:space="0" w:color="auto"/>
                      </w:divBdr>
                    </w:div>
                  </w:divsChild>
                </w:div>
                <w:div w:id="1730305089">
                  <w:marLeft w:val="0"/>
                  <w:marRight w:val="0"/>
                  <w:marTop w:val="0"/>
                  <w:marBottom w:val="0"/>
                  <w:divBdr>
                    <w:top w:val="none" w:sz="0" w:space="0" w:color="auto"/>
                    <w:left w:val="none" w:sz="0" w:space="0" w:color="auto"/>
                    <w:bottom w:val="none" w:sz="0" w:space="0" w:color="auto"/>
                    <w:right w:val="none" w:sz="0" w:space="0" w:color="auto"/>
                  </w:divBdr>
                  <w:divsChild>
                    <w:div w:id="771975992">
                      <w:marLeft w:val="0"/>
                      <w:marRight w:val="0"/>
                      <w:marTop w:val="0"/>
                      <w:marBottom w:val="0"/>
                      <w:divBdr>
                        <w:top w:val="none" w:sz="0" w:space="0" w:color="auto"/>
                        <w:left w:val="none" w:sz="0" w:space="0" w:color="auto"/>
                        <w:bottom w:val="none" w:sz="0" w:space="0" w:color="auto"/>
                        <w:right w:val="none" w:sz="0" w:space="0" w:color="auto"/>
                      </w:divBdr>
                    </w:div>
                  </w:divsChild>
                </w:div>
                <w:div w:id="1289047666">
                  <w:marLeft w:val="0"/>
                  <w:marRight w:val="0"/>
                  <w:marTop w:val="0"/>
                  <w:marBottom w:val="0"/>
                  <w:divBdr>
                    <w:top w:val="none" w:sz="0" w:space="0" w:color="auto"/>
                    <w:left w:val="none" w:sz="0" w:space="0" w:color="auto"/>
                    <w:bottom w:val="none" w:sz="0" w:space="0" w:color="auto"/>
                    <w:right w:val="none" w:sz="0" w:space="0" w:color="auto"/>
                  </w:divBdr>
                  <w:divsChild>
                    <w:div w:id="1572541243">
                      <w:marLeft w:val="0"/>
                      <w:marRight w:val="0"/>
                      <w:marTop w:val="0"/>
                      <w:marBottom w:val="0"/>
                      <w:divBdr>
                        <w:top w:val="none" w:sz="0" w:space="0" w:color="auto"/>
                        <w:left w:val="none" w:sz="0" w:space="0" w:color="auto"/>
                        <w:bottom w:val="none" w:sz="0" w:space="0" w:color="auto"/>
                        <w:right w:val="none" w:sz="0" w:space="0" w:color="auto"/>
                      </w:divBdr>
                    </w:div>
                  </w:divsChild>
                </w:div>
                <w:div w:id="1863325581">
                  <w:marLeft w:val="0"/>
                  <w:marRight w:val="0"/>
                  <w:marTop w:val="0"/>
                  <w:marBottom w:val="0"/>
                  <w:divBdr>
                    <w:top w:val="none" w:sz="0" w:space="0" w:color="auto"/>
                    <w:left w:val="none" w:sz="0" w:space="0" w:color="auto"/>
                    <w:bottom w:val="none" w:sz="0" w:space="0" w:color="auto"/>
                    <w:right w:val="none" w:sz="0" w:space="0" w:color="auto"/>
                  </w:divBdr>
                  <w:divsChild>
                    <w:div w:id="434327624">
                      <w:marLeft w:val="0"/>
                      <w:marRight w:val="0"/>
                      <w:marTop w:val="0"/>
                      <w:marBottom w:val="0"/>
                      <w:divBdr>
                        <w:top w:val="none" w:sz="0" w:space="0" w:color="auto"/>
                        <w:left w:val="none" w:sz="0" w:space="0" w:color="auto"/>
                        <w:bottom w:val="none" w:sz="0" w:space="0" w:color="auto"/>
                        <w:right w:val="none" w:sz="0" w:space="0" w:color="auto"/>
                      </w:divBdr>
                    </w:div>
                  </w:divsChild>
                </w:div>
                <w:div w:id="1131435730">
                  <w:marLeft w:val="0"/>
                  <w:marRight w:val="0"/>
                  <w:marTop w:val="0"/>
                  <w:marBottom w:val="0"/>
                  <w:divBdr>
                    <w:top w:val="none" w:sz="0" w:space="0" w:color="auto"/>
                    <w:left w:val="none" w:sz="0" w:space="0" w:color="auto"/>
                    <w:bottom w:val="none" w:sz="0" w:space="0" w:color="auto"/>
                    <w:right w:val="none" w:sz="0" w:space="0" w:color="auto"/>
                  </w:divBdr>
                  <w:divsChild>
                    <w:div w:id="25718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6022905">
          <w:marLeft w:val="0"/>
          <w:marRight w:val="0"/>
          <w:marTop w:val="0"/>
          <w:marBottom w:val="0"/>
          <w:divBdr>
            <w:top w:val="none" w:sz="0" w:space="0" w:color="auto"/>
            <w:left w:val="none" w:sz="0" w:space="0" w:color="auto"/>
            <w:bottom w:val="none" w:sz="0" w:space="0" w:color="auto"/>
            <w:right w:val="none" w:sz="0" w:space="0" w:color="auto"/>
          </w:divBdr>
        </w:div>
        <w:div w:id="31157629">
          <w:marLeft w:val="0"/>
          <w:marRight w:val="0"/>
          <w:marTop w:val="0"/>
          <w:marBottom w:val="0"/>
          <w:divBdr>
            <w:top w:val="none" w:sz="0" w:space="0" w:color="auto"/>
            <w:left w:val="none" w:sz="0" w:space="0" w:color="auto"/>
            <w:bottom w:val="none" w:sz="0" w:space="0" w:color="auto"/>
            <w:right w:val="none" w:sz="0" w:space="0" w:color="auto"/>
          </w:divBdr>
        </w:div>
        <w:div w:id="625738092">
          <w:marLeft w:val="0"/>
          <w:marRight w:val="0"/>
          <w:marTop w:val="0"/>
          <w:marBottom w:val="0"/>
          <w:divBdr>
            <w:top w:val="none" w:sz="0" w:space="0" w:color="auto"/>
            <w:left w:val="none" w:sz="0" w:space="0" w:color="auto"/>
            <w:bottom w:val="none" w:sz="0" w:space="0" w:color="auto"/>
            <w:right w:val="none" w:sz="0" w:space="0" w:color="auto"/>
          </w:divBdr>
          <w:divsChild>
            <w:div w:id="544945867">
              <w:marLeft w:val="-75"/>
              <w:marRight w:val="0"/>
              <w:marTop w:val="30"/>
              <w:marBottom w:val="30"/>
              <w:divBdr>
                <w:top w:val="none" w:sz="0" w:space="0" w:color="auto"/>
                <w:left w:val="none" w:sz="0" w:space="0" w:color="auto"/>
                <w:bottom w:val="none" w:sz="0" w:space="0" w:color="auto"/>
                <w:right w:val="none" w:sz="0" w:space="0" w:color="auto"/>
              </w:divBdr>
              <w:divsChild>
                <w:div w:id="823353232">
                  <w:marLeft w:val="0"/>
                  <w:marRight w:val="0"/>
                  <w:marTop w:val="0"/>
                  <w:marBottom w:val="0"/>
                  <w:divBdr>
                    <w:top w:val="none" w:sz="0" w:space="0" w:color="auto"/>
                    <w:left w:val="none" w:sz="0" w:space="0" w:color="auto"/>
                    <w:bottom w:val="none" w:sz="0" w:space="0" w:color="auto"/>
                    <w:right w:val="none" w:sz="0" w:space="0" w:color="auto"/>
                  </w:divBdr>
                  <w:divsChild>
                    <w:div w:id="186023212">
                      <w:marLeft w:val="0"/>
                      <w:marRight w:val="0"/>
                      <w:marTop w:val="0"/>
                      <w:marBottom w:val="0"/>
                      <w:divBdr>
                        <w:top w:val="none" w:sz="0" w:space="0" w:color="auto"/>
                        <w:left w:val="none" w:sz="0" w:space="0" w:color="auto"/>
                        <w:bottom w:val="none" w:sz="0" w:space="0" w:color="auto"/>
                        <w:right w:val="none" w:sz="0" w:space="0" w:color="auto"/>
                      </w:divBdr>
                    </w:div>
                  </w:divsChild>
                </w:div>
                <w:div w:id="346444466">
                  <w:marLeft w:val="0"/>
                  <w:marRight w:val="0"/>
                  <w:marTop w:val="0"/>
                  <w:marBottom w:val="0"/>
                  <w:divBdr>
                    <w:top w:val="none" w:sz="0" w:space="0" w:color="auto"/>
                    <w:left w:val="none" w:sz="0" w:space="0" w:color="auto"/>
                    <w:bottom w:val="none" w:sz="0" w:space="0" w:color="auto"/>
                    <w:right w:val="none" w:sz="0" w:space="0" w:color="auto"/>
                  </w:divBdr>
                  <w:divsChild>
                    <w:div w:id="1102333317">
                      <w:marLeft w:val="0"/>
                      <w:marRight w:val="0"/>
                      <w:marTop w:val="0"/>
                      <w:marBottom w:val="0"/>
                      <w:divBdr>
                        <w:top w:val="none" w:sz="0" w:space="0" w:color="auto"/>
                        <w:left w:val="none" w:sz="0" w:space="0" w:color="auto"/>
                        <w:bottom w:val="none" w:sz="0" w:space="0" w:color="auto"/>
                        <w:right w:val="none" w:sz="0" w:space="0" w:color="auto"/>
                      </w:divBdr>
                    </w:div>
                  </w:divsChild>
                </w:div>
                <w:div w:id="89356472">
                  <w:marLeft w:val="0"/>
                  <w:marRight w:val="0"/>
                  <w:marTop w:val="0"/>
                  <w:marBottom w:val="0"/>
                  <w:divBdr>
                    <w:top w:val="none" w:sz="0" w:space="0" w:color="auto"/>
                    <w:left w:val="none" w:sz="0" w:space="0" w:color="auto"/>
                    <w:bottom w:val="none" w:sz="0" w:space="0" w:color="auto"/>
                    <w:right w:val="none" w:sz="0" w:space="0" w:color="auto"/>
                  </w:divBdr>
                  <w:divsChild>
                    <w:div w:id="602803071">
                      <w:marLeft w:val="0"/>
                      <w:marRight w:val="0"/>
                      <w:marTop w:val="0"/>
                      <w:marBottom w:val="0"/>
                      <w:divBdr>
                        <w:top w:val="none" w:sz="0" w:space="0" w:color="auto"/>
                        <w:left w:val="none" w:sz="0" w:space="0" w:color="auto"/>
                        <w:bottom w:val="none" w:sz="0" w:space="0" w:color="auto"/>
                        <w:right w:val="none" w:sz="0" w:space="0" w:color="auto"/>
                      </w:divBdr>
                    </w:div>
                  </w:divsChild>
                </w:div>
                <w:div w:id="1071007185">
                  <w:marLeft w:val="0"/>
                  <w:marRight w:val="0"/>
                  <w:marTop w:val="0"/>
                  <w:marBottom w:val="0"/>
                  <w:divBdr>
                    <w:top w:val="none" w:sz="0" w:space="0" w:color="auto"/>
                    <w:left w:val="none" w:sz="0" w:space="0" w:color="auto"/>
                    <w:bottom w:val="none" w:sz="0" w:space="0" w:color="auto"/>
                    <w:right w:val="none" w:sz="0" w:space="0" w:color="auto"/>
                  </w:divBdr>
                  <w:divsChild>
                    <w:div w:id="1226840518">
                      <w:marLeft w:val="0"/>
                      <w:marRight w:val="0"/>
                      <w:marTop w:val="0"/>
                      <w:marBottom w:val="0"/>
                      <w:divBdr>
                        <w:top w:val="none" w:sz="0" w:space="0" w:color="auto"/>
                        <w:left w:val="none" w:sz="0" w:space="0" w:color="auto"/>
                        <w:bottom w:val="none" w:sz="0" w:space="0" w:color="auto"/>
                        <w:right w:val="none" w:sz="0" w:space="0" w:color="auto"/>
                      </w:divBdr>
                    </w:div>
                  </w:divsChild>
                </w:div>
                <w:div w:id="1638951656">
                  <w:marLeft w:val="0"/>
                  <w:marRight w:val="0"/>
                  <w:marTop w:val="0"/>
                  <w:marBottom w:val="0"/>
                  <w:divBdr>
                    <w:top w:val="none" w:sz="0" w:space="0" w:color="auto"/>
                    <w:left w:val="none" w:sz="0" w:space="0" w:color="auto"/>
                    <w:bottom w:val="none" w:sz="0" w:space="0" w:color="auto"/>
                    <w:right w:val="none" w:sz="0" w:space="0" w:color="auto"/>
                  </w:divBdr>
                  <w:divsChild>
                    <w:div w:id="1858349829">
                      <w:marLeft w:val="0"/>
                      <w:marRight w:val="0"/>
                      <w:marTop w:val="0"/>
                      <w:marBottom w:val="0"/>
                      <w:divBdr>
                        <w:top w:val="none" w:sz="0" w:space="0" w:color="auto"/>
                        <w:left w:val="none" w:sz="0" w:space="0" w:color="auto"/>
                        <w:bottom w:val="none" w:sz="0" w:space="0" w:color="auto"/>
                        <w:right w:val="none" w:sz="0" w:space="0" w:color="auto"/>
                      </w:divBdr>
                    </w:div>
                  </w:divsChild>
                </w:div>
                <w:div w:id="529031046">
                  <w:marLeft w:val="0"/>
                  <w:marRight w:val="0"/>
                  <w:marTop w:val="0"/>
                  <w:marBottom w:val="0"/>
                  <w:divBdr>
                    <w:top w:val="none" w:sz="0" w:space="0" w:color="auto"/>
                    <w:left w:val="none" w:sz="0" w:space="0" w:color="auto"/>
                    <w:bottom w:val="none" w:sz="0" w:space="0" w:color="auto"/>
                    <w:right w:val="none" w:sz="0" w:space="0" w:color="auto"/>
                  </w:divBdr>
                  <w:divsChild>
                    <w:div w:id="1782843083">
                      <w:marLeft w:val="0"/>
                      <w:marRight w:val="0"/>
                      <w:marTop w:val="0"/>
                      <w:marBottom w:val="0"/>
                      <w:divBdr>
                        <w:top w:val="none" w:sz="0" w:space="0" w:color="auto"/>
                        <w:left w:val="none" w:sz="0" w:space="0" w:color="auto"/>
                        <w:bottom w:val="none" w:sz="0" w:space="0" w:color="auto"/>
                        <w:right w:val="none" w:sz="0" w:space="0" w:color="auto"/>
                      </w:divBdr>
                    </w:div>
                  </w:divsChild>
                </w:div>
                <w:div w:id="2062288411">
                  <w:marLeft w:val="0"/>
                  <w:marRight w:val="0"/>
                  <w:marTop w:val="0"/>
                  <w:marBottom w:val="0"/>
                  <w:divBdr>
                    <w:top w:val="none" w:sz="0" w:space="0" w:color="auto"/>
                    <w:left w:val="none" w:sz="0" w:space="0" w:color="auto"/>
                    <w:bottom w:val="none" w:sz="0" w:space="0" w:color="auto"/>
                    <w:right w:val="none" w:sz="0" w:space="0" w:color="auto"/>
                  </w:divBdr>
                  <w:divsChild>
                    <w:div w:id="1085110624">
                      <w:marLeft w:val="0"/>
                      <w:marRight w:val="0"/>
                      <w:marTop w:val="0"/>
                      <w:marBottom w:val="0"/>
                      <w:divBdr>
                        <w:top w:val="none" w:sz="0" w:space="0" w:color="auto"/>
                        <w:left w:val="none" w:sz="0" w:space="0" w:color="auto"/>
                        <w:bottom w:val="none" w:sz="0" w:space="0" w:color="auto"/>
                        <w:right w:val="none" w:sz="0" w:space="0" w:color="auto"/>
                      </w:divBdr>
                    </w:div>
                  </w:divsChild>
                </w:div>
                <w:div w:id="563759961">
                  <w:marLeft w:val="0"/>
                  <w:marRight w:val="0"/>
                  <w:marTop w:val="0"/>
                  <w:marBottom w:val="0"/>
                  <w:divBdr>
                    <w:top w:val="none" w:sz="0" w:space="0" w:color="auto"/>
                    <w:left w:val="none" w:sz="0" w:space="0" w:color="auto"/>
                    <w:bottom w:val="none" w:sz="0" w:space="0" w:color="auto"/>
                    <w:right w:val="none" w:sz="0" w:space="0" w:color="auto"/>
                  </w:divBdr>
                  <w:divsChild>
                    <w:div w:id="913121920">
                      <w:marLeft w:val="0"/>
                      <w:marRight w:val="0"/>
                      <w:marTop w:val="0"/>
                      <w:marBottom w:val="0"/>
                      <w:divBdr>
                        <w:top w:val="none" w:sz="0" w:space="0" w:color="auto"/>
                        <w:left w:val="none" w:sz="0" w:space="0" w:color="auto"/>
                        <w:bottom w:val="none" w:sz="0" w:space="0" w:color="auto"/>
                        <w:right w:val="none" w:sz="0" w:space="0" w:color="auto"/>
                      </w:divBdr>
                    </w:div>
                  </w:divsChild>
                </w:div>
                <w:div w:id="867913375">
                  <w:marLeft w:val="0"/>
                  <w:marRight w:val="0"/>
                  <w:marTop w:val="0"/>
                  <w:marBottom w:val="0"/>
                  <w:divBdr>
                    <w:top w:val="none" w:sz="0" w:space="0" w:color="auto"/>
                    <w:left w:val="none" w:sz="0" w:space="0" w:color="auto"/>
                    <w:bottom w:val="none" w:sz="0" w:space="0" w:color="auto"/>
                    <w:right w:val="none" w:sz="0" w:space="0" w:color="auto"/>
                  </w:divBdr>
                  <w:divsChild>
                    <w:div w:id="955867334">
                      <w:marLeft w:val="0"/>
                      <w:marRight w:val="0"/>
                      <w:marTop w:val="0"/>
                      <w:marBottom w:val="0"/>
                      <w:divBdr>
                        <w:top w:val="none" w:sz="0" w:space="0" w:color="auto"/>
                        <w:left w:val="none" w:sz="0" w:space="0" w:color="auto"/>
                        <w:bottom w:val="none" w:sz="0" w:space="0" w:color="auto"/>
                        <w:right w:val="none" w:sz="0" w:space="0" w:color="auto"/>
                      </w:divBdr>
                    </w:div>
                  </w:divsChild>
                </w:div>
                <w:div w:id="363216507">
                  <w:marLeft w:val="0"/>
                  <w:marRight w:val="0"/>
                  <w:marTop w:val="0"/>
                  <w:marBottom w:val="0"/>
                  <w:divBdr>
                    <w:top w:val="none" w:sz="0" w:space="0" w:color="auto"/>
                    <w:left w:val="none" w:sz="0" w:space="0" w:color="auto"/>
                    <w:bottom w:val="none" w:sz="0" w:space="0" w:color="auto"/>
                    <w:right w:val="none" w:sz="0" w:space="0" w:color="auto"/>
                  </w:divBdr>
                  <w:divsChild>
                    <w:div w:id="1460681819">
                      <w:marLeft w:val="0"/>
                      <w:marRight w:val="0"/>
                      <w:marTop w:val="0"/>
                      <w:marBottom w:val="0"/>
                      <w:divBdr>
                        <w:top w:val="none" w:sz="0" w:space="0" w:color="auto"/>
                        <w:left w:val="none" w:sz="0" w:space="0" w:color="auto"/>
                        <w:bottom w:val="none" w:sz="0" w:space="0" w:color="auto"/>
                        <w:right w:val="none" w:sz="0" w:space="0" w:color="auto"/>
                      </w:divBdr>
                    </w:div>
                  </w:divsChild>
                </w:div>
                <w:div w:id="1059132076">
                  <w:marLeft w:val="0"/>
                  <w:marRight w:val="0"/>
                  <w:marTop w:val="0"/>
                  <w:marBottom w:val="0"/>
                  <w:divBdr>
                    <w:top w:val="none" w:sz="0" w:space="0" w:color="auto"/>
                    <w:left w:val="none" w:sz="0" w:space="0" w:color="auto"/>
                    <w:bottom w:val="none" w:sz="0" w:space="0" w:color="auto"/>
                    <w:right w:val="none" w:sz="0" w:space="0" w:color="auto"/>
                  </w:divBdr>
                  <w:divsChild>
                    <w:div w:id="416749061">
                      <w:marLeft w:val="0"/>
                      <w:marRight w:val="0"/>
                      <w:marTop w:val="0"/>
                      <w:marBottom w:val="0"/>
                      <w:divBdr>
                        <w:top w:val="none" w:sz="0" w:space="0" w:color="auto"/>
                        <w:left w:val="none" w:sz="0" w:space="0" w:color="auto"/>
                        <w:bottom w:val="none" w:sz="0" w:space="0" w:color="auto"/>
                        <w:right w:val="none" w:sz="0" w:space="0" w:color="auto"/>
                      </w:divBdr>
                    </w:div>
                  </w:divsChild>
                </w:div>
                <w:div w:id="1687513534">
                  <w:marLeft w:val="0"/>
                  <w:marRight w:val="0"/>
                  <w:marTop w:val="0"/>
                  <w:marBottom w:val="0"/>
                  <w:divBdr>
                    <w:top w:val="none" w:sz="0" w:space="0" w:color="auto"/>
                    <w:left w:val="none" w:sz="0" w:space="0" w:color="auto"/>
                    <w:bottom w:val="none" w:sz="0" w:space="0" w:color="auto"/>
                    <w:right w:val="none" w:sz="0" w:space="0" w:color="auto"/>
                  </w:divBdr>
                  <w:divsChild>
                    <w:div w:id="1731920925">
                      <w:marLeft w:val="0"/>
                      <w:marRight w:val="0"/>
                      <w:marTop w:val="0"/>
                      <w:marBottom w:val="0"/>
                      <w:divBdr>
                        <w:top w:val="none" w:sz="0" w:space="0" w:color="auto"/>
                        <w:left w:val="none" w:sz="0" w:space="0" w:color="auto"/>
                        <w:bottom w:val="none" w:sz="0" w:space="0" w:color="auto"/>
                        <w:right w:val="none" w:sz="0" w:space="0" w:color="auto"/>
                      </w:divBdr>
                    </w:div>
                  </w:divsChild>
                </w:div>
                <w:div w:id="1386904118">
                  <w:marLeft w:val="0"/>
                  <w:marRight w:val="0"/>
                  <w:marTop w:val="0"/>
                  <w:marBottom w:val="0"/>
                  <w:divBdr>
                    <w:top w:val="none" w:sz="0" w:space="0" w:color="auto"/>
                    <w:left w:val="none" w:sz="0" w:space="0" w:color="auto"/>
                    <w:bottom w:val="none" w:sz="0" w:space="0" w:color="auto"/>
                    <w:right w:val="none" w:sz="0" w:space="0" w:color="auto"/>
                  </w:divBdr>
                  <w:divsChild>
                    <w:div w:id="904953230">
                      <w:marLeft w:val="0"/>
                      <w:marRight w:val="0"/>
                      <w:marTop w:val="0"/>
                      <w:marBottom w:val="0"/>
                      <w:divBdr>
                        <w:top w:val="none" w:sz="0" w:space="0" w:color="auto"/>
                        <w:left w:val="none" w:sz="0" w:space="0" w:color="auto"/>
                        <w:bottom w:val="none" w:sz="0" w:space="0" w:color="auto"/>
                        <w:right w:val="none" w:sz="0" w:space="0" w:color="auto"/>
                      </w:divBdr>
                    </w:div>
                  </w:divsChild>
                </w:div>
                <w:div w:id="1140608002">
                  <w:marLeft w:val="0"/>
                  <w:marRight w:val="0"/>
                  <w:marTop w:val="0"/>
                  <w:marBottom w:val="0"/>
                  <w:divBdr>
                    <w:top w:val="none" w:sz="0" w:space="0" w:color="auto"/>
                    <w:left w:val="none" w:sz="0" w:space="0" w:color="auto"/>
                    <w:bottom w:val="none" w:sz="0" w:space="0" w:color="auto"/>
                    <w:right w:val="none" w:sz="0" w:space="0" w:color="auto"/>
                  </w:divBdr>
                  <w:divsChild>
                    <w:div w:id="441726961">
                      <w:marLeft w:val="0"/>
                      <w:marRight w:val="0"/>
                      <w:marTop w:val="0"/>
                      <w:marBottom w:val="0"/>
                      <w:divBdr>
                        <w:top w:val="none" w:sz="0" w:space="0" w:color="auto"/>
                        <w:left w:val="none" w:sz="0" w:space="0" w:color="auto"/>
                        <w:bottom w:val="none" w:sz="0" w:space="0" w:color="auto"/>
                        <w:right w:val="none" w:sz="0" w:space="0" w:color="auto"/>
                      </w:divBdr>
                    </w:div>
                  </w:divsChild>
                </w:div>
                <w:div w:id="1530953420">
                  <w:marLeft w:val="0"/>
                  <w:marRight w:val="0"/>
                  <w:marTop w:val="0"/>
                  <w:marBottom w:val="0"/>
                  <w:divBdr>
                    <w:top w:val="none" w:sz="0" w:space="0" w:color="auto"/>
                    <w:left w:val="none" w:sz="0" w:space="0" w:color="auto"/>
                    <w:bottom w:val="none" w:sz="0" w:space="0" w:color="auto"/>
                    <w:right w:val="none" w:sz="0" w:space="0" w:color="auto"/>
                  </w:divBdr>
                  <w:divsChild>
                    <w:div w:id="2369064">
                      <w:marLeft w:val="0"/>
                      <w:marRight w:val="0"/>
                      <w:marTop w:val="0"/>
                      <w:marBottom w:val="0"/>
                      <w:divBdr>
                        <w:top w:val="none" w:sz="0" w:space="0" w:color="auto"/>
                        <w:left w:val="none" w:sz="0" w:space="0" w:color="auto"/>
                        <w:bottom w:val="none" w:sz="0" w:space="0" w:color="auto"/>
                        <w:right w:val="none" w:sz="0" w:space="0" w:color="auto"/>
                      </w:divBdr>
                    </w:div>
                  </w:divsChild>
                </w:div>
                <w:div w:id="625164275">
                  <w:marLeft w:val="0"/>
                  <w:marRight w:val="0"/>
                  <w:marTop w:val="0"/>
                  <w:marBottom w:val="0"/>
                  <w:divBdr>
                    <w:top w:val="none" w:sz="0" w:space="0" w:color="auto"/>
                    <w:left w:val="none" w:sz="0" w:space="0" w:color="auto"/>
                    <w:bottom w:val="none" w:sz="0" w:space="0" w:color="auto"/>
                    <w:right w:val="none" w:sz="0" w:space="0" w:color="auto"/>
                  </w:divBdr>
                  <w:divsChild>
                    <w:div w:id="102842720">
                      <w:marLeft w:val="0"/>
                      <w:marRight w:val="0"/>
                      <w:marTop w:val="0"/>
                      <w:marBottom w:val="0"/>
                      <w:divBdr>
                        <w:top w:val="none" w:sz="0" w:space="0" w:color="auto"/>
                        <w:left w:val="none" w:sz="0" w:space="0" w:color="auto"/>
                        <w:bottom w:val="none" w:sz="0" w:space="0" w:color="auto"/>
                        <w:right w:val="none" w:sz="0" w:space="0" w:color="auto"/>
                      </w:divBdr>
                    </w:div>
                  </w:divsChild>
                </w:div>
                <w:div w:id="2095009106">
                  <w:marLeft w:val="0"/>
                  <w:marRight w:val="0"/>
                  <w:marTop w:val="0"/>
                  <w:marBottom w:val="0"/>
                  <w:divBdr>
                    <w:top w:val="none" w:sz="0" w:space="0" w:color="auto"/>
                    <w:left w:val="none" w:sz="0" w:space="0" w:color="auto"/>
                    <w:bottom w:val="none" w:sz="0" w:space="0" w:color="auto"/>
                    <w:right w:val="none" w:sz="0" w:space="0" w:color="auto"/>
                  </w:divBdr>
                  <w:divsChild>
                    <w:div w:id="1675956532">
                      <w:marLeft w:val="0"/>
                      <w:marRight w:val="0"/>
                      <w:marTop w:val="0"/>
                      <w:marBottom w:val="0"/>
                      <w:divBdr>
                        <w:top w:val="none" w:sz="0" w:space="0" w:color="auto"/>
                        <w:left w:val="none" w:sz="0" w:space="0" w:color="auto"/>
                        <w:bottom w:val="none" w:sz="0" w:space="0" w:color="auto"/>
                        <w:right w:val="none" w:sz="0" w:space="0" w:color="auto"/>
                      </w:divBdr>
                    </w:div>
                  </w:divsChild>
                </w:div>
                <w:div w:id="1034697299">
                  <w:marLeft w:val="0"/>
                  <w:marRight w:val="0"/>
                  <w:marTop w:val="0"/>
                  <w:marBottom w:val="0"/>
                  <w:divBdr>
                    <w:top w:val="none" w:sz="0" w:space="0" w:color="auto"/>
                    <w:left w:val="none" w:sz="0" w:space="0" w:color="auto"/>
                    <w:bottom w:val="none" w:sz="0" w:space="0" w:color="auto"/>
                    <w:right w:val="none" w:sz="0" w:space="0" w:color="auto"/>
                  </w:divBdr>
                  <w:divsChild>
                    <w:div w:id="1860925493">
                      <w:marLeft w:val="0"/>
                      <w:marRight w:val="0"/>
                      <w:marTop w:val="0"/>
                      <w:marBottom w:val="0"/>
                      <w:divBdr>
                        <w:top w:val="none" w:sz="0" w:space="0" w:color="auto"/>
                        <w:left w:val="none" w:sz="0" w:space="0" w:color="auto"/>
                        <w:bottom w:val="none" w:sz="0" w:space="0" w:color="auto"/>
                        <w:right w:val="none" w:sz="0" w:space="0" w:color="auto"/>
                      </w:divBdr>
                    </w:div>
                  </w:divsChild>
                </w:div>
                <w:div w:id="1386832727">
                  <w:marLeft w:val="0"/>
                  <w:marRight w:val="0"/>
                  <w:marTop w:val="0"/>
                  <w:marBottom w:val="0"/>
                  <w:divBdr>
                    <w:top w:val="none" w:sz="0" w:space="0" w:color="auto"/>
                    <w:left w:val="none" w:sz="0" w:space="0" w:color="auto"/>
                    <w:bottom w:val="none" w:sz="0" w:space="0" w:color="auto"/>
                    <w:right w:val="none" w:sz="0" w:space="0" w:color="auto"/>
                  </w:divBdr>
                  <w:divsChild>
                    <w:div w:id="393086708">
                      <w:marLeft w:val="0"/>
                      <w:marRight w:val="0"/>
                      <w:marTop w:val="0"/>
                      <w:marBottom w:val="0"/>
                      <w:divBdr>
                        <w:top w:val="none" w:sz="0" w:space="0" w:color="auto"/>
                        <w:left w:val="none" w:sz="0" w:space="0" w:color="auto"/>
                        <w:bottom w:val="none" w:sz="0" w:space="0" w:color="auto"/>
                        <w:right w:val="none" w:sz="0" w:space="0" w:color="auto"/>
                      </w:divBdr>
                    </w:div>
                  </w:divsChild>
                </w:div>
                <w:div w:id="1214925096">
                  <w:marLeft w:val="0"/>
                  <w:marRight w:val="0"/>
                  <w:marTop w:val="0"/>
                  <w:marBottom w:val="0"/>
                  <w:divBdr>
                    <w:top w:val="none" w:sz="0" w:space="0" w:color="auto"/>
                    <w:left w:val="none" w:sz="0" w:space="0" w:color="auto"/>
                    <w:bottom w:val="none" w:sz="0" w:space="0" w:color="auto"/>
                    <w:right w:val="none" w:sz="0" w:space="0" w:color="auto"/>
                  </w:divBdr>
                  <w:divsChild>
                    <w:div w:id="688916139">
                      <w:marLeft w:val="0"/>
                      <w:marRight w:val="0"/>
                      <w:marTop w:val="0"/>
                      <w:marBottom w:val="0"/>
                      <w:divBdr>
                        <w:top w:val="none" w:sz="0" w:space="0" w:color="auto"/>
                        <w:left w:val="none" w:sz="0" w:space="0" w:color="auto"/>
                        <w:bottom w:val="none" w:sz="0" w:space="0" w:color="auto"/>
                        <w:right w:val="none" w:sz="0" w:space="0" w:color="auto"/>
                      </w:divBdr>
                    </w:div>
                  </w:divsChild>
                </w:div>
                <w:div w:id="275723536">
                  <w:marLeft w:val="0"/>
                  <w:marRight w:val="0"/>
                  <w:marTop w:val="0"/>
                  <w:marBottom w:val="0"/>
                  <w:divBdr>
                    <w:top w:val="none" w:sz="0" w:space="0" w:color="auto"/>
                    <w:left w:val="none" w:sz="0" w:space="0" w:color="auto"/>
                    <w:bottom w:val="none" w:sz="0" w:space="0" w:color="auto"/>
                    <w:right w:val="none" w:sz="0" w:space="0" w:color="auto"/>
                  </w:divBdr>
                  <w:divsChild>
                    <w:div w:id="244730792">
                      <w:marLeft w:val="0"/>
                      <w:marRight w:val="0"/>
                      <w:marTop w:val="0"/>
                      <w:marBottom w:val="0"/>
                      <w:divBdr>
                        <w:top w:val="none" w:sz="0" w:space="0" w:color="auto"/>
                        <w:left w:val="none" w:sz="0" w:space="0" w:color="auto"/>
                        <w:bottom w:val="none" w:sz="0" w:space="0" w:color="auto"/>
                        <w:right w:val="none" w:sz="0" w:space="0" w:color="auto"/>
                      </w:divBdr>
                    </w:div>
                  </w:divsChild>
                </w:div>
                <w:div w:id="885990590">
                  <w:marLeft w:val="0"/>
                  <w:marRight w:val="0"/>
                  <w:marTop w:val="0"/>
                  <w:marBottom w:val="0"/>
                  <w:divBdr>
                    <w:top w:val="none" w:sz="0" w:space="0" w:color="auto"/>
                    <w:left w:val="none" w:sz="0" w:space="0" w:color="auto"/>
                    <w:bottom w:val="none" w:sz="0" w:space="0" w:color="auto"/>
                    <w:right w:val="none" w:sz="0" w:space="0" w:color="auto"/>
                  </w:divBdr>
                  <w:divsChild>
                    <w:div w:id="892276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5958895">
          <w:marLeft w:val="0"/>
          <w:marRight w:val="0"/>
          <w:marTop w:val="0"/>
          <w:marBottom w:val="0"/>
          <w:divBdr>
            <w:top w:val="none" w:sz="0" w:space="0" w:color="auto"/>
            <w:left w:val="none" w:sz="0" w:space="0" w:color="auto"/>
            <w:bottom w:val="none" w:sz="0" w:space="0" w:color="auto"/>
            <w:right w:val="none" w:sz="0" w:space="0" w:color="auto"/>
          </w:divBdr>
        </w:div>
        <w:div w:id="1020277589">
          <w:marLeft w:val="0"/>
          <w:marRight w:val="0"/>
          <w:marTop w:val="0"/>
          <w:marBottom w:val="0"/>
          <w:divBdr>
            <w:top w:val="none" w:sz="0" w:space="0" w:color="auto"/>
            <w:left w:val="none" w:sz="0" w:space="0" w:color="auto"/>
            <w:bottom w:val="none" w:sz="0" w:space="0" w:color="auto"/>
            <w:right w:val="none" w:sz="0" w:space="0" w:color="auto"/>
          </w:divBdr>
        </w:div>
        <w:div w:id="1315380764">
          <w:marLeft w:val="0"/>
          <w:marRight w:val="0"/>
          <w:marTop w:val="0"/>
          <w:marBottom w:val="0"/>
          <w:divBdr>
            <w:top w:val="none" w:sz="0" w:space="0" w:color="auto"/>
            <w:left w:val="none" w:sz="0" w:space="0" w:color="auto"/>
            <w:bottom w:val="none" w:sz="0" w:space="0" w:color="auto"/>
            <w:right w:val="none" w:sz="0" w:space="0" w:color="auto"/>
          </w:divBdr>
        </w:div>
        <w:div w:id="956373199">
          <w:marLeft w:val="0"/>
          <w:marRight w:val="0"/>
          <w:marTop w:val="0"/>
          <w:marBottom w:val="0"/>
          <w:divBdr>
            <w:top w:val="none" w:sz="0" w:space="0" w:color="auto"/>
            <w:left w:val="none" w:sz="0" w:space="0" w:color="auto"/>
            <w:bottom w:val="none" w:sz="0" w:space="0" w:color="auto"/>
            <w:right w:val="none" w:sz="0" w:space="0" w:color="auto"/>
          </w:divBdr>
        </w:div>
        <w:div w:id="615253055">
          <w:marLeft w:val="0"/>
          <w:marRight w:val="0"/>
          <w:marTop w:val="0"/>
          <w:marBottom w:val="0"/>
          <w:divBdr>
            <w:top w:val="none" w:sz="0" w:space="0" w:color="auto"/>
            <w:left w:val="none" w:sz="0" w:space="0" w:color="auto"/>
            <w:bottom w:val="none" w:sz="0" w:space="0" w:color="auto"/>
            <w:right w:val="none" w:sz="0" w:space="0" w:color="auto"/>
          </w:divBdr>
          <w:divsChild>
            <w:div w:id="972752027">
              <w:marLeft w:val="-75"/>
              <w:marRight w:val="0"/>
              <w:marTop w:val="30"/>
              <w:marBottom w:val="30"/>
              <w:divBdr>
                <w:top w:val="none" w:sz="0" w:space="0" w:color="auto"/>
                <w:left w:val="none" w:sz="0" w:space="0" w:color="auto"/>
                <w:bottom w:val="none" w:sz="0" w:space="0" w:color="auto"/>
                <w:right w:val="none" w:sz="0" w:space="0" w:color="auto"/>
              </w:divBdr>
              <w:divsChild>
                <w:div w:id="2128616444">
                  <w:marLeft w:val="0"/>
                  <w:marRight w:val="0"/>
                  <w:marTop w:val="0"/>
                  <w:marBottom w:val="0"/>
                  <w:divBdr>
                    <w:top w:val="none" w:sz="0" w:space="0" w:color="auto"/>
                    <w:left w:val="none" w:sz="0" w:space="0" w:color="auto"/>
                    <w:bottom w:val="none" w:sz="0" w:space="0" w:color="auto"/>
                    <w:right w:val="none" w:sz="0" w:space="0" w:color="auto"/>
                  </w:divBdr>
                  <w:divsChild>
                    <w:div w:id="1459563937">
                      <w:marLeft w:val="0"/>
                      <w:marRight w:val="0"/>
                      <w:marTop w:val="0"/>
                      <w:marBottom w:val="0"/>
                      <w:divBdr>
                        <w:top w:val="none" w:sz="0" w:space="0" w:color="auto"/>
                        <w:left w:val="none" w:sz="0" w:space="0" w:color="auto"/>
                        <w:bottom w:val="none" w:sz="0" w:space="0" w:color="auto"/>
                        <w:right w:val="none" w:sz="0" w:space="0" w:color="auto"/>
                      </w:divBdr>
                    </w:div>
                  </w:divsChild>
                </w:div>
                <w:div w:id="1322925410">
                  <w:marLeft w:val="0"/>
                  <w:marRight w:val="0"/>
                  <w:marTop w:val="0"/>
                  <w:marBottom w:val="0"/>
                  <w:divBdr>
                    <w:top w:val="none" w:sz="0" w:space="0" w:color="auto"/>
                    <w:left w:val="none" w:sz="0" w:space="0" w:color="auto"/>
                    <w:bottom w:val="none" w:sz="0" w:space="0" w:color="auto"/>
                    <w:right w:val="none" w:sz="0" w:space="0" w:color="auto"/>
                  </w:divBdr>
                  <w:divsChild>
                    <w:div w:id="757364389">
                      <w:marLeft w:val="0"/>
                      <w:marRight w:val="0"/>
                      <w:marTop w:val="0"/>
                      <w:marBottom w:val="0"/>
                      <w:divBdr>
                        <w:top w:val="none" w:sz="0" w:space="0" w:color="auto"/>
                        <w:left w:val="none" w:sz="0" w:space="0" w:color="auto"/>
                        <w:bottom w:val="none" w:sz="0" w:space="0" w:color="auto"/>
                        <w:right w:val="none" w:sz="0" w:space="0" w:color="auto"/>
                      </w:divBdr>
                    </w:div>
                  </w:divsChild>
                </w:div>
                <w:div w:id="1831940822">
                  <w:marLeft w:val="0"/>
                  <w:marRight w:val="0"/>
                  <w:marTop w:val="0"/>
                  <w:marBottom w:val="0"/>
                  <w:divBdr>
                    <w:top w:val="none" w:sz="0" w:space="0" w:color="auto"/>
                    <w:left w:val="none" w:sz="0" w:space="0" w:color="auto"/>
                    <w:bottom w:val="none" w:sz="0" w:space="0" w:color="auto"/>
                    <w:right w:val="none" w:sz="0" w:space="0" w:color="auto"/>
                  </w:divBdr>
                  <w:divsChild>
                    <w:div w:id="1665937010">
                      <w:marLeft w:val="0"/>
                      <w:marRight w:val="0"/>
                      <w:marTop w:val="0"/>
                      <w:marBottom w:val="0"/>
                      <w:divBdr>
                        <w:top w:val="none" w:sz="0" w:space="0" w:color="auto"/>
                        <w:left w:val="none" w:sz="0" w:space="0" w:color="auto"/>
                        <w:bottom w:val="none" w:sz="0" w:space="0" w:color="auto"/>
                        <w:right w:val="none" w:sz="0" w:space="0" w:color="auto"/>
                      </w:divBdr>
                    </w:div>
                  </w:divsChild>
                </w:div>
                <w:div w:id="125973009">
                  <w:marLeft w:val="0"/>
                  <w:marRight w:val="0"/>
                  <w:marTop w:val="0"/>
                  <w:marBottom w:val="0"/>
                  <w:divBdr>
                    <w:top w:val="none" w:sz="0" w:space="0" w:color="auto"/>
                    <w:left w:val="none" w:sz="0" w:space="0" w:color="auto"/>
                    <w:bottom w:val="none" w:sz="0" w:space="0" w:color="auto"/>
                    <w:right w:val="none" w:sz="0" w:space="0" w:color="auto"/>
                  </w:divBdr>
                  <w:divsChild>
                    <w:div w:id="1340305132">
                      <w:marLeft w:val="0"/>
                      <w:marRight w:val="0"/>
                      <w:marTop w:val="0"/>
                      <w:marBottom w:val="0"/>
                      <w:divBdr>
                        <w:top w:val="none" w:sz="0" w:space="0" w:color="auto"/>
                        <w:left w:val="none" w:sz="0" w:space="0" w:color="auto"/>
                        <w:bottom w:val="none" w:sz="0" w:space="0" w:color="auto"/>
                        <w:right w:val="none" w:sz="0" w:space="0" w:color="auto"/>
                      </w:divBdr>
                    </w:div>
                  </w:divsChild>
                </w:div>
                <w:div w:id="1911035398">
                  <w:marLeft w:val="0"/>
                  <w:marRight w:val="0"/>
                  <w:marTop w:val="0"/>
                  <w:marBottom w:val="0"/>
                  <w:divBdr>
                    <w:top w:val="none" w:sz="0" w:space="0" w:color="auto"/>
                    <w:left w:val="none" w:sz="0" w:space="0" w:color="auto"/>
                    <w:bottom w:val="none" w:sz="0" w:space="0" w:color="auto"/>
                    <w:right w:val="none" w:sz="0" w:space="0" w:color="auto"/>
                  </w:divBdr>
                  <w:divsChild>
                    <w:div w:id="1062485603">
                      <w:marLeft w:val="0"/>
                      <w:marRight w:val="0"/>
                      <w:marTop w:val="0"/>
                      <w:marBottom w:val="0"/>
                      <w:divBdr>
                        <w:top w:val="none" w:sz="0" w:space="0" w:color="auto"/>
                        <w:left w:val="none" w:sz="0" w:space="0" w:color="auto"/>
                        <w:bottom w:val="none" w:sz="0" w:space="0" w:color="auto"/>
                        <w:right w:val="none" w:sz="0" w:space="0" w:color="auto"/>
                      </w:divBdr>
                    </w:div>
                  </w:divsChild>
                </w:div>
                <w:div w:id="1907691515">
                  <w:marLeft w:val="0"/>
                  <w:marRight w:val="0"/>
                  <w:marTop w:val="0"/>
                  <w:marBottom w:val="0"/>
                  <w:divBdr>
                    <w:top w:val="none" w:sz="0" w:space="0" w:color="auto"/>
                    <w:left w:val="none" w:sz="0" w:space="0" w:color="auto"/>
                    <w:bottom w:val="none" w:sz="0" w:space="0" w:color="auto"/>
                    <w:right w:val="none" w:sz="0" w:space="0" w:color="auto"/>
                  </w:divBdr>
                  <w:divsChild>
                    <w:div w:id="1950501796">
                      <w:marLeft w:val="0"/>
                      <w:marRight w:val="0"/>
                      <w:marTop w:val="0"/>
                      <w:marBottom w:val="0"/>
                      <w:divBdr>
                        <w:top w:val="none" w:sz="0" w:space="0" w:color="auto"/>
                        <w:left w:val="none" w:sz="0" w:space="0" w:color="auto"/>
                        <w:bottom w:val="none" w:sz="0" w:space="0" w:color="auto"/>
                        <w:right w:val="none" w:sz="0" w:space="0" w:color="auto"/>
                      </w:divBdr>
                    </w:div>
                  </w:divsChild>
                </w:div>
                <w:div w:id="795485340">
                  <w:marLeft w:val="0"/>
                  <w:marRight w:val="0"/>
                  <w:marTop w:val="0"/>
                  <w:marBottom w:val="0"/>
                  <w:divBdr>
                    <w:top w:val="none" w:sz="0" w:space="0" w:color="auto"/>
                    <w:left w:val="none" w:sz="0" w:space="0" w:color="auto"/>
                    <w:bottom w:val="none" w:sz="0" w:space="0" w:color="auto"/>
                    <w:right w:val="none" w:sz="0" w:space="0" w:color="auto"/>
                  </w:divBdr>
                  <w:divsChild>
                    <w:div w:id="678043261">
                      <w:marLeft w:val="0"/>
                      <w:marRight w:val="0"/>
                      <w:marTop w:val="0"/>
                      <w:marBottom w:val="0"/>
                      <w:divBdr>
                        <w:top w:val="none" w:sz="0" w:space="0" w:color="auto"/>
                        <w:left w:val="none" w:sz="0" w:space="0" w:color="auto"/>
                        <w:bottom w:val="none" w:sz="0" w:space="0" w:color="auto"/>
                        <w:right w:val="none" w:sz="0" w:space="0" w:color="auto"/>
                      </w:divBdr>
                    </w:div>
                  </w:divsChild>
                </w:div>
                <w:div w:id="1833136291">
                  <w:marLeft w:val="0"/>
                  <w:marRight w:val="0"/>
                  <w:marTop w:val="0"/>
                  <w:marBottom w:val="0"/>
                  <w:divBdr>
                    <w:top w:val="none" w:sz="0" w:space="0" w:color="auto"/>
                    <w:left w:val="none" w:sz="0" w:space="0" w:color="auto"/>
                    <w:bottom w:val="none" w:sz="0" w:space="0" w:color="auto"/>
                    <w:right w:val="none" w:sz="0" w:space="0" w:color="auto"/>
                  </w:divBdr>
                  <w:divsChild>
                    <w:div w:id="447241979">
                      <w:marLeft w:val="0"/>
                      <w:marRight w:val="0"/>
                      <w:marTop w:val="0"/>
                      <w:marBottom w:val="0"/>
                      <w:divBdr>
                        <w:top w:val="none" w:sz="0" w:space="0" w:color="auto"/>
                        <w:left w:val="none" w:sz="0" w:space="0" w:color="auto"/>
                        <w:bottom w:val="none" w:sz="0" w:space="0" w:color="auto"/>
                        <w:right w:val="none" w:sz="0" w:space="0" w:color="auto"/>
                      </w:divBdr>
                    </w:div>
                  </w:divsChild>
                </w:div>
                <w:div w:id="1341736293">
                  <w:marLeft w:val="0"/>
                  <w:marRight w:val="0"/>
                  <w:marTop w:val="0"/>
                  <w:marBottom w:val="0"/>
                  <w:divBdr>
                    <w:top w:val="none" w:sz="0" w:space="0" w:color="auto"/>
                    <w:left w:val="none" w:sz="0" w:space="0" w:color="auto"/>
                    <w:bottom w:val="none" w:sz="0" w:space="0" w:color="auto"/>
                    <w:right w:val="none" w:sz="0" w:space="0" w:color="auto"/>
                  </w:divBdr>
                  <w:divsChild>
                    <w:div w:id="1393306956">
                      <w:marLeft w:val="0"/>
                      <w:marRight w:val="0"/>
                      <w:marTop w:val="0"/>
                      <w:marBottom w:val="0"/>
                      <w:divBdr>
                        <w:top w:val="none" w:sz="0" w:space="0" w:color="auto"/>
                        <w:left w:val="none" w:sz="0" w:space="0" w:color="auto"/>
                        <w:bottom w:val="none" w:sz="0" w:space="0" w:color="auto"/>
                        <w:right w:val="none" w:sz="0" w:space="0" w:color="auto"/>
                      </w:divBdr>
                    </w:div>
                  </w:divsChild>
                </w:div>
                <w:div w:id="372049001">
                  <w:marLeft w:val="0"/>
                  <w:marRight w:val="0"/>
                  <w:marTop w:val="0"/>
                  <w:marBottom w:val="0"/>
                  <w:divBdr>
                    <w:top w:val="none" w:sz="0" w:space="0" w:color="auto"/>
                    <w:left w:val="none" w:sz="0" w:space="0" w:color="auto"/>
                    <w:bottom w:val="none" w:sz="0" w:space="0" w:color="auto"/>
                    <w:right w:val="none" w:sz="0" w:space="0" w:color="auto"/>
                  </w:divBdr>
                  <w:divsChild>
                    <w:div w:id="1158304424">
                      <w:marLeft w:val="0"/>
                      <w:marRight w:val="0"/>
                      <w:marTop w:val="0"/>
                      <w:marBottom w:val="0"/>
                      <w:divBdr>
                        <w:top w:val="none" w:sz="0" w:space="0" w:color="auto"/>
                        <w:left w:val="none" w:sz="0" w:space="0" w:color="auto"/>
                        <w:bottom w:val="none" w:sz="0" w:space="0" w:color="auto"/>
                        <w:right w:val="none" w:sz="0" w:space="0" w:color="auto"/>
                      </w:divBdr>
                    </w:div>
                  </w:divsChild>
                </w:div>
                <w:div w:id="1978028573">
                  <w:marLeft w:val="0"/>
                  <w:marRight w:val="0"/>
                  <w:marTop w:val="0"/>
                  <w:marBottom w:val="0"/>
                  <w:divBdr>
                    <w:top w:val="none" w:sz="0" w:space="0" w:color="auto"/>
                    <w:left w:val="none" w:sz="0" w:space="0" w:color="auto"/>
                    <w:bottom w:val="none" w:sz="0" w:space="0" w:color="auto"/>
                    <w:right w:val="none" w:sz="0" w:space="0" w:color="auto"/>
                  </w:divBdr>
                  <w:divsChild>
                    <w:div w:id="855923314">
                      <w:marLeft w:val="0"/>
                      <w:marRight w:val="0"/>
                      <w:marTop w:val="0"/>
                      <w:marBottom w:val="0"/>
                      <w:divBdr>
                        <w:top w:val="none" w:sz="0" w:space="0" w:color="auto"/>
                        <w:left w:val="none" w:sz="0" w:space="0" w:color="auto"/>
                        <w:bottom w:val="none" w:sz="0" w:space="0" w:color="auto"/>
                        <w:right w:val="none" w:sz="0" w:space="0" w:color="auto"/>
                      </w:divBdr>
                    </w:div>
                  </w:divsChild>
                </w:div>
                <w:div w:id="195588097">
                  <w:marLeft w:val="0"/>
                  <w:marRight w:val="0"/>
                  <w:marTop w:val="0"/>
                  <w:marBottom w:val="0"/>
                  <w:divBdr>
                    <w:top w:val="none" w:sz="0" w:space="0" w:color="auto"/>
                    <w:left w:val="none" w:sz="0" w:space="0" w:color="auto"/>
                    <w:bottom w:val="none" w:sz="0" w:space="0" w:color="auto"/>
                    <w:right w:val="none" w:sz="0" w:space="0" w:color="auto"/>
                  </w:divBdr>
                  <w:divsChild>
                    <w:div w:id="1096830308">
                      <w:marLeft w:val="0"/>
                      <w:marRight w:val="0"/>
                      <w:marTop w:val="0"/>
                      <w:marBottom w:val="0"/>
                      <w:divBdr>
                        <w:top w:val="none" w:sz="0" w:space="0" w:color="auto"/>
                        <w:left w:val="none" w:sz="0" w:space="0" w:color="auto"/>
                        <w:bottom w:val="none" w:sz="0" w:space="0" w:color="auto"/>
                        <w:right w:val="none" w:sz="0" w:space="0" w:color="auto"/>
                      </w:divBdr>
                    </w:div>
                  </w:divsChild>
                </w:div>
                <w:div w:id="336931044">
                  <w:marLeft w:val="0"/>
                  <w:marRight w:val="0"/>
                  <w:marTop w:val="0"/>
                  <w:marBottom w:val="0"/>
                  <w:divBdr>
                    <w:top w:val="none" w:sz="0" w:space="0" w:color="auto"/>
                    <w:left w:val="none" w:sz="0" w:space="0" w:color="auto"/>
                    <w:bottom w:val="none" w:sz="0" w:space="0" w:color="auto"/>
                    <w:right w:val="none" w:sz="0" w:space="0" w:color="auto"/>
                  </w:divBdr>
                  <w:divsChild>
                    <w:div w:id="1902786818">
                      <w:marLeft w:val="0"/>
                      <w:marRight w:val="0"/>
                      <w:marTop w:val="0"/>
                      <w:marBottom w:val="0"/>
                      <w:divBdr>
                        <w:top w:val="none" w:sz="0" w:space="0" w:color="auto"/>
                        <w:left w:val="none" w:sz="0" w:space="0" w:color="auto"/>
                        <w:bottom w:val="none" w:sz="0" w:space="0" w:color="auto"/>
                        <w:right w:val="none" w:sz="0" w:space="0" w:color="auto"/>
                      </w:divBdr>
                    </w:div>
                  </w:divsChild>
                </w:div>
                <w:div w:id="1249390160">
                  <w:marLeft w:val="0"/>
                  <w:marRight w:val="0"/>
                  <w:marTop w:val="0"/>
                  <w:marBottom w:val="0"/>
                  <w:divBdr>
                    <w:top w:val="none" w:sz="0" w:space="0" w:color="auto"/>
                    <w:left w:val="none" w:sz="0" w:space="0" w:color="auto"/>
                    <w:bottom w:val="none" w:sz="0" w:space="0" w:color="auto"/>
                    <w:right w:val="none" w:sz="0" w:space="0" w:color="auto"/>
                  </w:divBdr>
                  <w:divsChild>
                    <w:div w:id="1499150662">
                      <w:marLeft w:val="0"/>
                      <w:marRight w:val="0"/>
                      <w:marTop w:val="0"/>
                      <w:marBottom w:val="0"/>
                      <w:divBdr>
                        <w:top w:val="none" w:sz="0" w:space="0" w:color="auto"/>
                        <w:left w:val="none" w:sz="0" w:space="0" w:color="auto"/>
                        <w:bottom w:val="none" w:sz="0" w:space="0" w:color="auto"/>
                        <w:right w:val="none" w:sz="0" w:space="0" w:color="auto"/>
                      </w:divBdr>
                    </w:div>
                  </w:divsChild>
                </w:div>
                <w:div w:id="227961597">
                  <w:marLeft w:val="0"/>
                  <w:marRight w:val="0"/>
                  <w:marTop w:val="0"/>
                  <w:marBottom w:val="0"/>
                  <w:divBdr>
                    <w:top w:val="none" w:sz="0" w:space="0" w:color="auto"/>
                    <w:left w:val="none" w:sz="0" w:space="0" w:color="auto"/>
                    <w:bottom w:val="none" w:sz="0" w:space="0" w:color="auto"/>
                    <w:right w:val="none" w:sz="0" w:space="0" w:color="auto"/>
                  </w:divBdr>
                  <w:divsChild>
                    <w:div w:id="1111437072">
                      <w:marLeft w:val="0"/>
                      <w:marRight w:val="0"/>
                      <w:marTop w:val="0"/>
                      <w:marBottom w:val="0"/>
                      <w:divBdr>
                        <w:top w:val="none" w:sz="0" w:space="0" w:color="auto"/>
                        <w:left w:val="none" w:sz="0" w:space="0" w:color="auto"/>
                        <w:bottom w:val="none" w:sz="0" w:space="0" w:color="auto"/>
                        <w:right w:val="none" w:sz="0" w:space="0" w:color="auto"/>
                      </w:divBdr>
                    </w:div>
                  </w:divsChild>
                </w:div>
                <w:div w:id="1178154121">
                  <w:marLeft w:val="0"/>
                  <w:marRight w:val="0"/>
                  <w:marTop w:val="0"/>
                  <w:marBottom w:val="0"/>
                  <w:divBdr>
                    <w:top w:val="none" w:sz="0" w:space="0" w:color="auto"/>
                    <w:left w:val="none" w:sz="0" w:space="0" w:color="auto"/>
                    <w:bottom w:val="none" w:sz="0" w:space="0" w:color="auto"/>
                    <w:right w:val="none" w:sz="0" w:space="0" w:color="auto"/>
                  </w:divBdr>
                  <w:divsChild>
                    <w:div w:id="282538089">
                      <w:marLeft w:val="0"/>
                      <w:marRight w:val="0"/>
                      <w:marTop w:val="0"/>
                      <w:marBottom w:val="0"/>
                      <w:divBdr>
                        <w:top w:val="none" w:sz="0" w:space="0" w:color="auto"/>
                        <w:left w:val="none" w:sz="0" w:space="0" w:color="auto"/>
                        <w:bottom w:val="none" w:sz="0" w:space="0" w:color="auto"/>
                        <w:right w:val="none" w:sz="0" w:space="0" w:color="auto"/>
                      </w:divBdr>
                    </w:div>
                  </w:divsChild>
                </w:div>
                <w:div w:id="1760715394">
                  <w:marLeft w:val="0"/>
                  <w:marRight w:val="0"/>
                  <w:marTop w:val="0"/>
                  <w:marBottom w:val="0"/>
                  <w:divBdr>
                    <w:top w:val="none" w:sz="0" w:space="0" w:color="auto"/>
                    <w:left w:val="none" w:sz="0" w:space="0" w:color="auto"/>
                    <w:bottom w:val="none" w:sz="0" w:space="0" w:color="auto"/>
                    <w:right w:val="none" w:sz="0" w:space="0" w:color="auto"/>
                  </w:divBdr>
                  <w:divsChild>
                    <w:div w:id="137579761">
                      <w:marLeft w:val="0"/>
                      <w:marRight w:val="0"/>
                      <w:marTop w:val="0"/>
                      <w:marBottom w:val="0"/>
                      <w:divBdr>
                        <w:top w:val="none" w:sz="0" w:space="0" w:color="auto"/>
                        <w:left w:val="none" w:sz="0" w:space="0" w:color="auto"/>
                        <w:bottom w:val="none" w:sz="0" w:space="0" w:color="auto"/>
                        <w:right w:val="none" w:sz="0" w:space="0" w:color="auto"/>
                      </w:divBdr>
                    </w:div>
                  </w:divsChild>
                </w:div>
                <w:div w:id="565145013">
                  <w:marLeft w:val="0"/>
                  <w:marRight w:val="0"/>
                  <w:marTop w:val="0"/>
                  <w:marBottom w:val="0"/>
                  <w:divBdr>
                    <w:top w:val="none" w:sz="0" w:space="0" w:color="auto"/>
                    <w:left w:val="none" w:sz="0" w:space="0" w:color="auto"/>
                    <w:bottom w:val="none" w:sz="0" w:space="0" w:color="auto"/>
                    <w:right w:val="none" w:sz="0" w:space="0" w:color="auto"/>
                  </w:divBdr>
                  <w:divsChild>
                    <w:div w:id="1180196935">
                      <w:marLeft w:val="0"/>
                      <w:marRight w:val="0"/>
                      <w:marTop w:val="0"/>
                      <w:marBottom w:val="0"/>
                      <w:divBdr>
                        <w:top w:val="none" w:sz="0" w:space="0" w:color="auto"/>
                        <w:left w:val="none" w:sz="0" w:space="0" w:color="auto"/>
                        <w:bottom w:val="none" w:sz="0" w:space="0" w:color="auto"/>
                        <w:right w:val="none" w:sz="0" w:space="0" w:color="auto"/>
                      </w:divBdr>
                    </w:div>
                  </w:divsChild>
                </w:div>
                <w:div w:id="394283787">
                  <w:marLeft w:val="0"/>
                  <w:marRight w:val="0"/>
                  <w:marTop w:val="0"/>
                  <w:marBottom w:val="0"/>
                  <w:divBdr>
                    <w:top w:val="none" w:sz="0" w:space="0" w:color="auto"/>
                    <w:left w:val="none" w:sz="0" w:space="0" w:color="auto"/>
                    <w:bottom w:val="none" w:sz="0" w:space="0" w:color="auto"/>
                    <w:right w:val="none" w:sz="0" w:space="0" w:color="auto"/>
                  </w:divBdr>
                  <w:divsChild>
                    <w:div w:id="1840850797">
                      <w:marLeft w:val="0"/>
                      <w:marRight w:val="0"/>
                      <w:marTop w:val="0"/>
                      <w:marBottom w:val="0"/>
                      <w:divBdr>
                        <w:top w:val="none" w:sz="0" w:space="0" w:color="auto"/>
                        <w:left w:val="none" w:sz="0" w:space="0" w:color="auto"/>
                        <w:bottom w:val="none" w:sz="0" w:space="0" w:color="auto"/>
                        <w:right w:val="none" w:sz="0" w:space="0" w:color="auto"/>
                      </w:divBdr>
                    </w:div>
                  </w:divsChild>
                </w:div>
                <w:div w:id="1362128689">
                  <w:marLeft w:val="0"/>
                  <w:marRight w:val="0"/>
                  <w:marTop w:val="0"/>
                  <w:marBottom w:val="0"/>
                  <w:divBdr>
                    <w:top w:val="none" w:sz="0" w:space="0" w:color="auto"/>
                    <w:left w:val="none" w:sz="0" w:space="0" w:color="auto"/>
                    <w:bottom w:val="none" w:sz="0" w:space="0" w:color="auto"/>
                    <w:right w:val="none" w:sz="0" w:space="0" w:color="auto"/>
                  </w:divBdr>
                  <w:divsChild>
                    <w:div w:id="250480155">
                      <w:marLeft w:val="0"/>
                      <w:marRight w:val="0"/>
                      <w:marTop w:val="0"/>
                      <w:marBottom w:val="0"/>
                      <w:divBdr>
                        <w:top w:val="none" w:sz="0" w:space="0" w:color="auto"/>
                        <w:left w:val="none" w:sz="0" w:space="0" w:color="auto"/>
                        <w:bottom w:val="none" w:sz="0" w:space="0" w:color="auto"/>
                        <w:right w:val="none" w:sz="0" w:space="0" w:color="auto"/>
                      </w:divBdr>
                    </w:div>
                  </w:divsChild>
                </w:div>
                <w:div w:id="688529915">
                  <w:marLeft w:val="0"/>
                  <w:marRight w:val="0"/>
                  <w:marTop w:val="0"/>
                  <w:marBottom w:val="0"/>
                  <w:divBdr>
                    <w:top w:val="none" w:sz="0" w:space="0" w:color="auto"/>
                    <w:left w:val="none" w:sz="0" w:space="0" w:color="auto"/>
                    <w:bottom w:val="none" w:sz="0" w:space="0" w:color="auto"/>
                    <w:right w:val="none" w:sz="0" w:space="0" w:color="auto"/>
                  </w:divBdr>
                  <w:divsChild>
                    <w:div w:id="1578783517">
                      <w:marLeft w:val="0"/>
                      <w:marRight w:val="0"/>
                      <w:marTop w:val="0"/>
                      <w:marBottom w:val="0"/>
                      <w:divBdr>
                        <w:top w:val="none" w:sz="0" w:space="0" w:color="auto"/>
                        <w:left w:val="none" w:sz="0" w:space="0" w:color="auto"/>
                        <w:bottom w:val="none" w:sz="0" w:space="0" w:color="auto"/>
                        <w:right w:val="none" w:sz="0" w:space="0" w:color="auto"/>
                      </w:divBdr>
                    </w:div>
                  </w:divsChild>
                </w:div>
                <w:div w:id="572931793">
                  <w:marLeft w:val="0"/>
                  <w:marRight w:val="0"/>
                  <w:marTop w:val="0"/>
                  <w:marBottom w:val="0"/>
                  <w:divBdr>
                    <w:top w:val="none" w:sz="0" w:space="0" w:color="auto"/>
                    <w:left w:val="none" w:sz="0" w:space="0" w:color="auto"/>
                    <w:bottom w:val="none" w:sz="0" w:space="0" w:color="auto"/>
                    <w:right w:val="none" w:sz="0" w:space="0" w:color="auto"/>
                  </w:divBdr>
                  <w:divsChild>
                    <w:div w:id="740058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5325761">
          <w:marLeft w:val="0"/>
          <w:marRight w:val="0"/>
          <w:marTop w:val="0"/>
          <w:marBottom w:val="0"/>
          <w:divBdr>
            <w:top w:val="none" w:sz="0" w:space="0" w:color="auto"/>
            <w:left w:val="none" w:sz="0" w:space="0" w:color="auto"/>
            <w:bottom w:val="none" w:sz="0" w:space="0" w:color="auto"/>
            <w:right w:val="none" w:sz="0" w:space="0" w:color="auto"/>
          </w:divBdr>
        </w:div>
        <w:div w:id="1011181571">
          <w:marLeft w:val="0"/>
          <w:marRight w:val="0"/>
          <w:marTop w:val="0"/>
          <w:marBottom w:val="0"/>
          <w:divBdr>
            <w:top w:val="none" w:sz="0" w:space="0" w:color="auto"/>
            <w:left w:val="none" w:sz="0" w:space="0" w:color="auto"/>
            <w:bottom w:val="none" w:sz="0" w:space="0" w:color="auto"/>
            <w:right w:val="none" w:sz="0" w:space="0" w:color="auto"/>
          </w:divBdr>
        </w:div>
        <w:div w:id="1479960536">
          <w:marLeft w:val="0"/>
          <w:marRight w:val="0"/>
          <w:marTop w:val="0"/>
          <w:marBottom w:val="0"/>
          <w:divBdr>
            <w:top w:val="none" w:sz="0" w:space="0" w:color="auto"/>
            <w:left w:val="none" w:sz="0" w:space="0" w:color="auto"/>
            <w:bottom w:val="none" w:sz="0" w:space="0" w:color="auto"/>
            <w:right w:val="none" w:sz="0" w:space="0" w:color="auto"/>
          </w:divBdr>
        </w:div>
        <w:div w:id="2061518861">
          <w:marLeft w:val="0"/>
          <w:marRight w:val="0"/>
          <w:marTop w:val="0"/>
          <w:marBottom w:val="0"/>
          <w:divBdr>
            <w:top w:val="none" w:sz="0" w:space="0" w:color="auto"/>
            <w:left w:val="none" w:sz="0" w:space="0" w:color="auto"/>
            <w:bottom w:val="none" w:sz="0" w:space="0" w:color="auto"/>
            <w:right w:val="none" w:sz="0" w:space="0" w:color="auto"/>
          </w:divBdr>
        </w:div>
        <w:div w:id="1271887439">
          <w:marLeft w:val="0"/>
          <w:marRight w:val="0"/>
          <w:marTop w:val="0"/>
          <w:marBottom w:val="0"/>
          <w:divBdr>
            <w:top w:val="none" w:sz="0" w:space="0" w:color="auto"/>
            <w:left w:val="none" w:sz="0" w:space="0" w:color="auto"/>
            <w:bottom w:val="none" w:sz="0" w:space="0" w:color="auto"/>
            <w:right w:val="none" w:sz="0" w:space="0" w:color="auto"/>
          </w:divBdr>
          <w:divsChild>
            <w:div w:id="1441798001">
              <w:marLeft w:val="-75"/>
              <w:marRight w:val="0"/>
              <w:marTop w:val="30"/>
              <w:marBottom w:val="30"/>
              <w:divBdr>
                <w:top w:val="none" w:sz="0" w:space="0" w:color="auto"/>
                <w:left w:val="none" w:sz="0" w:space="0" w:color="auto"/>
                <w:bottom w:val="none" w:sz="0" w:space="0" w:color="auto"/>
                <w:right w:val="none" w:sz="0" w:space="0" w:color="auto"/>
              </w:divBdr>
              <w:divsChild>
                <w:div w:id="1877155287">
                  <w:marLeft w:val="0"/>
                  <w:marRight w:val="0"/>
                  <w:marTop w:val="0"/>
                  <w:marBottom w:val="0"/>
                  <w:divBdr>
                    <w:top w:val="none" w:sz="0" w:space="0" w:color="auto"/>
                    <w:left w:val="none" w:sz="0" w:space="0" w:color="auto"/>
                    <w:bottom w:val="none" w:sz="0" w:space="0" w:color="auto"/>
                    <w:right w:val="none" w:sz="0" w:space="0" w:color="auto"/>
                  </w:divBdr>
                  <w:divsChild>
                    <w:div w:id="695733792">
                      <w:marLeft w:val="0"/>
                      <w:marRight w:val="0"/>
                      <w:marTop w:val="0"/>
                      <w:marBottom w:val="0"/>
                      <w:divBdr>
                        <w:top w:val="none" w:sz="0" w:space="0" w:color="auto"/>
                        <w:left w:val="none" w:sz="0" w:space="0" w:color="auto"/>
                        <w:bottom w:val="none" w:sz="0" w:space="0" w:color="auto"/>
                        <w:right w:val="none" w:sz="0" w:space="0" w:color="auto"/>
                      </w:divBdr>
                    </w:div>
                  </w:divsChild>
                </w:div>
                <w:div w:id="486825858">
                  <w:marLeft w:val="0"/>
                  <w:marRight w:val="0"/>
                  <w:marTop w:val="0"/>
                  <w:marBottom w:val="0"/>
                  <w:divBdr>
                    <w:top w:val="none" w:sz="0" w:space="0" w:color="auto"/>
                    <w:left w:val="none" w:sz="0" w:space="0" w:color="auto"/>
                    <w:bottom w:val="none" w:sz="0" w:space="0" w:color="auto"/>
                    <w:right w:val="none" w:sz="0" w:space="0" w:color="auto"/>
                  </w:divBdr>
                  <w:divsChild>
                    <w:div w:id="1110009293">
                      <w:marLeft w:val="0"/>
                      <w:marRight w:val="0"/>
                      <w:marTop w:val="0"/>
                      <w:marBottom w:val="0"/>
                      <w:divBdr>
                        <w:top w:val="none" w:sz="0" w:space="0" w:color="auto"/>
                        <w:left w:val="none" w:sz="0" w:space="0" w:color="auto"/>
                        <w:bottom w:val="none" w:sz="0" w:space="0" w:color="auto"/>
                        <w:right w:val="none" w:sz="0" w:space="0" w:color="auto"/>
                      </w:divBdr>
                    </w:div>
                  </w:divsChild>
                </w:div>
                <w:div w:id="784426319">
                  <w:marLeft w:val="0"/>
                  <w:marRight w:val="0"/>
                  <w:marTop w:val="0"/>
                  <w:marBottom w:val="0"/>
                  <w:divBdr>
                    <w:top w:val="none" w:sz="0" w:space="0" w:color="auto"/>
                    <w:left w:val="none" w:sz="0" w:space="0" w:color="auto"/>
                    <w:bottom w:val="none" w:sz="0" w:space="0" w:color="auto"/>
                    <w:right w:val="none" w:sz="0" w:space="0" w:color="auto"/>
                  </w:divBdr>
                  <w:divsChild>
                    <w:div w:id="644360533">
                      <w:marLeft w:val="0"/>
                      <w:marRight w:val="0"/>
                      <w:marTop w:val="0"/>
                      <w:marBottom w:val="0"/>
                      <w:divBdr>
                        <w:top w:val="none" w:sz="0" w:space="0" w:color="auto"/>
                        <w:left w:val="none" w:sz="0" w:space="0" w:color="auto"/>
                        <w:bottom w:val="none" w:sz="0" w:space="0" w:color="auto"/>
                        <w:right w:val="none" w:sz="0" w:space="0" w:color="auto"/>
                      </w:divBdr>
                    </w:div>
                  </w:divsChild>
                </w:div>
                <w:div w:id="2067878484">
                  <w:marLeft w:val="0"/>
                  <w:marRight w:val="0"/>
                  <w:marTop w:val="0"/>
                  <w:marBottom w:val="0"/>
                  <w:divBdr>
                    <w:top w:val="none" w:sz="0" w:space="0" w:color="auto"/>
                    <w:left w:val="none" w:sz="0" w:space="0" w:color="auto"/>
                    <w:bottom w:val="none" w:sz="0" w:space="0" w:color="auto"/>
                    <w:right w:val="none" w:sz="0" w:space="0" w:color="auto"/>
                  </w:divBdr>
                  <w:divsChild>
                    <w:div w:id="707680452">
                      <w:marLeft w:val="0"/>
                      <w:marRight w:val="0"/>
                      <w:marTop w:val="0"/>
                      <w:marBottom w:val="0"/>
                      <w:divBdr>
                        <w:top w:val="none" w:sz="0" w:space="0" w:color="auto"/>
                        <w:left w:val="none" w:sz="0" w:space="0" w:color="auto"/>
                        <w:bottom w:val="none" w:sz="0" w:space="0" w:color="auto"/>
                        <w:right w:val="none" w:sz="0" w:space="0" w:color="auto"/>
                      </w:divBdr>
                    </w:div>
                  </w:divsChild>
                </w:div>
                <w:div w:id="9839040">
                  <w:marLeft w:val="0"/>
                  <w:marRight w:val="0"/>
                  <w:marTop w:val="0"/>
                  <w:marBottom w:val="0"/>
                  <w:divBdr>
                    <w:top w:val="none" w:sz="0" w:space="0" w:color="auto"/>
                    <w:left w:val="none" w:sz="0" w:space="0" w:color="auto"/>
                    <w:bottom w:val="none" w:sz="0" w:space="0" w:color="auto"/>
                    <w:right w:val="none" w:sz="0" w:space="0" w:color="auto"/>
                  </w:divBdr>
                  <w:divsChild>
                    <w:div w:id="1951082509">
                      <w:marLeft w:val="0"/>
                      <w:marRight w:val="0"/>
                      <w:marTop w:val="0"/>
                      <w:marBottom w:val="0"/>
                      <w:divBdr>
                        <w:top w:val="none" w:sz="0" w:space="0" w:color="auto"/>
                        <w:left w:val="none" w:sz="0" w:space="0" w:color="auto"/>
                        <w:bottom w:val="none" w:sz="0" w:space="0" w:color="auto"/>
                        <w:right w:val="none" w:sz="0" w:space="0" w:color="auto"/>
                      </w:divBdr>
                    </w:div>
                  </w:divsChild>
                </w:div>
                <w:div w:id="761149930">
                  <w:marLeft w:val="0"/>
                  <w:marRight w:val="0"/>
                  <w:marTop w:val="0"/>
                  <w:marBottom w:val="0"/>
                  <w:divBdr>
                    <w:top w:val="none" w:sz="0" w:space="0" w:color="auto"/>
                    <w:left w:val="none" w:sz="0" w:space="0" w:color="auto"/>
                    <w:bottom w:val="none" w:sz="0" w:space="0" w:color="auto"/>
                    <w:right w:val="none" w:sz="0" w:space="0" w:color="auto"/>
                  </w:divBdr>
                  <w:divsChild>
                    <w:div w:id="1163278748">
                      <w:marLeft w:val="0"/>
                      <w:marRight w:val="0"/>
                      <w:marTop w:val="0"/>
                      <w:marBottom w:val="0"/>
                      <w:divBdr>
                        <w:top w:val="none" w:sz="0" w:space="0" w:color="auto"/>
                        <w:left w:val="none" w:sz="0" w:space="0" w:color="auto"/>
                        <w:bottom w:val="none" w:sz="0" w:space="0" w:color="auto"/>
                        <w:right w:val="none" w:sz="0" w:space="0" w:color="auto"/>
                      </w:divBdr>
                    </w:div>
                  </w:divsChild>
                </w:div>
                <w:div w:id="688415260">
                  <w:marLeft w:val="0"/>
                  <w:marRight w:val="0"/>
                  <w:marTop w:val="0"/>
                  <w:marBottom w:val="0"/>
                  <w:divBdr>
                    <w:top w:val="none" w:sz="0" w:space="0" w:color="auto"/>
                    <w:left w:val="none" w:sz="0" w:space="0" w:color="auto"/>
                    <w:bottom w:val="none" w:sz="0" w:space="0" w:color="auto"/>
                    <w:right w:val="none" w:sz="0" w:space="0" w:color="auto"/>
                  </w:divBdr>
                  <w:divsChild>
                    <w:div w:id="1448886681">
                      <w:marLeft w:val="0"/>
                      <w:marRight w:val="0"/>
                      <w:marTop w:val="0"/>
                      <w:marBottom w:val="0"/>
                      <w:divBdr>
                        <w:top w:val="none" w:sz="0" w:space="0" w:color="auto"/>
                        <w:left w:val="none" w:sz="0" w:space="0" w:color="auto"/>
                        <w:bottom w:val="none" w:sz="0" w:space="0" w:color="auto"/>
                        <w:right w:val="none" w:sz="0" w:space="0" w:color="auto"/>
                      </w:divBdr>
                    </w:div>
                  </w:divsChild>
                </w:div>
                <w:div w:id="1737781072">
                  <w:marLeft w:val="0"/>
                  <w:marRight w:val="0"/>
                  <w:marTop w:val="0"/>
                  <w:marBottom w:val="0"/>
                  <w:divBdr>
                    <w:top w:val="none" w:sz="0" w:space="0" w:color="auto"/>
                    <w:left w:val="none" w:sz="0" w:space="0" w:color="auto"/>
                    <w:bottom w:val="none" w:sz="0" w:space="0" w:color="auto"/>
                    <w:right w:val="none" w:sz="0" w:space="0" w:color="auto"/>
                  </w:divBdr>
                  <w:divsChild>
                    <w:div w:id="1732075229">
                      <w:marLeft w:val="0"/>
                      <w:marRight w:val="0"/>
                      <w:marTop w:val="0"/>
                      <w:marBottom w:val="0"/>
                      <w:divBdr>
                        <w:top w:val="none" w:sz="0" w:space="0" w:color="auto"/>
                        <w:left w:val="none" w:sz="0" w:space="0" w:color="auto"/>
                        <w:bottom w:val="none" w:sz="0" w:space="0" w:color="auto"/>
                        <w:right w:val="none" w:sz="0" w:space="0" w:color="auto"/>
                      </w:divBdr>
                    </w:div>
                  </w:divsChild>
                </w:div>
                <w:div w:id="1983190394">
                  <w:marLeft w:val="0"/>
                  <w:marRight w:val="0"/>
                  <w:marTop w:val="0"/>
                  <w:marBottom w:val="0"/>
                  <w:divBdr>
                    <w:top w:val="none" w:sz="0" w:space="0" w:color="auto"/>
                    <w:left w:val="none" w:sz="0" w:space="0" w:color="auto"/>
                    <w:bottom w:val="none" w:sz="0" w:space="0" w:color="auto"/>
                    <w:right w:val="none" w:sz="0" w:space="0" w:color="auto"/>
                  </w:divBdr>
                  <w:divsChild>
                    <w:div w:id="107088866">
                      <w:marLeft w:val="0"/>
                      <w:marRight w:val="0"/>
                      <w:marTop w:val="0"/>
                      <w:marBottom w:val="0"/>
                      <w:divBdr>
                        <w:top w:val="none" w:sz="0" w:space="0" w:color="auto"/>
                        <w:left w:val="none" w:sz="0" w:space="0" w:color="auto"/>
                        <w:bottom w:val="none" w:sz="0" w:space="0" w:color="auto"/>
                        <w:right w:val="none" w:sz="0" w:space="0" w:color="auto"/>
                      </w:divBdr>
                    </w:div>
                  </w:divsChild>
                </w:div>
                <w:div w:id="1602952620">
                  <w:marLeft w:val="0"/>
                  <w:marRight w:val="0"/>
                  <w:marTop w:val="0"/>
                  <w:marBottom w:val="0"/>
                  <w:divBdr>
                    <w:top w:val="none" w:sz="0" w:space="0" w:color="auto"/>
                    <w:left w:val="none" w:sz="0" w:space="0" w:color="auto"/>
                    <w:bottom w:val="none" w:sz="0" w:space="0" w:color="auto"/>
                    <w:right w:val="none" w:sz="0" w:space="0" w:color="auto"/>
                  </w:divBdr>
                  <w:divsChild>
                    <w:div w:id="1796827903">
                      <w:marLeft w:val="0"/>
                      <w:marRight w:val="0"/>
                      <w:marTop w:val="0"/>
                      <w:marBottom w:val="0"/>
                      <w:divBdr>
                        <w:top w:val="none" w:sz="0" w:space="0" w:color="auto"/>
                        <w:left w:val="none" w:sz="0" w:space="0" w:color="auto"/>
                        <w:bottom w:val="none" w:sz="0" w:space="0" w:color="auto"/>
                        <w:right w:val="none" w:sz="0" w:space="0" w:color="auto"/>
                      </w:divBdr>
                    </w:div>
                  </w:divsChild>
                </w:div>
                <w:div w:id="110709606">
                  <w:marLeft w:val="0"/>
                  <w:marRight w:val="0"/>
                  <w:marTop w:val="0"/>
                  <w:marBottom w:val="0"/>
                  <w:divBdr>
                    <w:top w:val="none" w:sz="0" w:space="0" w:color="auto"/>
                    <w:left w:val="none" w:sz="0" w:space="0" w:color="auto"/>
                    <w:bottom w:val="none" w:sz="0" w:space="0" w:color="auto"/>
                    <w:right w:val="none" w:sz="0" w:space="0" w:color="auto"/>
                  </w:divBdr>
                  <w:divsChild>
                    <w:div w:id="1643922000">
                      <w:marLeft w:val="0"/>
                      <w:marRight w:val="0"/>
                      <w:marTop w:val="0"/>
                      <w:marBottom w:val="0"/>
                      <w:divBdr>
                        <w:top w:val="none" w:sz="0" w:space="0" w:color="auto"/>
                        <w:left w:val="none" w:sz="0" w:space="0" w:color="auto"/>
                        <w:bottom w:val="none" w:sz="0" w:space="0" w:color="auto"/>
                        <w:right w:val="none" w:sz="0" w:space="0" w:color="auto"/>
                      </w:divBdr>
                    </w:div>
                  </w:divsChild>
                </w:div>
                <w:div w:id="839083841">
                  <w:marLeft w:val="0"/>
                  <w:marRight w:val="0"/>
                  <w:marTop w:val="0"/>
                  <w:marBottom w:val="0"/>
                  <w:divBdr>
                    <w:top w:val="none" w:sz="0" w:space="0" w:color="auto"/>
                    <w:left w:val="none" w:sz="0" w:space="0" w:color="auto"/>
                    <w:bottom w:val="none" w:sz="0" w:space="0" w:color="auto"/>
                    <w:right w:val="none" w:sz="0" w:space="0" w:color="auto"/>
                  </w:divBdr>
                  <w:divsChild>
                    <w:div w:id="774137120">
                      <w:marLeft w:val="0"/>
                      <w:marRight w:val="0"/>
                      <w:marTop w:val="0"/>
                      <w:marBottom w:val="0"/>
                      <w:divBdr>
                        <w:top w:val="none" w:sz="0" w:space="0" w:color="auto"/>
                        <w:left w:val="none" w:sz="0" w:space="0" w:color="auto"/>
                        <w:bottom w:val="none" w:sz="0" w:space="0" w:color="auto"/>
                        <w:right w:val="none" w:sz="0" w:space="0" w:color="auto"/>
                      </w:divBdr>
                    </w:div>
                  </w:divsChild>
                </w:div>
                <w:div w:id="786236313">
                  <w:marLeft w:val="0"/>
                  <w:marRight w:val="0"/>
                  <w:marTop w:val="0"/>
                  <w:marBottom w:val="0"/>
                  <w:divBdr>
                    <w:top w:val="none" w:sz="0" w:space="0" w:color="auto"/>
                    <w:left w:val="none" w:sz="0" w:space="0" w:color="auto"/>
                    <w:bottom w:val="none" w:sz="0" w:space="0" w:color="auto"/>
                    <w:right w:val="none" w:sz="0" w:space="0" w:color="auto"/>
                  </w:divBdr>
                  <w:divsChild>
                    <w:div w:id="1590653651">
                      <w:marLeft w:val="0"/>
                      <w:marRight w:val="0"/>
                      <w:marTop w:val="0"/>
                      <w:marBottom w:val="0"/>
                      <w:divBdr>
                        <w:top w:val="none" w:sz="0" w:space="0" w:color="auto"/>
                        <w:left w:val="none" w:sz="0" w:space="0" w:color="auto"/>
                        <w:bottom w:val="none" w:sz="0" w:space="0" w:color="auto"/>
                        <w:right w:val="none" w:sz="0" w:space="0" w:color="auto"/>
                      </w:divBdr>
                    </w:div>
                  </w:divsChild>
                </w:div>
                <w:div w:id="166751884">
                  <w:marLeft w:val="0"/>
                  <w:marRight w:val="0"/>
                  <w:marTop w:val="0"/>
                  <w:marBottom w:val="0"/>
                  <w:divBdr>
                    <w:top w:val="none" w:sz="0" w:space="0" w:color="auto"/>
                    <w:left w:val="none" w:sz="0" w:space="0" w:color="auto"/>
                    <w:bottom w:val="none" w:sz="0" w:space="0" w:color="auto"/>
                    <w:right w:val="none" w:sz="0" w:space="0" w:color="auto"/>
                  </w:divBdr>
                  <w:divsChild>
                    <w:div w:id="471289321">
                      <w:marLeft w:val="0"/>
                      <w:marRight w:val="0"/>
                      <w:marTop w:val="0"/>
                      <w:marBottom w:val="0"/>
                      <w:divBdr>
                        <w:top w:val="none" w:sz="0" w:space="0" w:color="auto"/>
                        <w:left w:val="none" w:sz="0" w:space="0" w:color="auto"/>
                        <w:bottom w:val="none" w:sz="0" w:space="0" w:color="auto"/>
                        <w:right w:val="none" w:sz="0" w:space="0" w:color="auto"/>
                      </w:divBdr>
                    </w:div>
                  </w:divsChild>
                </w:div>
                <w:div w:id="1048645950">
                  <w:marLeft w:val="0"/>
                  <w:marRight w:val="0"/>
                  <w:marTop w:val="0"/>
                  <w:marBottom w:val="0"/>
                  <w:divBdr>
                    <w:top w:val="none" w:sz="0" w:space="0" w:color="auto"/>
                    <w:left w:val="none" w:sz="0" w:space="0" w:color="auto"/>
                    <w:bottom w:val="none" w:sz="0" w:space="0" w:color="auto"/>
                    <w:right w:val="none" w:sz="0" w:space="0" w:color="auto"/>
                  </w:divBdr>
                  <w:divsChild>
                    <w:div w:id="215703026">
                      <w:marLeft w:val="0"/>
                      <w:marRight w:val="0"/>
                      <w:marTop w:val="0"/>
                      <w:marBottom w:val="0"/>
                      <w:divBdr>
                        <w:top w:val="none" w:sz="0" w:space="0" w:color="auto"/>
                        <w:left w:val="none" w:sz="0" w:space="0" w:color="auto"/>
                        <w:bottom w:val="none" w:sz="0" w:space="0" w:color="auto"/>
                        <w:right w:val="none" w:sz="0" w:space="0" w:color="auto"/>
                      </w:divBdr>
                    </w:div>
                  </w:divsChild>
                </w:div>
                <w:div w:id="1337880691">
                  <w:marLeft w:val="0"/>
                  <w:marRight w:val="0"/>
                  <w:marTop w:val="0"/>
                  <w:marBottom w:val="0"/>
                  <w:divBdr>
                    <w:top w:val="none" w:sz="0" w:space="0" w:color="auto"/>
                    <w:left w:val="none" w:sz="0" w:space="0" w:color="auto"/>
                    <w:bottom w:val="none" w:sz="0" w:space="0" w:color="auto"/>
                    <w:right w:val="none" w:sz="0" w:space="0" w:color="auto"/>
                  </w:divBdr>
                  <w:divsChild>
                    <w:div w:id="2147162623">
                      <w:marLeft w:val="0"/>
                      <w:marRight w:val="0"/>
                      <w:marTop w:val="0"/>
                      <w:marBottom w:val="0"/>
                      <w:divBdr>
                        <w:top w:val="none" w:sz="0" w:space="0" w:color="auto"/>
                        <w:left w:val="none" w:sz="0" w:space="0" w:color="auto"/>
                        <w:bottom w:val="none" w:sz="0" w:space="0" w:color="auto"/>
                        <w:right w:val="none" w:sz="0" w:space="0" w:color="auto"/>
                      </w:divBdr>
                    </w:div>
                  </w:divsChild>
                </w:div>
                <w:div w:id="1571884052">
                  <w:marLeft w:val="0"/>
                  <w:marRight w:val="0"/>
                  <w:marTop w:val="0"/>
                  <w:marBottom w:val="0"/>
                  <w:divBdr>
                    <w:top w:val="none" w:sz="0" w:space="0" w:color="auto"/>
                    <w:left w:val="none" w:sz="0" w:space="0" w:color="auto"/>
                    <w:bottom w:val="none" w:sz="0" w:space="0" w:color="auto"/>
                    <w:right w:val="none" w:sz="0" w:space="0" w:color="auto"/>
                  </w:divBdr>
                  <w:divsChild>
                    <w:div w:id="595791535">
                      <w:marLeft w:val="0"/>
                      <w:marRight w:val="0"/>
                      <w:marTop w:val="0"/>
                      <w:marBottom w:val="0"/>
                      <w:divBdr>
                        <w:top w:val="none" w:sz="0" w:space="0" w:color="auto"/>
                        <w:left w:val="none" w:sz="0" w:space="0" w:color="auto"/>
                        <w:bottom w:val="none" w:sz="0" w:space="0" w:color="auto"/>
                        <w:right w:val="none" w:sz="0" w:space="0" w:color="auto"/>
                      </w:divBdr>
                    </w:div>
                  </w:divsChild>
                </w:div>
                <w:div w:id="1846091469">
                  <w:marLeft w:val="0"/>
                  <w:marRight w:val="0"/>
                  <w:marTop w:val="0"/>
                  <w:marBottom w:val="0"/>
                  <w:divBdr>
                    <w:top w:val="none" w:sz="0" w:space="0" w:color="auto"/>
                    <w:left w:val="none" w:sz="0" w:space="0" w:color="auto"/>
                    <w:bottom w:val="none" w:sz="0" w:space="0" w:color="auto"/>
                    <w:right w:val="none" w:sz="0" w:space="0" w:color="auto"/>
                  </w:divBdr>
                  <w:divsChild>
                    <w:div w:id="1496531408">
                      <w:marLeft w:val="0"/>
                      <w:marRight w:val="0"/>
                      <w:marTop w:val="0"/>
                      <w:marBottom w:val="0"/>
                      <w:divBdr>
                        <w:top w:val="none" w:sz="0" w:space="0" w:color="auto"/>
                        <w:left w:val="none" w:sz="0" w:space="0" w:color="auto"/>
                        <w:bottom w:val="none" w:sz="0" w:space="0" w:color="auto"/>
                        <w:right w:val="none" w:sz="0" w:space="0" w:color="auto"/>
                      </w:divBdr>
                    </w:div>
                  </w:divsChild>
                </w:div>
                <w:div w:id="1800108421">
                  <w:marLeft w:val="0"/>
                  <w:marRight w:val="0"/>
                  <w:marTop w:val="0"/>
                  <w:marBottom w:val="0"/>
                  <w:divBdr>
                    <w:top w:val="none" w:sz="0" w:space="0" w:color="auto"/>
                    <w:left w:val="none" w:sz="0" w:space="0" w:color="auto"/>
                    <w:bottom w:val="none" w:sz="0" w:space="0" w:color="auto"/>
                    <w:right w:val="none" w:sz="0" w:space="0" w:color="auto"/>
                  </w:divBdr>
                  <w:divsChild>
                    <w:div w:id="1075274571">
                      <w:marLeft w:val="0"/>
                      <w:marRight w:val="0"/>
                      <w:marTop w:val="0"/>
                      <w:marBottom w:val="0"/>
                      <w:divBdr>
                        <w:top w:val="none" w:sz="0" w:space="0" w:color="auto"/>
                        <w:left w:val="none" w:sz="0" w:space="0" w:color="auto"/>
                        <w:bottom w:val="none" w:sz="0" w:space="0" w:color="auto"/>
                        <w:right w:val="none" w:sz="0" w:space="0" w:color="auto"/>
                      </w:divBdr>
                    </w:div>
                  </w:divsChild>
                </w:div>
                <w:div w:id="1581139848">
                  <w:marLeft w:val="0"/>
                  <w:marRight w:val="0"/>
                  <w:marTop w:val="0"/>
                  <w:marBottom w:val="0"/>
                  <w:divBdr>
                    <w:top w:val="none" w:sz="0" w:space="0" w:color="auto"/>
                    <w:left w:val="none" w:sz="0" w:space="0" w:color="auto"/>
                    <w:bottom w:val="none" w:sz="0" w:space="0" w:color="auto"/>
                    <w:right w:val="none" w:sz="0" w:space="0" w:color="auto"/>
                  </w:divBdr>
                  <w:divsChild>
                    <w:div w:id="406997797">
                      <w:marLeft w:val="0"/>
                      <w:marRight w:val="0"/>
                      <w:marTop w:val="0"/>
                      <w:marBottom w:val="0"/>
                      <w:divBdr>
                        <w:top w:val="none" w:sz="0" w:space="0" w:color="auto"/>
                        <w:left w:val="none" w:sz="0" w:space="0" w:color="auto"/>
                        <w:bottom w:val="none" w:sz="0" w:space="0" w:color="auto"/>
                        <w:right w:val="none" w:sz="0" w:space="0" w:color="auto"/>
                      </w:divBdr>
                    </w:div>
                  </w:divsChild>
                </w:div>
                <w:div w:id="1656882366">
                  <w:marLeft w:val="0"/>
                  <w:marRight w:val="0"/>
                  <w:marTop w:val="0"/>
                  <w:marBottom w:val="0"/>
                  <w:divBdr>
                    <w:top w:val="none" w:sz="0" w:space="0" w:color="auto"/>
                    <w:left w:val="none" w:sz="0" w:space="0" w:color="auto"/>
                    <w:bottom w:val="none" w:sz="0" w:space="0" w:color="auto"/>
                    <w:right w:val="none" w:sz="0" w:space="0" w:color="auto"/>
                  </w:divBdr>
                  <w:divsChild>
                    <w:div w:id="1512639882">
                      <w:marLeft w:val="0"/>
                      <w:marRight w:val="0"/>
                      <w:marTop w:val="0"/>
                      <w:marBottom w:val="0"/>
                      <w:divBdr>
                        <w:top w:val="none" w:sz="0" w:space="0" w:color="auto"/>
                        <w:left w:val="none" w:sz="0" w:space="0" w:color="auto"/>
                        <w:bottom w:val="none" w:sz="0" w:space="0" w:color="auto"/>
                        <w:right w:val="none" w:sz="0" w:space="0" w:color="auto"/>
                      </w:divBdr>
                    </w:div>
                  </w:divsChild>
                </w:div>
                <w:div w:id="903217516">
                  <w:marLeft w:val="0"/>
                  <w:marRight w:val="0"/>
                  <w:marTop w:val="0"/>
                  <w:marBottom w:val="0"/>
                  <w:divBdr>
                    <w:top w:val="none" w:sz="0" w:space="0" w:color="auto"/>
                    <w:left w:val="none" w:sz="0" w:space="0" w:color="auto"/>
                    <w:bottom w:val="none" w:sz="0" w:space="0" w:color="auto"/>
                    <w:right w:val="none" w:sz="0" w:space="0" w:color="auto"/>
                  </w:divBdr>
                  <w:divsChild>
                    <w:div w:id="1714108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3930583">
          <w:marLeft w:val="0"/>
          <w:marRight w:val="0"/>
          <w:marTop w:val="0"/>
          <w:marBottom w:val="0"/>
          <w:divBdr>
            <w:top w:val="none" w:sz="0" w:space="0" w:color="auto"/>
            <w:left w:val="none" w:sz="0" w:space="0" w:color="auto"/>
            <w:bottom w:val="none" w:sz="0" w:space="0" w:color="auto"/>
            <w:right w:val="none" w:sz="0" w:space="0" w:color="auto"/>
          </w:divBdr>
        </w:div>
        <w:div w:id="2062242301">
          <w:marLeft w:val="0"/>
          <w:marRight w:val="0"/>
          <w:marTop w:val="0"/>
          <w:marBottom w:val="0"/>
          <w:divBdr>
            <w:top w:val="none" w:sz="0" w:space="0" w:color="auto"/>
            <w:left w:val="none" w:sz="0" w:space="0" w:color="auto"/>
            <w:bottom w:val="none" w:sz="0" w:space="0" w:color="auto"/>
            <w:right w:val="none" w:sz="0" w:space="0" w:color="auto"/>
          </w:divBdr>
        </w:div>
        <w:div w:id="1928540376">
          <w:marLeft w:val="0"/>
          <w:marRight w:val="0"/>
          <w:marTop w:val="0"/>
          <w:marBottom w:val="0"/>
          <w:divBdr>
            <w:top w:val="none" w:sz="0" w:space="0" w:color="auto"/>
            <w:left w:val="none" w:sz="0" w:space="0" w:color="auto"/>
            <w:bottom w:val="none" w:sz="0" w:space="0" w:color="auto"/>
            <w:right w:val="none" w:sz="0" w:space="0" w:color="auto"/>
          </w:divBdr>
        </w:div>
        <w:div w:id="1762867746">
          <w:marLeft w:val="0"/>
          <w:marRight w:val="0"/>
          <w:marTop w:val="0"/>
          <w:marBottom w:val="0"/>
          <w:divBdr>
            <w:top w:val="none" w:sz="0" w:space="0" w:color="auto"/>
            <w:left w:val="none" w:sz="0" w:space="0" w:color="auto"/>
            <w:bottom w:val="none" w:sz="0" w:space="0" w:color="auto"/>
            <w:right w:val="none" w:sz="0" w:space="0" w:color="auto"/>
          </w:divBdr>
        </w:div>
        <w:div w:id="1740591540">
          <w:marLeft w:val="0"/>
          <w:marRight w:val="0"/>
          <w:marTop w:val="0"/>
          <w:marBottom w:val="0"/>
          <w:divBdr>
            <w:top w:val="none" w:sz="0" w:space="0" w:color="auto"/>
            <w:left w:val="none" w:sz="0" w:space="0" w:color="auto"/>
            <w:bottom w:val="none" w:sz="0" w:space="0" w:color="auto"/>
            <w:right w:val="none" w:sz="0" w:space="0" w:color="auto"/>
          </w:divBdr>
          <w:divsChild>
            <w:div w:id="1991670265">
              <w:marLeft w:val="-75"/>
              <w:marRight w:val="0"/>
              <w:marTop w:val="30"/>
              <w:marBottom w:val="30"/>
              <w:divBdr>
                <w:top w:val="none" w:sz="0" w:space="0" w:color="auto"/>
                <w:left w:val="none" w:sz="0" w:space="0" w:color="auto"/>
                <w:bottom w:val="none" w:sz="0" w:space="0" w:color="auto"/>
                <w:right w:val="none" w:sz="0" w:space="0" w:color="auto"/>
              </w:divBdr>
              <w:divsChild>
                <w:div w:id="397871700">
                  <w:marLeft w:val="0"/>
                  <w:marRight w:val="0"/>
                  <w:marTop w:val="0"/>
                  <w:marBottom w:val="0"/>
                  <w:divBdr>
                    <w:top w:val="none" w:sz="0" w:space="0" w:color="auto"/>
                    <w:left w:val="none" w:sz="0" w:space="0" w:color="auto"/>
                    <w:bottom w:val="none" w:sz="0" w:space="0" w:color="auto"/>
                    <w:right w:val="none" w:sz="0" w:space="0" w:color="auto"/>
                  </w:divBdr>
                  <w:divsChild>
                    <w:div w:id="1411123631">
                      <w:marLeft w:val="0"/>
                      <w:marRight w:val="0"/>
                      <w:marTop w:val="0"/>
                      <w:marBottom w:val="0"/>
                      <w:divBdr>
                        <w:top w:val="none" w:sz="0" w:space="0" w:color="auto"/>
                        <w:left w:val="none" w:sz="0" w:space="0" w:color="auto"/>
                        <w:bottom w:val="none" w:sz="0" w:space="0" w:color="auto"/>
                        <w:right w:val="none" w:sz="0" w:space="0" w:color="auto"/>
                      </w:divBdr>
                    </w:div>
                  </w:divsChild>
                </w:div>
                <w:div w:id="1421753984">
                  <w:marLeft w:val="0"/>
                  <w:marRight w:val="0"/>
                  <w:marTop w:val="0"/>
                  <w:marBottom w:val="0"/>
                  <w:divBdr>
                    <w:top w:val="none" w:sz="0" w:space="0" w:color="auto"/>
                    <w:left w:val="none" w:sz="0" w:space="0" w:color="auto"/>
                    <w:bottom w:val="none" w:sz="0" w:space="0" w:color="auto"/>
                    <w:right w:val="none" w:sz="0" w:space="0" w:color="auto"/>
                  </w:divBdr>
                  <w:divsChild>
                    <w:div w:id="1295213097">
                      <w:marLeft w:val="0"/>
                      <w:marRight w:val="0"/>
                      <w:marTop w:val="0"/>
                      <w:marBottom w:val="0"/>
                      <w:divBdr>
                        <w:top w:val="none" w:sz="0" w:space="0" w:color="auto"/>
                        <w:left w:val="none" w:sz="0" w:space="0" w:color="auto"/>
                        <w:bottom w:val="none" w:sz="0" w:space="0" w:color="auto"/>
                        <w:right w:val="none" w:sz="0" w:space="0" w:color="auto"/>
                      </w:divBdr>
                    </w:div>
                  </w:divsChild>
                </w:div>
                <w:div w:id="1857108982">
                  <w:marLeft w:val="0"/>
                  <w:marRight w:val="0"/>
                  <w:marTop w:val="0"/>
                  <w:marBottom w:val="0"/>
                  <w:divBdr>
                    <w:top w:val="none" w:sz="0" w:space="0" w:color="auto"/>
                    <w:left w:val="none" w:sz="0" w:space="0" w:color="auto"/>
                    <w:bottom w:val="none" w:sz="0" w:space="0" w:color="auto"/>
                    <w:right w:val="none" w:sz="0" w:space="0" w:color="auto"/>
                  </w:divBdr>
                  <w:divsChild>
                    <w:div w:id="1598293255">
                      <w:marLeft w:val="0"/>
                      <w:marRight w:val="0"/>
                      <w:marTop w:val="0"/>
                      <w:marBottom w:val="0"/>
                      <w:divBdr>
                        <w:top w:val="none" w:sz="0" w:space="0" w:color="auto"/>
                        <w:left w:val="none" w:sz="0" w:space="0" w:color="auto"/>
                        <w:bottom w:val="none" w:sz="0" w:space="0" w:color="auto"/>
                        <w:right w:val="none" w:sz="0" w:space="0" w:color="auto"/>
                      </w:divBdr>
                    </w:div>
                  </w:divsChild>
                </w:div>
                <w:div w:id="1905948562">
                  <w:marLeft w:val="0"/>
                  <w:marRight w:val="0"/>
                  <w:marTop w:val="0"/>
                  <w:marBottom w:val="0"/>
                  <w:divBdr>
                    <w:top w:val="none" w:sz="0" w:space="0" w:color="auto"/>
                    <w:left w:val="none" w:sz="0" w:space="0" w:color="auto"/>
                    <w:bottom w:val="none" w:sz="0" w:space="0" w:color="auto"/>
                    <w:right w:val="none" w:sz="0" w:space="0" w:color="auto"/>
                  </w:divBdr>
                  <w:divsChild>
                    <w:div w:id="1969165636">
                      <w:marLeft w:val="0"/>
                      <w:marRight w:val="0"/>
                      <w:marTop w:val="0"/>
                      <w:marBottom w:val="0"/>
                      <w:divBdr>
                        <w:top w:val="none" w:sz="0" w:space="0" w:color="auto"/>
                        <w:left w:val="none" w:sz="0" w:space="0" w:color="auto"/>
                        <w:bottom w:val="none" w:sz="0" w:space="0" w:color="auto"/>
                        <w:right w:val="none" w:sz="0" w:space="0" w:color="auto"/>
                      </w:divBdr>
                    </w:div>
                  </w:divsChild>
                </w:div>
                <w:div w:id="1077945035">
                  <w:marLeft w:val="0"/>
                  <w:marRight w:val="0"/>
                  <w:marTop w:val="0"/>
                  <w:marBottom w:val="0"/>
                  <w:divBdr>
                    <w:top w:val="none" w:sz="0" w:space="0" w:color="auto"/>
                    <w:left w:val="none" w:sz="0" w:space="0" w:color="auto"/>
                    <w:bottom w:val="none" w:sz="0" w:space="0" w:color="auto"/>
                    <w:right w:val="none" w:sz="0" w:space="0" w:color="auto"/>
                  </w:divBdr>
                  <w:divsChild>
                    <w:div w:id="906457344">
                      <w:marLeft w:val="0"/>
                      <w:marRight w:val="0"/>
                      <w:marTop w:val="0"/>
                      <w:marBottom w:val="0"/>
                      <w:divBdr>
                        <w:top w:val="none" w:sz="0" w:space="0" w:color="auto"/>
                        <w:left w:val="none" w:sz="0" w:space="0" w:color="auto"/>
                        <w:bottom w:val="none" w:sz="0" w:space="0" w:color="auto"/>
                        <w:right w:val="none" w:sz="0" w:space="0" w:color="auto"/>
                      </w:divBdr>
                    </w:div>
                  </w:divsChild>
                </w:div>
                <w:div w:id="1289162401">
                  <w:marLeft w:val="0"/>
                  <w:marRight w:val="0"/>
                  <w:marTop w:val="0"/>
                  <w:marBottom w:val="0"/>
                  <w:divBdr>
                    <w:top w:val="none" w:sz="0" w:space="0" w:color="auto"/>
                    <w:left w:val="none" w:sz="0" w:space="0" w:color="auto"/>
                    <w:bottom w:val="none" w:sz="0" w:space="0" w:color="auto"/>
                    <w:right w:val="none" w:sz="0" w:space="0" w:color="auto"/>
                  </w:divBdr>
                  <w:divsChild>
                    <w:div w:id="1312296125">
                      <w:marLeft w:val="0"/>
                      <w:marRight w:val="0"/>
                      <w:marTop w:val="0"/>
                      <w:marBottom w:val="0"/>
                      <w:divBdr>
                        <w:top w:val="none" w:sz="0" w:space="0" w:color="auto"/>
                        <w:left w:val="none" w:sz="0" w:space="0" w:color="auto"/>
                        <w:bottom w:val="none" w:sz="0" w:space="0" w:color="auto"/>
                        <w:right w:val="none" w:sz="0" w:space="0" w:color="auto"/>
                      </w:divBdr>
                    </w:div>
                  </w:divsChild>
                </w:div>
                <w:div w:id="1658342775">
                  <w:marLeft w:val="0"/>
                  <w:marRight w:val="0"/>
                  <w:marTop w:val="0"/>
                  <w:marBottom w:val="0"/>
                  <w:divBdr>
                    <w:top w:val="none" w:sz="0" w:space="0" w:color="auto"/>
                    <w:left w:val="none" w:sz="0" w:space="0" w:color="auto"/>
                    <w:bottom w:val="none" w:sz="0" w:space="0" w:color="auto"/>
                    <w:right w:val="none" w:sz="0" w:space="0" w:color="auto"/>
                  </w:divBdr>
                  <w:divsChild>
                    <w:div w:id="1078136195">
                      <w:marLeft w:val="0"/>
                      <w:marRight w:val="0"/>
                      <w:marTop w:val="0"/>
                      <w:marBottom w:val="0"/>
                      <w:divBdr>
                        <w:top w:val="none" w:sz="0" w:space="0" w:color="auto"/>
                        <w:left w:val="none" w:sz="0" w:space="0" w:color="auto"/>
                        <w:bottom w:val="none" w:sz="0" w:space="0" w:color="auto"/>
                        <w:right w:val="none" w:sz="0" w:space="0" w:color="auto"/>
                      </w:divBdr>
                    </w:div>
                  </w:divsChild>
                </w:div>
                <w:div w:id="1348172230">
                  <w:marLeft w:val="0"/>
                  <w:marRight w:val="0"/>
                  <w:marTop w:val="0"/>
                  <w:marBottom w:val="0"/>
                  <w:divBdr>
                    <w:top w:val="none" w:sz="0" w:space="0" w:color="auto"/>
                    <w:left w:val="none" w:sz="0" w:space="0" w:color="auto"/>
                    <w:bottom w:val="none" w:sz="0" w:space="0" w:color="auto"/>
                    <w:right w:val="none" w:sz="0" w:space="0" w:color="auto"/>
                  </w:divBdr>
                  <w:divsChild>
                    <w:div w:id="1682850499">
                      <w:marLeft w:val="0"/>
                      <w:marRight w:val="0"/>
                      <w:marTop w:val="0"/>
                      <w:marBottom w:val="0"/>
                      <w:divBdr>
                        <w:top w:val="none" w:sz="0" w:space="0" w:color="auto"/>
                        <w:left w:val="none" w:sz="0" w:space="0" w:color="auto"/>
                        <w:bottom w:val="none" w:sz="0" w:space="0" w:color="auto"/>
                        <w:right w:val="none" w:sz="0" w:space="0" w:color="auto"/>
                      </w:divBdr>
                    </w:div>
                  </w:divsChild>
                </w:div>
                <w:div w:id="1849783341">
                  <w:marLeft w:val="0"/>
                  <w:marRight w:val="0"/>
                  <w:marTop w:val="0"/>
                  <w:marBottom w:val="0"/>
                  <w:divBdr>
                    <w:top w:val="none" w:sz="0" w:space="0" w:color="auto"/>
                    <w:left w:val="none" w:sz="0" w:space="0" w:color="auto"/>
                    <w:bottom w:val="none" w:sz="0" w:space="0" w:color="auto"/>
                    <w:right w:val="none" w:sz="0" w:space="0" w:color="auto"/>
                  </w:divBdr>
                  <w:divsChild>
                    <w:div w:id="1276786638">
                      <w:marLeft w:val="0"/>
                      <w:marRight w:val="0"/>
                      <w:marTop w:val="0"/>
                      <w:marBottom w:val="0"/>
                      <w:divBdr>
                        <w:top w:val="none" w:sz="0" w:space="0" w:color="auto"/>
                        <w:left w:val="none" w:sz="0" w:space="0" w:color="auto"/>
                        <w:bottom w:val="none" w:sz="0" w:space="0" w:color="auto"/>
                        <w:right w:val="none" w:sz="0" w:space="0" w:color="auto"/>
                      </w:divBdr>
                    </w:div>
                  </w:divsChild>
                </w:div>
                <w:div w:id="955259171">
                  <w:marLeft w:val="0"/>
                  <w:marRight w:val="0"/>
                  <w:marTop w:val="0"/>
                  <w:marBottom w:val="0"/>
                  <w:divBdr>
                    <w:top w:val="none" w:sz="0" w:space="0" w:color="auto"/>
                    <w:left w:val="none" w:sz="0" w:space="0" w:color="auto"/>
                    <w:bottom w:val="none" w:sz="0" w:space="0" w:color="auto"/>
                    <w:right w:val="none" w:sz="0" w:space="0" w:color="auto"/>
                  </w:divBdr>
                  <w:divsChild>
                    <w:div w:id="464856885">
                      <w:marLeft w:val="0"/>
                      <w:marRight w:val="0"/>
                      <w:marTop w:val="0"/>
                      <w:marBottom w:val="0"/>
                      <w:divBdr>
                        <w:top w:val="none" w:sz="0" w:space="0" w:color="auto"/>
                        <w:left w:val="none" w:sz="0" w:space="0" w:color="auto"/>
                        <w:bottom w:val="none" w:sz="0" w:space="0" w:color="auto"/>
                        <w:right w:val="none" w:sz="0" w:space="0" w:color="auto"/>
                      </w:divBdr>
                    </w:div>
                  </w:divsChild>
                </w:div>
                <w:div w:id="1043213709">
                  <w:marLeft w:val="0"/>
                  <w:marRight w:val="0"/>
                  <w:marTop w:val="0"/>
                  <w:marBottom w:val="0"/>
                  <w:divBdr>
                    <w:top w:val="none" w:sz="0" w:space="0" w:color="auto"/>
                    <w:left w:val="none" w:sz="0" w:space="0" w:color="auto"/>
                    <w:bottom w:val="none" w:sz="0" w:space="0" w:color="auto"/>
                    <w:right w:val="none" w:sz="0" w:space="0" w:color="auto"/>
                  </w:divBdr>
                  <w:divsChild>
                    <w:div w:id="1801534336">
                      <w:marLeft w:val="0"/>
                      <w:marRight w:val="0"/>
                      <w:marTop w:val="0"/>
                      <w:marBottom w:val="0"/>
                      <w:divBdr>
                        <w:top w:val="none" w:sz="0" w:space="0" w:color="auto"/>
                        <w:left w:val="none" w:sz="0" w:space="0" w:color="auto"/>
                        <w:bottom w:val="none" w:sz="0" w:space="0" w:color="auto"/>
                        <w:right w:val="none" w:sz="0" w:space="0" w:color="auto"/>
                      </w:divBdr>
                    </w:div>
                  </w:divsChild>
                </w:div>
                <w:div w:id="314988507">
                  <w:marLeft w:val="0"/>
                  <w:marRight w:val="0"/>
                  <w:marTop w:val="0"/>
                  <w:marBottom w:val="0"/>
                  <w:divBdr>
                    <w:top w:val="none" w:sz="0" w:space="0" w:color="auto"/>
                    <w:left w:val="none" w:sz="0" w:space="0" w:color="auto"/>
                    <w:bottom w:val="none" w:sz="0" w:space="0" w:color="auto"/>
                    <w:right w:val="none" w:sz="0" w:space="0" w:color="auto"/>
                  </w:divBdr>
                  <w:divsChild>
                    <w:div w:id="301232533">
                      <w:marLeft w:val="0"/>
                      <w:marRight w:val="0"/>
                      <w:marTop w:val="0"/>
                      <w:marBottom w:val="0"/>
                      <w:divBdr>
                        <w:top w:val="none" w:sz="0" w:space="0" w:color="auto"/>
                        <w:left w:val="none" w:sz="0" w:space="0" w:color="auto"/>
                        <w:bottom w:val="none" w:sz="0" w:space="0" w:color="auto"/>
                        <w:right w:val="none" w:sz="0" w:space="0" w:color="auto"/>
                      </w:divBdr>
                    </w:div>
                  </w:divsChild>
                </w:div>
                <w:div w:id="50738552">
                  <w:marLeft w:val="0"/>
                  <w:marRight w:val="0"/>
                  <w:marTop w:val="0"/>
                  <w:marBottom w:val="0"/>
                  <w:divBdr>
                    <w:top w:val="none" w:sz="0" w:space="0" w:color="auto"/>
                    <w:left w:val="none" w:sz="0" w:space="0" w:color="auto"/>
                    <w:bottom w:val="none" w:sz="0" w:space="0" w:color="auto"/>
                    <w:right w:val="none" w:sz="0" w:space="0" w:color="auto"/>
                  </w:divBdr>
                  <w:divsChild>
                    <w:div w:id="61368874">
                      <w:marLeft w:val="0"/>
                      <w:marRight w:val="0"/>
                      <w:marTop w:val="0"/>
                      <w:marBottom w:val="0"/>
                      <w:divBdr>
                        <w:top w:val="none" w:sz="0" w:space="0" w:color="auto"/>
                        <w:left w:val="none" w:sz="0" w:space="0" w:color="auto"/>
                        <w:bottom w:val="none" w:sz="0" w:space="0" w:color="auto"/>
                        <w:right w:val="none" w:sz="0" w:space="0" w:color="auto"/>
                      </w:divBdr>
                    </w:div>
                  </w:divsChild>
                </w:div>
                <w:div w:id="1152406679">
                  <w:marLeft w:val="0"/>
                  <w:marRight w:val="0"/>
                  <w:marTop w:val="0"/>
                  <w:marBottom w:val="0"/>
                  <w:divBdr>
                    <w:top w:val="none" w:sz="0" w:space="0" w:color="auto"/>
                    <w:left w:val="none" w:sz="0" w:space="0" w:color="auto"/>
                    <w:bottom w:val="none" w:sz="0" w:space="0" w:color="auto"/>
                    <w:right w:val="none" w:sz="0" w:space="0" w:color="auto"/>
                  </w:divBdr>
                  <w:divsChild>
                    <w:div w:id="1367683671">
                      <w:marLeft w:val="0"/>
                      <w:marRight w:val="0"/>
                      <w:marTop w:val="0"/>
                      <w:marBottom w:val="0"/>
                      <w:divBdr>
                        <w:top w:val="none" w:sz="0" w:space="0" w:color="auto"/>
                        <w:left w:val="none" w:sz="0" w:space="0" w:color="auto"/>
                        <w:bottom w:val="none" w:sz="0" w:space="0" w:color="auto"/>
                        <w:right w:val="none" w:sz="0" w:space="0" w:color="auto"/>
                      </w:divBdr>
                    </w:div>
                  </w:divsChild>
                </w:div>
                <w:div w:id="927469459">
                  <w:marLeft w:val="0"/>
                  <w:marRight w:val="0"/>
                  <w:marTop w:val="0"/>
                  <w:marBottom w:val="0"/>
                  <w:divBdr>
                    <w:top w:val="none" w:sz="0" w:space="0" w:color="auto"/>
                    <w:left w:val="none" w:sz="0" w:space="0" w:color="auto"/>
                    <w:bottom w:val="none" w:sz="0" w:space="0" w:color="auto"/>
                    <w:right w:val="none" w:sz="0" w:space="0" w:color="auto"/>
                  </w:divBdr>
                  <w:divsChild>
                    <w:div w:id="1014963614">
                      <w:marLeft w:val="0"/>
                      <w:marRight w:val="0"/>
                      <w:marTop w:val="0"/>
                      <w:marBottom w:val="0"/>
                      <w:divBdr>
                        <w:top w:val="none" w:sz="0" w:space="0" w:color="auto"/>
                        <w:left w:val="none" w:sz="0" w:space="0" w:color="auto"/>
                        <w:bottom w:val="none" w:sz="0" w:space="0" w:color="auto"/>
                        <w:right w:val="none" w:sz="0" w:space="0" w:color="auto"/>
                      </w:divBdr>
                    </w:div>
                  </w:divsChild>
                </w:div>
                <w:div w:id="1533226448">
                  <w:marLeft w:val="0"/>
                  <w:marRight w:val="0"/>
                  <w:marTop w:val="0"/>
                  <w:marBottom w:val="0"/>
                  <w:divBdr>
                    <w:top w:val="none" w:sz="0" w:space="0" w:color="auto"/>
                    <w:left w:val="none" w:sz="0" w:space="0" w:color="auto"/>
                    <w:bottom w:val="none" w:sz="0" w:space="0" w:color="auto"/>
                    <w:right w:val="none" w:sz="0" w:space="0" w:color="auto"/>
                  </w:divBdr>
                  <w:divsChild>
                    <w:div w:id="150408138">
                      <w:marLeft w:val="0"/>
                      <w:marRight w:val="0"/>
                      <w:marTop w:val="0"/>
                      <w:marBottom w:val="0"/>
                      <w:divBdr>
                        <w:top w:val="none" w:sz="0" w:space="0" w:color="auto"/>
                        <w:left w:val="none" w:sz="0" w:space="0" w:color="auto"/>
                        <w:bottom w:val="none" w:sz="0" w:space="0" w:color="auto"/>
                        <w:right w:val="none" w:sz="0" w:space="0" w:color="auto"/>
                      </w:divBdr>
                    </w:div>
                  </w:divsChild>
                </w:div>
                <w:div w:id="1603878045">
                  <w:marLeft w:val="0"/>
                  <w:marRight w:val="0"/>
                  <w:marTop w:val="0"/>
                  <w:marBottom w:val="0"/>
                  <w:divBdr>
                    <w:top w:val="none" w:sz="0" w:space="0" w:color="auto"/>
                    <w:left w:val="none" w:sz="0" w:space="0" w:color="auto"/>
                    <w:bottom w:val="none" w:sz="0" w:space="0" w:color="auto"/>
                    <w:right w:val="none" w:sz="0" w:space="0" w:color="auto"/>
                  </w:divBdr>
                  <w:divsChild>
                    <w:div w:id="487600514">
                      <w:marLeft w:val="0"/>
                      <w:marRight w:val="0"/>
                      <w:marTop w:val="0"/>
                      <w:marBottom w:val="0"/>
                      <w:divBdr>
                        <w:top w:val="none" w:sz="0" w:space="0" w:color="auto"/>
                        <w:left w:val="none" w:sz="0" w:space="0" w:color="auto"/>
                        <w:bottom w:val="none" w:sz="0" w:space="0" w:color="auto"/>
                        <w:right w:val="none" w:sz="0" w:space="0" w:color="auto"/>
                      </w:divBdr>
                    </w:div>
                  </w:divsChild>
                </w:div>
                <w:div w:id="701243165">
                  <w:marLeft w:val="0"/>
                  <w:marRight w:val="0"/>
                  <w:marTop w:val="0"/>
                  <w:marBottom w:val="0"/>
                  <w:divBdr>
                    <w:top w:val="none" w:sz="0" w:space="0" w:color="auto"/>
                    <w:left w:val="none" w:sz="0" w:space="0" w:color="auto"/>
                    <w:bottom w:val="none" w:sz="0" w:space="0" w:color="auto"/>
                    <w:right w:val="none" w:sz="0" w:space="0" w:color="auto"/>
                  </w:divBdr>
                  <w:divsChild>
                    <w:div w:id="1876967116">
                      <w:marLeft w:val="0"/>
                      <w:marRight w:val="0"/>
                      <w:marTop w:val="0"/>
                      <w:marBottom w:val="0"/>
                      <w:divBdr>
                        <w:top w:val="none" w:sz="0" w:space="0" w:color="auto"/>
                        <w:left w:val="none" w:sz="0" w:space="0" w:color="auto"/>
                        <w:bottom w:val="none" w:sz="0" w:space="0" w:color="auto"/>
                        <w:right w:val="none" w:sz="0" w:space="0" w:color="auto"/>
                      </w:divBdr>
                    </w:div>
                  </w:divsChild>
                </w:div>
                <w:div w:id="1744064660">
                  <w:marLeft w:val="0"/>
                  <w:marRight w:val="0"/>
                  <w:marTop w:val="0"/>
                  <w:marBottom w:val="0"/>
                  <w:divBdr>
                    <w:top w:val="none" w:sz="0" w:space="0" w:color="auto"/>
                    <w:left w:val="none" w:sz="0" w:space="0" w:color="auto"/>
                    <w:bottom w:val="none" w:sz="0" w:space="0" w:color="auto"/>
                    <w:right w:val="none" w:sz="0" w:space="0" w:color="auto"/>
                  </w:divBdr>
                  <w:divsChild>
                    <w:div w:id="1070738658">
                      <w:marLeft w:val="0"/>
                      <w:marRight w:val="0"/>
                      <w:marTop w:val="0"/>
                      <w:marBottom w:val="0"/>
                      <w:divBdr>
                        <w:top w:val="none" w:sz="0" w:space="0" w:color="auto"/>
                        <w:left w:val="none" w:sz="0" w:space="0" w:color="auto"/>
                        <w:bottom w:val="none" w:sz="0" w:space="0" w:color="auto"/>
                        <w:right w:val="none" w:sz="0" w:space="0" w:color="auto"/>
                      </w:divBdr>
                    </w:div>
                  </w:divsChild>
                </w:div>
                <w:div w:id="674500517">
                  <w:marLeft w:val="0"/>
                  <w:marRight w:val="0"/>
                  <w:marTop w:val="0"/>
                  <w:marBottom w:val="0"/>
                  <w:divBdr>
                    <w:top w:val="none" w:sz="0" w:space="0" w:color="auto"/>
                    <w:left w:val="none" w:sz="0" w:space="0" w:color="auto"/>
                    <w:bottom w:val="none" w:sz="0" w:space="0" w:color="auto"/>
                    <w:right w:val="none" w:sz="0" w:space="0" w:color="auto"/>
                  </w:divBdr>
                  <w:divsChild>
                    <w:div w:id="1262683127">
                      <w:marLeft w:val="0"/>
                      <w:marRight w:val="0"/>
                      <w:marTop w:val="0"/>
                      <w:marBottom w:val="0"/>
                      <w:divBdr>
                        <w:top w:val="none" w:sz="0" w:space="0" w:color="auto"/>
                        <w:left w:val="none" w:sz="0" w:space="0" w:color="auto"/>
                        <w:bottom w:val="none" w:sz="0" w:space="0" w:color="auto"/>
                        <w:right w:val="none" w:sz="0" w:space="0" w:color="auto"/>
                      </w:divBdr>
                    </w:div>
                  </w:divsChild>
                </w:div>
                <w:div w:id="620184512">
                  <w:marLeft w:val="0"/>
                  <w:marRight w:val="0"/>
                  <w:marTop w:val="0"/>
                  <w:marBottom w:val="0"/>
                  <w:divBdr>
                    <w:top w:val="none" w:sz="0" w:space="0" w:color="auto"/>
                    <w:left w:val="none" w:sz="0" w:space="0" w:color="auto"/>
                    <w:bottom w:val="none" w:sz="0" w:space="0" w:color="auto"/>
                    <w:right w:val="none" w:sz="0" w:space="0" w:color="auto"/>
                  </w:divBdr>
                  <w:divsChild>
                    <w:div w:id="986591253">
                      <w:marLeft w:val="0"/>
                      <w:marRight w:val="0"/>
                      <w:marTop w:val="0"/>
                      <w:marBottom w:val="0"/>
                      <w:divBdr>
                        <w:top w:val="none" w:sz="0" w:space="0" w:color="auto"/>
                        <w:left w:val="none" w:sz="0" w:space="0" w:color="auto"/>
                        <w:bottom w:val="none" w:sz="0" w:space="0" w:color="auto"/>
                        <w:right w:val="none" w:sz="0" w:space="0" w:color="auto"/>
                      </w:divBdr>
                    </w:div>
                  </w:divsChild>
                </w:div>
                <w:div w:id="772357132">
                  <w:marLeft w:val="0"/>
                  <w:marRight w:val="0"/>
                  <w:marTop w:val="0"/>
                  <w:marBottom w:val="0"/>
                  <w:divBdr>
                    <w:top w:val="none" w:sz="0" w:space="0" w:color="auto"/>
                    <w:left w:val="none" w:sz="0" w:space="0" w:color="auto"/>
                    <w:bottom w:val="none" w:sz="0" w:space="0" w:color="auto"/>
                    <w:right w:val="none" w:sz="0" w:space="0" w:color="auto"/>
                  </w:divBdr>
                  <w:divsChild>
                    <w:div w:id="684789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6514324">
          <w:marLeft w:val="0"/>
          <w:marRight w:val="0"/>
          <w:marTop w:val="0"/>
          <w:marBottom w:val="0"/>
          <w:divBdr>
            <w:top w:val="none" w:sz="0" w:space="0" w:color="auto"/>
            <w:left w:val="none" w:sz="0" w:space="0" w:color="auto"/>
            <w:bottom w:val="none" w:sz="0" w:space="0" w:color="auto"/>
            <w:right w:val="none" w:sz="0" w:space="0" w:color="auto"/>
          </w:divBdr>
        </w:div>
        <w:div w:id="1460145391">
          <w:marLeft w:val="0"/>
          <w:marRight w:val="0"/>
          <w:marTop w:val="0"/>
          <w:marBottom w:val="0"/>
          <w:divBdr>
            <w:top w:val="none" w:sz="0" w:space="0" w:color="auto"/>
            <w:left w:val="none" w:sz="0" w:space="0" w:color="auto"/>
            <w:bottom w:val="none" w:sz="0" w:space="0" w:color="auto"/>
            <w:right w:val="none" w:sz="0" w:space="0" w:color="auto"/>
          </w:divBdr>
        </w:div>
        <w:div w:id="1185171415">
          <w:marLeft w:val="0"/>
          <w:marRight w:val="0"/>
          <w:marTop w:val="0"/>
          <w:marBottom w:val="0"/>
          <w:divBdr>
            <w:top w:val="none" w:sz="0" w:space="0" w:color="auto"/>
            <w:left w:val="none" w:sz="0" w:space="0" w:color="auto"/>
            <w:bottom w:val="none" w:sz="0" w:space="0" w:color="auto"/>
            <w:right w:val="none" w:sz="0" w:space="0" w:color="auto"/>
          </w:divBdr>
        </w:div>
        <w:div w:id="559487459">
          <w:marLeft w:val="0"/>
          <w:marRight w:val="0"/>
          <w:marTop w:val="0"/>
          <w:marBottom w:val="0"/>
          <w:divBdr>
            <w:top w:val="none" w:sz="0" w:space="0" w:color="auto"/>
            <w:left w:val="none" w:sz="0" w:space="0" w:color="auto"/>
            <w:bottom w:val="none" w:sz="0" w:space="0" w:color="auto"/>
            <w:right w:val="none" w:sz="0" w:space="0" w:color="auto"/>
          </w:divBdr>
        </w:div>
        <w:div w:id="409621982">
          <w:marLeft w:val="0"/>
          <w:marRight w:val="0"/>
          <w:marTop w:val="0"/>
          <w:marBottom w:val="0"/>
          <w:divBdr>
            <w:top w:val="none" w:sz="0" w:space="0" w:color="auto"/>
            <w:left w:val="none" w:sz="0" w:space="0" w:color="auto"/>
            <w:bottom w:val="none" w:sz="0" w:space="0" w:color="auto"/>
            <w:right w:val="none" w:sz="0" w:space="0" w:color="auto"/>
          </w:divBdr>
        </w:div>
        <w:div w:id="1286430980">
          <w:marLeft w:val="0"/>
          <w:marRight w:val="0"/>
          <w:marTop w:val="0"/>
          <w:marBottom w:val="0"/>
          <w:divBdr>
            <w:top w:val="none" w:sz="0" w:space="0" w:color="auto"/>
            <w:left w:val="none" w:sz="0" w:space="0" w:color="auto"/>
            <w:bottom w:val="none" w:sz="0" w:space="0" w:color="auto"/>
            <w:right w:val="none" w:sz="0" w:space="0" w:color="auto"/>
          </w:divBdr>
          <w:divsChild>
            <w:div w:id="951059008">
              <w:marLeft w:val="-75"/>
              <w:marRight w:val="0"/>
              <w:marTop w:val="30"/>
              <w:marBottom w:val="30"/>
              <w:divBdr>
                <w:top w:val="none" w:sz="0" w:space="0" w:color="auto"/>
                <w:left w:val="none" w:sz="0" w:space="0" w:color="auto"/>
                <w:bottom w:val="none" w:sz="0" w:space="0" w:color="auto"/>
                <w:right w:val="none" w:sz="0" w:space="0" w:color="auto"/>
              </w:divBdr>
              <w:divsChild>
                <w:div w:id="1280337413">
                  <w:marLeft w:val="0"/>
                  <w:marRight w:val="0"/>
                  <w:marTop w:val="0"/>
                  <w:marBottom w:val="0"/>
                  <w:divBdr>
                    <w:top w:val="none" w:sz="0" w:space="0" w:color="auto"/>
                    <w:left w:val="none" w:sz="0" w:space="0" w:color="auto"/>
                    <w:bottom w:val="none" w:sz="0" w:space="0" w:color="auto"/>
                    <w:right w:val="none" w:sz="0" w:space="0" w:color="auto"/>
                  </w:divBdr>
                  <w:divsChild>
                    <w:div w:id="1387606942">
                      <w:marLeft w:val="0"/>
                      <w:marRight w:val="0"/>
                      <w:marTop w:val="0"/>
                      <w:marBottom w:val="0"/>
                      <w:divBdr>
                        <w:top w:val="none" w:sz="0" w:space="0" w:color="auto"/>
                        <w:left w:val="none" w:sz="0" w:space="0" w:color="auto"/>
                        <w:bottom w:val="none" w:sz="0" w:space="0" w:color="auto"/>
                        <w:right w:val="none" w:sz="0" w:space="0" w:color="auto"/>
                      </w:divBdr>
                    </w:div>
                  </w:divsChild>
                </w:div>
                <w:div w:id="2137599636">
                  <w:marLeft w:val="0"/>
                  <w:marRight w:val="0"/>
                  <w:marTop w:val="0"/>
                  <w:marBottom w:val="0"/>
                  <w:divBdr>
                    <w:top w:val="none" w:sz="0" w:space="0" w:color="auto"/>
                    <w:left w:val="none" w:sz="0" w:space="0" w:color="auto"/>
                    <w:bottom w:val="none" w:sz="0" w:space="0" w:color="auto"/>
                    <w:right w:val="none" w:sz="0" w:space="0" w:color="auto"/>
                  </w:divBdr>
                  <w:divsChild>
                    <w:div w:id="1979260827">
                      <w:marLeft w:val="0"/>
                      <w:marRight w:val="0"/>
                      <w:marTop w:val="0"/>
                      <w:marBottom w:val="0"/>
                      <w:divBdr>
                        <w:top w:val="none" w:sz="0" w:space="0" w:color="auto"/>
                        <w:left w:val="none" w:sz="0" w:space="0" w:color="auto"/>
                        <w:bottom w:val="none" w:sz="0" w:space="0" w:color="auto"/>
                        <w:right w:val="none" w:sz="0" w:space="0" w:color="auto"/>
                      </w:divBdr>
                    </w:div>
                  </w:divsChild>
                </w:div>
                <w:div w:id="2079936249">
                  <w:marLeft w:val="0"/>
                  <w:marRight w:val="0"/>
                  <w:marTop w:val="0"/>
                  <w:marBottom w:val="0"/>
                  <w:divBdr>
                    <w:top w:val="none" w:sz="0" w:space="0" w:color="auto"/>
                    <w:left w:val="none" w:sz="0" w:space="0" w:color="auto"/>
                    <w:bottom w:val="none" w:sz="0" w:space="0" w:color="auto"/>
                    <w:right w:val="none" w:sz="0" w:space="0" w:color="auto"/>
                  </w:divBdr>
                  <w:divsChild>
                    <w:div w:id="1926918315">
                      <w:marLeft w:val="0"/>
                      <w:marRight w:val="0"/>
                      <w:marTop w:val="0"/>
                      <w:marBottom w:val="0"/>
                      <w:divBdr>
                        <w:top w:val="none" w:sz="0" w:space="0" w:color="auto"/>
                        <w:left w:val="none" w:sz="0" w:space="0" w:color="auto"/>
                        <w:bottom w:val="none" w:sz="0" w:space="0" w:color="auto"/>
                        <w:right w:val="none" w:sz="0" w:space="0" w:color="auto"/>
                      </w:divBdr>
                    </w:div>
                  </w:divsChild>
                </w:div>
                <w:div w:id="525564069">
                  <w:marLeft w:val="0"/>
                  <w:marRight w:val="0"/>
                  <w:marTop w:val="0"/>
                  <w:marBottom w:val="0"/>
                  <w:divBdr>
                    <w:top w:val="none" w:sz="0" w:space="0" w:color="auto"/>
                    <w:left w:val="none" w:sz="0" w:space="0" w:color="auto"/>
                    <w:bottom w:val="none" w:sz="0" w:space="0" w:color="auto"/>
                    <w:right w:val="none" w:sz="0" w:space="0" w:color="auto"/>
                  </w:divBdr>
                  <w:divsChild>
                    <w:div w:id="1257832722">
                      <w:marLeft w:val="0"/>
                      <w:marRight w:val="0"/>
                      <w:marTop w:val="0"/>
                      <w:marBottom w:val="0"/>
                      <w:divBdr>
                        <w:top w:val="none" w:sz="0" w:space="0" w:color="auto"/>
                        <w:left w:val="none" w:sz="0" w:space="0" w:color="auto"/>
                        <w:bottom w:val="none" w:sz="0" w:space="0" w:color="auto"/>
                        <w:right w:val="none" w:sz="0" w:space="0" w:color="auto"/>
                      </w:divBdr>
                    </w:div>
                  </w:divsChild>
                </w:div>
                <w:div w:id="1818690971">
                  <w:marLeft w:val="0"/>
                  <w:marRight w:val="0"/>
                  <w:marTop w:val="0"/>
                  <w:marBottom w:val="0"/>
                  <w:divBdr>
                    <w:top w:val="none" w:sz="0" w:space="0" w:color="auto"/>
                    <w:left w:val="none" w:sz="0" w:space="0" w:color="auto"/>
                    <w:bottom w:val="none" w:sz="0" w:space="0" w:color="auto"/>
                    <w:right w:val="none" w:sz="0" w:space="0" w:color="auto"/>
                  </w:divBdr>
                  <w:divsChild>
                    <w:div w:id="146940606">
                      <w:marLeft w:val="0"/>
                      <w:marRight w:val="0"/>
                      <w:marTop w:val="0"/>
                      <w:marBottom w:val="0"/>
                      <w:divBdr>
                        <w:top w:val="none" w:sz="0" w:space="0" w:color="auto"/>
                        <w:left w:val="none" w:sz="0" w:space="0" w:color="auto"/>
                        <w:bottom w:val="none" w:sz="0" w:space="0" w:color="auto"/>
                        <w:right w:val="none" w:sz="0" w:space="0" w:color="auto"/>
                      </w:divBdr>
                    </w:div>
                  </w:divsChild>
                </w:div>
                <w:div w:id="1954705066">
                  <w:marLeft w:val="0"/>
                  <w:marRight w:val="0"/>
                  <w:marTop w:val="0"/>
                  <w:marBottom w:val="0"/>
                  <w:divBdr>
                    <w:top w:val="none" w:sz="0" w:space="0" w:color="auto"/>
                    <w:left w:val="none" w:sz="0" w:space="0" w:color="auto"/>
                    <w:bottom w:val="none" w:sz="0" w:space="0" w:color="auto"/>
                    <w:right w:val="none" w:sz="0" w:space="0" w:color="auto"/>
                  </w:divBdr>
                  <w:divsChild>
                    <w:div w:id="79375496">
                      <w:marLeft w:val="0"/>
                      <w:marRight w:val="0"/>
                      <w:marTop w:val="0"/>
                      <w:marBottom w:val="0"/>
                      <w:divBdr>
                        <w:top w:val="none" w:sz="0" w:space="0" w:color="auto"/>
                        <w:left w:val="none" w:sz="0" w:space="0" w:color="auto"/>
                        <w:bottom w:val="none" w:sz="0" w:space="0" w:color="auto"/>
                        <w:right w:val="none" w:sz="0" w:space="0" w:color="auto"/>
                      </w:divBdr>
                    </w:div>
                  </w:divsChild>
                </w:div>
                <w:div w:id="1374619203">
                  <w:marLeft w:val="0"/>
                  <w:marRight w:val="0"/>
                  <w:marTop w:val="0"/>
                  <w:marBottom w:val="0"/>
                  <w:divBdr>
                    <w:top w:val="none" w:sz="0" w:space="0" w:color="auto"/>
                    <w:left w:val="none" w:sz="0" w:space="0" w:color="auto"/>
                    <w:bottom w:val="none" w:sz="0" w:space="0" w:color="auto"/>
                    <w:right w:val="none" w:sz="0" w:space="0" w:color="auto"/>
                  </w:divBdr>
                  <w:divsChild>
                    <w:div w:id="333994429">
                      <w:marLeft w:val="0"/>
                      <w:marRight w:val="0"/>
                      <w:marTop w:val="0"/>
                      <w:marBottom w:val="0"/>
                      <w:divBdr>
                        <w:top w:val="none" w:sz="0" w:space="0" w:color="auto"/>
                        <w:left w:val="none" w:sz="0" w:space="0" w:color="auto"/>
                        <w:bottom w:val="none" w:sz="0" w:space="0" w:color="auto"/>
                        <w:right w:val="none" w:sz="0" w:space="0" w:color="auto"/>
                      </w:divBdr>
                    </w:div>
                  </w:divsChild>
                </w:div>
                <w:div w:id="1302888084">
                  <w:marLeft w:val="0"/>
                  <w:marRight w:val="0"/>
                  <w:marTop w:val="0"/>
                  <w:marBottom w:val="0"/>
                  <w:divBdr>
                    <w:top w:val="none" w:sz="0" w:space="0" w:color="auto"/>
                    <w:left w:val="none" w:sz="0" w:space="0" w:color="auto"/>
                    <w:bottom w:val="none" w:sz="0" w:space="0" w:color="auto"/>
                    <w:right w:val="none" w:sz="0" w:space="0" w:color="auto"/>
                  </w:divBdr>
                  <w:divsChild>
                    <w:div w:id="1393964498">
                      <w:marLeft w:val="0"/>
                      <w:marRight w:val="0"/>
                      <w:marTop w:val="0"/>
                      <w:marBottom w:val="0"/>
                      <w:divBdr>
                        <w:top w:val="none" w:sz="0" w:space="0" w:color="auto"/>
                        <w:left w:val="none" w:sz="0" w:space="0" w:color="auto"/>
                        <w:bottom w:val="none" w:sz="0" w:space="0" w:color="auto"/>
                        <w:right w:val="none" w:sz="0" w:space="0" w:color="auto"/>
                      </w:divBdr>
                    </w:div>
                  </w:divsChild>
                </w:div>
                <w:div w:id="812285146">
                  <w:marLeft w:val="0"/>
                  <w:marRight w:val="0"/>
                  <w:marTop w:val="0"/>
                  <w:marBottom w:val="0"/>
                  <w:divBdr>
                    <w:top w:val="none" w:sz="0" w:space="0" w:color="auto"/>
                    <w:left w:val="none" w:sz="0" w:space="0" w:color="auto"/>
                    <w:bottom w:val="none" w:sz="0" w:space="0" w:color="auto"/>
                    <w:right w:val="none" w:sz="0" w:space="0" w:color="auto"/>
                  </w:divBdr>
                  <w:divsChild>
                    <w:div w:id="344551640">
                      <w:marLeft w:val="0"/>
                      <w:marRight w:val="0"/>
                      <w:marTop w:val="0"/>
                      <w:marBottom w:val="0"/>
                      <w:divBdr>
                        <w:top w:val="none" w:sz="0" w:space="0" w:color="auto"/>
                        <w:left w:val="none" w:sz="0" w:space="0" w:color="auto"/>
                        <w:bottom w:val="none" w:sz="0" w:space="0" w:color="auto"/>
                        <w:right w:val="none" w:sz="0" w:space="0" w:color="auto"/>
                      </w:divBdr>
                    </w:div>
                  </w:divsChild>
                </w:div>
                <w:div w:id="983893942">
                  <w:marLeft w:val="0"/>
                  <w:marRight w:val="0"/>
                  <w:marTop w:val="0"/>
                  <w:marBottom w:val="0"/>
                  <w:divBdr>
                    <w:top w:val="none" w:sz="0" w:space="0" w:color="auto"/>
                    <w:left w:val="none" w:sz="0" w:space="0" w:color="auto"/>
                    <w:bottom w:val="none" w:sz="0" w:space="0" w:color="auto"/>
                    <w:right w:val="none" w:sz="0" w:space="0" w:color="auto"/>
                  </w:divBdr>
                  <w:divsChild>
                    <w:div w:id="1488327843">
                      <w:marLeft w:val="0"/>
                      <w:marRight w:val="0"/>
                      <w:marTop w:val="0"/>
                      <w:marBottom w:val="0"/>
                      <w:divBdr>
                        <w:top w:val="none" w:sz="0" w:space="0" w:color="auto"/>
                        <w:left w:val="none" w:sz="0" w:space="0" w:color="auto"/>
                        <w:bottom w:val="none" w:sz="0" w:space="0" w:color="auto"/>
                        <w:right w:val="none" w:sz="0" w:space="0" w:color="auto"/>
                      </w:divBdr>
                    </w:div>
                  </w:divsChild>
                </w:div>
                <w:div w:id="955255846">
                  <w:marLeft w:val="0"/>
                  <w:marRight w:val="0"/>
                  <w:marTop w:val="0"/>
                  <w:marBottom w:val="0"/>
                  <w:divBdr>
                    <w:top w:val="none" w:sz="0" w:space="0" w:color="auto"/>
                    <w:left w:val="none" w:sz="0" w:space="0" w:color="auto"/>
                    <w:bottom w:val="none" w:sz="0" w:space="0" w:color="auto"/>
                    <w:right w:val="none" w:sz="0" w:space="0" w:color="auto"/>
                  </w:divBdr>
                  <w:divsChild>
                    <w:div w:id="1641417720">
                      <w:marLeft w:val="0"/>
                      <w:marRight w:val="0"/>
                      <w:marTop w:val="0"/>
                      <w:marBottom w:val="0"/>
                      <w:divBdr>
                        <w:top w:val="none" w:sz="0" w:space="0" w:color="auto"/>
                        <w:left w:val="none" w:sz="0" w:space="0" w:color="auto"/>
                        <w:bottom w:val="none" w:sz="0" w:space="0" w:color="auto"/>
                        <w:right w:val="none" w:sz="0" w:space="0" w:color="auto"/>
                      </w:divBdr>
                    </w:div>
                  </w:divsChild>
                </w:div>
                <w:div w:id="195389094">
                  <w:marLeft w:val="0"/>
                  <w:marRight w:val="0"/>
                  <w:marTop w:val="0"/>
                  <w:marBottom w:val="0"/>
                  <w:divBdr>
                    <w:top w:val="none" w:sz="0" w:space="0" w:color="auto"/>
                    <w:left w:val="none" w:sz="0" w:space="0" w:color="auto"/>
                    <w:bottom w:val="none" w:sz="0" w:space="0" w:color="auto"/>
                    <w:right w:val="none" w:sz="0" w:space="0" w:color="auto"/>
                  </w:divBdr>
                  <w:divsChild>
                    <w:div w:id="745080449">
                      <w:marLeft w:val="0"/>
                      <w:marRight w:val="0"/>
                      <w:marTop w:val="0"/>
                      <w:marBottom w:val="0"/>
                      <w:divBdr>
                        <w:top w:val="none" w:sz="0" w:space="0" w:color="auto"/>
                        <w:left w:val="none" w:sz="0" w:space="0" w:color="auto"/>
                        <w:bottom w:val="none" w:sz="0" w:space="0" w:color="auto"/>
                        <w:right w:val="none" w:sz="0" w:space="0" w:color="auto"/>
                      </w:divBdr>
                    </w:div>
                  </w:divsChild>
                </w:div>
                <w:div w:id="411392889">
                  <w:marLeft w:val="0"/>
                  <w:marRight w:val="0"/>
                  <w:marTop w:val="0"/>
                  <w:marBottom w:val="0"/>
                  <w:divBdr>
                    <w:top w:val="none" w:sz="0" w:space="0" w:color="auto"/>
                    <w:left w:val="none" w:sz="0" w:space="0" w:color="auto"/>
                    <w:bottom w:val="none" w:sz="0" w:space="0" w:color="auto"/>
                    <w:right w:val="none" w:sz="0" w:space="0" w:color="auto"/>
                  </w:divBdr>
                  <w:divsChild>
                    <w:div w:id="78867064">
                      <w:marLeft w:val="0"/>
                      <w:marRight w:val="0"/>
                      <w:marTop w:val="0"/>
                      <w:marBottom w:val="0"/>
                      <w:divBdr>
                        <w:top w:val="none" w:sz="0" w:space="0" w:color="auto"/>
                        <w:left w:val="none" w:sz="0" w:space="0" w:color="auto"/>
                        <w:bottom w:val="none" w:sz="0" w:space="0" w:color="auto"/>
                        <w:right w:val="none" w:sz="0" w:space="0" w:color="auto"/>
                      </w:divBdr>
                    </w:div>
                  </w:divsChild>
                </w:div>
                <w:div w:id="2085908470">
                  <w:marLeft w:val="0"/>
                  <w:marRight w:val="0"/>
                  <w:marTop w:val="0"/>
                  <w:marBottom w:val="0"/>
                  <w:divBdr>
                    <w:top w:val="none" w:sz="0" w:space="0" w:color="auto"/>
                    <w:left w:val="none" w:sz="0" w:space="0" w:color="auto"/>
                    <w:bottom w:val="none" w:sz="0" w:space="0" w:color="auto"/>
                    <w:right w:val="none" w:sz="0" w:space="0" w:color="auto"/>
                  </w:divBdr>
                  <w:divsChild>
                    <w:div w:id="1143354922">
                      <w:marLeft w:val="0"/>
                      <w:marRight w:val="0"/>
                      <w:marTop w:val="0"/>
                      <w:marBottom w:val="0"/>
                      <w:divBdr>
                        <w:top w:val="none" w:sz="0" w:space="0" w:color="auto"/>
                        <w:left w:val="none" w:sz="0" w:space="0" w:color="auto"/>
                        <w:bottom w:val="none" w:sz="0" w:space="0" w:color="auto"/>
                        <w:right w:val="none" w:sz="0" w:space="0" w:color="auto"/>
                      </w:divBdr>
                    </w:div>
                  </w:divsChild>
                </w:div>
                <w:div w:id="717510114">
                  <w:marLeft w:val="0"/>
                  <w:marRight w:val="0"/>
                  <w:marTop w:val="0"/>
                  <w:marBottom w:val="0"/>
                  <w:divBdr>
                    <w:top w:val="none" w:sz="0" w:space="0" w:color="auto"/>
                    <w:left w:val="none" w:sz="0" w:space="0" w:color="auto"/>
                    <w:bottom w:val="none" w:sz="0" w:space="0" w:color="auto"/>
                    <w:right w:val="none" w:sz="0" w:space="0" w:color="auto"/>
                  </w:divBdr>
                  <w:divsChild>
                    <w:div w:id="1380472098">
                      <w:marLeft w:val="0"/>
                      <w:marRight w:val="0"/>
                      <w:marTop w:val="0"/>
                      <w:marBottom w:val="0"/>
                      <w:divBdr>
                        <w:top w:val="none" w:sz="0" w:space="0" w:color="auto"/>
                        <w:left w:val="none" w:sz="0" w:space="0" w:color="auto"/>
                        <w:bottom w:val="none" w:sz="0" w:space="0" w:color="auto"/>
                        <w:right w:val="none" w:sz="0" w:space="0" w:color="auto"/>
                      </w:divBdr>
                    </w:div>
                  </w:divsChild>
                </w:div>
                <w:div w:id="925769802">
                  <w:marLeft w:val="0"/>
                  <w:marRight w:val="0"/>
                  <w:marTop w:val="0"/>
                  <w:marBottom w:val="0"/>
                  <w:divBdr>
                    <w:top w:val="none" w:sz="0" w:space="0" w:color="auto"/>
                    <w:left w:val="none" w:sz="0" w:space="0" w:color="auto"/>
                    <w:bottom w:val="none" w:sz="0" w:space="0" w:color="auto"/>
                    <w:right w:val="none" w:sz="0" w:space="0" w:color="auto"/>
                  </w:divBdr>
                  <w:divsChild>
                    <w:div w:id="1841694048">
                      <w:marLeft w:val="0"/>
                      <w:marRight w:val="0"/>
                      <w:marTop w:val="0"/>
                      <w:marBottom w:val="0"/>
                      <w:divBdr>
                        <w:top w:val="none" w:sz="0" w:space="0" w:color="auto"/>
                        <w:left w:val="none" w:sz="0" w:space="0" w:color="auto"/>
                        <w:bottom w:val="none" w:sz="0" w:space="0" w:color="auto"/>
                        <w:right w:val="none" w:sz="0" w:space="0" w:color="auto"/>
                      </w:divBdr>
                    </w:div>
                  </w:divsChild>
                </w:div>
                <w:div w:id="2036542308">
                  <w:marLeft w:val="0"/>
                  <w:marRight w:val="0"/>
                  <w:marTop w:val="0"/>
                  <w:marBottom w:val="0"/>
                  <w:divBdr>
                    <w:top w:val="none" w:sz="0" w:space="0" w:color="auto"/>
                    <w:left w:val="none" w:sz="0" w:space="0" w:color="auto"/>
                    <w:bottom w:val="none" w:sz="0" w:space="0" w:color="auto"/>
                    <w:right w:val="none" w:sz="0" w:space="0" w:color="auto"/>
                  </w:divBdr>
                  <w:divsChild>
                    <w:div w:id="1374578261">
                      <w:marLeft w:val="0"/>
                      <w:marRight w:val="0"/>
                      <w:marTop w:val="0"/>
                      <w:marBottom w:val="0"/>
                      <w:divBdr>
                        <w:top w:val="none" w:sz="0" w:space="0" w:color="auto"/>
                        <w:left w:val="none" w:sz="0" w:space="0" w:color="auto"/>
                        <w:bottom w:val="none" w:sz="0" w:space="0" w:color="auto"/>
                        <w:right w:val="none" w:sz="0" w:space="0" w:color="auto"/>
                      </w:divBdr>
                    </w:div>
                  </w:divsChild>
                </w:div>
                <w:div w:id="1816751831">
                  <w:marLeft w:val="0"/>
                  <w:marRight w:val="0"/>
                  <w:marTop w:val="0"/>
                  <w:marBottom w:val="0"/>
                  <w:divBdr>
                    <w:top w:val="none" w:sz="0" w:space="0" w:color="auto"/>
                    <w:left w:val="none" w:sz="0" w:space="0" w:color="auto"/>
                    <w:bottom w:val="none" w:sz="0" w:space="0" w:color="auto"/>
                    <w:right w:val="none" w:sz="0" w:space="0" w:color="auto"/>
                  </w:divBdr>
                  <w:divsChild>
                    <w:div w:id="628510942">
                      <w:marLeft w:val="0"/>
                      <w:marRight w:val="0"/>
                      <w:marTop w:val="0"/>
                      <w:marBottom w:val="0"/>
                      <w:divBdr>
                        <w:top w:val="none" w:sz="0" w:space="0" w:color="auto"/>
                        <w:left w:val="none" w:sz="0" w:space="0" w:color="auto"/>
                        <w:bottom w:val="none" w:sz="0" w:space="0" w:color="auto"/>
                        <w:right w:val="none" w:sz="0" w:space="0" w:color="auto"/>
                      </w:divBdr>
                    </w:div>
                  </w:divsChild>
                </w:div>
                <w:div w:id="1134643608">
                  <w:marLeft w:val="0"/>
                  <w:marRight w:val="0"/>
                  <w:marTop w:val="0"/>
                  <w:marBottom w:val="0"/>
                  <w:divBdr>
                    <w:top w:val="none" w:sz="0" w:space="0" w:color="auto"/>
                    <w:left w:val="none" w:sz="0" w:space="0" w:color="auto"/>
                    <w:bottom w:val="none" w:sz="0" w:space="0" w:color="auto"/>
                    <w:right w:val="none" w:sz="0" w:space="0" w:color="auto"/>
                  </w:divBdr>
                  <w:divsChild>
                    <w:div w:id="1301961739">
                      <w:marLeft w:val="0"/>
                      <w:marRight w:val="0"/>
                      <w:marTop w:val="0"/>
                      <w:marBottom w:val="0"/>
                      <w:divBdr>
                        <w:top w:val="none" w:sz="0" w:space="0" w:color="auto"/>
                        <w:left w:val="none" w:sz="0" w:space="0" w:color="auto"/>
                        <w:bottom w:val="none" w:sz="0" w:space="0" w:color="auto"/>
                        <w:right w:val="none" w:sz="0" w:space="0" w:color="auto"/>
                      </w:divBdr>
                    </w:div>
                  </w:divsChild>
                </w:div>
                <w:div w:id="1828859902">
                  <w:marLeft w:val="0"/>
                  <w:marRight w:val="0"/>
                  <w:marTop w:val="0"/>
                  <w:marBottom w:val="0"/>
                  <w:divBdr>
                    <w:top w:val="none" w:sz="0" w:space="0" w:color="auto"/>
                    <w:left w:val="none" w:sz="0" w:space="0" w:color="auto"/>
                    <w:bottom w:val="none" w:sz="0" w:space="0" w:color="auto"/>
                    <w:right w:val="none" w:sz="0" w:space="0" w:color="auto"/>
                  </w:divBdr>
                  <w:divsChild>
                    <w:div w:id="1592203996">
                      <w:marLeft w:val="0"/>
                      <w:marRight w:val="0"/>
                      <w:marTop w:val="0"/>
                      <w:marBottom w:val="0"/>
                      <w:divBdr>
                        <w:top w:val="none" w:sz="0" w:space="0" w:color="auto"/>
                        <w:left w:val="none" w:sz="0" w:space="0" w:color="auto"/>
                        <w:bottom w:val="none" w:sz="0" w:space="0" w:color="auto"/>
                        <w:right w:val="none" w:sz="0" w:space="0" w:color="auto"/>
                      </w:divBdr>
                    </w:div>
                  </w:divsChild>
                </w:div>
                <w:div w:id="1437170726">
                  <w:marLeft w:val="0"/>
                  <w:marRight w:val="0"/>
                  <w:marTop w:val="0"/>
                  <w:marBottom w:val="0"/>
                  <w:divBdr>
                    <w:top w:val="none" w:sz="0" w:space="0" w:color="auto"/>
                    <w:left w:val="none" w:sz="0" w:space="0" w:color="auto"/>
                    <w:bottom w:val="none" w:sz="0" w:space="0" w:color="auto"/>
                    <w:right w:val="none" w:sz="0" w:space="0" w:color="auto"/>
                  </w:divBdr>
                  <w:divsChild>
                    <w:div w:id="784925081">
                      <w:marLeft w:val="0"/>
                      <w:marRight w:val="0"/>
                      <w:marTop w:val="0"/>
                      <w:marBottom w:val="0"/>
                      <w:divBdr>
                        <w:top w:val="none" w:sz="0" w:space="0" w:color="auto"/>
                        <w:left w:val="none" w:sz="0" w:space="0" w:color="auto"/>
                        <w:bottom w:val="none" w:sz="0" w:space="0" w:color="auto"/>
                        <w:right w:val="none" w:sz="0" w:space="0" w:color="auto"/>
                      </w:divBdr>
                    </w:div>
                  </w:divsChild>
                </w:div>
                <w:div w:id="672488729">
                  <w:marLeft w:val="0"/>
                  <w:marRight w:val="0"/>
                  <w:marTop w:val="0"/>
                  <w:marBottom w:val="0"/>
                  <w:divBdr>
                    <w:top w:val="none" w:sz="0" w:space="0" w:color="auto"/>
                    <w:left w:val="none" w:sz="0" w:space="0" w:color="auto"/>
                    <w:bottom w:val="none" w:sz="0" w:space="0" w:color="auto"/>
                    <w:right w:val="none" w:sz="0" w:space="0" w:color="auto"/>
                  </w:divBdr>
                  <w:divsChild>
                    <w:div w:id="1938902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7864394">
          <w:marLeft w:val="0"/>
          <w:marRight w:val="0"/>
          <w:marTop w:val="0"/>
          <w:marBottom w:val="0"/>
          <w:divBdr>
            <w:top w:val="none" w:sz="0" w:space="0" w:color="auto"/>
            <w:left w:val="none" w:sz="0" w:space="0" w:color="auto"/>
            <w:bottom w:val="none" w:sz="0" w:space="0" w:color="auto"/>
            <w:right w:val="none" w:sz="0" w:space="0" w:color="auto"/>
          </w:divBdr>
        </w:div>
        <w:div w:id="1690180633">
          <w:marLeft w:val="0"/>
          <w:marRight w:val="0"/>
          <w:marTop w:val="0"/>
          <w:marBottom w:val="0"/>
          <w:divBdr>
            <w:top w:val="none" w:sz="0" w:space="0" w:color="auto"/>
            <w:left w:val="none" w:sz="0" w:space="0" w:color="auto"/>
            <w:bottom w:val="none" w:sz="0" w:space="0" w:color="auto"/>
            <w:right w:val="none" w:sz="0" w:space="0" w:color="auto"/>
          </w:divBdr>
        </w:div>
        <w:div w:id="1782797540">
          <w:marLeft w:val="0"/>
          <w:marRight w:val="0"/>
          <w:marTop w:val="0"/>
          <w:marBottom w:val="0"/>
          <w:divBdr>
            <w:top w:val="none" w:sz="0" w:space="0" w:color="auto"/>
            <w:left w:val="none" w:sz="0" w:space="0" w:color="auto"/>
            <w:bottom w:val="none" w:sz="0" w:space="0" w:color="auto"/>
            <w:right w:val="none" w:sz="0" w:space="0" w:color="auto"/>
          </w:divBdr>
        </w:div>
        <w:div w:id="1105812077">
          <w:marLeft w:val="0"/>
          <w:marRight w:val="0"/>
          <w:marTop w:val="0"/>
          <w:marBottom w:val="0"/>
          <w:divBdr>
            <w:top w:val="none" w:sz="0" w:space="0" w:color="auto"/>
            <w:left w:val="none" w:sz="0" w:space="0" w:color="auto"/>
            <w:bottom w:val="none" w:sz="0" w:space="0" w:color="auto"/>
            <w:right w:val="none" w:sz="0" w:space="0" w:color="auto"/>
          </w:divBdr>
        </w:div>
        <w:div w:id="668757269">
          <w:marLeft w:val="0"/>
          <w:marRight w:val="0"/>
          <w:marTop w:val="0"/>
          <w:marBottom w:val="0"/>
          <w:divBdr>
            <w:top w:val="none" w:sz="0" w:space="0" w:color="auto"/>
            <w:left w:val="none" w:sz="0" w:space="0" w:color="auto"/>
            <w:bottom w:val="none" w:sz="0" w:space="0" w:color="auto"/>
            <w:right w:val="none" w:sz="0" w:space="0" w:color="auto"/>
          </w:divBdr>
        </w:div>
        <w:div w:id="33115747">
          <w:marLeft w:val="0"/>
          <w:marRight w:val="0"/>
          <w:marTop w:val="0"/>
          <w:marBottom w:val="0"/>
          <w:divBdr>
            <w:top w:val="none" w:sz="0" w:space="0" w:color="auto"/>
            <w:left w:val="none" w:sz="0" w:space="0" w:color="auto"/>
            <w:bottom w:val="none" w:sz="0" w:space="0" w:color="auto"/>
            <w:right w:val="none" w:sz="0" w:space="0" w:color="auto"/>
          </w:divBdr>
          <w:divsChild>
            <w:div w:id="492068083">
              <w:marLeft w:val="-75"/>
              <w:marRight w:val="0"/>
              <w:marTop w:val="30"/>
              <w:marBottom w:val="30"/>
              <w:divBdr>
                <w:top w:val="none" w:sz="0" w:space="0" w:color="auto"/>
                <w:left w:val="none" w:sz="0" w:space="0" w:color="auto"/>
                <w:bottom w:val="none" w:sz="0" w:space="0" w:color="auto"/>
                <w:right w:val="none" w:sz="0" w:space="0" w:color="auto"/>
              </w:divBdr>
              <w:divsChild>
                <w:div w:id="997461843">
                  <w:marLeft w:val="0"/>
                  <w:marRight w:val="0"/>
                  <w:marTop w:val="0"/>
                  <w:marBottom w:val="0"/>
                  <w:divBdr>
                    <w:top w:val="none" w:sz="0" w:space="0" w:color="auto"/>
                    <w:left w:val="none" w:sz="0" w:space="0" w:color="auto"/>
                    <w:bottom w:val="none" w:sz="0" w:space="0" w:color="auto"/>
                    <w:right w:val="none" w:sz="0" w:space="0" w:color="auto"/>
                  </w:divBdr>
                  <w:divsChild>
                    <w:div w:id="1997220011">
                      <w:marLeft w:val="0"/>
                      <w:marRight w:val="0"/>
                      <w:marTop w:val="0"/>
                      <w:marBottom w:val="0"/>
                      <w:divBdr>
                        <w:top w:val="none" w:sz="0" w:space="0" w:color="auto"/>
                        <w:left w:val="none" w:sz="0" w:space="0" w:color="auto"/>
                        <w:bottom w:val="none" w:sz="0" w:space="0" w:color="auto"/>
                        <w:right w:val="none" w:sz="0" w:space="0" w:color="auto"/>
                      </w:divBdr>
                    </w:div>
                  </w:divsChild>
                </w:div>
                <w:div w:id="945044703">
                  <w:marLeft w:val="0"/>
                  <w:marRight w:val="0"/>
                  <w:marTop w:val="0"/>
                  <w:marBottom w:val="0"/>
                  <w:divBdr>
                    <w:top w:val="none" w:sz="0" w:space="0" w:color="auto"/>
                    <w:left w:val="none" w:sz="0" w:space="0" w:color="auto"/>
                    <w:bottom w:val="none" w:sz="0" w:space="0" w:color="auto"/>
                    <w:right w:val="none" w:sz="0" w:space="0" w:color="auto"/>
                  </w:divBdr>
                  <w:divsChild>
                    <w:div w:id="33510327">
                      <w:marLeft w:val="0"/>
                      <w:marRight w:val="0"/>
                      <w:marTop w:val="0"/>
                      <w:marBottom w:val="0"/>
                      <w:divBdr>
                        <w:top w:val="none" w:sz="0" w:space="0" w:color="auto"/>
                        <w:left w:val="none" w:sz="0" w:space="0" w:color="auto"/>
                        <w:bottom w:val="none" w:sz="0" w:space="0" w:color="auto"/>
                        <w:right w:val="none" w:sz="0" w:space="0" w:color="auto"/>
                      </w:divBdr>
                    </w:div>
                  </w:divsChild>
                </w:div>
                <w:div w:id="267855971">
                  <w:marLeft w:val="0"/>
                  <w:marRight w:val="0"/>
                  <w:marTop w:val="0"/>
                  <w:marBottom w:val="0"/>
                  <w:divBdr>
                    <w:top w:val="none" w:sz="0" w:space="0" w:color="auto"/>
                    <w:left w:val="none" w:sz="0" w:space="0" w:color="auto"/>
                    <w:bottom w:val="none" w:sz="0" w:space="0" w:color="auto"/>
                    <w:right w:val="none" w:sz="0" w:space="0" w:color="auto"/>
                  </w:divBdr>
                  <w:divsChild>
                    <w:div w:id="1118185605">
                      <w:marLeft w:val="0"/>
                      <w:marRight w:val="0"/>
                      <w:marTop w:val="0"/>
                      <w:marBottom w:val="0"/>
                      <w:divBdr>
                        <w:top w:val="none" w:sz="0" w:space="0" w:color="auto"/>
                        <w:left w:val="none" w:sz="0" w:space="0" w:color="auto"/>
                        <w:bottom w:val="none" w:sz="0" w:space="0" w:color="auto"/>
                        <w:right w:val="none" w:sz="0" w:space="0" w:color="auto"/>
                      </w:divBdr>
                    </w:div>
                  </w:divsChild>
                </w:div>
                <w:div w:id="1800610942">
                  <w:marLeft w:val="0"/>
                  <w:marRight w:val="0"/>
                  <w:marTop w:val="0"/>
                  <w:marBottom w:val="0"/>
                  <w:divBdr>
                    <w:top w:val="none" w:sz="0" w:space="0" w:color="auto"/>
                    <w:left w:val="none" w:sz="0" w:space="0" w:color="auto"/>
                    <w:bottom w:val="none" w:sz="0" w:space="0" w:color="auto"/>
                    <w:right w:val="none" w:sz="0" w:space="0" w:color="auto"/>
                  </w:divBdr>
                  <w:divsChild>
                    <w:div w:id="1935744115">
                      <w:marLeft w:val="0"/>
                      <w:marRight w:val="0"/>
                      <w:marTop w:val="0"/>
                      <w:marBottom w:val="0"/>
                      <w:divBdr>
                        <w:top w:val="none" w:sz="0" w:space="0" w:color="auto"/>
                        <w:left w:val="none" w:sz="0" w:space="0" w:color="auto"/>
                        <w:bottom w:val="none" w:sz="0" w:space="0" w:color="auto"/>
                        <w:right w:val="none" w:sz="0" w:space="0" w:color="auto"/>
                      </w:divBdr>
                    </w:div>
                  </w:divsChild>
                </w:div>
                <w:div w:id="628899414">
                  <w:marLeft w:val="0"/>
                  <w:marRight w:val="0"/>
                  <w:marTop w:val="0"/>
                  <w:marBottom w:val="0"/>
                  <w:divBdr>
                    <w:top w:val="none" w:sz="0" w:space="0" w:color="auto"/>
                    <w:left w:val="none" w:sz="0" w:space="0" w:color="auto"/>
                    <w:bottom w:val="none" w:sz="0" w:space="0" w:color="auto"/>
                    <w:right w:val="none" w:sz="0" w:space="0" w:color="auto"/>
                  </w:divBdr>
                  <w:divsChild>
                    <w:div w:id="1981955334">
                      <w:marLeft w:val="0"/>
                      <w:marRight w:val="0"/>
                      <w:marTop w:val="0"/>
                      <w:marBottom w:val="0"/>
                      <w:divBdr>
                        <w:top w:val="none" w:sz="0" w:space="0" w:color="auto"/>
                        <w:left w:val="none" w:sz="0" w:space="0" w:color="auto"/>
                        <w:bottom w:val="none" w:sz="0" w:space="0" w:color="auto"/>
                        <w:right w:val="none" w:sz="0" w:space="0" w:color="auto"/>
                      </w:divBdr>
                    </w:div>
                  </w:divsChild>
                </w:div>
                <w:div w:id="801309976">
                  <w:marLeft w:val="0"/>
                  <w:marRight w:val="0"/>
                  <w:marTop w:val="0"/>
                  <w:marBottom w:val="0"/>
                  <w:divBdr>
                    <w:top w:val="none" w:sz="0" w:space="0" w:color="auto"/>
                    <w:left w:val="none" w:sz="0" w:space="0" w:color="auto"/>
                    <w:bottom w:val="none" w:sz="0" w:space="0" w:color="auto"/>
                    <w:right w:val="none" w:sz="0" w:space="0" w:color="auto"/>
                  </w:divBdr>
                  <w:divsChild>
                    <w:div w:id="317655352">
                      <w:marLeft w:val="0"/>
                      <w:marRight w:val="0"/>
                      <w:marTop w:val="0"/>
                      <w:marBottom w:val="0"/>
                      <w:divBdr>
                        <w:top w:val="none" w:sz="0" w:space="0" w:color="auto"/>
                        <w:left w:val="none" w:sz="0" w:space="0" w:color="auto"/>
                        <w:bottom w:val="none" w:sz="0" w:space="0" w:color="auto"/>
                        <w:right w:val="none" w:sz="0" w:space="0" w:color="auto"/>
                      </w:divBdr>
                    </w:div>
                  </w:divsChild>
                </w:div>
                <w:div w:id="1158959174">
                  <w:marLeft w:val="0"/>
                  <w:marRight w:val="0"/>
                  <w:marTop w:val="0"/>
                  <w:marBottom w:val="0"/>
                  <w:divBdr>
                    <w:top w:val="none" w:sz="0" w:space="0" w:color="auto"/>
                    <w:left w:val="none" w:sz="0" w:space="0" w:color="auto"/>
                    <w:bottom w:val="none" w:sz="0" w:space="0" w:color="auto"/>
                    <w:right w:val="none" w:sz="0" w:space="0" w:color="auto"/>
                  </w:divBdr>
                  <w:divsChild>
                    <w:div w:id="1880777033">
                      <w:marLeft w:val="0"/>
                      <w:marRight w:val="0"/>
                      <w:marTop w:val="0"/>
                      <w:marBottom w:val="0"/>
                      <w:divBdr>
                        <w:top w:val="none" w:sz="0" w:space="0" w:color="auto"/>
                        <w:left w:val="none" w:sz="0" w:space="0" w:color="auto"/>
                        <w:bottom w:val="none" w:sz="0" w:space="0" w:color="auto"/>
                        <w:right w:val="none" w:sz="0" w:space="0" w:color="auto"/>
                      </w:divBdr>
                    </w:div>
                  </w:divsChild>
                </w:div>
                <w:div w:id="2033263536">
                  <w:marLeft w:val="0"/>
                  <w:marRight w:val="0"/>
                  <w:marTop w:val="0"/>
                  <w:marBottom w:val="0"/>
                  <w:divBdr>
                    <w:top w:val="none" w:sz="0" w:space="0" w:color="auto"/>
                    <w:left w:val="none" w:sz="0" w:space="0" w:color="auto"/>
                    <w:bottom w:val="none" w:sz="0" w:space="0" w:color="auto"/>
                    <w:right w:val="none" w:sz="0" w:space="0" w:color="auto"/>
                  </w:divBdr>
                  <w:divsChild>
                    <w:div w:id="672682830">
                      <w:marLeft w:val="0"/>
                      <w:marRight w:val="0"/>
                      <w:marTop w:val="0"/>
                      <w:marBottom w:val="0"/>
                      <w:divBdr>
                        <w:top w:val="none" w:sz="0" w:space="0" w:color="auto"/>
                        <w:left w:val="none" w:sz="0" w:space="0" w:color="auto"/>
                        <w:bottom w:val="none" w:sz="0" w:space="0" w:color="auto"/>
                        <w:right w:val="none" w:sz="0" w:space="0" w:color="auto"/>
                      </w:divBdr>
                    </w:div>
                  </w:divsChild>
                </w:div>
                <w:div w:id="1983659119">
                  <w:marLeft w:val="0"/>
                  <w:marRight w:val="0"/>
                  <w:marTop w:val="0"/>
                  <w:marBottom w:val="0"/>
                  <w:divBdr>
                    <w:top w:val="none" w:sz="0" w:space="0" w:color="auto"/>
                    <w:left w:val="none" w:sz="0" w:space="0" w:color="auto"/>
                    <w:bottom w:val="none" w:sz="0" w:space="0" w:color="auto"/>
                    <w:right w:val="none" w:sz="0" w:space="0" w:color="auto"/>
                  </w:divBdr>
                  <w:divsChild>
                    <w:div w:id="669404365">
                      <w:marLeft w:val="0"/>
                      <w:marRight w:val="0"/>
                      <w:marTop w:val="0"/>
                      <w:marBottom w:val="0"/>
                      <w:divBdr>
                        <w:top w:val="none" w:sz="0" w:space="0" w:color="auto"/>
                        <w:left w:val="none" w:sz="0" w:space="0" w:color="auto"/>
                        <w:bottom w:val="none" w:sz="0" w:space="0" w:color="auto"/>
                        <w:right w:val="none" w:sz="0" w:space="0" w:color="auto"/>
                      </w:divBdr>
                    </w:div>
                  </w:divsChild>
                </w:div>
                <w:div w:id="1063672622">
                  <w:marLeft w:val="0"/>
                  <w:marRight w:val="0"/>
                  <w:marTop w:val="0"/>
                  <w:marBottom w:val="0"/>
                  <w:divBdr>
                    <w:top w:val="none" w:sz="0" w:space="0" w:color="auto"/>
                    <w:left w:val="none" w:sz="0" w:space="0" w:color="auto"/>
                    <w:bottom w:val="none" w:sz="0" w:space="0" w:color="auto"/>
                    <w:right w:val="none" w:sz="0" w:space="0" w:color="auto"/>
                  </w:divBdr>
                  <w:divsChild>
                    <w:div w:id="139419573">
                      <w:marLeft w:val="0"/>
                      <w:marRight w:val="0"/>
                      <w:marTop w:val="0"/>
                      <w:marBottom w:val="0"/>
                      <w:divBdr>
                        <w:top w:val="none" w:sz="0" w:space="0" w:color="auto"/>
                        <w:left w:val="none" w:sz="0" w:space="0" w:color="auto"/>
                        <w:bottom w:val="none" w:sz="0" w:space="0" w:color="auto"/>
                        <w:right w:val="none" w:sz="0" w:space="0" w:color="auto"/>
                      </w:divBdr>
                    </w:div>
                  </w:divsChild>
                </w:div>
                <w:div w:id="330108887">
                  <w:marLeft w:val="0"/>
                  <w:marRight w:val="0"/>
                  <w:marTop w:val="0"/>
                  <w:marBottom w:val="0"/>
                  <w:divBdr>
                    <w:top w:val="none" w:sz="0" w:space="0" w:color="auto"/>
                    <w:left w:val="none" w:sz="0" w:space="0" w:color="auto"/>
                    <w:bottom w:val="none" w:sz="0" w:space="0" w:color="auto"/>
                    <w:right w:val="none" w:sz="0" w:space="0" w:color="auto"/>
                  </w:divBdr>
                  <w:divsChild>
                    <w:div w:id="89090559">
                      <w:marLeft w:val="0"/>
                      <w:marRight w:val="0"/>
                      <w:marTop w:val="0"/>
                      <w:marBottom w:val="0"/>
                      <w:divBdr>
                        <w:top w:val="none" w:sz="0" w:space="0" w:color="auto"/>
                        <w:left w:val="none" w:sz="0" w:space="0" w:color="auto"/>
                        <w:bottom w:val="none" w:sz="0" w:space="0" w:color="auto"/>
                        <w:right w:val="none" w:sz="0" w:space="0" w:color="auto"/>
                      </w:divBdr>
                    </w:div>
                  </w:divsChild>
                </w:div>
                <w:div w:id="1233346878">
                  <w:marLeft w:val="0"/>
                  <w:marRight w:val="0"/>
                  <w:marTop w:val="0"/>
                  <w:marBottom w:val="0"/>
                  <w:divBdr>
                    <w:top w:val="none" w:sz="0" w:space="0" w:color="auto"/>
                    <w:left w:val="none" w:sz="0" w:space="0" w:color="auto"/>
                    <w:bottom w:val="none" w:sz="0" w:space="0" w:color="auto"/>
                    <w:right w:val="none" w:sz="0" w:space="0" w:color="auto"/>
                  </w:divBdr>
                  <w:divsChild>
                    <w:div w:id="706953072">
                      <w:marLeft w:val="0"/>
                      <w:marRight w:val="0"/>
                      <w:marTop w:val="0"/>
                      <w:marBottom w:val="0"/>
                      <w:divBdr>
                        <w:top w:val="none" w:sz="0" w:space="0" w:color="auto"/>
                        <w:left w:val="none" w:sz="0" w:space="0" w:color="auto"/>
                        <w:bottom w:val="none" w:sz="0" w:space="0" w:color="auto"/>
                        <w:right w:val="none" w:sz="0" w:space="0" w:color="auto"/>
                      </w:divBdr>
                    </w:div>
                  </w:divsChild>
                </w:div>
                <w:div w:id="251476409">
                  <w:marLeft w:val="0"/>
                  <w:marRight w:val="0"/>
                  <w:marTop w:val="0"/>
                  <w:marBottom w:val="0"/>
                  <w:divBdr>
                    <w:top w:val="none" w:sz="0" w:space="0" w:color="auto"/>
                    <w:left w:val="none" w:sz="0" w:space="0" w:color="auto"/>
                    <w:bottom w:val="none" w:sz="0" w:space="0" w:color="auto"/>
                    <w:right w:val="none" w:sz="0" w:space="0" w:color="auto"/>
                  </w:divBdr>
                  <w:divsChild>
                    <w:div w:id="569972488">
                      <w:marLeft w:val="0"/>
                      <w:marRight w:val="0"/>
                      <w:marTop w:val="0"/>
                      <w:marBottom w:val="0"/>
                      <w:divBdr>
                        <w:top w:val="none" w:sz="0" w:space="0" w:color="auto"/>
                        <w:left w:val="none" w:sz="0" w:space="0" w:color="auto"/>
                        <w:bottom w:val="none" w:sz="0" w:space="0" w:color="auto"/>
                        <w:right w:val="none" w:sz="0" w:space="0" w:color="auto"/>
                      </w:divBdr>
                    </w:div>
                  </w:divsChild>
                </w:div>
                <w:div w:id="1581792971">
                  <w:marLeft w:val="0"/>
                  <w:marRight w:val="0"/>
                  <w:marTop w:val="0"/>
                  <w:marBottom w:val="0"/>
                  <w:divBdr>
                    <w:top w:val="none" w:sz="0" w:space="0" w:color="auto"/>
                    <w:left w:val="none" w:sz="0" w:space="0" w:color="auto"/>
                    <w:bottom w:val="none" w:sz="0" w:space="0" w:color="auto"/>
                    <w:right w:val="none" w:sz="0" w:space="0" w:color="auto"/>
                  </w:divBdr>
                  <w:divsChild>
                    <w:div w:id="409935683">
                      <w:marLeft w:val="0"/>
                      <w:marRight w:val="0"/>
                      <w:marTop w:val="0"/>
                      <w:marBottom w:val="0"/>
                      <w:divBdr>
                        <w:top w:val="none" w:sz="0" w:space="0" w:color="auto"/>
                        <w:left w:val="none" w:sz="0" w:space="0" w:color="auto"/>
                        <w:bottom w:val="none" w:sz="0" w:space="0" w:color="auto"/>
                        <w:right w:val="none" w:sz="0" w:space="0" w:color="auto"/>
                      </w:divBdr>
                    </w:div>
                  </w:divsChild>
                </w:div>
                <w:div w:id="2124953538">
                  <w:marLeft w:val="0"/>
                  <w:marRight w:val="0"/>
                  <w:marTop w:val="0"/>
                  <w:marBottom w:val="0"/>
                  <w:divBdr>
                    <w:top w:val="none" w:sz="0" w:space="0" w:color="auto"/>
                    <w:left w:val="none" w:sz="0" w:space="0" w:color="auto"/>
                    <w:bottom w:val="none" w:sz="0" w:space="0" w:color="auto"/>
                    <w:right w:val="none" w:sz="0" w:space="0" w:color="auto"/>
                  </w:divBdr>
                  <w:divsChild>
                    <w:div w:id="483618857">
                      <w:marLeft w:val="0"/>
                      <w:marRight w:val="0"/>
                      <w:marTop w:val="0"/>
                      <w:marBottom w:val="0"/>
                      <w:divBdr>
                        <w:top w:val="none" w:sz="0" w:space="0" w:color="auto"/>
                        <w:left w:val="none" w:sz="0" w:space="0" w:color="auto"/>
                        <w:bottom w:val="none" w:sz="0" w:space="0" w:color="auto"/>
                        <w:right w:val="none" w:sz="0" w:space="0" w:color="auto"/>
                      </w:divBdr>
                    </w:div>
                  </w:divsChild>
                </w:div>
                <w:div w:id="1185368482">
                  <w:marLeft w:val="0"/>
                  <w:marRight w:val="0"/>
                  <w:marTop w:val="0"/>
                  <w:marBottom w:val="0"/>
                  <w:divBdr>
                    <w:top w:val="none" w:sz="0" w:space="0" w:color="auto"/>
                    <w:left w:val="none" w:sz="0" w:space="0" w:color="auto"/>
                    <w:bottom w:val="none" w:sz="0" w:space="0" w:color="auto"/>
                    <w:right w:val="none" w:sz="0" w:space="0" w:color="auto"/>
                  </w:divBdr>
                  <w:divsChild>
                    <w:div w:id="930771798">
                      <w:marLeft w:val="0"/>
                      <w:marRight w:val="0"/>
                      <w:marTop w:val="0"/>
                      <w:marBottom w:val="0"/>
                      <w:divBdr>
                        <w:top w:val="none" w:sz="0" w:space="0" w:color="auto"/>
                        <w:left w:val="none" w:sz="0" w:space="0" w:color="auto"/>
                        <w:bottom w:val="none" w:sz="0" w:space="0" w:color="auto"/>
                        <w:right w:val="none" w:sz="0" w:space="0" w:color="auto"/>
                      </w:divBdr>
                    </w:div>
                  </w:divsChild>
                </w:div>
                <w:div w:id="204366844">
                  <w:marLeft w:val="0"/>
                  <w:marRight w:val="0"/>
                  <w:marTop w:val="0"/>
                  <w:marBottom w:val="0"/>
                  <w:divBdr>
                    <w:top w:val="none" w:sz="0" w:space="0" w:color="auto"/>
                    <w:left w:val="none" w:sz="0" w:space="0" w:color="auto"/>
                    <w:bottom w:val="none" w:sz="0" w:space="0" w:color="auto"/>
                    <w:right w:val="none" w:sz="0" w:space="0" w:color="auto"/>
                  </w:divBdr>
                  <w:divsChild>
                    <w:div w:id="1637027648">
                      <w:marLeft w:val="0"/>
                      <w:marRight w:val="0"/>
                      <w:marTop w:val="0"/>
                      <w:marBottom w:val="0"/>
                      <w:divBdr>
                        <w:top w:val="none" w:sz="0" w:space="0" w:color="auto"/>
                        <w:left w:val="none" w:sz="0" w:space="0" w:color="auto"/>
                        <w:bottom w:val="none" w:sz="0" w:space="0" w:color="auto"/>
                        <w:right w:val="none" w:sz="0" w:space="0" w:color="auto"/>
                      </w:divBdr>
                    </w:div>
                  </w:divsChild>
                </w:div>
                <w:div w:id="64688593">
                  <w:marLeft w:val="0"/>
                  <w:marRight w:val="0"/>
                  <w:marTop w:val="0"/>
                  <w:marBottom w:val="0"/>
                  <w:divBdr>
                    <w:top w:val="none" w:sz="0" w:space="0" w:color="auto"/>
                    <w:left w:val="none" w:sz="0" w:space="0" w:color="auto"/>
                    <w:bottom w:val="none" w:sz="0" w:space="0" w:color="auto"/>
                    <w:right w:val="none" w:sz="0" w:space="0" w:color="auto"/>
                  </w:divBdr>
                  <w:divsChild>
                    <w:div w:id="1753813694">
                      <w:marLeft w:val="0"/>
                      <w:marRight w:val="0"/>
                      <w:marTop w:val="0"/>
                      <w:marBottom w:val="0"/>
                      <w:divBdr>
                        <w:top w:val="none" w:sz="0" w:space="0" w:color="auto"/>
                        <w:left w:val="none" w:sz="0" w:space="0" w:color="auto"/>
                        <w:bottom w:val="none" w:sz="0" w:space="0" w:color="auto"/>
                        <w:right w:val="none" w:sz="0" w:space="0" w:color="auto"/>
                      </w:divBdr>
                    </w:div>
                  </w:divsChild>
                </w:div>
                <w:div w:id="1387801598">
                  <w:marLeft w:val="0"/>
                  <w:marRight w:val="0"/>
                  <w:marTop w:val="0"/>
                  <w:marBottom w:val="0"/>
                  <w:divBdr>
                    <w:top w:val="none" w:sz="0" w:space="0" w:color="auto"/>
                    <w:left w:val="none" w:sz="0" w:space="0" w:color="auto"/>
                    <w:bottom w:val="none" w:sz="0" w:space="0" w:color="auto"/>
                    <w:right w:val="none" w:sz="0" w:space="0" w:color="auto"/>
                  </w:divBdr>
                  <w:divsChild>
                    <w:div w:id="261572422">
                      <w:marLeft w:val="0"/>
                      <w:marRight w:val="0"/>
                      <w:marTop w:val="0"/>
                      <w:marBottom w:val="0"/>
                      <w:divBdr>
                        <w:top w:val="none" w:sz="0" w:space="0" w:color="auto"/>
                        <w:left w:val="none" w:sz="0" w:space="0" w:color="auto"/>
                        <w:bottom w:val="none" w:sz="0" w:space="0" w:color="auto"/>
                        <w:right w:val="none" w:sz="0" w:space="0" w:color="auto"/>
                      </w:divBdr>
                    </w:div>
                  </w:divsChild>
                </w:div>
                <w:div w:id="317001023">
                  <w:marLeft w:val="0"/>
                  <w:marRight w:val="0"/>
                  <w:marTop w:val="0"/>
                  <w:marBottom w:val="0"/>
                  <w:divBdr>
                    <w:top w:val="none" w:sz="0" w:space="0" w:color="auto"/>
                    <w:left w:val="none" w:sz="0" w:space="0" w:color="auto"/>
                    <w:bottom w:val="none" w:sz="0" w:space="0" w:color="auto"/>
                    <w:right w:val="none" w:sz="0" w:space="0" w:color="auto"/>
                  </w:divBdr>
                  <w:divsChild>
                    <w:div w:id="1176068894">
                      <w:marLeft w:val="0"/>
                      <w:marRight w:val="0"/>
                      <w:marTop w:val="0"/>
                      <w:marBottom w:val="0"/>
                      <w:divBdr>
                        <w:top w:val="none" w:sz="0" w:space="0" w:color="auto"/>
                        <w:left w:val="none" w:sz="0" w:space="0" w:color="auto"/>
                        <w:bottom w:val="none" w:sz="0" w:space="0" w:color="auto"/>
                        <w:right w:val="none" w:sz="0" w:space="0" w:color="auto"/>
                      </w:divBdr>
                    </w:div>
                  </w:divsChild>
                </w:div>
                <w:div w:id="673186923">
                  <w:marLeft w:val="0"/>
                  <w:marRight w:val="0"/>
                  <w:marTop w:val="0"/>
                  <w:marBottom w:val="0"/>
                  <w:divBdr>
                    <w:top w:val="none" w:sz="0" w:space="0" w:color="auto"/>
                    <w:left w:val="none" w:sz="0" w:space="0" w:color="auto"/>
                    <w:bottom w:val="none" w:sz="0" w:space="0" w:color="auto"/>
                    <w:right w:val="none" w:sz="0" w:space="0" w:color="auto"/>
                  </w:divBdr>
                  <w:divsChild>
                    <w:div w:id="1096831006">
                      <w:marLeft w:val="0"/>
                      <w:marRight w:val="0"/>
                      <w:marTop w:val="0"/>
                      <w:marBottom w:val="0"/>
                      <w:divBdr>
                        <w:top w:val="none" w:sz="0" w:space="0" w:color="auto"/>
                        <w:left w:val="none" w:sz="0" w:space="0" w:color="auto"/>
                        <w:bottom w:val="none" w:sz="0" w:space="0" w:color="auto"/>
                        <w:right w:val="none" w:sz="0" w:space="0" w:color="auto"/>
                      </w:divBdr>
                    </w:div>
                  </w:divsChild>
                </w:div>
                <w:div w:id="308051536">
                  <w:marLeft w:val="0"/>
                  <w:marRight w:val="0"/>
                  <w:marTop w:val="0"/>
                  <w:marBottom w:val="0"/>
                  <w:divBdr>
                    <w:top w:val="none" w:sz="0" w:space="0" w:color="auto"/>
                    <w:left w:val="none" w:sz="0" w:space="0" w:color="auto"/>
                    <w:bottom w:val="none" w:sz="0" w:space="0" w:color="auto"/>
                    <w:right w:val="none" w:sz="0" w:space="0" w:color="auto"/>
                  </w:divBdr>
                  <w:divsChild>
                    <w:div w:id="1937060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6118625">
          <w:marLeft w:val="0"/>
          <w:marRight w:val="0"/>
          <w:marTop w:val="0"/>
          <w:marBottom w:val="0"/>
          <w:divBdr>
            <w:top w:val="none" w:sz="0" w:space="0" w:color="auto"/>
            <w:left w:val="none" w:sz="0" w:space="0" w:color="auto"/>
            <w:bottom w:val="none" w:sz="0" w:space="0" w:color="auto"/>
            <w:right w:val="none" w:sz="0" w:space="0" w:color="auto"/>
          </w:divBdr>
        </w:div>
        <w:div w:id="1794858817">
          <w:marLeft w:val="0"/>
          <w:marRight w:val="0"/>
          <w:marTop w:val="0"/>
          <w:marBottom w:val="0"/>
          <w:divBdr>
            <w:top w:val="none" w:sz="0" w:space="0" w:color="auto"/>
            <w:left w:val="none" w:sz="0" w:space="0" w:color="auto"/>
            <w:bottom w:val="none" w:sz="0" w:space="0" w:color="auto"/>
            <w:right w:val="none" w:sz="0" w:space="0" w:color="auto"/>
          </w:divBdr>
        </w:div>
        <w:div w:id="1933782117">
          <w:marLeft w:val="0"/>
          <w:marRight w:val="0"/>
          <w:marTop w:val="0"/>
          <w:marBottom w:val="0"/>
          <w:divBdr>
            <w:top w:val="none" w:sz="0" w:space="0" w:color="auto"/>
            <w:left w:val="none" w:sz="0" w:space="0" w:color="auto"/>
            <w:bottom w:val="none" w:sz="0" w:space="0" w:color="auto"/>
            <w:right w:val="none" w:sz="0" w:space="0" w:color="auto"/>
          </w:divBdr>
        </w:div>
        <w:div w:id="644092540">
          <w:marLeft w:val="0"/>
          <w:marRight w:val="0"/>
          <w:marTop w:val="0"/>
          <w:marBottom w:val="0"/>
          <w:divBdr>
            <w:top w:val="none" w:sz="0" w:space="0" w:color="auto"/>
            <w:left w:val="none" w:sz="0" w:space="0" w:color="auto"/>
            <w:bottom w:val="none" w:sz="0" w:space="0" w:color="auto"/>
            <w:right w:val="none" w:sz="0" w:space="0" w:color="auto"/>
          </w:divBdr>
        </w:div>
        <w:div w:id="436947591">
          <w:marLeft w:val="0"/>
          <w:marRight w:val="0"/>
          <w:marTop w:val="0"/>
          <w:marBottom w:val="0"/>
          <w:divBdr>
            <w:top w:val="none" w:sz="0" w:space="0" w:color="auto"/>
            <w:left w:val="none" w:sz="0" w:space="0" w:color="auto"/>
            <w:bottom w:val="none" w:sz="0" w:space="0" w:color="auto"/>
            <w:right w:val="none" w:sz="0" w:space="0" w:color="auto"/>
          </w:divBdr>
        </w:div>
        <w:div w:id="2087989522">
          <w:marLeft w:val="0"/>
          <w:marRight w:val="0"/>
          <w:marTop w:val="0"/>
          <w:marBottom w:val="0"/>
          <w:divBdr>
            <w:top w:val="none" w:sz="0" w:space="0" w:color="auto"/>
            <w:left w:val="none" w:sz="0" w:space="0" w:color="auto"/>
            <w:bottom w:val="none" w:sz="0" w:space="0" w:color="auto"/>
            <w:right w:val="none" w:sz="0" w:space="0" w:color="auto"/>
          </w:divBdr>
          <w:divsChild>
            <w:div w:id="173113122">
              <w:marLeft w:val="-75"/>
              <w:marRight w:val="0"/>
              <w:marTop w:val="30"/>
              <w:marBottom w:val="30"/>
              <w:divBdr>
                <w:top w:val="none" w:sz="0" w:space="0" w:color="auto"/>
                <w:left w:val="none" w:sz="0" w:space="0" w:color="auto"/>
                <w:bottom w:val="none" w:sz="0" w:space="0" w:color="auto"/>
                <w:right w:val="none" w:sz="0" w:space="0" w:color="auto"/>
              </w:divBdr>
              <w:divsChild>
                <w:div w:id="696583062">
                  <w:marLeft w:val="0"/>
                  <w:marRight w:val="0"/>
                  <w:marTop w:val="0"/>
                  <w:marBottom w:val="0"/>
                  <w:divBdr>
                    <w:top w:val="none" w:sz="0" w:space="0" w:color="auto"/>
                    <w:left w:val="none" w:sz="0" w:space="0" w:color="auto"/>
                    <w:bottom w:val="none" w:sz="0" w:space="0" w:color="auto"/>
                    <w:right w:val="none" w:sz="0" w:space="0" w:color="auto"/>
                  </w:divBdr>
                  <w:divsChild>
                    <w:div w:id="827794642">
                      <w:marLeft w:val="0"/>
                      <w:marRight w:val="0"/>
                      <w:marTop w:val="0"/>
                      <w:marBottom w:val="0"/>
                      <w:divBdr>
                        <w:top w:val="none" w:sz="0" w:space="0" w:color="auto"/>
                        <w:left w:val="none" w:sz="0" w:space="0" w:color="auto"/>
                        <w:bottom w:val="none" w:sz="0" w:space="0" w:color="auto"/>
                        <w:right w:val="none" w:sz="0" w:space="0" w:color="auto"/>
                      </w:divBdr>
                    </w:div>
                  </w:divsChild>
                </w:div>
                <w:div w:id="1107965659">
                  <w:marLeft w:val="0"/>
                  <w:marRight w:val="0"/>
                  <w:marTop w:val="0"/>
                  <w:marBottom w:val="0"/>
                  <w:divBdr>
                    <w:top w:val="none" w:sz="0" w:space="0" w:color="auto"/>
                    <w:left w:val="none" w:sz="0" w:space="0" w:color="auto"/>
                    <w:bottom w:val="none" w:sz="0" w:space="0" w:color="auto"/>
                    <w:right w:val="none" w:sz="0" w:space="0" w:color="auto"/>
                  </w:divBdr>
                  <w:divsChild>
                    <w:div w:id="620385468">
                      <w:marLeft w:val="0"/>
                      <w:marRight w:val="0"/>
                      <w:marTop w:val="0"/>
                      <w:marBottom w:val="0"/>
                      <w:divBdr>
                        <w:top w:val="none" w:sz="0" w:space="0" w:color="auto"/>
                        <w:left w:val="none" w:sz="0" w:space="0" w:color="auto"/>
                        <w:bottom w:val="none" w:sz="0" w:space="0" w:color="auto"/>
                        <w:right w:val="none" w:sz="0" w:space="0" w:color="auto"/>
                      </w:divBdr>
                    </w:div>
                  </w:divsChild>
                </w:div>
                <w:div w:id="1523276514">
                  <w:marLeft w:val="0"/>
                  <w:marRight w:val="0"/>
                  <w:marTop w:val="0"/>
                  <w:marBottom w:val="0"/>
                  <w:divBdr>
                    <w:top w:val="none" w:sz="0" w:space="0" w:color="auto"/>
                    <w:left w:val="none" w:sz="0" w:space="0" w:color="auto"/>
                    <w:bottom w:val="none" w:sz="0" w:space="0" w:color="auto"/>
                    <w:right w:val="none" w:sz="0" w:space="0" w:color="auto"/>
                  </w:divBdr>
                  <w:divsChild>
                    <w:div w:id="95828451">
                      <w:marLeft w:val="0"/>
                      <w:marRight w:val="0"/>
                      <w:marTop w:val="0"/>
                      <w:marBottom w:val="0"/>
                      <w:divBdr>
                        <w:top w:val="none" w:sz="0" w:space="0" w:color="auto"/>
                        <w:left w:val="none" w:sz="0" w:space="0" w:color="auto"/>
                        <w:bottom w:val="none" w:sz="0" w:space="0" w:color="auto"/>
                        <w:right w:val="none" w:sz="0" w:space="0" w:color="auto"/>
                      </w:divBdr>
                    </w:div>
                  </w:divsChild>
                </w:div>
                <w:div w:id="1234505686">
                  <w:marLeft w:val="0"/>
                  <w:marRight w:val="0"/>
                  <w:marTop w:val="0"/>
                  <w:marBottom w:val="0"/>
                  <w:divBdr>
                    <w:top w:val="none" w:sz="0" w:space="0" w:color="auto"/>
                    <w:left w:val="none" w:sz="0" w:space="0" w:color="auto"/>
                    <w:bottom w:val="none" w:sz="0" w:space="0" w:color="auto"/>
                    <w:right w:val="none" w:sz="0" w:space="0" w:color="auto"/>
                  </w:divBdr>
                  <w:divsChild>
                    <w:div w:id="1145320063">
                      <w:marLeft w:val="0"/>
                      <w:marRight w:val="0"/>
                      <w:marTop w:val="0"/>
                      <w:marBottom w:val="0"/>
                      <w:divBdr>
                        <w:top w:val="none" w:sz="0" w:space="0" w:color="auto"/>
                        <w:left w:val="none" w:sz="0" w:space="0" w:color="auto"/>
                        <w:bottom w:val="none" w:sz="0" w:space="0" w:color="auto"/>
                        <w:right w:val="none" w:sz="0" w:space="0" w:color="auto"/>
                      </w:divBdr>
                    </w:div>
                  </w:divsChild>
                </w:div>
                <w:div w:id="2014993426">
                  <w:marLeft w:val="0"/>
                  <w:marRight w:val="0"/>
                  <w:marTop w:val="0"/>
                  <w:marBottom w:val="0"/>
                  <w:divBdr>
                    <w:top w:val="none" w:sz="0" w:space="0" w:color="auto"/>
                    <w:left w:val="none" w:sz="0" w:space="0" w:color="auto"/>
                    <w:bottom w:val="none" w:sz="0" w:space="0" w:color="auto"/>
                    <w:right w:val="none" w:sz="0" w:space="0" w:color="auto"/>
                  </w:divBdr>
                  <w:divsChild>
                    <w:div w:id="26489175">
                      <w:marLeft w:val="0"/>
                      <w:marRight w:val="0"/>
                      <w:marTop w:val="0"/>
                      <w:marBottom w:val="0"/>
                      <w:divBdr>
                        <w:top w:val="none" w:sz="0" w:space="0" w:color="auto"/>
                        <w:left w:val="none" w:sz="0" w:space="0" w:color="auto"/>
                        <w:bottom w:val="none" w:sz="0" w:space="0" w:color="auto"/>
                        <w:right w:val="none" w:sz="0" w:space="0" w:color="auto"/>
                      </w:divBdr>
                    </w:div>
                  </w:divsChild>
                </w:div>
                <w:div w:id="318265976">
                  <w:marLeft w:val="0"/>
                  <w:marRight w:val="0"/>
                  <w:marTop w:val="0"/>
                  <w:marBottom w:val="0"/>
                  <w:divBdr>
                    <w:top w:val="none" w:sz="0" w:space="0" w:color="auto"/>
                    <w:left w:val="none" w:sz="0" w:space="0" w:color="auto"/>
                    <w:bottom w:val="none" w:sz="0" w:space="0" w:color="auto"/>
                    <w:right w:val="none" w:sz="0" w:space="0" w:color="auto"/>
                  </w:divBdr>
                  <w:divsChild>
                    <w:div w:id="950282046">
                      <w:marLeft w:val="0"/>
                      <w:marRight w:val="0"/>
                      <w:marTop w:val="0"/>
                      <w:marBottom w:val="0"/>
                      <w:divBdr>
                        <w:top w:val="none" w:sz="0" w:space="0" w:color="auto"/>
                        <w:left w:val="none" w:sz="0" w:space="0" w:color="auto"/>
                        <w:bottom w:val="none" w:sz="0" w:space="0" w:color="auto"/>
                        <w:right w:val="none" w:sz="0" w:space="0" w:color="auto"/>
                      </w:divBdr>
                    </w:div>
                  </w:divsChild>
                </w:div>
                <w:div w:id="1705593576">
                  <w:marLeft w:val="0"/>
                  <w:marRight w:val="0"/>
                  <w:marTop w:val="0"/>
                  <w:marBottom w:val="0"/>
                  <w:divBdr>
                    <w:top w:val="none" w:sz="0" w:space="0" w:color="auto"/>
                    <w:left w:val="none" w:sz="0" w:space="0" w:color="auto"/>
                    <w:bottom w:val="none" w:sz="0" w:space="0" w:color="auto"/>
                    <w:right w:val="none" w:sz="0" w:space="0" w:color="auto"/>
                  </w:divBdr>
                  <w:divsChild>
                    <w:div w:id="1423529195">
                      <w:marLeft w:val="0"/>
                      <w:marRight w:val="0"/>
                      <w:marTop w:val="0"/>
                      <w:marBottom w:val="0"/>
                      <w:divBdr>
                        <w:top w:val="none" w:sz="0" w:space="0" w:color="auto"/>
                        <w:left w:val="none" w:sz="0" w:space="0" w:color="auto"/>
                        <w:bottom w:val="none" w:sz="0" w:space="0" w:color="auto"/>
                        <w:right w:val="none" w:sz="0" w:space="0" w:color="auto"/>
                      </w:divBdr>
                    </w:div>
                  </w:divsChild>
                </w:div>
                <w:div w:id="133721283">
                  <w:marLeft w:val="0"/>
                  <w:marRight w:val="0"/>
                  <w:marTop w:val="0"/>
                  <w:marBottom w:val="0"/>
                  <w:divBdr>
                    <w:top w:val="none" w:sz="0" w:space="0" w:color="auto"/>
                    <w:left w:val="none" w:sz="0" w:space="0" w:color="auto"/>
                    <w:bottom w:val="none" w:sz="0" w:space="0" w:color="auto"/>
                    <w:right w:val="none" w:sz="0" w:space="0" w:color="auto"/>
                  </w:divBdr>
                  <w:divsChild>
                    <w:div w:id="1288971320">
                      <w:marLeft w:val="0"/>
                      <w:marRight w:val="0"/>
                      <w:marTop w:val="0"/>
                      <w:marBottom w:val="0"/>
                      <w:divBdr>
                        <w:top w:val="none" w:sz="0" w:space="0" w:color="auto"/>
                        <w:left w:val="none" w:sz="0" w:space="0" w:color="auto"/>
                        <w:bottom w:val="none" w:sz="0" w:space="0" w:color="auto"/>
                        <w:right w:val="none" w:sz="0" w:space="0" w:color="auto"/>
                      </w:divBdr>
                    </w:div>
                  </w:divsChild>
                </w:div>
                <w:div w:id="1861771942">
                  <w:marLeft w:val="0"/>
                  <w:marRight w:val="0"/>
                  <w:marTop w:val="0"/>
                  <w:marBottom w:val="0"/>
                  <w:divBdr>
                    <w:top w:val="none" w:sz="0" w:space="0" w:color="auto"/>
                    <w:left w:val="none" w:sz="0" w:space="0" w:color="auto"/>
                    <w:bottom w:val="none" w:sz="0" w:space="0" w:color="auto"/>
                    <w:right w:val="none" w:sz="0" w:space="0" w:color="auto"/>
                  </w:divBdr>
                  <w:divsChild>
                    <w:div w:id="338432027">
                      <w:marLeft w:val="0"/>
                      <w:marRight w:val="0"/>
                      <w:marTop w:val="0"/>
                      <w:marBottom w:val="0"/>
                      <w:divBdr>
                        <w:top w:val="none" w:sz="0" w:space="0" w:color="auto"/>
                        <w:left w:val="none" w:sz="0" w:space="0" w:color="auto"/>
                        <w:bottom w:val="none" w:sz="0" w:space="0" w:color="auto"/>
                        <w:right w:val="none" w:sz="0" w:space="0" w:color="auto"/>
                      </w:divBdr>
                    </w:div>
                  </w:divsChild>
                </w:div>
                <w:div w:id="1835760361">
                  <w:marLeft w:val="0"/>
                  <w:marRight w:val="0"/>
                  <w:marTop w:val="0"/>
                  <w:marBottom w:val="0"/>
                  <w:divBdr>
                    <w:top w:val="none" w:sz="0" w:space="0" w:color="auto"/>
                    <w:left w:val="none" w:sz="0" w:space="0" w:color="auto"/>
                    <w:bottom w:val="none" w:sz="0" w:space="0" w:color="auto"/>
                    <w:right w:val="none" w:sz="0" w:space="0" w:color="auto"/>
                  </w:divBdr>
                  <w:divsChild>
                    <w:div w:id="661396975">
                      <w:marLeft w:val="0"/>
                      <w:marRight w:val="0"/>
                      <w:marTop w:val="0"/>
                      <w:marBottom w:val="0"/>
                      <w:divBdr>
                        <w:top w:val="none" w:sz="0" w:space="0" w:color="auto"/>
                        <w:left w:val="none" w:sz="0" w:space="0" w:color="auto"/>
                        <w:bottom w:val="none" w:sz="0" w:space="0" w:color="auto"/>
                        <w:right w:val="none" w:sz="0" w:space="0" w:color="auto"/>
                      </w:divBdr>
                    </w:div>
                  </w:divsChild>
                </w:div>
                <w:div w:id="1912082870">
                  <w:marLeft w:val="0"/>
                  <w:marRight w:val="0"/>
                  <w:marTop w:val="0"/>
                  <w:marBottom w:val="0"/>
                  <w:divBdr>
                    <w:top w:val="none" w:sz="0" w:space="0" w:color="auto"/>
                    <w:left w:val="none" w:sz="0" w:space="0" w:color="auto"/>
                    <w:bottom w:val="none" w:sz="0" w:space="0" w:color="auto"/>
                    <w:right w:val="none" w:sz="0" w:space="0" w:color="auto"/>
                  </w:divBdr>
                  <w:divsChild>
                    <w:div w:id="1631476658">
                      <w:marLeft w:val="0"/>
                      <w:marRight w:val="0"/>
                      <w:marTop w:val="0"/>
                      <w:marBottom w:val="0"/>
                      <w:divBdr>
                        <w:top w:val="none" w:sz="0" w:space="0" w:color="auto"/>
                        <w:left w:val="none" w:sz="0" w:space="0" w:color="auto"/>
                        <w:bottom w:val="none" w:sz="0" w:space="0" w:color="auto"/>
                        <w:right w:val="none" w:sz="0" w:space="0" w:color="auto"/>
                      </w:divBdr>
                    </w:div>
                  </w:divsChild>
                </w:div>
                <w:div w:id="174803435">
                  <w:marLeft w:val="0"/>
                  <w:marRight w:val="0"/>
                  <w:marTop w:val="0"/>
                  <w:marBottom w:val="0"/>
                  <w:divBdr>
                    <w:top w:val="none" w:sz="0" w:space="0" w:color="auto"/>
                    <w:left w:val="none" w:sz="0" w:space="0" w:color="auto"/>
                    <w:bottom w:val="none" w:sz="0" w:space="0" w:color="auto"/>
                    <w:right w:val="none" w:sz="0" w:space="0" w:color="auto"/>
                  </w:divBdr>
                  <w:divsChild>
                    <w:div w:id="2133281938">
                      <w:marLeft w:val="0"/>
                      <w:marRight w:val="0"/>
                      <w:marTop w:val="0"/>
                      <w:marBottom w:val="0"/>
                      <w:divBdr>
                        <w:top w:val="none" w:sz="0" w:space="0" w:color="auto"/>
                        <w:left w:val="none" w:sz="0" w:space="0" w:color="auto"/>
                        <w:bottom w:val="none" w:sz="0" w:space="0" w:color="auto"/>
                        <w:right w:val="none" w:sz="0" w:space="0" w:color="auto"/>
                      </w:divBdr>
                    </w:div>
                  </w:divsChild>
                </w:div>
                <w:div w:id="466360097">
                  <w:marLeft w:val="0"/>
                  <w:marRight w:val="0"/>
                  <w:marTop w:val="0"/>
                  <w:marBottom w:val="0"/>
                  <w:divBdr>
                    <w:top w:val="none" w:sz="0" w:space="0" w:color="auto"/>
                    <w:left w:val="none" w:sz="0" w:space="0" w:color="auto"/>
                    <w:bottom w:val="none" w:sz="0" w:space="0" w:color="auto"/>
                    <w:right w:val="none" w:sz="0" w:space="0" w:color="auto"/>
                  </w:divBdr>
                  <w:divsChild>
                    <w:div w:id="1413044057">
                      <w:marLeft w:val="0"/>
                      <w:marRight w:val="0"/>
                      <w:marTop w:val="0"/>
                      <w:marBottom w:val="0"/>
                      <w:divBdr>
                        <w:top w:val="none" w:sz="0" w:space="0" w:color="auto"/>
                        <w:left w:val="none" w:sz="0" w:space="0" w:color="auto"/>
                        <w:bottom w:val="none" w:sz="0" w:space="0" w:color="auto"/>
                        <w:right w:val="none" w:sz="0" w:space="0" w:color="auto"/>
                      </w:divBdr>
                    </w:div>
                  </w:divsChild>
                </w:div>
                <w:div w:id="1308317243">
                  <w:marLeft w:val="0"/>
                  <w:marRight w:val="0"/>
                  <w:marTop w:val="0"/>
                  <w:marBottom w:val="0"/>
                  <w:divBdr>
                    <w:top w:val="none" w:sz="0" w:space="0" w:color="auto"/>
                    <w:left w:val="none" w:sz="0" w:space="0" w:color="auto"/>
                    <w:bottom w:val="none" w:sz="0" w:space="0" w:color="auto"/>
                    <w:right w:val="none" w:sz="0" w:space="0" w:color="auto"/>
                  </w:divBdr>
                  <w:divsChild>
                    <w:div w:id="1502164457">
                      <w:marLeft w:val="0"/>
                      <w:marRight w:val="0"/>
                      <w:marTop w:val="0"/>
                      <w:marBottom w:val="0"/>
                      <w:divBdr>
                        <w:top w:val="none" w:sz="0" w:space="0" w:color="auto"/>
                        <w:left w:val="none" w:sz="0" w:space="0" w:color="auto"/>
                        <w:bottom w:val="none" w:sz="0" w:space="0" w:color="auto"/>
                        <w:right w:val="none" w:sz="0" w:space="0" w:color="auto"/>
                      </w:divBdr>
                    </w:div>
                  </w:divsChild>
                </w:div>
                <w:div w:id="1502042029">
                  <w:marLeft w:val="0"/>
                  <w:marRight w:val="0"/>
                  <w:marTop w:val="0"/>
                  <w:marBottom w:val="0"/>
                  <w:divBdr>
                    <w:top w:val="none" w:sz="0" w:space="0" w:color="auto"/>
                    <w:left w:val="none" w:sz="0" w:space="0" w:color="auto"/>
                    <w:bottom w:val="none" w:sz="0" w:space="0" w:color="auto"/>
                    <w:right w:val="none" w:sz="0" w:space="0" w:color="auto"/>
                  </w:divBdr>
                  <w:divsChild>
                    <w:div w:id="1113982368">
                      <w:marLeft w:val="0"/>
                      <w:marRight w:val="0"/>
                      <w:marTop w:val="0"/>
                      <w:marBottom w:val="0"/>
                      <w:divBdr>
                        <w:top w:val="none" w:sz="0" w:space="0" w:color="auto"/>
                        <w:left w:val="none" w:sz="0" w:space="0" w:color="auto"/>
                        <w:bottom w:val="none" w:sz="0" w:space="0" w:color="auto"/>
                        <w:right w:val="none" w:sz="0" w:space="0" w:color="auto"/>
                      </w:divBdr>
                    </w:div>
                  </w:divsChild>
                </w:div>
                <w:div w:id="1188451413">
                  <w:marLeft w:val="0"/>
                  <w:marRight w:val="0"/>
                  <w:marTop w:val="0"/>
                  <w:marBottom w:val="0"/>
                  <w:divBdr>
                    <w:top w:val="none" w:sz="0" w:space="0" w:color="auto"/>
                    <w:left w:val="none" w:sz="0" w:space="0" w:color="auto"/>
                    <w:bottom w:val="none" w:sz="0" w:space="0" w:color="auto"/>
                    <w:right w:val="none" w:sz="0" w:space="0" w:color="auto"/>
                  </w:divBdr>
                  <w:divsChild>
                    <w:div w:id="829948480">
                      <w:marLeft w:val="0"/>
                      <w:marRight w:val="0"/>
                      <w:marTop w:val="0"/>
                      <w:marBottom w:val="0"/>
                      <w:divBdr>
                        <w:top w:val="none" w:sz="0" w:space="0" w:color="auto"/>
                        <w:left w:val="none" w:sz="0" w:space="0" w:color="auto"/>
                        <w:bottom w:val="none" w:sz="0" w:space="0" w:color="auto"/>
                        <w:right w:val="none" w:sz="0" w:space="0" w:color="auto"/>
                      </w:divBdr>
                    </w:div>
                  </w:divsChild>
                </w:div>
                <w:div w:id="1493644340">
                  <w:marLeft w:val="0"/>
                  <w:marRight w:val="0"/>
                  <w:marTop w:val="0"/>
                  <w:marBottom w:val="0"/>
                  <w:divBdr>
                    <w:top w:val="none" w:sz="0" w:space="0" w:color="auto"/>
                    <w:left w:val="none" w:sz="0" w:space="0" w:color="auto"/>
                    <w:bottom w:val="none" w:sz="0" w:space="0" w:color="auto"/>
                    <w:right w:val="none" w:sz="0" w:space="0" w:color="auto"/>
                  </w:divBdr>
                  <w:divsChild>
                    <w:div w:id="1893148824">
                      <w:marLeft w:val="0"/>
                      <w:marRight w:val="0"/>
                      <w:marTop w:val="0"/>
                      <w:marBottom w:val="0"/>
                      <w:divBdr>
                        <w:top w:val="none" w:sz="0" w:space="0" w:color="auto"/>
                        <w:left w:val="none" w:sz="0" w:space="0" w:color="auto"/>
                        <w:bottom w:val="none" w:sz="0" w:space="0" w:color="auto"/>
                        <w:right w:val="none" w:sz="0" w:space="0" w:color="auto"/>
                      </w:divBdr>
                    </w:div>
                  </w:divsChild>
                </w:div>
                <w:div w:id="841967125">
                  <w:marLeft w:val="0"/>
                  <w:marRight w:val="0"/>
                  <w:marTop w:val="0"/>
                  <w:marBottom w:val="0"/>
                  <w:divBdr>
                    <w:top w:val="none" w:sz="0" w:space="0" w:color="auto"/>
                    <w:left w:val="none" w:sz="0" w:space="0" w:color="auto"/>
                    <w:bottom w:val="none" w:sz="0" w:space="0" w:color="auto"/>
                    <w:right w:val="none" w:sz="0" w:space="0" w:color="auto"/>
                  </w:divBdr>
                  <w:divsChild>
                    <w:div w:id="1339772348">
                      <w:marLeft w:val="0"/>
                      <w:marRight w:val="0"/>
                      <w:marTop w:val="0"/>
                      <w:marBottom w:val="0"/>
                      <w:divBdr>
                        <w:top w:val="none" w:sz="0" w:space="0" w:color="auto"/>
                        <w:left w:val="none" w:sz="0" w:space="0" w:color="auto"/>
                        <w:bottom w:val="none" w:sz="0" w:space="0" w:color="auto"/>
                        <w:right w:val="none" w:sz="0" w:space="0" w:color="auto"/>
                      </w:divBdr>
                    </w:div>
                  </w:divsChild>
                </w:div>
                <w:div w:id="1152989110">
                  <w:marLeft w:val="0"/>
                  <w:marRight w:val="0"/>
                  <w:marTop w:val="0"/>
                  <w:marBottom w:val="0"/>
                  <w:divBdr>
                    <w:top w:val="none" w:sz="0" w:space="0" w:color="auto"/>
                    <w:left w:val="none" w:sz="0" w:space="0" w:color="auto"/>
                    <w:bottom w:val="none" w:sz="0" w:space="0" w:color="auto"/>
                    <w:right w:val="none" w:sz="0" w:space="0" w:color="auto"/>
                  </w:divBdr>
                  <w:divsChild>
                    <w:div w:id="1374040179">
                      <w:marLeft w:val="0"/>
                      <w:marRight w:val="0"/>
                      <w:marTop w:val="0"/>
                      <w:marBottom w:val="0"/>
                      <w:divBdr>
                        <w:top w:val="none" w:sz="0" w:space="0" w:color="auto"/>
                        <w:left w:val="none" w:sz="0" w:space="0" w:color="auto"/>
                        <w:bottom w:val="none" w:sz="0" w:space="0" w:color="auto"/>
                        <w:right w:val="none" w:sz="0" w:space="0" w:color="auto"/>
                      </w:divBdr>
                    </w:div>
                  </w:divsChild>
                </w:div>
                <w:div w:id="982198424">
                  <w:marLeft w:val="0"/>
                  <w:marRight w:val="0"/>
                  <w:marTop w:val="0"/>
                  <w:marBottom w:val="0"/>
                  <w:divBdr>
                    <w:top w:val="none" w:sz="0" w:space="0" w:color="auto"/>
                    <w:left w:val="none" w:sz="0" w:space="0" w:color="auto"/>
                    <w:bottom w:val="none" w:sz="0" w:space="0" w:color="auto"/>
                    <w:right w:val="none" w:sz="0" w:space="0" w:color="auto"/>
                  </w:divBdr>
                  <w:divsChild>
                    <w:div w:id="1732532035">
                      <w:marLeft w:val="0"/>
                      <w:marRight w:val="0"/>
                      <w:marTop w:val="0"/>
                      <w:marBottom w:val="0"/>
                      <w:divBdr>
                        <w:top w:val="none" w:sz="0" w:space="0" w:color="auto"/>
                        <w:left w:val="none" w:sz="0" w:space="0" w:color="auto"/>
                        <w:bottom w:val="none" w:sz="0" w:space="0" w:color="auto"/>
                        <w:right w:val="none" w:sz="0" w:space="0" w:color="auto"/>
                      </w:divBdr>
                    </w:div>
                  </w:divsChild>
                </w:div>
                <w:div w:id="752360240">
                  <w:marLeft w:val="0"/>
                  <w:marRight w:val="0"/>
                  <w:marTop w:val="0"/>
                  <w:marBottom w:val="0"/>
                  <w:divBdr>
                    <w:top w:val="none" w:sz="0" w:space="0" w:color="auto"/>
                    <w:left w:val="none" w:sz="0" w:space="0" w:color="auto"/>
                    <w:bottom w:val="none" w:sz="0" w:space="0" w:color="auto"/>
                    <w:right w:val="none" w:sz="0" w:space="0" w:color="auto"/>
                  </w:divBdr>
                  <w:divsChild>
                    <w:div w:id="1571227579">
                      <w:marLeft w:val="0"/>
                      <w:marRight w:val="0"/>
                      <w:marTop w:val="0"/>
                      <w:marBottom w:val="0"/>
                      <w:divBdr>
                        <w:top w:val="none" w:sz="0" w:space="0" w:color="auto"/>
                        <w:left w:val="none" w:sz="0" w:space="0" w:color="auto"/>
                        <w:bottom w:val="none" w:sz="0" w:space="0" w:color="auto"/>
                        <w:right w:val="none" w:sz="0" w:space="0" w:color="auto"/>
                      </w:divBdr>
                    </w:div>
                  </w:divsChild>
                </w:div>
                <w:div w:id="1279948249">
                  <w:marLeft w:val="0"/>
                  <w:marRight w:val="0"/>
                  <w:marTop w:val="0"/>
                  <w:marBottom w:val="0"/>
                  <w:divBdr>
                    <w:top w:val="none" w:sz="0" w:space="0" w:color="auto"/>
                    <w:left w:val="none" w:sz="0" w:space="0" w:color="auto"/>
                    <w:bottom w:val="none" w:sz="0" w:space="0" w:color="auto"/>
                    <w:right w:val="none" w:sz="0" w:space="0" w:color="auto"/>
                  </w:divBdr>
                  <w:divsChild>
                    <w:div w:id="267586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1962045">
          <w:marLeft w:val="0"/>
          <w:marRight w:val="0"/>
          <w:marTop w:val="0"/>
          <w:marBottom w:val="0"/>
          <w:divBdr>
            <w:top w:val="none" w:sz="0" w:space="0" w:color="auto"/>
            <w:left w:val="none" w:sz="0" w:space="0" w:color="auto"/>
            <w:bottom w:val="none" w:sz="0" w:space="0" w:color="auto"/>
            <w:right w:val="none" w:sz="0" w:space="0" w:color="auto"/>
          </w:divBdr>
        </w:div>
        <w:div w:id="985816093">
          <w:marLeft w:val="0"/>
          <w:marRight w:val="0"/>
          <w:marTop w:val="0"/>
          <w:marBottom w:val="0"/>
          <w:divBdr>
            <w:top w:val="none" w:sz="0" w:space="0" w:color="auto"/>
            <w:left w:val="none" w:sz="0" w:space="0" w:color="auto"/>
            <w:bottom w:val="none" w:sz="0" w:space="0" w:color="auto"/>
            <w:right w:val="none" w:sz="0" w:space="0" w:color="auto"/>
          </w:divBdr>
        </w:div>
        <w:div w:id="1615360071">
          <w:marLeft w:val="0"/>
          <w:marRight w:val="0"/>
          <w:marTop w:val="0"/>
          <w:marBottom w:val="0"/>
          <w:divBdr>
            <w:top w:val="none" w:sz="0" w:space="0" w:color="auto"/>
            <w:left w:val="none" w:sz="0" w:space="0" w:color="auto"/>
            <w:bottom w:val="none" w:sz="0" w:space="0" w:color="auto"/>
            <w:right w:val="none" w:sz="0" w:space="0" w:color="auto"/>
          </w:divBdr>
        </w:div>
        <w:div w:id="1826118659">
          <w:marLeft w:val="0"/>
          <w:marRight w:val="0"/>
          <w:marTop w:val="0"/>
          <w:marBottom w:val="0"/>
          <w:divBdr>
            <w:top w:val="none" w:sz="0" w:space="0" w:color="auto"/>
            <w:left w:val="none" w:sz="0" w:space="0" w:color="auto"/>
            <w:bottom w:val="none" w:sz="0" w:space="0" w:color="auto"/>
            <w:right w:val="none" w:sz="0" w:space="0" w:color="auto"/>
          </w:divBdr>
        </w:div>
        <w:div w:id="2136561499">
          <w:marLeft w:val="0"/>
          <w:marRight w:val="0"/>
          <w:marTop w:val="0"/>
          <w:marBottom w:val="0"/>
          <w:divBdr>
            <w:top w:val="none" w:sz="0" w:space="0" w:color="auto"/>
            <w:left w:val="none" w:sz="0" w:space="0" w:color="auto"/>
            <w:bottom w:val="none" w:sz="0" w:space="0" w:color="auto"/>
            <w:right w:val="none" w:sz="0" w:space="0" w:color="auto"/>
          </w:divBdr>
          <w:divsChild>
            <w:div w:id="492332112">
              <w:marLeft w:val="-75"/>
              <w:marRight w:val="0"/>
              <w:marTop w:val="30"/>
              <w:marBottom w:val="30"/>
              <w:divBdr>
                <w:top w:val="none" w:sz="0" w:space="0" w:color="auto"/>
                <w:left w:val="none" w:sz="0" w:space="0" w:color="auto"/>
                <w:bottom w:val="none" w:sz="0" w:space="0" w:color="auto"/>
                <w:right w:val="none" w:sz="0" w:space="0" w:color="auto"/>
              </w:divBdr>
              <w:divsChild>
                <w:div w:id="1076441266">
                  <w:marLeft w:val="0"/>
                  <w:marRight w:val="0"/>
                  <w:marTop w:val="0"/>
                  <w:marBottom w:val="0"/>
                  <w:divBdr>
                    <w:top w:val="none" w:sz="0" w:space="0" w:color="auto"/>
                    <w:left w:val="none" w:sz="0" w:space="0" w:color="auto"/>
                    <w:bottom w:val="none" w:sz="0" w:space="0" w:color="auto"/>
                    <w:right w:val="none" w:sz="0" w:space="0" w:color="auto"/>
                  </w:divBdr>
                  <w:divsChild>
                    <w:div w:id="1946769603">
                      <w:marLeft w:val="0"/>
                      <w:marRight w:val="0"/>
                      <w:marTop w:val="0"/>
                      <w:marBottom w:val="0"/>
                      <w:divBdr>
                        <w:top w:val="none" w:sz="0" w:space="0" w:color="auto"/>
                        <w:left w:val="none" w:sz="0" w:space="0" w:color="auto"/>
                        <w:bottom w:val="none" w:sz="0" w:space="0" w:color="auto"/>
                        <w:right w:val="none" w:sz="0" w:space="0" w:color="auto"/>
                      </w:divBdr>
                    </w:div>
                  </w:divsChild>
                </w:div>
                <w:div w:id="251858051">
                  <w:marLeft w:val="0"/>
                  <w:marRight w:val="0"/>
                  <w:marTop w:val="0"/>
                  <w:marBottom w:val="0"/>
                  <w:divBdr>
                    <w:top w:val="none" w:sz="0" w:space="0" w:color="auto"/>
                    <w:left w:val="none" w:sz="0" w:space="0" w:color="auto"/>
                    <w:bottom w:val="none" w:sz="0" w:space="0" w:color="auto"/>
                    <w:right w:val="none" w:sz="0" w:space="0" w:color="auto"/>
                  </w:divBdr>
                  <w:divsChild>
                    <w:div w:id="666709309">
                      <w:marLeft w:val="0"/>
                      <w:marRight w:val="0"/>
                      <w:marTop w:val="0"/>
                      <w:marBottom w:val="0"/>
                      <w:divBdr>
                        <w:top w:val="none" w:sz="0" w:space="0" w:color="auto"/>
                        <w:left w:val="none" w:sz="0" w:space="0" w:color="auto"/>
                        <w:bottom w:val="none" w:sz="0" w:space="0" w:color="auto"/>
                        <w:right w:val="none" w:sz="0" w:space="0" w:color="auto"/>
                      </w:divBdr>
                    </w:div>
                  </w:divsChild>
                </w:div>
                <w:div w:id="1596815967">
                  <w:marLeft w:val="0"/>
                  <w:marRight w:val="0"/>
                  <w:marTop w:val="0"/>
                  <w:marBottom w:val="0"/>
                  <w:divBdr>
                    <w:top w:val="none" w:sz="0" w:space="0" w:color="auto"/>
                    <w:left w:val="none" w:sz="0" w:space="0" w:color="auto"/>
                    <w:bottom w:val="none" w:sz="0" w:space="0" w:color="auto"/>
                    <w:right w:val="none" w:sz="0" w:space="0" w:color="auto"/>
                  </w:divBdr>
                  <w:divsChild>
                    <w:div w:id="2123378787">
                      <w:marLeft w:val="0"/>
                      <w:marRight w:val="0"/>
                      <w:marTop w:val="0"/>
                      <w:marBottom w:val="0"/>
                      <w:divBdr>
                        <w:top w:val="none" w:sz="0" w:space="0" w:color="auto"/>
                        <w:left w:val="none" w:sz="0" w:space="0" w:color="auto"/>
                        <w:bottom w:val="none" w:sz="0" w:space="0" w:color="auto"/>
                        <w:right w:val="none" w:sz="0" w:space="0" w:color="auto"/>
                      </w:divBdr>
                    </w:div>
                  </w:divsChild>
                </w:div>
                <w:div w:id="43994399">
                  <w:marLeft w:val="0"/>
                  <w:marRight w:val="0"/>
                  <w:marTop w:val="0"/>
                  <w:marBottom w:val="0"/>
                  <w:divBdr>
                    <w:top w:val="none" w:sz="0" w:space="0" w:color="auto"/>
                    <w:left w:val="none" w:sz="0" w:space="0" w:color="auto"/>
                    <w:bottom w:val="none" w:sz="0" w:space="0" w:color="auto"/>
                    <w:right w:val="none" w:sz="0" w:space="0" w:color="auto"/>
                  </w:divBdr>
                  <w:divsChild>
                    <w:div w:id="831221518">
                      <w:marLeft w:val="0"/>
                      <w:marRight w:val="0"/>
                      <w:marTop w:val="0"/>
                      <w:marBottom w:val="0"/>
                      <w:divBdr>
                        <w:top w:val="none" w:sz="0" w:space="0" w:color="auto"/>
                        <w:left w:val="none" w:sz="0" w:space="0" w:color="auto"/>
                        <w:bottom w:val="none" w:sz="0" w:space="0" w:color="auto"/>
                        <w:right w:val="none" w:sz="0" w:space="0" w:color="auto"/>
                      </w:divBdr>
                    </w:div>
                  </w:divsChild>
                </w:div>
                <w:div w:id="1874883686">
                  <w:marLeft w:val="0"/>
                  <w:marRight w:val="0"/>
                  <w:marTop w:val="0"/>
                  <w:marBottom w:val="0"/>
                  <w:divBdr>
                    <w:top w:val="none" w:sz="0" w:space="0" w:color="auto"/>
                    <w:left w:val="none" w:sz="0" w:space="0" w:color="auto"/>
                    <w:bottom w:val="none" w:sz="0" w:space="0" w:color="auto"/>
                    <w:right w:val="none" w:sz="0" w:space="0" w:color="auto"/>
                  </w:divBdr>
                  <w:divsChild>
                    <w:div w:id="1028993794">
                      <w:marLeft w:val="0"/>
                      <w:marRight w:val="0"/>
                      <w:marTop w:val="0"/>
                      <w:marBottom w:val="0"/>
                      <w:divBdr>
                        <w:top w:val="none" w:sz="0" w:space="0" w:color="auto"/>
                        <w:left w:val="none" w:sz="0" w:space="0" w:color="auto"/>
                        <w:bottom w:val="none" w:sz="0" w:space="0" w:color="auto"/>
                        <w:right w:val="none" w:sz="0" w:space="0" w:color="auto"/>
                      </w:divBdr>
                    </w:div>
                  </w:divsChild>
                </w:div>
                <w:div w:id="1544711601">
                  <w:marLeft w:val="0"/>
                  <w:marRight w:val="0"/>
                  <w:marTop w:val="0"/>
                  <w:marBottom w:val="0"/>
                  <w:divBdr>
                    <w:top w:val="none" w:sz="0" w:space="0" w:color="auto"/>
                    <w:left w:val="none" w:sz="0" w:space="0" w:color="auto"/>
                    <w:bottom w:val="none" w:sz="0" w:space="0" w:color="auto"/>
                    <w:right w:val="none" w:sz="0" w:space="0" w:color="auto"/>
                  </w:divBdr>
                  <w:divsChild>
                    <w:div w:id="415126516">
                      <w:marLeft w:val="0"/>
                      <w:marRight w:val="0"/>
                      <w:marTop w:val="0"/>
                      <w:marBottom w:val="0"/>
                      <w:divBdr>
                        <w:top w:val="none" w:sz="0" w:space="0" w:color="auto"/>
                        <w:left w:val="none" w:sz="0" w:space="0" w:color="auto"/>
                        <w:bottom w:val="none" w:sz="0" w:space="0" w:color="auto"/>
                        <w:right w:val="none" w:sz="0" w:space="0" w:color="auto"/>
                      </w:divBdr>
                    </w:div>
                  </w:divsChild>
                </w:div>
                <w:div w:id="270937962">
                  <w:marLeft w:val="0"/>
                  <w:marRight w:val="0"/>
                  <w:marTop w:val="0"/>
                  <w:marBottom w:val="0"/>
                  <w:divBdr>
                    <w:top w:val="none" w:sz="0" w:space="0" w:color="auto"/>
                    <w:left w:val="none" w:sz="0" w:space="0" w:color="auto"/>
                    <w:bottom w:val="none" w:sz="0" w:space="0" w:color="auto"/>
                    <w:right w:val="none" w:sz="0" w:space="0" w:color="auto"/>
                  </w:divBdr>
                  <w:divsChild>
                    <w:div w:id="1158498119">
                      <w:marLeft w:val="0"/>
                      <w:marRight w:val="0"/>
                      <w:marTop w:val="0"/>
                      <w:marBottom w:val="0"/>
                      <w:divBdr>
                        <w:top w:val="none" w:sz="0" w:space="0" w:color="auto"/>
                        <w:left w:val="none" w:sz="0" w:space="0" w:color="auto"/>
                        <w:bottom w:val="none" w:sz="0" w:space="0" w:color="auto"/>
                        <w:right w:val="none" w:sz="0" w:space="0" w:color="auto"/>
                      </w:divBdr>
                    </w:div>
                  </w:divsChild>
                </w:div>
                <w:div w:id="173420441">
                  <w:marLeft w:val="0"/>
                  <w:marRight w:val="0"/>
                  <w:marTop w:val="0"/>
                  <w:marBottom w:val="0"/>
                  <w:divBdr>
                    <w:top w:val="none" w:sz="0" w:space="0" w:color="auto"/>
                    <w:left w:val="none" w:sz="0" w:space="0" w:color="auto"/>
                    <w:bottom w:val="none" w:sz="0" w:space="0" w:color="auto"/>
                    <w:right w:val="none" w:sz="0" w:space="0" w:color="auto"/>
                  </w:divBdr>
                  <w:divsChild>
                    <w:div w:id="50276658">
                      <w:marLeft w:val="0"/>
                      <w:marRight w:val="0"/>
                      <w:marTop w:val="0"/>
                      <w:marBottom w:val="0"/>
                      <w:divBdr>
                        <w:top w:val="none" w:sz="0" w:space="0" w:color="auto"/>
                        <w:left w:val="none" w:sz="0" w:space="0" w:color="auto"/>
                        <w:bottom w:val="none" w:sz="0" w:space="0" w:color="auto"/>
                        <w:right w:val="none" w:sz="0" w:space="0" w:color="auto"/>
                      </w:divBdr>
                    </w:div>
                  </w:divsChild>
                </w:div>
                <w:div w:id="1061321357">
                  <w:marLeft w:val="0"/>
                  <w:marRight w:val="0"/>
                  <w:marTop w:val="0"/>
                  <w:marBottom w:val="0"/>
                  <w:divBdr>
                    <w:top w:val="none" w:sz="0" w:space="0" w:color="auto"/>
                    <w:left w:val="none" w:sz="0" w:space="0" w:color="auto"/>
                    <w:bottom w:val="none" w:sz="0" w:space="0" w:color="auto"/>
                    <w:right w:val="none" w:sz="0" w:space="0" w:color="auto"/>
                  </w:divBdr>
                  <w:divsChild>
                    <w:div w:id="61871724">
                      <w:marLeft w:val="0"/>
                      <w:marRight w:val="0"/>
                      <w:marTop w:val="0"/>
                      <w:marBottom w:val="0"/>
                      <w:divBdr>
                        <w:top w:val="none" w:sz="0" w:space="0" w:color="auto"/>
                        <w:left w:val="none" w:sz="0" w:space="0" w:color="auto"/>
                        <w:bottom w:val="none" w:sz="0" w:space="0" w:color="auto"/>
                        <w:right w:val="none" w:sz="0" w:space="0" w:color="auto"/>
                      </w:divBdr>
                    </w:div>
                  </w:divsChild>
                </w:div>
                <w:div w:id="1783837948">
                  <w:marLeft w:val="0"/>
                  <w:marRight w:val="0"/>
                  <w:marTop w:val="0"/>
                  <w:marBottom w:val="0"/>
                  <w:divBdr>
                    <w:top w:val="none" w:sz="0" w:space="0" w:color="auto"/>
                    <w:left w:val="none" w:sz="0" w:space="0" w:color="auto"/>
                    <w:bottom w:val="none" w:sz="0" w:space="0" w:color="auto"/>
                    <w:right w:val="none" w:sz="0" w:space="0" w:color="auto"/>
                  </w:divBdr>
                  <w:divsChild>
                    <w:div w:id="261836114">
                      <w:marLeft w:val="0"/>
                      <w:marRight w:val="0"/>
                      <w:marTop w:val="0"/>
                      <w:marBottom w:val="0"/>
                      <w:divBdr>
                        <w:top w:val="none" w:sz="0" w:space="0" w:color="auto"/>
                        <w:left w:val="none" w:sz="0" w:space="0" w:color="auto"/>
                        <w:bottom w:val="none" w:sz="0" w:space="0" w:color="auto"/>
                        <w:right w:val="none" w:sz="0" w:space="0" w:color="auto"/>
                      </w:divBdr>
                    </w:div>
                  </w:divsChild>
                </w:div>
                <w:div w:id="540631840">
                  <w:marLeft w:val="0"/>
                  <w:marRight w:val="0"/>
                  <w:marTop w:val="0"/>
                  <w:marBottom w:val="0"/>
                  <w:divBdr>
                    <w:top w:val="none" w:sz="0" w:space="0" w:color="auto"/>
                    <w:left w:val="none" w:sz="0" w:space="0" w:color="auto"/>
                    <w:bottom w:val="none" w:sz="0" w:space="0" w:color="auto"/>
                    <w:right w:val="none" w:sz="0" w:space="0" w:color="auto"/>
                  </w:divBdr>
                  <w:divsChild>
                    <w:div w:id="1224760080">
                      <w:marLeft w:val="0"/>
                      <w:marRight w:val="0"/>
                      <w:marTop w:val="0"/>
                      <w:marBottom w:val="0"/>
                      <w:divBdr>
                        <w:top w:val="none" w:sz="0" w:space="0" w:color="auto"/>
                        <w:left w:val="none" w:sz="0" w:space="0" w:color="auto"/>
                        <w:bottom w:val="none" w:sz="0" w:space="0" w:color="auto"/>
                        <w:right w:val="none" w:sz="0" w:space="0" w:color="auto"/>
                      </w:divBdr>
                    </w:div>
                  </w:divsChild>
                </w:div>
                <w:div w:id="1755273112">
                  <w:marLeft w:val="0"/>
                  <w:marRight w:val="0"/>
                  <w:marTop w:val="0"/>
                  <w:marBottom w:val="0"/>
                  <w:divBdr>
                    <w:top w:val="none" w:sz="0" w:space="0" w:color="auto"/>
                    <w:left w:val="none" w:sz="0" w:space="0" w:color="auto"/>
                    <w:bottom w:val="none" w:sz="0" w:space="0" w:color="auto"/>
                    <w:right w:val="none" w:sz="0" w:space="0" w:color="auto"/>
                  </w:divBdr>
                  <w:divsChild>
                    <w:div w:id="1538272579">
                      <w:marLeft w:val="0"/>
                      <w:marRight w:val="0"/>
                      <w:marTop w:val="0"/>
                      <w:marBottom w:val="0"/>
                      <w:divBdr>
                        <w:top w:val="none" w:sz="0" w:space="0" w:color="auto"/>
                        <w:left w:val="none" w:sz="0" w:space="0" w:color="auto"/>
                        <w:bottom w:val="none" w:sz="0" w:space="0" w:color="auto"/>
                        <w:right w:val="none" w:sz="0" w:space="0" w:color="auto"/>
                      </w:divBdr>
                    </w:div>
                  </w:divsChild>
                </w:div>
                <w:div w:id="1276475212">
                  <w:marLeft w:val="0"/>
                  <w:marRight w:val="0"/>
                  <w:marTop w:val="0"/>
                  <w:marBottom w:val="0"/>
                  <w:divBdr>
                    <w:top w:val="none" w:sz="0" w:space="0" w:color="auto"/>
                    <w:left w:val="none" w:sz="0" w:space="0" w:color="auto"/>
                    <w:bottom w:val="none" w:sz="0" w:space="0" w:color="auto"/>
                    <w:right w:val="none" w:sz="0" w:space="0" w:color="auto"/>
                  </w:divBdr>
                  <w:divsChild>
                    <w:div w:id="1931039171">
                      <w:marLeft w:val="0"/>
                      <w:marRight w:val="0"/>
                      <w:marTop w:val="0"/>
                      <w:marBottom w:val="0"/>
                      <w:divBdr>
                        <w:top w:val="none" w:sz="0" w:space="0" w:color="auto"/>
                        <w:left w:val="none" w:sz="0" w:space="0" w:color="auto"/>
                        <w:bottom w:val="none" w:sz="0" w:space="0" w:color="auto"/>
                        <w:right w:val="none" w:sz="0" w:space="0" w:color="auto"/>
                      </w:divBdr>
                    </w:div>
                  </w:divsChild>
                </w:div>
                <w:div w:id="145900224">
                  <w:marLeft w:val="0"/>
                  <w:marRight w:val="0"/>
                  <w:marTop w:val="0"/>
                  <w:marBottom w:val="0"/>
                  <w:divBdr>
                    <w:top w:val="none" w:sz="0" w:space="0" w:color="auto"/>
                    <w:left w:val="none" w:sz="0" w:space="0" w:color="auto"/>
                    <w:bottom w:val="none" w:sz="0" w:space="0" w:color="auto"/>
                    <w:right w:val="none" w:sz="0" w:space="0" w:color="auto"/>
                  </w:divBdr>
                  <w:divsChild>
                    <w:div w:id="1249660290">
                      <w:marLeft w:val="0"/>
                      <w:marRight w:val="0"/>
                      <w:marTop w:val="0"/>
                      <w:marBottom w:val="0"/>
                      <w:divBdr>
                        <w:top w:val="none" w:sz="0" w:space="0" w:color="auto"/>
                        <w:left w:val="none" w:sz="0" w:space="0" w:color="auto"/>
                        <w:bottom w:val="none" w:sz="0" w:space="0" w:color="auto"/>
                        <w:right w:val="none" w:sz="0" w:space="0" w:color="auto"/>
                      </w:divBdr>
                    </w:div>
                  </w:divsChild>
                </w:div>
                <w:div w:id="1981305594">
                  <w:marLeft w:val="0"/>
                  <w:marRight w:val="0"/>
                  <w:marTop w:val="0"/>
                  <w:marBottom w:val="0"/>
                  <w:divBdr>
                    <w:top w:val="none" w:sz="0" w:space="0" w:color="auto"/>
                    <w:left w:val="none" w:sz="0" w:space="0" w:color="auto"/>
                    <w:bottom w:val="none" w:sz="0" w:space="0" w:color="auto"/>
                    <w:right w:val="none" w:sz="0" w:space="0" w:color="auto"/>
                  </w:divBdr>
                  <w:divsChild>
                    <w:div w:id="1480609494">
                      <w:marLeft w:val="0"/>
                      <w:marRight w:val="0"/>
                      <w:marTop w:val="0"/>
                      <w:marBottom w:val="0"/>
                      <w:divBdr>
                        <w:top w:val="none" w:sz="0" w:space="0" w:color="auto"/>
                        <w:left w:val="none" w:sz="0" w:space="0" w:color="auto"/>
                        <w:bottom w:val="none" w:sz="0" w:space="0" w:color="auto"/>
                        <w:right w:val="none" w:sz="0" w:space="0" w:color="auto"/>
                      </w:divBdr>
                    </w:div>
                  </w:divsChild>
                </w:div>
                <w:div w:id="843978078">
                  <w:marLeft w:val="0"/>
                  <w:marRight w:val="0"/>
                  <w:marTop w:val="0"/>
                  <w:marBottom w:val="0"/>
                  <w:divBdr>
                    <w:top w:val="none" w:sz="0" w:space="0" w:color="auto"/>
                    <w:left w:val="none" w:sz="0" w:space="0" w:color="auto"/>
                    <w:bottom w:val="none" w:sz="0" w:space="0" w:color="auto"/>
                    <w:right w:val="none" w:sz="0" w:space="0" w:color="auto"/>
                  </w:divBdr>
                  <w:divsChild>
                    <w:div w:id="1711764376">
                      <w:marLeft w:val="0"/>
                      <w:marRight w:val="0"/>
                      <w:marTop w:val="0"/>
                      <w:marBottom w:val="0"/>
                      <w:divBdr>
                        <w:top w:val="none" w:sz="0" w:space="0" w:color="auto"/>
                        <w:left w:val="none" w:sz="0" w:space="0" w:color="auto"/>
                        <w:bottom w:val="none" w:sz="0" w:space="0" w:color="auto"/>
                        <w:right w:val="none" w:sz="0" w:space="0" w:color="auto"/>
                      </w:divBdr>
                    </w:div>
                  </w:divsChild>
                </w:div>
                <w:div w:id="1161114537">
                  <w:marLeft w:val="0"/>
                  <w:marRight w:val="0"/>
                  <w:marTop w:val="0"/>
                  <w:marBottom w:val="0"/>
                  <w:divBdr>
                    <w:top w:val="none" w:sz="0" w:space="0" w:color="auto"/>
                    <w:left w:val="none" w:sz="0" w:space="0" w:color="auto"/>
                    <w:bottom w:val="none" w:sz="0" w:space="0" w:color="auto"/>
                    <w:right w:val="none" w:sz="0" w:space="0" w:color="auto"/>
                  </w:divBdr>
                  <w:divsChild>
                    <w:div w:id="1184200337">
                      <w:marLeft w:val="0"/>
                      <w:marRight w:val="0"/>
                      <w:marTop w:val="0"/>
                      <w:marBottom w:val="0"/>
                      <w:divBdr>
                        <w:top w:val="none" w:sz="0" w:space="0" w:color="auto"/>
                        <w:left w:val="none" w:sz="0" w:space="0" w:color="auto"/>
                        <w:bottom w:val="none" w:sz="0" w:space="0" w:color="auto"/>
                        <w:right w:val="none" w:sz="0" w:space="0" w:color="auto"/>
                      </w:divBdr>
                    </w:div>
                  </w:divsChild>
                </w:div>
                <w:div w:id="2088573369">
                  <w:marLeft w:val="0"/>
                  <w:marRight w:val="0"/>
                  <w:marTop w:val="0"/>
                  <w:marBottom w:val="0"/>
                  <w:divBdr>
                    <w:top w:val="none" w:sz="0" w:space="0" w:color="auto"/>
                    <w:left w:val="none" w:sz="0" w:space="0" w:color="auto"/>
                    <w:bottom w:val="none" w:sz="0" w:space="0" w:color="auto"/>
                    <w:right w:val="none" w:sz="0" w:space="0" w:color="auto"/>
                  </w:divBdr>
                  <w:divsChild>
                    <w:div w:id="82651152">
                      <w:marLeft w:val="0"/>
                      <w:marRight w:val="0"/>
                      <w:marTop w:val="0"/>
                      <w:marBottom w:val="0"/>
                      <w:divBdr>
                        <w:top w:val="none" w:sz="0" w:space="0" w:color="auto"/>
                        <w:left w:val="none" w:sz="0" w:space="0" w:color="auto"/>
                        <w:bottom w:val="none" w:sz="0" w:space="0" w:color="auto"/>
                        <w:right w:val="none" w:sz="0" w:space="0" w:color="auto"/>
                      </w:divBdr>
                    </w:div>
                  </w:divsChild>
                </w:div>
                <w:div w:id="1216358330">
                  <w:marLeft w:val="0"/>
                  <w:marRight w:val="0"/>
                  <w:marTop w:val="0"/>
                  <w:marBottom w:val="0"/>
                  <w:divBdr>
                    <w:top w:val="none" w:sz="0" w:space="0" w:color="auto"/>
                    <w:left w:val="none" w:sz="0" w:space="0" w:color="auto"/>
                    <w:bottom w:val="none" w:sz="0" w:space="0" w:color="auto"/>
                    <w:right w:val="none" w:sz="0" w:space="0" w:color="auto"/>
                  </w:divBdr>
                  <w:divsChild>
                    <w:div w:id="1736776728">
                      <w:marLeft w:val="0"/>
                      <w:marRight w:val="0"/>
                      <w:marTop w:val="0"/>
                      <w:marBottom w:val="0"/>
                      <w:divBdr>
                        <w:top w:val="none" w:sz="0" w:space="0" w:color="auto"/>
                        <w:left w:val="none" w:sz="0" w:space="0" w:color="auto"/>
                        <w:bottom w:val="none" w:sz="0" w:space="0" w:color="auto"/>
                        <w:right w:val="none" w:sz="0" w:space="0" w:color="auto"/>
                      </w:divBdr>
                    </w:div>
                  </w:divsChild>
                </w:div>
                <w:div w:id="1525169154">
                  <w:marLeft w:val="0"/>
                  <w:marRight w:val="0"/>
                  <w:marTop w:val="0"/>
                  <w:marBottom w:val="0"/>
                  <w:divBdr>
                    <w:top w:val="none" w:sz="0" w:space="0" w:color="auto"/>
                    <w:left w:val="none" w:sz="0" w:space="0" w:color="auto"/>
                    <w:bottom w:val="none" w:sz="0" w:space="0" w:color="auto"/>
                    <w:right w:val="none" w:sz="0" w:space="0" w:color="auto"/>
                  </w:divBdr>
                  <w:divsChild>
                    <w:div w:id="746725290">
                      <w:marLeft w:val="0"/>
                      <w:marRight w:val="0"/>
                      <w:marTop w:val="0"/>
                      <w:marBottom w:val="0"/>
                      <w:divBdr>
                        <w:top w:val="none" w:sz="0" w:space="0" w:color="auto"/>
                        <w:left w:val="none" w:sz="0" w:space="0" w:color="auto"/>
                        <w:bottom w:val="none" w:sz="0" w:space="0" w:color="auto"/>
                        <w:right w:val="none" w:sz="0" w:space="0" w:color="auto"/>
                      </w:divBdr>
                    </w:div>
                  </w:divsChild>
                </w:div>
                <w:div w:id="408381151">
                  <w:marLeft w:val="0"/>
                  <w:marRight w:val="0"/>
                  <w:marTop w:val="0"/>
                  <w:marBottom w:val="0"/>
                  <w:divBdr>
                    <w:top w:val="none" w:sz="0" w:space="0" w:color="auto"/>
                    <w:left w:val="none" w:sz="0" w:space="0" w:color="auto"/>
                    <w:bottom w:val="none" w:sz="0" w:space="0" w:color="auto"/>
                    <w:right w:val="none" w:sz="0" w:space="0" w:color="auto"/>
                  </w:divBdr>
                  <w:divsChild>
                    <w:div w:id="693965969">
                      <w:marLeft w:val="0"/>
                      <w:marRight w:val="0"/>
                      <w:marTop w:val="0"/>
                      <w:marBottom w:val="0"/>
                      <w:divBdr>
                        <w:top w:val="none" w:sz="0" w:space="0" w:color="auto"/>
                        <w:left w:val="none" w:sz="0" w:space="0" w:color="auto"/>
                        <w:bottom w:val="none" w:sz="0" w:space="0" w:color="auto"/>
                        <w:right w:val="none" w:sz="0" w:space="0" w:color="auto"/>
                      </w:divBdr>
                    </w:div>
                  </w:divsChild>
                </w:div>
                <w:div w:id="161047564">
                  <w:marLeft w:val="0"/>
                  <w:marRight w:val="0"/>
                  <w:marTop w:val="0"/>
                  <w:marBottom w:val="0"/>
                  <w:divBdr>
                    <w:top w:val="none" w:sz="0" w:space="0" w:color="auto"/>
                    <w:left w:val="none" w:sz="0" w:space="0" w:color="auto"/>
                    <w:bottom w:val="none" w:sz="0" w:space="0" w:color="auto"/>
                    <w:right w:val="none" w:sz="0" w:space="0" w:color="auto"/>
                  </w:divBdr>
                  <w:divsChild>
                    <w:div w:id="421265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6362737">
          <w:marLeft w:val="0"/>
          <w:marRight w:val="0"/>
          <w:marTop w:val="0"/>
          <w:marBottom w:val="0"/>
          <w:divBdr>
            <w:top w:val="none" w:sz="0" w:space="0" w:color="auto"/>
            <w:left w:val="none" w:sz="0" w:space="0" w:color="auto"/>
            <w:bottom w:val="none" w:sz="0" w:space="0" w:color="auto"/>
            <w:right w:val="none" w:sz="0" w:space="0" w:color="auto"/>
          </w:divBdr>
        </w:div>
        <w:div w:id="116946416">
          <w:marLeft w:val="0"/>
          <w:marRight w:val="0"/>
          <w:marTop w:val="0"/>
          <w:marBottom w:val="0"/>
          <w:divBdr>
            <w:top w:val="none" w:sz="0" w:space="0" w:color="auto"/>
            <w:left w:val="none" w:sz="0" w:space="0" w:color="auto"/>
            <w:bottom w:val="none" w:sz="0" w:space="0" w:color="auto"/>
            <w:right w:val="none" w:sz="0" w:space="0" w:color="auto"/>
          </w:divBdr>
        </w:div>
        <w:div w:id="760445777">
          <w:marLeft w:val="0"/>
          <w:marRight w:val="0"/>
          <w:marTop w:val="0"/>
          <w:marBottom w:val="0"/>
          <w:divBdr>
            <w:top w:val="none" w:sz="0" w:space="0" w:color="auto"/>
            <w:left w:val="none" w:sz="0" w:space="0" w:color="auto"/>
            <w:bottom w:val="none" w:sz="0" w:space="0" w:color="auto"/>
            <w:right w:val="none" w:sz="0" w:space="0" w:color="auto"/>
          </w:divBdr>
        </w:div>
        <w:div w:id="1998340204">
          <w:marLeft w:val="0"/>
          <w:marRight w:val="0"/>
          <w:marTop w:val="0"/>
          <w:marBottom w:val="0"/>
          <w:divBdr>
            <w:top w:val="none" w:sz="0" w:space="0" w:color="auto"/>
            <w:left w:val="none" w:sz="0" w:space="0" w:color="auto"/>
            <w:bottom w:val="none" w:sz="0" w:space="0" w:color="auto"/>
            <w:right w:val="none" w:sz="0" w:space="0" w:color="auto"/>
          </w:divBdr>
        </w:div>
        <w:div w:id="1882859998">
          <w:marLeft w:val="0"/>
          <w:marRight w:val="0"/>
          <w:marTop w:val="0"/>
          <w:marBottom w:val="0"/>
          <w:divBdr>
            <w:top w:val="none" w:sz="0" w:space="0" w:color="auto"/>
            <w:left w:val="none" w:sz="0" w:space="0" w:color="auto"/>
            <w:bottom w:val="none" w:sz="0" w:space="0" w:color="auto"/>
            <w:right w:val="none" w:sz="0" w:space="0" w:color="auto"/>
          </w:divBdr>
          <w:divsChild>
            <w:div w:id="95952507">
              <w:marLeft w:val="-75"/>
              <w:marRight w:val="0"/>
              <w:marTop w:val="30"/>
              <w:marBottom w:val="30"/>
              <w:divBdr>
                <w:top w:val="none" w:sz="0" w:space="0" w:color="auto"/>
                <w:left w:val="none" w:sz="0" w:space="0" w:color="auto"/>
                <w:bottom w:val="none" w:sz="0" w:space="0" w:color="auto"/>
                <w:right w:val="none" w:sz="0" w:space="0" w:color="auto"/>
              </w:divBdr>
              <w:divsChild>
                <w:div w:id="950018349">
                  <w:marLeft w:val="0"/>
                  <w:marRight w:val="0"/>
                  <w:marTop w:val="0"/>
                  <w:marBottom w:val="0"/>
                  <w:divBdr>
                    <w:top w:val="none" w:sz="0" w:space="0" w:color="auto"/>
                    <w:left w:val="none" w:sz="0" w:space="0" w:color="auto"/>
                    <w:bottom w:val="none" w:sz="0" w:space="0" w:color="auto"/>
                    <w:right w:val="none" w:sz="0" w:space="0" w:color="auto"/>
                  </w:divBdr>
                  <w:divsChild>
                    <w:div w:id="433552397">
                      <w:marLeft w:val="0"/>
                      <w:marRight w:val="0"/>
                      <w:marTop w:val="0"/>
                      <w:marBottom w:val="0"/>
                      <w:divBdr>
                        <w:top w:val="none" w:sz="0" w:space="0" w:color="auto"/>
                        <w:left w:val="none" w:sz="0" w:space="0" w:color="auto"/>
                        <w:bottom w:val="none" w:sz="0" w:space="0" w:color="auto"/>
                        <w:right w:val="none" w:sz="0" w:space="0" w:color="auto"/>
                      </w:divBdr>
                    </w:div>
                  </w:divsChild>
                </w:div>
                <w:div w:id="814612">
                  <w:marLeft w:val="0"/>
                  <w:marRight w:val="0"/>
                  <w:marTop w:val="0"/>
                  <w:marBottom w:val="0"/>
                  <w:divBdr>
                    <w:top w:val="none" w:sz="0" w:space="0" w:color="auto"/>
                    <w:left w:val="none" w:sz="0" w:space="0" w:color="auto"/>
                    <w:bottom w:val="none" w:sz="0" w:space="0" w:color="auto"/>
                    <w:right w:val="none" w:sz="0" w:space="0" w:color="auto"/>
                  </w:divBdr>
                  <w:divsChild>
                    <w:div w:id="1521969226">
                      <w:marLeft w:val="0"/>
                      <w:marRight w:val="0"/>
                      <w:marTop w:val="0"/>
                      <w:marBottom w:val="0"/>
                      <w:divBdr>
                        <w:top w:val="none" w:sz="0" w:space="0" w:color="auto"/>
                        <w:left w:val="none" w:sz="0" w:space="0" w:color="auto"/>
                        <w:bottom w:val="none" w:sz="0" w:space="0" w:color="auto"/>
                        <w:right w:val="none" w:sz="0" w:space="0" w:color="auto"/>
                      </w:divBdr>
                    </w:div>
                  </w:divsChild>
                </w:div>
                <w:div w:id="1200126448">
                  <w:marLeft w:val="0"/>
                  <w:marRight w:val="0"/>
                  <w:marTop w:val="0"/>
                  <w:marBottom w:val="0"/>
                  <w:divBdr>
                    <w:top w:val="none" w:sz="0" w:space="0" w:color="auto"/>
                    <w:left w:val="none" w:sz="0" w:space="0" w:color="auto"/>
                    <w:bottom w:val="none" w:sz="0" w:space="0" w:color="auto"/>
                    <w:right w:val="none" w:sz="0" w:space="0" w:color="auto"/>
                  </w:divBdr>
                  <w:divsChild>
                    <w:div w:id="759716952">
                      <w:marLeft w:val="0"/>
                      <w:marRight w:val="0"/>
                      <w:marTop w:val="0"/>
                      <w:marBottom w:val="0"/>
                      <w:divBdr>
                        <w:top w:val="none" w:sz="0" w:space="0" w:color="auto"/>
                        <w:left w:val="none" w:sz="0" w:space="0" w:color="auto"/>
                        <w:bottom w:val="none" w:sz="0" w:space="0" w:color="auto"/>
                        <w:right w:val="none" w:sz="0" w:space="0" w:color="auto"/>
                      </w:divBdr>
                    </w:div>
                  </w:divsChild>
                </w:div>
                <w:div w:id="727191972">
                  <w:marLeft w:val="0"/>
                  <w:marRight w:val="0"/>
                  <w:marTop w:val="0"/>
                  <w:marBottom w:val="0"/>
                  <w:divBdr>
                    <w:top w:val="none" w:sz="0" w:space="0" w:color="auto"/>
                    <w:left w:val="none" w:sz="0" w:space="0" w:color="auto"/>
                    <w:bottom w:val="none" w:sz="0" w:space="0" w:color="auto"/>
                    <w:right w:val="none" w:sz="0" w:space="0" w:color="auto"/>
                  </w:divBdr>
                  <w:divsChild>
                    <w:div w:id="561910409">
                      <w:marLeft w:val="0"/>
                      <w:marRight w:val="0"/>
                      <w:marTop w:val="0"/>
                      <w:marBottom w:val="0"/>
                      <w:divBdr>
                        <w:top w:val="none" w:sz="0" w:space="0" w:color="auto"/>
                        <w:left w:val="none" w:sz="0" w:space="0" w:color="auto"/>
                        <w:bottom w:val="none" w:sz="0" w:space="0" w:color="auto"/>
                        <w:right w:val="none" w:sz="0" w:space="0" w:color="auto"/>
                      </w:divBdr>
                    </w:div>
                  </w:divsChild>
                </w:div>
                <w:div w:id="2007896373">
                  <w:marLeft w:val="0"/>
                  <w:marRight w:val="0"/>
                  <w:marTop w:val="0"/>
                  <w:marBottom w:val="0"/>
                  <w:divBdr>
                    <w:top w:val="none" w:sz="0" w:space="0" w:color="auto"/>
                    <w:left w:val="none" w:sz="0" w:space="0" w:color="auto"/>
                    <w:bottom w:val="none" w:sz="0" w:space="0" w:color="auto"/>
                    <w:right w:val="none" w:sz="0" w:space="0" w:color="auto"/>
                  </w:divBdr>
                  <w:divsChild>
                    <w:div w:id="1461025343">
                      <w:marLeft w:val="0"/>
                      <w:marRight w:val="0"/>
                      <w:marTop w:val="0"/>
                      <w:marBottom w:val="0"/>
                      <w:divBdr>
                        <w:top w:val="none" w:sz="0" w:space="0" w:color="auto"/>
                        <w:left w:val="none" w:sz="0" w:space="0" w:color="auto"/>
                        <w:bottom w:val="none" w:sz="0" w:space="0" w:color="auto"/>
                        <w:right w:val="none" w:sz="0" w:space="0" w:color="auto"/>
                      </w:divBdr>
                    </w:div>
                  </w:divsChild>
                </w:div>
                <w:div w:id="1014115580">
                  <w:marLeft w:val="0"/>
                  <w:marRight w:val="0"/>
                  <w:marTop w:val="0"/>
                  <w:marBottom w:val="0"/>
                  <w:divBdr>
                    <w:top w:val="none" w:sz="0" w:space="0" w:color="auto"/>
                    <w:left w:val="none" w:sz="0" w:space="0" w:color="auto"/>
                    <w:bottom w:val="none" w:sz="0" w:space="0" w:color="auto"/>
                    <w:right w:val="none" w:sz="0" w:space="0" w:color="auto"/>
                  </w:divBdr>
                  <w:divsChild>
                    <w:div w:id="724648102">
                      <w:marLeft w:val="0"/>
                      <w:marRight w:val="0"/>
                      <w:marTop w:val="0"/>
                      <w:marBottom w:val="0"/>
                      <w:divBdr>
                        <w:top w:val="none" w:sz="0" w:space="0" w:color="auto"/>
                        <w:left w:val="none" w:sz="0" w:space="0" w:color="auto"/>
                        <w:bottom w:val="none" w:sz="0" w:space="0" w:color="auto"/>
                        <w:right w:val="none" w:sz="0" w:space="0" w:color="auto"/>
                      </w:divBdr>
                    </w:div>
                  </w:divsChild>
                </w:div>
                <w:div w:id="1454903681">
                  <w:marLeft w:val="0"/>
                  <w:marRight w:val="0"/>
                  <w:marTop w:val="0"/>
                  <w:marBottom w:val="0"/>
                  <w:divBdr>
                    <w:top w:val="none" w:sz="0" w:space="0" w:color="auto"/>
                    <w:left w:val="none" w:sz="0" w:space="0" w:color="auto"/>
                    <w:bottom w:val="none" w:sz="0" w:space="0" w:color="auto"/>
                    <w:right w:val="none" w:sz="0" w:space="0" w:color="auto"/>
                  </w:divBdr>
                  <w:divsChild>
                    <w:div w:id="1601765498">
                      <w:marLeft w:val="0"/>
                      <w:marRight w:val="0"/>
                      <w:marTop w:val="0"/>
                      <w:marBottom w:val="0"/>
                      <w:divBdr>
                        <w:top w:val="none" w:sz="0" w:space="0" w:color="auto"/>
                        <w:left w:val="none" w:sz="0" w:space="0" w:color="auto"/>
                        <w:bottom w:val="none" w:sz="0" w:space="0" w:color="auto"/>
                        <w:right w:val="none" w:sz="0" w:space="0" w:color="auto"/>
                      </w:divBdr>
                    </w:div>
                  </w:divsChild>
                </w:div>
                <w:div w:id="1975021371">
                  <w:marLeft w:val="0"/>
                  <w:marRight w:val="0"/>
                  <w:marTop w:val="0"/>
                  <w:marBottom w:val="0"/>
                  <w:divBdr>
                    <w:top w:val="none" w:sz="0" w:space="0" w:color="auto"/>
                    <w:left w:val="none" w:sz="0" w:space="0" w:color="auto"/>
                    <w:bottom w:val="none" w:sz="0" w:space="0" w:color="auto"/>
                    <w:right w:val="none" w:sz="0" w:space="0" w:color="auto"/>
                  </w:divBdr>
                  <w:divsChild>
                    <w:div w:id="2098135096">
                      <w:marLeft w:val="0"/>
                      <w:marRight w:val="0"/>
                      <w:marTop w:val="0"/>
                      <w:marBottom w:val="0"/>
                      <w:divBdr>
                        <w:top w:val="none" w:sz="0" w:space="0" w:color="auto"/>
                        <w:left w:val="none" w:sz="0" w:space="0" w:color="auto"/>
                        <w:bottom w:val="none" w:sz="0" w:space="0" w:color="auto"/>
                        <w:right w:val="none" w:sz="0" w:space="0" w:color="auto"/>
                      </w:divBdr>
                    </w:div>
                  </w:divsChild>
                </w:div>
                <w:div w:id="143786083">
                  <w:marLeft w:val="0"/>
                  <w:marRight w:val="0"/>
                  <w:marTop w:val="0"/>
                  <w:marBottom w:val="0"/>
                  <w:divBdr>
                    <w:top w:val="none" w:sz="0" w:space="0" w:color="auto"/>
                    <w:left w:val="none" w:sz="0" w:space="0" w:color="auto"/>
                    <w:bottom w:val="none" w:sz="0" w:space="0" w:color="auto"/>
                    <w:right w:val="none" w:sz="0" w:space="0" w:color="auto"/>
                  </w:divBdr>
                  <w:divsChild>
                    <w:div w:id="1171335568">
                      <w:marLeft w:val="0"/>
                      <w:marRight w:val="0"/>
                      <w:marTop w:val="0"/>
                      <w:marBottom w:val="0"/>
                      <w:divBdr>
                        <w:top w:val="none" w:sz="0" w:space="0" w:color="auto"/>
                        <w:left w:val="none" w:sz="0" w:space="0" w:color="auto"/>
                        <w:bottom w:val="none" w:sz="0" w:space="0" w:color="auto"/>
                        <w:right w:val="none" w:sz="0" w:space="0" w:color="auto"/>
                      </w:divBdr>
                    </w:div>
                  </w:divsChild>
                </w:div>
                <w:div w:id="1556702845">
                  <w:marLeft w:val="0"/>
                  <w:marRight w:val="0"/>
                  <w:marTop w:val="0"/>
                  <w:marBottom w:val="0"/>
                  <w:divBdr>
                    <w:top w:val="none" w:sz="0" w:space="0" w:color="auto"/>
                    <w:left w:val="none" w:sz="0" w:space="0" w:color="auto"/>
                    <w:bottom w:val="none" w:sz="0" w:space="0" w:color="auto"/>
                    <w:right w:val="none" w:sz="0" w:space="0" w:color="auto"/>
                  </w:divBdr>
                  <w:divsChild>
                    <w:div w:id="1892574181">
                      <w:marLeft w:val="0"/>
                      <w:marRight w:val="0"/>
                      <w:marTop w:val="0"/>
                      <w:marBottom w:val="0"/>
                      <w:divBdr>
                        <w:top w:val="none" w:sz="0" w:space="0" w:color="auto"/>
                        <w:left w:val="none" w:sz="0" w:space="0" w:color="auto"/>
                        <w:bottom w:val="none" w:sz="0" w:space="0" w:color="auto"/>
                        <w:right w:val="none" w:sz="0" w:space="0" w:color="auto"/>
                      </w:divBdr>
                    </w:div>
                  </w:divsChild>
                </w:div>
                <w:div w:id="1349714546">
                  <w:marLeft w:val="0"/>
                  <w:marRight w:val="0"/>
                  <w:marTop w:val="0"/>
                  <w:marBottom w:val="0"/>
                  <w:divBdr>
                    <w:top w:val="none" w:sz="0" w:space="0" w:color="auto"/>
                    <w:left w:val="none" w:sz="0" w:space="0" w:color="auto"/>
                    <w:bottom w:val="none" w:sz="0" w:space="0" w:color="auto"/>
                    <w:right w:val="none" w:sz="0" w:space="0" w:color="auto"/>
                  </w:divBdr>
                  <w:divsChild>
                    <w:div w:id="1707869700">
                      <w:marLeft w:val="0"/>
                      <w:marRight w:val="0"/>
                      <w:marTop w:val="0"/>
                      <w:marBottom w:val="0"/>
                      <w:divBdr>
                        <w:top w:val="none" w:sz="0" w:space="0" w:color="auto"/>
                        <w:left w:val="none" w:sz="0" w:space="0" w:color="auto"/>
                        <w:bottom w:val="none" w:sz="0" w:space="0" w:color="auto"/>
                        <w:right w:val="none" w:sz="0" w:space="0" w:color="auto"/>
                      </w:divBdr>
                    </w:div>
                  </w:divsChild>
                </w:div>
                <w:div w:id="1733505257">
                  <w:marLeft w:val="0"/>
                  <w:marRight w:val="0"/>
                  <w:marTop w:val="0"/>
                  <w:marBottom w:val="0"/>
                  <w:divBdr>
                    <w:top w:val="none" w:sz="0" w:space="0" w:color="auto"/>
                    <w:left w:val="none" w:sz="0" w:space="0" w:color="auto"/>
                    <w:bottom w:val="none" w:sz="0" w:space="0" w:color="auto"/>
                    <w:right w:val="none" w:sz="0" w:space="0" w:color="auto"/>
                  </w:divBdr>
                  <w:divsChild>
                    <w:div w:id="1574268144">
                      <w:marLeft w:val="0"/>
                      <w:marRight w:val="0"/>
                      <w:marTop w:val="0"/>
                      <w:marBottom w:val="0"/>
                      <w:divBdr>
                        <w:top w:val="none" w:sz="0" w:space="0" w:color="auto"/>
                        <w:left w:val="none" w:sz="0" w:space="0" w:color="auto"/>
                        <w:bottom w:val="none" w:sz="0" w:space="0" w:color="auto"/>
                        <w:right w:val="none" w:sz="0" w:space="0" w:color="auto"/>
                      </w:divBdr>
                    </w:div>
                  </w:divsChild>
                </w:div>
                <w:div w:id="568731258">
                  <w:marLeft w:val="0"/>
                  <w:marRight w:val="0"/>
                  <w:marTop w:val="0"/>
                  <w:marBottom w:val="0"/>
                  <w:divBdr>
                    <w:top w:val="none" w:sz="0" w:space="0" w:color="auto"/>
                    <w:left w:val="none" w:sz="0" w:space="0" w:color="auto"/>
                    <w:bottom w:val="none" w:sz="0" w:space="0" w:color="auto"/>
                    <w:right w:val="none" w:sz="0" w:space="0" w:color="auto"/>
                  </w:divBdr>
                  <w:divsChild>
                    <w:div w:id="1655796808">
                      <w:marLeft w:val="0"/>
                      <w:marRight w:val="0"/>
                      <w:marTop w:val="0"/>
                      <w:marBottom w:val="0"/>
                      <w:divBdr>
                        <w:top w:val="none" w:sz="0" w:space="0" w:color="auto"/>
                        <w:left w:val="none" w:sz="0" w:space="0" w:color="auto"/>
                        <w:bottom w:val="none" w:sz="0" w:space="0" w:color="auto"/>
                        <w:right w:val="none" w:sz="0" w:space="0" w:color="auto"/>
                      </w:divBdr>
                    </w:div>
                  </w:divsChild>
                </w:div>
                <w:div w:id="1247612797">
                  <w:marLeft w:val="0"/>
                  <w:marRight w:val="0"/>
                  <w:marTop w:val="0"/>
                  <w:marBottom w:val="0"/>
                  <w:divBdr>
                    <w:top w:val="none" w:sz="0" w:space="0" w:color="auto"/>
                    <w:left w:val="none" w:sz="0" w:space="0" w:color="auto"/>
                    <w:bottom w:val="none" w:sz="0" w:space="0" w:color="auto"/>
                    <w:right w:val="none" w:sz="0" w:space="0" w:color="auto"/>
                  </w:divBdr>
                  <w:divsChild>
                    <w:div w:id="791284955">
                      <w:marLeft w:val="0"/>
                      <w:marRight w:val="0"/>
                      <w:marTop w:val="0"/>
                      <w:marBottom w:val="0"/>
                      <w:divBdr>
                        <w:top w:val="none" w:sz="0" w:space="0" w:color="auto"/>
                        <w:left w:val="none" w:sz="0" w:space="0" w:color="auto"/>
                        <w:bottom w:val="none" w:sz="0" w:space="0" w:color="auto"/>
                        <w:right w:val="none" w:sz="0" w:space="0" w:color="auto"/>
                      </w:divBdr>
                    </w:div>
                  </w:divsChild>
                </w:div>
                <w:div w:id="1415007124">
                  <w:marLeft w:val="0"/>
                  <w:marRight w:val="0"/>
                  <w:marTop w:val="0"/>
                  <w:marBottom w:val="0"/>
                  <w:divBdr>
                    <w:top w:val="none" w:sz="0" w:space="0" w:color="auto"/>
                    <w:left w:val="none" w:sz="0" w:space="0" w:color="auto"/>
                    <w:bottom w:val="none" w:sz="0" w:space="0" w:color="auto"/>
                    <w:right w:val="none" w:sz="0" w:space="0" w:color="auto"/>
                  </w:divBdr>
                  <w:divsChild>
                    <w:div w:id="1204713966">
                      <w:marLeft w:val="0"/>
                      <w:marRight w:val="0"/>
                      <w:marTop w:val="0"/>
                      <w:marBottom w:val="0"/>
                      <w:divBdr>
                        <w:top w:val="none" w:sz="0" w:space="0" w:color="auto"/>
                        <w:left w:val="none" w:sz="0" w:space="0" w:color="auto"/>
                        <w:bottom w:val="none" w:sz="0" w:space="0" w:color="auto"/>
                        <w:right w:val="none" w:sz="0" w:space="0" w:color="auto"/>
                      </w:divBdr>
                    </w:div>
                  </w:divsChild>
                </w:div>
                <w:div w:id="350374721">
                  <w:marLeft w:val="0"/>
                  <w:marRight w:val="0"/>
                  <w:marTop w:val="0"/>
                  <w:marBottom w:val="0"/>
                  <w:divBdr>
                    <w:top w:val="none" w:sz="0" w:space="0" w:color="auto"/>
                    <w:left w:val="none" w:sz="0" w:space="0" w:color="auto"/>
                    <w:bottom w:val="none" w:sz="0" w:space="0" w:color="auto"/>
                    <w:right w:val="none" w:sz="0" w:space="0" w:color="auto"/>
                  </w:divBdr>
                  <w:divsChild>
                    <w:div w:id="218441294">
                      <w:marLeft w:val="0"/>
                      <w:marRight w:val="0"/>
                      <w:marTop w:val="0"/>
                      <w:marBottom w:val="0"/>
                      <w:divBdr>
                        <w:top w:val="none" w:sz="0" w:space="0" w:color="auto"/>
                        <w:left w:val="none" w:sz="0" w:space="0" w:color="auto"/>
                        <w:bottom w:val="none" w:sz="0" w:space="0" w:color="auto"/>
                        <w:right w:val="none" w:sz="0" w:space="0" w:color="auto"/>
                      </w:divBdr>
                    </w:div>
                  </w:divsChild>
                </w:div>
                <w:div w:id="1069351816">
                  <w:marLeft w:val="0"/>
                  <w:marRight w:val="0"/>
                  <w:marTop w:val="0"/>
                  <w:marBottom w:val="0"/>
                  <w:divBdr>
                    <w:top w:val="none" w:sz="0" w:space="0" w:color="auto"/>
                    <w:left w:val="none" w:sz="0" w:space="0" w:color="auto"/>
                    <w:bottom w:val="none" w:sz="0" w:space="0" w:color="auto"/>
                    <w:right w:val="none" w:sz="0" w:space="0" w:color="auto"/>
                  </w:divBdr>
                  <w:divsChild>
                    <w:div w:id="349380642">
                      <w:marLeft w:val="0"/>
                      <w:marRight w:val="0"/>
                      <w:marTop w:val="0"/>
                      <w:marBottom w:val="0"/>
                      <w:divBdr>
                        <w:top w:val="none" w:sz="0" w:space="0" w:color="auto"/>
                        <w:left w:val="none" w:sz="0" w:space="0" w:color="auto"/>
                        <w:bottom w:val="none" w:sz="0" w:space="0" w:color="auto"/>
                        <w:right w:val="none" w:sz="0" w:space="0" w:color="auto"/>
                      </w:divBdr>
                    </w:div>
                  </w:divsChild>
                </w:div>
                <w:div w:id="1625454193">
                  <w:marLeft w:val="0"/>
                  <w:marRight w:val="0"/>
                  <w:marTop w:val="0"/>
                  <w:marBottom w:val="0"/>
                  <w:divBdr>
                    <w:top w:val="none" w:sz="0" w:space="0" w:color="auto"/>
                    <w:left w:val="none" w:sz="0" w:space="0" w:color="auto"/>
                    <w:bottom w:val="none" w:sz="0" w:space="0" w:color="auto"/>
                    <w:right w:val="none" w:sz="0" w:space="0" w:color="auto"/>
                  </w:divBdr>
                  <w:divsChild>
                    <w:div w:id="2063207120">
                      <w:marLeft w:val="0"/>
                      <w:marRight w:val="0"/>
                      <w:marTop w:val="0"/>
                      <w:marBottom w:val="0"/>
                      <w:divBdr>
                        <w:top w:val="none" w:sz="0" w:space="0" w:color="auto"/>
                        <w:left w:val="none" w:sz="0" w:space="0" w:color="auto"/>
                        <w:bottom w:val="none" w:sz="0" w:space="0" w:color="auto"/>
                        <w:right w:val="none" w:sz="0" w:space="0" w:color="auto"/>
                      </w:divBdr>
                    </w:div>
                  </w:divsChild>
                </w:div>
                <w:div w:id="1710453399">
                  <w:marLeft w:val="0"/>
                  <w:marRight w:val="0"/>
                  <w:marTop w:val="0"/>
                  <w:marBottom w:val="0"/>
                  <w:divBdr>
                    <w:top w:val="none" w:sz="0" w:space="0" w:color="auto"/>
                    <w:left w:val="none" w:sz="0" w:space="0" w:color="auto"/>
                    <w:bottom w:val="none" w:sz="0" w:space="0" w:color="auto"/>
                    <w:right w:val="none" w:sz="0" w:space="0" w:color="auto"/>
                  </w:divBdr>
                  <w:divsChild>
                    <w:div w:id="107353702">
                      <w:marLeft w:val="0"/>
                      <w:marRight w:val="0"/>
                      <w:marTop w:val="0"/>
                      <w:marBottom w:val="0"/>
                      <w:divBdr>
                        <w:top w:val="none" w:sz="0" w:space="0" w:color="auto"/>
                        <w:left w:val="none" w:sz="0" w:space="0" w:color="auto"/>
                        <w:bottom w:val="none" w:sz="0" w:space="0" w:color="auto"/>
                        <w:right w:val="none" w:sz="0" w:space="0" w:color="auto"/>
                      </w:divBdr>
                    </w:div>
                  </w:divsChild>
                </w:div>
                <w:div w:id="1403943874">
                  <w:marLeft w:val="0"/>
                  <w:marRight w:val="0"/>
                  <w:marTop w:val="0"/>
                  <w:marBottom w:val="0"/>
                  <w:divBdr>
                    <w:top w:val="none" w:sz="0" w:space="0" w:color="auto"/>
                    <w:left w:val="none" w:sz="0" w:space="0" w:color="auto"/>
                    <w:bottom w:val="none" w:sz="0" w:space="0" w:color="auto"/>
                    <w:right w:val="none" w:sz="0" w:space="0" w:color="auto"/>
                  </w:divBdr>
                  <w:divsChild>
                    <w:div w:id="730663041">
                      <w:marLeft w:val="0"/>
                      <w:marRight w:val="0"/>
                      <w:marTop w:val="0"/>
                      <w:marBottom w:val="0"/>
                      <w:divBdr>
                        <w:top w:val="none" w:sz="0" w:space="0" w:color="auto"/>
                        <w:left w:val="none" w:sz="0" w:space="0" w:color="auto"/>
                        <w:bottom w:val="none" w:sz="0" w:space="0" w:color="auto"/>
                        <w:right w:val="none" w:sz="0" w:space="0" w:color="auto"/>
                      </w:divBdr>
                    </w:div>
                  </w:divsChild>
                </w:div>
                <w:div w:id="965818587">
                  <w:marLeft w:val="0"/>
                  <w:marRight w:val="0"/>
                  <w:marTop w:val="0"/>
                  <w:marBottom w:val="0"/>
                  <w:divBdr>
                    <w:top w:val="none" w:sz="0" w:space="0" w:color="auto"/>
                    <w:left w:val="none" w:sz="0" w:space="0" w:color="auto"/>
                    <w:bottom w:val="none" w:sz="0" w:space="0" w:color="auto"/>
                    <w:right w:val="none" w:sz="0" w:space="0" w:color="auto"/>
                  </w:divBdr>
                  <w:divsChild>
                    <w:div w:id="1542550998">
                      <w:marLeft w:val="0"/>
                      <w:marRight w:val="0"/>
                      <w:marTop w:val="0"/>
                      <w:marBottom w:val="0"/>
                      <w:divBdr>
                        <w:top w:val="none" w:sz="0" w:space="0" w:color="auto"/>
                        <w:left w:val="none" w:sz="0" w:space="0" w:color="auto"/>
                        <w:bottom w:val="none" w:sz="0" w:space="0" w:color="auto"/>
                        <w:right w:val="none" w:sz="0" w:space="0" w:color="auto"/>
                      </w:divBdr>
                    </w:div>
                  </w:divsChild>
                </w:div>
                <w:div w:id="845709142">
                  <w:marLeft w:val="0"/>
                  <w:marRight w:val="0"/>
                  <w:marTop w:val="0"/>
                  <w:marBottom w:val="0"/>
                  <w:divBdr>
                    <w:top w:val="none" w:sz="0" w:space="0" w:color="auto"/>
                    <w:left w:val="none" w:sz="0" w:space="0" w:color="auto"/>
                    <w:bottom w:val="none" w:sz="0" w:space="0" w:color="auto"/>
                    <w:right w:val="none" w:sz="0" w:space="0" w:color="auto"/>
                  </w:divBdr>
                  <w:divsChild>
                    <w:div w:id="1159537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2269078">
          <w:marLeft w:val="0"/>
          <w:marRight w:val="0"/>
          <w:marTop w:val="0"/>
          <w:marBottom w:val="0"/>
          <w:divBdr>
            <w:top w:val="none" w:sz="0" w:space="0" w:color="auto"/>
            <w:left w:val="none" w:sz="0" w:space="0" w:color="auto"/>
            <w:bottom w:val="none" w:sz="0" w:space="0" w:color="auto"/>
            <w:right w:val="none" w:sz="0" w:space="0" w:color="auto"/>
          </w:divBdr>
        </w:div>
        <w:div w:id="61024011">
          <w:marLeft w:val="0"/>
          <w:marRight w:val="0"/>
          <w:marTop w:val="0"/>
          <w:marBottom w:val="0"/>
          <w:divBdr>
            <w:top w:val="none" w:sz="0" w:space="0" w:color="auto"/>
            <w:left w:val="none" w:sz="0" w:space="0" w:color="auto"/>
            <w:bottom w:val="none" w:sz="0" w:space="0" w:color="auto"/>
            <w:right w:val="none" w:sz="0" w:space="0" w:color="auto"/>
          </w:divBdr>
        </w:div>
        <w:div w:id="1885409571">
          <w:marLeft w:val="0"/>
          <w:marRight w:val="0"/>
          <w:marTop w:val="0"/>
          <w:marBottom w:val="0"/>
          <w:divBdr>
            <w:top w:val="none" w:sz="0" w:space="0" w:color="auto"/>
            <w:left w:val="none" w:sz="0" w:space="0" w:color="auto"/>
            <w:bottom w:val="none" w:sz="0" w:space="0" w:color="auto"/>
            <w:right w:val="none" w:sz="0" w:space="0" w:color="auto"/>
          </w:divBdr>
        </w:div>
        <w:div w:id="1936934209">
          <w:marLeft w:val="0"/>
          <w:marRight w:val="0"/>
          <w:marTop w:val="0"/>
          <w:marBottom w:val="0"/>
          <w:divBdr>
            <w:top w:val="none" w:sz="0" w:space="0" w:color="auto"/>
            <w:left w:val="none" w:sz="0" w:space="0" w:color="auto"/>
            <w:bottom w:val="none" w:sz="0" w:space="0" w:color="auto"/>
            <w:right w:val="none" w:sz="0" w:space="0" w:color="auto"/>
          </w:divBdr>
        </w:div>
        <w:div w:id="2021007198">
          <w:marLeft w:val="0"/>
          <w:marRight w:val="0"/>
          <w:marTop w:val="0"/>
          <w:marBottom w:val="0"/>
          <w:divBdr>
            <w:top w:val="none" w:sz="0" w:space="0" w:color="auto"/>
            <w:left w:val="none" w:sz="0" w:space="0" w:color="auto"/>
            <w:bottom w:val="none" w:sz="0" w:space="0" w:color="auto"/>
            <w:right w:val="none" w:sz="0" w:space="0" w:color="auto"/>
          </w:divBdr>
        </w:div>
        <w:div w:id="2073698861">
          <w:marLeft w:val="0"/>
          <w:marRight w:val="0"/>
          <w:marTop w:val="0"/>
          <w:marBottom w:val="0"/>
          <w:divBdr>
            <w:top w:val="none" w:sz="0" w:space="0" w:color="auto"/>
            <w:left w:val="none" w:sz="0" w:space="0" w:color="auto"/>
            <w:bottom w:val="none" w:sz="0" w:space="0" w:color="auto"/>
            <w:right w:val="none" w:sz="0" w:space="0" w:color="auto"/>
          </w:divBdr>
          <w:divsChild>
            <w:div w:id="1494759875">
              <w:marLeft w:val="-75"/>
              <w:marRight w:val="0"/>
              <w:marTop w:val="30"/>
              <w:marBottom w:val="30"/>
              <w:divBdr>
                <w:top w:val="none" w:sz="0" w:space="0" w:color="auto"/>
                <w:left w:val="none" w:sz="0" w:space="0" w:color="auto"/>
                <w:bottom w:val="none" w:sz="0" w:space="0" w:color="auto"/>
                <w:right w:val="none" w:sz="0" w:space="0" w:color="auto"/>
              </w:divBdr>
              <w:divsChild>
                <w:div w:id="1483083368">
                  <w:marLeft w:val="0"/>
                  <w:marRight w:val="0"/>
                  <w:marTop w:val="0"/>
                  <w:marBottom w:val="0"/>
                  <w:divBdr>
                    <w:top w:val="none" w:sz="0" w:space="0" w:color="auto"/>
                    <w:left w:val="none" w:sz="0" w:space="0" w:color="auto"/>
                    <w:bottom w:val="none" w:sz="0" w:space="0" w:color="auto"/>
                    <w:right w:val="none" w:sz="0" w:space="0" w:color="auto"/>
                  </w:divBdr>
                  <w:divsChild>
                    <w:div w:id="1806578487">
                      <w:marLeft w:val="0"/>
                      <w:marRight w:val="0"/>
                      <w:marTop w:val="0"/>
                      <w:marBottom w:val="0"/>
                      <w:divBdr>
                        <w:top w:val="none" w:sz="0" w:space="0" w:color="auto"/>
                        <w:left w:val="none" w:sz="0" w:space="0" w:color="auto"/>
                        <w:bottom w:val="none" w:sz="0" w:space="0" w:color="auto"/>
                        <w:right w:val="none" w:sz="0" w:space="0" w:color="auto"/>
                      </w:divBdr>
                    </w:div>
                  </w:divsChild>
                </w:div>
                <w:div w:id="1843661185">
                  <w:marLeft w:val="0"/>
                  <w:marRight w:val="0"/>
                  <w:marTop w:val="0"/>
                  <w:marBottom w:val="0"/>
                  <w:divBdr>
                    <w:top w:val="none" w:sz="0" w:space="0" w:color="auto"/>
                    <w:left w:val="none" w:sz="0" w:space="0" w:color="auto"/>
                    <w:bottom w:val="none" w:sz="0" w:space="0" w:color="auto"/>
                    <w:right w:val="none" w:sz="0" w:space="0" w:color="auto"/>
                  </w:divBdr>
                  <w:divsChild>
                    <w:div w:id="1152715096">
                      <w:marLeft w:val="0"/>
                      <w:marRight w:val="0"/>
                      <w:marTop w:val="0"/>
                      <w:marBottom w:val="0"/>
                      <w:divBdr>
                        <w:top w:val="none" w:sz="0" w:space="0" w:color="auto"/>
                        <w:left w:val="none" w:sz="0" w:space="0" w:color="auto"/>
                        <w:bottom w:val="none" w:sz="0" w:space="0" w:color="auto"/>
                        <w:right w:val="none" w:sz="0" w:space="0" w:color="auto"/>
                      </w:divBdr>
                    </w:div>
                  </w:divsChild>
                </w:div>
                <w:div w:id="345521997">
                  <w:marLeft w:val="0"/>
                  <w:marRight w:val="0"/>
                  <w:marTop w:val="0"/>
                  <w:marBottom w:val="0"/>
                  <w:divBdr>
                    <w:top w:val="none" w:sz="0" w:space="0" w:color="auto"/>
                    <w:left w:val="none" w:sz="0" w:space="0" w:color="auto"/>
                    <w:bottom w:val="none" w:sz="0" w:space="0" w:color="auto"/>
                    <w:right w:val="none" w:sz="0" w:space="0" w:color="auto"/>
                  </w:divBdr>
                  <w:divsChild>
                    <w:div w:id="383337831">
                      <w:marLeft w:val="0"/>
                      <w:marRight w:val="0"/>
                      <w:marTop w:val="0"/>
                      <w:marBottom w:val="0"/>
                      <w:divBdr>
                        <w:top w:val="none" w:sz="0" w:space="0" w:color="auto"/>
                        <w:left w:val="none" w:sz="0" w:space="0" w:color="auto"/>
                        <w:bottom w:val="none" w:sz="0" w:space="0" w:color="auto"/>
                        <w:right w:val="none" w:sz="0" w:space="0" w:color="auto"/>
                      </w:divBdr>
                    </w:div>
                  </w:divsChild>
                </w:div>
                <w:div w:id="1399086702">
                  <w:marLeft w:val="0"/>
                  <w:marRight w:val="0"/>
                  <w:marTop w:val="0"/>
                  <w:marBottom w:val="0"/>
                  <w:divBdr>
                    <w:top w:val="none" w:sz="0" w:space="0" w:color="auto"/>
                    <w:left w:val="none" w:sz="0" w:space="0" w:color="auto"/>
                    <w:bottom w:val="none" w:sz="0" w:space="0" w:color="auto"/>
                    <w:right w:val="none" w:sz="0" w:space="0" w:color="auto"/>
                  </w:divBdr>
                  <w:divsChild>
                    <w:div w:id="127169446">
                      <w:marLeft w:val="0"/>
                      <w:marRight w:val="0"/>
                      <w:marTop w:val="0"/>
                      <w:marBottom w:val="0"/>
                      <w:divBdr>
                        <w:top w:val="none" w:sz="0" w:space="0" w:color="auto"/>
                        <w:left w:val="none" w:sz="0" w:space="0" w:color="auto"/>
                        <w:bottom w:val="none" w:sz="0" w:space="0" w:color="auto"/>
                        <w:right w:val="none" w:sz="0" w:space="0" w:color="auto"/>
                      </w:divBdr>
                    </w:div>
                  </w:divsChild>
                </w:div>
                <w:div w:id="1767770374">
                  <w:marLeft w:val="0"/>
                  <w:marRight w:val="0"/>
                  <w:marTop w:val="0"/>
                  <w:marBottom w:val="0"/>
                  <w:divBdr>
                    <w:top w:val="none" w:sz="0" w:space="0" w:color="auto"/>
                    <w:left w:val="none" w:sz="0" w:space="0" w:color="auto"/>
                    <w:bottom w:val="none" w:sz="0" w:space="0" w:color="auto"/>
                    <w:right w:val="none" w:sz="0" w:space="0" w:color="auto"/>
                  </w:divBdr>
                  <w:divsChild>
                    <w:div w:id="1252393496">
                      <w:marLeft w:val="0"/>
                      <w:marRight w:val="0"/>
                      <w:marTop w:val="0"/>
                      <w:marBottom w:val="0"/>
                      <w:divBdr>
                        <w:top w:val="none" w:sz="0" w:space="0" w:color="auto"/>
                        <w:left w:val="none" w:sz="0" w:space="0" w:color="auto"/>
                        <w:bottom w:val="none" w:sz="0" w:space="0" w:color="auto"/>
                        <w:right w:val="none" w:sz="0" w:space="0" w:color="auto"/>
                      </w:divBdr>
                    </w:div>
                  </w:divsChild>
                </w:div>
                <w:div w:id="2124182960">
                  <w:marLeft w:val="0"/>
                  <w:marRight w:val="0"/>
                  <w:marTop w:val="0"/>
                  <w:marBottom w:val="0"/>
                  <w:divBdr>
                    <w:top w:val="none" w:sz="0" w:space="0" w:color="auto"/>
                    <w:left w:val="none" w:sz="0" w:space="0" w:color="auto"/>
                    <w:bottom w:val="none" w:sz="0" w:space="0" w:color="auto"/>
                    <w:right w:val="none" w:sz="0" w:space="0" w:color="auto"/>
                  </w:divBdr>
                  <w:divsChild>
                    <w:div w:id="951741180">
                      <w:marLeft w:val="0"/>
                      <w:marRight w:val="0"/>
                      <w:marTop w:val="0"/>
                      <w:marBottom w:val="0"/>
                      <w:divBdr>
                        <w:top w:val="none" w:sz="0" w:space="0" w:color="auto"/>
                        <w:left w:val="none" w:sz="0" w:space="0" w:color="auto"/>
                        <w:bottom w:val="none" w:sz="0" w:space="0" w:color="auto"/>
                        <w:right w:val="none" w:sz="0" w:space="0" w:color="auto"/>
                      </w:divBdr>
                    </w:div>
                  </w:divsChild>
                </w:div>
                <w:div w:id="1276595720">
                  <w:marLeft w:val="0"/>
                  <w:marRight w:val="0"/>
                  <w:marTop w:val="0"/>
                  <w:marBottom w:val="0"/>
                  <w:divBdr>
                    <w:top w:val="none" w:sz="0" w:space="0" w:color="auto"/>
                    <w:left w:val="none" w:sz="0" w:space="0" w:color="auto"/>
                    <w:bottom w:val="none" w:sz="0" w:space="0" w:color="auto"/>
                    <w:right w:val="none" w:sz="0" w:space="0" w:color="auto"/>
                  </w:divBdr>
                  <w:divsChild>
                    <w:div w:id="385253220">
                      <w:marLeft w:val="0"/>
                      <w:marRight w:val="0"/>
                      <w:marTop w:val="0"/>
                      <w:marBottom w:val="0"/>
                      <w:divBdr>
                        <w:top w:val="none" w:sz="0" w:space="0" w:color="auto"/>
                        <w:left w:val="none" w:sz="0" w:space="0" w:color="auto"/>
                        <w:bottom w:val="none" w:sz="0" w:space="0" w:color="auto"/>
                        <w:right w:val="none" w:sz="0" w:space="0" w:color="auto"/>
                      </w:divBdr>
                    </w:div>
                  </w:divsChild>
                </w:div>
                <w:div w:id="958099253">
                  <w:marLeft w:val="0"/>
                  <w:marRight w:val="0"/>
                  <w:marTop w:val="0"/>
                  <w:marBottom w:val="0"/>
                  <w:divBdr>
                    <w:top w:val="none" w:sz="0" w:space="0" w:color="auto"/>
                    <w:left w:val="none" w:sz="0" w:space="0" w:color="auto"/>
                    <w:bottom w:val="none" w:sz="0" w:space="0" w:color="auto"/>
                    <w:right w:val="none" w:sz="0" w:space="0" w:color="auto"/>
                  </w:divBdr>
                  <w:divsChild>
                    <w:div w:id="395591709">
                      <w:marLeft w:val="0"/>
                      <w:marRight w:val="0"/>
                      <w:marTop w:val="0"/>
                      <w:marBottom w:val="0"/>
                      <w:divBdr>
                        <w:top w:val="none" w:sz="0" w:space="0" w:color="auto"/>
                        <w:left w:val="none" w:sz="0" w:space="0" w:color="auto"/>
                        <w:bottom w:val="none" w:sz="0" w:space="0" w:color="auto"/>
                        <w:right w:val="none" w:sz="0" w:space="0" w:color="auto"/>
                      </w:divBdr>
                    </w:div>
                  </w:divsChild>
                </w:div>
                <w:div w:id="363360907">
                  <w:marLeft w:val="0"/>
                  <w:marRight w:val="0"/>
                  <w:marTop w:val="0"/>
                  <w:marBottom w:val="0"/>
                  <w:divBdr>
                    <w:top w:val="none" w:sz="0" w:space="0" w:color="auto"/>
                    <w:left w:val="none" w:sz="0" w:space="0" w:color="auto"/>
                    <w:bottom w:val="none" w:sz="0" w:space="0" w:color="auto"/>
                    <w:right w:val="none" w:sz="0" w:space="0" w:color="auto"/>
                  </w:divBdr>
                  <w:divsChild>
                    <w:div w:id="2104718745">
                      <w:marLeft w:val="0"/>
                      <w:marRight w:val="0"/>
                      <w:marTop w:val="0"/>
                      <w:marBottom w:val="0"/>
                      <w:divBdr>
                        <w:top w:val="none" w:sz="0" w:space="0" w:color="auto"/>
                        <w:left w:val="none" w:sz="0" w:space="0" w:color="auto"/>
                        <w:bottom w:val="none" w:sz="0" w:space="0" w:color="auto"/>
                        <w:right w:val="none" w:sz="0" w:space="0" w:color="auto"/>
                      </w:divBdr>
                    </w:div>
                  </w:divsChild>
                </w:div>
                <w:div w:id="732119413">
                  <w:marLeft w:val="0"/>
                  <w:marRight w:val="0"/>
                  <w:marTop w:val="0"/>
                  <w:marBottom w:val="0"/>
                  <w:divBdr>
                    <w:top w:val="none" w:sz="0" w:space="0" w:color="auto"/>
                    <w:left w:val="none" w:sz="0" w:space="0" w:color="auto"/>
                    <w:bottom w:val="none" w:sz="0" w:space="0" w:color="auto"/>
                    <w:right w:val="none" w:sz="0" w:space="0" w:color="auto"/>
                  </w:divBdr>
                  <w:divsChild>
                    <w:div w:id="1871608121">
                      <w:marLeft w:val="0"/>
                      <w:marRight w:val="0"/>
                      <w:marTop w:val="0"/>
                      <w:marBottom w:val="0"/>
                      <w:divBdr>
                        <w:top w:val="none" w:sz="0" w:space="0" w:color="auto"/>
                        <w:left w:val="none" w:sz="0" w:space="0" w:color="auto"/>
                        <w:bottom w:val="none" w:sz="0" w:space="0" w:color="auto"/>
                        <w:right w:val="none" w:sz="0" w:space="0" w:color="auto"/>
                      </w:divBdr>
                    </w:div>
                  </w:divsChild>
                </w:div>
                <w:div w:id="174154822">
                  <w:marLeft w:val="0"/>
                  <w:marRight w:val="0"/>
                  <w:marTop w:val="0"/>
                  <w:marBottom w:val="0"/>
                  <w:divBdr>
                    <w:top w:val="none" w:sz="0" w:space="0" w:color="auto"/>
                    <w:left w:val="none" w:sz="0" w:space="0" w:color="auto"/>
                    <w:bottom w:val="none" w:sz="0" w:space="0" w:color="auto"/>
                    <w:right w:val="none" w:sz="0" w:space="0" w:color="auto"/>
                  </w:divBdr>
                  <w:divsChild>
                    <w:div w:id="1024479007">
                      <w:marLeft w:val="0"/>
                      <w:marRight w:val="0"/>
                      <w:marTop w:val="0"/>
                      <w:marBottom w:val="0"/>
                      <w:divBdr>
                        <w:top w:val="none" w:sz="0" w:space="0" w:color="auto"/>
                        <w:left w:val="none" w:sz="0" w:space="0" w:color="auto"/>
                        <w:bottom w:val="none" w:sz="0" w:space="0" w:color="auto"/>
                        <w:right w:val="none" w:sz="0" w:space="0" w:color="auto"/>
                      </w:divBdr>
                    </w:div>
                  </w:divsChild>
                </w:div>
                <w:div w:id="447894299">
                  <w:marLeft w:val="0"/>
                  <w:marRight w:val="0"/>
                  <w:marTop w:val="0"/>
                  <w:marBottom w:val="0"/>
                  <w:divBdr>
                    <w:top w:val="none" w:sz="0" w:space="0" w:color="auto"/>
                    <w:left w:val="none" w:sz="0" w:space="0" w:color="auto"/>
                    <w:bottom w:val="none" w:sz="0" w:space="0" w:color="auto"/>
                    <w:right w:val="none" w:sz="0" w:space="0" w:color="auto"/>
                  </w:divBdr>
                  <w:divsChild>
                    <w:div w:id="82143940">
                      <w:marLeft w:val="0"/>
                      <w:marRight w:val="0"/>
                      <w:marTop w:val="0"/>
                      <w:marBottom w:val="0"/>
                      <w:divBdr>
                        <w:top w:val="none" w:sz="0" w:space="0" w:color="auto"/>
                        <w:left w:val="none" w:sz="0" w:space="0" w:color="auto"/>
                        <w:bottom w:val="none" w:sz="0" w:space="0" w:color="auto"/>
                        <w:right w:val="none" w:sz="0" w:space="0" w:color="auto"/>
                      </w:divBdr>
                    </w:div>
                  </w:divsChild>
                </w:div>
                <w:div w:id="131294643">
                  <w:marLeft w:val="0"/>
                  <w:marRight w:val="0"/>
                  <w:marTop w:val="0"/>
                  <w:marBottom w:val="0"/>
                  <w:divBdr>
                    <w:top w:val="none" w:sz="0" w:space="0" w:color="auto"/>
                    <w:left w:val="none" w:sz="0" w:space="0" w:color="auto"/>
                    <w:bottom w:val="none" w:sz="0" w:space="0" w:color="auto"/>
                    <w:right w:val="none" w:sz="0" w:space="0" w:color="auto"/>
                  </w:divBdr>
                  <w:divsChild>
                    <w:div w:id="1090008081">
                      <w:marLeft w:val="0"/>
                      <w:marRight w:val="0"/>
                      <w:marTop w:val="0"/>
                      <w:marBottom w:val="0"/>
                      <w:divBdr>
                        <w:top w:val="none" w:sz="0" w:space="0" w:color="auto"/>
                        <w:left w:val="none" w:sz="0" w:space="0" w:color="auto"/>
                        <w:bottom w:val="none" w:sz="0" w:space="0" w:color="auto"/>
                        <w:right w:val="none" w:sz="0" w:space="0" w:color="auto"/>
                      </w:divBdr>
                    </w:div>
                  </w:divsChild>
                </w:div>
                <w:div w:id="2022584947">
                  <w:marLeft w:val="0"/>
                  <w:marRight w:val="0"/>
                  <w:marTop w:val="0"/>
                  <w:marBottom w:val="0"/>
                  <w:divBdr>
                    <w:top w:val="none" w:sz="0" w:space="0" w:color="auto"/>
                    <w:left w:val="none" w:sz="0" w:space="0" w:color="auto"/>
                    <w:bottom w:val="none" w:sz="0" w:space="0" w:color="auto"/>
                    <w:right w:val="none" w:sz="0" w:space="0" w:color="auto"/>
                  </w:divBdr>
                  <w:divsChild>
                    <w:div w:id="421803919">
                      <w:marLeft w:val="0"/>
                      <w:marRight w:val="0"/>
                      <w:marTop w:val="0"/>
                      <w:marBottom w:val="0"/>
                      <w:divBdr>
                        <w:top w:val="none" w:sz="0" w:space="0" w:color="auto"/>
                        <w:left w:val="none" w:sz="0" w:space="0" w:color="auto"/>
                        <w:bottom w:val="none" w:sz="0" w:space="0" w:color="auto"/>
                        <w:right w:val="none" w:sz="0" w:space="0" w:color="auto"/>
                      </w:divBdr>
                    </w:div>
                  </w:divsChild>
                </w:div>
                <w:div w:id="259605174">
                  <w:marLeft w:val="0"/>
                  <w:marRight w:val="0"/>
                  <w:marTop w:val="0"/>
                  <w:marBottom w:val="0"/>
                  <w:divBdr>
                    <w:top w:val="none" w:sz="0" w:space="0" w:color="auto"/>
                    <w:left w:val="none" w:sz="0" w:space="0" w:color="auto"/>
                    <w:bottom w:val="none" w:sz="0" w:space="0" w:color="auto"/>
                    <w:right w:val="none" w:sz="0" w:space="0" w:color="auto"/>
                  </w:divBdr>
                  <w:divsChild>
                    <w:div w:id="106002871">
                      <w:marLeft w:val="0"/>
                      <w:marRight w:val="0"/>
                      <w:marTop w:val="0"/>
                      <w:marBottom w:val="0"/>
                      <w:divBdr>
                        <w:top w:val="none" w:sz="0" w:space="0" w:color="auto"/>
                        <w:left w:val="none" w:sz="0" w:space="0" w:color="auto"/>
                        <w:bottom w:val="none" w:sz="0" w:space="0" w:color="auto"/>
                        <w:right w:val="none" w:sz="0" w:space="0" w:color="auto"/>
                      </w:divBdr>
                    </w:div>
                  </w:divsChild>
                </w:div>
                <w:div w:id="241645347">
                  <w:marLeft w:val="0"/>
                  <w:marRight w:val="0"/>
                  <w:marTop w:val="0"/>
                  <w:marBottom w:val="0"/>
                  <w:divBdr>
                    <w:top w:val="none" w:sz="0" w:space="0" w:color="auto"/>
                    <w:left w:val="none" w:sz="0" w:space="0" w:color="auto"/>
                    <w:bottom w:val="none" w:sz="0" w:space="0" w:color="auto"/>
                    <w:right w:val="none" w:sz="0" w:space="0" w:color="auto"/>
                  </w:divBdr>
                  <w:divsChild>
                    <w:div w:id="1317414645">
                      <w:marLeft w:val="0"/>
                      <w:marRight w:val="0"/>
                      <w:marTop w:val="0"/>
                      <w:marBottom w:val="0"/>
                      <w:divBdr>
                        <w:top w:val="none" w:sz="0" w:space="0" w:color="auto"/>
                        <w:left w:val="none" w:sz="0" w:space="0" w:color="auto"/>
                        <w:bottom w:val="none" w:sz="0" w:space="0" w:color="auto"/>
                        <w:right w:val="none" w:sz="0" w:space="0" w:color="auto"/>
                      </w:divBdr>
                    </w:div>
                  </w:divsChild>
                </w:div>
                <w:div w:id="127355455">
                  <w:marLeft w:val="0"/>
                  <w:marRight w:val="0"/>
                  <w:marTop w:val="0"/>
                  <w:marBottom w:val="0"/>
                  <w:divBdr>
                    <w:top w:val="none" w:sz="0" w:space="0" w:color="auto"/>
                    <w:left w:val="none" w:sz="0" w:space="0" w:color="auto"/>
                    <w:bottom w:val="none" w:sz="0" w:space="0" w:color="auto"/>
                    <w:right w:val="none" w:sz="0" w:space="0" w:color="auto"/>
                  </w:divBdr>
                  <w:divsChild>
                    <w:div w:id="1094472750">
                      <w:marLeft w:val="0"/>
                      <w:marRight w:val="0"/>
                      <w:marTop w:val="0"/>
                      <w:marBottom w:val="0"/>
                      <w:divBdr>
                        <w:top w:val="none" w:sz="0" w:space="0" w:color="auto"/>
                        <w:left w:val="none" w:sz="0" w:space="0" w:color="auto"/>
                        <w:bottom w:val="none" w:sz="0" w:space="0" w:color="auto"/>
                        <w:right w:val="none" w:sz="0" w:space="0" w:color="auto"/>
                      </w:divBdr>
                    </w:div>
                  </w:divsChild>
                </w:div>
                <w:div w:id="1245988873">
                  <w:marLeft w:val="0"/>
                  <w:marRight w:val="0"/>
                  <w:marTop w:val="0"/>
                  <w:marBottom w:val="0"/>
                  <w:divBdr>
                    <w:top w:val="none" w:sz="0" w:space="0" w:color="auto"/>
                    <w:left w:val="none" w:sz="0" w:space="0" w:color="auto"/>
                    <w:bottom w:val="none" w:sz="0" w:space="0" w:color="auto"/>
                    <w:right w:val="none" w:sz="0" w:space="0" w:color="auto"/>
                  </w:divBdr>
                  <w:divsChild>
                    <w:div w:id="1594822555">
                      <w:marLeft w:val="0"/>
                      <w:marRight w:val="0"/>
                      <w:marTop w:val="0"/>
                      <w:marBottom w:val="0"/>
                      <w:divBdr>
                        <w:top w:val="none" w:sz="0" w:space="0" w:color="auto"/>
                        <w:left w:val="none" w:sz="0" w:space="0" w:color="auto"/>
                        <w:bottom w:val="none" w:sz="0" w:space="0" w:color="auto"/>
                        <w:right w:val="none" w:sz="0" w:space="0" w:color="auto"/>
                      </w:divBdr>
                    </w:div>
                  </w:divsChild>
                </w:div>
                <w:div w:id="356974942">
                  <w:marLeft w:val="0"/>
                  <w:marRight w:val="0"/>
                  <w:marTop w:val="0"/>
                  <w:marBottom w:val="0"/>
                  <w:divBdr>
                    <w:top w:val="none" w:sz="0" w:space="0" w:color="auto"/>
                    <w:left w:val="none" w:sz="0" w:space="0" w:color="auto"/>
                    <w:bottom w:val="none" w:sz="0" w:space="0" w:color="auto"/>
                    <w:right w:val="none" w:sz="0" w:space="0" w:color="auto"/>
                  </w:divBdr>
                  <w:divsChild>
                    <w:div w:id="648676703">
                      <w:marLeft w:val="0"/>
                      <w:marRight w:val="0"/>
                      <w:marTop w:val="0"/>
                      <w:marBottom w:val="0"/>
                      <w:divBdr>
                        <w:top w:val="none" w:sz="0" w:space="0" w:color="auto"/>
                        <w:left w:val="none" w:sz="0" w:space="0" w:color="auto"/>
                        <w:bottom w:val="none" w:sz="0" w:space="0" w:color="auto"/>
                        <w:right w:val="none" w:sz="0" w:space="0" w:color="auto"/>
                      </w:divBdr>
                    </w:div>
                  </w:divsChild>
                </w:div>
                <w:div w:id="1327830134">
                  <w:marLeft w:val="0"/>
                  <w:marRight w:val="0"/>
                  <w:marTop w:val="0"/>
                  <w:marBottom w:val="0"/>
                  <w:divBdr>
                    <w:top w:val="none" w:sz="0" w:space="0" w:color="auto"/>
                    <w:left w:val="none" w:sz="0" w:space="0" w:color="auto"/>
                    <w:bottom w:val="none" w:sz="0" w:space="0" w:color="auto"/>
                    <w:right w:val="none" w:sz="0" w:space="0" w:color="auto"/>
                  </w:divBdr>
                  <w:divsChild>
                    <w:div w:id="217908343">
                      <w:marLeft w:val="0"/>
                      <w:marRight w:val="0"/>
                      <w:marTop w:val="0"/>
                      <w:marBottom w:val="0"/>
                      <w:divBdr>
                        <w:top w:val="none" w:sz="0" w:space="0" w:color="auto"/>
                        <w:left w:val="none" w:sz="0" w:space="0" w:color="auto"/>
                        <w:bottom w:val="none" w:sz="0" w:space="0" w:color="auto"/>
                        <w:right w:val="none" w:sz="0" w:space="0" w:color="auto"/>
                      </w:divBdr>
                    </w:div>
                  </w:divsChild>
                </w:div>
                <w:div w:id="509678743">
                  <w:marLeft w:val="0"/>
                  <w:marRight w:val="0"/>
                  <w:marTop w:val="0"/>
                  <w:marBottom w:val="0"/>
                  <w:divBdr>
                    <w:top w:val="none" w:sz="0" w:space="0" w:color="auto"/>
                    <w:left w:val="none" w:sz="0" w:space="0" w:color="auto"/>
                    <w:bottom w:val="none" w:sz="0" w:space="0" w:color="auto"/>
                    <w:right w:val="none" w:sz="0" w:space="0" w:color="auto"/>
                  </w:divBdr>
                  <w:divsChild>
                    <w:div w:id="77754737">
                      <w:marLeft w:val="0"/>
                      <w:marRight w:val="0"/>
                      <w:marTop w:val="0"/>
                      <w:marBottom w:val="0"/>
                      <w:divBdr>
                        <w:top w:val="none" w:sz="0" w:space="0" w:color="auto"/>
                        <w:left w:val="none" w:sz="0" w:space="0" w:color="auto"/>
                        <w:bottom w:val="none" w:sz="0" w:space="0" w:color="auto"/>
                        <w:right w:val="none" w:sz="0" w:space="0" w:color="auto"/>
                      </w:divBdr>
                    </w:div>
                  </w:divsChild>
                </w:div>
                <w:div w:id="1498034319">
                  <w:marLeft w:val="0"/>
                  <w:marRight w:val="0"/>
                  <w:marTop w:val="0"/>
                  <w:marBottom w:val="0"/>
                  <w:divBdr>
                    <w:top w:val="none" w:sz="0" w:space="0" w:color="auto"/>
                    <w:left w:val="none" w:sz="0" w:space="0" w:color="auto"/>
                    <w:bottom w:val="none" w:sz="0" w:space="0" w:color="auto"/>
                    <w:right w:val="none" w:sz="0" w:space="0" w:color="auto"/>
                  </w:divBdr>
                  <w:divsChild>
                    <w:div w:id="1820994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6483154">
          <w:marLeft w:val="0"/>
          <w:marRight w:val="0"/>
          <w:marTop w:val="0"/>
          <w:marBottom w:val="0"/>
          <w:divBdr>
            <w:top w:val="none" w:sz="0" w:space="0" w:color="auto"/>
            <w:left w:val="none" w:sz="0" w:space="0" w:color="auto"/>
            <w:bottom w:val="none" w:sz="0" w:space="0" w:color="auto"/>
            <w:right w:val="none" w:sz="0" w:space="0" w:color="auto"/>
          </w:divBdr>
        </w:div>
        <w:div w:id="1559047418">
          <w:marLeft w:val="0"/>
          <w:marRight w:val="0"/>
          <w:marTop w:val="0"/>
          <w:marBottom w:val="0"/>
          <w:divBdr>
            <w:top w:val="none" w:sz="0" w:space="0" w:color="auto"/>
            <w:left w:val="none" w:sz="0" w:space="0" w:color="auto"/>
            <w:bottom w:val="none" w:sz="0" w:space="0" w:color="auto"/>
            <w:right w:val="none" w:sz="0" w:space="0" w:color="auto"/>
          </w:divBdr>
        </w:div>
        <w:div w:id="211507622">
          <w:marLeft w:val="0"/>
          <w:marRight w:val="0"/>
          <w:marTop w:val="0"/>
          <w:marBottom w:val="0"/>
          <w:divBdr>
            <w:top w:val="none" w:sz="0" w:space="0" w:color="auto"/>
            <w:left w:val="none" w:sz="0" w:space="0" w:color="auto"/>
            <w:bottom w:val="none" w:sz="0" w:space="0" w:color="auto"/>
            <w:right w:val="none" w:sz="0" w:space="0" w:color="auto"/>
          </w:divBdr>
        </w:div>
        <w:div w:id="1491827150">
          <w:marLeft w:val="0"/>
          <w:marRight w:val="0"/>
          <w:marTop w:val="0"/>
          <w:marBottom w:val="0"/>
          <w:divBdr>
            <w:top w:val="none" w:sz="0" w:space="0" w:color="auto"/>
            <w:left w:val="none" w:sz="0" w:space="0" w:color="auto"/>
            <w:bottom w:val="none" w:sz="0" w:space="0" w:color="auto"/>
            <w:right w:val="none" w:sz="0" w:space="0" w:color="auto"/>
          </w:divBdr>
          <w:divsChild>
            <w:div w:id="821773713">
              <w:marLeft w:val="-75"/>
              <w:marRight w:val="0"/>
              <w:marTop w:val="30"/>
              <w:marBottom w:val="30"/>
              <w:divBdr>
                <w:top w:val="none" w:sz="0" w:space="0" w:color="auto"/>
                <w:left w:val="none" w:sz="0" w:space="0" w:color="auto"/>
                <w:bottom w:val="none" w:sz="0" w:space="0" w:color="auto"/>
                <w:right w:val="none" w:sz="0" w:space="0" w:color="auto"/>
              </w:divBdr>
              <w:divsChild>
                <w:div w:id="1749766320">
                  <w:marLeft w:val="0"/>
                  <w:marRight w:val="0"/>
                  <w:marTop w:val="0"/>
                  <w:marBottom w:val="0"/>
                  <w:divBdr>
                    <w:top w:val="none" w:sz="0" w:space="0" w:color="auto"/>
                    <w:left w:val="none" w:sz="0" w:space="0" w:color="auto"/>
                    <w:bottom w:val="none" w:sz="0" w:space="0" w:color="auto"/>
                    <w:right w:val="none" w:sz="0" w:space="0" w:color="auto"/>
                  </w:divBdr>
                  <w:divsChild>
                    <w:div w:id="1443181421">
                      <w:marLeft w:val="0"/>
                      <w:marRight w:val="0"/>
                      <w:marTop w:val="0"/>
                      <w:marBottom w:val="0"/>
                      <w:divBdr>
                        <w:top w:val="none" w:sz="0" w:space="0" w:color="auto"/>
                        <w:left w:val="none" w:sz="0" w:space="0" w:color="auto"/>
                        <w:bottom w:val="none" w:sz="0" w:space="0" w:color="auto"/>
                        <w:right w:val="none" w:sz="0" w:space="0" w:color="auto"/>
                      </w:divBdr>
                    </w:div>
                  </w:divsChild>
                </w:div>
                <w:div w:id="78869886">
                  <w:marLeft w:val="0"/>
                  <w:marRight w:val="0"/>
                  <w:marTop w:val="0"/>
                  <w:marBottom w:val="0"/>
                  <w:divBdr>
                    <w:top w:val="none" w:sz="0" w:space="0" w:color="auto"/>
                    <w:left w:val="none" w:sz="0" w:space="0" w:color="auto"/>
                    <w:bottom w:val="none" w:sz="0" w:space="0" w:color="auto"/>
                    <w:right w:val="none" w:sz="0" w:space="0" w:color="auto"/>
                  </w:divBdr>
                  <w:divsChild>
                    <w:div w:id="151070196">
                      <w:marLeft w:val="0"/>
                      <w:marRight w:val="0"/>
                      <w:marTop w:val="0"/>
                      <w:marBottom w:val="0"/>
                      <w:divBdr>
                        <w:top w:val="none" w:sz="0" w:space="0" w:color="auto"/>
                        <w:left w:val="none" w:sz="0" w:space="0" w:color="auto"/>
                        <w:bottom w:val="none" w:sz="0" w:space="0" w:color="auto"/>
                        <w:right w:val="none" w:sz="0" w:space="0" w:color="auto"/>
                      </w:divBdr>
                    </w:div>
                  </w:divsChild>
                </w:div>
                <w:div w:id="1994334132">
                  <w:marLeft w:val="0"/>
                  <w:marRight w:val="0"/>
                  <w:marTop w:val="0"/>
                  <w:marBottom w:val="0"/>
                  <w:divBdr>
                    <w:top w:val="none" w:sz="0" w:space="0" w:color="auto"/>
                    <w:left w:val="none" w:sz="0" w:space="0" w:color="auto"/>
                    <w:bottom w:val="none" w:sz="0" w:space="0" w:color="auto"/>
                    <w:right w:val="none" w:sz="0" w:space="0" w:color="auto"/>
                  </w:divBdr>
                  <w:divsChild>
                    <w:div w:id="2064331969">
                      <w:marLeft w:val="0"/>
                      <w:marRight w:val="0"/>
                      <w:marTop w:val="0"/>
                      <w:marBottom w:val="0"/>
                      <w:divBdr>
                        <w:top w:val="none" w:sz="0" w:space="0" w:color="auto"/>
                        <w:left w:val="none" w:sz="0" w:space="0" w:color="auto"/>
                        <w:bottom w:val="none" w:sz="0" w:space="0" w:color="auto"/>
                        <w:right w:val="none" w:sz="0" w:space="0" w:color="auto"/>
                      </w:divBdr>
                    </w:div>
                  </w:divsChild>
                </w:div>
                <w:div w:id="698356949">
                  <w:marLeft w:val="0"/>
                  <w:marRight w:val="0"/>
                  <w:marTop w:val="0"/>
                  <w:marBottom w:val="0"/>
                  <w:divBdr>
                    <w:top w:val="none" w:sz="0" w:space="0" w:color="auto"/>
                    <w:left w:val="none" w:sz="0" w:space="0" w:color="auto"/>
                    <w:bottom w:val="none" w:sz="0" w:space="0" w:color="auto"/>
                    <w:right w:val="none" w:sz="0" w:space="0" w:color="auto"/>
                  </w:divBdr>
                  <w:divsChild>
                    <w:div w:id="1223518587">
                      <w:marLeft w:val="0"/>
                      <w:marRight w:val="0"/>
                      <w:marTop w:val="0"/>
                      <w:marBottom w:val="0"/>
                      <w:divBdr>
                        <w:top w:val="none" w:sz="0" w:space="0" w:color="auto"/>
                        <w:left w:val="none" w:sz="0" w:space="0" w:color="auto"/>
                        <w:bottom w:val="none" w:sz="0" w:space="0" w:color="auto"/>
                        <w:right w:val="none" w:sz="0" w:space="0" w:color="auto"/>
                      </w:divBdr>
                    </w:div>
                  </w:divsChild>
                </w:div>
                <w:div w:id="1566642977">
                  <w:marLeft w:val="0"/>
                  <w:marRight w:val="0"/>
                  <w:marTop w:val="0"/>
                  <w:marBottom w:val="0"/>
                  <w:divBdr>
                    <w:top w:val="none" w:sz="0" w:space="0" w:color="auto"/>
                    <w:left w:val="none" w:sz="0" w:space="0" w:color="auto"/>
                    <w:bottom w:val="none" w:sz="0" w:space="0" w:color="auto"/>
                    <w:right w:val="none" w:sz="0" w:space="0" w:color="auto"/>
                  </w:divBdr>
                  <w:divsChild>
                    <w:div w:id="1097753105">
                      <w:marLeft w:val="0"/>
                      <w:marRight w:val="0"/>
                      <w:marTop w:val="0"/>
                      <w:marBottom w:val="0"/>
                      <w:divBdr>
                        <w:top w:val="none" w:sz="0" w:space="0" w:color="auto"/>
                        <w:left w:val="none" w:sz="0" w:space="0" w:color="auto"/>
                        <w:bottom w:val="none" w:sz="0" w:space="0" w:color="auto"/>
                        <w:right w:val="none" w:sz="0" w:space="0" w:color="auto"/>
                      </w:divBdr>
                    </w:div>
                  </w:divsChild>
                </w:div>
                <w:div w:id="660154463">
                  <w:marLeft w:val="0"/>
                  <w:marRight w:val="0"/>
                  <w:marTop w:val="0"/>
                  <w:marBottom w:val="0"/>
                  <w:divBdr>
                    <w:top w:val="none" w:sz="0" w:space="0" w:color="auto"/>
                    <w:left w:val="none" w:sz="0" w:space="0" w:color="auto"/>
                    <w:bottom w:val="none" w:sz="0" w:space="0" w:color="auto"/>
                    <w:right w:val="none" w:sz="0" w:space="0" w:color="auto"/>
                  </w:divBdr>
                  <w:divsChild>
                    <w:div w:id="1890258579">
                      <w:marLeft w:val="0"/>
                      <w:marRight w:val="0"/>
                      <w:marTop w:val="0"/>
                      <w:marBottom w:val="0"/>
                      <w:divBdr>
                        <w:top w:val="none" w:sz="0" w:space="0" w:color="auto"/>
                        <w:left w:val="none" w:sz="0" w:space="0" w:color="auto"/>
                        <w:bottom w:val="none" w:sz="0" w:space="0" w:color="auto"/>
                        <w:right w:val="none" w:sz="0" w:space="0" w:color="auto"/>
                      </w:divBdr>
                    </w:div>
                  </w:divsChild>
                </w:div>
                <w:div w:id="29578069">
                  <w:marLeft w:val="0"/>
                  <w:marRight w:val="0"/>
                  <w:marTop w:val="0"/>
                  <w:marBottom w:val="0"/>
                  <w:divBdr>
                    <w:top w:val="none" w:sz="0" w:space="0" w:color="auto"/>
                    <w:left w:val="none" w:sz="0" w:space="0" w:color="auto"/>
                    <w:bottom w:val="none" w:sz="0" w:space="0" w:color="auto"/>
                    <w:right w:val="none" w:sz="0" w:space="0" w:color="auto"/>
                  </w:divBdr>
                  <w:divsChild>
                    <w:div w:id="1414665598">
                      <w:marLeft w:val="0"/>
                      <w:marRight w:val="0"/>
                      <w:marTop w:val="0"/>
                      <w:marBottom w:val="0"/>
                      <w:divBdr>
                        <w:top w:val="none" w:sz="0" w:space="0" w:color="auto"/>
                        <w:left w:val="none" w:sz="0" w:space="0" w:color="auto"/>
                        <w:bottom w:val="none" w:sz="0" w:space="0" w:color="auto"/>
                        <w:right w:val="none" w:sz="0" w:space="0" w:color="auto"/>
                      </w:divBdr>
                    </w:div>
                  </w:divsChild>
                </w:div>
                <w:div w:id="464085604">
                  <w:marLeft w:val="0"/>
                  <w:marRight w:val="0"/>
                  <w:marTop w:val="0"/>
                  <w:marBottom w:val="0"/>
                  <w:divBdr>
                    <w:top w:val="none" w:sz="0" w:space="0" w:color="auto"/>
                    <w:left w:val="none" w:sz="0" w:space="0" w:color="auto"/>
                    <w:bottom w:val="none" w:sz="0" w:space="0" w:color="auto"/>
                    <w:right w:val="none" w:sz="0" w:space="0" w:color="auto"/>
                  </w:divBdr>
                  <w:divsChild>
                    <w:div w:id="376903589">
                      <w:marLeft w:val="0"/>
                      <w:marRight w:val="0"/>
                      <w:marTop w:val="0"/>
                      <w:marBottom w:val="0"/>
                      <w:divBdr>
                        <w:top w:val="none" w:sz="0" w:space="0" w:color="auto"/>
                        <w:left w:val="none" w:sz="0" w:space="0" w:color="auto"/>
                        <w:bottom w:val="none" w:sz="0" w:space="0" w:color="auto"/>
                        <w:right w:val="none" w:sz="0" w:space="0" w:color="auto"/>
                      </w:divBdr>
                    </w:div>
                  </w:divsChild>
                </w:div>
                <w:div w:id="1206022582">
                  <w:marLeft w:val="0"/>
                  <w:marRight w:val="0"/>
                  <w:marTop w:val="0"/>
                  <w:marBottom w:val="0"/>
                  <w:divBdr>
                    <w:top w:val="none" w:sz="0" w:space="0" w:color="auto"/>
                    <w:left w:val="none" w:sz="0" w:space="0" w:color="auto"/>
                    <w:bottom w:val="none" w:sz="0" w:space="0" w:color="auto"/>
                    <w:right w:val="none" w:sz="0" w:space="0" w:color="auto"/>
                  </w:divBdr>
                  <w:divsChild>
                    <w:div w:id="1073744555">
                      <w:marLeft w:val="0"/>
                      <w:marRight w:val="0"/>
                      <w:marTop w:val="0"/>
                      <w:marBottom w:val="0"/>
                      <w:divBdr>
                        <w:top w:val="none" w:sz="0" w:space="0" w:color="auto"/>
                        <w:left w:val="none" w:sz="0" w:space="0" w:color="auto"/>
                        <w:bottom w:val="none" w:sz="0" w:space="0" w:color="auto"/>
                        <w:right w:val="none" w:sz="0" w:space="0" w:color="auto"/>
                      </w:divBdr>
                    </w:div>
                  </w:divsChild>
                </w:div>
                <w:div w:id="1755396670">
                  <w:marLeft w:val="0"/>
                  <w:marRight w:val="0"/>
                  <w:marTop w:val="0"/>
                  <w:marBottom w:val="0"/>
                  <w:divBdr>
                    <w:top w:val="none" w:sz="0" w:space="0" w:color="auto"/>
                    <w:left w:val="none" w:sz="0" w:space="0" w:color="auto"/>
                    <w:bottom w:val="none" w:sz="0" w:space="0" w:color="auto"/>
                    <w:right w:val="none" w:sz="0" w:space="0" w:color="auto"/>
                  </w:divBdr>
                  <w:divsChild>
                    <w:div w:id="2081563787">
                      <w:marLeft w:val="0"/>
                      <w:marRight w:val="0"/>
                      <w:marTop w:val="0"/>
                      <w:marBottom w:val="0"/>
                      <w:divBdr>
                        <w:top w:val="none" w:sz="0" w:space="0" w:color="auto"/>
                        <w:left w:val="none" w:sz="0" w:space="0" w:color="auto"/>
                        <w:bottom w:val="none" w:sz="0" w:space="0" w:color="auto"/>
                        <w:right w:val="none" w:sz="0" w:space="0" w:color="auto"/>
                      </w:divBdr>
                    </w:div>
                  </w:divsChild>
                </w:div>
                <w:div w:id="326248519">
                  <w:marLeft w:val="0"/>
                  <w:marRight w:val="0"/>
                  <w:marTop w:val="0"/>
                  <w:marBottom w:val="0"/>
                  <w:divBdr>
                    <w:top w:val="none" w:sz="0" w:space="0" w:color="auto"/>
                    <w:left w:val="none" w:sz="0" w:space="0" w:color="auto"/>
                    <w:bottom w:val="none" w:sz="0" w:space="0" w:color="auto"/>
                    <w:right w:val="none" w:sz="0" w:space="0" w:color="auto"/>
                  </w:divBdr>
                  <w:divsChild>
                    <w:div w:id="1674985984">
                      <w:marLeft w:val="0"/>
                      <w:marRight w:val="0"/>
                      <w:marTop w:val="0"/>
                      <w:marBottom w:val="0"/>
                      <w:divBdr>
                        <w:top w:val="none" w:sz="0" w:space="0" w:color="auto"/>
                        <w:left w:val="none" w:sz="0" w:space="0" w:color="auto"/>
                        <w:bottom w:val="none" w:sz="0" w:space="0" w:color="auto"/>
                        <w:right w:val="none" w:sz="0" w:space="0" w:color="auto"/>
                      </w:divBdr>
                    </w:div>
                  </w:divsChild>
                </w:div>
                <w:div w:id="2026320484">
                  <w:marLeft w:val="0"/>
                  <w:marRight w:val="0"/>
                  <w:marTop w:val="0"/>
                  <w:marBottom w:val="0"/>
                  <w:divBdr>
                    <w:top w:val="none" w:sz="0" w:space="0" w:color="auto"/>
                    <w:left w:val="none" w:sz="0" w:space="0" w:color="auto"/>
                    <w:bottom w:val="none" w:sz="0" w:space="0" w:color="auto"/>
                    <w:right w:val="none" w:sz="0" w:space="0" w:color="auto"/>
                  </w:divBdr>
                  <w:divsChild>
                    <w:div w:id="1343316715">
                      <w:marLeft w:val="0"/>
                      <w:marRight w:val="0"/>
                      <w:marTop w:val="0"/>
                      <w:marBottom w:val="0"/>
                      <w:divBdr>
                        <w:top w:val="none" w:sz="0" w:space="0" w:color="auto"/>
                        <w:left w:val="none" w:sz="0" w:space="0" w:color="auto"/>
                        <w:bottom w:val="none" w:sz="0" w:space="0" w:color="auto"/>
                        <w:right w:val="none" w:sz="0" w:space="0" w:color="auto"/>
                      </w:divBdr>
                    </w:div>
                  </w:divsChild>
                </w:div>
                <w:div w:id="1041246943">
                  <w:marLeft w:val="0"/>
                  <w:marRight w:val="0"/>
                  <w:marTop w:val="0"/>
                  <w:marBottom w:val="0"/>
                  <w:divBdr>
                    <w:top w:val="none" w:sz="0" w:space="0" w:color="auto"/>
                    <w:left w:val="none" w:sz="0" w:space="0" w:color="auto"/>
                    <w:bottom w:val="none" w:sz="0" w:space="0" w:color="auto"/>
                    <w:right w:val="none" w:sz="0" w:space="0" w:color="auto"/>
                  </w:divBdr>
                  <w:divsChild>
                    <w:div w:id="944310467">
                      <w:marLeft w:val="0"/>
                      <w:marRight w:val="0"/>
                      <w:marTop w:val="0"/>
                      <w:marBottom w:val="0"/>
                      <w:divBdr>
                        <w:top w:val="none" w:sz="0" w:space="0" w:color="auto"/>
                        <w:left w:val="none" w:sz="0" w:space="0" w:color="auto"/>
                        <w:bottom w:val="none" w:sz="0" w:space="0" w:color="auto"/>
                        <w:right w:val="none" w:sz="0" w:space="0" w:color="auto"/>
                      </w:divBdr>
                    </w:div>
                  </w:divsChild>
                </w:div>
                <w:div w:id="1921404410">
                  <w:marLeft w:val="0"/>
                  <w:marRight w:val="0"/>
                  <w:marTop w:val="0"/>
                  <w:marBottom w:val="0"/>
                  <w:divBdr>
                    <w:top w:val="none" w:sz="0" w:space="0" w:color="auto"/>
                    <w:left w:val="none" w:sz="0" w:space="0" w:color="auto"/>
                    <w:bottom w:val="none" w:sz="0" w:space="0" w:color="auto"/>
                    <w:right w:val="none" w:sz="0" w:space="0" w:color="auto"/>
                  </w:divBdr>
                  <w:divsChild>
                    <w:div w:id="1266570028">
                      <w:marLeft w:val="0"/>
                      <w:marRight w:val="0"/>
                      <w:marTop w:val="0"/>
                      <w:marBottom w:val="0"/>
                      <w:divBdr>
                        <w:top w:val="none" w:sz="0" w:space="0" w:color="auto"/>
                        <w:left w:val="none" w:sz="0" w:space="0" w:color="auto"/>
                        <w:bottom w:val="none" w:sz="0" w:space="0" w:color="auto"/>
                        <w:right w:val="none" w:sz="0" w:space="0" w:color="auto"/>
                      </w:divBdr>
                    </w:div>
                  </w:divsChild>
                </w:div>
                <w:div w:id="1305507777">
                  <w:marLeft w:val="0"/>
                  <w:marRight w:val="0"/>
                  <w:marTop w:val="0"/>
                  <w:marBottom w:val="0"/>
                  <w:divBdr>
                    <w:top w:val="none" w:sz="0" w:space="0" w:color="auto"/>
                    <w:left w:val="none" w:sz="0" w:space="0" w:color="auto"/>
                    <w:bottom w:val="none" w:sz="0" w:space="0" w:color="auto"/>
                    <w:right w:val="none" w:sz="0" w:space="0" w:color="auto"/>
                  </w:divBdr>
                  <w:divsChild>
                    <w:div w:id="341710515">
                      <w:marLeft w:val="0"/>
                      <w:marRight w:val="0"/>
                      <w:marTop w:val="0"/>
                      <w:marBottom w:val="0"/>
                      <w:divBdr>
                        <w:top w:val="none" w:sz="0" w:space="0" w:color="auto"/>
                        <w:left w:val="none" w:sz="0" w:space="0" w:color="auto"/>
                        <w:bottom w:val="none" w:sz="0" w:space="0" w:color="auto"/>
                        <w:right w:val="none" w:sz="0" w:space="0" w:color="auto"/>
                      </w:divBdr>
                    </w:div>
                  </w:divsChild>
                </w:div>
                <w:div w:id="1079985914">
                  <w:marLeft w:val="0"/>
                  <w:marRight w:val="0"/>
                  <w:marTop w:val="0"/>
                  <w:marBottom w:val="0"/>
                  <w:divBdr>
                    <w:top w:val="none" w:sz="0" w:space="0" w:color="auto"/>
                    <w:left w:val="none" w:sz="0" w:space="0" w:color="auto"/>
                    <w:bottom w:val="none" w:sz="0" w:space="0" w:color="auto"/>
                    <w:right w:val="none" w:sz="0" w:space="0" w:color="auto"/>
                  </w:divBdr>
                  <w:divsChild>
                    <w:div w:id="1656183753">
                      <w:marLeft w:val="0"/>
                      <w:marRight w:val="0"/>
                      <w:marTop w:val="0"/>
                      <w:marBottom w:val="0"/>
                      <w:divBdr>
                        <w:top w:val="none" w:sz="0" w:space="0" w:color="auto"/>
                        <w:left w:val="none" w:sz="0" w:space="0" w:color="auto"/>
                        <w:bottom w:val="none" w:sz="0" w:space="0" w:color="auto"/>
                        <w:right w:val="none" w:sz="0" w:space="0" w:color="auto"/>
                      </w:divBdr>
                    </w:div>
                  </w:divsChild>
                </w:div>
                <w:div w:id="2128618872">
                  <w:marLeft w:val="0"/>
                  <w:marRight w:val="0"/>
                  <w:marTop w:val="0"/>
                  <w:marBottom w:val="0"/>
                  <w:divBdr>
                    <w:top w:val="none" w:sz="0" w:space="0" w:color="auto"/>
                    <w:left w:val="none" w:sz="0" w:space="0" w:color="auto"/>
                    <w:bottom w:val="none" w:sz="0" w:space="0" w:color="auto"/>
                    <w:right w:val="none" w:sz="0" w:space="0" w:color="auto"/>
                  </w:divBdr>
                  <w:divsChild>
                    <w:div w:id="2078475428">
                      <w:marLeft w:val="0"/>
                      <w:marRight w:val="0"/>
                      <w:marTop w:val="0"/>
                      <w:marBottom w:val="0"/>
                      <w:divBdr>
                        <w:top w:val="none" w:sz="0" w:space="0" w:color="auto"/>
                        <w:left w:val="none" w:sz="0" w:space="0" w:color="auto"/>
                        <w:bottom w:val="none" w:sz="0" w:space="0" w:color="auto"/>
                        <w:right w:val="none" w:sz="0" w:space="0" w:color="auto"/>
                      </w:divBdr>
                    </w:div>
                  </w:divsChild>
                </w:div>
                <w:div w:id="1579093172">
                  <w:marLeft w:val="0"/>
                  <w:marRight w:val="0"/>
                  <w:marTop w:val="0"/>
                  <w:marBottom w:val="0"/>
                  <w:divBdr>
                    <w:top w:val="none" w:sz="0" w:space="0" w:color="auto"/>
                    <w:left w:val="none" w:sz="0" w:space="0" w:color="auto"/>
                    <w:bottom w:val="none" w:sz="0" w:space="0" w:color="auto"/>
                    <w:right w:val="none" w:sz="0" w:space="0" w:color="auto"/>
                  </w:divBdr>
                  <w:divsChild>
                    <w:div w:id="1858352234">
                      <w:marLeft w:val="0"/>
                      <w:marRight w:val="0"/>
                      <w:marTop w:val="0"/>
                      <w:marBottom w:val="0"/>
                      <w:divBdr>
                        <w:top w:val="none" w:sz="0" w:space="0" w:color="auto"/>
                        <w:left w:val="none" w:sz="0" w:space="0" w:color="auto"/>
                        <w:bottom w:val="none" w:sz="0" w:space="0" w:color="auto"/>
                        <w:right w:val="none" w:sz="0" w:space="0" w:color="auto"/>
                      </w:divBdr>
                    </w:div>
                  </w:divsChild>
                </w:div>
                <w:div w:id="1868179439">
                  <w:marLeft w:val="0"/>
                  <w:marRight w:val="0"/>
                  <w:marTop w:val="0"/>
                  <w:marBottom w:val="0"/>
                  <w:divBdr>
                    <w:top w:val="none" w:sz="0" w:space="0" w:color="auto"/>
                    <w:left w:val="none" w:sz="0" w:space="0" w:color="auto"/>
                    <w:bottom w:val="none" w:sz="0" w:space="0" w:color="auto"/>
                    <w:right w:val="none" w:sz="0" w:space="0" w:color="auto"/>
                  </w:divBdr>
                  <w:divsChild>
                    <w:div w:id="1732925712">
                      <w:marLeft w:val="0"/>
                      <w:marRight w:val="0"/>
                      <w:marTop w:val="0"/>
                      <w:marBottom w:val="0"/>
                      <w:divBdr>
                        <w:top w:val="none" w:sz="0" w:space="0" w:color="auto"/>
                        <w:left w:val="none" w:sz="0" w:space="0" w:color="auto"/>
                        <w:bottom w:val="none" w:sz="0" w:space="0" w:color="auto"/>
                        <w:right w:val="none" w:sz="0" w:space="0" w:color="auto"/>
                      </w:divBdr>
                    </w:div>
                  </w:divsChild>
                </w:div>
                <w:div w:id="1629817316">
                  <w:marLeft w:val="0"/>
                  <w:marRight w:val="0"/>
                  <w:marTop w:val="0"/>
                  <w:marBottom w:val="0"/>
                  <w:divBdr>
                    <w:top w:val="none" w:sz="0" w:space="0" w:color="auto"/>
                    <w:left w:val="none" w:sz="0" w:space="0" w:color="auto"/>
                    <w:bottom w:val="none" w:sz="0" w:space="0" w:color="auto"/>
                    <w:right w:val="none" w:sz="0" w:space="0" w:color="auto"/>
                  </w:divBdr>
                  <w:divsChild>
                    <w:div w:id="538586434">
                      <w:marLeft w:val="0"/>
                      <w:marRight w:val="0"/>
                      <w:marTop w:val="0"/>
                      <w:marBottom w:val="0"/>
                      <w:divBdr>
                        <w:top w:val="none" w:sz="0" w:space="0" w:color="auto"/>
                        <w:left w:val="none" w:sz="0" w:space="0" w:color="auto"/>
                        <w:bottom w:val="none" w:sz="0" w:space="0" w:color="auto"/>
                        <w:right w:val="none" w:sz="0" w:space="0" w:color="auto"/>
                      </w:divBdr>
                    </w:div>
                  </w:divsChild>
                </w:div>
                <w:div w:id="2046052216">
                  <w:marLeft w:val="0"/>
                  <w:marRight w:val="0"/>
                  <w:marTop w:val="0"/>
                  <w:marBottom w:val="0"/>
                  <w:divBdr>
                    <w:top w:val="none" w:sz="0" w:space="0" w:color="auto"/>
                    <w:left w:val="none" w:sz="0" w:space="0" w:color="auto"/>
                    <w:bottom w:val="none" w:sz="0" w:space="0" w:color="auto"/>
                    <w:right w:val="none" w:sz="0" w:space="0" w:color="auto"/>
                  </w:divBdr>
                  <w:divsChild>
                    <w:div w:id="1790851222">
                      <w:marLeft w:val="0"/>
                      <w:marRight w:val="0"/>
                      <w:marTop w:val="0"/>
                      <w:marBottom w:val="0"/>
                      <w:divBdr>
                        <w:top w:val="none" w:sz="0" w:space="0" w:color="auto"/>
                        <w:left w:val="none" w:sz="0" w:space="0" w:color="auto"/>
                        <w:bottom w:val="none" w:sz="0" w:space="0" w:color="auto"/>
                        <w:right w:val="none" w:sz="0" w:space="0" w:color="auto"/>
                      </w:divBdr>
                    </w:div>
                  </w:divsChild>
                </w:div>
                <w:div w:id="1181550073">
                  <w:marLeft w:val="0"/>
                  <w:marRight w:val="0"/>
                  <w:marTop w:val="0"/>
                  <w:marBottom w:val="0"/>
                  <w:divBdr>
                    <w:top w:val="none" w:sz="0" w:space="0" w:color="auto"/>
                    <w:left w:val="none" w:sz="0" w:space="0" w:color="auto"/>
                    <w:bottom w:val="none" w:sz="0" w:space="0" w:color="auto"/>
                    <w:right w:val="none" w:sz="0" w:space="0" w:color="auto"/>
                  </w:divBdr>
                  <w:divsChild>
                    <w:div w:id="1400787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0004463">
          <w:marLeft w:val="0"/>
          <w:marRight w:val="0"/>
          <w:marTop w:val="0"/>
          <w:marBottom w:val="0"/>
          <w:divBdr>
            <w:top w:val="none" w:sz="0" w:space="0" w:color="auto"/>
            <w:left w:val="none" w:sz="0" w:space="0" w:color="auto"/>
            <w:bottom w:val="none" w:sz="0" w:space="0" w:color="auto"/>
            <w:right w:val="none" w:sz="0" w:space="0" w:color="auto"/>
          </w:divBdr>
        </w:div>
        <w:div w:id="1182277610">
          <w:marLeft w:val="0"/>
          <w:marRight w:val="0"/>
          <w:marTop w:val="0"/>
          <w:marBottom w:val="0"/>
          <w:divBdr>
            <w:top w:val="none" w:sz="0" w:space="0" w:color="auto"/>
            <w:left w:val="none" w:sz="0" w:space="0" w:color="auto"/>
            <w:bottom w:val="none" w:sz="0" w:space="0" w:color="auto"/>
            <w:right w:val="none" w:sz="0" w:space="0" w:color="auto"/>
          </w:divBdr>
        </w:div>
        <w:div w:id="1527600373">
          <w:marLeft w:val="0"/>
          <w:marRight w:val="0"/>
          <w:marTop w:val="0"/>
          <w:marBottom w:val="0"/>
          <w:divBdr>
            <w:top w:val="none" w:sz="0" w:space="0" w:color="auto"/>
            <w:left w:val="none" w:sz="0" w:space="0" w:color="auto"/>
            <w:bottom w:val="none" w:sz="0" w:space="0" w:color="auto"/>
            <w:right w:val="none" w:sz="0" w:space="0" w:color="auto"/>
          </w:divBdr>
        </w:div>
        <w:div w:id="1368523751">
          <w:marLeft w:val="0"/>
          <w:marRight w:val="0"/>
          <w:marTop w:val="0"/>
          <w:marBottom w:val="0"/>
          <w:divBdr>
            <w:top w:val="none" w:sz="0" w:space="0" w:color="auto"/>
            <w:left w:val="none" w:sz="0" w:space="0" w:color="auto"/>
            <w:bottom w:val="none" w:sz="0" w:space="0" w:color="auto"/>
            <w:right w:val="none" w:sz="0" w:space="0" w:color="auto"/>
          </w:divBdr>
        </w:div>
        <w:div w:id="1244533335">
          <w:marLeft w:val="0"/>
          <w:marRight w:val="0"/>
          <w:marTop w:val="0"/>
          <w:marBottom w:val="0"/>
          <w:divBdr>
            <w:top w:val="none" w:sz="0" w:space="0" w:color="auto"/>
            <w:left w:val="none" w:sz="0" w:space="0" w:color="auto"/>
            <w:bottom w:val="none" w:sz="0" w:space="0" w:color="auto"/>
            <w:right w:val="none" w:sz="0" w:space="0" w:color="auto"/>
          </w:divBdr>
        </w:div>
        <w:div w:id="415638368">
          <w:marLeft w:val="0"/>
          <w:marRight w:val="0"/>
          <w:marTop w:val="0"/>
          <w:marBottom w:val="0"/>
          <w:divBdr>
            <w:top w:val="none" w:sz="0" w:space="0" w:color="auto"/>
            <w:left w:val="none" w:sz="0" w:space="0" w:color="auto"/>
            <w:bottom w:val="none" w:sz="0" w:space="0" w:color="auto"/>
            <w:right w:val="none" w:sz="0" w:space="0" w:color="auto"/>
          </w:divBdr>
          <w:divsChild>
            <w:div w:id="812916238">
              <w:marLeft w:val="-75"/>
              <w:marRight w:val="0"/>
              <w:marTop w:val="30"/>
              <w:marBottom w:val="30"/>
              <w:divBdr>
                <w:top w:val="none" w:sz="0" w:space="0" w:color="auto"/>
                <w:left w:val="none" w:sz="0" w:space="0" w:color="auto"/>
                <w:bottom w:val="none" w:sz="0" w:space="0" w:color="auto"/>
                <w:right w:val="none" w:sz="0" w:space="0" w:color="auto"/>
              </w:divBdr>
              <w:divsChild>
                <w:div w:id="1495339568">
                  <w:marLeft w:val="0"/>
                  <w:marRight w:val="0"/>
                  <w:marTop w:val="0"/>
                  <w:marBottom w:val="0"/>
                  <w:divBdr>
                    <w:top w:val="none" w:sz="0" w:space="0" w:color="auto"/>
                    <w:left w:val="none" w:sz="0" w:space="0" w:color="auto"/>
                    <w:bottom w:val="none" w:sz="0" w:space="0" w:color="auto"/>
                    <w:right w:val="none" w:sz="0" w:space="0" w:color="auto"/>
                  </w:divBdr>
                  <w:divsChild>
                    <w:div w:id="848569849">
                      <w:marLeft w:val="0"/>
                      <w:marRight w:val="0"/>
                      <w:marTop w:val="0"/>
                      <w:marBottom w:val="0"/>
                      <w:divBdr>
                        <w:top w:val="none" w:sz="0" w:space="0" w:color="auto"/>
                        <w:left w:val="none" w:sz="0" w:space="0" w:color="auto"/>
                        <w:bottom w:val="none" w:sz="0" w:space="0" w:color="auto"/>
                        <w:right w:val="none" w:sz="0" w:space="0" w:color="auto"/>
                      </w:divBdr>
                    </w:div>
                  </w:divsChild>
                </w:div>
                <w:div w:id="29651423">
                  <w:marLeft w:val="0"/>
                  <w:marRight w:val="0"/>
                  <w:marTop w:val="0"/>
                  <w:marBottom w:val="0"/>
                  <w:divBdr>
                    <w:top w:val="none" w:sz="0" w:space="0" w:color="auto"/>
                    <w:left w:val="none" w:sz="0" w:space="0" w:color="auto"/>
                    <w:bottom w:val="none" w:sz="0" w:space="0" w:color="auto"/>
                    <w:right w:val="none" w:sz="0" w:space="0" w:color="auto"/>
                  </w:divBdr>
                  <w:divsChild>
                    <w:div w:id="1246693920">
                      <w:marLeft w:val="0"/>
                      <w:marRight w:val="0"/>
                      <w:marTop w:val="0"/>
                      <w:marBottom w:val="0"/>
                      <w:divBdr>
                        <w:top w:val="none" w:sz="0" w:space="0" w:color="auto"/>
                        <w:left w:val="none" w:sz="0" w:space="0" w:color="auto"/>
                        <w:bottom w:val="none" w:sz="0" w:space="0" w:color="auto"/>
                        <w:right w:val="none" w:sz="0" w:space="0" w:color="auto"/>
                      </w:divBdr>
                    </w:div>
                  </w:divsChild>
                </w:div>
                <w:div w:id="1401249873">
                  <w:marLeft w:val="0"/>
                  <w:marRight w:val="0"/>
                  <w:marTop w:val="0"/>
                  <w:marBottom w:val="0"/>
                  <w:divBdr>
                    <w:top w:val="none" w:sz="0" w:space="0" w:color="auto"/>
                    <w:left w:val="none" w:sz="0" w:space="0" w:color="auto"/>
                    <w:bottom w:val="none" w:sz="0" w:space="0" w:color="auto"/>
                    <w:right w:val="none" w:sz="0" w:space="0" w:color="auto"/>
                  </w:divBdr>
                  <w:divsChild>
                    <w:div w:id="610019706">
                      <w:marLeft w:val="0"/>
                      <w:marRight w:val="0"/>
                      <w:marTop w:val="0"/>
                      <w:marBottom w:val="0"/>
                      <w:divBdr>
                        <w:top w:val="none" w:sz="0" w:space="0" w:color="auto"/>
                        <w:left w:val="none" w:sz="0" w:space="0" w:color="auto"/>
                        <w:bottom w:val="none" w:sz="0" w:space="0" w:color="auto"/>
                        <w:right w:val="none" w:sz="0" w:space="0" w:color="auto"/>
                      </w:divBdr>
                    </w:div>
                  </w:divsChild>
                </w:div>
                <w:div w:id="1005981561">
                  <w:marLeft w:val="0"/>
                  <w:marRight w:val="0"/>
                  <w:marTop w:val="0"/>
                  <w:marBottom w:val="0"/>
                  <w:divBdr>
                    <w:top w:val="none" w:sz="0" w:space="0" w:color="auto"/>
                    <w:left w:val="none" w:sz="0" w:space="0" w:color="auto"/>
                    <w:bottom w:val="none" w:sz="0" w:space="0" w:color="auto"/>
                    <w:right w:val="none" w:sz="0" w:space="0" w:color="auto"/>
                  </w:divBdr>
                  <w:divsChild>
                    <w:div w:id="408311001">
                      <w:marLeft w:val="0"/>
                      <w:marRight w:val="0"/>
                      <w:marTop w:val="0"/>
                      <w:marBottom w:val="0"/>
                      <w:divBdr>
                        <w:top w:val="none" w:sz="0" w:space="0" w:color="auto"/>
                        <w:left w:val="none" w:sz="0" w:space="0" w:color="auto"/>
                        <w:bottom w:val="none" w:sz="0" w:space="0" w:color="auto"/>
                        <w:right w:val="none" w:sz="0" w:space="0" w:color="auto"/>
                      </w:divBdr>
                    </w:div>
                  </w:divsChild>
                </w:div>
                <w:div w:id="1297830126">
                  <w:marLeft w:val="0"/>
                  <w:marRight w:val="0"/>
                  <w:marTop w:val="0"/>
                  <w:marBottom w:val="0"/>
                  <w:divBdr>
                    <w:top w:val="none" w:sz="0" w:space="0" w:color="auto"/>
                    <w:left w:val="none" w:sz="0" w:space="0" w:color="auto"/>
                    <w:bottom w:val="none" w:sz="0" w:space="0" w:color="auto"/>
                    <w:right w:val="none" w:sz="0" w:space="0" w:color="auto"/>
                  </w:divBdr>
                  <w:divsChild>
                    <w:div w:id="580603992">
                      <w:marLeft w:val="0"/>
                      <w:marRight w:val="0"/>
                      <w:marTop w:val="0"/>
                      <w:marBottom w:val="0"/>
                      <w:divBdr>
                        <w:top w:val="none" w:sz="0" w:space="0" w:color="auto"/>
                        <w:left w:val="none" w:sz="0" w:space="0" w:color="auto"/>
                        <w:bottom w:val="none" w:sz="0" w:space="0" w:color="auto"/>
                        <w:right w:val="none" w:sz="0" w:space="0" w:color="auto"/>
                      </w:divBdr>
                    </w:div>
                  </w:divsChild>
                </w:div>
                <w:div w:id="1116868483">
                  <w:marLeft w:val="0"/>
                  <w:marRight w:val="0"/>
                  <w:marTop w:val="0"/>
                  <w:marBottom w:val="0"/>
                  <w:divBdr>
                    <w:top w:val="none" w:sz="0" w:space="0" w:color="auto"/>
                    <w:left w:val="none" w:sz="0" w:space="0" w:color="auto"/>
                    <w:bottom w:val="none" w:sz="0" w:space="0" w:color="auto"/>
                    <w:right w:val="none" w:sz="0" w:space="0" w:color="auto"/>
                  </w:divBdr>
                  <w:divsChild>
                    <w:div w:id="1664821609">
                      <w:marLeft w:val="0"/>
                      <w:marRight w:val="0"/>
                      <w:marTop w:val="0"/>
                      <w:marBottom w:val="0"/>
                      <w:divBdr>
                        <w:top w:val="none" w:sz="0" w:space="0" w:color="auto"/>
                        <w:left w:val="none" w:sz="0" w:space="0" w:color="auto"/>
                        <w:bottom w:val="none" w:sz="0" w:space="0" w:color="auto"/>
                        <w:right w:val="none" w:sz="0" w:space="0" w:color="auto"/>
                      </w:divBdr>
                    </w:div>
                  </w:divsChild>
                </w:div>
                <w:div w:id="2125152071">
                  <w:marLeft w:val="0"/>
                  <w:marRight w:val="0"/>
                  <w:marTop w:val="0"/>
                  <w:marBottom w:val="0"/>
                  <w:divBdr>
                    <w:top w:val="none" w:sz="0" w:space="0" w:color="auto"/>
                    <w:left w:val="none" w:sz="0" w:space="0" w:color="auto"/>
                    <w:bottom w:val="none" w:sz="0" w:space="0" w:color="auto"/>
                    <w:right w:val="none" w:sz="0" w:space="0" w:color="auto"/>
                  </w:divBdr>
                  <w:divsChild>
                    <w:div w:id="490217951">
                      <w:marLeft w:val="0"/>
                      <w:marRight w:val="0"/>
                      <w:marTop w:val="0"/>
                      <w:marBottom w:val="0"/>
                      <w:divBdr>
                        <w:top w:val="none" w:sz="0" w:space="0" w:color="auto"/>
                        <w:left w:val="none" w:sz="0" w:space="0" w:color="auto"/>
                        <w:bottom w:val="none" w:sz="0" w:space="0" w:color="auto"/>
                        <w:right w:val="none" w:sz="0" w:space="0" w:color="auto"/>
                      </w:divBdr>
                    </w:div>
                  </w:divsChild>
                </w:div>
                <w:div w:id="774863324">
                  <w:marLeft w:val="0"/>
                  <w:marRight w:val="0"/>
                  <w:marTop w:val="0"/>
                  <w:marBottom w:val="0"/>
                  <w:divBdr>
                    <w:top w:val="none" w:sz="0" w:space="0" w:color="auto"/>
                    <w:left w:val="none" w:sz="0" w:space="0" w:color="auto"/>
                    <w:bottom w:val="none" w:sz="0" w:space="0" w:color="auto"/>
                    <w:right w:val="none" w:sz="0" w:space="0" w:color="auto"/>
                  </w:divBdr>
                  <w:divsChild>
                    <w:div w:id="528180355">
                      <w:marLeft w:val="0"/>
                      <w:marRight w:val="0"/>
                      <w:marTop w:val="0"/>
                      <w:marBottom w:val="0"/>
                      <w:divBdr>
                        <w:top w:val="none" w:sz="0" w:space="0" w:color="auto"/>
                        <w:left w:val="none" w:sz="0" w:space="0" w:color="auto"/>
                        <w:bottom w:val="none" w:sz="0" w:space="0" w:color="auto"/>
                        <w:right w:val="none" w:sz="0" w:space="0" w:color="auto"/>
                      </w:divBdr>
                    </w:div>
                  </w:divsChild>
                </w:div>
                <w:div w:id="1411734683">
                  <w:marLeft w:val="0"/>
                  <w:marRight w:val="0"/>
                  <w:marTop w:val="0"/>
                  <w:marBottom w:val="0"/>
                  <w:divBdr>
                    <w:top w:val="none" w:sz="0" w:space="0" w:color="auto"/>
                    <w:left w:val="none" w:sz="0" w:space="0" w:color="auto"/>
                    <w:bottom w:val="none" w:sz="0" w:space="0" w:color="auto"/>
                    <w:right w:val="none" w:sz="0" w:space="0" w:color="auto"/>
                  </w:divBdr>
                  <w:divsChild>
                    <w:div w:id="341251319">
                      <w:marLeft w:val="0"/>
                      <w:marRight w:val="0"/>
                      <w:marTop w:val="0"/>
                      <w:marBottom w:val="0"/>
                      <w:divBdr>
                        <w:top w:val="none" w:sz="0" w:space="0" w:color="auto"/>
                        <w:left w:val="none" w:sz="0" w:space="0" w:color="auto"/>
                        <w:bottom w:val="none" w:sz="0" w:space="0" w:color="auto"/>
                        <w:right w:val="none" w:sz="0" w:space="0" w:color="auto"/>
                      </w:divBdr>
                    </w:div>
                  </w:divsChild>
                </w:div>
                <w:div w:id="417598109">
                  <w:marLeft w:val="0"/>
                  <w:marRight w:val="0"/>
                  <w:marTop w:val="0"/>
                  <w:marBottom w:val="0"/>
                  <w:divBdr>
                    <w:top w:val="none" w:sz="0" w:space="0" w:color="auto"/>
                    <w:left w:val="none" w:sz="0" w:space="0" w:color="auto"/>
                    <w:bottom w:val="none" w:sz="0" w:space="0" w:color="auto"/>
                    <w:right w:val="none" w:sz="0" w:space="0" w:color="auto"/>
                  </w:divBdr>
                  <w:divsChild>
                    <w:div w:id="1281645702">
                      <w:marLeft w:val="0"/>
                      <w:marRight w:val="0"/>
                      <w:marTop w:val="0"/>
                      <w:marBottom w:val="0"/>
                      <w:divBdr>
                        <w:top w:val="none" w:sz="0" w:space="0" w:color="auto"/>
                        <w:left w:val="none" w:sz="0" w:space="0" w:color="auto"/>
                        <w:bottom w:val="none" w:sz="0" w:space="0" w:color="auto"/>
                        <w:right w:val="none" w:sz="0" w:space="0" w:color="auto"/>
                      </w:divBdr>
                    </w:div>
                  </w:divsChild>
                </w:div>
                <w:div w:id="503473868">
                  <w:marLeft w:val="0"/>
                  <w:marRight w:val="0"/>
                  <w:marTop w:val="0"/>
                  <w:marBottom w:val="0"/>
                  <w:divBdr>
                    <w:top w:val="none" w:sz="0" w:space="0" w:color="auto"/>
                    <w:left w:val="none" w:sz="0" w:space="0" w:color="auto"/>
                    <w:bottom w:val="none" w:sz="0" w:space="0" w:color="auto"/>
                    <w:right w:val="none" w:sz="0" w:space="0" w:color="auto"/>
                  </w:divBdr>
                  <w:divsChild>
                    <w:div w:id="1118796783">
                      <w:marLeft w:val="0"/>
                      <w:marRight w:val="0"/>
                      <w:marTop w:val="0"/>
                      <w:marBottom w:val="0"/>
                      <w:divBdr>
                        <w:top w:val="none" w:sz="0" w:space="0" w:color="auto"/>
                        <w:left w:val="none" w:sz="0" w:space="0" w:color="auto"/>
                        <w:bottom w:val="none" w:sz="0" w:space="0" w:color="auto"/>
                        <w:right w:val="none" w:sz="0" w:space="0" w:color="auto"/>
                      </w:divBdr>
                    </w:div>
                  </w:divsChild>
                </w:div>
                <w:div w:id="676468190">
                  <w:marLeft w:val="0"/>
                  <w:marRight w:val="0"/>
                  <w:marTop w:val="0"/>
                  <w:marBottom w:val="0"/>
                  <w:divBdr>
                    <w:top w:val="none" w:sz="0" w:space="0" w:color="auto"/>
                    <w:left w:val="none" w:sz="0" w:space="0" w:color="auto"/>
                    <w:bottom w:val="none" w:sz="0" w:space="0" w:color="auto"/>
                    <w:right w:val="none" w:sz="0" w:space="0" w:color="auto"/>
                  </w:divBdr>
                  <w:divsChild>
                    <w:div w:id="905342227">
                      <w:marLeft w:val="0"/>
                      <w:marRight w:val="0"/>
                      <w:marTop w:val="0"/>
                      <w:marBottom w:val="0"/>
                      <w:divBdr>
                        <w:top w:val="none" w:sz="0" w:space="0" w:color="auto"/>
                        <w:left w:val="none" w:sz="0" w:space="0" w:color="auto"/>
                        <w:bottom w:val="none" w:sz="0" w:space="0" w:color="auto"/>
                        <w:right w:val="none" w:sz="0" w:space="0" w:color="auto"/>
                      </w:divBdr>
                    </w:div>
                  </w:divsChild>
                </w:div>
                <w:div w:id="1496535582">
                  <w:marLeft w:val="0"/>
                  <w:marRight w:val="0"/>
                  <w:marTop w:val="0"/>
                  <w:marBottom w:val="0"/>
                  <w:divBdr>
                    <w:top w:val="none" w:sz="0" w:space="0" w:color="auto"/>
                    <w:left w:val="none" w:sz="0" w:space="0" w:color="auto"/>
                    <w:bottom w:val="none" w:sz="0" w:space="0" w:color="auto"/>
                    <w:right w:val="none" w:sz="0" w:space="0" w:color="auto"/>
                  </w:divBdr>
                  <w:divsChild>
                    <w:div w:id="1720787813">
                      <w:marLeft w:val="0"/>
                      <w:marRight w:val="0"/>
                      <w:marTop w:val="0"/>
                      <w:marBottom w:val="0"/>
                      <w:divBdr>
                        <w:top w:val="none" w:sz="0" w:space="0" w:color="auto"/>
                        <w:left w:val="none" w:sz="0" w:space="0" w:color="auto"/>
                        <w:bottom w:val="none" w:sz="0" w:space="0" w:color="auto"/>
                        <w:right w:val="none" w:sz="0" w:space="0" w:color="auto"/>
                      </w:divBdr>
                    </w:div>
                  </w:divsChild>
                </w:div>
                <w:div w:id="2137942147">
                  <w:marLeft w:val="0"/>
                  <w:marRight w:val="0"/>
                  <w:marTop w:val="0"/>
                  <w:marBottom w:val="0"/>
                  <w:divBdr>
                    <w:top w:val="none" w:sz="0" w:space="0" w:color="auto"/>
                    <w:left w:val="none" w:sz="0" w:space="0" w:color="auto"/>
                    <w:bottom w:val="none" w:sz="0" w:space="0" w:color="auto"/>
                    <w:right w:val="none" w:sz="0" w:space="0" w:color="auto"/>
                  </w:divBdr>
                  <w:divsChild>
                    <w:div w:id="1813328646">
                      <w:marLeft w:val="0"/>
                      <w:marRight w:val="0"/>
                      <w:marTop w:val="0"/>
                      <w:marBottom w:val="0"/>
                      <w:divBdr>
                        <w:top w:val="none" w:sz="0" w:space="0" w:color="auto"/>
                        <w:left w:val="none" w:sz="0" w:space="0" w:color="auto"/>
                        <w:bottom w:val="none" w:sz="0" w:space="0" w:color="auto"/>
                        <w:right w:val="none" w:sz="0" w:space="0" w:color="auto"/>
                      </w:divBdr>
                    </w:div>
                  </w:divsChild>
                </w:div>
                <w:div w:id="1904751966">
                  <w:marLeft w:val="0"/>
                  <w:marRight w:val="0"/>
                  <w:marTop w:val="0"/>
                  <w:marBottom w:val="0"/>
                  <w:divBdr>
                    <w:top w:val="none" w:sz="0" w:space="0" w:color="auto"/>
                    <w:left w:val="none" w:sz="0" w:space="0" w:color="auto"/>
                    <w:bottom w:val="none" w:sz="0" w:space="0" w:color="auto"/>
                    <w:right w:val="none" w:sz="0" w:space="0" w:color="auto"/>
                  </w:divBdr>
                  <w:divsChild>
                    <w:div w:id="38096020">
                      <w:marLeft w:val="0"/>
                      <w:marRight w:val="0"/>
                      <w:marTop w:val="0"/>
                      <w:marBottom w:val="0"/>
                      <w:divBdr>
                        <w:top w:val="none" w:sz="0" w:space="0" w:color="auto"/>
                        <w:left w:val="none" w:sz="0" w:space="0" w:color="auto"/>
                        <w:bottom w:val="none" w:sz="0" w:space="0" w:color="auto"/>
                        <w:right w:val="none" w:sz="0" w:space="0" w:color="auto"/>
                      </w:divBdr>
                    </w:div>
                  </w:divsChild>
                </w:div>
                <w:div w:id="228924468">
                  <w:marLeft w:val="0"/>
                  <w:marRight w:val="0"/>
                  <w:marTop w:val="0"/>
                  <w:marBottom w:val="0"/>
                  <w:divBdr>
                    <w:top w:val="none" w:sz="0" w:space="0" w:color="auto"/>
                    <w:left w:val="none" w:sz="0" w:space="0" w:color="auto"/>
                    <w:bottom w:val="none" w:sz="0" w:space="0" w:color="auto"/>
                    <w:right w:val="none" w:sz="0" w:space="0" w:color="auto"/>
                  </w:divBdr>
                  <w:divsChild>
                    <w:div w:id="1827358095">
                      <w:marLeft w:val="0"/>
                      <w:marRight w:val="0"/>
                      <w:marTop w:val="0"/>
                      <w:marBottom w:val="0"/>
                      <w:divBdr>
                        <w:top w:val="none" w:sz="0" w:space="0" w:color="auto"/>
                        <w:left w:val="none" w:sz="0" w:space="0" w:color="auto"/>
                        <w:bottom w:val="none" w:sz="0" w:space="0" w:color="auto"/>
                        <w:right w:val="none" w:sz="0" w:space="0" w:color="auto"/>
                      </w:divBdr>
                    </w:div>
                  </w:divsChild>
                </w:div>
                <w:div w:id="315425117">
                  <w:marLeft w:val="0"/>
                  <w:marRight w:val="0"/>
                  <w:marTop w:val="0"/>
                  <w:marBottom w:val="0"/>
                  <w:divBdr>
                    <w:top w:val="none" w:sz="0" w:space="0" w:color="auto"/>
                    <w:left w:val="none" w:sz="0" w:space="0" w:color="auto"/>
                    <w:bottom w:val="none" w:sz="0" w:space="0" w:color="auto"/>
                    <w:right w:val="none" w:sz="0" w:space="0" w:color="auto"/>
                  </w:divBdr>
                  <w:divsChild>
                    <w:div w:id="170149206">
                      <w:marLeft w:val="0"/>
                      <w:marRight w:val="0"/>
                      <w:marTop w:val="0"/>
                      <w:marBottom w:val="0"/>
                      <w:divBdr>
                        <w:top w:val="none" w:sz="0" w:space="0" w:color="auto"/>
                        <w:left w:val="none" w:sz="0" w:space="0" w:color="auto"/>
                        <w:bottom w:val="none" w:sz="0" w:space="0" w:color="auto"/>
                        <w:right w:val="none" w:sz="0" w:space="0" w:color="auto"/>
                      </w:divBdr>
                    </w:div>
                  </w:divsChild>
                </w:div>
                <w:div w:id="2134858246">
                  <w:marLeft w:val="0"/>
                  <w:marRight w:val="0"/>
                  <w:marTop w:val="0"/>
                  <w:marBottom w:val="0"/>
                  <w:divBdr>
                    <w:top w:val="none" w:sz="0" w:space="0" w:color="auto"/>
                    <w:left w:val="none" w:sz="0" w:space="0" w:color="auto"/>
                    <w:bottom w:val="none" w:sz="0" w:space="0" w:color="auto"/>
                    <w:right w:val="none" w:sz="0" w:space="0" w:color="auto"/>
                  </w:divBdr>
                  <w:divsChild>
                    <w:div w:id="1134981965">
                      <w:marLeft w:val="0"/>
                      <w:marRight w:val="0"/>
                      <w:marTop w:val="0"/>
                      <w:marBottom w:val="0"/>
                      <w:divBdr>
                        <w:top w:val="none" w:sz="0" w:space="0" w:color="auto"/>
                        <w:left w:val="none" w:sz="0" w:space="0" w:color="auto"/>
                        <w:bottom w:val="none" w:sz="0" w:space="0" w:color="auto"/>
                        <w:right w:val="none" w:sz="0" w:space="0" w:color="auto"/>
                      </w:divBdr>
                    </w:div>
                  </w:divsChild>
                </w:div>
                <w:div w:id="724183001">
                  <w:marLeft w:val="0"/>
                  <w:marRight w:val="0"/>
                  <w:marTop w:val="0"/>
                  <w:marBottom w:val="0"/>
                  <w:divBdr>
                    <w:top w:val="none" w:sz="0" w:space="0" w:color="auto"/>
                    <w:left w:val="none" w:sz="0" w:space="0" w:color="auto"/>
                    <w:bottom w:val="none" w:sz="0" w:space="0" w:color="auto"/>
                    <w:right w:val="none" w:sz="0" w:space="0" w:color="auto"/>
                  </w:divBdr>
                  <w:divsChild>
                    <w:div w:id="1133905264">
                      <w:marLeft w:val="0"/>
                      <w:marRight w:val="0"/>
                      <w:marTop w:val="0"/>
                      <w:marBottom w:val="0"/>
                      <w:divBdr>
                        <w:top w:val="none" w:sz="0" w:space="0" w:color="auto"/>
                        <w:left w:val="none" w:sz="0" w:space="0" w:color="auto"/>
                        <w:bottom w:val="none" w:sz="0" w:space="0" w:color="auto"/>
                        <w:right w:val="none" w:sz="0" w:space="0" w:color="auto"/>
                      </w:divBdr>
                    </w:div>
                  </w:divsChild>
                </w:div>
                <w:div w:id="353117152">
                  <w:marLeft w:val="0"/>
                  <w:marRight w:val="0"/>
                  <w:marTop w:val="0"/>
                  <w:marBottom w:val="0"/>
                  <w:divBdr>
                    <w:top w:val="none" w:sz="0" w:space="0" w:color="auto"/>
                    <w:left w:val="none" w:sz="0" w:space="0" w:color="auto"/>
                    <w:bottom w:val="none" w:sz="0" w:space="0" w:color="auto"/>
                    <w:right w:val="none" w:sz="0" w:space="0" w:color="auto"/>
                  </w:divBdr>
                  <w:divsChild>
                    <w:div w:id="1400058287">
                      <w:marLeft w:val="0"/>
                      <w:marRight w:val="0"/>
                      <w:marTop w:val="0"/>
                      <w:marBottom w:val="0"/>
                      <w:divBdr>
                        <w:top w:val="none" w:sz="0" w:space="0" w:color="auto"/>
                        <w:left w:val="none" w:sz="0" w:space="0" w:color="auto"/>
                        <w:bottom w:val="none" w:sz="0" w:space="0" w:color="auto"/>
                        <w:right w:val="none" w:sz="0" w:space="0" w:color="auto"/>
                      </w:divBdr>
                    </w:div>
                  </w:divsChild>
                </w:div>
                <w:div w:id="1771050731">
                  <w:marLeft w:val="0"/>
                  <w:marRight w:val="0"/>
                  <w:marTop w:val="0"/>
                  <w:marBottom w:val="0"/>
                  <w:divBdr>
                    <w:top w:val="none" w:sz="0" w:space="0" w:color="auto"/>
                    <w:left w:val="none" w:sz="0" w:space="0" w:color="auto"/>
                    <w:bottom w:val="none" w:sz="0" w:space="0" w:color="auto"/>
                    <w:right w:val="none" w:sz="0" w:space="0" w:color="auto"/>
                  </w:divBdr>
                  <w:divsChild>
                    <w:div w:id="1238248364">
                      <w:marLeft w:val="0"/>
                      <w:marRight w:val="0"/>
                      <w:marTop w:val="0"/>
                      <w:marBottom w:val="0"/>
                      <w:divBdr>
                        <w:top w:val="none" w:sz="0" w:space="0" w:color="auto"/>
                        <w:left w:val="none" w:sz="0" w:space="0" w:color="auto"/>
                        <w:bottom w:val="none" w:sz="0" w:space="0" w:color="auto"/>
                        <w:right w:val="none" w:sz="0" w:space="0" w:color="auto"/>
                      </w:divBdr>
                    </w:div>
                  </w:divsChild>
                </w:div>
                <w:div w:id="425543125">
                  <w:marLeft w:val="0"/>
                  <w:marRight w:val="0"/>
                  <w:marTop w:val="0"/>
                  <w:marBottom w:val="0"/>
                  <w:divBdr>
                    <w:top w:val="none" w:sz="0" w:space="0" w:color="auto"/>
                    <w:left w:val="none" w:sz="0" w:space="0" w:color="auto"/>
                    <w:bottom w:val="none" w:sz="0" w:space="0" w:color="auto"/>
                    <w:right w:val="none" w:sz="0" w:space="0" w:color="auto"/>
                  </w:divBdr>
                  <w:divsChild>
                    <w:div w:id="1315069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9569844">
          <w:marLeft w:val="0"/>
          <w:marRight w:val="0"/>
          <w:marTop w:val="0"/>
          <w:marBottom w:val="0"/>
          <w:divBdr>
            <w:top w:val="none" w:sz="0" w:space="0" w:color="auto"/>
            <w:left w:val="none" w:sz="0" w:space="0" w:color="auto"/>
            <w:bottom w:val="none" w:sz="0" w:space="0" w:color="auto"/>
            <w:right w:val="none" w:sz="0" w:space="0" w:color="auto"/>
          </w:divBdr>
        </w:div>
      </w:divsChild>
    </w:div>
    <w:div w:id="1169055111">
      <w:bodyDiv w:val="1"/>
      <w:marLeft w:val="0"/>
      <w:marRight w:val="0"/>
      <w:marTop w:val="0"/>
      <w:marBottom w:val="0"/>
      <w:divBdr>
        <w:top w:val="none" w:sz="0" w:space="0" w:color="auto"/>
        <w:left w:val="none" w:sz="0" w:space="0" w:color="auto"/>
        <w:bottom w:val="none" w:sz="0" w:space="0" w:color="auto"/>
        <w:right w:val="none" w:sz="0" w:space="0" w:color="auto"/>
      </w:divBdr>
    </w:div>
    <w:div w:id="1171719633">
      <w:bodyDiv w:val="1"/>
      <w:marLeft w:val="0"/>
      <w:marRight w:val="0"/>
      <w:marTop w:val="0"/>
      <w:marBottom w:val="0"/>
      <w:divBdr>
        <w:top w:val="none" w:sz="0" w:space="0" w:color="auto"/>
        <w:left w:val="none" w:sz="0" w:space="0" w:color="auto"/>
        <w:bottom w:val="none" w:sz="0" w:space="0" w:color="auto"/>
        <w:right w:val="none" w:sz="0" w:space="0" w:color="auto"/>
      </w:divBdr>
      <w:divsChild>
        <w:div w:id="663774891">
          <w:marLeft w:val="0"/>
          <w:marRight w:val="0"/>
          <w:marTop w:val="0"/>
          <w:marBottom w:val="0"/>
          <w:divBdr>
            <w:top w:val="none" w:sz="0" w:space="0" w:color="auto"/>
            <w:left w:val="none" w:sz="0" w:space="0" w:color="auto"/>
            <w:bottom w:val="none" w:sz="0" w:space="0" w:color="auto"/>
            <w:right w:val="none" w:sz="0" w:space="0" w:color="auto"/>
          </w:divBdr>
          <w:divsChild>
            <w:div w:id="1385908327">
              <w:marLeft w:val="0"/>
              <w:marRight w:val="0"/>
              <w:marTop w:val="0"/>
              <w:marBottom w:val="0"/>
              <w:divBdr>
                <w:top w:val="none" w:sz="0" w:space="0" w:color="auto"/>
                <w:left w:val="none" w:sz="0" w:space="0" w:color="auto"/>
                <w:bottom w:val="none" w:sz="0" w:space="0" w:color="auto"/>
                <w:right w:val="none" w:sz="0" w:space="0" w:color="auto"/>
              </w:divBdr>
              <w:divsChild>
                <w:div w:id="539971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1838230">
      <w:bodyDiv w:val="1"/>
      <w:marLeft w:val="0"/>
      <w:marRight w:val="0"/>
      <w:marTop w:val="0"/>
      <w:marBottom w:val="0"/>
      <w:divBdr>
        <w:top w:val="none" w:sz="0" w:space="0" w:color="auto"/>
        <w:left w:val="none" w:sz="0" w:space="0" w:color="auto"/>
        <w:bottom w:val="none" w:sz="0" w:space="0" w:color="auto"/>
        <w:right w:val="none" w:sz="0" w:space="0" w:color="auto"/>
      </w:divBdr>
    </w:div>
    <w:div w:id="1365712801">
      <w:bodyDiv w:val="1"/>
      <w:marLeft w:val="0"/>
      <w:marRight w:val="0"/>
      <w:marTop w:val="0"/>
      <w:marBottom w:val="0"/>
      <w:divBdr>
        <w:top w:val="none" w:sz="0" w:space="0" w:color="auto"/>
        <w:left w:val="none" w:sz="0" w:space="0" w:color="auto"/>
        <w:bottom w:val="none" w:sz="0" w:space="0" w:color="auto"/>
        <w:right w:val="none" w:sz="0" w:space="0" w:color="auto"/>
      </w:divBdr>
    </w:div>
    <w:div w:id="1438598634">
      <w:bodyDiv w:val="1"/>
      <w:marLeft w:val="0"/>
      <w:marRight w:val="0"/>
      <w:marTop w:val="0"/>
      <w:marBottom w:val="0"/>
      <w:divBdr>
        <w:top w:val="none" w:sz="0" w:space="0" w:color="auto"/>
        <w:left w:val="none" w:sz="0" w:space="0" w:color="auto"/>
        <w:bottom w:val="none" w:sz="0" w:space="0" w:color="auto"/>
        <w:right w:val="none" w:sz="0" w:space="0" w:color="auto"/>
      </w:divBdr>
      <w:divsChild>
        <w:div w:id="1210335255">
          <w:marLeft w:val="0"/>
          <w:marRight w:val="0"/>
          <w:marTop w:val="0"/>
          <w:marBottom w:val="0"/>
          <w:divBdr>
            <w:top w:val="none" w:sz="0" w:space="0" w:color="auto"/>
            <w:left w:val="none" w:sz="0" w:space="0" w:color="auto"/>
            <w:bottom w:val="none" w:sz="0" w:space="0" w:color="auto"/>
            <w:right w:val="none" w:sz="0" w:space="0" w:color="auto"/>
          </w:divBdr>
        </w:div>
      </w:divsChild>
    </w:div>
    <w:div w:id="1461847462">
      <w:bodyDiv w:val="1"/>
      <w:marLeft w:val="0"/>
      <w:marRight w:val="0"/>
      <w:marTop w:val="0"/>
      <w:marBottom w:val="0"/>
      <w:divBdr>
        <w:top w:val="none" w:sz="0" w:space="0" w:color="auto"/>
        <w:left w:val="none" w:sz="0" w:space="0" w:color="auto"/>
        <w:bottom w:val="none" w:sz="0" w:space="0" w:color="auto"/>
        <w:right w:val="none" w:sz="0" w:space="0" w:color="auto"/>
      </w:divBdr>
    </w:div>
    <w:div w:id="1478839865">
      <w:bodyDiv w:val="1"/>
      <w:marLeft w:val="0"/>
      <w:marRight w:val="0"/>
      <w:marTop w:val="0"/>
      <w:marBottom w:val="0"/>
      <w:divBdr>
        <w:top w:val="none" w:sz="0" w:space="0" w:color="auto"/>
        <w:left w:val="none" w:sz="0" w:space="0" w:color="auto"/>
        <w:bottom w:val="none" w:sz="0" w:space="0" w:color="auto"/>
        <w:right w:val="none" w:sz="0" w:space="0" w:color="auto"/>
      </w:divBdr>
    </w:div>
    <w:div w:id="1512723973">
      <w:bodyDiv w:val="1"/>
      <w:marLeft w:val="0"/>
      <w:marRight w:val="0"/>
      <w:marTop w:val="0"/>
      <w:marBottom w:val="0"/>
      <w:divBdr>
        <w:top w:val="none" w:sz="0" w:space="0" w:color="auto"/>
        <w:left w:val="none" w:sz="0" w:space="0" w:color="auto"/>
        <w:bottom w:val="none" w:sz="0" w:space="0" w:color="auto"/>
        <w:right w:val="none" w:sz="0" w:space="0" w:color="auto"/>
      </w:divBdr>
    </w:div>
    <w:div w:id="1524397814">
      <w:bodyDiv w:val="1"/>
      <w:marLeft w:val="0"/>
      <w:marRight w:val="0"/>
      <w:marTop w:val="0"/>
      <w:marBottom w:val="0"/>
      <w:divBdr>
        <w:top w:val="none" w:sz="0" w:space="0" w:color="auto"/>
        <w:left w:val="none" w:sz="0" w:space="0" w:color="auto"/>
        <w:bottom w:val="none" w:sz="0" w:space="0" w:color="auto"/>
        <w:right w:val="none" w:sz="0" w:space="0" w:color="auto"/>
      </w:divBdr>
    </w:div>
    <w:div w:id="1545435982">
      <w:bodyDiv w:val="1"/>
      <w:marLeft w:val="0"/>
      <w:marRight w:val="0"/>
      <w:marTop w:val="0"/>
      <w:marBottom w:val="0"/>
      <w:divBdr>
        <w:top w:val="none" w:sz="0" w:space="0" w:color="auto"/>
        <w:left w:val="none" w:sz="0" w:space="0" w:color="auto"/>
        <w:bottom w:val="none" w:sz="0" w:space="0" w:color="auto"/>
        <w:right w:val="none" w:sz="0" w:space="0" w:color="auto"/>
      </w:divBdr>
    </w:div>
    <w:div w:id="1635871416">
      <w:bodyDiv w:val="1"/>
      <w:marLeft w:val="0"/>
      <w:marRight w:val="0"/>
      <w:marTop w:val="0"/>
      <w:marBottom w:val="0"/>
      <w:divBdr>
        <w:top w:val="none" w:sz="0" w:space="0" w:color="auto"/>
        <w:left w:val="none" w:sz="0" w:space="0" w:color="auto"/>
        <w:bottom w:val="none" w:sz="0" w:space="0" w:color="auto"/>
        <w:right w:val="none" w:sz="0" w:space="0" w:color="auto"/>
      </w:divBdr>
    </w:div>
    <w:div w:id="1640302278">
      <w:bodyDiv w:val="1"/>
      <w:marLeft w:val="0"/>
      <w:marRight w:val="0"/>
      <w:marTop w:val="0"/>
      <w:marBottom w:val="0"/>
      <w:divBdr>
        <w:top w:val="none" w:sz="0" w:space="0" w:color="auto"/>
        <w:left w:val="none" w:sz="0" w:space="0" w:color="auto"/>
        <w:bottom w:val="none" w:sz="0" w:space="0" w:color="auto"/>
        <w:right w:val="none" w:sz="0" w:space="0" w:color="auto"/>
      </w:divBdr>
    </w:div>
    <w:div w:id="1685327810">
      <w:bodyDiv w:val="1"/>
      <w:marLeft w:val="0"/>
      <w:marRight w:val="0"/>
      <w:marTop w:val="0"/>
      <w:marBottom w:val="0"/>
      <w:divBdr>
        <w:top w:val="none" w:sz="0" w:space="0" w:color="auto"/>
        <w:left w:val="none" w:sz="0" w:space="0" w:color="auto"/>
        <w:bottom w:val="none" w:sz="0" w:space="0" w:color="auto"/>
        <w:right w:val="none" w:sz="0" w:space="0" w:color="auto"/>
      </w:divBdr>
      <w:divsChild>
        <w:div w:id="762454072">
          <w:marLeft w:val="0"/>
          <w:marRight w:val="0"/>
          <w:marTop w:val="0"/>
          <w:marBottom w:val="0"/>
          <w:divBdr>
            <w:top w:val="none" w:sz="0" w:space="0" w:color="auto"/>
            <w:left w:val="none" w:sz="0" w:space="0" w:color="auto"/>
            <w:bottom w:val="none" w:sz="0" w:space="0" w:color="auto"/>
            <w:right w:val="none" w:sz="0" w:space="0" w:color="auto"/>
          </w:divBdr>
        </w:div>
        <w:div w:id="495919426">
          <w:marLeft w:val="0"/>
          <w:marRight w:val="0"/>
          <w:marTop w:val="0"/>
          <w:marBottom w:val="0"/>
          <w:divBdr>
            <w:top w:val="none" w:sz="0" w:space="0" w:color="auto"/>
            <w:left w:val="none" w:sz="0" w:space="0" w:color="auto"/>
            <w:bottom w:val="none" w:sz="0" w:space="0" w:color="auto"/>
            <w:right w:val="none" w:sz="0" w:space="0" w:color="auto"/>
          </w:divBdr>
        </w:div>
        <w:div w:id="2012680383">
          <w:marLeft w:val="0"/>
          <w:marRight w:val="0"/>
          <w:marTop w:val="0"/>
          <w:marBottom w:val="0"/>
          <w:divBdr>
            <w:top w:val="none" w:sz="0" w:space="0" w:color="auto"/>
            <w:left w:val="none" w:sz="0" w:space="0" w:color="auto"/>
            <w:bottom w:val="none" w:sz="0" w:space="0" w:color="auto"/>
            <w:right w:val="none" w:sz="0" w:space="0" w:color="auto"/>
          </w:divBdr>
        </w:div>
        <w:div w:id="2113434605">
          <w:marLeft w:val="0"/>
          <w:marRight w:val="0"/>
          <w:marTop w:val="0"/>
          <w:marBottom w:val="0"/>
          <w:divBdr>
            <w:top w:val="none" w:sz="0" w:space="0" w:color="auto"/>
            <w:left w:val="none" w:sz="0" w:space="0" w:color="auto"/>
            <w:bottom w:val="none" w:sz="0" w:space="0" w:color="auto"/>
            <w:right w:val="none" w:sz="0" w:space="0" w:color="auto"/>
          </w:divBdr>
        </w:div>
        <w:div w:id="113524457">
          <w:marLeft w:val="0"/>
          <w:marRight w:val="0"/>
          <w:marTop w:val="0"/>
          <w:marBottom w:val="0"/>
          <w:divBdr>
            <w:top w:val="none" w:sz="0" w:space="0" w:color="auto"/>
            <w:left w:val="none" w:sz="0" w:space="0" w:color="auto"/>
            <w:bottom w:val="none" w:sz="0" w:space="0" w:color="auto"/>
            <w:right w:val="none" w:sz="0" w:space="0" w:color="auto"/>
          </w:divBdr>
        </w:div>
        <w:div w:id="217402393">
          <w:marLeft w:val="0"/>
          <w:marRight w:val="0"/>
          <w:marTop w:val="0"/>
          <w:marBottom w:val="0"/>
          <w:divBdr>
            <w:top w:val="none" w:sz="0" w:space="0" w:color="auto"/>
            <w:left w:val="none" w:sz="0" w:space="0" w:color="auto"/>
            <w:bottom w:val="none" w:sz="0" w:space="0" w:color="auto"/>
            <w:right w:val="none" w:sz="0" w:space="0" w:color="auto"/>
          </w:divBdr>
        </w:div>
        <w:div w:id="85267455">
          <w:marLeft w:val="0"/>
          <w:marRight w:val="0"/>
          <w:marTop w:val="0"/>
          <w:marBottom w:val="0"/>
          <w:divBdr>
            <w:top w:val="none" w:sz="0" w:space="0" w:color="auto"/>
            <w:left w:val="none" w:sz="0" w:space="0" w:color="auto"/>
            <w:bottom w:val="none" w:sz="0" w:space="0" w:color="auto"/>
            <w:right w:val="none" w:sz="0" w:space="0" w:color="auto"/>
          </w:divBdr>
        </w:div>
        <w:div w:id="629047172">
          <w:marLeft w:val="0"/>
          <w:marRight w:val="0"/>
          <w:marTop w:val="0"/>
          <w:marBottom w:val="0"/>
          <w:divBdr>
            <w:top w:val="none" w:sz="0" w:space="0" w:color="auto"/>
            <w:left w:val="none" w:sz="0" w:space="0" w:color="auto"/>
            <w:bottom w:val="none" w:sz="0" w:space="0" w:color="auto"/>
            <w:right w:val="none" w:sz="0" w:space="0" w:color="auto"/>
          </w:divBdr>
        </w:div>
        <w:div w:id="411438584">
          <w:marLeft w:val="0"/>
          <w:marRight w:val="0"/>
          <w:marTop w:val="0"/>
          <w:marBottom w:val="0"/>
          <w:divBdr>
            <w:top w:val="none" w:sz="0" w:space="0" w:color="auto"/>
            <w:left w:val="none" w:sz="0" w:space="0" w:color="auto"/>
            <w:bottom w:val="none" w:sz="0" w:space="0" w:color="auto"/>
            <w:right w:val="none" w:sz="0" w:space="0" w:color="auto"/>
          </w:divBdr>
        </w:div>
        <w:div w:id="2002848606">
          <w:marLeft w:val="0"/>
          <w:marRight w:val="0"/>
          <w:marTop w:val="0"/>
          <w:marBottom w:val="0"/>
          <w:divBdr>
            <w:top w:val="none" w:sz="0" w:space="0" w:color="auto"/>
            <w:left w:val="none" w:sz="0" w:space="0" w:color="auto"/>
            <w:bottom w:val="none" w:sz="0" w:space="0" w:color="auto"/>
            <w:right w:val="none" w:sz="0" w:space="0" w:color="auto"/>
          </w:divBdr>
        </w:div>
        <w:div w:id="601840445">
          <w:marLeft w:val="0"/>
          <w:marRight w:val="0"/>
          <w:marTop w:val="0"/>
          <w:marBottom w:val="0"/>
          <w:divBdr>
            <w:top w:val="none" w:sz="0" w:space="0" w:color="auto"/>
            <w:left w:val="none" w:sz="0" w:space="0" w:color="auto"/>
            <w:bottom w:val="none" w:sz="0" w:space="0" w:color="auto"/>
            <w:right w:val="none" w:sz="0" w:space="0" w:color="auto"/>
          </w:divBdr>
        </w:div>
        <w:div w:id="1149008783">
          <w:marLeft w:val="0"/>
          <w:marRight w:val="0"/>
          <w:marTop w:val="0"/>
          <w:marBottom w:val="0"/>
          <w:divBdr>
            <w:top w:val="none" w:sz="0" w:space="0" w:color="auto"/>
            <w:left w:val="none" w:sz="0" w:space="0" w:color="auto"/>
            <w:bottom w:val="none" w:sz="0" w:space="0" w:color="auto"/>
            <w:right w:val="none" w:sz="0" w:space="0" w:color="auto"/>
          </w:divBdr>
        </w:div>
        <w:div w:id="1123310605">
          <w:marLeft w:val="0"/>
          <w:marRight w:val="0"/>
          <w:marTop w:val="0"/>
          <w:marBottom w:val="0"/>
          <w:divBdr>
            <w:top w:val="none" w:sz="0" w:space="0" w:color="auto"/>
            <w:left w:val="none" w:sz="0" w:space="0" w:color="auto"/>
            <w:bottom w:val="none" w:sz="0" w:space="0" w:color="auto"/>
            <w:right w:val="none" w:sz="0" w:space="0" w:color="auto"/>
          </w:divBdr>
        </w:div>
        <w:div w:id="41369156">
          <w:marLeft w:val="0"/>
          <w:marRight w:val="0"/>
          <w:marTop w:val="0"/>
          <w:marBottom w:val="0"/>
          <w:divBdr>
            <w:top w:val="none" w:sz="0" w:space="0" w:color="auto"/>
            <w:left w:val="none" w:sz="0" w:space="0" w:color="auto"/>
            <w:bottom w:val="none" w:sz="0" w:space="0" w:color="auto"/>
            <w:right w:val="none" w:sz="0" w:space="0" w:color="auto"/>
          </w:divBdr>
        </w:div>
        <w:div w:id="1531913923">
          <w:marLeft w:val="0"/>
          <w:marRight w:val="0"/>
          <w:marTop w:val="0"/>
          <w:marBottom w:val="0"/>
          <w:divBdr>
            <w:top w:val="none" w:sz="0" w:space="0" w:color="auto"/>
            <w:left w:val="none" w:sz="0" w:space="0" w:color="auto"/>
            <w:bottom w:val="none" w:sz="0" w:space="0" w:color="auto"/>
            <w:right w:val="none" w:sz="0" w:space="0" w:color="auto"/>
          </w:divBdr>
        </w:div>
        <w:div w:id="461117111">
          <w:marLeft w:val="0"/>
          <w:marRight w:val="0"/>
          <w:marTop w:val="0"/>
          <w:marBottom w:val="0"/>
          <w:divBdr>
            <w:top w:val="none" w:sz="0" w:space="0" w:color="auto"/>
            <w:left w:val="none" w:sz="0" w:space="0" w:color="auto"/>
            <w:bottom w:val="none" w:sz="0" w:space="0" w:color="auto"/>
            <w:right w:val="none" w:sz="0" w:space="0" w:color="auto"/>
          </w:divBdr>
        </w:div>
        <w:div w:id="2035963474">
          <w:marLeft w:val="0"/>
          <w:marRight w:val="0"/>
          <w:marTop w:val="0"/>
          <w:marBottom w:val="0"/>
          <w:divBdr>
            <w:top w:val="none" w:sz="0" w:space="0" w:color="auto"/>
            <w:left w:val="none" w:sz="0" w:space="0" w:color="auto"/>
            <w:bottom w:val="none" w:sz="0" w:space="0" w:color="auto"/>
            <w:right w:val="none" w:sz="0" w:space="0" w:color="auto"/>
          </w:divBdr>
        </w:div>
        <w:div w:id="717126870">
          <w:marLeft w:val="0"/>
          <w:marRight w:val="0"/>
          <w:marTop w:val="0"/>
          <w:marBottom w:val="0"/>
          <w:divBdr>
            <w:top w:val="none" w:sz="0" w:space="0" w:color="auto"/>
            <w:left w:val="none" w:sz="0" w:space="0" w:color="auto"/>
            <w:bottom w:val="none" w:sz="0" w:space="0" w:color="auto"/>
            <w:right w:val="none" w:sz="0" w:space="0" w:color="auto"/>
          </w:divBdr>
        </w:div>
        <w:div w:id="1068918204">
          <w:marLeft w:val="0"/>
          <w:marRight w:val="0"/>
          <w:marTop w:val="0"/>
          <w:marBottom w:val="0"/>
          <w:divBdr>
            <w:top w:val="none" w:sz="0" w:space="0" w:color="auto"/>
            <w:left w:val="none" w:sz="0" w:space="0" w:color="auto"/>
            <w:bottom w:val="none" w:sz="0" w:space="0" w:color="auto"/>
            <w:right w:val="none" w:sz="0" w:space="0" w:color="auto"/>
          </w:divBdr>
        </w:div>
        <w:div w:id="2093233090">
          <w:marLeft w:val="0"/>
          <w:marRight w:val="0"/>
          <w:marTop w:val="0"/>
          <w:marBottom w:val="0"/>
          <w:divBdr>
            <w:top w:val="none" w:sz="0" w:space="0" w:color="auto"/>
            <w:left w:val="none" w:sz="0" w:space="0" w:color="auto"/>
            <w:bottom w:val="none" w:sz="0" w:space="0" w:color="auto"/>
            <w:right w:val="none" w:sz="0" w:space="0" w:color="auto"/>
          </w:divBdr>
        </w:div>
        <w:div w:id="1099984682">
          <w:marLeft w:val="0"/>
          <w:marRight w:val="0"/>
          <w:marTop w:val="0"/>
          <w:marBottom w:val="0"/>
          <w:divBdr>
            <w:top w:val="none" w:sz="0" w:space="0" w:color="auto"/>
            <w:left w:val="none" w:sz="0" w:space="0" w:color="auto"/>
            <w:bottom w:val="none" w:sz="0" w:space="0" w:color="auto"/>
            <w:right w:val="none" w:sz="0" w:space="0" w:color="auto"/>
          </w:divBdr>
        </w:div>
        <w:div w:id="897593743">
          <w:marLeft w:val="0"/>
          <w:marRight w:val="0"/>
          <w:marTop w:val="0"/>
          <w:marBottom w:val="0"/>
          <w:divBdr>
            <w:top w:val="none" w:sz="0" w:space="0" w:color="auto"/>
            <w:left w:val="none" w:sz="0" w:space="0" w:color="auto"/>
            <w:bottom w:val="none" w:sz="0" w:space="0" w:color="auto"/>
            <w:right w:val="none" w:sz="0" w:space="0" w:color="auto"/>
          </w:divBdr>
        </w:div>
        <w:div w:id="1412897913">
          <w:marLeft w:val="0"/>
          <w:marRight w:val="0"/>
          <w:marTop w:val="0"/>
          <w:marBottom w:val="0"/>
          <w:divBdr>
            <w:top w:val="none" w:sz="0" w:space="0" w:color="auto"/>
            <w:left w:val="none" w:sz="0" w:space="0" w:color="auto"/>
            <w:bottom w:val="none" w:sz="0" w:space="0" w:color="auto"/>
            <w:right w:val="none" w:sz="0" w:space="0" w:color="auto"/>
          </w:divBdr>
        </w:div>
        <w:div w:id="1705982533">
          <w:marLeft w:val="0"/>
          <w:marRight w:val="0"/>
          <w:marTop w:val="0"/>
          <w:marBottom w:val="0"/>
          <w:divBdr>
            <w:top w:val="none" w:sz="0" w:space="0" w:color="auto"/>
            <w:left w:val="none" w:sz="0" w:space="0" w:color="auto"/>
            <w:bottom w:val="none" w:sz="0" w:space="0" w:color="auto"/>
            <w:right w:val="none" w:sz="0" w:space="0" w:color="auto"/>
          </w:divBdr>
        </w:div>
        <w:div w:id="192228819">
          <w:marLeft w:val="0"/>
          <w:marRight w:val="0"/>
          <w:marTop w:val="0"/>
          <w:marBottom w:val="0"/>
          <w:divBdr>
            <w:top w:val="none" w:sz="0" w:space="0" w:color="auto"/>
            <w:left w:val="none" w:sz="0" w:space="0" w:color="auto"/>
            <w:bottom w:val="none" w:sz="0" w:space="0" w:color="auto"/>
            <w:right w:val="none" w:sz="0" w:space="0" w:color="auto"/>
          </w:divBdr>
        </w:div>
        <w:div w:id="208031603">
          <w:marLeft w:val="0"/>
          <w:marRight w:val="0"/>
          <w:marTop w:val="0"/>
          <w:marBottom w:val="0"/>
          <w:divBdr>
            <w:top w:val="none" w:sz="0" w:space="0" w:color="auto"/>
            <w:left w:val="none" w:sz="0" w:space="0" w:color="auto"/>
            <w:bottom w:val="none" w:sz="0" w:space="0" w:color="auto"/>
            <w:right w:val="none" w:sz="0" w:space="0" w:color="auto"/>
          </w:divBdr>
        </w:div>
        <w:div w:id="360479845">
          <w:marLeft w:val="0"/>
          <w:marRight w:val="0"/>
          <w:marTop w:val="0"/>
          <w:marBottom w:val="0"/>
          <w:divBdr>
            <w:top w:val="none" w:sz="0" w:space="0" w:color="auto"/>
            <w:left w:val="none" w:sz="0" w:space="0" w:color="auto"/>
            <w:bottom w:val="none" w:sz="0" w:space="0" w:color="auto"/>
            <w:right w:val="none" w:sz="0" w:space="0" w:color="auto"/>
          </w:divBdr>
        </w:div>
        <w:div w:id="1668242352">
          <w:marLeft w:val="0"/>
          <w:marRight w:val="0"/>
          <w:marTop w:val="0"/>
          <w:marBottom w:val="0"/>
          <w:divBdr>
            <w:top w:val="none" w:sz="0" w:space="0" w:color="auto"/>
            <w:left w:val="none" w:sz="0" w:space="0" w:color="auto"/>
            <w:bottom w:val="none" w:sz="0" w:space="0" w:color="auto"/>
            <w:right w:val="none" w:sz="0" w:space="0" w:color="auto"/>
          </w:divBdr>
        </w:div>
        <w:div w:id="230972060">
          <w:marLeft w:val="0"/>
          <w:marRight w:val="0"/>
          <w:marTop w:val="0"/>
          <w:marBottom w:val="0"/>
          <w:divBdr>
            <w:top w:val="none" w:sz="0" w:space="0" w:color="auto"/>
            <w:left w:val="none" w:sz="0" w:space="0" w:color="auto"/>
            <w:bottom w:val="none" w:sz="0" w:space="0" w:color="auto"/>
            <w:right w:val="none" w:sz="0" w:space="0" w:color="auto"/>
          </w:divBdr>
        </w:div>
        <w:div w:id="1043602095">
          <w:marLeft w:val="0"/>
          <w:marRight w:val="0"/>
          <w:marTop w:val="0"/>
          <w:marBottom w:val="0"/>
          <w:divBdr>
            <w:top w:val="none" w:sz="0" w:space="0" w:color="auto"/>
            <w:left w:val="none" w:sz="0" w:space="0" w:color="auto"/>
            <w:bottom w:val="none" w:sz="0" w:space="0" w:color="auto"/>
            <w:right w:val="none" w:sz="0" w:space="0" w:color="auto"/>
          </w:divBdr>
        </w:div>
        <w:div w:id="1127356122">
          <w:marLeft w:val="0"/>
          <w:marRight w:val="0"/>
          <w:marTop w:val="0"/>
          <w:marBottom w:val="0"/>
          <w:divBdr>
            <w:top w:val="none" w:sz="0" w:space="0" w:color="auto"/>
            <w:left w:val="none" w:sz="0" w:space="0" w:color="auto"/>
            <w:bottom w:val="none" w:sz="0" w:space="0" w:color="auto"/>
            <w:right w:val="none" w:sz="0" w:space="0" w:color="auto"/>
          </w:divBdr>
        </w:div>
        <w:div w:id="773941981">
          <w:marLeft w:val="0"/>
          <w:marRight w:val="0"/>
          <w:marTop w:val="0"/>
          <w:marBottom w:val="0"/>
          <w:divBdr>
            <w:top w:val="none" w:sz="0" w:space="0" w:color="auto"/>
            <w:left w:val="none" w:sz="0" w:space="0" w:color="auto"/>
            <w:bottom w:val="none" w:sz="0" w:space="0" w:color="auto"/>
            <w:right w:val="none" w:sz="0" w:space="0" w:color="auto"/>
          </w:divBdr>
        </w:div>
        <w:div w:id="1176723190">
          <w:marLeft w:val="0"/>
          <w:marRight w:val="0"/>
          <w:marTop w:val="0"/>
          <w:marBottom w:val="0"/>
          <w:divBdr>
            <w:top w:val="none" w:sz="0" w:space="0" w:color="auto"/>
            <w:left w:val="none" w:sz="0" w:space="0" w:color="auto"/>
            <w:bottom w:val="none" w:sz="0" w:space="0" w:color="auto"/>
            <w:right w:val="none" w:sz="0" w:space="0" w:color="auto"/>
          </w:divBdr>
        </w:div>
        <w:div w:id="393085934">
          <w:marLeft w:val="0"/>
          <w:marRight w:val="0"/>
          <w:marTop w:val="0"/>
          <w:marBottom w:val="0"/>
          <w:divBdr>
            <w:top w:val="none" w:sz="0" w:space="0" w:color="auto"/>
            <w:left w:val="none" w:sz="0" w:space="0" w:color="auto"/>
            <w:bottom w:val="none" w:sz="0" w:space="0" w:color="auto"/>
            <w:right w:val="none" w:sz="0" w:space="0" w:color="auto"/>
          </w:divBdr>
        </w:div>
        <w:div w:id="1383019642">
          <w:marLeft w:val="0"/>
          <w:marRight w:val="0"/>
          <w:marTop w:val="0"/>
          <w:marBottom w:val="0"/>
          <w:divBdr>
            <w:top w:val="none" w:sz="0" w:space="0" w:color="auto"/>
            <w:left w:val="none" w:sz="0" w:space="0" w:color="auto"/>
            <w:bottom w:val="none" w:sz="0" w:space="0" w:color="auto"/>
            <w:right w:val="none" w:sz="0" w:space="0" w:color="auto"/>
          </w:divBdr>
        </w:div>
        <w:div w:id="892738919">
          <w:marLeft w:val="0"/>
          <w:marRight w:val="0"/>
          <w:marTop w:val="0"/>
          <w:marBottom w:val="0"/>
          <w:divBdr>
            <w:top w:val="none" w:sz="0" w:space="0" w:color="auto"/>
            <w:left w:val="none" w:sz="0" w:space="0" w:color="auto"/>
            <w:bottom w:val="none" w:sz="0" w:space="0" w:color="auto"/>
            <w:right w:val="none" w:sz="0" w:space="0" w:color="auto"/>
          </w:divBdr>
        </w:div>
        <w:div w:id="12850168">
          <w:marLeft w:val="0"/>
          <w:marRight w:val="0"/>
          <w:marTop w:val="0"/>
          <w:marBottom w:val="0"/>
          <w:divBdr>
            <w:top w:val="none" w:sz="0" w:space="0" w:color="auto"/>
            <w:left w:val="none" w:sz="0" w:space="0" w:color="auto"/>
            <w:bottom w:val="none" w:sz="0" w:space="0" w:color="auto"/>
            <w:right w:val="none" w:sz="0" w:space="0" w:color="auto"/>
          </w:divBdr>
        </w:div>
        <w:div w:id="673997789">
          <w:marLeft w:val="0"/>
          <w:marRight w:val="0"/>
          <w:marTop w:val="0"/>
          <w:marBottom w:val="0"/>
          <w:divBdr>
            <w:top w:val="none" w:sz="0" w:space="0" w:color="auto"/>
            <w:left w:val="none" w:sz="0" w:space="0" w:color="auto"/>
            <w:bottom w:val="none" w:sz="0" w:space="0" w:color="auto"/>
            <w:right w:val="none" w:sz="0" w:space="0" w:color="auto"/>
          </w:divBdr>
        </w:div>
        <w:div w:id="993140380">
          <w:marLeft w:val="0"/>
          <w:marRight w:val="0"/>
          <w:marTop w:val="0"/>
          <w:marBottom w:val="0"/>
          <w:divBdr>
            <w:top w:val="none" w:sz="0" w:space="0" w:color="auto"/>
            <w:left w:val="none" w:sz="0" w:space="0" w:color="auto"/>
            <w:bottom w:val="none" w:sz="0" w:space="0" w:color="auto"/>
            <w:right w:val="none" w:sz="0" w:space="0" w:color="auto"/>
          </w:divBdr>
        </w:div>
        <w:div w:id="1173376433">
          <w:marLeft w:val="0"/>
          <w:marRight w:val="0"/>
          <w:marTop w:val="0"/>
          <w:marBottom w:val="0"/>
          <w:divBdr>
            <w:top w:val="none" w:sz="0" w:space="0" w:color="auto"/>
            <w:left w:val="none" w:sz="0" w:space="0" w:color="auto"/>
            <w:bottom w:val="none" w:sz="0" w:space="0" w:color="auto"/>
            <w:right w:val="none" w:sz="0" w:space="0" w:color="auto"/>
          </w:divBdr>
        </w:div>
        <w:div w:id="575634479">
          <w:marLeft w:val="0"/>
          <w:marRight w:val="0"/>
          <w:marTop w:val="0"/>
          <w:marBottom w:val="0"/>
          <w:divBdr>
            <w:top w:val="none" w:sz="0" w:space="0" w:color="auto"/>
            <w:left w:val="none" w:sz="0" w:space="0" w:color="auto"/>
            <w:bottom w:val="none" w:sz="0" w:space="0" w:color="auto"/>
            <w:right w:val="none" w:sz="0" w:space="0" w:color="auto"/>
          </w:divBdr>
        </w:div>
        <w:div w:id="1375889642">
          <w:marLeft w:val="0"/>
          <w:marRight w:val="0"/>
          <w:marTop w:val="0"/>
          <w:marBottom w:val="0"/>
          <w:divBdr>
            <w:top w:val="none" w:sz="0" w:space="0" w:color="auto"/>
            <w:left w:val="none" w:sz="0" w:space="0" w:color="auto"/>
            <w:bottom w:val="none" w:sz="0" w:space="0" w:color="auto"/>
            <w:right w:val="none" w:sz="0" w:space="0" w:color="auto"/>
          </w:divBdr>
        </w:div>
        <w:div w:id="159201092">
          <w:marLeft w:val="0"/>
          <w:marRight w:val="0"/>
          <w:marTop w:val="0"/>
          <w:marBottom w:val="0"/>
          <w:divBdr>
            <w:top w:val="none" w:sz="0" w:space="0" w:color="auto"/>
            <w:left w:val="none" w:sz="0" w:space="0" w:color="auto"/>
            <w:bottom w:val="none" w:sz="0" w:space="0" w:color="auto"/>
            <w:right w:val="none" w:sz="0" w:space="0" w:color="auto"/>
          </w:divBdr>
        </w:div>
        <w:div w:id="978919820">
          <w:marLeft w:val="0"/>
          <w:marRight w:val="0"/>
          <w:marTop w:val="0"/>
          <w:marBottom w:val="0"/>
          <w:divBdr>
            <w:top w:val="none" w:sz="0" w:space="0" w:color="auto"/>
            <w:left w:val="none" w:sz="0" w:space="0" w:color="auto"/>
            <w:bottom w:val="none" w:sz="0" w:space="0" w:color="auto"/>
            <w:right w:val="none" w:sz="0" w:space="0" w:color="auto"/>
          </w:divBdr>
        </w:div>
        <w:div w:id="247661402">
          <w:marLeft w:val="0"/>
          <w:marRight w:val="0"/>
          <w:marTop w:val="0"/>
          <w:marBottom w:val="0"/>
          <w:divBdr>
            <w:top w:val="none" w:sz="0" w:space="0" w:color="auto"/>
            <w:left w:val="none" w:sz="0" w:space="0" w:color="auto"/>
            <w:bottom w:val="none" w:sz="0" w:space="0" w:color="auto"/>
            <w:right w:val="none" w:sz="0" w:space="0" w:color="auto"/>
          </w:divBdr>
        </w:div>
        <w:div w:id="204684626">
          <w:marLeft w:val="0"/>
          <w:marRight w:val="0"/>
          <w:marTop w:val="0"/>
          <w:marBottom w:val="0"/>
          <w:divBdr>
            <w:top w:val="none" w:sz="0" w:space="0" w:color="auto"/>
            <w:left w:val="none" w:sz="0" w:space="0" w:color="auto"/>
            <w:bottom w:val="none" w:sz="0" w:space="0" w:color="auto"/>
            <w:right w:val="none" w:sz="0" w:space="0" w:color="auto"/>
          </w:divBdr>
        </w:div>
        <w:div w:id="343094387">
          <w:marLeft w:val="0"/>
          <w:marRight w:val="0"/>
          <w:marTop w:val="0"/>
          <w:marBottom w:val="0"/>
          <w:divBdr>
            <w:top w:val="none" w:sz="0" w:space="0" w:color="auto"/>
            <w:left w:val="none" w:sz="0" w:space="0" w:color="auto"/>
            <w:bottom w:val="none" w:sz="0" w:space="0" w:color="auto"/>
            <w:right w:val="none" w:sz="0" w:space="0" w:color="auto"/>
          </w:divBdr>
        </w:div>
        <w:div w:id="1116364421">
          <w:marLeft w:val="0"/>
          <w:marRight w:val="0"/>
          <w:marTop w:val="0"/>
          <w:marBottom w:val="0"/>
          <w:divBdr>
            <w:top w:val="none" w:sz="0" w:space="0" w:color="auto"/>
            <w:left w:val="none" w:sz="0" w:space="0" w:color="auto"/>
            <w:bottom w:val="none" w:sz="0" w:space="0" w:color="auto"/>
            <w:right w:val="none" w:sz="0" w:space="0" w:color="auto"/>
          </w:divBdr>
        </w:div>
        <w:div w:id="886839193">
          <w:marLeft w:val="0"/>
          <w:marRight w:val="0"/>
          <w:marTop w:val="0"/>
          <w:marBottom w:val="0"/>
          <w:divBdr>
            <w:top w:val="none" w:sz="0" w:space="0" w:color="auto"/>
            <w:left w:val="none" w:sz="0" w:space="0" w:color="auto"/>
            <w:bottom w:val="none" w:sz="0" w:space="0" w:color="auto"/>
            <w:right w:val="none" w:sz="0" w:space="0" w:color="auto"/>
          </w:divBdr>
        </w:div>
        <w:div w:id="1684815239">
          <w:marLeft w:val="0"/>
          <w:marRight w:val="0"/>
          <w:marTop w:val="0"/>
          <w:marBottom w:val="0"/>
          <w:divBdr>
            <w:top w:val="none" w:sz="0" w:space="0" w:color="auto"/>
            <w:left w:val="none" w:sz="0" w:space="0" w:color="auto"/>
            <w:bottom w:val="none" w:sz="0" w:space="0" w:color="auto"/>
            <w:right w:val="none" w:sz="0" w:space="0" w:color="auto"/>
          </w:divBdr>
        </w:div>
        <w:div w:id="2087920858">
          <w:marLeft w:val="0"/>
          <w:marRight w:val="0"/>
          <w:marTop w:val="0"/>
          <w:marBottom w:val="0"/>
          <w:divBdr>
            <w:top w:val="none" w:sz="0" w:space="0" w:color="auto"/>
            <w:left w:val="none" w:sz="0" w:space="0" w:color="auto"/>
            <w:bottom w:val="none" w:sz="0" w:space="0" w:color="auto"/>
            <w:right w:val="none" w:sz="0" w:space="0" w:color="auto"/>
          </w:divBdr>
        </w:div>
      </w:divsChild>
    </w:div>
    <w:div w:id="1696467459">
      <w:bodyDiv w:val="1"/>
      <w:marLeft w:val="0"/>
      <w:marRight w:val="0"/>
      <w:marTop w:val="0"/>
      <w:marBottom w:val="0"/>
      <w:divBdr>
        <w:top w:val="none" w:sz="0" w:space="0" w:color="auto"/>
        <w:left w:val="none" w:sz="0" w:space="0" w:color="auto"/>
        <w:bottom w:val="none" w:sz="0" w:space="0" w:color="auto"/>
        <w:right w:val="none" w:sz="0" w:space="0" w:color="auto"/>
      </w:divBdr>
    </w:div>
    <w:div w:id="1742602303">
      <w:bodyDiv w:val="1"/>
      <w:marLeft w:val="0"/>
      <w:marRight w:val="0"/>
      <w:marTop w:val="0"/>
      <w:marBottom w:val="0"/>
      <w:divBdr>
        <w:top w:val="none" w:sz="0" w:space="0" w:color="auto"/>
        <w:left w:val="none" w:sz="0" w:space="0" w:color="auto"/>
        <w:bottom w:val="none" w:sz="0" w:space="0" w:color="auto"/>
        <w:right w:val="none" w:sz="0" w:space="0" w:color="auto"/>
      </w:divBdr>
    </w:div>
    <w:div w:id="1851135757">
      <w:bodyDiv w:val="1"/>
      <w:marLeft w:val="0"/>
      <w:marRight w:val="0"/>
      <w:marTop w:val="0"/>
      <w:marBottom w:val="0"/>
      <w:divBdr>
        <w:top w:val="none" w:sz="0" w:space="0" w:color="auto"/>
        <w:left w:val="none" w:sz="0" w:space="0" w:color="auto"/>
        <w:bottom w:val="none" w:sz="0" w:space="0" w:color="auto"/>
        <w:right w:val="none" w:sz="0" w:space="0" w:color="auto"/>
      </w:divBdr>
      <w:divsChild>
        <w:div w:id="886375400">
          <w:marLeft w:val="0"/>
          <w:marRight w:val="0"/>
          <w:marTop w:val="0"/>
          <w:marBottom w:val="0"/>
          <w:divBdr>
            <w:top w:val="none" w:sz="0" w:space="0" w:color="auto"/>
            <w:left w:val="none" w:sz="0" w:space="0" w:color="auto"/>
            <w:bottom w:val="none" w:sz="0" w:space="0" w:color="auto"/>
            <w:right w:val="none" w:sz="0" w:space="0" w:color="auto"/>
          </w:divBdr>
          <w:divsChild>
            <w:div w:id="1875384877">
              <w:marLeft w:val="0"/>
              <w:marRight w:val="0"/>
              <w:marTop w:val="0"/>
              <w:marBottom w:val="0"/>
              <w:divBdr>
                <w:top w:val="none" w:sz="0" w:space="0" w:color="auto"/>
                <w:left w:val="none" w:sz="0" w:space="0" w:color="auto"/>
                <w:bottom w:val="none" w:sz="0" w:space="0" w:color="auto"/>
                <w:right w:val="none" w:sz="0" w:space="0" w:color="auto"/>
              </w:divBdr>
              <w:divsChild>
                <w:div w:id="171460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0307363">
      <w:bodyDiv w:val="1"/>
      <w:marLeft w:val="0"/>
      <w:marRight w:val="0"/>
      <w:marTop w:val="0"/>
      <w:marBottom w:val="0"/>
      <w:divBdr>
        <w:top w:val="none" w:sz="0" w:space="0" w:color="auto"/>
        <w:left w:val="none" w:sz="0" w:space="0" w:color="auto"/>
        <w:bottom w:val="none" w:sz="0" w:space="0" w:color="auto"/>
        <w:right w:val="none" w:sz="0" w:space="0" w:color="auto"/>
      </w:divBdr>
    </w:div>
    <w:div w:id="1976330717">
      <w:bodyDiv w:val="1"/>
      <w:marLeft w:val="0"/>
      <w:marRight w:val="0"/>
      <w:marTop w:val="0"/>
      <w:marBottom w:val="0"/>
      <w:divBdr>
        <w:top w:val="none" w:sz="0" w:space="0" w:color="auto"/>
        <w:left w:val="none" w:sz="0" w:space="0" w:color="auto"/>
        <w:bottom w:val="none" w:sz="0" w:space="0" w:color="auto"/>
        <w:right w:val="none" w:sz="0" w:space="0" w:color="auto"/>
      </w:divBdr>
    </w:div>
    <w:div w:id="2026516059">
      <w:bodyDiv w:val="1"/>
      <w:marLeft w:val="0"/>
      <w:marRight w:val="0"/>
      <w:marTop w:val="0"/>
      <w:marBottom w:val="0"/>
      <w:divBdr>
        <w:top w:val="none" w:sz="0" w:space="0" w:color="auto"/>
        <w:left w:val="none" w:sz="0" w:space="0" w:color="auto"/>
        <w:bottom w:val="none" w:sz="0" w:space="0" w:color="auto"/>
        <w:right w:val="none" w:sz="0" w:space="0" w:color="auto"/>
      </w:divBdr>
      <w:divsChild>
        <w:div w:id="1402947709">
          <w:marLeft w:val="0"/>
          <w:marRight w:val="0"/>
          <w:marTop w:val="0"/>
          <w:marBottom w:val="0"/>
          <w:divBdr>
            <w:top w:val="none" w:sz="0" w:space="0" w:color="auto"/>
            <w:left w:val="none" w:sz="0" w:space="0" w:color="auto"/>
            <w:bottom w:val="none" w:sz="0" w:space="0" w:color="auto"/>
            <w:right w:val="none" w:sz="0" w:space="0" w:color="auto"/>
          </w:divBdr>
        </w:div>
      </w:divsChild>
    </w:div>
    <w:div w:id="2054503234">
      <w:bodyDiv w:val="1"/>
      <w:marLeft w:val="0"/>
      <w:marRight w:val="0"/>
      <w:marTop w:val="0"/>
      <w:marBottom w:val="0"/>
      <w:divBdr>
        <w:top w:val="none" w:sz="0" w:space="0" w:color="auto"/>
        <w:left w:val="none" w:sz="0" w:space="0" w:color="auto"/>
        <w:bottom w:val="none" w:sz="0" w:space="0" w:color="auto"/>
        <w:right w:val="none" w:sz="0" w:space="0" w:color="auto"/>
      </w:divBdr>
    </w:div>
    <w:div w:id="2099209648">
      <w:bodyDiv w:val="1"/>
      <w:marLeft w:val="0"/>
      <w:marRight w:val="0"/>
      <w:marTop w:val="0"/>
      <w:marBottom w:val="0"/>
      <w:divBdr>
        <w:top w:val="none" w:sz="0" w:space="0" w:color="auto"/>
        <w:left w:val="none" w:sz="0" w:space="0" w:color="auto"/>
        <w:bottom w:val="none" w:sz="0" w:space="0" w:color="auto"/>
        <w:right w:val="none" w:sz="0" w:space="0" w:color="auto"/>
      </w:divBdr>
    </w:div>
    <w:div w:id="2116944606">
      <w:bodyDiv w:val="1"/>
      <w:marLeft w:val="0"/>
      <w:marRight w:val="0"/>
      <w:marTop w:val="0"/>
      <w:marBottom w:val="0"/>
      <w:divBdr>
        <w:top w:val="none" w:sz="0" w:space="0" w:color="auto"/>
        <w:left w:val="none" w:sz="0" w:space="0" w:color="auto"/>
        <w:bottom w:val="none" w:sz="0" w:space="0" w:color="auto"/>
        <w:right w:val="none" w:sz="0" w:space="0" w:color="auto"/>
      </w:divBdr>
    </w:div>
    <w:div w:id="2118674938">
      <w:bodyDiv w:val="1"/>
      <w:marLeft w:val="0"/>
      <w:marRight w:val="0"/>
      <w:marTop w:val="0"/>
      <w:marBottom w:val="0"/>
      <w:divBdr>
        <w:top w:val="none" w:sz="0" w:space="0" w:color="auto"/>
        <w:left w:val="none" w:sz="0" w:space="0" w:color="auto"/>
        <w:bottom w:val="none" w:sz="0" w:space="0" w:color="auto"/>
        <w:right w:val="none" w:sz="0" w:space="0" w:color="auto"/>
      </w:divBdr>
    </w:div>
    <w:div w:id="2134134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1.xml"/><Relationship Id="rId18" Type="http://schemas.openxmlformats.org/officeDocument/2006/relationships/diagramQuickStyle" Target="diagrams/quickStyle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diagramLayout" Target="diagrams/layout1.xml"/><Relationship Id="rId2" Type="http://schemas.openxmlformats.org/officeDocument/2006/relationships/customXml" Target="../customXml/item2.xml"/><Relationship Id="rId16" Type="http://schemas.openxmlformats.org/officeDocument/2006/relationships/diagramData" Target="diagrams/data1.xml"/><Relationship Id="rId20" Type="http://schemas.microsoft.com/office/2007/relationships/diagramDrawing" Target="diagrams/drawing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2.emf"/><Relationship Id="rId23"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diagramColors" Target="diagrams/colors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2.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3610FFD-3CD7-4105-A4C6-5E9F701DFA4C}" type="doc">
      <dgm:prSet loTypeId="urn:microsoft.com/office/officeart/2005/8/layout/venn3" loCatId="relationship" qsTypeId="urn:microsoft.com/office/officeart/2005/8/quickstyle/simple1" qsCatId="simple" csTypeId="urn:microsoft.com/office/officeart/2005/8/colors/accent1_2" csCatId="accent1" phldr="1"/>
      <dgm:spPr/>
    </dgm:pt>
    <dgm:pt modelId="{2E9FAA6B-F80E-4952-BFC6-84F9B15925F4}">
      <dgm:prSet phldrT="[Text]"/>
      <dgm:spPr/>
      <dgm:t>
        <a:bodyPr/>
        <a:lstStyle/>
        <a:p>
          <a:r>
            <a:rPr lang="en-GB"/>
            <a:t>Classify</a:t>
          </a:r>
        </a:p>
      </dgm:t>
    </dgm:pt>
    <dgm:pt modelId="{51CEE1D9-124D-44DC-B365-E69B3D370DD8}" type="parTrans" cxnId="{063FD7BB-CE49-4E53-B92A-CC87A62550B2}">
      <dgm:prSet/>
      <dgm:spPr/>
      <dgm:t>
        <a:bodyPr/>
        <a:lstStyle/>
        <a:p>
          <a:endParaRPr lang="en-GB"/>
        </a:p>
      </dgm:t>
    </dgm:pt>
    <dgm:pt modelId="{C680C31D-969A-4DCC-A10A-C743B9591F8F}" type="sibTrans" cxnId="{063FD7BB-CE49-4E53-B92A-CC87A62550B2}">
      <dgm:prSet/>
      <dgm:spPr/>
      <dgm:t>
        <a:bodyPr/>
        <a:lstStyle/>
        <a:p>
          <a:endParaRPr lang="en-GB"/>
        </a:p>
      </dgm:t>
    </dgm:pt>
    <dgm:pt modelId="{0CF30495-6555-47C4-8A2D-A8EAE0397875}">
      <dgm:prSet phldrT="[Text]"/>
      <dgm:spPr/>
      <dgm:t>
        <a:bodyPr/>
        <a:lstStyle/>
        <a:p>
          <a:r>
            <a:rPr lang="en-GB"/>
            <a:t>Conserve</a:t>
          </a:r>
        </a:p>
      </dgm:t>
    </dgm:pt>
    <dgm:pt modelId="{E221EE69-D3BB-42FE-8B04-16B2E0EF21C1}" type="parTrans" cxnId="{732E6273-A1A4-480C-8D19-F85E0E7F1E68}">
      <dgm:prSet/>
      <dgm:spPr/>
      <dgm:t>
        <a:bodyPr/>
        <a:lstStyle/>
        <a:p>
          <a:endParaRPr lang="en-GB"/>
        </a:p>
      </dgm:t>
    </dgm:pt>
    <dgm:pt modelId="{CE6E6ED9-620E-4608-910A-9EC5DA6BF1AD}" type="sibTrans" cxnId="{732E6273-A1A4-480C-8D19-F85E0E7F1E68}">
      <dgm:prSet/>
      <dgm:spPr/>
      <dgm:t>
        <a:bodyPr/>
        <a:lstStyle/>
        <a:p>
          <a:endParaRPr lang="en-GB"/>
        </a:p>
      </dgm:t>
    </dgm:pt>
    <dgm:pt modelId="{9A230A93-D492-486F-931D-753F32E64B5E}">
      <dgm:prSet/>
      <dgm:spPr/>
      <dgm:t>
        <a:bodyPr/>
        <a:lstStyle/>
        <a:p>
          <a:r>
            <a:rPr lang="en-GB"/>
            <a:t>Counter</a:t>
          </a:r>
        </a:p>
      </dgm:t>
    </dgm:pt>
    <dgm:pt modelId="{CB9DB1FF-BAD3-4036-90C7-BC26CB016A83}" type="parTrans" cxnId="{FF5DE47A-B62B-4FAA-B8F6-218ADEA3D519}">
      <dgm:prSet/>
      <dgm:spPr/>
      <dgm:t>
        <a:bodyPr/>
        <a:lstStyle/>
        <a:p>
          <a:endParaRPr lang="en-GB"/>
        </a:p>
      </dgm:t>
    </dgm:pt>
    <dgm:pt modelId="{99E367AF-6F4B-4A5D-B2E6-B64640DD61AE}" type="sibTrans" cxnId="{FF5DE47A-B62B-4FAA-B8F6-218ADEA3D519}">
      <dgm:prSet/>
      <dgm:spPr/>
      <dgm:t>
        <a:bodyPr/>
        <a:lstStyle/>
        <a:p>
          <a:endParaRPr lang="en-GB"/>
        </a:p>
      </dgm:t>
    </dgm:pt>
    <dgm:pt modelId="{ECBA924D-ECEE-48F8-88FF-C44E0CFD05E5}" type="pres">
      <dgm:prSet presAssocID="{63610FFD-3CD7-4105-A4C6-5E9F701DFA4C}" presName="Name0" presStyleCnt="0">
        <dgm:presLayoutVars>
          <dgm:dir/>
          <dgm:resizeHandles val="exact"/>
        </dgm:presLayoutVars>
      </dgm:prSet>
      <dgm:spPr/>
    </dgm:pt>
    <dgm:pt modelId="{EBBB3490-2A2F-4DE0-8EC6-68E7590D308A}" type="pres">
      <dgm:prSet presAssocID="{2E9FAA6B-F80E-4952-BFC6-84F9B15925F4}" presName="Name5" presStyleLbl="vennNode1" presStyleIdx="0" presStyleCnt="3">
        <dgm:presLayoutVars>
          <dgm:bulletEnabled val="1"/>
        </dgm:presLayoutVars>
      </dgm:prSet>
      <dgm:spPr/>
    </dgm:pt>
    <dgm:pt modelId="{85A1EE40-D0C7-4B94-AA2E-41A0D7E882BB}" type="pres">
      <dgm:prSet presAssocID="{C680C31D-969A-4DCC-A10A-C743B9591F8F}" presName="space" presStyleCnt="0"/>
      <dgm:spPr/>
    </dgm:pt>
    <dgm:pt modelId="{08D279D2-36A0-426A-A1F4-CE7AC6284160}" type="pres">
      <dgm:prSet presAssocID="{0CF30495-6555-47C4-8A2D-A8EAE0397875}" presName="Name5" presStyleLbl="vennNode1" presStyleIdx="1" presStyleCnt="3">
        <dgm:presLayoutVars>
          <dgm:bulletEnabled val="1"/>
        </dgm:presLayoutVars>
      </dgm:prSet>
      <dgm:spPr/>
    </dgm:pt>
    <dgm:pt modelId="{B43196BA-AFAA-4EC1-A181-2D37B276B9D9}" type="pres">
      <dgm:prSet presAssocID="{CE6E6ED9-620E-4608-910A-9EC5DA6BF1AD}" presName="space" presStyleCnt="0"/>
      <dgm:spPr/>
    </dgm:pt>
    <dgm:pt modelId="{C85E322B-5C7C-4B36-A0A5-66A8FCA744F9}" type="pres">
      <dgm:prSet presAssocID="{9A230A93-D492-486F-931D-753F32E64B5E}" presName="Name5" presStyleLbl="vennNode1" presStyleIdx="2" presStyleCnt="3">
        <dgm:presLayoutVars>
          <dgm:bulletEnabled val="1"/>
        </dgm:presLayoutVars>
      </dgm:prSet>
      <dgm:spPr/>
    </dgm:pt>
  </dgm:ptLst>
  <dgm:cxnLst>
    <dgm:cxn modelId="{2845F306-DEF7-4691-B9F5-AF999325C5F0}" type="presOf" srcId="{2E9FAA6B-F80E-4952-BFC6-84F9B15925F4}" destId="{EBBB3490-2A2F-4DE0-8EC6-68E7590D308A}" srcOrd="0" destOrd="0" presId="urn:microsoft.com/office/officeart/2005/8/layout/venn3"/>
    <dgm:cxn modelId="{7B814815-E197-4224-BABD-B5F77B713ABF}" type="presOf" srcId="{0CF30495-6555-47C4-8A2D-A8EAE0397875}" destId="{08D279D2-36A0-426A-A1F4-CE7AC6284160}" srcOrd="0" destOrd="0" presId="urn:microsoft.com/office/officeart/2005/8/layout/venn3"/>
    <dgm:cxn modelId="{46CA6522-EA5D-4C8D-ABC9-069AC6C1C1B7}" type="presOf" srcId="{9A230A93-D492-486F-931D-753F32E64B5E}" destId="{C85E322B-5C7C-4B36-A0A5-66A8FCA744F9}" srcOrd="0" destOrd="0" presId="urn:microsoft.com/office/officeart/2005/8/layout/venn3"/>
    <dgm:cxn modelId="{B9F94B5B-AC60-4C9C-AF76-71A42DB4576F}" type="presOf" srcId="{63610FFD-3CD7-4105-A4C6-5E9F701DFA4C}" destId="{ECBA924D-ECEE-48F8-88FF-C44E0CFD05E5}" srcOrd="0" destOrd="0" presId="urn:microsoft.com/office/officeart/2005/8/layout/venn3"/>
    <dgm:cxn modelId="{732E6273-A1A4-480C-8D19-F85E0E7F1E68}" srcId="{63610FFD-3CD7-4105-A4C6-5E9F701DFA4C}" destId="{0CF30495-6555-47C4-8A2D-A8EAE0397875}" srcOrd="1" destOrd="0" parTransId="{E221EE69-D3BB-42FE-8B04-16B2E0EF21C1}" sibTransId="{CE6E6ED9-620E-4608-910A-9EC5DA6BF1AD}"/>
    <dgm:cxn modelId="{FF5DE47A-B62B-4FAA-B8F6-218ADEA3D519}" srcId="{63610FFD-3CD7-4105-A4C6-5E9F701DFA4C}" destId="{9A230A93-D492-486F-931D-753F32E64B5E}" srcOrd="2" destOrd="0" parTransId="{CB9DB1FF-BAD3-4036-90C7-BC26CB016A83}" sibTransId="{99E367AF-6F4B-4A5D-B2E6-B64640DD61AE}"/>
    <dgm:cxn modelId="{063FD7BB-CE49-4E53-B92A-CC87A62550B2}" srcId="{63610FFD-3CD7-4105-A4C6-5E9F701DFA4C}" destId="{2E9FAA6B-F80E-4952-BFC6-84F9B15925F4}" srcOrd="0" destOrd="0" parTransId="{51CEE1D9-124D-44DC-B365-E69B3D370DD8}" sibTransId="{C680C31D-969A-4DCC-A10A-C743B9591F8F}"/>
    <dgm:cxn modelId="{D69A87AA-A3CB-4B7A-803A-A0A96E73BE8E}" type="presParOf" srcId="{ECBA924D-ECEE-48F8-88FF-C44E0CFD05E5}" destId="{EBBB3490-2A2F-4DE0-8EC6-68E7590D308A}" srcOrd="0" destOrd="0" presId="urn:microsoft.com/office/officeart/2005/8/layout/venn3"/>
    <dgm:cxn modelId="{7D51E926-BB53-4060-9F32-F792D13CED1E}" type="presParOf" srcId="{ECBA924D-ECEE-48F8-88FF-C44E0CFD05E5}" destId="{85A1EE40-D0C7-4B94-AA2E-41A0D7E882BB}" srcOrd="1" destOrd="0" presId="urn:microsoft.com/office/officeart/2005/8/layout/venn3"/>
    <dgm:cxn modelId="{AB45EF0A-6ECA-4BF7-8B83-CDE8619455AE}" type="presParOf" srcId="{ECBA924D-ECEE-48F8-88FF-C44E0CFD05E5}" destId="{08D279D2-36A0-426A-A1F4-CE7AC6284160}" srcOrd="2" destOrd="0" presId="urn:microsoft.com/office/officeart/2005/8/layout/venn3"/>
    <dgm:cxn modelId="{835E489F-4D25-444F-A2EC-150283DD3701}" type="presParOf" srcId="{ECBA924D-ECEE-48F8-88FF-C44E0CFD05E5}" destId="{B43196BA-AFAA-4EC1-A181-2D37B276B9D9}" srcOrd="3" destOrd="0" presId="urn:microsoft.com/office/officeart/2005/8/layout/venn3"/>
    <dgm:cxn modelId="{0AE4356A-F095-46D3-8A63-FA2BB0644FC0}" type="presParOf" srcId="{ECBA924D-ECEE-48F8-88FF-C44E0CFD05E5}" destId="{C85E322B-5C7C-4B36-A0A5-66A8FCA744F9}" srcOrd="4" destOrd="0" presId="urn:microsoft.com/office/officeart/2005/8/layout/venn3"/>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BBB3490-2A2F-4DE0-8EC6-68E7590D308A}">
      <dsp:nvSpPr>
        <dsp:cNvPr id="0" name=""/>
        <dsp:cNvSpPr/>
      </dsp:nvSpPr>
      <dsp:spPr>
        <a:xfrm>
          <a:off x="461692" y="713"/>
          <a:ext cx="1721790" cy="1721790"/>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94756" tIns="26670" rIns="94756" bIns="26670" numCol="1" spcCol="1270" anchor="ctr" anchorCtr="0">
          <a:noAutofit/>
        </a:bodyPr>
        <a:lstStyle/>
        <a:p>
          <a:pPr marL="0" lvl="0" indent="0" algn="ctr" defTabSz="933450">
            <a:lnSpc>
              <a:spcPct val="90000"/>
            </a:lnSpc>
            <a:spcBef>
              <a:spcPct val="0"/>
            </a:spcBef>
            <a:spcAft>
              <a:spcPct val="35000"/>
            </a:spcAft>
            <a:buNone/>
          </a:pPr>
          <a:r>
            <a:rPr lang="en-GB" sz="2100" kern="1200"/>
            <a:t>Classify</a:t>
          </a:r>
        </a:p>
      </dsp:txBody>
      <dsp:txXfrm>
        <a:off x="713842" y="252863"/>
        <a:ext cx="1217490" cy="1217490"/>
      </dsp:txXfrm>
    </dsp:sp>
    <dsp:sp modelId="{08D279D2-36A0-426A-A1F4-CE7AC6284160}">
      <dsp:nvSpPr>
        <dsp:cNvPr id="0" name=""/>
        <dsp:cNvSpPr/>
      </dsp:nvSpPr>
      <dsp:spPr>
        <a:xfrm>
          <a:off x="1839124" y="713"/>
          <a:ext cx="1721790" cy="1721790"/>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94756" tIns="26670" rIns="94756" bIns="26670" numCol="1" spcCol="1270" anchor="ctr" anchorCtr="0">
          <a:noAutofit/>
        </a:bodyPr>
        <a:lstStyle/>
        <a:p>
          <a:pPr marL="0" lvl="0" indent="0" algn="ctr" defTabSz="933450">
            <a:lnSpc>
              <a:spcPct val="90000"/>
            </a:lnSpc>
            <a:spcBef>
              <a:spcPct val="0"/>
            </a:spcBef>
            <a:spcAft>
              <a:spcPct val="35000"/>
            </a:spcAft>
            <a:buNone/>
          </a:pPr>
          <a:r>
            <a:rPr lang="en-GB" sz="2100" kern="1200"/>
            <a:t>Conserve</a:t>
          </a:r>
        </a:p>
      </dsp:txBody>
      <dsp:txXfrm>
        <a:off x="2091274" y="252863"/>
        <a:ext cx="1217490" cy="1217490"/>
      </dsp:txXfrm>
    </dsp:sp>
    <dsp:sp modelId="{C85E322B-5C7C-4B36-A0A5-66A8FCA744F9}">
      <dsp:nvSpPr>
        <dsp:cNvPr id="0" name=""/>
        <dsp:cNvSpPr/>
      </dsp:nvSpPr>
      <dsp:spPr>
        <a:xfrm>
          <a:off x="3216557" y="713"/>
          <a:ext cx="1721790" cy="1721790"/>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94756" tIns="26670" rIns="94756" bIns="26670" numCol="1" spcCol="1270" anchor="ctr" anchorCtr="0">
          <a:noAutofit/>
        </a:bodyPr>
        <a:lstStyle/>
        <a:p>
          <a:pPr marL="0" lvl="0" indent="0" algn="ctr" defTabSz="933450">
            <a:lnSpc>
              <a:spcPct val="90000"/>
            </a:lnSpc>
            <a:spcBef>
              <a:spcPct val="0"/>
            </a:spcBef>
            <a:spcAft>
              <a:spcPct val="35000"/>
            </a:spcAft>
            <a:buNone/>
          </a:pPr>
          <a:r>
            <a:rPr lang="en-GB" sz="2100" kern="1200"/>
            <a:t>Counter</a:t>
          </a:r>
        </a:p>
      </dsp:txBody>
      <dsp:txXfrm>
        <a:off x="3468707" y="252863"/>
        <a:ext cx="1217490" cy="1217490"/>
      </dsp:txXfrm>
    </dsp:sp>
  </dsp:spTree>
</dsp:drawing>
</file>

<file path=word/diagrams/layout1.xml><?xml version="1.0" encoding="utf-8"?>
<dgm:layoutDef xmlns:dgm="http://schemas.openxmlformats.org/drawingml/2006/diagram" xmlns:a="http://schemas.openxmlformats.org/drawingml/2006/main" uniqueId="urn:microsoft.com/office/officeart/2005/8/layout/venn3">
  <dgm:title val=""/>
  <dgm:desc val=""/>
  <dgm:catLst>
    <dgm:cat type="relationship" pri="2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param type="fallback" val="2D"/>
        </dgm:alg>
      </dgm:if>
      <dgm:else name="Name3">
        <dgm:alg type="lin">
          <dgm:param type="fallback" val="2D"/>
          <dgm:param type="linDir" val="fromR"/>
        </dgm:alg>
      </dgm:else>
    </dgm:choose>
    <dgm:shape xmlns:r="http://schemas.openxmlformats.org/officeDocument/2006/relationships" r:blip="">
      <dgm:adjLst/>
    </dgm:shape>
    <dgm:presOf/>
    <dgm:constrLst>
      <dgm:constr type="w" for="ch" ptType="node" refType="w"/>
      <dgm:constr type="h" for="ch" ptType="node" refType="w" refFor="ch" refPtType="node"/>
      <dgm:constr type="w" for="ch" forName="space" refType="w" refFor="ch" refPtType="node" fact="-0.2"/>
      <dgm:constr type="primFontSz" for="ch" ptType="node" op="equ" val="65"/>
    </dgm:constrLst>
    <dgm:ruleLst/>
    <dgm:forEach name="Name4" axis="ch" ptType="node">
      <dgm:layoutNode name="Name5" styleLbl="vennNode1">
        <dgm:varLst>
          <dgm:bulletEnabled val="1"/>
        </dgm:varLst>
        <dgm:alg type="tx">
          <dgm:param type="txAnchorVertCh" val="mid"/>
          <dgm:param type="txAnchorHorzCh" val="ctr"/>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w" fact="0.156"/>
          <dgm:constr type="rMarg" refType="w" fact="0.156"/>
        </dgm:constrLst>
        <dgm:ruleLst>
          <dgm:rule type="primFontSz" val="5" fact="NaN" max="NaN"/>
        </dgm:ruleLst>
      </dgm:layoutNode>
      <dgm:forEach name="Name6"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66AE580-D736-4B20-ACEB-595F08389407}">
  <we:reference id="wa104382008" version="1.0.0.0" store="en-001" storeType="OMEX"/>
  <we:alternateReferences>
    <we:reference id="wa104382008" version="1.0.0.0" store="en-00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2019-05-03T00:00:00</PublishDate>
  <Abstract/>
  <CompanyAddress>UWTSD School of Applied Computing</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12" ma:contentTypeDescription="Create a new document." ma:contentTypeScope="" ma:versionID="16bd5e67eda2858455aa66f38a1dbd80">
  <xsd:schema xmlns:xsd="http://www.w3.org/2001/XMLSchema" xmlns:xs="http://www.w3.org/2001/XMLSchema" xmlns:p="http://schemas.microsoft.com/office/2006/metadata/properties" xmlns:ns3="e5b087ed-fd45-4b48-bae7-5ede8327259a" xmlns:ns4="009d2e54-86c4-4f39-be94-35164ff440f7" targetNamespace="http://schemas.microsoft.com/office/2006/metadata/properties" ma:root="true" ma:fieldsID="12d3e37af19731ba0269f60b963cd95e" ns3:_="" ns4:_="">
    <xsd:import namespace="e5b087ed-fd45-4b48-bae7-5ede8327259a"/>
    <xsd:import namespace="009d2e54-86c4-4f39-be94-35164ff440f7"/>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2" nillable="true" ma:displayName="MediaServiceOCR"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CF52169-6794-4886-B48A-2FE1ADA98D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009d2e54-86c4-4f39-be94-35164ff440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C4DDA13-AAD1-491F-95AB-42F8DF39C7A5}">
  <ds:schemaRefs>
    <ds:schemaRef ds:uri="http://schemas.microsoft.com/sharepoint/v3/contenttype/forms"/>
  </ds:schemaRefs>
</ds:datastoreItem>
</file>

<file path=customXml/itemProps4.xml><?xml version="1.0" encoding="utf-8"?>
<ds:datastoreItem xmlns:ds="http://schemas.openxmlformats.org/officeDocument/2006/customXml" ds:itemID="{1B9EE714-4879-44DC-BDF7-12183FF5E664}">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CEAA9A77-005B-414E-9962-C5CDF14F34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3496</TotalTime>
  <Pages>23</Pages>
  <Words>15486</Words>
  <Characters>88272</Characters>
  <Application>Microsoft Office Word</Application>
  <DocSecurity>0</DocSecurity>
  <Lines>735</Lines>
  <Paragraphs>207</Paragraphs>
  <ScaleCrop>false</ScaleCrop>
  <HeadingPairs>
    <vt:vector size="2" baseType="variant">
      <vt:variant>
        <vt:lpstr>Title</vt:lpstr>
      </vt:variant>
      <vt:variant>
        <vt:i4>1</vt:i4>
      </vt:variant>
    </vt:vector>
  </HeadingPairs>
  <TitlesOfParts>
    <vt:vector size="1" baseType="lpstr">
      <vt:lpstr>Developing a Smart Automated Medication Dispenser to Assist Patients with Cognitive and/or Motor Impairment</vt:lpstr>
    </vt:vector>
  </TitlesOfParts>
  <Company/>
  <LinksUpToDate>false</LinksUpToDate>
  <CharactersWithSpaces>103551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Lewington</dc:creator>
  <cp:keywords/>
  <dc:description/>
  <cp:lastModifiedBy>Matthew Dene Lewington</cp:lastModifiedBy>
  <cp:revision>902</cp:revision>
  <dcterms:created xsi:type="dcterms:W3CDTF">2020-10-01T20:59:00Z</dcterms:created>
  <dcterms:modified xsi:type="dcterms:W3CDTF">2021-01-10T21:29:00Z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27399963-f756-37ab-9bc0-1e8d5708c065</vt:lpwstr>
  </property>
  <property fmtid="{D5CDD505-2E9C-101B-9397-08002B2CF9AE}" pid="4" name="Mendeley Recent Style Id 0_1">
    <vt:lpwstr>http://www.zotero.org/styles/american-medical-association</vt:lpwstr>
  </property>
  <property fmtid="{D5CDD505-2E9C-101B-9397-08002B2CF9AE}" pid="5" name="Mendeley Recent Style Name 0_1">
    <vt:lpwstr>American Medical Association 11th edition</vt:lpwstr>
  </property>
  <property fmtid="{D5CDD505-2E9C-101B-9397-08002B2CF9AE}" pid="6" name="Mendeley Recent Style Id 1_1">
    <vt:lpwstr>http://www.zotero.org/styles/american-political-science-association</vt:lpwstr>
  </property>
  <property fmtid="{D5CDD505-2E9C-101B-9397-08002B2CF9AE}" pid="7" name="Mendeley Recent Style Name 1_1">
    <vt:lpwstr>American Political Science Association</vt:lpwstr>
  </property>
  <property fmtid="{D5CDD505-2E9C-101B-9397-08002B2CF9AE}" pid="8" name="Mendeley Recent Style Id 2_1">
    <vt:lpwstr>http://www.zotero.org/styles/apa</vt:lpwstr>
  </property>
  <property fmtid="{D5CDD505-2E9C-101B-9397-08002B2CF9AE}" pid="9" name="Mendeley Recent Style Name 2_1">
    <vt:lpwstr>American Psychological Association 7th edition</vt:lpwstr>
  </property>
  <property fmtid="{D5CDD505-2E9C-101B-9397-08002B2CF9AE}" pid="10" name="Mendeley Recent Style Id 3_1">
    <vt:lpwstr>http://www.zotero.org/styles/american-sociological-association</vt:lpwstr>
  </property>
  <property fmtid="{D5CDD505-2E9C-101B-9397-08002B2CF9AE}" pid="11" name="Mendeley Recent Style Name 3_1">
    <vt:lpwstr>American Sociological Association 6th edition</vt:lpwstr>
  </property>
  <property fmtid="{D5CDD505-2E9C-101B-9397-08002B2CF9AE}" pid="12" name="Mendeley Recent Style Id 4_1">
    <vt:lpwstr>http://www.zotero.org/styles/chicago-author-date</vt:lpwstr>
  </property>
  <property fmtid="{D5CDD505-2E9C-101B-9397-08002B2CF9AE}" pid="13" name="Mendeley Recent Style Name 4_1">
    <vt:lpwstr>Chicago Manual of Style 17th edition (author-date)</vt:lpwstr>
  </property>
  <property fmtid="{D5CDD505-2E9C-101B-9397-08002B2CF9AE}" pid="14" name="Mendeley Recent Style Id 5_1">
    <vt:lpwstr>http://www.zotero.org/styles/harvard-cite-them-right</vt:lpwstr>
  </property>
  <property fmtid="{D5CDD505-2E9C-101B-9397-08002B2CF9AE}" pid="15" name="Mendeley Recent Style Name 5_1">
    <vt:lpwstr>Cite Them Right 10th edition - Harvard</vt:lpwstr>
  </property>
  <property fmtid="{D5CDD505-2E9C-101B-9397-08002B2CF9AE}" pid="16" name="Mendeley Recent Style Id 6_1">
    <vt:lpwstr>http://www.zotero.org/styles/ieee</vt:lpwstr>
  </property>
  <property fmtid="{D5CDD505-2E9C-101B-9397-08002B2CF9AE}" pid="17" name="Mendeley Recent Style Name 6_1">
    <vt:lpwstr>IEEE</vt:lpwstr>
  </property>
  <property fmtid="{D5CDD505-2E9C-101B-9397-08002B2CF9AE}" pid="18" name="Mendeley Recent Style Id 7_1">
    <vt:lpwstr>http://www.zotero.org/styles/modern-humanities-research-association</vt:lpwstr>
  </property>
  <property fmtid="{D5CDD505-2E9C-101B-9397-08002B2CF9AE}" pid="19" name="Mendeley Recent Style Name 7_1">
    <vt:lpwstr>Modern Humanities Research Association 3rd edition (note with bibliography)</vt:lpwstr>
  </property>
  <property fmtid="{D5CDD505-2E9C-101B-9397-08002B2CF9AE}" pid="20" name="Mendeley Recent Style Id 8_1">
    <vt:lpwstr>http://www.zotero.org/styles/modern-language-association</vt:lpwstr>
  </property>
  <property fmtid="{D5CDD505-2E9C-101B-9397-08002B2CF9AE}" pid="21" name="Mendeley Recent Style Name 8_1">
    <vt:lpwstr>Modern Language Association 8th edition</vt:lpwstr>
  </property>
  <property fmtid="{D5CDD505-2E9C-101B-9397-08002B2CF9AE}" pid="22" name="Mendeley Recent Style Id 9_1">
    <vt:lpwstr>http://www.zotero.org/styles/nature</vt:lpwstr>
  </property>
  <property fmtid="{D5CDD505-2E9C-101B-9397-08002B2CF9AE}" pid="23" name="Mendeley Recent Style Name 9_1">
    <vt:lpwstr>Nature</vt:lpwstr>
  </property>
  <property fmtid="{D5CDD505-2E9C-101B-9397-08002B2CF9AE}" pid="24" name="Mendeley Citation Style_1">
    <vt:lpwstr>http://www.zotero.org/styles/ieee</vt:lpwstr>
  </property>
  <property fmtid="{D5CDD505-2E9C-101B-9397-08002B2CF9AE}" pid="25" name="ContentTypeId">
    <vt:lpwstr>0x0101003F5B9F87D69BA54197DE015BB36D6107</vt:lpwstr>
  </property>
</Properties>
</file>