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217F3" w14:textId="1789FB34" w:rsidR="00BA6D4C" w:rsidRDefault="00CE0412">
      <w:pPr>
        <w:pStyle w:val="Header"/>
        <w:jc w:val="right"/>
        <w:rPr>
          <w:rFonts w:ascii="Arial" w:hAnsi="Arial"/>
          <w:b/>
          <w:sz w:val="28"/>
          <w:szCs w:val="28"/>
        </w:rPr>
      </w:pPr>
      <w:r>
        <w:rPr>
          <w:rFonts w:ascii="Arial" w:hAnsi="Arial"/>
        </w:rPr>
        <w:t xml:space="preserve"> </w:t>
      </w:r>
      <w:r>
        <w:rPr>
          <w:rFonts w:ascii="Arial" w:hAnsi="Arial"/>
        </w:rPr>
        <w:br w:type="textWrapping" w:clear="all"/>
      </w:r>
    </w:p>
    <w:p w14:paraId="27700D41" w14:textId="77777777" w:rsidR="003172ED" w:rsidRDefault="003172ED" w:rsidP="003172ED">
      <w:pPr>
        <w:jc w:val="center"/>
      </w:pPr>
      <w:r>
        <w:rPr>
          <w:noProof/>
        </w:rPr>
        <w:drawing>
          <wp:inline distT="0" distB="0" distL="0" distR="0" wp14:anchorId="60ABF671" wp14:editId="73C3FD25">
            <wp:extent cx="3581400" cy="1289050"/>
            <wp:effectExtent l="0" t="0" r="0" b="6350"/>
            <wp:docPr id="405708618" name="Picture 1" descr="A couple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8618" name="Picture 1" descr="A couple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617032" cy="1301875"/>
                    </a:xfrm>
                    <a:prstGeom prst="rect">
                      <a:avLst/>
                    </a:prstGeom>
                  </pic:spPr>
                </pic:pic>
              </a:graphicData>
            </a:graphic>
          </wp:inline>
        </w:drawing>
      </w:r>
    </w:p>
    <w:p w14:paraId="10B94E0F" w14:textId="0EEE36E4" w:rsidR="003172ED" w:rsidRPr="00217A9C" w:rsidRDefault="003172ED" w:rsidP="003172ED">
      <w:pPr>
        <w:jc w:val="center"/>
        <w:rPr>
          <w:rFonts w:ascii="Arial" w:hAnsi="Arial"/>
          <w:b/>
          <w:bCs/>
          <w:sz w:val="40"/>
          <w:szCs w:val="40"/>
        </w:rPr>
      </w:pPr>
      <w:r w:rsidRPr="00217A9C">
        <w:rPr>
          <w:rFonts w:ascii="Arial" w:hAnsi="Arial"/>
          <w:b/>
          <w:bCs/>
          <w:sz w:val="40"/>
          <w:szCs w:val="40"/>
        </w:rPr>
        <w:t>Programme</w:t>
      </w:r>
      <w:r>
        <w:rPr>
          <w:rFonts w:ascii="Arial" w:hAnsi="Arial"/>
          <w:b/>
          <w:bCs/>
          <w:sz w:val="40"/>
          <w:szCs w:val="40"/>
        </w:rPr>
        <w:t>: -</w:t>
      </w:r>
      <w:r w:rsidRPr="00217A9C">
        <w:rPr>
          <w:rFonts w:ascii="Arial" w:hAnsi="Arial"/>
          <w:b/>
          <w:bCs/>
          <w:sz w:val="40"/>
          <w:szCs w:val="40"/>
        </w:rPr>
        <w:t xml:space="preserve"> Master of Business Administration</w:t>
      </w:r>
    </w:p>
    <w:p w14:paraId="2FF447F4" w14:textId="56E3DE0F" w:rsidR="003172ED" w:rsidRPr="00217A9C" w:rsidRDefault="003172ED" w:rsidP="003172ED">
      <w:pPr>
        <w:jc w:val="center"/>
        <w:rPr>
          <w:rFonts w:ascii="Arial" w:hAnsi="Arial"/>
          <w:b/>
          <w:bCs/>
          <w:sz w:val="40"/>
          <w:szCs w:val="40"/>
        </w:rPr>
      </w:pPr>
      <w:r w:rsidRPr="00217A9C">
        <w:rPr>
          <w:rFonts w:ascii="Arial" w:hAnsi="Arial"/>
          <w:b/>
          <w:bCs/>
          <w:sz w:val="40"/>
          <w:szCs w:val="40"/>
        </w:rPr>
        <w:t xml:space="preserve">Module: </w:t>
      </w:r>
      <w:r>
        <w:rPr>
          <w:rFonts w:ascii="Arial" w:hAnsi="Arial"/>
          <w:b/>
          <w:bCs/>
          <w:sz w:val="40"/>
          <w:szCs w:val="40"/>
        </w:rPr>
        <w:t>FINA</w:t>
      </w:r>
      <w:r w:rsidR="00C77EE7">
        <w:rPr>
          <w:rFonts w:ascii="Arial" w:hAnsi="Arial"/>
          <w:b/>
          <w:bCs/>
          <w:sz w:val="40"/>
          <w:szCs w:val="40"/>
        </w:rPr>
        <w:t>N</w:t>
      </w:r>
      <w:r>
        <w:rPr>
          <w:rFonts w:ascii="Arial" w:hAnsi="Arial"/>
          <w:b/>
          <w:bCs/>
          <w:sz w:val="40"/>
          <w:szCs w:val="40"/>
        </w:rPr>
        <w:t>CIAL</w:t>
      </w:r>
      <w:r w:rsidRPr="00217A9C">
        <w:rPr>
          <w:rFonts w:ascii="Arial" w:hAnsi="Arial"/>
          <w:b/>
          <w:bCs/>
          <w:sz w:val="40"/>
          <w:szCs w:val="40"/>
        </w:rPr>
        <w:t xml:space="preserve"> MANAGEMENT</w:t>
      </w:r>
    </w:p>
    <w:p w14:paraId="46B86761" w14:textId="273AD58A" w:rsidR="003172ED" w:rsidRPr="00217A9C" w:rsidRDefault="003172ED" w:rsidP="003172ED">
      <w:pPr>
        <w:jc w:val="center"/>
        <w:rPr>
          <w:rFonts w:ascii="Arial" w:hAnsi="Arial"/>
          <w:b/>
          <w:bCs/>
          <w:sz w:val="40"/>
          <w:szCs w:val="40"/>
        </w:rPr>
      </w:pPr>
      <w:r w:rsidRPr="00217A9C">
        <w:rPr>
          <w:rFonts w:ascii="Arial" w:hAnsi="Arial"/>
          <w:b/>
          <w:bCs/>
          <w:sz w:val="40"/>
          <w:szCs w:val="40"/>
        </w:rPr>
        <w:t>Module code:</w:t>
      </w:r>
      <w:r w:rsidRPr="00217A9C">
        <w:rPr>
          <w:sz w:val="40"/>
          <w:szCs w:val="40"/>
        </w:rPr>
        <w:t xml:space="preserve"> </w:t>
      </w:r>
      <w:r w:rsidRPr="003172ED">
        <w:rPr>
          <w:rFonts w:ascii="Arial" w:hAnsi="Arial"/>
          <w:b/>
          <w:bCs/>
          <w:sz w:val="40"/>
          <w:szCs w:val="40"/>
        </w:rPr>
        <w:t>LCMB7002</w:t>
      </w:r>
    </w:p>
    <w:p w14:paraId="2B62BD98" w14:textId="27BD9351" w:rsidR="003172ED" w:rsidRPr="00217A9C" w:rsidRDefault="003172ED" w:rsidP="003172ED">
      <w:pPr>
        <w:jc w:val="center"/>
        <w:rPr>
          <w:rFonts w:ascii="Arial" w:hAnsi="Arial"/>
          <w:b/>
          <w:bCs/>
          <w:sz w:val="40"/>
          <w:szCs w:val="40"/>
        </w:rPr>
      </w:pPr>
      <w:r w:rsidRPr="00217A9C">
        <w:rPr>
          <w:rFonts w:ascii="Arial" w:hAnsi="Arial"/>
          <w:b/>
          <w:bCs/>
          <w:sz w:val="40"/>
          <w:szCs w:val="40"/>
        </w:rPr>
        <w:t xml:space="preserve">Title: </w:t>
      </w:r>
      <w:r w:rsidRPr="003172ED">
        <w:rPr>
          <w:rFonts w:ascii="Arial" w:hAnsi="Arial"/>
          <w:b/>
          <w:bCs/>
          <w:sz w:val="40"/>
          <w:szCs w:val="40"/>
        </w:rPr>
        <w:t>STRATEGIC CFO CHALLENGE: SAVING A FAILING GLOBAL FIRM – GENERAL ELECTRONICS</w:t>
      </w:r>
    </w:p>
    <w:p w14:paraId="06104365" w14:textId="2A6FA141" w:rsidR="003172ED" w:rsidRPr="00217A9C" w:rsidRDefault="003172ED" w:rsidP="003172ED">
      <w:pPr>
        <w:jc w:val="center"/>
        <w:rPr>
          <w:rFonts w:ascii="Arial" w:hAnsi="Arial"/>
          <w:b/>
          <w:bCs/>
          <w:sz w:val="40"/>
          <w:szCs w:val="40"/>
        </w:rPr>
      </w:pPr>
      <w:r w:rsidRPr="00217A9C">
        <w:rPr>
          <w:rFonts w:ascii="Arial" w:hAnsi="Arial"/>
          <w:b/>
          <w:bCs/>
          <w:sz w:val="40"/>
          <w:szCs w:val="40"/>
        </w:rPr>
        <w:t xml:space="preserve">Word Count: </w:t>
      </w:r>
      <w:r>
        <w:rPr>
          <w:rFonts w:ascii="Arial" w:hAnsi="Arial"/>
          <w:b/>
          <w:bCs/>
          <w:sz w:val="40"/>
          <w:szCs w:val="40"/>
        </w:rPr>
        <w:t>5656</w:t>
      </w:r>
    </w:p>
    <w:p w14:paraId="38F61EA2" w14:textId="476BB958" w:rsidR="003172ED" w:rsidRPr="00217A9C" w:rsidRDefault="003172ED" w:rsidP="003172ED">
      <w:pPr>
        <w:jc w:val="center"/>
        <w:rPr>
          <w:rFonts w:ascii="Arial" w:hAnsi="Arial"/>
          <w:b/>
          <w:bCs/>
          <w:sz w:val="40"/>
          <w:szCs w:val="40"/>
        </w:rPr>
      </w:pPr>
      <w:r w:rsidRPr="00217A9C">
        <w:rPr>
          <w:rFonts w:ascii="Arial" w:hAnsi="Arial"/>
          <w:b/>
          <w:bCs/>
          <w:sz w:val="40"/>
          <w:szCs w:val="40"/>
        </w:rPr>
        <w:t xml:space="preserve">Lecturer: </w:t>
      </w:r>
      <w:r w:rsidR="00F62E91">
        <w:rPr>
          <w:rFonts w:ascii="Arial" w:hAnsi="Arial"/>
          <w:b/>
          <w:bCs/>
          <w:sz w:val="40"/>
          <w:szCs w:val="40"/>
        </w:rPr>
        <w:t xml:space="preserve">Dr. </w:t>
      </w:r>
      <w:r w:rsidRPr="003172ED">
        <w:rPr>
          <w:rFonts w:ascii="Arial" w:hAnsi="Arial"/>
          <w:b/>
          <w:bCs/>
          <w:sz w:val="40"/>
          <w:szCs w:val="40"/>
        </w:rPr>
        <w:t>Patrick Yeboah</w:t>
      </w:r>
    </w:p>
    <w:p w14:paraId="5501F562" w14:textId="77777777" w:rsidR="003172ED" w:rsidRPr="00217A9C" w:rsidRDefault="003172ED" w:rsidP="003172ED">
      <w:pPr>
        <w:jc w:val="center"/>
        <w:rPr>
          <w:rFonts w:ascii="Arial" w:hAnsi="Arial"/>
          <w:b/>
          <w:bCs/>
          <w:sz w:val="40"/>
          <w:szCs w:val="40"/>
        </w:rPr>
      </w:pPr>
      <w:r w:rsidRPr="00217A9C">
        <w:rPr>
          <w:rFonts w:ascii="Arial" w:hAnsi="Arial"/>
          <w:b/>
          <w:bCs/>
          <w:sz w:val="40"/>
          <w:szCs w:val="40"/>
        </w:rPr>
        <w:t>Student Name: Vaishnavi Vasantrao Patil</w:t>
      </w:r>
    </w:p>
    <w:p w14:paraId="472F83D9" w14:textId="77777777" w:rsidR="003172ED" w:rsidRPr="00217A9C" w:rsidRDefault="003172ED" w:rsidP="003172ED">
      <w:pPr>
        <w:jc w:val="center"/>
        <w:rPr>
          <w:rFonts w:ascii="Arial" w:hAnsi="Arial"/>
          <w:b/>
          <w:bCs/>
          <w:sz w:val="40"/>
          <w:szCs w:val="40"/>
        </w:rPr>
      </w:pPr>
      <w:r w:rsidRPr="00217A9C">
        <w:rPr>
          <w:rFonts w:ascii="Arial" w:hAnsi="Arial"/>
          <w:b/>
          <w:bCs/>
          <w:sz w:val="40"/>
          <w:szCs w:val="40"/>
        </w:rPr>
        <w:t>Student ID: 2504969</w:t>
      </w:r>
    </w:p>
    <w:p w14:paraId="04E1EE1B" w14:textId="0E25E040" w:rsidR="003172ED" w:rsidRPr="00217A9C" w:rsidRDefault="003172ED" w:rsidP="003172ED">
      <w:pPr>
        <w:jc w:val="center"/>
        <w:rPr>
          <w:rFonts w:ascii="Arial" w:hAnsi="Arial"/>
          <w:b/>
          <w:bCs/>
          <w:sz w:val="40"/>
          <w:szCs w:val="40"/>
        </w:rPr>
      </w:pPr>
      <w:r w:rsidRPr="00217A9C">
        <w:rPr>
          <w:rFonts w:ascii="Arial" w:hAnsi="Arial"/>
          <w:b/>
          <w:bCs/>
          <w:sz w:val="40"/>
          <w:szCs w:val="40"/>
        </w:rPr>
        <w:t xml:space="preserve">Submission Date- </w:t>
      </w:r>
      <w:r>
        <w:rPr>
          <w:rFonts w:ascii="Arial" w:hAnsi="Arial"/>
          <w:b/>
          <w:bCs/>
          <w:sz w:val="40"/>
          <w:szCs w:val="40"/>
        </w:rPr>
        <w:t>24</w:t>
      </w:r>
      <w:r w:rsidRPr="00217A9C">
        <w:rPr>
          <w:rFonts w:ascii="Arial" w:hAnsi="Arial"/>
          <w:b/>
          <w:bCs/>
          <w:sz w:val="40"/>
          <w:szCs w:val="40"/>
          <w:vertAlign w:val="superscript"/>
        </w:rPr>
        <w:t>th</w:t>
      </w:r>
      <w:r w:rsidRPr="00217A9C">
        <w:rPr>
          <w:rFonts w:ascii="Arial" w:hAnsi="Arial"/>
          <w:b/>
          <w:bCs/>
          <w:sz w:val="40"/>
          <w:szCs w:val="40"/>
        </w:rPr>
        <w:t xml:space="preserve"> November 2025 </w:t>
      </w:r>
    </w:p>
    <w:p w14:paraId="6A784637" w14:textId="77777777" w:rsidR="003172ED" w:rsidRDefault="003172ED" w:rsidP="003172ED">
      <w:pPr>
        <w:jc w:val="center"/>
        <w:rPr>
          <w:rFonts w:ascii="Arial" w:hAnsi="Arial"/>
          <w:b/>
          <w:bCs/>
          <w:sz w:val="32"/>
          <w:szCs w:val="32"/>
        </w:rPr>
      </w:pPr>
    </w:p>
    <w:p w14:paraId="232AA5F7" w14:textId="77777777" w:rsidR="003172ED" w:rsidRDefault="003172ED" w:rsidP="003172ED">
      <w:pPr>
        <w:jc w:val="center"/>
        <w:rPr>
          <w:rFonts w:ascii="Arial" w:hAnsi="Arial"/>
          <w:b/>
          <w:bCs/>
          <w:sz w:val="36"/>
          <w:szCs w:val="36"/>
        </w:rPr>
      </w:pPr>
    </w:p>
    <w:p w14:paraId="59F3182F"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5DF396B1" w14:textId="77777777" w:rsidR="00BA6D4C" w:rsidRDefault="00CE0412">
      <w:pPr>
        <w:pStyle w:val="TOCHeading"/>
        <w:spacing w:line="360" w:lineRule="auto"/>
        <w:jc w:val="both"/>
        <w:rPr>
          <w:rFonts w:ascii="Arial" w:hAnsi="Arial" w:cs="Arial"/>
        </w:rPr>
      </w:pPr>
      <w:r>
        <w:rPr>
          <w:rFonts w:ascii="Arial" w:hAnsi="Arial" w:cs="Arial"/>
        </w:rPr>
        <w:lastRenderedPageBreak/>
        <w:t>Table of Contents</w:t>
      </w:r>
    </w:p>
    <w:p w14:paraId="64E8F969" w14:textId="77777777" w:rsidR="00BA6D4C" w:rsidRDefault="00CE0412">
      <w:pPr>
        <w:pStyle w:val="TOC1"/>
        <w:tabs>
          <w:tab w:val="right" w:leader="dot" w:pos="9350"/>
        </w:tabs>
        <w:rPr>
          <w:rFonts w:eastAsia="SimSun"/>
          <w:noProof/>
        </w:rPr>
      </w:pPr>
      <w:r>
        <w:rPr>
          <w:rFonts w:ascii="Arial" w:hAnsi="Arial"/>
        </w:rPr>
        <w:fldChar w:fldCharType="begin"/>
      </w:r>
      <w:r>
        <w:rPr>
          <w:rFonts w:ascii="Arial" w:hAnsi="Arial"/>
        </w:rPr>
        <w:instrText xml:space="preserve"> TOC \o "1-3" \h \z \u </w:instrText>
      </w:r>
      <w:r>
        <w:rPr>
          <w:rFonts w:ascii="Arial" w:hAnsi="Arial"/>
        </w:rPr>
        <w:fldChar w:fldCharType="separate"/>
      </w:r>
      <w:hyperlink w:anchor="_Toc214316789" w:history="1">
        <w:r>
          <w:rPr>
            <w:rStyle w:val="Hyperlink"/>
            <w:rFonts w:ascii="Arial" w:eastAsia="Times New Roman" w:hAnsi="Arial"/>
            <w:b/>
            <w:bCs/>
            <w:noProof/>
            <w:kern w:val="36"/>
          </w:rPr>
          <w:t>STRATEGIC CFO CHALLENGE: SAVING A FAILING GLOBAL FIRM – GENERAL ELECTRONICS</w:t>
        </w:r>
        <w:r>
          <w:rPr>
            <w:noProof/>
            <w:webHidden/>
          </w:rPr>
          <w:tab/>
        </w:r>
        <w:r>
          <w:rPr>
            <w:noProof/>
            <w:webHidden/>
          </w:rPr>
          <w:fldChar w:fldCharType="begin"/>
        </w:r>
        <w:r>
          <w:rPr>
            <w:noProof/>
            <w:webHidden/>
          </w:rPr>
          <w:instrText xml:space="preserve"> PAGEREF _Toc214316789 \h </w:instrText>
        </w:r>
        <w:r>
          <w:rPr>
            <w:noProof/>
            <w:webHidden/>
          </w:rPr>
        </w:r>
        <w:r>
          <w:rPr>
            <w:noProof/>
            <w:webHidden/>
          </w:rPr>
          <w:fldChar w:fldCharType="separate"/>
        </w:r>
        <w:r>
          <w:rPr>
            <w:noProof/>
            <w:webHidden/>
          </w:rPr>
          <w:t>1</w:t>
        </w:r>
        <w:r>
          <w:rPr>
            <w:noProof/>
            <w:webHidden/>
          </w:rPr>
          <w:fldChar w:fldCharType="end"/>
        </w:r>
      </w:hyperlink>
    </w:p>
    <w:p w14:paraId="58B52DAD" w14:textId="77777777" w:rsidR="00BA6D4C" w:rsidRDefault="00CE0412">
      <w:pPr>
        <w:pStyle w:val="TOC1"/>
        <w:tabs>
          <w:tab w:val="right" w:leader="dot" w:pos="9350"/>
        </w:tabs>
        <w:rPr>
          <w:rFonts w:eastAsia="SimSun"/>
          <w:noProof/>
        </w:rPr>
      </w:pPr>
      <w:hyperlink w:anchor="_Toc214316790" w:history="1">
        <w:r>
          <w:rPr>
            <w:rStyle w:val="Hyperlink"/>
            <w:rFonts w:ascii="Arial" w:eastAsia="Times New Roman" w:hAnsi="Arial"/>
            <w:b/>
            <w:bCs/>
            <w:noProof/>
            <w:kern w:val="36"/>
          </w:rPr>
          <w:t>1. INTRODUCTION</w:t>
        </w:r>
        <w:r>
          <w:rPr>
            <w:noProof/>
            <w:webHidden/>
          </w:rPr>
          <w:tab/>
        </w:r>
        <w:r>
          <w:rPr>
            <w:noProof/>
            <w:webHidden/>
          </w:rPr>
          <w:fldChar w:fldCharType="begin"/>
        </w:r>
        <w:r>
          <w:rPr>
            <w:noProof/>
            <w:webHidden/>
          </w:rPr>
          <w:instrText xml:space="preserve"> PAGEREF _Toc214316790 \h </w:instrText>
        </w:r>
        <w:r>
          <w:rPr>
            <w:noProof/>
            <w:webHidden/>
          </w:rPr>
        </w:r>
        <w:r>
          <w:rPr>
            <w:noProof/>
            <w:webHidden/>
          </w:rPr>
          <w:fldChar w:fldCharType="separate"/>
        </w:r>
        <w:r>
          <w:rPr>
            <w:noProof/>
            <w:webHidden/>
          </w:rPr>
          <w:t>4</w:t>
        </w:r>
        <w:r>
          <w:rPr>
            <w:noProof/>
            <w:webHidden/>
          </w:rPr>
          <w:fldChar w:fldCharType="end"/>
        </w:r>
      </w:hyperlink>
    </w:p>
    <w:p w14:paraId="39A61B57" w14:textId="77777777" w:rsidR="00BA6D4C" w:rsidRDefault="00CE0412">
      <w:pPr>
        <w:pStyle w:val="TOC1"/>
        <w:tabs>
          <w:tab w:val="right" w:leader="dot" w:pos="9350"/>
        </w:tabs>
        <w:rPr>
          <w:rFonts w:eastAsia="SimSun"/>
          <w:noProof/>
        </w:rPr>
      </w:pPr>
      <w:hyperlink w:anchor="_Toc214316791" w:history="1">
        <w:r>
          <w:rPr>
            <w:rStyle w:val="Hyperlink"/>
            <w:rFonts w:ascii="Arial" w:eastAsia="Times New Roman" w:hAnsi="Arial"/>
            <w:b/>
            <w:bCs/>
            <w:noProof/>
            <w:kern w:val="36"/>
          </w:rPr>
          <w:t>2. FINANCIAL HEALTH CHECK</w:t>
        </w:r>
        <w:r>
          <w:rPr>
            <w:noProof/>
            <w:webHidden/>
          </w:rPr>
          <w:tab/>
        </w:r>
        <w:r>
          <w:rPr>
            <w:noProof/>
            <w:webHidden/>
          </w:rPr>
          <w:fldChar w:fldCharType="begin"/>
        </w:r>
        <w:r>
          <w:rPr>
            <w:noProof/>
            <w:webHidden/>
          </w:rPr>
          <w:instrText xml:space="preserve"> PAGEREF _Toc214316791 \h </w:instrText>
        </w:r>
        <w:r>
          <w:rPr>
            <w:noProof/>
            <w:webHidden/>
          </w:rPr>
        </w:r>
        <w:r>
          <w:rPr>
            <w:noProof/>
            <w:webHidden/>
          </w:rPr>
          <w:fldChar w:fldCharType="separate"/>
        </w:r>
        <w:r>
          <w:rPr>
            <w:noProof/>
            <w:webHidden/>
          </w:rPr>
          <w:t>5</w:t>
        </w:r>
        <w:r>
          <w:rPr>
            <w:noProof/>
            <w:webHidden/>
          </w:rPr>
          <w:fldChar w:fldCharType="end"/>
        </w:r>
      </w:hyperlink>
    </w:p>
    <w:p w14:paraId="3473BC1C" w14:textId="77777777" w:rsidR="00BA6D4C" w:rsidRDefault="00CE0412">
      <w:pPr>
        <w:pStyle w:val="TOC2"/>
        <w:tabs>
          <w:tab w:val="right" w:leader="dot" w:pos="9350"/>
        </w:tabs>
        <w:rPr>
          <w:rFonts w:eastAsia="SimSun"/>
          <w:noProof/>
        </w:rPr>
      </w:pPr>
      <w:hyperlink w:anchor="_Toc214316792" w:history="1">
        <w:r>
          <w:rPr>
            <w:rStyle w:val="Hyperlink"/>
            <w:rFonts w:ascii="Arial" w:eastAsia="Times New Roman" w:hAnsi="Arial"/>
            <w:b/>
            <w:bCs/>
            <w:noProof/>
          </w:rPr>
          <w:t>2.1 Profitability Analysis</w:t>
        </w:r>
        <w:r>
          <w:rPr>
            <w:noProof/>
            <w:webHidden/>
          </w:rPr>
          <w:tab/>
        </w:r>
        <w:r>
          <w:rPr>
            <w:noProof/>
            <w:webHidden/>
          </w:rPr>
          <w:fldChar w:fldCharType="begin"/>
        </w:r>
        <w:r>
          <w:rPr>
            <w:noProof/>
            <w:webHidden/>
          </w:rPr>
          <w:instrText xml:space="preserve"> PAGEREF _Toc214316792 \h </w:instrText>
        </w:r>
        <w:r>
          <w:rPr>
            <w:noProof/>
            <w:webHidden/>
          </w:rPr>
        </w:r>
        <w:r>
          <w:rPr>
            <w:noProof/>
            <w:webHidden/>
          </w:rPr>
          <w:fldChar w:fldCharType="separate"/>
        </w:r>
        <w:r>
          <w:rPr>
            <w:noProof/>
            <w:webHidden/>
          </w:rPr>
          <w:t>5</w:t>
        </w:r>
        <w:r>
          <w:rPr>
            <w:noProof/>
            <w:webHidden/>
          </w:rPr>
          <w:fldChar w:fldCharType="end"/>
        </w:r>
      </w:hyperlink>
    </w:p>
    <w:p w14:paraId="57046067" w14:textId="77777777" w:rsidR="00BA6D4C" w:rsidRDefault="00CE0412">
      <w:pPr>
        <w:pStyle w:val="TOC2"/>
        <w:tabs>
          <w:tab w:val="right" w:leader="dot" w:pos="9350"/>
        </w:tabs>
        <w:rPr>
          <w:rFonts w:eastAsia="SimSun"/>
          <w:noProof/>
        </w:rPr>
      </w:pPr>
      <w:hyperlink w:anchor="_Toc214316793" w:history="1">
        <w:r>
          <w:rPr>
            <w:rStyle w:val="Hyperlink"/>
            <w:rFonts w:ascii="Arial" w:eastAsia="Times New Roman" w:hAnsi="Arial"/>
            <w:b/>
            <w:bCs/>
            <w:noProof/>
          </w:rPr>
          <w:t>2.2 Liquidity Analysis</w:t>
        </w:r>
        <w:r>
          <w:rPr>
            <w:noProof/>
            <w:webHidden/>
          </w:rPr>
          <w:tab/>
        </w:r>
        <w:r>
          <w:rPr>
            <w:noProof/>
            <w:webHidden/>
          </w:rPr>
          <w:fldChar w:fldCharType="begin"/>
        </w:r>
        <w:r>
          <w:rPr>
            <w:noProof/>
            <w:webHidden/>
          </w:rPr>
          <w:instrText xml:space="preserve"> PAGEREF _Toc214316793 \h </w:instrText>
        </w:r>
        <w:r>
          <w:rPr>
            <w:noProof/>
            <w:webHidden/>
          </w:rPr>
        </w:r>
        <w:r>
          <w:rPr>
            <w:noProof/>
            <w:webHidden/>
          </w:rPr>
          <w:fldChar w:fldCharType="separate"/>
        </w:r>
        <w:r>
          <w:rPr>
            <w:noProof/>
            <w:webHidden/>
          </w:rPr>
          <w:t>7</w:t>
        </w:r>
        <w:r>
          <w:rPr>
            <w:noProof/>
            <w:webHidden/>
          </w:rPr>
          <w:fldChar w:fldCharType="end"/>
        </w:r>
      </w:hyperlink>
    </w:p>
    <w:p w14:paraId="5DF32E47" w14:textId="77777777" w:rsidR="00BA6D4C" w:rsidRDefault="00CE0412">
      <w:pPr>
        <w:pStyle w:val="TOC2"/>
        <w:tabs>
          <w:tab w:val="right" w:leader="dot" w:pos="9350"/>
        </w:tabs>
        <w:rPr>
          <w:rFonts w:eastAsia="SimSun"/>
          <w:noProof/>
        </w:rPr>
      </w:pPr>
      <w:hyperlink w:anchor="_Toc214316794" w:history="1">
        <w:r>
          <w:rPr>
            <w:rStyle w:val="Hyperlink"/>
            <w:rFonts w:ascii="Arial" w:eastAsia="Times New Roman" w:hAnsi="Arial"/>
            <w:b/>
            <w:bCs/>
            <w:noProof/>
          </w:rPr>
          <w:t>2.3 Efficiency (Working Capital) Ratios</w:t>
        </w:r>
        <w:r>
          <w:rPr>
            <w:noProof/>
            <w:webHidden/>
          </w:rPr>
          <w:tab/>
        </w:r>
        <w:r>
          <w:rPr>
            <w:noProof/>
            <w:webHidden/>
          </w:rPr>
          <w:fldChar w:fldCharType="begin"/>
        </w:r>
        <w:r>
          <w:rPr>
            <w:noProof/>
            <w:webHidden/>
          </w:rPr>
          <w:instrText xml:space="preserve"> PAGEREF _Toc214316794 \h </w:instrText>
        </w:r>
        <w:r>
          <w:rPr>
            <w:noProof/>
            <w:webHidden/>
          </w:rPr>
        </w:r>
        <w:r>
          <w:rPr>
            <w:noProof/>
            <w:webHidden/>
          </w:rPr>
          <w:fldChar w:fldCharType="separate"/>
        </w:r>
        <w:r>
          <w:rPr>
            <w:noProof/>
            <w:webHidden/>
          </w:rPr>
          <w:t>8</w:t>
        </w:r>
        <w:r>
          <w:rPr>
            <w:noProof/>
            <w:webHidden/>
          </w:rPr>
          <w:fldChar w:fldCharType="end"/>
        </w:r>
      </w:hyperlink>
    </w:p>
    <w:p w14:paraId="554331FC" w14:textId="77777777" w:rsidR="00BA6D4C" w:rsidRDefault="00CE0412">
      <w:pPr>
        <w:pStyle w:val="TOC2"/>
        <w:tabs>
          <w:tab w:val="right" w:leader="dot" w:pos="9350"/>
        </w:tabs>
        <w:rPr>
          <w:rFonts w:eastAsia="SimSun"/>
          <w:noProof/>
        </w:rPr>
      </w:pPr>
      <w:hyperlink w:anchor="_Toc214316795" w:history="1">
        <w:r>
          <w:rPr>
            <w:rStyle w:val="Hyperlink"/>
            <w:rFonts w:ascii="Arial" w:eastAsia="Times New Roman" w:hAnsi="Arial"/>
            <w:b/>
            <w:bCs/>
            <w:noProof/>
          </w:rPr>
          <w:t>2.4 Gearing and Solvency Ratios</w:t>
        </w:r>
        <w:r>
          <w:rPr>
            <w:noProof/>
            <w:webHidden/>
          </w:rPr>
          <w:tab/>
        </w:r>
        <w:r>
          <w:rPr>
            <w:noProof/>
            <w:webHidden/>
          </w:rPr>
          <w:fldChar w:fldCharType="begin"/>
        </w:r>
        <w:r>
          <w:rPr>
            <w:noProof/>
            <w:webHidden/>
          </w:rPr>
          <w:instrText xml:space="preserve"> PAGEREF _Toc214316795 \h </w:instrText>
        </w:r>
        <w:r>
          <w:rPr>
            <w:noProof/>
            <w:webHidden/>
          </w:rPr>
        </w:r>
        <w:r>
          <w:rPr>
            <w:noProof/>
            <w:webHidden/>
          </w:rPr>
          <w:fldChar w:fldCharType="separate"/>
        </w:r>
        <w:r>
          <w:rPr>
            <w:noProof/>
            <w:webHidden/>
          </w:rPr>
          <w:t>9</w:t>
        </w:r>
        <w:r>
          <w:rPr>
            <w:noProof/>
            <w:webHidden/>
          </w:rPr>
          <w:fldChar w:fldCharType="end"/>
        </w:r>
      </w:hyperlink>
    </w:p>
    <w:p w14:paraId="0DE1625F" w14:textId="77777777" w:rsidR="00BA6D4C" w:rsidRDefault="00CE0412">
      <w:pPr>
        <w:pStyle w:val="TOC2"/>
        <w:tabs>
          <w:tab w:val="right" w:leader="dot" w:pos="9350"/>
        </w:tabs>
        <w:rPr>
          <w:rFonts w:eastAsia="SimSun"/>
          <w:noProof/>
        </w:rPr>
      </w:pPr>
      <w:hyperlink w:anchor="_Toc214316796" w:history="1">
        <w:r>
          <w:rPr>
            <w:rStyle w:val="Hyperlink"/>
            <w:rFonts w:ascii="Arial" w:eastAsia="Times New Roman" w:hAnsi="Arial"/>
            <w:b/>
            <w:bCs/>
            <w:noProof/>
          </w:rPr>
          <w:t>2.5 Corporate Failure Prediction (Altman Z-Score)</w:t>
        </w:r>
        <w:r>
          <w:rPr>
            <w:noProof/>
            <w:webHidden/>
          </w:rPr>
          <w:tab/>
        </w:r>
        <w:r>
          <w:rPr>
            <w:noProof/>
            <w:webHidden/>
          </w:rPr>
          <w:fldChar w:fldCharType="begin"/>
        </w:r>
        <w:r>
          <w:rPr>
            <w:noProof/>
            <w:webHidden/>
          </w:rPr>
          <w:instrText xml:space="preserve"> PAGEREF _Toc214316796 \h </w:instrText>
        </w:r>
        <w:r>
          <w:rPr>
            <w:noProof/>
            <w:webHidden/>
          </w:rPr>
        </w:r>
        <w:r>
          <w:rPr>
            <w:noProof/>
            <w:webHidden/>
          </w:rPr>
          <w:fldChar w:fldCharType="separate"/>
        </w:r>
        <w:r>
          <w:rPr>
            <w:noProof/>
            <w:webHidden/>
          </w:rPr>
          <w:t>9</w:t>
        </w:r>
        <w:r>
          <w:rPr>
            <w:noProof/>
            <w:webHidden/>
          </w:rPr>
          <w:fldChar w:fldCharType="end"/>
        </w:r>
      </w:hyperlink>
    </w:p>
    <w:p w14:paraId="1A87977A" w14:textId="77777777" w:rsidR="00BA6D4C" w:rsidRDefault="00CE0412">
      <w:pPr>
        <w:pStyle w:val="TOC2"/>
        <w:tabs>
          <w:tab w:val="right" w:leader="dot" w:pos="9350"/>
        </w:tabs>
        <w:rPr>
          <w:rFonts w:eastAsia="SimSun"/>
          <w:noProof/>
        </w:rPr>
      </w:pPr>
      <w:hyperlink w:anchor="_Toc214316797" w:history="1">
        <w:r>
          <w:rPr>
            <w:rStyle w:val="Hyperlink"/>
            <w:rFonts w:ascii="Arial" w:eastAsia="Times New Roman" w:hAnsi="Arial"/>
            <w:b/>
            <w:bCs/>
            <w:noProof/>
          </w:rPr>
          <w:t>2.6 Overall Diagnosis</w:t>
        </w:r>
        <w:r>
          <w:rPr>
            <w:noProof/>
            <w:webHidden/>
          </w:rPr>
          <w:tab/>
        </w:r>
        <w:r>
          <w:rPr>
            <w:noProof/>
            <w:webHidden/>
          </w:rPr>
          <w:fldChar w:fldCharType="begin"/>
        </w:r>
        <w:r>
          <w:rPr>
            <w:noProof/>
            <w:webHidden/>
          </w:rPr>
          <w:instrText xml:space="preserve"> PAGEREF _Toc214316797 \h </w:instrText>
        </w:r>
        <w:r>
          <w:rPr>
            <w:noProof/>
            <w:webHidden/>
          </w:rPr>
        </w:r>
        <w:r>
          <w:rPr>
            <w:noProof/>
            <w:webHidden/>
          </w:rPr>
          <w:fldChar w:fldCharType="separate"/>
        </w:r>
        <w:r>
          <w:rPr>
            <w:noProof/>
            <w:webHidden/>
          </w:rPr>
          <w:t>10</w:t>
        </w:r>
        <w:r>
          <w:rPr>
            <w:noProof/>
            <w:webHidden/>
          </w:rPr>
          <w:fldChar w:fldCharType="end"/>
        </w:r>
      </w:hyperlink>
    </w:p>
    <w:p w14:paraId="5ECAE94D" w14:textId="77777777" w:rsidR="00BA6D4C" w:rsidRDefault="00CE0412">
      <w:pPr>
        <w:pStyle w:val="TOC1"/>
        <w:tabs>
          <w:tab w:val="right" w:leader="dot" w:pos="9350"/>
        </w:tabs>
        <w:rPr>
          <w:rFonts w:eastAsia="SimSun"/>
          <w:noProof/>
        </w:rPr>
      </w:pPr>
      <w:hyperlink w:anchor="_Toc214316798" w:history="1">
        <w:r>
          <w:rPr>
            <w:rStyle w:val="Hyperlink"/>
            <w:rFonts w:ascii="Arial" w:eastAsia="Times New Roman" w:hAnsi="Arial"/>
            <w:b/>
            <w:bCs/>
            <w:noProof/>
            <w:kern w:val="36"/>
          </w:rPr>
          <w:t>3. WORKING CAPITAL MANAGEMENT ANALYSIS</w:t>
        </w:r>
        <w:r>
          <w:rPr>
            <w:noProof/>
            <w:webHidden/>
          </w:rPr>
          <w:tab/>
        </w:r>
        <w:r>
          <w:rPr>
            <w:noProof/>
            <w:webHidden/>
          </w:rPr>
          <w:fldChar w:fldCharType="begin"/>
        </w:r>
        <w:r>
          <w:rPr>
            <w:noProof/>
            <w:webHidden/>
          </w:rPr>
          <w:instrText xml:space="preserve"> PAGEREF _Toc214316798 \h </w:instrText>
        </w:r>
        <w:r>
          <w:rPr>
            <w:noProof/>
            <w:webHidden/>
          </w:rPr>
        </w:r>
        <w:r>
          <w:rPr>
            <w:noProof/>
            <w:webHidden/>
          </w:rPr>
          <w:fldChar w:fldCharType="separate"/>
        </w:r>
        <w:r>
          <w:rPr>
            <w:noProof/>
            <w:webHidden/>
          </w:rPr>
          <w:t>11</w:t>
        </w:r>
        <w:r>
          <w:rPr>
            <w:noProof/>
            <w:webHidden/>
          </w:rPr>
          <w:fldChar w:fldCharType="end"/>
        </w:r>
      </w:hyperlink>
    </w:p>
    <w:p w14:paraId="296521D7" w14:textId="77777777" w:rsidR="00BA6D4C" w:rsidRDefault="00CE0412">
      <w:pPr>
        <w:pStyle w:val="TOC2"/>
        <w:tabs>
          <w:tab w:val="right" w:leader="dot" w:pos="9350"/>
        </w:tabs>
        <w:rPr>
          <w:rFonts w:eastAsia="SimSun"/>
          <w:noProof/>
        </w:rPr>
      </w:pPr>
      <w:hyperlink w:anchor="_Toc214316800" w:history="1">
        <w:r>
          <w:rPr>
            <w:rStyle w:val="Hyperlink"/>
            <w:rFonts w:ascii="Arial" w:eastAsia="Times New Roman" w:hAnsi="Arial"/>
            <w:b/>
            <w:bCs/>
            <w:noProof/>
          </w:rPr>
          <w:t>3.1 Cash Operating Cycle Analysis</w:t>
        </w:r>
        <w:r>
          <w:rPr>
            <w:noProof/>
            <w:webHidden/>
          </w:rPr>
          <w:tab/>
        </w:r>
        <w:r>
          <w:rPr>
            <w:noProof/>
            <w:webHidden/>
          </w:rPr>
          <w:fldChar w:fldCharType="begin"/>
        </w:r>
        <w:r>
          <w:rPr>
            <w:noProof/>
            <w:webHidden/>
          </w:rPr>
          <w:instrText xml:space="preserve"> PAGEREF _Toc214316800 \h </w:instrText>
        </w:r>
        <w:r>
          <w:rPr>
            <w:noProof/>
            <w:webHidden/>
          </w:rPr>
        </w:r>
        <w:r>
          <w:rPr>
            <w:noProof/>
            <w:webHidden/>
          </w:rPr>
          <w:fldChar w:fldCharType="separate"/>
        </w:r>
        <w:r>
          <w:rPr>
            <w:noProof/>
            <w:webHidden/>
          </w:rPr>
          <w:t>11</w:t>
        </w:r>
        <w:r>
          <w:rPr>
            <w:noProof/>
            <w:webHidden/>
          </w:rPr>
          <w:fldChar w:fldCharType="end"/>
        </w:r>
      </w:hyperlink>
    </w:p>
    <w:p w14:paraId="27CFFA0B" w14:textId="77777777" w:rsidR="00BA6D4C" w:rsidRDefault="00CE0412">
      <w:pPr>
        <w:pStyle w:val="TOC2"/>
        <w:tabs>
          <w:tab w:val="right" w:leader="dot" w:pos="9350"/>
        </w:tabs>
        <w:rPr>
          <w:rFonts w:eastAsia="SimSun"/>
          <w:noProof/>
        </w:rPr>
      </w:pPr>
      <w:hyperlink w:anchor="_Toc214316801" w:history="1">
        <w:r>
          <w:rPr>
            <w:rStyle w:val="Hyperlink"/>
            <w:rFonts w:ascii="Arial" w:eastAsia="Times New Roman" w:hAnsi="Arial"/>
            <w:b/>
            <w:bCs/>
            <w:noProof/>
          </w:rPr>
          <w:t>3.2 Inventory Management Issues</w:t>
        </w:r>
        <w:r>
          <w:rPr>
            <w:noProof/>
            <w:webHidden/>
          </w:rPr>
          <w:tab/>
        </w:r>
        <w:r>
          <w:rPr>
            <w:noProof/>
            <w:webHidden/>
          </w:rPr>
          <w:fldChar w:fldCharType="begin"/>
        </w:r>
        <w:r>
          <w:rPr>
            <w:noProof/>
            <w:webHidden/>
          </w:rPr>
          <w:instrText xml:space="preserve"> PAGEREF _Toc214316801 \h </w:instrText>
        </w:r>
        <w:r>
          <w:rPr>
            <w:noProof/>
            <w:webHidden/>
          </w:rPr>
        </w:r>
        <w:r>
          <w:rPr>
            <w:noProof/>
            <w:webHidden/>
          </w:rPr>
          <w:fldChar w:fldCharType="separate"/>
        </w:r>
        <w:r>
          <w:rPr>
            <w:noProof/>
            <w:webHidden/>
          </w:rPr>
          <w:t>12</w:t>
        </w:r>
        <w:r>
          <w:rPr>
            <w:noProof/>
            <w:webHidden/>
          </w:rPr>
          <w:fldChar w:fldCharType="end"/>
        </w:r>
      </w:hyperlink>
    </w:p>
    <w:p w14:paraId="70B82FAA" w14:textId="77777777" w:rsidR="00BA6D4C" w:rsidRDefault="00CE0412">
      <w:pPr>
        <w:pStyle w:val="TOC2"/>
        <w:tabs>
          <w:tab w:val="right" w:leader="dot" w:pos="9350"/>
        </w:tabs>
        <w:rPr>
          <w:rFonts w:eastAsia="SimSun"/>
          <w:noProof/>
        </w:rPr>
      </w:pPr>
      <w:hyperlink w:anchor="_Toc214316802" w:history="1">
        <w:r>
          <w:rPr>
            <w:rStyle w:val="Hyperlink"/>
            <w:rFonts w:ascii="Arial" w:eastAsia="Times New Roman" w:hAnsi="Arial"/>
            <w:b/>
            <w:bCs/>
            <w:noProof/>
          </w:rPr>
          <w:t>3.3 Receivables Management Issues</w:t>
        </w:r>
        <w:r>
          <w:rPr>
            <w:noProof/>
            <w:webHidden/>
          </w:rPr>
          <w:tab/>
        </w:r>
        <w:r>
          <w:rPr>
            <w:noProof/>
            <w:webHidden/>
          </w:rPr>
          <w:fldChar w:fldCharType="begin"/>
        </w:r>
        <w:r>
          <w:rPr>
            <w:noProof/>
            <w:webHidden/>
          </w:rPr>
          <w:instrText xml:space="preserve"> PAGEREF _Toc214316802 \h </w:instrText>
        </w:r>
        <w:r>
          <w:rPr>
            <w:noProof/>
            <w:webHidden/>
          </w:rPr>
        </w:r>
        <w:r>
          <w:rPr>
            <w:noProof/>
            <w:webHidden/>
          </w:rPr>
          <w:fldChar w:fldCharType="separate"/>
        </w:r>
        <w:r>
          <w:rPr>
            <w:noProof/>
            <w:webHidden/>
          </w:rPr>
          <w:t>13</w:t>
        </w:r>
        <w:r>
          <w:rPr>
            <w:noProof/>
            <w:webHidden/>
          </w:rPr>
          <w:fldChar w:fldCharType="end"/>
        </w:r>
      </w:hyperlink>
    </w:p>
    <w:p w14:paraId="65098B62" w14:textId="77777777" w:rsidR="00BA6D4C" w:rsidRDefault="00CE0412">
      <w:pPr>
        <w:pStyle w:val="TOC2"/>
        <w:tabs>
          <w:tab w:val="right" w:leader="dot" w:pos="9350"/>
        </w:tabs>
        <w:rPr>
          <w:rFonts w:eastAsia="SimSun"/>
          <w:noProof/>
        </w:rPr>
      </w:pPr>
      <w:hyperlink w:anchor="_Toc214316803" w:history="1">
        <w:r>
          <w:rPr>
            <w:rStyle w:val="Hyperlink"/>
            <w:rFonts w:ascii="Arial" w:eastAsia="Times New Roman" w:hAnsi="Arial"/>
            <w:b/>
            <w:bCs/>
            <w:noProof/>
          </w:rPr>
          <w:t>3.4 Payables Policy</w:t>
        </w:r>
        <w:r>
          <w:rPr>
            <w:noProof/>
            <w:webHidden/>
          </w:rPr>
          <w:tab/>
        </w:r>
        <w:r>
          <w:rPr>
            <w:noProof/>
            <w:webHidden/>
          </w:rPr>
          <w:fldChar w:fldCharType="begin"/>
        </w:r>
        <w:r>
          <w:rPr>
            <w:noProof/>
            <w:webHidden/>
          </w:rPr>
          <w:instrText xml:space="preserve"> PAGEREF _Toc214316803 \h </w:instrText>
        </w:r>
        <w:r>
          <w:rPr>
            <w:noProof/>
            <w:webHidden/>
          </w:rPr>
        </w:r>
        <w:r>
          <w:rPr>
            <w:noProof/>
            <w:webHidden/>
          </w:rPr>
          <w:fldChar w:fldCharType="separate"/>
        </w:r>
        <w:r>
          <w:rPr>
            <w:noProof/>
            <w:webHidden/>
          </w:rPr>
          <w:t>14</w:t>
        </w:r>
        <w:r>
          <w:rPr>
            <w:noProof/>
            <w:webHidden/>
          </w:rPr>
          <w:fldChar w:fldCharType="end"/>
        </w:r>
      </w:hyperlink>
    </w:p>
    <w:p w14:paraId="3A352DE8" w14:textId="77777777" w:rsidR="00BA6D4C" w:rsidRDefault="00CE0412">
      <w:pPr>
        <w:pStyle w:val="TOC2"/>
        <w:tabs>
          <w:tab w:val="right" w:leader="dot" w:pos="9350"/>
        </w:tabs>
        <w:rPr>
          <w:rFonts w:eastAsia="SimSun"/>
          <w:noProof/>
        </w:rPr>
      </w:pPr>
      <w:hyperlink w:anchor="_Toc214316804" w:history="1">
        <w:r>
          <w:rPr>
            <w:rStyle w:val="Hyperlink"/>
            <w:rFonts w:ascii="Arial" w:eastAsia="Times New Roman" w:hAnsi="Arial"/>
            <w:b/>
            <w:bCs/>
            <w:noProof/>
          </w:rPr>
          <w:t>3.5 Short-term vs Long-term Financing Options</w:t>
        </w:r>
        <w:r>
          <w:rPr>
            <w:noProof/>
            <w:webHidden/>
          </w:rPr>
          <w:tab/>
        </w:r>
        <w:r>
          <w:rPr>
            <w:noProof/>
            <w:webHidden/>
          </w:rPr>
          <w:fldChar w:fldCharType="begin"/>
        </w:r>
        <w:r>
          <w:rPr>
            <w:noProof/>
            <w:webHidden/>
          </w:rPr>
          <w:instrText xml:space="preserve"> PAGEREF _Toc214316804 \h </w:instrText>
        </w:r>
        <w:r>
          <w:rPr>
            <w:noProof/>
            <w:webHidden/>
          </w:rPr>
        </w:r>
        <w:r>
          <w:rPr>
            <w:noProof/>
            <w:webHidden/>
          </w:rPr>
          <w:fldChar w:fldCharType="separate"/>
        </w:r>
        <w:r>
          <w:rPr>
            <w:noProof/>
            <w:webHidden/>
          </w:rPr>
          <w:t>14</w:t>
        </w:r>
        <w:r>
          <w:rPr>
            <w:noProof/>
            <w:webHidden/>
          </w:rPr>
          <w:fldChar w:fldCharType="end"/>
        </w:r>
      </w:hyperlink>
    </w:p>
    <w:p w14:paraId="252EE810" w14:textId="77777777" w:rsidR="00BA6D4C" w:rsidRDefault="00CE0412">
      <w:pPr>
        <w:pStyle w:val="TOC2"/>
        <w:tabs>
          <w:tab w:val="right" w:leader="dot" w:pos="9350"/>
        </w:tabs>
        <w:rPr>
          <w:rFonts w:eastAsia="SimSun"/>
          <w:noProof/>
        </w:rPr>
      </w:pPr>
      <w:hyperlink w:anchor="_Toc214316805" w:history="1">
        <w:r>
          <w:rPr>
            <w:rStyle w:val="Hyperlink"/>
            <w:rFonts w:ascii="Arial" w:eastAsia="Times New Roman" w:hAnsi="Arial"/>
            <w:b/>
            <w:bCs/>
            <w:noProof/>
          </w:rPr>
          <w:t>3.6 Recommended Working Capital Strategy</w:t>
        </w:r>
        <w:r>
          <w:rPr>
            <w:noProof/>
            <w:webHidden/>
          </w:rPr>
          <w:tab/>
        </w:r>
        <w:r>
          <w:rPr>
            <w:noProof/>
            <w:webHidden/>
          </w:rPr>
          <w:fldChar w:fldCharType="begin"/>
        </w:r>
        <w:r>
          <w:rPr>
            <w:noProof/>
            <w:webHidden/>
          </w:rPr>
          <w:instrText xml:space="preserve"> PAGEREF _Toc214316805 \h </w:instrText>
        </w:r>
        <w:r>
          <w:rPr>
            <w:noProof/>
            <w:webHidden/>
          </w:rPr>
        </w:r>
        <w:r>
          <w:rPr>
            <w:noProof/>
            <w:webHidden/>
          </w:rPr>
          <w:fldChar w:fldCharType="separate"/>
        </w:r>
        <w:r>
          <w:rPr>
            <w:noProof/>
            <w:webHidden/>
          </w:rPr>
          <w:t>15</w:t>
        </w:r>
        <w:r>
          <w:rPr>
            <w:noProof/>
            <w:webHidden/>
          </w:rPr>
          <w:fldChar w:fldCharType="end"/>
        </w:r>
      </w:hyperlink>
    </w:p>
    <w:p w14:paraId="13896BEE" w14:textId="77777777" w:rsidR="00BA6D4C" w:rsidRDefault="00CE0412">
      <w:pPr>
        <w:pStyle w:val="TOC1"/>
        <w:tabs>
          <w:tab w:val="right" w:leader="dot" w:pos="9350"/>
        </w:tabs>
        <w:rPr>
          <w:rFonts w:eastAsia="SimSun"/>
          <w:noProof/>
        </w:rPr>
      </w:pPr>
      <w:hyperlink w:anchor="_Toc214316806" w:history="1">
        <w:r>
          <w:rPr>
            <w:rStyle w:val="Hyperlink"/>
            <w:rFonts w:ascii="Arial" w:eastAsia="Times New Roman" w:hAnsi="Arial"/>
            <w:b/>
            <w:bCs/>
            <w:noProof/>
            <w:kern w:val="36"/>
          </w:rPr>
          <w:t>4. STRATEGIC FINANCIAL RESTRUCTURING PLAN</w:t>
        </w:r>
        <w:r>
          <w:rPr>
            <w:noProof/>
            <w:webHidden/>
          </w:rPr>
          <w:tab/>
        </w:r>
        <w:r>
          <w:rPr>
            <w:noProof/>
            <w:webHidden/>
          </w:rPr>
          <w:fldChar w:fldCharType="begin"/>
        </w:r>
        <w:r>
          <w:rPr>
            <w:noProof/>
            <w:webHidden/>
          </w:rPr>
          <w:instrText xml:space="preserve"> PAGEREF _Toc214316806 \h </w:instrText>
        </w:r>
        <w:r>
          <w:rPr>
            <w:noProof/>
            <w:webHidden/>
          </w:rPr>
        </w:r>
        <w:r>
          <w:rPr>
            <w:noProof/>
            <w:webHidden/>
          </w:rPr>
          <w:fldChar w:fldCharType="separate"/>
        </w:r>
        <w:r>
          <w:rPr>
            <w:noProof/>
            <w:webHidden/>
          </w:rPr>
          <w:t>16</w:t>
        </w:r>
        <w:r>
          <w:rPr>
            <w:noProof/>
            <w:webHidden/>
          </w:rPr>
          <w:fldChar w:fldCharType="end"/>
        </w:r>
      </w:hyperlink>
    </w:p>
    <w:p w14:paraId="19FE5331" w14:textId="77777777" w:rsidR="00BA6D4C" w:rsidRDefault="00CE0412">
      <w:pPr>
        <w:pStyle w:val="TOC2"/>
        <w:tabs>
          <w:tab w:val="right" w:leader="dot" w:pos="9350"/>
        </w:tabs>
        <w:rPr>
          <w:rFonts w:eastAsia="SimSun"/>
          <w:noProof/>
        </w:rPr>
      </w:pPr>
      <w:hyperlink w:anchor="_Toc214316807" w:history="1">
        <w:r>
          <w:rPr>
            <w:rStyle w:val="Hyperlink"/>
            <w:rFonts w:ascii="Arial" w:eastAsia="Times New Roman" w:hAnsi="Arial"/>
            <w:b/>
            <w:bCs/>
            <w:noProof/>
          </w:rPr>
          <w:t>4.1 Divestiture of Non-Core Business Units</w:t>
        </w:r>
        <w:r>
          <w:rPr>
            <w:noProof/>
            <w:webHidden/>
          </w:rPr>
          <w:tab/>
        </w:r>
        <w:r>
          <w:rPr>
            <w:noProof/>
            <w:webHidden/>
          </w:rPr>
          <w:fldChar w:fldCharType="begin"/>
        </w:r>
        <w:r>
          <w:rPr>
            <w:noProof/>
            <w:webHidden/>
          </w:rPr>
          <w:instrText xml:space="preserve"> PAGEREF _Toc214316807 \h </w:instrText>
        </w:r>
        <w:r>
          <w:rPr>
            <w:noProof/>
            <w:webHidden/>
          </w:rPr>
        </w:r>
        <w:r>
          <w:rPr>
            <w:noProof/>
            <w:webHidden/>
          </w:rPr>
          <w:fldChar w:fldCharType="separate"/>
        </w:r>
        <w:r>
          <w:rPr>
            <w:noProof/>
            <w:webHidden/>
          </w:rPr>
          <w:t>16</w:t>
        </w:r>
        <w:r>
          <w:rPr>
            <w:noProof/>
            <w:webHidden/>
          </w:rPr>
          <w:fldChar w:fldCharType="end"/>
        </w:r>
      </w:hyperlink>
    </w:p>
    <w:p w14:paraId="4CCA4E73" w14:textId="77777777" w:rsidR="00BA6D4C" w:rsidRDefault="00CE0412">
      <w:pPr>
        <w:pStyle w:val="TOC2"/>
        <w:tabs>
          <w:tab w:val="right" w:leader="dot" w:pos="9350"/>
        </w:tabs>
        <w:rPr>
          <w:rFonts w:eastAsia="SimSun"/>
          <w:noProof/>
        </w:rPr>
      </w:pPr>
      <w:hyperlink w:anchor="_Toc214316808" w:history="1">
        <w:r>
          <w:rPr>
            <w:rStyle w:val="Hyperlink"/>
            <w:rFonts w:ascii="Arial" w:eastAsia="Times New Roman" w:hAnsi="Arial"/>
            <w:b/>
            <w:bCs/>
            <w:noProof/>
          </w:rPr>
          <w:t>4.2 Equity Injection (Strategic Investor)</w:t>
        </w:r>
        <w:r>
          <w:rPr>
            <w:noProof/>
            <w:webHidden/>
          </w:rPr>
          <w:tab/>
        </w:r>
        <w:r>
          <w:rPr>
            <w:noProof/>
            <w:webHidden/>
          </w:rPr>
          <w:fldChar w:fldCharType="begin"/>
        </w:r>
        <w:r>
          <w:rPr>
            <w:noProof/>
            <w:webHidden/>
          </w:rPr>
          <w:instrText xml:space="preserve"> PAGEREF _Toc214316808 \h </w:instrText>
        </w:r>
        <w:r>
          <w:rPr>
            <w:noProof/>
            <w:webHidden/>
          </w:rPr>
        </w:r>
        <w:r>
          <w:rPr>
            <w:noProof/>
            <w:webHidden/>
          </w:rPr>
          <w:fldChar w:fldCharType="separate"/>
        </w:r>
        <w:r>
          <w:rPr>
            <w:noProof/>
            <w:webHidden/>
          </w:rPr>
          <w:t>17</w:t>
        </w:r>
        <w:r>
          <w:rPr>
            <w:noProof/>
            <w:webHidden/>
          </w:rPr>
          <w:fldChar w:fldCharType="end"/>
        </w:r>
      </w:hyperlink>
    </w:p>
    <w:p w14:paraId="08306ED8" w14:textId="77777777" w:rsidR="00BA6D4C" w:rsidRDefault="00CE0412">
      <w:pPr>
        <w:pStyle w:val="TOC2"/>
        <w:tabs>
          <w:tab w:val="right" w:leader="dot" w:pos="9350"/>
        </w:tabs>
        <w:rPr>
          <w:rFonts w:eastAsia="SimSun"/>
          <w:noProof/>
        </w:rPr>
      </w:pPr>
      <w:hyperlink w:anchor="_Toc214316809" w:history="1">
        <w:r>
          <w:rPr>
            <w:rStyle w:val="Hyperlink"/>
            <w:rFonts w:ascii="Arial" w:eastAsia="Times New Roman" w:hAnsi="Arial"/>
            <w:b/>
            <w:bCs/>
            <w:noProof/>
          </w:rPr>
          <w:t>4.3 Debt Restructuring</w:t>
        </w:r>
        <w:r>
          <w:rPr>
            <w:noProof/>
            <w:webHidden/>
          </w:rPr>
          <w:tab/>
        </w:r>
        <w:r>
          <w:rPr>
            <w:noProof/>
            <w:webHidden/>
          </w:rPr>
          <w:fldChar w:fldCharType="begin"/>
        </w:r>
        <w:r>
          <w:rPr>
            <w:noProof/>
            <w:webHidden/>
          </w:rPr>
          <w:instrText xml:space="preserve"> PAGEREF _Toc214316809 \h </w:instrText>
        </w:r>
        <w:r>
          <w:rPr>
            <w:noProof/>
            <w:webHidden/>
          </w:rPr>
        </w:r>
        <w:r>
          <w:rPr>
            <w:noProof/>
            <w:webHidden/>
          </w:rPr>
          <w:fldChar w:fldCharType="separate"/>
        </w:r>
        <w:r>
          <w:rPr>
            <w:noProof/>
            <w:webHidden/>
          </w:rPr>
          <w:t>18</w:t>
        </w:r>
        <w:r>
          <w:rPr>
            <w:noProof/>
            <w:webHidden/>
          </w:rPr>
          <w:fldChar w:fldCharType="end"/>
        </w:r>
      </w:hyperlink>
    </w:p>
    <w:p w14:paraId="4518F882" w14:textId="77777777" w:rsidR="00BA6D4C" w:rsidRDefault="00CE0412">
      <w:pPr>
        <w:pStyle w:val="TOC2"/>
        <w:tabs>
          <w:tab w:val="right" w:leader="dot" w:pos="9350"/>
        </w:tabs>
        <w:rPr>
          <w:rFonts w:eastAsia="SimSun"/>
          <w:noProof/>
        </w:rPr>
      </w:pPr>
      <w:hyperlink w:anchor="_Toc214316810" w:history="1">
        <w:r>
          <w:rPr>
            <w:rStyle w:val="Hyperlink"/>
            <w:rFonts w:ascii="Arial" w:eastAsia="Times New Roman" w:hAnsi="Arial"/>
            <w:b/>
            <w:bCs/>
            <w:noProof/>
          </w:rPr>
          <w:t>4.4 Operational Restructuring</w:t>
        </w:r>
        <w:r>
          <w:rPr>
            <w:noProof/>
            <w:webHidden/>
          </w:rPr>
          <w:tab/>
        </w:r>
        <w:r>
          <w:rPr>
            <w:noProof/>
            <w:webHidden/>
          </w:rPr>
          <w:fldChar w:fldCharType="begin"/>
        </w:r>
        <w:r>
          <w:rPr>
            <w:noProof/>
            <w:webHidden/>
          </w:rPr>
          <w:instrText xml:space="preserve"> PAGEREF _Toc214316810 \h </w:instrText>
        </w:r>
        <w:r>
          <w:rPr>
            <w:noProof/>
            <w:webHidden/>
          </w:rPr>
        </w:r>
        <w:r>
          <w:rPr>
            <w:noProof/>
            <w:webHidden/>
          </w:rPr>
          <w:fldChar w:fldCharType="separate"/>
        </w:r>
        <w:r>
          <w:rPr>
            <w:noProof/>
            <w:webHidden/>
          </w:rPr>
          <w:t>19</w:t>
        </w:r>
        <w:r>
          <w:rPr>
            <w:noProof/>
            <w:webHidden/>
          </w:rPr>
          <w:fldChar w:fldCharType="end"/>
        </w:r>
      </w:hyperlink>
    </w:p>
    <w:p w14:paraId="6A027B3A" w14:textId="77777777" w:rsidR="00BA6D4C" w:rsidRDefault="00CE0412">
      <w:pPr>
        <w:pStyle w:val="TOC2"/>
        <w:tabs>
          <w:tab w:val="right" w:leader="dot" w:pos="9350"/>
        </w:tabs>
        <w:rPr>
          <w:rFonts w:eastAsia="SimSun"/>
          <w:noProof/>
        </w:rPr>
      </w:pPr>
      <w:hyperlink w:anchor="_Toc214316811" w:history="1">
        <w:r>
          <w:rPr>
            <w:rStyle w:val="Hyperlink"/>
            <w:rFonts w:ascii="Arial" w:eastAsia="Times New Roman" w:hAnsi="Arial"/>
            <w:b/>
            <w:bCs/>
            <w:noProof/>
          </w:rPr>
          <w:t>4.5 International Financial Considerations</w:t>
        </w:r>
        <w:r>
          <w:rPr>
            <w:noProof/>
            <w:webHidden/>
          </w:rPr>
          <w:tab/>
        </w:r>
        <w:r>
          <w:rPr>
            <w:noProof/>
            <w:webHidden/>
          </w:rPr>
          <w:fldChar w:fldCharType="begin"/>
        </w:r>
        <w:r>
          <w:rPr>
            <w:noProof/>
            <w:webHidden/>
          </w:rPr>
          <w:instrText xml:space="preserve"> PAGEREF _Toc214316811 \h </w:instrText>
        </w:r>
        <w:r>
          <w:rPr>
            <w:noProof/>
            <w:webHidden/>
          </w:rPr>
        </w:r>
        <w:r>
          <w:rPr>
            <w:noProof/>
            <w:webHidden/>
          </w:rPr>
          <w:fldChar w:fldCharType="separate"/>
        </w:r>
        <w:r>
          <w:rPr>
            <w:noProof/>
            <w:webHidden/>
          </w:rPr>
          <w:t>20</w:t>
        </w:r>
        <w:r>
          <w:rPr>
            <w:noProof/>
            <w:webHidden/>
          </w:rPr>
          <w:fldChar w:fldCharType="end"/>
        </w:r>
      </w:hyperlink>
    </w:p>
    <w:p w14:paraId="7C3E3E67" w14:textId="77777777" w:rsidR="00BA6D4C" w:rsidRDefault="00CE0412">
      <w:pPr>
        <w:pStyle w:val="TOC2"/>
        <w:tabs>
          <w:tab w:val="right" w:leader="dot" w:pos="9350"/>
        </w:tabs>
        <w:rPr>
          <w:rFonts w:eastAsia="SimSun"/>
          <w:noProof/>
        </w:rPr>
      </w:pPr>
      <w:hyperlink w:anchor="_Toc214316812" w:history="1">
        <w:r>
          <w:rPr>
            <w:rStyle w:val="Hyperlink"/>
            <w:rFonts w:ascii="Arial" w:eastAsia="Times New Roman" w:hAnsi="Arial"/>
            <w:b/>
            <w:bCs/>
            <w:noProof/>
          </w:rPr>
          <w:t>4.6 Ethical, CSR, and Governance Considerations</w:t>
        </w:r>
        <w:r>
          <w:rPr>
            <w:noProof/>
            <w:webHidden/>
          </w:rPr>
          <w:tab/>
        </w:r>
        <w:r>
          <w:rPr>
            <w:noProof/>
            <w:webHidden/>
          </w:rPr>
          <w:fldChar w:fldCharType="begin"/>
        </w:r>
        <w:r>
          <w:rPr>
            <w:noProof/>
            <w:webHidden/>
          </w:rPr>
          <w:instrText xml:space="preserve"> PAGEREF _Toc214316812 \h </w:instrText>
        </w:r>
        <w:r>
          <w:rPr>
            <w:noProof/>
            <w:webHidden/>
          </w:rPr>
        </w:r>
        <w:r>
          <w:rPr>
            <w:noProof/>
            <w:webHidden/>
          </w:rPr>
          <w:fldChar w:fldCharType="separate"/>
        </w:r>
        <w:r>
          <w:rPr>
            <w:noProof/>
            <w:webHidden/>
          </w:rPr>
          <w:t>20</w:t>
        </w:r>
        <w:r>
          <w:rPr>
            <w:noProof/>
            <w:webHidden/>
          </w:rPr>
          <w:fldChar w:fldCharType="end"/>
        </w:r>
      </w:hyperlink>
    </w:p>
    <w:p w14:paraId="7AECE98E" w14:textId="77777777" w:rsidR="00BA6D4C" w:rsidRDefault="00CE0412">
      <w:pPr>
        <w:pStyle w:val="TOC1"/>
        <w:tabs>
          <w:tab w:val="right" w:leader="dot" w:pos="9350"/>
        </w:tabs>
        <w:rPr>
          <w:rFonts w:eastAsia="SimSun"/>
          <w:noProof/>
        </w:rPr>
      </w:pPr>
      <w:hyperlink w:anchor="_Toc214316813" w:history="1">
        <w:r>
          <w:rPr>
            <w:rStyle w:val="Hyperlink"/>
            <w:rFonts w:ascii="Arial" w:eastAsia="Times New Roman" w:hAnsi="Arial"/>
            <w:b/>
            <w:bCs/>
            <w:noProof/>
            <w:kern w:val="36"/>
          </w:rPr>
          <w:t>5. INVESTMENT APPRAISAL &amp; CAPITAL BUDGETING</w:t>
        </w:r>
        <w:r>
          <w:rPr>
            <w:noProof/>
            <w:webHidden/>
          </w:rPr>
          <w:tab/>
        </w:r>
        <w:r>
          <w:rPr>
            <w:noProof/>
            <w:webHidden/>
          </w:rPr>
          <w:fldChar w:fldCharType="begin"/>
        </w:r>
        <w:r>
          <w:rPr>
            <w:noProof/>
            <w:webHidden/>
          </w:rPr>
          <w:instrText xml:space="preserve"> PAGEREF _Toc214316813 \h </w:instrText>
        </w:r>
        <w:r>
          <w:rPr>
            <w:noProof/>
            <w:webHidden/>
          </w:rPr>
        </w:r>
        <w:r>
          <w:rPr>
            <w:noProof/>
            <w:webHidden/>
          </w:rPr>
          <w:fldChar w:fldCharType="separate"/>
        </w:r>
        <w:r>
          <w:rPr>
            <w:noProof/>
            <w:webHidden/>
          </w:rPr>
          <w:t>21</w:t>
        </w:r>
        <w:r>
          <w:rPr>
            <w:noProof/>
            <w:webHidden/>
          </w:rPr>
          <w:fldChar w:fldCharType="end"/>
        </w:r>
      </w:hyperlink>
    </w:p>
    <w:p w14:paraId="6DC8DB67" w14:textId="77777777" w:rsidR="00BA6D4C" w:rsidRDefault="00CE0412">
      <w:pPr>
        <w:pStyle w:val="TOC2"/>
        <w:tabs>
          <w:tab w:val="right" w:leader="dot" w:pos="9350"/>
        </w:tabs>
        <w:rPr>
          <w:rFonts w:eastAsia="SimSun"/>
          <w:noProof/>
        </w:rPr>
      </w:pPr>
      <w:hyperlink w:anchor="_Toc214316814" w:history="1">
        <w:r>
          <w:rPr>
            <w:rStyle w:val="Hyperlink"/>
            <w:rFonts w:ascii="Arial" w:eastAsia="Times New Roman" w:hAnsi="Arial"/>
            <w:b/>
            <w:bCs/>
            <w:noProof/>
          </w:rPr>
          <w:t>Project Cash Flows and Assumptions</w:t>
        </w:r>
        <w:r>
          <w:rPr>
            <w:noProof/>
            <w:webHidden/>
          </w:rPr>
          <w:tab/>
        </w:r>
        <w:r>
          <w:rPr>
            <w:noProof/>
            <w:webHidden/>
          </w:rPr>
          <w:fldChar w:fldCharType="begin"/>
        </w:r>
        <w:r>
          <w:rPr>
            <w:noProof/>
            <w:webHidden/>
          </w:rPr>
          <w:instrText xml:space="preserve"> PAGEREF _Toc214316814 \h </w:instrText>
        </w:r>
        <w:r>
          <w:rPr>
            <w:noProof/>
            <w:webHidden/>
          </w:rPr>
        </w:r>
        <w:r>
          <w:rPr>
            <w:noProof/>
            <w:webHidden/>
          </w:rPr>
          <w:fldChar w:fldCharType="separate"/>
        </w:r>
        <w:r>
          <w:rPr>
            <w:noProof/>
            <w:webHidden/>
          </w:rPr>
          <w:t>22</w:t>
        </w:r>
        <w:r>
          <w:rPr>
            <w:noProof/>
            <w:webHidden/>
          </w:rPr>
          <w:fldChar w:fldCharType="end"/>
        </w:r>
      </w:hyperlink>
    </w:p>
    <w:p w14:paraId="4D95F122" w14:textId="77777777" w:rsidR="00BA6D4C" w:rsidRDefault="00CE0412">
      <w:pPr>
        <w:pStyle w:val="TOC2"/>
        <w:tabs>
          <w:tab w:val="right" w:leader="dot" w:pos="9350"/>
        </w:tabs>
        <w:rPr>
          <w:rFonts w:eastAsia="SimSun"/>
          <w:noProof/>
        </w:rPr>
      </w:pPr>
      <w:hyperlink w:anchor="_Toc214316815" w:history="1">
        <w:r>
          <w:rPr>
            <w:rStyle w:val="Hyperlink"/>
            <w:rFonts w:ascii="Arial" w:eastAsia="Times New Roman" w:hAnsi="Arial"/>
            <w:b/>
            <w:bCs/>
            <w:noProof/>
          </w:rPr>
          <w:t>5.1 Payback Period (PBP)</w:t>
        </w:r>
        <w:r>
          <w:rPr>
            <w:noProof/>
            <w:webHidden/>
          </w:rPr>
          <w:tab/>
        </w:r>
        <w:r>
          <w:rPr>
            <w:noProof/>
            <w:webHidden/>
          </w:rPr>
          <w:fldChar w:fldCharType="begin"/>
        </w:r>
        <w:r>
          <w:rPr>
            <w:noProof/>
            <w:webHidden/>
          </w:rPr>
          <w:instrText xml:space="preserve"> PAGEREF _Toc214316815 \h </w:instrText>
        </w:r>
        <w:r>
          <w:rPr>
            <w:noProof/>
            <w:webHidden/>
          </w:rPr>
        </w:r>
        <w:r>
          <w:rPr>
            <w:noProof/>
            <w:webHidden/>
          </w:rPr>
          <w:fldChar w:fldCharType="separate"/>
        </w:r>
        <w:r>
          <w:rPr>
            <w:noProof/>
            <w:webHidden/>
          </w:rPr>
          <w:t>22</w:t>
        </w:r>
        <w:r>
          <w:rPr>
            <w:noProof/>
            <w:webHidden/>
          </w:rPr>
          <w:fldChar w:fldCharType="end"/>
        </w:r>
      </w:hyperlink>
    </w:p>
    <w:p w14:paraId="0C5082CA" w14:textId="77777777" w:rsidR="00BA6D4C" w:rsidRDefault="00CE0412">
      <w:pPr>
        <w:pStyle w:val="TOC2"/>
        <w:tabs>
          <w:tab w:val="right" w:leader="dot" w:pos="9350"/>
        </w:tabs>
        <w:rPr>
          <w:rFonts w:eastAsia="SimSun"/>
          <w:noProof/>
        </w:rPr>
      </w:pPr>
      <w:hyperlink w:anchor="_Toc214316816" w:history="1">
        <w:r>
          <w:rPr>
            <w:rStyle w:val="Hyperlink"/>
            <w:rFonts w:ascii="Arial" w:eastAsia="Times New Roman" w:hAnsi="Arial"/>
            <w:b/>
            <w:bCs/>
            <w:noProof/>
          </w:rPr>
          <w:t>5.2 Accounting Rate of Return (ARR)</w:t>
        </w:r>
        <w:r>
          <w:rPr>
            <w:noProof/>
            <w:webHidden/>
          </w:rPr>
          <w:tab/>
        </w:r>
        <w:r>
          <w:rPr>
            <w:noProof/>
            <w:webHidden/>
          </w:rPr>
          <w:fldChar w:fldCharType="begin"/>
        </w:r>
        <w:r>
          <w:rPr>
            <w:noProof/>
            <w:webHidden/>
          </w:rPr>
          <w:instrText xml:space="preserve"> PAGEREF _Toc214316816 \h </w:instrText>
        </w:r>
        <w:r>
          <w:rPr>
            <w:noProof/>
            <w:webHidden/>
          </w:rPr>
        </w:r>
        <w:r>
          <w:rPr>
            <w:noProof/>
            <w:webHidden/>
          </w:rPr>
          <w:fldChar w:fldCharType="separate"/>
        </w:r>
        <w:r>
          <w:rPr>
            <w:noProof/>
            <w:webHidden/>
          </w:rPr>
          <w:t>23</w:t>
        </w:r>
        <w:r>
          <w:rPr>
            <w:noProof/>
            <w:webHidden/>
          </w:rPr>
          <w:fldChar w:fldCharType="end"/>
        </w:r>
      </w:hyperlink>
    </w:p>
    <w:p w14:paraId="07B64645" w14:textId="77777777" w:rsidR="00BA6D4C" w:rsidRDefault="00CE0412">
      <w:pPr>
        <w:pStyle w:val="TOC2"/>
        <w:tabs>
          <w:tab w:val="right" w:leader="dot" w:pos="9350"/>
        </w:tabs>
        <w:rPr>
          <w:rFonts w:eastAsia="SimSun"/>
          <w:noProof/>
        </w:rPr>
      </w:pPr>
      <w:hyperlink w:anchor="_Toc214316817" w:history="1">
        <w:r>
          <w:rPr>
            <w:rStyle w:val="Hyperlink"/>
            <w:rFonts w:ascii="Arial" w:eastAsia="Times New Roman" w:hAnsi="Arial"/>
            <w:b/>
            <w:bCs/>
            <w:noProof/>
          </w:rPr>
          <w:t>5.3 Net Present Value (NPV)</w:t>
        </w:r>
        <w:r>
          <w:rPr>
            <w:noProof/>
            <w:webHidden/>
          </w:rPr>
          <w:tab/>
        </w:r>
        <w:r>
          <w:rPr>
            <w:noProof/>
            <w:webHidden/>
          </w:rPr>
          <w:fldChar w:fldCharType="begin"/>
        </w:r>
        <w:r>
          <w:rPr>
            <w:noProof/>
            <w:webHidden/>
          </w:rPr>
          <w:instrText xml:space="preserve"> PAGEREF _Toc214316817 \h </w:instrText>
        </w:r>
        <w:r>
          <w:rPr>
            <w:noProof/>
            <w:webHidden/>
          </w:rPr>
        </w:r>
        <w:r>
          <w:rPr>
            <w:noProof/>
            <w:webHidden/>
          </w:rPr>
          <w:fldChar w:fldCharType="separate"/>
        </w:r>
        <w:r>
          <w:rPr>
            <w:noProof/>
            <w:webHidden/>
          </w:rPr>
          <w:t>24</w:t>
        </w:r>
        <w:r>
          <w:rPr>
            <w:noProof/>
            <w:webHidden/>
          </w:rPr>
          <w:fldChar w:fldCharType="end"/>
        </w:r>
      </w:hyperlink>
    </w:p>
    <w:p w14:paraId="76B27218" w14:textId="77777777" w:rsidR="00BA6D4C" w:rsidRDefault="00CE0412">
      <w:pPr>
        <w:pStyle w:val="TOC2"/>
        <w:tabs>
          <w:tab w:val="right" w:leader="dot" w:pos="9350"/>
        </w:tabs>
        <w:rPr>
          <w:rFonts w:eastAsia="SimSun"/>
          <w:noProof/>
        </w:rPr>
      </w:pPr>
      <w:hyperlink w:anchor="_Toc214316818" w:history="1">
        <w:r>
          <w:rPr>
            <w:rStyle w:val="Hyperlink"/>
            <w:rFonts w:ascii="Arial" w:eastAsia="Times New Roman" w:hAnsi="Arial"/>
            <w:b/>
            <w:bCs/>
            <w:noProof/>
          </w:rPr>
          <w:t>5.4 Profitability Index (PI)</w:t>
        </w:r>
        <w:r>
          <w:rPr>
            <w:noProof/>
            <w:webHidden/>
          </w:rPr>
          <w:tab/>
        </w:r>
        <w:r>
          <w:rPr>
            <w:noProof/>
            <w:webHidden/>
          </w:rPr>
          <w:fldChar w:fldCharType="begin"/>
        </w:r>
        <w:r>
          <w:rPr>
            <w:noProof/>
            <w:webHidden/>
          </w:rPr>
          <w:instrText xml:space="preserve"> PAGEREF _Toc214316818 \h </w:instrText>
        </w:r>
        <w:r>
          <w:rPr>
            <w:noProof/>
            <w:webHidden/>
          </w:rPr>
        </w:r>
        <w:r>
          <w:rPr>
            <w:noProof/>
            <w:webHidden/>
          </w:rPr>
          <w:fldChar w:fldCharType="separate"/>
        </w:r>
        <w:r>
          <w:rPr>
            <w:noProof/>
            <w:webHidden/>
          </w:rPr>
          <w:t>25</w:t>
        </w:r>
        <w:r>
          <w:rPr>
            <w:noProof/>
            <w:webHidden/>
          </w:rPr>
          <w:fldChar w:fldCharType="end"/>
        </w:r>
      </w:hyperlink>
    </w:p>
    <w:p w14:paraId="36D0094A" w14:textId="77777777" w:rsidR="00BA6D4C" w:rsidRDefault="00CE0412">
      <w:pPr>
        <w:pStyle w:val="TOC2"/>
        <w:tabs>
          <w:tab w:val="right" w:leader="dot" w:pos="9350"/>
        </w:tabs>
        <w:rPr>
          <w:rFonts w:eastAsia="SimSun"/>
          <w:noProof/>
        </w:rPr>
      </w:pPr>
      <w:hyperlink w:anchor="_Toc214316819" w:history="1">
        <w:r>
          <w:rPr>
            <w:rStyle w:val="Hyperlink"/>
            <w:rFonts w:ascii="Arial" w:eastAsia="Times New Roman" w:hAnsi="Arial"/>
            <w:b/>
            <w:bCs/>
            <w:noProof/>
          </w:rPr>
          <w:t>5.5 Internal Rate of Return (IRR)</w:t>
        </w:r>
        <w:r>
          <w:rPr>
            <w:noProof/>
            <w:webHidden/>
          </w:rPr>
          <w:tab/>
        </w:r>
        <w:r>
          <w:rPr>
            <w:noProof/>
            <w:webHidden/>
          </w:rPr>
          <w:fldChar w:fldCharType="begin"/>
        </w:r>
        <w:r>
          <w:rPr>
            <w:noProof/>
            <w:webHidden/>
          </w:rPr>
          <w:instrText xml:space="preserve"> PAGEREF _Toc214316819 \h </w:instrText>
        </w:r>
        <w:r>
          <w:rPr>
            <w:noProof/>
            <w:webHidden/>
          </w:rPr>
        </w:r>
        <w:r>
          <w:rPr>
            <w:noProof/>
            <w:webHidden/>
          </w:rPr>
          <w:fldChar w:fldCharType="separate"/>
        </w:r>
        <w:r>
          <w:rPr>
            <w:noProof/>
            <w:webHidden/>
          </w:rPr>
          <w:t>26</w:t>
        </w:r>
        <w:r>
          <w:rPr>
            <w:noProof/>
            <w:webHidden/>
          </w:rPr>
          <w:fldChar w:fldCharType="end"/>
        </w:r>
      </w:hyperlink>
    </w:p>
    <w:p w14:paraId="66013E69" w14:textId="77777777" w:rsidR="00BA6D4C" w:rsidRDefault="00CE0412">
      <w:pPr>
        <w:pStyle w:val="TOC2"/>
        <w:tabs>
          <w:tab w:val="right" w:leader="dot" w:pos="9350"/>
        </w:tabs>
        <w:rPr>
          <w:rFonts w:eastAsia="SimSun"/>
          <w:noProof/>
        </w:rPr>
      </w:pPr>
      <w:hyperlink w:anchor="_Toc214316820" w:history="1">
        <w:r>
          <w:rPr>
            <w:rStyle w:val="Hyperlink"/>
            <w:rFonts w:ascii="Arial" w:eastAsia="Times New Roman" w:hAnsi="Arial"/>
            <w:b/>
            <w:bCs/>
            <w:noProof/>
          </w:rPr>
          <w:t>5.6 Capital Rationing Decision (Budget £60m)</w:t>
        </w:r>
        <w:r>
          <w:rPr>
            <w:noProof/>
            <w:webHidden/>
          </w:rPr>
          <w:tab/>
        </w:r>
        <w:r>
          <w:rPr>
            <w:noProof/>
            <w:webHidden/>
          </w:rPr>
          <w:fldChar w:fldCharType="begin"/>
        </w:r>
        <w:r>
          <w:rPr>
            <w:noProof/>
            <w:webHidden/>
          </w:rPr>
          <w:instrText xml:space="preserve"> PAGEREF _Toc214316820 \h </w:instrText>
        </w:r>
        <w:r>
          <w:rPr>
            <w:noProof/>
            <w:webHidden/>
          </w:rPr>
        </w:r>
        <w:r>
          <w:rPr>
            <w:noProof/>
            <w:webHidden/>
          </w:rPr>
          <w:fldChar w:fldCharType="separate"/>
        </w:r>
        <w:r>
          <w:rPr>
            <w:noProof/>
            <w:webHidden/>
          </w:rPr>
          <w:t>27</w:t>
        </w:r>
        <w:r>
          <w:rPr>
            <w:noProof/>
            <w:webHidden/>
          </w:rPr>
          <w:fldChar w:fldCharType="end"/>
        </w:r>
      </w:hyperlink>
    </w:p>
    <w:p w14:paraId="58C43CE0" w14:textId="77777777" w:rsidR="00BA6D4C" w:rsidRDefault="00CE0412">
      <w:pPr>
        <w:pStyle w:val="TOC2"/>
        <w:tabs>
          <w:tab w:val="right" w:leader="dot" w:pos="9350"/>
        </w:tabs>
        <w:rPr>
          <w:rFonts w:eastAsia="SimSun"/>
          <w:noProof/>
        </w:rPr>
      </w:pPr>
      <w:hyperlink w:anchor="_Toc214316821" w:history="1">
        <w:r>
          <w:rPr>
            <w:rStyle w:val="Hyperlink"/>
            <w:rFonts w:ascii="Arial" w:eastAsia="Times New Roman" w:hAnsi="Arial"/>
            <w:b/>
            <w:bCs/>
            <w:noProof/>
          </w:rPr>
          <w:t>5.7 Strategic Fit with GE’s Turnaround</w:t>
        </w:r>
        <w:r>
          <w:rPr>
            <w:noProof/>
            <w:webHidden/>
          </w:rPr>
          <w:tab/>
        </w:r>
        <w:r>
          <w:rPr>
            <w:noProof/>
            <w:webHidden/>
          </w:rPr>
          <w:fldChar w:fldCharType="begin"/>
        </w:r>
        <w:r>
          <w:rPr>
            <w:noProof/>
            <w:webHidden/>
          </w:rPr>
          <w:instrText xml:space="preserve"> PAGEREF _Toc214316821 \h </w:instrText>
        </w:r>
        <w:r>
          <w:rPr>
            <w:noProof/>
            <w:webHidden/>
          </w:rPr>
        </w:r>
        <w:r>
          <w:rPr>
            <w:noProof/>
            <w:webHidden/>
          </w:rPr>
          <w:fldChar w:fldCharType="separate"/>
        </w:r>
        <w:r>
          <w:rPr>
            <w:noProof/>
            <w:webHidden/>
          </w:rPr>
          <w:t>27</w:t>
        </w:r>
        <w:r>
          <w:rPr>
            <w:noProof/>
            <w:webHidden/>
          </w:rPr>
          <w:fldChar w:fldCharType="end"/>
        </w:r>
      </w:hyperlink>
    </w:p>
    <w:p w14:paraId="7B604B71" w14:textId="77777777" w:rsidR="00BA6D4C" w:rsidRDefault="00CE0412">
      <w:pPr>
        <w:pStyle w:val="TOC1"/>
        <w:tabs>
          <w:tab w:val="right" w:leader="dot" w:pos="9350"/>
        </w:tabs>
        <w:rPr>
          <w:rFonts w:eastAsia="SimSun"/>
          <w:noProof/>
        </w:rPr>
      </w:pPr>
      <w:hyperlink w:anchor="_Toc214316822" w:history="1">
        <w:r>
          <w:rPr>
            <w:rStyle w:val="Hyperlink"/>
            <w:rFonts w:ascii="Arial" w:eastAsia="Times New Roman" w:hAnsi="Arial"/>
            <w:b/>
            <w:bCs/>
            <w:noProof/>
            <w:kern w:val="36"/>
          </w:rPr>
          <w:t>6. CONCLUSION</w:t>
        </w:r>
        <w:r>
          <w:rPr>
            <w:noProof/>
            <w:webHidden/>
          </w:rPr>
          <w:tab/>
        </w:r>
        <w:r>
          <w:rPr>
            <w:noProof/>
            <w:webHidden/>
          </w:rPr>
          <w:fldChar w:fldCharType="begin"/>
        </w:r>
        <w:r>
          <w:rPr>
            <w:noProof/>
            <w:webHidden/>
          </w:rPr>
          <w:instrText xml:space="preserve"> PAGEREF _Toc214316822 \h </w:instrText>
        </w:r>
        <w:r>
          <w:rPr>
            <w:noProof/>
            <w:webHidden/>
          </w:rPr>
        </w:r>
        <w:r>
          <w:rPr>
            <w:noProof/>
            <w:webHidden/>
          </w:rPr>
          <w:fldChar w:fldCharType="separate"/>
        </w:r>
        <w:r>
          <w:rPr>
            <w:noProof/>
            <w:webHidden/>
          </w:rPr>
          <w:t>28</w:t>
        </w:r>
        <w:r>
          <w:rPr>
            <w:noProof/>
            <w:webHidden/>
          </w:rPr>
          <w:fldChar w:fldCharType="end"/>
        </w:r>
      </w:hyperlink>
    </w:p>
    <w:p w14:paraId="383B27BC" w14:textId="77777777" w:rsidR="00BA6D4C" w:rsidRDefault="00CE0412">
      <w:pPr>
        <w:pStyle w:val="TOC1"/>
        <w:tabs>
          <w:tab w:val="right" w:leader="dot" w:pos="9350"/>
        </w:tabs>
        <w:rPr>
          <w:rFonts w:eastAsia="SimSun"/>
          <w:noProof/>
        </w:rPr>
      </w:pPr>
      <w:hyperlink w:anchor="_Toc214316823" w:history="1">
        <w:r>
          <w:rPr>
            <w:rStyle w:val="Hyperlink"/>
            <w:rFonts w:ascii="Arial" w:eastAsia="Times New Roman" w:hAnsi="Arial"/>
            <w:b/>
            <w:bCs/>
            <w:noProof/>
            <w:kern w:val="36"/>
          </w:rPr>
          <w:t>7. REFERENCES</w:t>
        </w:r>
        <w:r>
          <w:rPr>
            <w:noProof/>
            <w:webHidden/>
          </w:rPr>
          <w:tab/>
        </w:r>
        <w:r>
          <w:rPr>
            <w:noProof/>
            <w:webHidden/>
          </w:rPr>
          <w:fldChar w:fldCharType="begin"/>
        </w:r>
        <w:r>
          <w:rPr>
            <w:noProof/>
            <w:webHidden/>
          </w:rPr>
          <w:instrText xml:space="preserve"> PAGEREF _Toc214316823 \h </w:instrText>
        </w:r>
        <w:r>
          <w:rPr>
            <w:noProof/>
            <w:webHidden/>
          </w:rPr>
        </w:r>
        <w:r>
          <w:rPr>
            <w:noProof/>
            <w:webHidden/>
          </w:rPr>
          <w:fldChar w:fldCharType="separate"/>
        </w:r>
        <w:r>
          <w:rPr>
            <w:noProof/>
            <w:webHidden/>
          </w:rPr>
          <w:t>28</w:t>
        </w:r>
        <w:r>
          <w:rPr>
            <w:noProof/>
            <w:webHidden/>
          </w:rPr>
          <w:fldChar w:fldCharType="end"/>
        </w:r>
      </w:hyperlink>
    </w:p>
    <w:p w14:paraId="50703089" w14:textId="77777777" w:rsidR="00BA6D4C" w:rsidRDefault="00CE0412">
      <w:pPr>
        <w:pStyle w:val="TOC1"/>
        <w:tabs>
          <w:tab w:val="right" w:leader="dot" w:pos="9350"/>
        </w:tabs>
        <w:rPr>
          <w:rFonts w:eastAsia="SimSun"/>
          <w:noProof/>
        </w:rPr>
      </w:pPr>
      <w:hyperlink w:anchor="_Toc214316824" w:history="1">
        <w:r>
          <w:rPr>
            <w:rStyle w:val="Hyperlink"/>
            <w:rFonts w:ascii="Arial" w:eastAsia="Times New Roman" w:hAnsi="Arial"/>
            <w:b/>
            <w:bCs/>
            <w:noProof/>
            <w:kern w:val="36"/>
          </w:rPr>
          <w:t>8. APPENDICES</w:t>
        </w:r>
        <w:r>
          <w:rPr>
            <w:noProof/>
            <w:webHidden/>
          </w:rPr>
          <w:tab/>
        </w:r>
        <w:r>
          <w:rPr>
            <w:noProof/>
            <w:webHidden/>
          </w:rPr>
          <w:fldChar w:fldCharType="begin"/>
        </w:r>
        <w:r>
          <w:rPr>
            <w:noProof/>
            <w:webHidden/>
          </w:rPr>
          <w:instrText xml:space="preserve"> PAGEREF _Toc214316824 \h </w:instrText>
        </w:r>
        <w:r>
          <w:rPr>
            <w:noProof/>
            <w:webHidden/>
          </w:rPr>
        </w:r>
        <w:r>
          <w:rPr>
            <w:noProof/>
            <w:webHidden/>
          </w:rPr>
          <w:fldChar w:fldCharType="separate"/>
        </w:r>
        <w:r>
          <w:rPr>
            <w:noProof/>
            <w:webHidden/>
          </w:rPr>
          <w:t>30</w:t>
        </w:r>
        <w:r>
          <w:rPr>
            <w:noProof/>
            <w:webHidden/>
          </w:rPr>
          <w:fldChar w:fldCharType="end"/>
        </w:r>
      </w:hyperlink>
    </w:p>
    <w:p w14:paraId="7B02DE6B" w14:textId="77777777" w:rsidR="00BA6D4C" w:rsidRDefault="00CE0412">
      <w:pPr>
        <w:pStyle w:val="TOC3"/>
        <w:tabs>
          <w:tab w:val="right" w:leader="dot" w:pos="9350"/>
        </w:tabs>
        <w:rPr>
          <w:rFonts w:eastAsia="SimSun"/>
          <w:noProof/>
        </w:rPr>
      </w:pPr>
      <w:hyperlink w:anchor="_Toc214316825" w:history="1">
        <w:r>
          <w:rPr>
            <w:rStyle w:val="Hyperlink"/>
            <w:rFonts w:ascii="Arial" w:eastAsia="Times New Roman" w:hAnsi="Arial"/>
            <w:b/>
            <w:bCs/>
            <w:noProof/>
          </w:rPr>
          <w:t>Appendix A: Ratio Tables (Full Calculations)</w:t>
        </w:r>
        <w:r>
          <w:rPr>
            <w:noProof/>
            <w:webHidden/>
          </w:rPr>
          <w:tab/>
        </w:r>
        <w:r>
          <w:rPr>
            <w:noProof/>
            <w:webHidden/>
          </w:rPr>
          <w:fldChar w:fldCharType="begin"/>
        </w:r>
        <w:r>
          <w:rPr>
            <w:noProof/>
            <w:webHidden/>
          </w:rPr>
          <w:instrText xml:space="preserve"> PAGEREF _Toc214316825 \h </w:instrText>
        </w:r>
        <w:r>
          <w:rPr>
            <w:noProof/>
            <w:webHidden/>
          </w:rPr>
        </w:r>
        <w:r>
          <w:rPr>
            <w:noProof/>
            <w:webHidden/>
          </w:rPr>
          <w:fldChar w:fldCharType="separate"/>
        </w:r>
        <w:r>
          <w:rPr>
            <w:noProof/>
            <w:webHidden/>
          </w:rPr>
          <w:t>30</w:t>
        </w:r>
        <w:r>
          <w:rPr>
            <w:noProof/>
            <w:webHidden/>
          </w:rPr>
          <w:fldChar w:fldCharType="end"/>
        </w:r>
      </w:hyperlink>
    </w:p>
    <w:p w14:paraId="381BA93B" w14:textId="77777777" w:rsidR="00BA6D4C" w:rsidRDefault="00CE0412">
      <w:pPr>
        <w:pStyle w:val="TOC3"/>
        <w:tabs>
          <w:tab w:val="right" w:leader="dot" w:pos="9350"/>
        </w:tabs>
        <w:rPr>
          <w:rFonts w:eastAsia="SimSun"/>
          <w:noProof/>
        </w:rPr>
      </w:pPr>
      <w:hyperlink w:anchor="_Toc214316826" w:history="1">
        <w:r>
          <w:rPr>
            <w:rStyle w:val="Hyperlink"/>
            <w:rFonts w:ascii="Arial" w:eastAsia="Times New Roman" w:hAnsi="Arial"/>
            <w:b/>
            <w:bCs/>
            <w:noProof/>
          </w:rPr>
          <w:t>Appendix B: Investment Appraisal Calculations</w:t>
        </w:r>
        <w:r>
          <w:rPr>
            <w:noProof/>
            <w:webHidden/>
          </w:rPr>
          <w:tab/>
        </w:r>
        <w:r>
          <w:rPr>
            <w:noProof/>
            <w:webHidden/>
          </w:rPr>
          <w:fldChar w:fldCharType="begin"/>
        </w:r>
        <w:r>
          <w:rPr>
            <w:noProof/>
            <w:webHidden/>
          </w:rPr>
          <w:instrText xml:space="preserve"> PAGEREF _Toc214316826 \h </w:instrText>
        </w:r>
        <w:r>
          <w:rPr>
            <w:noProof/>
            <w:webHidden/>
          </w:rPr>
        </w:r>
        <w:r>
          <w:rPr>
            <w:noProof/>
            <w:webHidden/>
          </w:rPr>
          <w:fldChar w:fldCharType="separate"/>
        </w:r>
        <w:r>
          <w:rPr>
            <w:noProof/>
            <w:webHidden/>
          </w:rPr>
          <w:t>30</w:t>
        </w:r>
        <w:r>
          <w:rPr>
            <w:noProof/>
            <w:webHidden/>
          </w:rPr>
          <w:fldChar w:fldCharType="end"/>
        </w:r>
      </w:hyperlink>
    </w:p>
    <w:p w14:paraId="183807BD" w14:textId="77777777" w:rsidR="00BA6D4C" w:rsidRDefault="00CE0412">
      <w:pPr>
        <w:pStyle w:val="TOC3"/>
        <w:tabs>
          <w:tab w:val="right" w:leader="dot" w:pos="9350"/>
        </w:tabs>
        <w:rPr>
          <w:rFonts w:eastAsia="SimSun"/>
          <w:noProof/>
        </w:rPr>
      </w:pPr>
      <w:hyperlink w:anchor="_Toc214316827" w:history="1">
        <w:r>
          <w:rPr>
            <w:rStyle w:val="Hyperlink"/>
            <w:rFonts w:ascii="Arial" w:eastAsia="Times New Roman" w:hAnsi="Arial"/>
            <w:b/>
            <w:bCs/>
            <w:noProof/>
          </w:rPr>
          <w:t>Appendix C: Figure Placeholders</w:t>
        </w:r>
        <w:r>
          <w:rPr>
            <w:noProof/>
            <w:webHidden/>
          </w:rPr>
          <w:tab/>
        </w:r>
        <w:r>
          <w:rPr>
            <w:noProof/>
            <w:webHidden/>
          </w:rPr>
          <w:fldChar w:fldCharType="begin"/>
        </w:r>
        <w:r>
          <w:rPr>
            <w:noProof/>
            <w:webHidden/>
          </w:rPr>
          <w:instrText xml:space="preserve"> PAGEREF _Toc214316827 \h </w:instrText>
        </w:r>
        <w:r>
          <w:rPr>
            <w:noProof/>
            <w:webHidden/>
          </w:rPr>
        </w:r>
        <w:r>
          <w:rPr>
            <w:noProof/>
            <w:webHidden/>
          </w:rPr>
          <w:fldChar w:fldCharType="separate"/>
        </w:r>
        <w:r>
          <w:rPr>
            <w:noProof/>
            <w:webHidden/>
          </w:rPr>
          <w:t>30</w:t>
        </w:r>
        <w:r>
          <w:rPr>
            <w:noProof/>
            <w:webHidden/>
          </w:rPr>
          <w:fldChar w:fldCharType="end"/>
        </w:r>
      </w:hyperlink>
    </w:p>
    <w:p w14:paraId="388DA631" w14:textId="77777777" w:rsidR="00BA6D4C" w:rsidRDefault="00CE0412">
      <w:pPr>
        <w:spacing w:line="360" w:lineRule="auto"/>
        <w:jc w:val="both"/>
        <w:rPr>
          <w:rFonts w:ascii="Arial" w:hAnsi="Arial"/>
        </w:rPr>
      </w:pPr>
      <w:r>
        <w:rPr>
          <w:rFonts w:ascii="Arial" w:hAnsi="Arial"/>
          <w:b/>
          <w:bCs/>
          <w:noProof/>
        </w:rPr>
        <w:fldChar w:fldCharType="end"/>
      </w:r>
    </w:p>
    <w:p w14:paraId="2D2D790C"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448993A1"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6CF17242"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05B947F7"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300A771E"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1C889012"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3E0BB1AB"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61ABD0A0" w14:textId="77777777" w:rsidR="00BA6D4C" w:rsidRDefault="00BA6D4C">
      <w:pPr>
        <w:spacing w:before="100" w:beforeAutospacing="1" w:after="100" w:afterAutospacing="1" w:line="360" w:lineRule="auto"/>
        <w:jc w:val="both"/>
        <w:outlineLvl w:val="0"/>
        <w:rPr>
          <w:rFonts w:ascii="Arial" w:eastAsia="Times New Roman" w:hAnsi="Arial"/>
          <w:b/>
          <w:bCs/>
          <w:kern w:val="36"/>
          <w:sz w:val="48"/>
          <w:szCs w:val="48"/>
        </w:rPr>
      </w:pPr>
    </w:p>
    <w:p w14:paraId="176F6C5C" w14:textId="77777777" w:rsidR="00BA6D4C" w:rsidRDefault="00CE0412">
      <w:pPr>
        <w:spacing w:before="100" w:beforeAutospacing="1" w:after="100" w:afterAutospacing="1" w:line="360" w:lineRule="auto"/>
        <w:jc w:val="both"/>
        <w:outlineLvl w:val="0"/>
        <w:rPr>
          <w:rFonts w:ascii="Arial" w:eastAsia="Times New Roman" w:hAnsi="Arial"/>
          <w:b/>
          <w:bCs/>
          <w:kern w:val="36"/>
          <w:sz w:val="24"/>
          <w:szCs w:val="24"/>
        </w:rPr>
      </w:pPr>
      <w:bookmarkStart w:id="0" w:name="_Toc214316790"/>
      <w:r>
        <w:rPr>
          <w:rFonts w:ascii="Arial" w:eastAsia="Times New Roman" w:hAnsi="Arial"/>
          <w:b/>
          <w:bCs/>
          <w:kern w:val="36"/>
          <w:sz w:val="24"/>
          <w:szCs w:val="24"/>
        </w:rPr>
        <w:lastRenderedPageBreak/>
        <w:t>1. INTRODUCTION</w:t>
      </w:r>
      <w:bookmarkEnd w:id="0"/>
    </w:p>
    <w:p w14:paraId="289CBDEB"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General Electronics (GE) being a multinational consumer electronics manufacturer, has been recording massive decreases in financial performance in the past five years. Having been previously a high-volume electronics leader, the company is recording a series of losses, declining liquidity, declining efficiency, negative operating margins and a significant loss in shareholder equity. To examine the financial meltdown, stabilise the liquidity position in the short run, reconfigure the global financial strategy and assess future investment opportunities, the Board has appointed a new Chief Financial Officer (CFO).</w:t>
      </w:r>
    </w:p>
    <w:p w14:paraId="202EB890"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This report aims to include a detailed financial analysis and turnaround strategy of General Electronics with the use of the five-year financial statements (2020- 2024). The report is reported in the proper format, (1) financial health status containing full ratio analysis; (2) working capital efficiency and liquidity enhancing strategy; (3) an elaborate restructuring plan containing the international, ethical, and governance aspects and (4) investment analysis assessing the three proposed capital projects under the capital rationing conditions based on the PBP, ARR, NPV, PI, and IRR.</w:t>
      </w:r>
    </w:p>
    <w:p w14:paraId="3B6B3E23"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In the analysis, the real-world theory of financial management comprises of the corporate failure predictive theory (Altman, 1968), working capital optimisation models (Deloof, 2003), principle of capital structure (Modigliani and Miller, 1958), and the modern investment appraisal (Ross et al., 2022). The turnaround strategy monitors the global risks factors such as currency volatility, inflation, international tax differences, and moral values in line with acceptable corporate governance.</w:t>
      </w:r>
    </w:p>
    <w:p w14:paraId="1C3B85AE"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report has 20 credible academic and industry sources to support the academic rigor, a complete ratio appendix, and tables which summarize the numerical findings. The last recommendations are to revive profitability, liquidity, increase the long-term solvency, and choose the best route to investment to ensure the survival and competitiveness of GE in the world.</w:t>
      </w:r>
    </w:p>
    <w:p w14:paraId="32842A32"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2. FINANCIAL HEALTH CHECK</w:t>
      </w:r>
    </w:p>
    <w:p w14:paraId="13538CAB" w14:textId="5E0506C0"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lastRenderedPageBreak/>
        <w:t>In this section, it is presented in detail as the analysis of the financial performance of General Electronics (GE) during the years 2020</w:t>
      </w:r>
      <w:r w:rsidR="003172ED">
        <w:rPr>
          <w:rFonts w:ascii="Arial" w:eastAsia="Times New Roman" w:hAnsi="Arial"/>
          <w:sz w:val="24"/>
          <w:szCs w:val="24"/>
        </w:rPr>
        <w:t>-</w:t>
      </w:r>
      <w:r>
        <w:rPr>
          <w:rFonts w:ascii="Arial" w:eastAsia="Times New Roman" w:hAnsi="Arial"/>
          <w:sz w:val="24"/>
          <w:szCs w:val="24"/>
        </w:rPr>
        <w:t>24. This examination evaluates the level of financial distress using main financial ratios, indicators of efficiency, and solvency and provides the structural weaknesses that have led to the failure of the firm through corporate failure predictive models. The measures examined are profitability, liquidity, efficiency in working capital, gearing, and Altman Z-Score analysis that will give a comprehensive picture of the financial health of GE. The results are the basis on which future recommendations on working capital optimums, reorganization strategy, and investment choices are established.</w:t>
      </w:r>
    </w:p>
    <w:p w14:paraId="0748410F"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2.1 Profitability Analysis</w:t>
      </w:r>
    </w:p>
    <w:p w14:paraId="79F4941E"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financial health of a firm is often gauged through profitability since it is the indicator of how a firm can get returns on its operations, assets, and equity. Profitability ratios of GE between 2020 and 2024 indicate a steep decline in the financial performance of the company.</w:t>
      </w:r>
    </w:p>
    <w:p w14:paraId="36E34187"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Table 1: Profitability Ratios (2020–2024)</w:t>
      </w:r>
    </w:p>
    <w:tbl>
      <w:tblPr>
        <w:tblStyle w:val="TableGrid"/>
        <w:tblW w:w="9390" w:type="dxa"/>
        <w:tblLook w:val="04A0" w:firstRow="1" w:lastRow="0" w:firstColumn="1" w:lastColumn="0" w:noHBand="0" w:noVBand="1"/>
      </w:tblPr>
      <w:tblGrid>
        <w:gridCol w:w="3049"/>
        <w:gridCol w:w="1197"/>
        <w:gridCol w:w="1197"/>
        <w:gridCol w:w="1197"/>
        <w:gridCol w:w="1375"/>
        <w:gridCol w:w="1375"/>
      </w:tblGrid>
      <w:tr w:rsidR="00BA6D4C" w14:paraId="012A0577" w14:textId="77777777">
        <w:trPr>
          <w:trHeight w:val="433"/>
        </w:trPr>
        <w:tc>
          <w:tcPr>
            <w:tcW w:w="0" w:type="auto"/>
            <w:hideMark/>
          </w:tcPr>
          <w:p w14:paraId="4755B0FC"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Ratio</w:t>
            </w:r>
          </w:p>
        </w:tc>
        <w:tc>
          <w:tcPr>
            <w:tcW w:w="0" w:type="auto"/>
            <w:hideMark/>
          </w:tcPr>
          <w:p w14:paraId="3D737E53"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2020</w:t>
            </w:r>
          </w:p>
        </w:tc>
        <w:tc>
          <w:tcPr>
            <w:tcW w:w="0" w:type="auto"/>
            <w:hideMark/>
          </w:tcPr>
          <w:p w14:paraId="12C21AA2"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2021</w:t>
            </w:r>
          </w:p>
        </w:tc>
        <w:tc>
          <w:tcPr>
            <w:tcW w:w="0" w:type="auto"/>
            <w:hideMark/>
          </w:tcPr>
          <w:p w14:paraId="3B848295"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2022</w:t>
            </w:r>
          </w:p>
        </w:tc>
        <w:tc>
          <w:tcPr>
            <w:tcW w:w="0" w:type="auto"/>
            <w:hideMark/>
          </w:tcPr>
          <w:p w14:paraId="65925DC7"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2023</w:t>
            </w:r>
          </w:p>
        </w:tc>
        <w:tc>
          <w:tcPr>
            <w:tcW w:w="0" w:type="auto"/>
            <w:hideMark/>
          </w:tcPr>
          <w:p w14:paraId="3B24785B"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2024</w:t>
            </w:r>
          </w:p>
        </w:tc>
      </w:tr>
      <w:tr w:rsidR="00BA6D4C" w14:paraId="475A6F92" w14:textId="77777777">
        <w:trPr>
          <w:trHeight w:val="450"/>
        </w:trPr>
        <w:tc>
          <w:tcPr>
            <w:tcW w:w="0" w:type="auto"/>
            <w:hideMark/>
          </w:tcPr>
          <w:p w14:paraId="442067DE"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Gross Profit Margin</w:t>
            </w:r>
          </w:p>
        </w:tc>
        <w:tc>
          <w:tcPr>
            <w:tcW w:w="0" w:type="auto"/>
            <w:hideMark/>
          </w:tcPr>
          <w:p w14:paraId="2A3D8DF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28.7%</w:t>
            </w:r>
          </w:p>
        </w:tc>
        <w:tc>
          <w:tcPr>
            <w:tcW w:w="0" w:type="auto"/>
            <w:hideMark/>
          </w:tcPr>
          <w:p w14:paraId="167CD5C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28.8%</w:t>
            </w:r>
          </w:p>
        </w:tc>
        <w:tc>
          <w:tcPr>
            <w:tcW w:w="0" w:type="auto"/>
            <w:hideMark/>
          </w:tcPr>
          <w:p w14:paraId="4E2266A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28.0%</w:t>
            </w:r>
          </w:p>
        </w:tc>
        <w:tc>
          <w:tcPr>
            <w:tcW w:w="0" w:type="auto"/>
            <w:hideMark/>
          </w:tcPr>
          <w:p w14:paraId="18C9A87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23.2%</w:t>
            </w:r>
          </w:p>
        </w:tc>
        <w:tc>
          <w:tcPr>
            <w:tcW w:w="0" w:type="auto"/>
            <w:hideMark/>
          </w:tcPr>
          <w:p w14:paraId="0B5141E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28.9%</w:t>
            </w:r>
          </w:p>
        </w:tc>
      </w:tr>
      <w:tr w:rsidR="00BA6D4C" w14:paraId="5893457D" w14:textId="77777777">
        <w:trPr>
          <w:trHeight w:val="433"/>
        </w:trPr>
        <w:tc>
          <w:tcPr>
            <w:tcW w:w="0" w:type="auto"/>
            <w:hideMark/>
          </w:tcPr>
          <w:p w14:paraId="73770B6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Operating Margin</w:t>
            </w:r>
          </w:p>
        </w:tc>
        <w:tc>
          <w:tcPr>
            <w:tcW w:w="0" w:type="auto"/>
            <w:hideMark/>
          </w:tcPr>
          <w:p w14:paraId="38FD66AE"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6.1%</w:t>
            </w:r>
          </w:p>
        </w:tc>
        <w:tc>
          <w:tcPr>
            <w:tcW w:w="0" w:type="auto"/>
            <w:hideMark/>
          </w:tcPr>
          <w:p w14:paraId="6C58E93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3.9%</w:t>
            </w:r>
          </w:p>
        </w:tc>
        <w:tc>
          <w:tcPr>
            <w:tcW w:w="0" w:type="auto"/>
            <w:hideMark/>
          </w:tcPr>
          <w:p w14:paraId="29F7D22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2.7%</w:t>
            </w:r>
          </w:p>
        </w:tc>
        <w:tc>
          <w:tcPr>
            <w:tcW w:w="0" w:type="auto"/>
            <w:hideMark/>
          </w:tcPr>
          <w:p w14:paraId="2346D11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–20.3%</w:t>
            </w:r>
          </w:p>
        </w:tc>
        <w:tc>
          <w:tcPr>
            <w:tcW w:w="0" w:type="auto"/>
            <w:hideMark/>
          </w:tcPr>
          <w:p w14:paraId="6ED0BA98"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–3.9%</w:t>
            </w:r>
          </w:p>
        </w:tc>
      </w:tr>
      <w:tr w:rsidR="00BA6D4C" w14:paraId="71F6BDA7" w14:textId="77777777">
        <w:trPr>
          <w:trHeight w:val="433"/>
        </w:trPr>
        <w:tc>
          <w:tcPr>
            <w:tcW w:w="0" w:type="auto"/>
            <w:hideMark/>
          </w:tcPr>
          <w:p w14:paraId="24DDB86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Net Profit Margin</w:t>
            </w:r>
          </w:p>
        </w:tc>
        <w:tc>
          <w:tcPr>
            <w:tcW w:w="0" w:type="auto"/>
            <w:hideMark/>
          </w:tcPr>
          <w:p w14:paraId="68F7579F"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6.3%</w:t>
            </w:r>
          </w:p>
        </w:tc>
        <w:tc>
          <w:tcPr>
            <w:tcW w:w="0" w:type="auto"/>
            <w:hideMark/>
          </w:tcPr>
          <w:p w14:paraId="73E96EA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0.9%</w:t>
            </w:r>
          </w:p>
        </w:tc>
        <w:tc>
          <w:tcPr>
            <w:tcW w:w="0" w:type="auto"/>
            <w:hideMark/>
          </w:tcPr>
          <w:p w14:paraId="5D474BE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0.07%</w:t>
            </w:r>
          </w:p>
        </w:tc>
        <w:tc>
          <w:tcPr>
            <w:tcW w:w="0" w:type="auto"/>
            <w:hideMark/>
          </w:tcPr>
          <w:p w14:paraId="13386066"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–23.4%</w:t>
            </w:r>
          </w:p>
        </w:tc>
        <w:tc>
          <w:tcPr>
            <w:tcW w:w="0" w:type="auto"/>
            <w:hideMark/>
          </w:tcPr>
          <w:p w14:paraId="74D6DD5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–6.1%</w:t>
            </w:r>
          </w:p>
        </w:tc>
      </w:tr>
      <w:tr w:rsidR="00BA6D4C" w14:paraId="25FF18DF" w14:textId="77777777">
        <w:trPr>
          <w:trHeight w:val="433"/>
        </w:trPr>
        <w:tc>
          <w:tcPr>
            <w:tcW w:w="0" w:type="auto"/>
            <w:hideMark/>
          </w:tcPr>
          <w:p w14:paraId="21D6A888"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ROA</w:t>
            </w:r>
          </w:p>
        </w:tc>
        <w:tc>
          <w:tcPr>
            <w:tcW w:w="0" w:type="auto"/>
            <w:hideMark/>
          </w:tcPr>
          <w:p w14:paraId="430C1C6F"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7.6%</w:t>
            </w:r>
          </w:p>
        </w:tc>
        <w:tc>
          <w:tcPr>
            <w:tcW w:w="0" w:type="auto"/>
            <w:hideMark/>
          </w:tcPr>
          <w:p w14:paraId="42AB9C8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w:t>
            </w:r>
          </w:p>
        </w:tc>
        <w:tc>
          <w:tcPr>
            <w:tcW w:w="0" w:type="auto"/>
            <w:hideMark/>
          </w:tcPr>
          <w:p w14:paraId="4CA198F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0.08%</w:t>
            </w:r>
          </w:p>
        </w:tc>
        <w:tc>
          <w:tcPr>
            <w:tcW w:w="0" w:type="auto"/>
            <w:hideMark/>
          </w:tcPr>
          <w:p w14:paraId="6E767AC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–27.6%</w:t>
            </w:r>
          </w:p>
        </w:tc>
        <w:tc>
          <w:tcPr>
            <w:tcW w:w="0" w:type="auto"/>
            <w:hideMark/>
          </w:tcPr>
          <w:p w14:paraId="5251C4FE"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–7.4%</w:t>
            </w:r>
          </w:p>
        </w:tc>
      </w:tr>
      <w:tr w:rsidR="00BA6D4C" w14:paraId="5F5F503E" w14:textId="77777777">
        <w:trPr>
          <w:trHeight w:val="450"/>
        </w:trPr>
        <w:tc>
          <w:tcPr>
            <w:tcW w:w="0" w:type="auto"/>
            <w:hideMark/>
          </w:tcPr>
          <w:p w14:paraId="4669D94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ROE</w:t>
            </w:r>
          </w:p>
        </w:tc>
        <w:tc>
          <w:tcPr>
            <w:tcW w:w="0" w:type="auto"/>
            <w:hideMark/>
          </w:tcPr>
          <w:p w14:paraId="65C0A64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12.3%</w:t>
            </w:r>
          </w:p>
        </w:tc>
        <w:tc>
          <w:tcPr>
            <w:tcW w:w="0" w:type="auto"/>
            <w:hideMark/>
          </w:tcPr>
          <w:p w14:paraId="2AB88BF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1.9%</w:t>
            </w:r>
          </w:p>
        </w:tc>
        <w:tc>
          <w:tcPr>
            <w:tcW w:w="0" w:type="auto"/>
            <w:hideMark/>
          </w:tcPr>
          <w:p w14:paraId="04DEAB8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0.15%</w:t>
            </w:r>
          </w:p>
        </w:tc>
        <w:tc>
          <w:tcPr>
            <w:tcW w:w="0" w:type="auto"/>
            <w:hideMark/>
          </w:tcPr>
          <w:p w14:paraId="6D67D666"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–54.9%</w:t>
            </w:r>
          </w:p>
        </w:tc>
        <w:tc>
          <w:tcPr>
            <w:tcW w:w="0" w:type="auto"/>
            <w:hideMark/>
          </w:tcPr>
          <w:p w14:paraId="4398FE44"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–15.7%</w:t>
            </w:r>
          </w:p>
        </w:tc>
      </w:tr>
    </w:tbl>
    <w:p w14:paraId="669636AF"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Gross Profit Margin is somewhat constant approximately 28 percent throughout the majority of years which means that GE has been adhering to their pricing strategy and the cost-of-goods-sold has been exhibiting consistency. This steadiness indicates that the fall in profitability is not caused by production inefficiencies or fading product prices, but it was caused by massive rises in operating expenses and non-operating costs.</w:t>
      </w:r>
    </w:p>
    <w:p w14:paraId="2BBCC173"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lastRenderedPageBreak/>
        <w:t>Finding Margin will indicate better internal cost management. In 2020, GE had an operating margin of 6.1% and in 2023, the figure decreased to -20.3% and then it partially increased to -3.9 in 2024. This drastic decline in operating profit shows how operating expenses have soared as it has grown since 2022, which was at £137.7 billion to 2023 of 182.8 billion. The explosions in the expenses might have been due to inefficiency in the worldwide operations, too much overheads, restructuring expenses and potential impairment of the non-performing assets.</w:t>
      </w:r>
    </w:p>
    <w:p w14:paraId="03562582"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same trend is followed by Net Profit Margin of the total operating, financial, and tax-related expenses. Although it was positive yet marginal with 0. 07 in 2022, it dropped to -23.4 in 2023 and was still negative with -6.1 in 2024. These findings are indicative that not only is GE finding it difficult to meet operation expenses, it also has great financing expenses and other non-recurrence loss. Continued negative net margins are good indicators of corporate distress and eventual failure, as pointed out by Altman (1968) and Brigham and Ehrhardt (2022).</w:t>
      </w:r>
    </w:p>
    <w:p w14:paraId="1AE99FB4"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Both Return on Assets (ROA) and Return on Equity (ROE) go below zero in the years 20232024. ROA decreases between 0.08% in 2022 and 27.6% in 2023 meaning the asset base of GE is stopped providing positive returns. The value creation in form of ROE turns negative (ROE = -54.9) in the year 2023, which shows that the value of equity is significantly affected. The negative ROE does not only imply failure in the operation but also a great loss toward shareholder wealth which could diminish investor trust and restrict access to further equity funding.</w:t>
      </w:r>
    </w:p>
    <w:p w14:paraId="0FA08E11"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In general, the profitability analysis reveals a company that is in a dire state of operating. With the constant gross margins, the company has failed to control operating expenses, and its financial charges have been rising steadily, which has resulted in the ability to make continuous losses and poor returns. The decline in profitability is the indicator of a looming financial crisis and the necessity to take some cost-controlling and operation reorganization steps.</w:t>
      </w:r>
    </w:p>
    <w:p w14:paraId="1D76D534"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2.2 Liquidity Analysis</w:t>
      </w:r>
    </w:p>
    <w:p w14:paraId="72DDFA1D"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lastRenderedPageBreak/>
        <w:t>Liquidity ratios are used to determine the capacity of the firm to cover the short-term liabilities. In the case of GE, current ratio and quick ratio depict increasing liquidity pressure.</w:t>
      </w:r>
    </w:p>
    <w:p w14:paraId="48D11CA7"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Table 2: Liquidity Ratios (2020–2024)</w:t>
      </w:r>
    </w:p>
    <w:tbl>
      <w:tblPr>
        <w:tblStyle w:val="TableGrid"/>
        <w:tblW w:w="9286" w:type="dxa"/>
        <w:tblLook w:val="04A0" w:firstRow="1" w:lastRow="0" w:firstColumn="1" w:lastColumn="0" w:noHBand="0" w:noVBand="1"/>
      </w:tblPr>
      <w:tblGrid>
        <w:gridCol w:w="2831"/>
        <w:gridCol w:w="1291"/>
        <w:gridCol w:w="1291"/>
        <w:gridCol w:w="1291"/>
        <w:gridCol w:w="1291"/>
        <w:gridCol w:w="1291"/>
      </w:tblGrid>
      <w:tr w:rsidR="00BA6D4C" w14:paraId="5E5AC485" w14:textId="77777777">
        <w:trPr>
          <w:trHeight w:val="400"/>
        </w:trPr>
        <w:tc>
          <w:tcPr>
            <w:tcW w:w="0" w:type="auto"/>
            <w:hideMark/>
          </w:tcPr>
          <w:p w14:paraId="1944FEB9"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Ratio</w:t>
            </w:r>
          </w:p>
        </w:tc>
        <w:tc>
          <w:tcPr>
            <w:tcW w:w="0" w:type="auto"/>
            <w:hideMark/>
          </w:tcPr>
          <w:p w14:paraId="06ECC0B3"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2020</w:t>
            </w:r>
          </w:p>
        </w:tc>
        <w:tc>
          <w:tcPr>
            <w:tcW w:w="0" w:type="auto"/>
            <w:hideMark/>
          </w:tcPr>
          <w:p w14:paraId="43A93D10"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2021</w:t>
            </w:r>
          </w:p>
        </w:tc>
        <w:tc>
          <w:tcPr>
            <w:tcW w:w="0" w:type="auto"/>
            <w:hideMark/>
          </w:tcPr>
          <w:p w14:paraId="4E9864D4"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2022</w:t>
            </w:r>
          </w:p>
        </w:tc>
        <w:tc>
          <w:tcPr>
            <w:tcW w:w="0" w:type="auto"/>
            <w:hideMark/>
          </w:tcPr>
          <w:p w14:paraId="476106EF"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2023</w:t>
            </w:r>
          </w:p>
        </w:tc>
        <w:tc>
          <w:tcPr>
            <w:tcW w:w="0" w:type="auto"/>
            <w:hideMark/>
          </w:tcPr>
          <w:p w14:paraId="7053EA92"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2024</w:t>
            </w:r>
          </w:p>
        </w:tc>
      </w:tr>
      <w:tr w:rsidR="00BA6D4C" w14:paraId="7481A10B" w14:textId="77777777">
        <w:trPr>
          <w:trHeight w:val="400"/>
        </w:trPr>
        <w:tc>
          <w:tcPr>
            <w:tcW w:w="0" w:type="auto"/>
            <w:hideMark/>
          </w:tcPr>
          <w:p w14:paraId="5B32084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Current Ratio</w:t>
            </w:r>
          </w:p>
        </w:tc>
        <w:tc>
          <w:tcPr>
            <w:tcW w:w="0" w:type="auto"/>
            <w:hideMark/>
          </w:tcPr>
          <w:p w14:paraId="2975074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1.82</w:t>
            </w:r>
          </w:p>
        </w:tc>
        <w:tc>
          <w:tcPr>
            <w:tcW w:w="0" w:type="auto"/>
            <w:hideMark/>
          </w:tcPr>
          <w:p w14:paraId="09A4129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1.56</w:t>
            </w:r>
          </w:p>
        </w:tc>
        <w:tc>
          <w:tcPr>
            <w:tcW w:w="0" w:type="auto"/>
            <w:hideMark/>
          </w:tcPr>
          <w:p w14:paraId="7669293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1.56</w:t>
            </w:r>
          </w:p>
        </w:tc>
        <w:tc>
          <w:tcPr>
            <w:tcW w:w="0" w:type="auto"/>
            <w:hideMark/>
          </w:tcPr>
          <w:p w14:paraId="3B5F8D2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1.61</w:t>
            </w:r>
          </w:p>
        </w:tc>
        <w:tc>
          <w:tcPr>
            <w:tcW w:w="0" w:type="auto"/>
            <w:hideMark/>
          </w:tcPr>
          <w:p w14:paraId="5BB61CF4"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1.53</w:t>
            </w:r>
          </w:p>
        </w:tc>
      </w:tr>
      <w:tr w:rsidR="00BA6D4C" w14:paraId="64D06573" w14:textId="77777777">
        <w:trPr>
          <w:trHeight w:val="433"/>
        </w:trPr>
        <w:tc>
          <w:tcPr>
            <w:tcW w:w="0" w:type="auto"/>
            <w:hideMark/>
          </w:tcPr>
          <w:p w14:paraId="2C0C0C1F"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Quick Ratio</w:t>
            </w:r>
          </w:p>
        </w:tc>
        <w:tc>
          <w:tcPr>
            <w:tcW w:w="0" w:type="auto"/>
            <w:hideMark/>
          </w:tcPr>
          <w:p w14:paraId="6539D51B" w14:textId="054224D7" w:rsidR="00BA6D4C" w:rsidRDefault="009026C2">
            <w:pPr>
              <w:spacing w:line="360" w:lineRule="auto"/>
              <w:jc w:val="both"/>
              <w:rPr>
                <w:rFonts w:ascii="Arial" w:eastAsia="Times New Roman" w:hAnsi="Arial"/>
                <w:sz w:val="24"/>
                <w:szCs w:val="24"/>
              </w:rPr>
            </w:pPr>
            <w:r>
              <w:rPr>
                <w:rFonts w:ascii="Arial" w:eastAsia="Times New Roman" w:hAnsi="Arial"/>
                <w:sz w:val="24"/>
                <w:szCs w:val="24"/>
              </w:rPr>
              <w:t>1.15</w:t>
            </w:r>
          </w:p>
        </w:tc>
        <w:tc>
          <w:tcPr>
            <w:tcW w:w="0" w:type="auto"/>
            <w:hideMark/>
          </w:tcPr>
          <w:p w14:paraId="76B15076" w14:textId="2BC5383D" w:rsidR="00BA6D4C" w:rsidRDefault="009026C2">
            <w:pPr>
              <w:spacing w:line="360" w:lineRule="auto"/>
              <w:jc w:val="both"/>
              <w:rPr>
                <w:rFonts w:ascii="Arial" w:eastAsia="Times New Roman" w:hAnsi="Arial"/>
                <w:sz w:val="24"/>
                <w:szCs w:val="24"/>
              </w:rPr>
            </w:pPr>
            <w:r>
              <w:rPr>
                <w:rFonts w:ascii="Arial" w:eastAsia="Times New Roman" w:hAnsi="Arial"/>
                <w:sz w:val="24"/>
                <w:szCs w:val="24"/>
              </w:rPr>
              <w:t>0.94</w:t>
            </w:r>
          </w:p>
        </w:tc>
        <w:tc>
          <w:tcPr>
            <w:tcW w:w="0" w:type="auto"/>
            <w:hideMark/>
          </w:tcPr>
          <w:p w14:paraId="0B68AF0A" w14:textId="14F8FD16" w:rsidR="00BA6D4C" w:rsidRDefault="009026C2">
            <w:pPr>
              <w:spacing w:line="360" w:lineRule="auto"/>
              <w:jc w:val="both"/>
              <w:rPr>
                <w:rFonts w:ascii="Arial" w:eastAsia="Times New Roman" w:hAnsi="Arial"/>
                <w:sz w:val="24"/>
                <w:szCs w:val="24"/>
              </w:rPr>
            </w:pPr>
            <w:r>
              <w:rPr>
                <w:rFonts w:ascii="Arial" w:eastAsia="Times New Roman" w:hAnsi="Arial"/>
                <w:sz w:val="24"/>
                <w:szCs w:val="24"/>
              </w:rPr>
              <w:t>0.91</w:t>
            </w:r>
          </w:p>
        </w:tc>
        <w:tc>
          <w:tcPr>
            <w:tcW w:w="0" w:type="auto"/>
            <w:hideMark/>
          </w:tcPr>
          <w:p w14:paraId="4A0FC2F6" w14:textId="425F611B" w:rsidR="00BA6D4C" w:rsidRDefault="009026C2">
            <w:pPr>
              <w:spacing w:line="360" w:lineRule="auto"/>
              <w:jc w:val="both"/>
              <w:rPr>
                <w:rFonts w:ascii="Arial" w:eastAsia="Times New Roman" w:hAnsi="Arial"/>
                <w:sz w:val="24"/>
                <w:szCs w:val="24"/>
              </w:rPr>
            </w:pPr>
            <w:r>
              <w:rPr>
                <w:rFonts w:ascii="Arial" w:eastAsia="Times New Roman" w:hAnsi="Arial"/>
                <w:sz w:val="24"/>
                <w:szCs w:val="24"/>
              </w:rPr>
              <w:t>1.06</w:t>
            </w:r>
          </w:p>
        </w:tc>
        <w:tc>
          <w:tcPr>
            <w:tcW w:w="0" w:type="auto"/>
            <w:hideMark/>
          </w:tcPr>
          <w:p w14:paraId="59B73746" w14:textId="6D62E7A2" w:rsidR="00BA6D4C" w:rsidRDefault="009026C2">
            <w:pPr>
              <w:spacing w:line="360" w:lineRule="auto"/>
              <w:jc w:val="both"/>
              <w:rPr>
                <w:rFonts w:ascii="Arial" w:eastAsia="Times New Roman" w:hAnsi="Arial"/>
                <w:sz w:val="24"/>
                <w:szCs w:val="24"/>
              </w:rPr>
            </w:pPr>
            <w:r>
              <w:rPr>
                <w:rFonts w:ascii="Arial" w:eastAsia="Times New Roman" w:hAnsi="Arial"/>
                <w:sz w:val="24"/>
                <w:szCs w:val="24"/>
              </w:rPr>
              <w:t>1.03</w:t>
            </w:r>
          </w:p>
        </w:tc>
      </w:tr>
      <w:tr w:rsidR="003A159E" w14:paraId="2D16D75A" w14:textId="77777777">
        <w:trPr>
          <w:trHeight w:val="433"/>
        </w:trPr>
        <w:tc>
          <w:tcPr>
            <w:tcW w:w="0" w:type="auto"/>
          </w:tcPr>
          <w:p w14:paraId="69949FC5" w14:textId="29D459D6" w:rsidR="003A159E" w:rsidRDefault="003A159E">
            <w:pPr>
              <w:spacing w:line="360" w:lineRule="auto"/>
              <w:jc w:val="both"/>
              <w:rPr>
                <w:rFonts w:ascii="Arial" w:eastAsia="Times New Roman" w:hAnsi="Arial"/>
                <w:sz w:val="24"/>
                <w:szCs w:val="24"/>
              </w:rPr>
            </w:pPr>
            <w:r>
              <w:rPr>
                <w:rFonts w:ascii="Arial" w:eastAsia="Times New Roman" w:hAnsi="Arial"/>
                <w:sz w:val="24"/>
                <w:szCs w:val="24"/>
              </w:rPr>
              <w:t>Cash Ratio</w:t>
            </w:r>
          </w:p>
        </w:tc>
        <w:tc>
          <w:tcPr>
            <w:tcW w:w="0" w:type="auto"/>
          </w:tcPr>
          <w:p w14:paraId="05C2373D" w14:textId="490C79E9" w:rsidR="003A159E" w:rsidRDefault="009026C2">
            <w:pPr>
              <w:spacing w:line="360" w:lineRule="auto"/>
              <w:jc w:val="both"/>
              <w:rPr>
                <w:rFonts w:ascii="Arial" w:eastAsia="Times New Roman" w:hAnsi="Arial"/>
                <w:sz w:val="24"/>
                <w:szCs w:val="24"/>
              </w:rPr>
            </w:pPr>
            <w:r>
              <w:rPr>
                <w:rFonts w:ascii="Arial" w:eastAsia="Times New Roman" w:hAnsi="Arial"/>
                <w:sz w:val="24"/>
                <w:szCs w:val="24"/>
              </w:rPr>
              <w:t>0.32</w:t>
            </w:r>
          </w:p>
        </w:tc>
        <w:tc>
          <w:tcPr>
            <w:tcW w:w="0" w:type="auto"/>
          </w:tcPr>
          <w:p w14:paraId="06CDDD81" w14:textId="5E966529" w:rsidR="003A159E" w:rsidRDefault="009026C2">
            <w:pPr>
              <w:spacing w:line="360" w:lineRule="auto"/>
              <w:jc w:val="both"/>
              <w:rPr>
                <w:rFonts w:ascii="Arial" w:eastAsia="Times New Roman" w:hAnsi="Arial"/>
                <w:sz w:val="24"/>
                <w:szCs w:val="24"/>
              </w:rPr>
            </w:pPr>
            <w:r>
              <w:rPr>
                <w:rFonts w:ascii="Arial" w:eastAsia="Times New Roman" w:hAnsi="Arial"/>
                <w:sz w:val="24"/>
                <w:szCs w:val="24"/>
              </w:rPr>
              <w:t>0.28</w:t>
            </w:r>
          </w:p>
        </w:tc>
        <w:tc>
          <w:tcPr>
            <w:tcW w:w="0" w:type="auto"/>
          </w:tcPr>
          <w:p w14:paraId="22B75623" w14:textId="1D7D6EBC" w:rsidR="003A159E" w:rsidRDefault="009026C2">
            <w:pPr>
              <w:spacing w:line="360" w:lineRule="auto"/>
              <w:jc w:val="both"/>
              <w:rPr>
                <w:rFonts w:ascii="Arial" w:eastAsia="Times New Roman" w:hAnsi="Arial"/>
                <w:sz w:val="24"/>
                <w:szCs w:val="24"/>
              </w:rPr>
            </w:pPr>
            <w:r>
              <w:rPr>
                <w:rFonts w:ascii="Arial" w:eastAsia="Times New Roman" w:hAnsi="Arial"/>
                <w:sz w:val="24"/>
                <w:szCs w:val="24"/>
              </w:rPr>
              <w:t>0.31</w:t>
            </w:r>
          </w:p>
        </w:tc>
        <w:tc>
          <w:tcPr>
            <w:tcW w:w="0" w:type="auto"/>
          </w:tcPr>
          <w:p w14:paraId="6E703FFF" w14:textId="5B417822" w:rsidR="003A159E" w:rsidRDefault="009026C2">
            <w:pPr>
              <w:spacing w:line="360" w:lineRule="auto"/>
              <w:jc w:val="both"/>
              <w:rPr>
                <w:rFonts w:ascii="Arial" w:eastAsia="Times New Roman" w:hAnsi="Arial"/>
                <w:sz w:val="24"/>
                <w:szCs w:val="24"/>
              </w:rPr>
            </w:pPr>
            <w:r>
              <w:rPr>
                <w:rFonts w:ascii="Arial" w:eastAsia="Times New Roman" w:hAnsi="Arial"/>
                <w:sz w:val="24"/>
                <w:szCs w:val="24"/>
              </w:rPr>
              <w:t>0.26</w:t>
            </w:r>
          </w:p>
        </w:tc>
        <w:tc>
          <w:tcPr>
            <w:tcW w:w="0" w:type="auto"/>
          </w:tcPr>
          <w:p w14:paraId="63541E2F" w14:textId="7A44EA80" w:rsidR="003A159E" w:rsidRDefault="009026C2">
            <w:pPr>
              <w:spacing w:line="360" w:lineRule="auto"/>
              <w:jc w:val="both"/>
              <w:rPr>
                <w:rFonts w:ascii="Arial" w:eastAsia="Times New Roman" w:hAnsi="Arial"/>
                <w:sz w:val="24"/>
                <w:szCs w:val="24"/>
              </w:rPr>
            </w:pPr>
            <w:r>
              <w:rPr>
                <w:rFonts w:ascii="Arial" w:eastAsia="Times New Roman" w:hAnsi="Arial"/>
                <w:sz w:val="24"/>
                <w:szCs w:val="24"/>
              </w:rPr>
              <w:t>0.17</w:t>
            </w:r>
          </w:p>
        </w:tc>
      </w:tr>
    </w:tbl>
    <w:p w14:paraId="29D0D1A2" w14:textId="31BE462E"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The Current Ratio is above 1.5 throughout the five years, which takes a surface form to indicate that the GE has enough assets to meet the current liabilities. Nonetheless, the Quick Ratio, on its part, without the inventory, starts to reduce drastically, comparatively, to </w:t>
      </w:r>
      <w:r w:rsidR="009026C2">
        <w:rPr>
          <w:rFonts w:ascii="Arial" w:eastAsia="Times New Roman" w:hAnsi="Arial"/>
          <w:sz w:val="24"/>
          <w:szCs w:val="24"/>
        </w:rPr>
        <w:t>1.15</w:t>
      </w:r>
      <w:r>
        <w:rPr>
          <w:rFonts w:ascii="Arial" w:eastAsia="Times New Roman" w:hAnsi="Arial"/>
          <w:sz w:val="24"/>
          <w:szCs w:val="24"/>
        </w:rPr>
        <w:t xml:space="preserve"> in 2020 and </w:t>
      </w:r>
      <w:r w:rsidR="009026C2">
        <w:rPr>
          <w:rFonts w:ascii="Arial" w:eastAsia="Times New Roman" w:hAnsi="Arial"/>
          <w:sz w:val="24"/>
          <w:szCs w:val="24"/>
        </w:rPr>
        <w:t>1.03</w:t>
      </w:r>
      <w:r>
        <w:rPr>
          <w:rFonts w:ascii="Arial" w:eastAsia="Times New Roman" w:hAnsi="Arial"/>
          <w:sz w:val="24"/>
          <w:szCs w:val="24"/>
        </w:rPr>
        <w:t xml:space="preserve"> in 2024. It means that the liquid assets without inventory can not cover the immediate obligations, which is the sign of the extreme liquidity stress.</w:t>
      </w:r>
    </w:p>
    <w:p w14:paraId="4B06FA0F"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liquidity trend indicates that the company will not be able to pay off its short-term requirements without involving high-cost short-term financing or liquidation of its assets. To stabilize the liquidity position, urgent working capital changes, such as the enhanced cash collection, inventory holding, and improving the payables, are necessary.</w:t>
      </w:r>
    </w:p>
    <w:p w14:paraId="65B3F2DB"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2.3 efficiency (Working Capital) Ratios</w:t>
      </w:r>
      <w:r>
        <w:rPr>
          <w:rFonts w:ascii="Arial" w:eastAsia="Times New Roman" w:hAnsi="Arial"/>
          <w:sz w:val="24"/>
          <w:szCs w:val="24"/>
        </w:rPr>
        <w:t>.</w:t>
      </w:r>
    </w:p>
    <w:p w14:paraId="43789A7E"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Efficiency ratios show the effectiveness of the company usage of the working capital. The ratios in GE imply that the company has a lot of wasteful operations and inefficient cash conversion.</w:t>
      </w:r>
    </w:p>
    <w:p w14:paraId="4A5704D0" w14:textId="77777777" w:rsidR="004B5D04" w:rsidRDefault="004B5D04">
      <w:pPr>
        <w:spacing w:before="100" w:beforeAutospacing="1" w:after="100" w:afterAutospacing="1" w:line="360" w:lineRule="auto"/>
        <w:jc w:val="both"/>
        <w:rPr>
          <w:rFonts w:ascii="Arial" w:eastAsia="Times New Roman" w:hAnsi="Arial"/>
          <w:sz w:val="24"/>
          <w:szCs w:val="24"/>
        </w:rPr>
      </w:pPr>
    </w:p>
    <w:p w14:paraId="1DD0170E" w14:textId="77777777" w:rsidR="004B5D04" w:rsidRDefault="004B5D04">
      <w:pPr>
        <w:spacing w:before="100" w:beforeAutospacing="1" w:after="100" w:afterAutospacing="1" w:line="360" w:lineRule="auto"/>
        <w:jc w:val="both"/>
        <w:rPr>
          <w:rFonts w:ascii="Arial" w:eastAsia="Times New Roman" w:hAnsi="Arial"/>
          <w:sz w:val="24"/>
          <w:szCs w:val="24"/>
        </w:rPr>
      </w:pPr>
    </w:p>
    <w:p w14:paraId="55584346" w14:textId="77777777" w:rsidR="004B5D04" w:rsidRDefault="004B5D04">
      <w:pPr>
        <w:spacing w:before="100" w:beforeAutospacing="1" w:after="100" w:afterAutospacing="1" w:line="360" w:lineRule="auto"/>
        <w:jc w:val="both"/>
        <w:rPr>
          <w:rFonts w:ascii="Arial" w:eastAsia="Times New Roman" w:hAnsi="Arial"/>
          <w:sz w:val="24"/>
          <w:szCs w:val="24"/>
        </w:rPr>
      </w:pPr>
    </w:p>
    <w:p w14:paraId="15B4B6E9" w14:textId="77777777" w:rsidR="004B5D04" w:rsidRDefault="004B5D04">
      <w:pPr>
        <w:spacing w:before="100" w:beforeAutospacing="1" w:after="100" w:afterAutospacing="1" w:line="360" w:lineRule="auto"/>
        <w:jc w:val="both"/>
        <w:rPr>
          <w:rFonts w:ascii="Arial" w:eastAsia="Times New Roman" w:hAnsi="Arial"/>
          <w:sz w:val="24"/>
          <w:szCs w:val="24"/>
        </w:rPr>
      </w:pPr>
    </w:p>
    <w:p w14:paraId="04CBB2F0"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Table 3: Efficiency Ratios (2020–2024)</w:t>
      </w:r>
    </w:p>
    <w:tbl>
      <w:tblPr>
        <w:tblStyle w:val="TableGrid"/>
        <w:tblW w:w="9275" w:type="dxa"/>
        <w:tblLook w:val="04A0" w:firstRow="1" w:lastRow="0" w:firstColumn="1" w:lastColumn="0" w:noHBand="0" w:noVBand="1"/>
      </w:tblPr>
      <w:tblGrid>
        <w:gridCol w:w="4459"/>
        <w:gridCol w:w="964"/>
        <w:gridCol w:w="963"/>
        <w:gridCol w:w="963"/>
        <w:gridCol w:w="963"/>
        <w:gridCol w:w="963"/>
      </w:tblGrid>
      <w:tr w:rsidR="00BA6D4C" w14:paraId="3A9EA79B" w14:textId="77777777">
        <w:trPr>
          <w:trHeight w:val="281"/>
        </w:trPr>
        <w:tc>
          <w:tcPr>
            <w:tcW w:w="0" w:type="auto"/>
            <w:hideMark/>
          </w:tcPr>
          <w:p w14:paraId="159C4887"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Ratio</w:t>
            </w:r>
          </w:p>
        </w:tc>
        <w:tc>
          <w:tcPr>
            <w:tcW w:w="0" w:type="auto"/>
            <w:hideMark/>
          </w:tcPr>
          <w:p w14:paraId="27972462"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2020</w:t>
            </w:r>
          </w:p>
        </w:tc>
        <w:tc>
          <w:tcPr>
            <w:tcW w:w="0" w:type="auto"/>
            <w:hideMark/>
          </w:tcPr>
          <w:p w14:paraId="6C5B8610"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2021</w:t>
            </w:r>
          </w:p>
        </w:tc>
        <w:tc>
          <w:tcPr>
            <w:tcW w:w="0" w:type="auto"/>
            <w:hideMark/>
          </w:tcPr>
          <w:p w14:paraId="0E32F213"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2022</w:t>
            </w:r>
          </w:p>
        </w:tc>
        <w:tc>
          <w:tcPr>
            <w:tcW w:w="0" w:type="auto"/>
            <w:hideMark/>
          </w:tcPr>
          <w:p w14:paraId="537D89DC"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2023</w:t>
            </w:r>
          </w:p>
        </w:tc>
        <w:tc>
          <w:tcPr>
            <w:tcW w:w="0" w:type="auto"/>
            <w:hideMark/>
          </w:tcPr>
          <w:p w14:paraId="121E974A"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2024</w:t>
            </w:r>
          </w:p>
        </w:tc>
      </w:tr>
      <w:tr w:rsidR="00BA6D4C" w14:paraId="5A723D03" w14:textId="77777777">
        <w:trPr>
          <w:trHeight w:val="293"/>
        </w:trPr>
        <w:tc>
          <w:tcPr>
            <w:tcW w:w="0" w:type="auto"/>
            <w:hideMark/>
          </w:tcPr>
          <w:p w14:paraId="7390C836"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Inventory Days</w:t>
            </w:r>
          </w:p>
        </w:tc>
        <w:tc>
          <w:tcPr>
            <w:tcW w:w="0" w:type="auto"/>
            <w:hideMark/>
          </w:tcPr>
          <w:p w14:paraId="145DB6D5"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100</w:t>
            </w:r>
          </w:p>
        </w:tc>
        <w:tc>
          <w:tcPr>
            <w:tcW w:w="0" w:type="auto"/>
            <w:hideMark/>
          </w:tcPr>
          <w:p w14:paraId="6A3BBC8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114</w:t>
            </w:r>
          </w:p>
        </w:tc>
        <w:tc>
          <w:tcPr>
            <w:tcW w:w="0" w:type="auto"/>
            <w:hideMark/>
          </w:tcPr>
          <w:p w14:paraId="10BD6FC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131</w:t>
            </w:r>
          </w:p>
        </w:tc>
        <w:tc>
          <w:tcPr>
            <w:tcW w:w="0" w:type="auto"/>
            <w:hideMark/>
          </w:tcPr>
          <w:p w14:paraId="4E74DC43"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116</w:t>
            </w:r>
          </w:p>
        </w:tc>
        <w:tc>
          <w:tcPr>
            <w:tcW w:w="0" w:type="auto"/>
            <w:hideMark/>
          </w:tcPr>
          <w:p w14:paraId="7432C31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103</w:t>
            </w:r>
          </w:p>
        </w:tc>
      </w:tr>
      <w:tr w:rsidR="00BA6D4C" w14:paraId="347CB980" w14:textId="77777777">
        <w:trPr>
          <w:trHeight w:val="281"/>
        </w:trPr>
        <w:tc>
          <w:tcPr>
            <w:tcW w:w="0" w:type="auto"/>
            <w:hideMark/>
          </w:tcPr>
          <w:p w14:paraId="6B9B9433"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Receivable Days</w:t>
            </w:r>
          </w:p>
        </w:tc>
        <w:tc>
          <w:tcPr>
            <w:tcW w:w="0" w:type="auto"/>
            <w:hideMark/>
          </w:tcPr>
          <w:p w14:paraId="4A9148E3"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77</w:t>
            </w:r>
          </w:p>
        </w:tc>
        <w:tc>
          <w:tcPr>
            <w:tcW w:w="0" w:type="auto"/>
            <w:hideMark/>
          </w:tcPr>
          <w:p w14:paraId="42A5F6B8"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78</w:t>
            </w:r>
          </w:p>
        </w:tc>
        <w:tc>
          <w:tcPr>
            <w:tcW w:w="0" w:type="auto"/>
            <w:hideMark/>
          </w:tcPr>
          <w:p w14:paraId="73F6CAE8"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75</w:t>
            </w:r>
          </w:p>
        </w:tc>
        <w:tc>
          <w:tcPr>
            <w:tcW w:w="0" w:type="auto"/>
            <w:hideMark/>
          </w:tcPr>
          <w:p w14:paraId="5DD30CD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71</w:t>
            </w:r>
          </w:p>
        </w:tc>
        <w:tc>
          <w:tcPr>
            <w:tcW w:w="0" w:type="auto"/>
            <w:hideMark/>
          </w:tcPr>
          <w:p w14:paraId="04A1210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106</w:t>
            </w:r>
          </w:p>
        </w:tc>
      </w:tr>
      <w:tr w:rsidR="00BA6D4C" w14:paraId="2E1F7A6F" w14:textId="77777777">
        <w:trPr>
          <w:trHeight w:val="281"/>
        </w:trPr>
        <w:tc>
          <w:tcPr>
            <w:tcW w:w="0" w:type="auto"/>
            <w:hideMark/>
          </w:tcPr>
          <w:p w14:paraId="2FE5209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Payable Days</w:t>
            </w:r>
          </w:p>
        </w:tc>
        <w:tc>
          <w:tcPr>
            <w:tcW w:w="0" w:type="auto"/>
            <w:hideMark/>
          </w:tcPr>
          <w:p w14:paraId="041F35F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49</w:t>
            </w:r>
          </w:p>
        </w:tc>
        <w:tc>
          <w:tcPr>
            <w:tcW w:w="0" w:type="auto"/>
            <w:hideMark/>
          </w:tcPr>
          <w:p w14:paraId="3C651B2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55</w:t>
            </w:r>
          </w:p>
        </w:tc>
        <w:tc>
          <w:tcPr>
            <w:tcW w:w="0" w:type="auto"/>
            <w:hideMark/>
          </w:tcPr>
          <w:p w14:paraId="0DD0187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47</w:t>
            </w:r>
          </w:p>
        </w:tc>
        <w:tc>
          <w:tcPr>
            <w:tcW w:w="0" w:type="auto"/>
            <w:hideMark/>
          </w:tcPr>
          <w:p w14:paraId="0346560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47</w:t>
            </w:r>
          </w:p>
        </w:tc>
        <w:tc>
          <w:tcPr>
            <w:tcW w:w="0" w:type="auto"/>
            <w:hideMark/>
          </w:tcPr>
          <w:p w14:paraId="3C5F467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52</w:t>
            </w:r>
          </w:p>
        </w:tc>
      </w:tr>
      <w:tr w:rsidR="00BA6D4C" w14:paraId="17A4337E" w14:textId="77777777">
        <w:trPr>
          <w:trHeight w:val="304"/>
        </w:trPr>
        <w:tc>
          <w:tcPr>
            <w:tcW w:w="0" w:type="auto"/>
            <w:hideMark/>
          </w:tcPr>
          <w:p w14:paraId="08A8C314"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Cash Conversion Cycle (CCC)</w:t>
            </w:r>
          </w:p>
        </w:tc>
        <w:tc>
          <w:tcPr>
            <w:tcW w:w="0" w:type="auto"/>
            <w:hideMark/>
          </w:tcPr>
          <w:p w14:paraId="4D50861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128</w:t>
            </w:r>
          </w:p>
        </w:tc>
        <w:tc>
          <w:tcPr>
            <w:tcW w:w="0" w:type="auto"/>
            <w:hideMark/>
          </w:tcPr>
          <w:p w14:paraId="2534360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137</w:t>
            </w:r>
          </w:p>
        </w:tc>
        <w:tc>
          <w:tcPr>
            <w:tcW w:w="0" w:type="auto"/>
            <w:hideMark/>
          </w:tcPr>
          <w:p w14:paraId="5F09B46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159</w:t>
            </w:r>
          </w:p>
        </w:tc>
        <w:tc>
          <w:tcPr>
            <w:tcW w:w="0" w:type="auto"/>
            <w:hideMark/>
          </w:tcPr>
          <w:p w14:paraId="125B026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140</w:t>
            </w:r>
          </w:p>
        </w:tc>
        <w:tc>
          <w:tcPr>
            <w:tcW w:w="0" w:type="auto"/>
            <w:hideMark/>
          </w:tcPr>
          <w:p w14:paraId="4876FBB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157</w:t>
            </w:r>
          </w:p>
        </w:tc>
      </w:tr>
    </w:tbl>
    <w:p w14:paraId="1158143C"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average Cash Conversion Cycle (CCC) by GE is 144 days in five years that is very high compared to 40-70 days in industries. The highest of 159 days in 2022 highlights the lack of efficiency in converting investments in stocks and accounts payable to cash.</w:t>
      </w:r>
    </w:p>
    <w:p w14:paraId="7B0D02C2"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Trend in the Receivable Days, it is stable at the beginning but higher in 2024, 106, which is a sign of less favorable credit management and reveals the possibility of tolerating bad debts. The high inventory and receivables are compounding the CCC and the company is forced to depend on external funding and lacks the liquidity style.</w:t>
      </w:r>
    </w:p>
    <w:p w14:paraId="3D2FB8D3"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Payable Days are moderate with a deferral of suppliers at around 50. Although this is a temporary relief in terms of cash, the comparatively low payables against receivables and inventory put pressure on liquidity.</w:t>
      </w:r>
    </w:p>
    <w:p w14:paraId="6AD2434D"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2.4 Gearing and Solvency Ratios</w:t>
      </w:r>
    </w:p>
    <w:p w14:paraId="1F6CDA35"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Gearing ratios were used to determine the financial leverage of the firm, and its financial capability to pay its long-term commitments.</w:t>
      </w:r>
    </w:p>
    <w:p w14:paraId="2DFBF933"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Table 4: Gearing Ratios (2020–2024)</w:t>
      </w:r>
    </w:p>
    <w:tbl>
      <w:tblPr>
        <w:tblStyle w:val="TableGrid"/>
        <w:tblW w:w="9415" w:type="dxa"/>
        <w:tblLook w:val="04A0" w:firstRow="1" w:lastRow="0" w:firstColumn="1" w:lastColumn="0" w:noHBand="0" w:noVBand="1"/>
      </w:tblPr>
      <w:tblGrid>
        <w:gridCol w:w="3552"/>
        <w:gridCol w:w="1152"/>
        <w:gridCol w:w="1152"/>
        <w:gridCol w:w="1152"/>
        <w:gridCol w:w="1255"/>
        <w:gridCol w:w="1152"/>
      </w:tblGrid>
      <w:tr w:rsidR="00BA6D4C" w14:paraId="07873861" w14:textId="77777777">
        <w:trPr>
          <w:trHeight w:val="535"/>
        </w:trPr>
        <w:tc>
          <w:tcPr>
            <w:tcW w:w="0" w:type="auto"/>
            <w:hideMark/>
          </w:tcPr>
          <w:p w14:paraId="3693DA1E"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Ratio</w:t>
            </w:r>
          </w:p>
        </w:tc>
        <w:tc>
          <w:tcPr>
            <w:tcW w:w="0" w:type="auto"/>
            <w:hideMark/>
          </w:tcPr>
          <w:p w14:paraId="61237A67"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2020</w:t>
            </w:r>
          </w:p>
        </w:tc>
        <w:tc>
          <w:tcPr>
            <w:tcW w:w="0" w:type="auto"/>
            <w:hideMark/>
          </w:tcPr>
          <w:p w14:paraId="291BA287"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2021</w:t>
            </w:r>
          </w:p>
        </w:tc>
        <w:tc>
          <w:tcPr>
            <w:tcW w:w="0" w:type="auto"/>
            <w:hideMark/>
          </w:tcPr>
          <w:p w14:paraId="2436D81B"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2022</w:t>
            </w:r>
          </w:p>
        </w:tc>
        <w:tc>
          <w:tcPr>
            <w:tcW w:w="0" w:type="auto"/>
            <w:hideMark/>
          </w:tcPr>
          <w:p w14:paraId="670D4D16"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2023</w:t>
            </w:r>
          </w:p>
        </w:tc>
        <w:tc>
          <w:tcPr>
            <w:tcW w:w="0" w:type="auto"/>
            <w:hideMark/>
          </w:tcPr>
          <w:p w14:paraId="04533790"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2024</w:t>
            </w:r>
          </w:p>
        </w:tc>
      </w:tr>
      <w:tr w:rsidR="00BA6D4C" w14:paraId="71931618" w14:textId="77777777">
        <w:trPr>
          <w:trHeight w:val="557"/>
        </w:trPr>
        <w:tc>
          <w:tcPr>
            <w:tcW w:w="0" w:type="auto"/>
            <w:hideMark/>
          </w:tcPr>
          <w:p w14:paraId="698A830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Debt-to-Equity</w:t>
            </w:r>
          </w:p>
        </w:tc>
        <w:tc>
          <w:tcPr>
            <w:tcW w:w="0" w:type="auto"/>
            <w:hideMark/>
          </w:tcPr>
          <w:p w14:paraId="01D1A0A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0.63</w:t>
            </w:r>
          </w:p>
        </w:tc>
        <w:tc>
          <w:tcPr>
            <w:tcW w:w="0" w:type="auto"/>
            <w:hideMark/>
          </w:tcPr>
          <w:p w14:paraId="620DCD5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0.58</w:t>
            </w:r>
          </w:p>
        </w:tc>
        <w:tc>
          <w:tcPr>
            <w:tcW w:w="0" w:type="auto"/>
            <w:hideMark/>
          </w:tcPr>
          <w:p w14:paraId="468C2B53"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0.72</w:t>
            </w:r>
          </w:p>
        </w:tc>
        <w:tc>
          <w:tcPr>
            <w:tcW w:w="0" w:type="auto"/>
            <w:hideMark/>
          </w:tcPr>
          <w:p w14:paraId="0A66E506"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0.99</w:t>
            </w:r>
          </w:p>
        </w:tc>
        <w:tc>
          <w:tcPr>
            <w:tcW w:w="0" w:type="auto"/>
            <w:hideMark/>
          </w:tcPr>
          <w:p w14:paraId="286CD0C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1.11</w:t>
            </w:r>
          </w:p>
        </w:tc>
      </w:tr>
      <w:tr w:rsidR="00BA6D4C" w14:paraId="764A404C" w14:textId="77777777">
        <w:trPr>
          <w:trHeight w:val="557"/>
        </w:trPr>
        <w:tc>
          <w:tcPr>
            <w:tcW w:w="0" w:type="auto"/>
            <w:hideMark/>
          </w:tcPr>
          <w:p w14:paraId="32C39DD1" w14:textId="25DCA332" w:rsidR="00BA6D4C" w:rsidRDefault="00CE0412">
            <w:pPr>
              <w:spacing w:line="360" w:lineRule="auto"/>
              <w:jc w:val="both"/>
              <w:rPr>
                <w:rFonts w:ascii="Arial" w:eastAsia="Times New Roman" w:hAnsi="Arial"/>
                <w:sz w:val="24"/>
                <w:szCs w:val="24"/>
              </w:rPr>
            </w:pPr>
            <w:r>
              <w:rPr>
                <w:rFonts w:ascii="Arial" w:eastAsia="Times New Roman" w:hAnsi="Arial"/>
                <w:sz w:val="24"/>
                <w:szCs w:val="24"/>
              </w:rPr>
              <w:lastRenderedPageBreak/>
              <w:t>Interest Coverage</w:t>
            </w:r>
            <w:r w:rsidR="009026C2">
              <w:rPr>
                <w:rFonts w:ascii="Arial" w:eastAsia="Times New Roman" w:hAnsi="Arial"/>
                <w:sz w:val="24"/>
                <w:szCs w:val="24"/>
              </w:rPr>
              <w:t xml:space="preserve"> x</w:t>
            </w:r>
          </w:p>
        </w:tc>
        <w:tc>
          <w:tcPr>
            <w:tcW w:w="0" w:type="auto"/>
            <w:hideMark/>
          </w:tcPr>
          <w:p w14:paraId="158A2196" w14:textId="1C6D6A71"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26.2</w:t>
            </w:r>
          </w:p>
        </w:tc>
        <w:tc>
          <w:tcPr>
            <w:tcW w:w="0" w:type="auto"/>
            <w:hideMark/>
          </w:tcPr>
          <w:p w14:paraId="6F3735FB" w14:textId="2C992A26"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41.1</w:t>
            </w:r>
          </w:p>
        </w:tc>
        <w:tc>
          <w:tcPr>
            <w:tcW w:w="0" w:type="auto"/>
            <w:hideMark/>
          </w:tcPr>
          <w:p w14:paraId="341ECAC1" w14:textId="0AF2B705"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6.6</w:t>
            </w:r>
          </w:p>
        </w:tc>
        <w:tc>
          <w:tcPr>
            <w:tcW w:w="0" w:type="auto"/>
            <w:hideMark/>
          </w:tcPr>
          <w:p w14:paraId="1C552F99" w14:textId="1C63EBAC"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–19.7</w:t>
            </w:r>
          </w:p>
        </w:tc>
        <w:tc>
          <w:tcPr>
            <w:tcW w:w="0" w:type="auto"/>
            <w:hideMark/>
          </w:tcPr>
          <w:p w14:paraId="0B0FC020" w14:textId="4054E972"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–4.6</w:t>
            </w:r>
          </w:p>
        </w:tc>
      </w:tr>
    </w:tbl>
    <w:p w14:paraId="1991980D"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Debt-to-Equity Ratio of GE rose to 1.11 in 2024 (as compared to 0.63 in 2020) indicating its reliance on borrowed capital. The increase in leverage and the fall in the profitability increases the risk of default as the firm will need to produce enough profit to pay interests.</w:t>
      </w:r>
    </w:p>
    <w:p w14:paraId="0182E8B1"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In general, the gearing and solvency analysis shows that the capital structure of GE has been turned to an even more risky one, which exacerbates the impact of falling operating profitability, liquidity deficits.</w:t>
      </w:r>
    </w:p>
    <w:p w14:paraId="16258A19"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The second score is 2.5 on Corporate Failure Prediction (Altman Z-Score).</w:t>
      </w:r>
    </w:p>
    <w:p w14:paraId="392F929D"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Combining profitability, liquidity, leverage, and efficiency measures, the Altman Z-Score is an effective model to predict corporate distress, which has been proven to be valid.</w:t>
      </w:r>
    </w:p>
    <w:p w14:paraId="7118527B"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Table 5: Altman Z-Score (Manufacturing Model)</w:t>
      </w:r>
    </w:p>
    <w:tbl>
      <w:tblPr>
        <w:tblStyle w:val="TableGrid"/>
        <w:tblW w:w="9120" w:type="dxa"/>
        <w:tblLook w:val="04A0" w:firstRow="1" w:lastRow="0" w:firstColumn="1" w:lastColumn="0" w:noHBand="0" w:noVBand="1"/>
      </w:tblPr>
      <w:tblGrid>
        <w:gridCol w:w="1815"/>
        <w:gridCol w:w="2685"/>
        <w:gridCol w:w="4620"/>
      </w:tblGrid>
      <w:tr w:rsidR="00BA6D4C" w14:paraId="41A884A5" w14:textId="77777777">
        <w:trPr>
          <w:trHeight w:val="304"/>
        </w:trPr>
        <w:tc>
          <w:tcPr>
            <w:tcW w:w="0" w:type="auto"/>
            <w:hideMark/>
          </w:tcPr>
          <w:p w14:paraId="4D213F1B"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Year</w:t>
            </w:r>
          </w:p>
        </w:tc>
        <w:tc>
          <w:tcPr>
            <w:tcW w:w="0" w:type="auto"/>
            <w:hideMark/>
          </w:tcPr>
          <w:p w14:paraId="0F7EC38E"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Z-Score</w:t>
            </w:r>
          </w:p>
        </w:tc>
        <w:tc>
          <w:tcPr>
            <w:tcW w:w="0" w:type="auto"/>
            <w:hideMark/>
          </w:tcPr>
          <w:p w14:paraId="0D20E2C6"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Interpretation</w:t>
            </w:r>
          </w:p>
        </w:tc>
      </w:tr>
      <w:tr w:rsidR="00BA6D4C" w14:paraId="06F955E7" w14:textId="77777777">
        <w:trPr>
          <w:trHeight w:val="304"/>
        </w:trPr>
        <w:tc>
          <w:tcPr>
            <w:tcW w:w="0" w:type="auto"/>
            <w:hideMark/>
          </w:tcPr>
          <w:p w14:paraId="78F5890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2020</w:t>
            </w:r>
          </w:p>
        </w:tc>
        <w:tc>
          <w:tcPr>
            <w:tcW w:w="0" w:type="auto"/>
            <w:hideMark/>
          </w:tcPr>
          <w:p w14:paraId="7E97B32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2.44</w:t>
            </w:r>
          </w:p>
        </w:tc>
        <w:tc>
          <w:tcPr>
            <w:tcW w:w="0" w:type="auto"/>
            <w:hideMark/>
          </w:tcPr>
          <w:p w14:paraId="1CBFD92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Grey Zone</w:t>
            </w:r>
          </w:p>
        </w:tc>
      </w:tr>
      <w:tr w:rsidR="00BA6D4C" w14:paraId="420C9EC8" w14:textId="77777777">
        <w:trPr>
          <w:trHeight w:val="316"/>
        </w:trPr>
        <w:tc>
          <w:tcPr>
            <w:tcW w:w="0" w:type="auto"/>
            <w:hideMark/>
          </w:tcPr>
          <w:p w14:paraId="26613804"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2021</w:t>
            </w:r>
          </w:p>
        </w:tc>
        <w:tc>
          <w:tcPr>
            <w:tcW w:w="0" w:type="auto"/>
            <w:hideMark/>
          </w:tcPr>
          <w:p w14:paraId="7AAEB4A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2.10</w:t>
            </w:r>
          </w:p>
        </w:tc>
        <w:tc>
          <w:tcPr>
            <w:tcW w:w="0" w:type="auto"/>
            <w:hideMark/>
          </w:tcPr>
          <w:p w14:paraId="1B55B4F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Grey Zone</w:t>
            </w:r>
          </w:p>
        </w:tc>
      </w:tr>
      <w:tr w:rsidR="00BA6D4C" w14:paraId="5B9103CB" w14:textId="77777777">
        <w:trPr>
          <w:trHeight w:val="304"/>
        </w:trPr>
        <w:tc>
          <w:tcPr>
            <w:tcW w:w="0" w:type="auto"/>
            <w:hideMark/>
          </w:tcPr>
          <w:p w14:paraId="79342ED4"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2022</w:t>
            </w:r>
          </w:p>
        </w:tc>
        <w:tc>
          <w:tcPr>
            <w:tcW w:w="0" w:type="auto"/>
            <w:hideMark/>
          </w:tcPr>
          <w:p w14:paraId="61F5627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1.72</w:t>
            </w:r>
          </w:p>
        </w:tc>
        <w:tc>
          <w:tcPr>
            <w:tcW w:w="0" w:type="auto"/>
            <w:hideMark/>
          </w:tcPr>
          <w:p w14:paraId="1DD04FC5"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Distress Zone</w:t>
            </w:r>
          </w:p>
        </w:tc>
      </w:tr>
      <w:tr w:rsidR="00BA6D4C" w14:paraId="74A820A6" w14:textId="77777777">
        <w:trPr>
          <w:trHeight w:val="304"/>
        </w:trPr>
        <w:tc>
          <w:tcPr>
            <w:tcW w:w="0" w:type="auto"/>
            <w:hideMark/>
          </w:tcPr>
          <w:p w14:paraId="654B6AA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2023</w:t>
            </w:r>
          </w:p>
        </w:tc>
        <w:tc>
          <w:tcPr>
            <w:tcW w:w="0" w:type="auto"/>
            <w:hideMark/>
          </w:tcPr>
          <w:p w14:paraId="19481FD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0.98</w:t>
            </w:r>
          </w:p>
        </w:tc>
        <w:tc>
          <w:tcPr>
            <w:tcW w:w="0" w:type="auto"/>
            <w:hideMark/>
          </w:tcPr>
          <w:p w14:paraId="7EFAC01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Severe Distress</w:t>
            </w:r>
          </w:p>
        </w:tc>
      </w:tr>
      <w:tr w:rsidR="00BA6D4C" w14:paraId="497D5704" w14:textId="77777777">
        <w:trPr>
          <w:trHeight w:val="316"/>
        </w:trPr>
        <w:tc>
          <w:tcPr>
            <w:tcW w:w="0" w:type="auto"/>
            <w:hideMark/>
          </w:tcPr>
          <w:p w14:paraId="70F9688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2024</w:t>
            </w:r>
          </w:p>
        </w:tc>
        <w:tc>
          <w:tcPr>
            <w:tcW w:w="0" w:type="auto"/>
            <w:hideMark/>
          </w:tcPr>
          <w:p w14:paraId="2B2BF65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1.04</w:t>
            </w:r>
          </w:p>
        </w:tc>
        <w:tc>
          <w:tcPr>
            <w:tcW w:w="0" w:type="auto"/>
            <w:hideMark/>
          </w:tcPr>
          <w:p w14:paraId="5096EFE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Severe Distress</w:t>
            </w:r>
          </w:p>
        </w:tc>
      </w:tr>
    </w:tbl>
    <w:p w14:paraId="68800AD8"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When a Z-Score is below 1.8 it is associated with high likelihood of corporate distress. Since 2022, GE has reached a range lower than this, and the number 2023 is impoverished, 0.98. This trend is an indicator of extreme inefficiency in operation, dwindling equity value and a high probability of bankruptcy unless steps are taken to correct the situation.</w:t>
      </w:r>
    </w:p>
    <w:p w14:paraId="132CEADF"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1" w:name="_Toc214316797"/>
      <w:r>
        <w:rPr>
          <w:rFonts w:ascii="Arial" w:eastAsia="Times New Roman" w:hAnsi="Arial"/>
          <w:b/>
          <w:bCs/>
          <w:sz w:val="24"/>
          <w:szCs w:val="24"/>
        </w:rPr>
        <w:t>2.6 Overall Diagnosis</w:t>
      </w:r>
      <w:bookmarkEnd w:id="1"/>
    </w:p>
    <w:p w14:paraId="3D3B1DCA" w14:textId="77777777" w:rsidR="00BA6D4C" w:rsidRDefault="00CE0412">
      <w:pPr>
        <w:pStyle w:val="NormalWeb"/>
        <w:spacing w:line="360" w:lineRule="auto"/>
        <w:jc w:val="both"/>
        <w:rPr>
          <w:rFonts w:ascii="Arial" w:hAnsi="Arial" w:cs="Arial"/>
        </w:rPr>
      </w:pPr>
      <w:r>
        <w:rPr>
          <w:rFonts w:ascii="Arial" w:hAnsi="Arial" w:cs="Arial"/>
        </w:rPr>
        <w:lastRenderedPageBreak/>
        <w:t>Based on the above analysis, GE is in advanced financial distress. The company exhibits:</w:t>
      </w:r>
    </w:p>
    <w:p w14:paraId="1FF2B1BD" w14:textId="77777777" w:rsidR="00BA6D4C" w:rsidRDefault="00CE0412">
      <w:pPr>
        <w:pStyle w:val="NormalWeb"/>
        <w:numPr>
          <w:ilvl w:val="0"/>
          <w:numId w:val="4"/>
        </w:numPr>
        <w:spacing w:line="360" w:lineRule="auto"/>
        <w:jc w:val="both"/>
        <w:rPr>
          <w:rFonts w:ascii="Arial" w:hAnsi="Arial" w:cs="Arial"/>
        </w:rPr>
      </w:pPr>
      <w:r>
        <w:rPr>
          <w:rFonts w:ascii="Arial" w:hAnsi="Arial" w:cs="Arial"/>
        </w:rPr>
        <w:t>Unable to maintain the revenue and dwindling margins.</w:t>
      </w:r>
    </w:p>
    <w:p w14:paraId="3C9973F4" w14:textId="7ED93E7D" w:rsidR="00BA6D4C" w:rsidRDefault="00CE0412">
      <w:pPr>
        <w:pStyle w:val="NormalWeb"/>
        <w:numPr>
          <w:ilvl w:val="0"/>
          <w:numId w:val="4"/>
        </w:numPr>
        <w:spacing w:line="360" w:lineRule="auto"/>
        <w:jc w:val="both"/>
        <w:rPr>
          <w:rFonts w:ascii="Arial" w:hAnsi="Arial" w:cs="Arial"/>
        </w:rPr>
      </w:pPr>
      <w:r>
        <w:rPr>
          <w:rFonts w:ascii="Arial" w:hAnsi="Arial" w:cs="Arial"/>
        </w:rPr>
        <w:t>The operating loss ratios are profound in 2023</w:t>
      </w:r>
      <w:r w:rsidR="003A159E">
        <w:rPr>
          <w:rFonts w:ascii="Arial" w:hAnsi="Arial" w:cs="Arial"/>
        </w:rPr>
        <w:t>-</w:t>
      </w:r>
      <w:r>
        <w:rPr>
          <w:rFonts w:ascii="Arial" w:hAnsi="Arial" w:cs="Arial"/>
        </w:rPr>
        <w:t>2024, undermining profitability.</w:t>
      </w:r>
    </w:p>
    <w:p w14:paraId="66023EBD" w14:textId="77777777" w:rsidR="00BA6D4C" w:rsidRDefault="00CE0412">
      <w:pPr>
        <w:pStyle w:val="NormalWeb"/>
        <w:numPr>
          <w:ilvl w:val="0"/>
          <w:numId w:val="4"/>
        </w:numPr>
        <w:spacing w:line="360" w:lineRule="auto"/>
        <w:jc w:val="both"/>
        <w:rPr>
          <w:rFonts w:ascii="Arial" w:hAnsi="Arial" w:cs="Arial"/>
        </w:rPr>
      </w:pPr>
      <w:r>
        <w:rPr>
          <w:rFonts w:ascii="Arial" w:hAnsi="Arial" w:cs="Arial"/>
        </w:rPr>
        <w:t>Weak working capital management of a ratio of close to three times industry standards.</w:t>
      </w:r>
    </w:p>
    <w:p w14:paraId="7F2DD676" w14:textId="77777777" w:rsidR="00BA6D4C" w:rsidRDefault="00CE0412">
      <w:pPr>
        <w:pStyle w:val="NormalWeb"/>
        <w:numPr>
          <w:ilvl w:val="0"/>
          <w:numId w:val="4"/>
        </w:numPr>
        <w:spacing w:line="360" w:lineRule="auto"/>
        <w:jc w:val="both"/>
        <w:rPr>
          <w:rFonts w:ascii="Arial" w:hAnsi="Arial" w:cs="Arial"/>
        </w:rPr>
      </w:pPr>
      <w:r>
        <w:rPr>
          <w:rFonts w:ascii="Arial" w:hAnsi="Arial" w:cs="Arial"/>
        </w:rPr>
        <w:t>Liquidity issues were shown by negative changes in quick ratios.</w:t>
      </w:r>
    </w:p>
    <w:p w14:paraId="1C896C19" w14:textId="77777777" w:rsidR="00BA6D4C" w:rsidRDefault="00CE0412">
      <w:pPr>
        <w:pStyle w:val="NormalWeb"/>
        <w:numPr>
          <w:ilvl w:val="0"/>
          <w:numId w:val="4"/>
        </w:numPr>
        <w:spacing w:line="360" w:lineRule="auto"/>
        <w:jc w:val="both"/>
        <w:rPr>
          <w:rFonts w:ascii="Arial" w:hAnsi="Arial" w:cs="Arial"/>
        </w:rPr>
      </w:pPr>
      <w:r>
        <w:rPr>
          <w:rFonts w:ascii="Arial" w:hAnsi="Arial" w:cs="Arial"/>
        </w:rPr>
        <w:t>Reckless leverage, negative interest coverage, which is escalating default risk.</w:t>
      </w:r>
    </w:p>
    <w:p w14:paraId="5F04BF0A" w14:textId="77777777" w:rsidR="00BA6D4C" w:rsidRDefault="00CE0412">
      <w:pPr>
        <w:pStyle w:val="NormalWeb"/>
        <w:numPr>
          <w:ilvl w:val="0"/>
          <w:numId w:val="4"/>
        </w:numPr>
        <w:spacing w:line="360" w:lineRule="auto"/>
        <w:jc w:val="both"/>
        <w:rPr>
          <w:rFonts w:ascii="Arial" w:hAnsi="Arial" w:cs="Arial"/>
        </w:rPr>
      </w:pPr>
      <w:r>
        <w:rPr>
          <w:rFonts w:ascii="Arial" w:hAnsi="Arial" w:cs="Arial"/>
        </w:rPr>
        <w:t>Altman Z-Score severe distress warning, which proves the insolvency.</w:t>
      </w:r>
    </w:p>
    <w:p w14:paraId="5421D92B" w14:textId="77777777" w:rsidR="00BA6D4C" w:rsidRDefault="00CE0412">
      <w:pPr>
        <w:pStyle w:val="NormalWeb"/>
        <w:spacing w:line="360" w:lineRule="auto"/>
        <w:jc w:val="both"/>
        <w:rPr>
          <w:rFonts w:ascii="Arial" w:hAnsi="Arial" w:cs="Arial"/>
        </w:rPr>
      </w:pPr>
      <w:r>
        <w:rPr>
          <w:rFonts w:ascii="Arial" w:hAnsi="Arial" w:cs="Arial"/>
        </w:rPr>
        <w:t>The financial health check highlights the need to have an immediate intervention. Unless GE undertakes strategic, operational and financial reformation such as control of costs, optimisation of working capital, debt reorganisation and infusion of equity, the company is on the verge of going into successive liquidation.</w:t>
      </w:r>
    </w:p>
    <w:p w14:paraId="31952E19" w14:textId="77777777" w:rsidR="00BA6D4C" w:rsidRPr="00CD55B6" w:rsidRDefault="00CE0412">
      <w:pPr>
        <w:pStyle w:val="NormalWeb"/>
        <w:spacing w:line="360" w:lineRule="auto"/>
        <w:jc w:val="both"/>
        <w:rPr>
          <w:rFonts w:ascii="Arial" w:hAnsi="Arial" w:cs="Arial"/>
          <w:b/>
          <w:bCs/>
        </w:rPr>
      </w:pPr>
      <w:r w:rsidRPr="00CD55B6">
        <w:rPr>
          <w:rFonts w:ascii="Arial" w:hAnsi="Arial" w:cs="Arial"/>
          <w:b/>
          <w:bCs/>
        </w:rPr>
        <w:t>3. Working Capital Management Analysis.</w:t>
      </w:r>
    </w:p>
    <w:p w14:paraId="43164900" w14:textId="77777777" w:rsidR="00BA6D4C" w:rsidRDefault="00CE0412">
      <w:pPr>
        <w:pStyle w:val="NormalWeb"/>
        <w:spacing w:line="360" w:lineRule="auto"/>
        <w:jc w:val="both"/>
        <w:rPr>
          <w:rFonts w:ascii="Arial" w:hAnsi="Arial" w:cs="Arial"/>
        </w:rPr>
      </w:pPr>
      <w:r>
        <w:rPr>
          <w:rFonts w:ascii="Arial" w:hAnsi="Arial" w:cs="Arial"/>
        </w:rPr>
        <w:t>The management of working capital is very essential in the case of General Electronics (GE), especially when taking into consideration the extreme liquidity and operational challenges depicted in the previous financial health examination. Working capital is the difference between current liabilities and current assets and it is an indicator of the capacity of the firm to meet its daily operation without the use of the costly external financing. In the case of GE, the issue of inventory, receivables, and payables mismanagement has been causing a prolonged cash lock-in, elevated short-term borrowing, and liquidity pressure. This part assesses the working capital situation of GE, evaluates the causes of the inefficiency and recommends practical measures to recover the liquids and operating efficiencies.</w:t>
      </w:r>
    </w:p>
    <w:p w14:paraId="48FB6F9F" w14:textId="77777777" w:rsidR="00BA6D4C" w:rsidRDefault="00CE0412">
      <w:pPr>
        <w:pStyle w:val="NormalWeb"/>
        <w:spacing w:line="360" w:lineRule="auto"/>
        <w:jc w:val="both"/>
        <w:rPr>
          <w:rFonts w:ascii="Arial" w:hAnsi="Arial" w:cs="Arial"/>
          <w:b/>
          <w:bCs/>
        </w:rPr>
      </w:pPr>
      <w:r>
        <w:rPr>
          <w:rFonts w:ascii="Arial" w:hAnsi="Arial" w:cs="Arial"/>
          <w:b/>
          <w:bCs/>
        </w:rPr>
        <w:t>3.1 Cash Operating Cycle Analysis.</w:t>
      </w:r>
    </w:p>
    <w:p w14:paraId="70F612CE" w14:textId="77777777" w:rsidR="00BA6D4C" w:rsidRDefault="00CE0412">
      <w:pPr>
        <w:pStyle w:val="NormalWeb"/>
        <w:spacing w:line="360" w:lineRule="auto"/>
        <w:jc w:val="both"/>
        <w:rPr>
          <w:rFonts w:ascii="Arial" w:hAnsi="Arial" w:cs="Arial"/>
        </w:rPr>
      </w:pPr>
      <w:r>
        <w:rPr>
          <w:rFonts w:ascii="Arial" w:hAnsi="Arial" w:cs="Arial"/>
        </w:rPr>
        <w:t xml:space="preserve"> The component of operating cycles is the cash operating cycle Analysis which is always used in the situation when the customers do not exhibit spikes of cash flow (Ting et al. 2009, p. 1).</w:t>
      </w:r>
    </w:p>
    <w:p w14:paraId="2B3C6631" w14:textId="77777777" w:rsidR="00CD55B6" w:rsidRDefault="00CE0412" w:rsidP="00CD55B6">
      <w:pPr>
        <w:pStyle w:val="NormalWeb"/>
        <w:spacing w:line="360" w:lineRule="auto"/>
        <w:jc w:val="both"/>
        <w:rPr>
          <w:rFonts w:ascii="Arial" w:hAnsi="Arial" w:cs="Arial"/>
        </w:rPr>
      </w:pPr>
      <w:r>
        <w:rPr>
          <w:rFonts w:ascii="Arial" w:hAnsi="Arial" w:cs="Arial"/>
        </w:rPr>
        <w:lastRenderedPageBreak/>
        <w:t xml:space="preserve">Cash Conversion cycle (CCC) or operating cycle simply measures the time it is taken between the cash outlay on production and the cash outlay gathered as a result of sales. In the case of GE, CCC is always above the 120 days with mean at 144 days over the period of 20202024 which is significantly higher than 4070 days which is the norm of electronics industry. </w:t>
      </w:r>
    </w:p>
    <w:p w14:paraId="47293B4B" w14:textId="77777777" w:rsidR="00BA6D4C" w:rsidRDefault="00CE0412" w:rsidP="00CD55B6">
      <w:pPr>
        <w:pStyle w:val="NormalWeb"/>
        <w:spacing w:line="360" w:lineRule="auto"/>
        <w:jc w:val="both"/>
        <w:rPr>
          <w:rFonts w:ascii="Arial" w:hAnsi="Arial" w:cs="Arial"/>
        </w:rPr>
      </w:pPr>
      <w:r>
        <w:rPr>
          <w:rFonts w:ascii="Arial" w:hAnsi="Arial" w:cs="Arial"/>
        </w:rPr>
        <w:t>The primary contributors to the extended CCC are:</w:t>
      </w:r>
    </w:p>
    <w:p w14:paraId="13D48FC1" w14:textId="77777777" w:rsidR="00BA6D4C" w:rsidRDefault="00CE0412">
      <w:pPr>
        <w:pStyle w:val="NormalWeb"/>
        <w:numPr>
          <w:ilvl w:val="0"/>
          <w:numId w:val="5"/>
        </w:numPr>
        <w:spacing w:line="360" w:lineRule="auto"/>
        <w:jc w:val="both"/>
        <w:rPr>
          <w:rFonts w:ascii="Arial" w:hAnsi="Arial" w:cs="Arial"/>
        </w:rPr>
      </w:pPr>
      <w:r>
        <w:rPr>
          <w:rStyle w:val="Strong"/>
          <w:rFonts w:ascii="Arial" w:hAnsi="Arial" w:cs="Arial"/>
        </w:rPr>
        <w:t>Excessive Inventory Holdings</w:t>
      </w:r>
      <w:r>
        <w:rPr>
          <w:rFonts w:ascii="Arial" w:hAnsi="Arial" w:cs="Arial"/>
        </w:rPr>
        <w:t xml:space="preserve"> – GE maintains inventory levels that exceed operational requirements, leading to cash being locked in unsold stock.</w:t>
      </w:r>
    </w:p>
    <w:p w14:paraId="5C9B9AFB" w14:textId="77777777" w:rsidR="00BA6D4C" w:rsidRDefault="00CE0412">
      <w:pPr>
        <w:pStyle w:val="NormalWeb"/>
        <w:numPr>
          <w:ilvl w:val="0"/>
          <w:numId w:val="5"/>
        </w:numPr>
        <w:spacing w:line="360" w:lineRule="auto"/>
        <w:jc w:val="both"/>
        <w:rPr>
          <w:rFonts w:ascii="Arial" w:hAnsi="Arial" w:cs="Arial"/>
        </w:rPr>
      </w:pPr>
      <w:r>
        <w:rPr>
          <w:rStyle w:val="Strong"/>
          <w:rFonts w:ascii="Arial" w:hAnsi="Arial" w:cs="Arial"/>
        </w:rPr>
        <w:t>Slow Receivable Collection</w:t>
      </w:r>
      <w:r>
        <w:rPr>
          <w:rFonts w:ascii="Arial" w:hAnsi="Arial" w:cs="Arial"/>
        </w:rPr>
        <w:t xml:space="preserve"> – Late payments from customers, exacerbated by weak credit policies, further extend cash lock-in.</w:t>
      </w:r>
    </w:p>
    <w:p w14:paraId="58956E0B" w14:textId="77777777" w:rsidR="00BA6D4C" w:rsidRDefault="00CE0412">
      <w:pPr>
        <w:pStyle w:val="NormalWeb"/>
        <w:spacing w:line="360" w:lineRule="auto"/>
        <w:jc w:val="both"/>
        <w:rPr>
          <w:rFonts w:ascii="Arial" w:hAnsi="Arial" w:cs="Arial"/>
        </w:rPr>
      </w:pPr>
      <w:r>
        <w:rPr>
          <w:rFonts w:ascii="Arial" w:hAnsi="Arial" w:cs="Arial"/>
          <w:b/>
          <w:bCs/>
        </w:rPr>
        <w:t>3.2 Inventory Management problems</w:t>
      </w:r>
      <w:r>
        <w:rPr>
          <w:rFonts w:ascii="Arial" w:hAnsi="Arial" w:cs="Arial"/>
        </w:rPr>
        <w:t>.</w:t>
      </w:r>
    </w:p>
    <w:p w14:paraId="77AB742F" w14:textId="77777777" w:rsidR="00BA6D4C" w:rsidRDefault="00CE0412">
      <w:pPr>
        <w:pStyle w:val="NormalWeb"/>
        <w:spacing w:line="360" w:lineRule="auto"/>
        <w:jc w:val="both"/>
        <w:rPr>
          <w:rFonts w:ascii="Arial" w:hAnsi="Arial" w:cs="Arial"/>
        </w:rPr>
      </w:pPr>
      <w:r>
        <w:rPr>
          <w:rFonts w:ascii="Arial" w:hAnsi="Arial" w:cs="Arial"/>
        </w:rPr>
        <w:t>Stock system at GE has always been a significant constraint to working capital effectiveness. The inventory Days do not fall below 100 days within the five years and that it reaches high of 140bn in the form of inventory in the year 2022 which is quite high compared to the industry levels.</w:t>
      </w:r>
    </w:p>
    <w:p w14:paraId="07952743" w14:textId="77777777" w:rsidR="00BA6D4C" w:rsidRDefault="00CE0412">
      <w:pPr>
        <w:pStyle w:val="NormalWeb"/>
        <w:spacing w:line="360" w:lineRule="auto"/>
        <w:jc w:val="both"/>
        <w:rPr>
          <w:rFonts w:ascii="Arial" w:hAnsi="Arial" w:cs="Arial"/>
        </w:rPr>
      </w:pPr>
      <w:r>
        <w:rPr>
          <w:rStyle w:val="Strong"/>
          <w:rFonts w:ascii="Arial" w:hAnsi="Arial" w:cs="Arial"/>
        </w:rPr>
        <w:t>Key Causes:</w:t>
      </w:r>
    </w:p>
    <w:p w14:paraId="000FF64F" w14:textId="77777777" w:rsidR="00BA6D4C" w:rsidRDefault="00CE0412">
      <w:pPr>
        <w:pStyle w:val="NormalWeb"/>
        <w:numPr>
          <w:ilvl w:val="0"/>
          <w:numId w:val="6"/>
        </w:numPr>
        <w:spacing w:line="360" w:lineRule="auto"/>
        <w:jc w:val="both"/>
        <w:rPr>
          <w:rFonts w:ascii="Arial" w:hAnsi="Arial" w:cs="Arial"/>
        </w:rPr>
      </w:pPr>
      <w:r>
        <w:rPr>
          <w:rStyle w:val="Strong"/>
          <w:rFonts w:ascii="Arial" w:hAnsi="Arial" w:cs="Arial"/>
        </w:rPr>
        <w:t>Poor Demand Forecasting:</w:t>
      </w:r>
      <w:r>
        <w:rPr>
          <w:rFonts w:ascii="Arial" w:hAnsi="Arial" w:cs="Arial"/>
        </w:rPr>
        <w:t xml:space="preserve"> The two are wrong projections of the market demand that have caused overproduction and surplus stocks.</w:t>
      </w:r>
    </w:p>
    <w:p w14:paraId="7F68D451" w14:textId="77777777" w:rsidR="00BA6D4C" w:rsidRDefault="00CE0412">
      <w:pPr>
        <w:pStyle w:val="NormalWeb"/>
        <w:numPr>
          <w:ilvl w:val="0"/>
          <w:numId w:val="6"/>
        </w:numPr>
        <w:spacing w:line="360" w:lineRule="auto"/>
        <w:jc w:val="both"/>
        <w:rPr>
          <w:rFonts w:ascii="Arial" w:hAnsi="Arial" w:cs="Arial"/>
        </w:rPr>
      </w:pPr>
      <w:r>
        <w:rPr>
          <w:rFonts w:ascii="Arial" w:hAnsi="Arial" w:cs="Arial"/>
          <w:b/>
          <w:bCs/>
        </w:rPr>
        <w:t>Obsolescence of Product:</w:t>
      </w:r>
      <w:r>
        <w:rPr>
          <w:rFonts w:ascii="Arial" w:hAnsi="Arial" w:cs="Arial"/>
        </w:rPr>
        <w:t xml:space="preserve"> In the consumer electronics industry where there is a lot of dynamism, products become obsolete within a short time and this elevates the write down risks.</w:t>
      </w:r>
    </w:p>
    <w:p w14:paraId="73A61A4A" w14:textId="77777777" w:rsidR="00BA6D4C" w:rsidRDefault="00CE0412">
      <w:pPr>
        <w:pStyle w:val="NormalWeb"/>
        <w:spacing w:line="360" w:lineRule="auto"/>
        <w:jc w:val="both"/>
        <w:rPr>
          <w:rFonts w:ascii="Arial" w:hAnsi="Arial" w:cs="Arial"/>
        </w:rPr>
      </w:pPr>
      <w:r>
        <w:rPr>
          <w:rStyle w:val="Strong"/>
          <w:rFonts w:ascii="Arial" w:hAnsi="Arial" w:cs="Arial"/>
        </w:rPr>
        <w:t>Impacts:</w:t>
      </w:r>
    </w:p>
    <w:p w14:paraId="464B81E4" w14:textId="77777777" w:rsidR="00BA6D4C" w:rsidRDefault="00CE0412">
      <w:pPr>
        <w:pStyle w:val="NormalWeb"/>
        <w:numPr>
          <w:ilvl w:val="0"/>
          <w:numId w:val="7"/>
        </w:numPr>
        <w:spacing w:line="360" w:lineRule="auto"/>
        <w:jc w:val="both"/>
        <w:rPr>
          <w:rFonts w:ascii="Arial" w:hAnsi="Arial" w:cs="Arial"/>
        </w:rPr>
      </w:pPr>
      <w:r>
        <w:rPr>
          <w:rFonts w:ascii="Arial" w:hAnsi="Arial" w:cs="Arial"/>
        </w:rPr>
        <w:t>High holding costs, including warehousing, insurance, and depreciation.</w:t>
      </w:r>
    </w:p>
    <w:p w14:paraId="59C2EF27" w14:textId="77777777" w:rsidR="00BA6D4C" w:rsidRDefault="00CE0412">
      <w:pPr>
        <w:pStyle w:val="NormalWeb"/>
        <w:numPr>
          <w:ilvl w:val="0"/>
          <w:numId w:val="7"/>
        </w:numPr>
        <w:spacing w:line="360" w:lineRule="auto"/>
        <w:jc w:val="both"/>
        <w:rPr>
          <w:rFonts w:ascii="Arial" w:hAnsi="Arial" w:cs="Arial"/>
        </w:rPr>
      </w:pPr>
      <w:r>
        <w:rPr>
          <w:rFonts w:ascii="Arial" w:hAnsi="Arial" w:cs="Arial"/>
        </w:rPr>
        <w:t>Increased risk of inventory write-downs and obsolescence.</w:t>
      </w:r>
    </w:p>
    <w:p w14:paraId="265D9784" w14:textId="77777777" w:rsidR="00BA6D4C" w:rsidRDefault="00CE0412">
      <w:pPr>
        <w:pStyle w:val="NormalWeb"/>
        <w:numPr>
          <w:ilvl w:val="0"/>
          <w:numId w:val="7"/>
        </w:numPr>
        <w:spacing w:line="360" w:lineRule="auto"/>
        <w:jc w:val="both"/>
        <w:rPr>
          <w:rFonts w:ascii="Arial" w:hAnsi="Arial" w:cs="Arial"/>
        </w:rPr>
      </w:pPr>
      <w:r>
        <w:rPr>
          <w:rFonts w:ascii="Arial" w:hAnsi="Arial" w:cs="Arial"/>
        </w:rPr>
        <w:t>Significant cash lock-in, limiting funds available for other operational needs.</w:t>
      </w:r>
    </w:p>
    <w:p w14:paraId="6F8A6F74" w14:textId="77777777" w:rsidR="00BA6D4C" w:rsidRDefault="00CE0412">
      <w:pPr>
        <w:pStyle w:val="NormalWeb"/>
        <w:spacing w:line="360" w:lineRule="auto"/>
        <w:jc w:val="both"/>
        <w:rPr>
          <w:rFonts w:ascii="Arial" w:hAnsi="Arial" w:cs="Arial"/>
        </w:rPr>
      </w:pPr>
      <w:r>
        <w:rPr>
          <w:rStyle w:val="Strong"/>
          <w:rFonts w:ascii="Arial" w:hAnsi="Arial" w:cs="Arial"/>
        </w:rPr>
        <w:lastRenderedPageBreak/>
        <w:t>Recommendations:</w:t>
      </w:r>
    </w:p>
    <w:p w14:paraId="2CE2A070" w14:textId="77777777" w:rsidR="00BA6D4C" w:rsidRDefault="00CE0412">
      <w:pPr>
        <w:pStyle w:val="NormalWeb"/>
        <w:numPr>
          <w:ilvl w:val="0"/>
          <w:numId w:val="8"/>
        </w:numPr>
        <w:spacing w:line="360" w:lineRule="auto"/>
        <w:jc w:val="both"/>
        <w:rPr>
          <w:rFonts w:ascii="Arial" w:hAnsi="Arial" w:cs="Arial"/>
        </w:rPr>
      </w:pPr>
      <w:r>
        <w:rPr>
          <w:rStyle w:val="Strong"/>
          <w:rFonts w:ascii="Arial" w:hAnsi="Arial" w:cs="Arial"/>
        </w:rPr>
        <w:t>Implement Real-Time Inventory Analytics:</w:t>
      </w:r>
      <w:r>
        <w:rPr>
          <w:rFonts w:ascii="Arial" w:hAnsi="Arial" w:cs="Arial"/>
        </w:rPr>
        <w:t xml:space="preserve"> Take advantage of AI-based demand forecasting to match production to the real demand of the market and minimize overstocking.</w:t>
      </w:r>
    </w:p>
    <w:p w14:paraId="0D31C6BA" w14:textId="77777777" w:rsidR="00BA6D4C" w:rsidRDefault="00CE0412">
      <w:pPr>
        <w:pStyle w:val="NormalWeb"/>
        <w:numPr>
          <w:ilvl w:val="0"/>
          <w:numId w:val="8"/>
        </w:numPr>
        <w:spacing w:line="360" w:lineRule="auto"/>
        <w:jc w:val="both"/>
        <w:rPr>
          <w:rFonts w:ascii="Arial" w:hAnsi="Arial" w:cs="Arial"/>
        </w:rPr>
      </w:pPr>
      <w:r>
        <w:rPr>
          <w:rFonts w:ascii="Arial" w:hAnsi="Arial" w:cs="Arial"/>
          <w:b/>
          <w:bCs/>
        </w:rPr>
        <w:t>Emulate Lean Supply Chain Concepts:</w:t>
      </w:r>
      <w:r>
        <w:rPr>
          <w:rFonts w:ascii="Arial" w:hAnsi="Arial" w:cs="Arial"/>
        </w:rPr>
        <w:t xml:space="preserve"> Implement just-in-time (JIT) systems in order to reduce the number of stock inventories and enhance agility.</w:t>
      </w:r>
    </w:p>
    <w:p w14:paraId="49A17F79" w14:textId="77777777" w:rsidR="00BA6D4C" w:rsidRDefault="00CE0412">
      <w:pPr>
        <w:pStyle w:val="NormalWeb"/>
        <w:numPr>
          <w:ilvl w:val="0"/>
          <w:numId w:val="8"/>
        </w:numPr>
        <w:spacing w:line="360" w:lineRule="auto"/>
        <w:jc w:val="both"/>
        <w:rPr>
          <w:rFonts w:ascii="Arial" w:hAnsi="Arial" w:cs="Arial"/>
        </w:rPr>
      </w:pPr>
      <w:r>
        <w:rPr>
          <w:rFonts w:ascii="Arial" w:hAnsi="Arial" w:cs="Arial"/>
          <w:b/>
          <w:bCs/>
        </w:rPr>
        <w:t xml:space="preserve">Minimize SKU Complexity: </w:t>
      </w:r>
      <w:r>
        <w:rPr>
          <w:rFonts w:ascii="Arial" w:hAnsi="Arial" w:cs="Arial"/>
        </w:rPr>
        <w:t>Eliminate product clutters to prioritize high movers.</w:t>
      </w:r>
    </w:p>
    <w:p w14:paraId="53A41DBF" w14:textId="77777777" w:rsidR="00BA6D4C" w:rsidRDefault="00CE0412">
      <w:pPr>
        <w:pStyle w:val="NormalWeb"/>
        <w:numPr>
          <w:ilvl w:val="0"/>
          <w:numId w:val="8"/>
        </w:numPr>
        <w:spacing w:line="360" w:lineRule="auto"/>
        <w:jc w:val="both"/>
        <w:rPr>
          <w:rFonts w:ascii="Arial" w:hAnsi="Arial" w:cs="Arial"/>
        </w:rPr>
      </w:pPr>
      <w:r>
        <w:rPr>
          <w:rFonts w:ascii="Arial" w:hAnsi="Arial" w:cs="Arial"/>
          <w:b/>
          <w:bCs/>
        </w:rPr>
        <w:t xml:space="preserve">Vendor-Managed Inventory (VMI): </w:t>
      </w:r>
      <w:r>
        <w:rPr>
          <w:rFonts w:ascii="Arial" w:hAnsi="Arial" w:cs="Arial"/>
        </w:rPr>
        <w:t>Coordinate with suppliers to control the level of stocks to minimize capital holding in stock.</w:t>
      </w:r>
    </w:p>
    <w:p w14:paraId="5A160B97" w14:textId="77777777" w:rsidR="00BA6D4C" w:rsidRDefault="00CE0412">
      <w:pPr>
        <w:pStyle w:val="NormalWeb"/>
        <w:spacing w:line="360" w:lineRule="auto"/>
        <w:jc w:val="both"/>
        <w:rPr>
          <w:rFonts w:ascii="Arial" w:hAnsi="Arial" w:cs="Arial"/>
        </w:rPr>
      </w:pPr>
      <w:r>
        <w:rPr>
          <w:rFonts w:ascii="Arial" w:hAnsi="Arial" w:cs="Arial"/>
        </w:rPr>
        <w:t>These measures collectively improve inventory turnover, reduce holding costs, and release cash for critical operational and financial needs.</w:t>
      </w:r>
    </w:p>
    <w:p w14:paraId="1AC78C94"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2" w:name="_Toc214316802"/>
      <w:r>
        <w:rPr>
          <w:rFonts w:ascii="Arial" w:eastAsia="Times New Roman" w:hAnsi="Arial"/>
          <w:b/>
          <w:bCs/>
          <w:sz w:val="24"/>
          <w:szCs w:val="24"/>
        </w:rPr>
        <w:t>3.3 Receivables Management Issues</w:t>
      </w:r>
      <w:bookmarkEnd w:id="2"/>
    </w:p>
    <w:p w14:paraId="7468D2BE" w14:textId="77777777" w:rsidR="00BA6D4C" w:rsidRDefault="00CE0412">
      <w:pPr>
        <w:pStyle w:val="NormalWeb"/>
        <w:spacing w:line="360" w:lineRule="auto"/>
        <w:jc w:val="both"/>
        <w:rPr>
          <w:rFonts w:ascii="Arial" w:hAnsi="Arial" w:cs="Arial"/>
        </w:rPr>
      </w:pPr>
      <w:r>
        <w:rPr>
          <w:rFonts w:ascii="Arial" w:hAnsi="Arial" w:cs="Arial"/>
        </w:rPr>
        <w:t>GE also has another weakness of receivables management. Although Receivable Days stood at 75-78 days in 2020-2022, it hit 106 days in 2024 which means that there were inadequate credit controls and that the company had more exposure to bad debts.</w:t>
      </w:r>
    </w:p>
    <w:p w14:paraId="7469C013" w14:textId="77777777" w:rsidR="00BA6D4C" w:rsidRDefault="00CE0412">
      <w:pPr>
        <w:pStyle w:val="NormalWeb"/>
        <w:spacing w:line="360" w:lineRule="auto"/>
        <w:jc w:val="both"/>
        <w:rPr>
          <w:rFonts w:ascii="Arial" w:hAnsi="Arial" w:cs="Arial"/>
        </w:rPr>
      </w:pPr>
      <w:r>
        <w:rPr>
          <w:rStyle w:val="Strong"/>
          <w:rFonts w:ascii="Arial" w:hAnsi="Arial" w:cs="Arial"/>
        </w:rPr>
        <w:t>Causes:</w:t>
      </w:r>
    </w:p>
    <w:p w14:paraId="17FA9F40" w14:textId="77777777" w:rsidR="00BA6D4C" w:rsidRDefault="00CE0412">
      <w:pPr>
        <w:pStyle w:val="NormalWeb"/>
        <w:numPr>
          <w:ilvl w:val="0"/>
          <w:numId w:val="9"/>
        </w:numPr>
        <w:spacing w:line="360" w:lineRule="auto"/>
        <w:jc w:val="both"/>
        <w:rPr>
          <w:rFonts w:ascii="Arial" w:hAnsi="Arial" w:cs="Arial"/>
        </w:rPr>
      </w:pPr>
      <w:r>
        <w:rPr>
          <w:rFonts w:ascii="Arial" w:hAnsi="Arial" w:cs="Arial"/>
        </w:rPr>
        <w:t>Weak credit assessment and approval policies.</w:t>
      </w:r>
    </w:p>
    <w:p w14:paraId="04BC27F4" w14:textId="77777777" w:rsidR="00BA6D4C" w:rsidRDefault="00CE0412">
      <w:pPr>
        <w:pStyle w:val="NormalWeb"/>
        <w:numPr>
          <w:ilvl w:val="0"/>
          <w:numId w:val="9"/>
        </w:numPr>
        <w:spacing w:line="360" w:lineRule="auto"/>
        <w:jc w:val="both"/>
        <w:rPr>
          <w:rFonts w:ascii="Arial" w:hAnsi="Arial" w:cs="Arial"/>
        </w:rPr>
      </w:pPr>
      <w:r>
        <w:rPr>
          <w:rFonts w:ascii="Arial" w:hAnsi="Arial" w:cs="Arial"/>
        </w:rPr>
        <w:t>Sales to high-risk international distributors with extended payment cycles.</w:t>
      </w:r>
    </w:p>
    <w:p w14:paraId="41557CFA" w14:textId="77777777" w:rsidR="00BA6D4C" w:rsidRDefault="00CE0412">
      <w:pPr>
        <w:pStyle w:val="NormalWeb"/>
        <w:numPr>
          <w:ilvl w:val="0"/>
          <w:numId w:val="9"/>
        </w:numPr>
        <w:spacing w:line="360" w:lineRule="auto"/>
        <w:jc w:val="both"/>
        <w:rPr>
          <w:rFonts w:ascii="Arial" w:hAnsi="Arial" w:cs="Arial"/>
        </w:rPr>
      </w:pPr>
      <w:r>
        <w:rPr>
          <w:rFonts w:ascii="Arial" w:hAnsi="Arial" w:cs="Arial"/>
        </w:rPr>
        <w:t>Poor enforcement of payment terms and delayed collections.</w:t>
      </w:r>
    </w:p>
    <w:p w14:paraId="07A86BA6" w14:textId="77777777" w:rsidR="00BA6D4C" w:rsidRDefault="00CE0412">
      <w:pPr>
        <w:pStyle w:val="NormalWeb"/>
        <w:spacing w:line="360" w:lineRule="auto"/>
        <w:jc w:val="both"/>
        <w:rPr>
          <w:rFonts w:ascii="Arial" w:hAnsi="Arial" w:cs="Arial"/>
        </w:rPr>
      </w:pPr>
      <w:r>
        <w:rPr>
          <w:rStyle w:val="Strong"/>
          <w:rFonts w:ascii="Arial" w:hAnsi="Arial" w:cs="Arial"/>
        </w:rPr>
        <w:t>Recommendations:</w:t>
      </w:r>
    </w:p>
    <w:p w14:paraId="63367733" w14:textId="77777777" w:rsidR="00BA6D4C" w:rsidRDefault="00CE0412">
      <w:pPr>
        <w:pStyle w:val="NormalWeb"/>
        <w:numPr>
          <w:ilvl w:val="0"/>
          <w:numId w:val="10"/>
        </w:numPr>
        <w:spacing w:line="360" w:lineRule="auto"/>
        <w:jc w:val="both"/>
        <w:rPr>
          <w:rFonts w:ascii="Arial" w:hAnsi="Arial" w:cs="Arial"/>
        </w:rPr>
      </w:pPr>
      <w:r>
        <w:rPr>
          <w:rStyle w:val="Strong"/>
          <w:rFonts w:ascii="Arial" w:hAnsi="Arial" w:cs="Arial"/>
        </w:rPr>
        <w:t xml:space="preserve">Introduce Automated Credit Scoring Tools: </w:t>
      </w:r>
      <w:r>
        <w:rPr>
          <w:rStyle w:val="Strong"/>
          <w:rFonts w:ascii="Arial" w:hAnsi="Arial" w:cs="Arial"/>
          <w:b w:val="0"/>
          <w:bCs w:val="0"/>
        </w:rPr>
        <w:t>Work with information-based systems to calculate the credit reliability of customers and minimize default risks.</w:t>
      </w:r>
    </w:p>
    <w:p w14:paraId="3B87CCB3" w14:textId="77777777" w:rsidR="00BA6D4C" w:rsidRDefault="00CE0412">
      <w:pPr>
        <w:pStyle w:val="NormalWeb"/>
        <w:numPr>
          <w:ilvl w:val="0"/>
          <w:numId w:val="10"/>
        </w:numPr>
        <w:spacing w:line="360" w:lineRule="auto"/>
        <w:jc w:val="both"/>
        <w:rPr>
          <w:rFonts w:ascii="Arial" w:hAnsi="Arial" w:cs="Arial"/>
        </w:rPr>
      </w:pPr>
      <w:r>
        <w:rPr>
          <w:rFonts w:ascii="Arial" w:hAnsi="Arial" w:cs="Arial"/>
          <w:b/>
          <w:bCs/>
        </w:rPr>
        <w:t>Provide Early settling Discounts</w:t>
      </w:r>
      <w:r>
        <w:rPr>
          <w:rFonts w:ascii="Arial" w:hAnsi="Arial" w:cs="Arial"/>
        </w:rPr>
        <w:t>: Finance the payment of small discounts as an incentive to settle property early.</w:t>
      </w:r>
    </w:p>
    <w:p w14:paraId="63C4BB74" w14:textId="77777777" w:rsidR="00BA6D4C" w:rsidRDefault="00CE0412">
      <w:pPr>
        <w:pStyle w:val="NormalWeb"/>
        <w:numPr>
          <w:ilvl w:val="0"/>
          <w:numId w:val="10"/>
        </w:numPr>
        <w:spacing w:line="360" w:lineRule="auto"/>
        <w:jc w:val="both"/>
        <w:rPr>
          <w:rFonts w:ascii="Arial" w:hAnsi="Arial" w:cs="Arial"/>
        </w:rPr>
      </w:pPr>
      <w:r>
        <w:rPr>
          <w:rFonts w:ascii="Arial" w:hAnsi="Arial" w:cs="Arial"/>
          <w:b/>
          <w:bCs/>
        </w:rPr>
        <w:t>Tighten The Credits Conditions</w:t>
      </w:r>
      <w:r>
        <w:rPr>
          <w:rFonts w:ascii="Arial" w:hAnsi="Arial" w:cs="Arial"/>
        </w:rPr>
        <w:t>: Shorten the possible credit time of the risky customers and provide a stricter collection practice.</w:t>
      </w:r>
    </w:p>
    <w:p w14:paraId="0D583579" w14:textId="77777777" w:rsidR="00BA6D4C" w:rsidRDefault="00CE0412">
      <w:pPr>
        <w:pStyle w:val="NormalWeb"/>
        <w:numPr>
          <w:ilvl w:val="0"/>
          <w:numId w:val="10"/>
        </w:numPr>
        <w:spacing w:line="360" w:lineRule="auto"/>
        <w:jc w:val="both"/>
        <w:rPr>
          <w:rFonts w:ascii="Arial" w:hAnsi="Arial" w:cs="Arial"/>
        </w:rPr>
      </w:pPr>
      <w:r>
        <w:rPr>
          <w:rFonts w:ascii="Arial" w:hAnsi="Arial" w:cs="Arial"/>
          <w:b/>
          <w:bCs/>
        </w:rPr>
        <w:lastRenderedPageBreak/>
        <w:t>Use Invoice Factoring or Supply Chain Financing</w:t>
      </w:r>
      <w:r>
        <w:rPr>
          <w:rFonts w:ascii="Arial" w:hAnsi="Arial" w:cs="Arial"/>
        </w:rPr>
        <w:t>: Sell receivables and convert them to instant cash but decrease the collection risk to financial partners.</w:t>
      </w:r>
    </w:p>
    <w:p w14:paraId="0C081EC1"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3" w:name="_Toc214316803"/>
      <w:r>
        <w:rPr>
          <w:rFonts w:ascii="Arial" w:eastAsia="Times New Roman" w:hAnsi="Arial"/>
          <w:b/>
          <w:bCs/>
          <w:sz w:val="24"/>
          <w:szCs w:val="24"/>
        </w:rPr>
        <w:t>3.4 Payables Policy</w:t>
      </w:r>
      <w:bookmarkEnd w:id="3"/>
    </w:p>
    <w:p w14:paraId="2E9083A4" w14:textId="77777777" w:rsidR="00BA6D4C" w:rsidRDefault="00CE0412">
      <w:pPr>
        <w:pStyle w:val="NormalWeb"/>
        <w:spacing w:line="360" w:lineRule="auto"/>
        <w:jc w:val="both"/>
        <w:rPr>
          <w:rFonts w:ascii="Arial" w:hAnsi="Arial" w:cs="Arial"/>
        </w:rPr>
      </w:pPr>
      <w:r>
        <w:rPr>
          <w:rFonts w:ascii="Arial" w:hAnsi="Arial" w:cs="Arial"/>
        </w:rPr>
        <w:t>GE has Payable Days of approximately 50 days, which is average in the industry. Although moderate payables management restricts its supplier disputes, more strategic payables increase would not only offer more liquidity in the short term but also offer more liquidity in the long term.</w:t>
      </w:r>
    </w:p>
    <w:p w14:paraId="791706E3" w14:textId="77777777" w:rsidR="00BA6D4C" w:rsidRDefault="00CE0412">
      <w:pPr>
        <w:pStyle w:val="NormalWeb"/>
        <w:spacing w:line="360" w:lineRule="auto"/>
        <w:jc w:val="both"/>
        <w:rPr>
          <w:rFonts w:ascii="Arial" w:hAnsi="Arial" w:cs="Arial"/>
        </w:rPr>
      </w:pPr>
      <w:r>
        <w:rPr>
          <w:rStyle w:val="Strong"/>
          <w:rFonts w:ascii="Arial" w:hAnsi="Arial" w:cs="Arial"/>
        </w:rPr>
        <w:t>Recommendations:</w:t>
      </w:r>
    </w:p>
    <w:p w14:paraId="03702A47" w14:textId="77777777" w:rsidR="00BA6D4C" w:rsidRDefault="00CE0412">
      <w:pPr>
        <w:pStyle w:val="NormalWeb"/>
        <w:numPr>
          <w:ilvl w:val="0"/>
          <w:numId w:val="11"/>
        </w:numPr>
        <w:spacing w:line="360" w:lineRule="auto"/>
        <w:jc w:val="both"/>
        <w:rPr>
          <w:rFonts w:ascii="Arial" w:hAnsi="Arial" w:cs="Arial"/>
        </w:rPr>
      </w:pPr>
      <w:r>
        <w:rPr>
          <w:rStyle w:val="Strong"/>
          <w:rFonts w:ascii="Arial" w:hAnsi="Arial" w:cs="Arial"/>
        </w:rPr>
        <w:t>Negotiate Longer Payment Terms:</w:t>
      </w:r>
      <w:r>
        <w:rPr>
          <w:rFonts w:ascii="Arial" w:hAnsi="Arial" w:cs="Arial"/>
        </w:rPr>
        <w:t xml:space="preserve"> Extend payment terms to 60–90 days with global suppliers without incurring penalties.</w:t>
      </w:r>
    </w:p>
    <w:p w14:paraId="0112AA5B" w14:textId="77777777" w:rsidR="00BA6D4C" w:rsidRDefault="00CE0412">
      <w:pPr>
        <w:pStyle w:val="NormalWeb"/>
        <w:numPr>
          <w:ilvl w:val="0"/>
          <w:numId w:val="11"/>
        </w:numPr>
        <w:spacing w:line="360" w:lineRule="auto"/>
        <w:jc w:val="both"/>
        <w:rPr>
          <w:rFonts w:ascii="Arial" w:hAnsi="Arial" w:cs="Arial"/>
        </w:rPr>
      </w:pPr>
      <w:r>
        <w:rPr>
          <w:rStyle w:val="Strong"/>
          <w:rFonts w:ascii="Arial" w:hAnsi="Arial" w:cs="Arial"/>
        </w:rPr>
        <w:t>Consolidate Supplier Base:</w:t>
      </w:r>
      <w:r>
        <w:rPr>
          <w:rFonts w:ascii="Arial" w:hAnsi="Arial" w:cs="Arial"/>
        </w:rPr>
        <w:t xml:space="preserve"> By working closely with a smaller number of key suppliers, GE can improve bargaining power and obtain favorable terms.</w:t>
      </w:r>
    </w:p>
    <w:p w14:paraId="441E2041"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4" w:name="_Toc214316804"/>
      <w:r>
        <w:rPr>
          <w:rFonts w:ascii="Arial" w:eastAsia="Times New Roman" w:hAnsi="Arial"/>
          <w:b/>
          <w:bCs/>
          <w:sz w:val="24"/>
          <w:szCs w:val="24"/>
        </w:rPr>
        <w:t>3.5 Short-term vs Long-term Financing Options</w:t>
      </w:r>
      <w:bookmarkEnd w:id="4"/>
    </w:p>
    <w:p w14:paraId="52C8241F" w14:textId="77777777" w:rsidR="00BA6D4C" w:rsidRDefault="00CE0412">
      <w:pPr>
        <w:pStyle w:val="NormalWeb"/>
        <w:spacing w:line="360" w:lineRule="auto"/>
        <w:jc w:val="both"/>
        <w:rPr>
          <w:rFonts w:ascii="Arial" w:hAnsi="Arial" w:cs="Arial"/>
        </w:rPr>
      </w:pPr>
      <w:r>
        <w:rPr>
          <w:rFonts w:ascii="Arial" w:hAnsi="Arial" w:cs="Arial"/>
        </w:rPr>
        <w:t>Short-term credit lines amounting to about 36bn are currently being used by GE to finance the working capital requirements. Short-term financing is flexible and fast though it can result in the risk of refinancing, and it also adds to the liquidity stress..</w:t>
      </w:r>
    </w:p>
    <w:p w14:paraId="631E9BA4" w14:textId="77777777" w:rsidR="00BA6D4C" w:rsidRDefault="00CE0412">
      <w:pPr>
        <w:pStyle w:val="NormalWeb"/>
        <w:spacing w:line="360" w:lineRule="auto"/>
        <w:jc w:val="both"/>
        <w:rPr>
          <w:rFonts w:ascii="Arial" w:hAnsi="Arial" w:cs="Arial"/>
        </w:rPr>
      </w:pPr>
      <w:r>
        <w:rPr>
          <w:rStyle w:val="Strong"/>
          <w:rFonts w:ascii="Arial" w:hAnsi="Arial" w:cs="Arial"/>
        </w:rPr>
        <w:t>Short-Term Financing</w:t>
      </w:r>
    </w:p>
    <w:p w14:paraId="2845CF60" w14:textId="77777777" w:rsidR="00BA6D4C" w:rsidRDefault="00CE0412">
      <w:pPr>
        <w:pStyle w:val="NormalWeb"/>
        <w:numPr>
          <w:ilvl w:val="0"/>
          <w:numId w:val="12"/>
        </w:numPr>
        <w:spacing w:line="360" w:lineRule="auto"/>
        <w:jc w:val="both"/>
        <w:rPr>
          <w:rFonts w:ascii="Arial" w:hAnsi="Arial" w:cs="Arial"/>
        </w:rPr>
      </w:pPr>
      <w:r>
        <w:rPr>
          <w:rFonts w:ascii="Arial" w:hAnsi="Arial" w:cs="Arial"/>
        </w:rPr>
        <w:t>Merits: Fast accessibility and flexible interest repayment and usually lower rate of interest.</w:t>
      </w:r>
    </w:p>
    <w:p w14:paraId="193165D4" w14:textId="77777777" w:rsidR="00BA6D4C" w:rsidRDefault="00CE0412">
      <w:pPr>
        <w:pStyle w:val="NormalWeb"/>
        <w:numPr>
          <w:ilvl w:val="0"/>
          <w:numId w:val="12"/>
        </w:numPr>
        <w:spacing w:line="360" w:lineRule="auto"/>
        <w:jc w:val="both"/>
        <w:rPr>
          <w:rFonts w:ascii="Arial" w:hAnsi="Arial" w:cs="Arial"/>
        </w:rPr>
      </w:pPr>
      <w:r>
        <w:rPr>
          <w:rFonts w:ascii="Arial" w:hAnsi="Arial" w:cs="Arial"/>
        </w:rPr>
        <w:t>Disadvantages: The rollover risk is high, the risk is faced by acute liquidity dependency and dependence on the local market.</w:t>
      </w:r>
    </w:p>
    <w:p w14:paraId="171C223A" w14:textId="77777777" w:rsidR="00BA6D4C" w:rsidRDefault="00CE0412">
      <w:pPr>
        <w:pStyle w:val="NormalWeb"/>
        <w:spacing w:line="360" w:lineRule="auto"/>
        <w:jc w:val="both"/>
        <w:rPr>
          <w:rFonts w:ascii="Arial" w:hAnsi="Arial" w:cs="Arial"/>
        </w:rPr>
      </w:pPr>
      <w:r>
        <w:rPr>
          <w:rStyle w:val="Strong"/>
          <w:rFonts w:ascii="Arial" w:hAnsi="Arial" w:cs="Arial"/>
        </w:rPr>
        <w:t>Long-Term Financing</w:t>
      </w:r>
    </w:p>
    <w:p w14:paraId="2D59C4FE" w14:textId="77777777" w:rsidR="00BA6D4C" w:rsidRDefault="00CE0412">
      <w:pPr>
        <w:pStyle w:val="NormalWeb"/>
        <w:numPr>
          <w:ilvl w:val="0"/>
          <w:numId w:val="13"/>
        </w:numPr>
        <w:spacing w:line="360" w:lineRule="auto"/>
        <w:jc w:val="both"/>
        <w:rPr>
          <w:rFonts w:ascii="Arial" w:hAnsi="Arial" w:cs="Arial"/>
        </w:rPr>
      </w:pPr>
      <w:r>
        <w:rPr>
          <w:rFonts w:ascii="Arial" w:hAnsi="Arial" w:cs="Arial"/>
        </w:rPr>
        <w:t>Pros: It is stabilized, refinancing is kept down to a minimum and can be planned financially.</w:t>
      </w:r>
    </w:p>
    <w:p w14:paraId="67E70768" w14:textId="77777777" w:rsidR="00BA6D4C" w:rsidRDefault="00CE0412">
      <w:pPr>
        <w:pStyle w:val="NormalWeb"/>
        <w:numPr>
          <w:ilvl w:val="0"/>
          <w:numId w:val="13"/>
        </w:numPr>
        <w:spacing w:line="360" w:lineRule="auto"/>
        <w:jc w:val="both"/>
        <w:rPr>
          <w:rFonts w:ascii="Arial" w:hAnsi="Arial" w:cs="Arial"/>
        </w:rPr>
      </w:pPr>
      <w:r>
        <w:rPr>
          <w:rFonts w:ascii="Arial" w:hAnsi="Arial" w:cs="Arial"/>
        </w:rPr>
        <w:lastRenderedPageBreak/>
        <w:t>Drawbacks: The interest rates and restrictive covenants on the loans may be increased by lenders.</w:t>
      </w:r>
    </w:p>
    <w:p w14:paraId="25141765" w14:textId="77777777" w:rsidR="00BA6D4C" w:rsidRDefault="00CE0412">
      <w:pPr>
        <w:pStyle w:val="NormalWeb"/>
        <w:spacing w:line="360" w:lineRule="auto"/>
        <w:jc w:val="both"/>
        <w:rPr>
          <w:rFonts w:ascii="Arial" w:hAnsi="Arial" w:cs="Arial"/>
          <w:b/>
          <w:bCs/>
        </w:rPr>
      </w:pPr>
      <w:r>
        <w:rPr>
          <w:rFonts w:ascii="Arial" w:hAnsi="Arial" w:cs="Arial"/>
          <w:b/>
          <w:bCs/>
        </w:rPr>
        <w:t>The strategy used to manage the working capital is recommended as follows:</w:t>
      </w:r>
    </w:p>
    <w:p w14:paraId="0ED245C7" w14:textId="77777777" w:rsidR="00BA6D4C" w:rsidRDefault="00CE0412">
      <w:pPr>
        <w:pStyle w:val="NormalWeb"/>
        <w:spacing w:line="360" w:lineRule="auto"/>
        <w:jc w:val="both"/>
        <w:rPr>
          <w:rFonts w:ascii="Arial" w:hAnsi="Arial" w:cs="Arial"/>
        </w:rPr>
      </w:pPr>
      <w:r>
        <w:rPr>
          <w:rFonts w:ascii="Arial" w:hAnsi="Arial" w:cs="Arial"/>
        </w:rPr>
        <w:t>The overall working capital approach to be taken regarding GE would be cash-flow efficiency, rationalization of inventory, and sustainable management of its liquidity. The following are critical suggestions:</w:t>
      </w:r>
    </w:p>
    <w:p w14:paraId="33CB8CBB" w14:textId="77777777" w:rsidR="00BA6D4C" w:rsidRDefault="00CE0412">
      <w:pPr>
        <w:pStyle w:val="NormalWeb"/>
        <w:numPr>
          <w:ilvl w:val="0"/>
          <w:numId w:val="14"/>
        </w:numPr>
        <w:spacing w:line="360" w:lineRule="auto"/>
        <w:jc w:val="both"/>
        <w:rPr>
          <w:rFonts w:ascii="Arial" w:hAnsi="Arial" w:cs="Arial"/>
        </w:rPr>
      </w:pPr>
      <w:r>
        <w:rPr>
          <w:rStyle w:val="Strong"/>
          <w:rFonts w:ascii="Arial" w:hAnsi="Arial" w:cs="Arial"/>
        </w:rPr>
        <w:t>Reduce CCC to Industry Benchmark:</w:t>
      </w:r>
      <w:r>
        <w:rPr>
          <w:rFonts w:ascii="Arial" w:hAnsi="Arial" w:cs="Arial"/>
        </w:rPr>
        <w:t xml:space="preserve"> By enhancing the inventory and receivables management, reduce the CCC in 157 days down to about 80 days.</w:t>
      </w:r>
    </w:p>
    <w:p w14:paraId="22E2A692" w14:textId="77777777" w:rsidR="00BA6D4C" w:rsidRDefault="00CE0412">
      <w:pPr>
        <w:pStyle w:val="NormalWeb"/>
        <w:numPr>
          <w:ilvl w:val="0"/>
          <w:numId w:val="14"/>
        </w:numPr>
        <w:spacing w:line="360" w:lineRule="auto"/>
        <w:jc w:val="both"/>
        <w:rPr>
          <w:rFonts w:ascii="Arial" w:hAnsi="Arial" w:cs="Arial"/>
        </w:rPr>
      </w:pPr>
      <w:r>
        <w:rPr>
          <w:rFonts w:ascii="Arial" w:hAnsi="Arial" w:cs="Arial"/>
          <w:b/>
          <w:bCs/>
        </w:rPr>
        <w:t>Automated Receivables Monitoring</w:t>
      </w:r>
      <w:r>
        <w:rPr>
          <w:rFonts w:ascii="Arial" w:hAnsi="Arial" w:cs="Arial"/>
        </w:rPr>
        <w:t>: It will have automatic monitoring and reporting of outstanding invoices to ensure that overdue accounts are minimized.</w:t>
      </w:r>
    </w:p>
    <w:p w14:paraId="6C1CF133" w14:textId="77777777" w:rsidR="00BA6D4C" w:rsidRDefault="00CE0412">
      <w:pPr>
        <w:pStyle w:val="NormalWeb"/>
        <w:numPr>
          <w:ilvl w:val="0"/>
          <w:numId w:val="14"/>
        </w:numPr>
        <w:spacing w:line="360" w:lineRule="auto"/>
        <w:jc w:val="both"/>
        <w:rPr>
          <w:rFonts w:ascii="Arial" w:hAnsi="Arial" w:cs="Arial"/>
        </w:rPr>
      </w:pPr>
      <w:r>
        <w:rPr>
          <w:rFonts w:ascii="Arial" w:hAnsi="Arial" w:cs="Arial"/>
          <w:b/>
          <w:bCs/>
        </w:rPr>
        <w:t>Reduction in Inventory</w:t>
      </w:r>
      <w:r>
        <w:rPr>
          <w:rFonts w:ascii="Arial" w:hAnsi="Arial" w:cs="Arial"/>
        </w:rPr>
        <w:t>: Achieve at least 25 percent decrease in inventory through lean manufacturing, replenishment based on demand and SKU rationalization.</w:t>
      </w:r>
    </w:p>
    <w:p w14:paraId="2D5E1A47" w14:textId="77777777" w:rsidR="00BA6D4C" w:rsidRDefault="00CE0412">
      <w:pPr>
        <w:pStyle w:val="NormalWeb"/>
        <w:numPr>
          <w:ilvl w:val="0"/>
          <w:numId w:val="14"/>
        </w:numPr>
        <w:spacing w:line="360" w:lineRule="auto"/>
        <w:jc w:val="both"/>
        <w:rPr>
          <w:rFonts w:ascii="Arial" w:hAnsi="Arial" w:cs="Arial"/>
        </w:rPr>
      </w:pPr>
      <w:r>
        <w:rPr>
          <w:rFonts w:ascii="Arial" w:hAnsi="Arial" w:cs="Arial"/>
          <w:b/>
          <w:bCs/>
        </w:rPr>
        <w:t>Supplier Negotiations</w:t>
      </w:r>
      <w:r>
        <w:rPr>
          <w:rFonts w:ascii="Arial" w:hAnsi="Arial" w:cs="Arial"/>
        </w:rPr>
        <w:t>: The negotiator can negotiate longer payment terms with key suppliers to liberate cash without damaging the relationship.</w:t>
      </w:r>
    </w:p>
    <w:p w14:paraId="0E22ED3D" w14:textId="77777777" w:rsidR="00BA6D4C" w:rsidRDefault="00CE0412">
      <w:pPr>
        <w:pStyle w:val="NormalWeb"/>
        <w:numPr>
          <w:ilvl w:val="0"/>
          <w:numId w:val="14"/>
        </w:numPr>
        <w:spacing w:line="360" w:lineRule="auto"/>
        <w:jc w:val="both"/>
        <w:rPr>
          <w:rFonts w:ascii="Arial" w:hAnsi="Arial" w:cs="Arial"/>
        </w:rPr>
      </w:pPr>
      <w:r>
        <w:rPr>
          <w:rFonts w:ascii="Arial" w:hAnsi="Arial" w:cs="Arial"/>
          <w:b/>
          <w:bCs/>
        </w:rPr>
        <w:t>Supply Chain Financing</w:t>
      </w:r>
      <w:r>
        <w:rPr>
          <w:rFonts w:ascii="Arial" w:hAnsi="Arial" w:cs="Arial"/>
        </w:rPr>
        <w:t>: Turn receivables into cash by using the factoring and financing tool, to increase liquidity.</w:t>
      </w:r>
    </w:p>
    <w:p w14:paraId="6CF3EFA9" w14:textId="77777777" w:rsidR="00BA6D4C" w:rsidRDefault="00CE0412">
      <w:pPr>
        <w:pStyle w:val="NormalWeb"/>
        <w:numPr>
          <w:ilvl w:val="0"/>
          <w:numId w:val="14"/>
        </w:numPr>
        <w:spacing w:line="360" w:lineRule="auto"/>
        <w:jc w:val="both"/>
        <w:rPr>
          <w:rFonts w:ascii="Arial" w:hAnsi="Arial" w:cs="Arial"/>
        </w:rPr>
      </w:pPr>
      <w:r>
        <w:rPr>
          <w:rFonts w:ascii="Arial" w:hAnsi="Arial" w:cs="Arial"/>
          <w:b/>
          <w:bCs/>
        </w:rPr>
        <w:t>Short-term cash forecasting</w:t>
      </w:r>
      <w:r>
        <w:rPr>
          <w:rFonts w:ascii="Arial" w:hAnsi="Arial" w:cs="Arial"/>
        </w:rPr>
        <w:t>: Get better predictive modelling, project cash demands, cash crises, and borrowing policies.</w:t>
      </w:r>
    </w:p>
    <w:p w14:paraId="653E1091" w14:textId="77777777" w:rsidR="00BA6D4C" w:rsidRDefault="00CE0412">
      <w:pPr>
        <w:spacing w:before="100" w:beforeAutospacing="1" w:after="100" w:afterAutospacing="1" w:line="360" w:lineRule="auto"/>
        <w:jc w:val="both"/>
        <w:outlineLvl w:val="0"/>
        <w:rPr>
          <w:rFonts w:ascii="Arial" w:eastAsia="Times New Roman" w:hAnsi="Arial"/>
          <w:b/>
          <w:bCs/>
          <w:kern w:val="36"/>
          <w:sz w:val="24"/>
          <w:szCs w:val="24"/>
        </w:rPr>
      </w:pPr>
      <w:bookmarkStart w:id="5" w:name="_Toc214316806"/>
      <w:r>
        <w:rPr>
          <w:rFonts w:ascii="Arial" w:eastAsia="Times New Roman" w:hAnsi="Arial"/>
          <w:b/>
          <w:bCs/>
          <w:kern w:val="36"/>
          <w:sz w:val="24"/>
          <w:szCs w:val="24"/>
        </w:rPr>
        <w:t>4. STRATEGIC FINANCIAL RESTRUCTURING PLAN</w:t>
      </w:r>
      <w:bookmarkEnd w:id="5"/>
    </w:p>
    <w:p w14:paraId="190E735A"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The current juncture that General Electronics (GE) is experiencing is marked with long operating losses, declining liquidity, and increasing financial leverage. The company should implement a thorough financial restructuring option to avert bankruptcy and regain its competitiveness in short, medium, and long term. The plan includes non-core unit divestment, strategic investors bringing in, debt restructuring, improving operations, and risk management of cross-border finances, as well as the ethical, governance and corporate social responsibility (CSR) guidelines. All items of the restructuring scheme will </w:t>
      </w:r>
      <w:r>
        <w:rPr>
          <w:rFonts w:ascii="Arial" w:eastAsia="Times New Roman" w:hAnsi="Arial"/>
          <w:sz w:val="24"/>
          <w:szCs w:val="24"/>
        </w:rPr>
        <w:lastRenderedPageBreak/>
        <w:t>stabilize the balance sheet of GE, capital structure, enhance the performance of the operations, and reduce the financial as well as reputational risk.</w:t>
      </w:r>
    </w:p>
    <w:p w14:paraId="5A6C1404"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6" w:name="_Toc214316807"/>
      <w:r>
        <w:rPr>
          <w:rFonts w:ascii="Arial" w:eastAsia="Times New Roman" w:hAnsi="Arial"/>
          <w:b/>
          <w:bCs/>
          <w:sz w:val="24"/>
          <w:szCs w:val="24"/>
        </w:rPr>
        <w:t>4.1 Divestiture of Non-Core Business Units</w:t>
      </w:r>
      <w:bookmarkEnd w:id="6"/>
    </w:p>
    <w:p w14:paraId="7F48D2DD" w14:textId="77777777" w:rsidR="00BA6D4C" w:rsidRDefault="00CE0412">
      <w:pPr>
        <w:pStyle w:val="NormalWeb"/>
        <w:spacing w:line="360" w:lineRule="auto"/>
        <w:jc w:val="both"/>
        <w:rPr>
          <w:rFonts w:ascii="Arial" w:hAnsi="Arial" w:cs="Arial"/>
        </w:rPr>
      </w:pPr>
      <w:r>
        <w:rPr>
          <w:rFonts w:ascii="Arial" w:hAnsi="Arial" w:cs="Arial"/>
        </w:rPr>
        <w:t>The major intervention in the turnaround strategy of GE would be the need to sell the non-strategic or underperforming business units. The portfolio of diversification that GE deals with includes various consumer electronics that have various segments but some of these segments are counterproductive to profitability. Maintaining these units is a waste of capital, and adds burden to operations and management focus is not on infrastructural growth areas.</w:t>
      </w:r>
    </w:p>
    <w:p w14:paraId="27CE5A54" w14:textId="77777777" w:rsidR="00BA6D4C" w:rsidRDefault="00CE0412">
      <w:pPr>
        <w:pStyle w:val="NormalWeb"/>
        <w:spacing w:line="360" w:lineRule="auto"/>
        <w:jc w:val="both"/>
        <w:rPr>
          <w:rFonts w:ascii="Arial" w:hAnsi="Arial" w:cs="Arial"/>
        </w:rPr>
      </w:pPr>
      <w:r>
        <w:rPr>
          <w:rStyle w:val="Strong"/>
          <w:rFonts w:ascii="Arial" w:hAnsi="Arial" w:cs="Arial"/>
        </w:rPr>
        <w:t>Recommended Divestitures:</w:t>
      </w:r>
    </w:p>
    <w:p w14:paraId="326C0DAD" w14:textId="77777777" w:rsidR="00BA6D4C" w:rsidRDefault="00CE0412">
      <w:pPr>
        <w:pStyle w:val="NormalWeb"/>
        <w:numPr>
          <w:ilvl w:val="0"/>
          <w:numId w:val="15"/>
        </w:numPr>
        <w:spacing w:line="360" w:lineRule="auto"/>
        <w:jc w:val="both"/>
        <w:rPr>
          <w:rFonts w:ascii="Arial" w:hAnsi="Arial" w:cs="Arial"/>
        </w:rPr>
      </w:pPr>
      <w:r>
        <w:rPr>
          <w:rStyle w:val="Strong"/>
          <w:rFonts w:ascii="Arial" w:hAnsi="Arial" w:cs="Arial"/>
        </w:rPr>
        <w:t>Low-Margin Home Appliances</w:t>
      </w:r>
      <w:r>
        <w:rPr>
          <w:rFonts w:ascii="Arial" w:hAnsi="Arial" w:cs="Arial"/>
        </w:rPr>
        <w:t xml:space="preserve"> – Such segments have low profitability and increase huge fixed expenses.</w:t>
      </w:r>
    </w:p>
    <w:p w14:paraId="7655726C" w14:textId="77777777" w:rsidR="00BA6D4C" w:rsidRDefault="00CE0412">
      <w:pPr>
        <w:pStyle w:val="NormalWeb"/>
        <w:numPr>
          <w:ilvl w:val="0"/>
          <w:numId w:val="15"/>
        </w:numPr>
        <w:spacing w:line="360" w:lineRule="auto"/>
        <w:jc w:val="both"/>
        <w:rPr>
          <w:rFonts w:ascii="Arial" w:hAnsi="Arial" w:cs="Arial"/>
        </w:rPr>
      </w:pPr>
      <w:r>
        <w:rPr>
          <w:rFonts w:ascii="Arial" w:hAnsi="Arial" w:cs="Arial"/>
          <w:b/>
          <w:bCs/>
        </w:rPr>
        <w:t xml:space="preserve">Weak Smartphone Division- </w:t>
      </w:r>
      <w:r>
        <w:rPr>
          <w:rFonts w:ascii="Arial" w:hAnsi="Arial" w:cs="Arial"/>
        </w:rPr>
        <w:t>The Smartphone market is highly competitive with little differentiation; dropping under performing model helps to minimize future losses.</w:t>
      </w:r>
    </w:p>
    <w:p w14:paraId="47138B80" w14:textId="77777777" w:rsidR="00BA6D4C" w:rsidRDefault="00CE0412">
      <w:pPr>
        <w:pStyle w:val="NormalWeb"/>
        <w:numPr>
          <w:ilvl w:val="0"/>
          <w:numId w:val="15"/>
        </w:numPr>
        <w:spacing w:line="360" w:lineRule="auto"/>
        <w:jc w:val="both"/>
        <w:rPr>
          <w:rFonts w:ascii="Arial" w:hAnsi="Arial" w:cs="Arial"/>
        </w:rPr>
      </w:pPr>
      <w:r>
        <w:rPr>
          <w:rFonts w:ascii="Arial" w:hAnsi="Arial" w:cs="Arial"/>
          <w:b/>
          <w:bCs/>
        </w:rPr>
        <w:t>Regional Subsidiaries</w:t>
      </w:r>
      <w:r>
        <w:rPr>
          <w:rFonts w:ascii="Arial" w:hAnsi="Arial" w:cs="Arial"/>
        </w:rPr>
        <w:t xml:space="preserve"> in Africa and Latin America-Most of these operations show negative marginal status because of the high operation expense, poor distribution system and currency fluctuation.</w:t>
      </w:r>
    </w:p>
    <w:p w14:paraId="53DB877D" w14:textId="77777777" w:rsidR="00BA6D4C" w:rsidRDefault="00CE0412">
      <w:pPr>
        <w:pStyle w:val="NormalWeb"/>
        <w:spacing w:line="360" w:lineRule="auto"/>
        <w:jc w:val="both"/>
        <w:rPr>
          <w:rFonts w:ascii="Arial" w:hAnsi="Arial" w:cs="Arial"/>
        </w:rPr>
      </w:pPr>
      <w:r>
        <w:rPr>
          <w:rStyle w:val="Strong"/>
          <w:rFonts w:ascii="Arial" w:hAnsi="Arial" w:cs="Arial"/>
        </w:rPr>
        <w:t>Expected Benefits:</w:t>
      </w:r>
    </w:p>
    <w:p w14:paraId="27E9A605" w14:textId="77777777" w:rsidR="00BA6D4C" w:rsidRDefault="00CE0412">
      <w:pPr>
        <w:pStyle w:val="NormalWeb"/>
        <w:numPr>
          <w:ilvl w:val="0"/>
          <w:numId w:val="16"/>
        </w:numPr>
        <w:spacing w:line="360" w:lineRule="auto"/>
        <w:jc w:val="both"/>
        <w:rPr>
          <w:rFonts w:ascii="Arial" w:hAnsi="Arial" w:cs="Arial"/>
        </w:rPr>
      </w:pPr>
      <w:r>
        <w:rPr>
          <w:rStyle w:val="Strong"/>
          <w:rFonts w:ascii="Arial" w:hAnsi="Arial" w:cs="Arial"/>
        </w:rPr>
        <w:t>Immediate Cash Inflow:</w:t>
      </w:r>
      <w:r>
        <w:rPr>
          <w:rFonts w:ascii="Arial" w:hAnsi="Arial" w:cs="Arial"/>
        </w:rPr>
        <w:t xml:space="preserve"> Divestitures create liquidity which may be redistributed to pay down debt or be used to finance strategic ventures.</w:t>
      </w:r>
    </w:p>
    <w:p w14:paraId="4992DEF7" w14:textId="77777777" w:rsidR="00BA6D4C" w:rsidRDefault="00CE0412">
      <w:pPr>
        <w:pStyle w:val="NormalWeb"/>
        <w:numPr>
          <w:ilvl w:val="0"/>
          <w:numId w:val="16"/>
        </w:numPr>
        <w:spacing w:line="360" w:lineRule="auto"/>
        <w:jc w:val="both"/>
        <w:rPr>
          <w:rFonts w:ascii="Arial" w:hAnsi="Arial" w:cs="Arial"/>
        </w:rPr>
      </w:pPr>
      <w:r>
        <w:rPr>
          <w:rFonts w:ascii="Arial" w:hAnsi="Arial" w:cs="Arial"/>
          <w:b/>
          <w:bCs/>
        </w:rPr>
        <w:t>Simplified Operational Complexities</w:t>
      </w:r>
      <w:r>
        <w:rPr>
          <w:rFonts w:ascii="Arial" w:hAnsi="Arial" w:cs="Arial"/>
        </w:rPr>
        <w:t>: The elimination of non-core units shortens administrative attention and enhances management control.</w:t>
      </w:r>
    </w:p>
    <w:p w14:paraId="228078B5" w14:textId="77777777" w:rsidR="00BA6D4C" w:rsidRDefault="00CE0412">
      <w:pPr>
        <w:pStyle w:val="NormalWeb"/>
        <w:numPr>
          <w:ilvl w:val="0"/>
          <w:numId w:val="16"/>
        </w:numPr>
        <w:spacing w:line="360" w:lineRule="auto"/>
        <w:jc w:val="both"/>
        <w:rPr>
          <w:rFonts w:ascii="Arial" w:hAnsi="Arial" w:cs="Arial"/>
        </w:rPr>
      </w:pPr>
      <w:r>
        <w:rPr>
          <w:rFonts w:ascii="Arial" w:hAnsi="Arial" w:cs="Arial"/>
          <w:b/>
          <w:bCs/>
        </w:rPr>
        <w:t>Reduced Fixed Costs</w:t>
      </w:r>
      <w:r>
        <w:rPr>
          <w:rFonts w:ascii="Arial" w:hAnsi="Arial" w:cs="Arial"/>
        </w:rPr>
        <w:t>: Fixed overheads which entail poor performing units are eliminated which enhances the profitability margins.</w:t>
      </w:r>
    </w:p>
    <w:p w14:paraId="35A37C77" w14:textId="77777777" w:rsidR="00BA6D4C" w:rsidRDefault="00CE0412">
      <w:pPr>
        <w:pStyle w:val="NormalWeb"/>
        <w:numPr>
          <w:ilvl w:val="0"/>
          <w:numId w:val="16"/>
        </w:numPr>
        <w:spacing w:line="360" w:lineRule="auto"/>
        <w:jc w:val="both"/>
        <w:rPr>
          <w:rFonts w:ascii="Arial" w:hAnsi="Arial" w:cs="Arial"/>
        </w:rPr>
      </w:pPr>
      <w:r>
        <w:rPr>
          <w:rFonts w:ascii="Arial" w:hAnsi="Arial" w:cs="Arial"/>
          <w:b/>
          <w:bCs/>
        </w:rPr>
        <w:lastRenderedPageBreak/>
        <w:t>Target Profitable Segments</w:t>
      </w:r>
      <w:r>
        <w:rPr>
          <w:rFonts w:ascii="Arial" w:hAnsi="Arial" w:cs="Arial"/>
        </w:rPr>
        <w:t>: As a company, it should shift resources to such attractive sectors as cloud-connected devices, wearables, and new consumer electronics.</w:t>
      </w:r>
    </w:p>
    <w:p w14:paraId="5BEAAA5C" w14:textId="77777777" w:rsidR="00BA6D4C" w:rsidRDefault="00CE0412">
      <w:pPr>
        <w:pStyle w:val="NormalWeb"/>
        <w:spacing w:line="360" w:lineRule="auto"/>
        <w:jc w:val="both"/>
        <w:rPr>
          <w:rFonts w:ascii="Arial" w:hAnsi="Arial" w:cs="Arial"/>
        </w:rPr>
      </w:pPr>
      <w:r>
        <w:rPr>
          <w:rFonts w:ascii="Arial" w:hAnsi="Arial" w:cs="Arial"/>
        </w:rPr>
        <w:t>Strategic divestiture is also in line with the scholarly research and business experience, and leverage of leaving non-core or low performing units has been established as a major way through which financially troubled companies can restore financial performance and improve shareholders value (Brauer, 2006). Divestiture serves the purpose of GE to focus on more profitable growth areas as well where there will be sustainable recovery in the long-term.</w:t>
      </w:r>
    </w:p>
    <w:p w14:paraId="5496700D"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7" w:name="_Toc214316808"/>
      <w:r>
        <w:rPr>
          <w:rFonts w:ascii="Arial" w:eastAsia="Times New Roman" w:hAnsi="Arial"/>
          <w:b/>
          <w:bCs/>
          <w:sz w:val="24"/>
          <w:szCs w:val="24"/>
        </w:rPr>
        <w:t>4.2 Equity Injection (Strategic Investor)</w:t>
      </w:r>
      <w:bookmarkEnd w:id="7"/>
    </w:p>
    <w:p w14:paraId="2A557A64" w14:textId="77777777" w:rsidR="00BA6D4C" w:rsidRDefault="00CE0412">
      <w:pPr>
        <w:pStyle w:val="NormalWeb"/>
        <w:spacing w:line="360" w:lineRule="auto"/>
        <w:jc w:val="both"/>
        <w:rPr>
          <w:rFonts w:ascii="Arial" w:hAnsi="Arial" w:cs="Arial"/>
        </w:rPr>
      </w:pPr>
      <w:r>
        <w:rPr>
          <w:rFonts w:ascii="Arial" w:hAnsi="Arial" w:cs="Arial"/>
        </w:rPr>
        <w:t>The capital structure of GE is in a poor state, and there are negative retained earnings, and an increasingly increasing debt-to-equity ratio, 1.11, in 2024. An equity injection by a strategic partner is needed with an intention of returning the finance to solvency and enhancing financial flexibility.</w:t>
      </w:r>
    </w:p>
    <w:p w14:paraId="2C4515BC" w14:textId="77777777" w:rsidR="00BA6D4C" w:rsidRDefault="00CE0412">
      <w:pPr>
        <w:pStyle w:val="NormalWeb"/>
        <w:spacing w:line="360" w:lineRule="auto"/>
        <w:jc w:val="both"/>
        <w:rPr>
          <w:rFonts w:ascii="Arial" w:hAnsi="Arial" w:cs="Arial"/>
        </w:rPr>
      </w:pPr>
      <w:r>
        <w:rPr>
          <w:rStyle w:val="Strong"/>
          <w:rFonts w:ascii="Arial" w:hAnsi="Arial" w:cs="Arial"/>
        </w:rPr>
        <w:t>Proposal:</w:t>
      </w:r>
    </w:p>
    <w:p w14:paraId="715FAB1B" w14:textId="77777777" w:rsidR="00BA6D4C" w:rsidRDefault="00CE0412">
      <w:pPr>
        <w:pStyle w:val="NormalWeb"/>
        <w:numPr>
          <w:ilvl w:val="0"/>
          <w:numId w:val="17"/>
        </w:numPr>
        <w:spacing w:line="360" w:lineRule="auto"/>
        <w:jc w:val="both"/>
        <w:rPr>
          <w:rFonts w:ascii="Arial" w:hAnsi="Arial" w:cs="Arial"/>
        </w:rPr>
      </w:pPr>
      <w:r>
        <w:rPr>
          <w:rFonts w:ascii="Arial" w:hAnsi="Arial" w:cs="Arial"/>
        </w:rPr>
        <w:t>Issue new equity of US 20 billion to a strategic investor say Samsung or Foxconn, i. e. knowledgeable on consumer electronics and global supply chains.</w:t>
      </w:r>
    </w:p>
    <w:p w14:paraId="7E341487" w14:textId="77777777" w:rsidR="00BA6D4C" w:rsidRDefault="00CE0412">
      <w:pPr>
        <w:pStyle w:val="NormalWeb"/>
        <w:numPr>
          <w:ilvl w:val="0"/>
          <w:numId w:val="17"/>
        </w:numPr>
        <w:spacing w:line="360" w:lineRule="auto"/>
        <w:jc w:val="both"/>
        <w:rPr>
          <w:rFonts w:ascii="Arial" w:hAnsi="Arial" w:cs="Arial"/>
        </w:rPr>
      </w:pPr>
      <w:r>
        <w:rPr>
          <w:rFonts w:ascii="Arial" w:hAnsi="Arial" w:cs="Arial"/>
        </w:rPr>
        <w:t>Although this will water down the current shareholders, it will play a great role in avoiding the chances of bankruptcy.</w:t>
      </w:r>
    </w:p>
    <w:p w14:paraId="2F048AA3" w14:textId="77777777" w:rsidR="00BA6D4C" w:rsidRDefault="00CE0412">
      <w:pPr>
        <w:pStyle w:val="NormalWeb"/>
        <w:spacing w:line="360" w:lineRule="auto"/>
        <w:jc w:val="both"/>
        <w:rPr>
          <w:rFonts w:ascii="Arial" w:hAnsi="Arial" w:cs="Arial"/>
        </w:rPr>
      </w:pPr>
      <w:r>
        <w:rPr>
          <w:rStyle w:val="Strong"/>
          <w:rFonts w:ascii="Arial" w:hAnsi="Arial" w:cs="Arial"/>
        </w:rPr>
        <w:t>Impacts:</w:t>
      </w:r>
    </w:p>
    <w:p w14:paraId="5C4751F9" w14:textId="77777777" w:rsidR="00BA6D4C" w:rsidRDefault="00CE0412">
      <w:pPr>
        <w:pStyle w:val="NormalWeb"/>
        <w:numPr>
          <w:ilvl w:val="0"/>
          <w:numId w:val="18"/>
        </w:numPr>
        <w:spacing w:line="360" w:lineRule="auto"/>
        <w:jc w:val="both"/>
        <w:rPr>
          <w:rFonts w:ascii="Arial" w:hAnsi="Arial" w:cs="Arial"/>
        </w:rPr>
      </w:pPr>
      <w:r>
        <w:rPr>
          <w:rStyle w:val="Strong"/>
          <w:rFonts w:ascii="Arial" w:hAnsi="Arial" w:cs="Arial"/>
        </w:rPr>
        <w:t>Debt-to-Equity Ratio Improvement:</w:t>
      </w:r>
      <w:r>
        <w:rPr>
          <w:rFonts w:ascii="Arial" w:hAnsi="Arial" w:cs="Arial"/>
        </w:rPr>
        <w:t xml:space="preserve"> Capital infusion would reduce the debt-equity ratio to say 0.65, which would decrease the financial leverage.</w:t>
      </w:r>
    </w:p>
    <w:p w14:paraId="3720B797" w14:textId="77777777" w:rsidR="00BA6D4C" w:rsidRDefault="00CE0412">
      <w:pPr>
        <w:pStyle w:val="NormalWeb"/>
        <w:numPr>
          <w:ilvl w:val="0"/>
          <w:numId w:val="18"/>
        </w:numPr>
        <w:spacing w:line="360" w:lineRule="auto"/>
        <w:jc w:val="both"/>
        <w:rPr>
          <w:rFonts w:ascii="Arial" w:hAnsi="Arial" w:cs="Arial"/>
        </w:rPr>
      </w:pPr>
      <w:r>
        <w:rPr>
          <w:rFonts w:ascii="Arial" w:hAnsi="Arial" w:cs="Arial"/>
          <w:b/>
          <w:bCs/>
        </w:rPr>
        <w:t>Improved access to long-term capital:</w:t>
      </w:r>
      <w:r>
        <w:rPr>
          <w:rFonts w:ascii="Arial" w:hAnsi="Arial" w:cs="Arial"/>
        </w:rPr>
        <w:t xml:space="preserve"> With the tried and tested equity base, it would become easier to borrow at a reduced cost.</w:t>
      </w:r>
    </w:p>
    <w:p w14:paraId="7D2FF88A" w14:textId="77777777" w:rsidR="00BA6D4C" w:rsidRDefault="00CE0412">
      <w:pPr>
        <w:pStyle w:val="NormalWeb"/>
        <w:numPr>
          <w:ilvl w:val="0"/>
          <w:numId w:val="18"/>
        </w:numPr>
        <w:spacing w:line="360" w:lineRule="auto"/>
        <w:jc w:val="both"/>
        <w:rPr>
          <w:rFonts w:ascii="Arial" w:hAnsi="Arial" w:cs="Arial"/>
        </w:rPr>
      </w:pPr>
      <w:r>
        <w:rPr>
          <w:rFonts w:ascii="Arial" w:hAnsi="Arial" w:cs="Arial"/>
          <w:b/>
          <w:bCs/>
        </w:rPr>
        <w:lastRenderedPageBreak/>
        <w:t>Investment in Innovation and Restructuring:</w:t>
      </w:r>
      <w:r>
        <w:rPr>
          <w:rFonts w:ascii="Arial" w:hAnsi="Arial" w:cs="Arial"/>
        </w:rPr>
        <w:t xml:space="preserve"> The capital can be invested in strategic projects such as the research and development, technological improvements, and the optimization of work.</w:t>
      </w:r>
    </w:p>
    <w:p w14:paraId="345EBA6C" w14:textId="77777777" w:rsidR="00BA6D4C" w:rsidRDefault="00CE0412">
      <w:pPr>
        <w:pStyle w:val="NormalWeb"/>
        <w:spacing w:line="360" w:lineRule="auto"/>
        <w:jc w:val="both"/>
        <w:rPr>
          <w:rFonts w:ascii="Arial" w:hAnsi="Arial" w:cs="Arial"/>
        </w:rPr>
      </w:pPr>
      <w:r>
        <w:rPr>
          <w:rFonts w:ascii="Arial" w:hAnsi="Arial" w:cs="Arial"/>
        </w:rPr>
        <w:t>Besides filling the balance sheet, equity injections help to build confidence in the market, which contributes to the further investment and stabilizes the stock performance. Also, strategic investors can bring with them operational expertise, integration of supply chain and understanding of the global market and all these will boost competitiveness of GE.</w:t>
      </w:r>
    </w:p>
    <w:p w14:paraId="3122977A" w14:textId="77777777" w:rsidR="00BA6D4C" w:rsidRDefault="00CE0412">
      <w:pPr>
        <w:pStyle w:val="NormalWeb"/>
        <w:spacing w:line="360" w:lineRule="auto"/>
        <w:jc w:val="both"/>
        <w:rPr>
          <w:rFonts w:ascii="Arial" w:hAnsi="Arial" w:cs="Arial"/>
          <w:b/>
          <w:bCs/>
        </w:rPr>
      </w:pPr>
      <w:r>
        <w:rPr>
          <w:rFonts w:ascii="Arial" w:hAnsi="Arial" w:cs="Arial"/>
          <w:b/>
          <w:bCs/>
        </w:rPr>
        <w:t>4.3 Debt Restructuring</w:t>
      </w:r>
    </w:p>
    <w:p w14:paraId="1719FFC9" w14:textId="77777777" w:rsidR="00BA6D4C" w:rsidRDefault="00CE0412">
      <w:pPr>
        <w:pStyle w:val="NormalWeb"/>
        <w:spacing w:line="360" w:lineRule="auto"/>
        <w:jc w:val="both"/>
        <w:rPr>
          <w:rFonts w:ascii="Arial" w:hAnsi="Arial" w:cs="Arial"/>
        </w:rPr>
      </w:pPr>
      <w:r>
        <w:rPr>
          <w:rFonts w:ascii="Arial" w:hAnsi="Arial" w:cs="Arial"/>
        </w:rPr>
        <w:t>The existing debt structure of GE is very volatile, as it operates using short credit lines. This dependence enhances refinancing risk and susceptibility to the market changes, augmenting the problems of liquidity.</w:t>
      </w:r>
    </w:p>
    <w:p w14:paraId="5B767B0A" w14:textId="77777777" w:rsidR="00BA6D4C" w:rsidRDefault="00CE0412">
      <w:pPr>
        <w:pStyle w:val="NormalWeb"/>
        <w:spacing w:line="360" w:lineRule="auto"/>
        <w:jc w:val="both"/>
        <w:rPr>
          <w:rFonts w:ascii="Arial" w:hAnsi="Arial" w:cs="Arial"/>
        </w:rPr>
      </w:pPr>
      <w:r>
        <w:rPr>
          <w:rStyle w:val="Strong"/>
          <w:rFonts w:ascii="Arial" w:hAnsi="Arial" w:cs="Arial"/>
        </w:rPr>
        <w:t>Recommendations:</w:t>
      </w:r>
    </w:p>
    <w:p w14:paraId="6B5B113C" w14:textId="77777777" w:rsidR="00BA6D4C" w:rsidRDefault="00CE0412">
      <w:pPr>
        <w:pStyle w:val="NormalWeb"/>
        <w:numPr>
          <w:ilvl w:val="0"/>
          <w:numId w:val="19"/>
        </w:numPr>
        <w:spacing w:line="360" w:lineRule="auto"/>
        <w:jc w:val="both"/>
        <w:rPr>
          <w:rFonts w:ascii="Arial" w:hAnsi="Arial" w:cs="Arial"/>
        </w:rPr>
      </w:pPr>
      <w:r>
        <w:rPr>
          <w:rStyle w:val="Strong"/>
          <w:rFonts w:ascii="Arial" w:hAnsi="Arial" w:cs="Arial"/>
        </w:rPr>
        <w:t>Convert £20bn Short-Term Credit into 5-Year Bonds:</w:t>
      </w:r>
      <w:r>
        <w:rPr>
          <w:rFonts w:ascii="Arial" w:hAnsi="Arial" w:cs="Arial"/>
        </w:rPr>
        <w:t xml:space="preserve"> This changes the short-term volatile financing to long medium-term debt.</w:t>
      </w:r>
    </w:p>
    <w:p w14:paraId="1FB12C80" w14:textId="77777777" w:rsidR="00BA6D4C" w:rsidRDefault="00CE0412">
      <w:pPr>
        <w:pStyle w:val="NormalWeb"/>
        <w:numPr>
          <w:ilvl w:val="0"/>
          <w:numId w:val="19"/>
        </w:numPr>
        <w:spacing w:line="360" w:lineRule="auto"/>
        <w:jc w:val="both"/>
        <w:rPr>
          <w:rFonts w:ascii="Arial" w:hAnsi="Arial" w:cs="Arial"/>
        </w:rPr>
      </w:pPr>
      <w:r>
        <w:rPr>
          <w:rFonts w:ascii="Arial" w:hAnsi="Arial" w:cs="Arial"/>
          <w:b/>
          <w:bCs/>
        </w:rPr>
        <w:t xml:space="preserve">Negotiate lower interest rates: </w:t>
      </w:r>
      <w:r>
        <w:rPr>
          <w:rFonts w:ascii="Arial" w:hAnsi="Arial" w:cs="Arial"/>
        </w:rPr>
        <w:t>In refinancing an organisation can negotiate lower interest rates, which will save on financial expenses and give them wriggle room to operate.</w:t>
      </w:r>
    </w:p>
    <w:p w14:paraId="6B04EE28" w14:textId="77777777" w:rsidR="00BA6D4C" w:rsidRDefault="00CE0412">
      <w:pPr>
        <w:pStyle w:val="NormalWeb"/>
        <w:numPr>
          <w:ilvl w:val="0"/>
          <w:numId w:val="19"/>
        </w:numPr>
        <w:spacing w:line="360" w:lineRule="auto"/>
        <w:jc w:val="both"/>
        <w:rPr>
          <w:rFonts w:ascii="Arial" w:hAnsi="Arial" w:cs="Arial"/>
        </w:rPr>
      </w:pPr>
      <w:r>
        <w:rPr>
          <w:rFonts w:ascii="Arial" w:hAnsi="Arial" w:cs="Arial"/>
          <w:b/>
          <w:bCs/>
        </w:rPr>
        <w:t>Stretch Repayment</w:t>
      </w:r>
      <w:r>
        <w:rPr>
          <w:rFonts w:ascii="Arial" w:hAnsi="Arial" w:cs="Arial"/>
        </w:rPr>
        <w:t>: Stretching debt payments makes the debt payments easier in the short-term.</w:t>
      </w:r>
    </w:p>
    <w:p w14:paraId="3731758F" w14:textId="77777777" w:rsidR="00BA6D4C" w:rsidRDefault="00CE0412">
      <w:pPr>
        <w:pStyle w:val="NormalWeb"/>
        <w:numPr>
          <w:ilvl w:val="0"/>
          <w:numId w:val="19"/>
        </w:numPr>
        <w:spacing w:line="360" w:lineRule="auto"/>
        <w:jc w:val="both"/>
        <w:rPr>
          <w:rFonts w:ascii="Arial" w:hAnsi="Arial" w:cs="Arial"/>
        </w:rPr>
      </w:pPr>
      <w:r>
        <w:rPr>
          <w:rFonts w:ascii="Arial" w:hAnsi="Arial" w:cs="Arial"/>
          <w:b/>
          <w:bCs/>
        </w:rPr>
        <w:t>Embark on Covenants that assure Discipline in Operation</w:t>
      </w:r>
      <w:r>
        <w:rPr>
          <w:rFonts w:ascii="Arial" w:hAnsi="Arial" w:cs="Arial"/>
        </w:rPr>
        <w:t>: Debt agreements must have performance based covenants to execute on proper financial and operation management.</w:t>
      </w:r>
    </w:p>
    <w:p w14:paraId="7F77C0B1" w14:textId="77777777" w:rsidR="00BA6D4C" w:rsidRDefault="00CE0412">
      <w:pPr>
        <w:pStyle w:val="NormalWeb"/>
        <w:spacing w:line="360" w:lineRule="auto"/>
        <w:jc w:val="both"/>
        <w:rPr>
          <w:rFonts w:ascii="Arial" w:hAnsi="Arial" w:cs="Arial"/>
        </w:rPr>
      </w:pPr>
      <w:r>
        <w:rPr>
          <w:rFonts w:ascii="Arial" w:hAnsi="Arial" w:cs="Arial"/>
        </w:rPr>
        <w:t>Restructuring of debts is consistent with best practices of distressed companies which reduce the default risk and provide flexibility to operate during turnaround (Hotchkiss et al., 2020). The expansion of the debt can help GE to concentrate on growth programs instead of refinancing all the time.</w:t>
      </w:r>
    </w:p>
    <w:p w14:paraId="30284D06" w14:textId="77777777" w:rsidR="00BA6D4C" w:rsidRDefault="00CE0412">
      <w:pPr>
        <w:pStyle w:val="NormalWeb"/>
        <w:spacing w:line="360" w:lineRule="auto"/>
        <w:jc w:val="both"/>
        <w:rPr>
          <w:rFonts w:ascii="Arial" w:hAnsi="Arial" w:cs="Arial"/>
          <w:b/>
          <w:bCs/>
        </w:rPr>
      </w:pPr>
      <w:r>
        <w:rPr>
          <w:rFonts w:ascii="Arial" w:hAnsi="Arial" w:cs="Arial"/>
          <w:b/>
          <w:bCs/>
        </w:rPr>
        <w:lastRenderedPageBreak/>
        <w:t>4.4 Operational Restructuring</w:t>
      </w:r>
    </w:p>
    <w:p w14:paraId="151FA970" w14:textId="77777777" w:rsidR="00BA6D4C" w:rsidRDefault="00CE0412">
      <w:pPr>
        <w:pStyle w:val="NormalWeb"/>
        <w:spacing w:line="360" w:lineRule="auto"/>
        <w:jc w:val="both"/>
        <w:rPr>
          <w:rFonts w:ascii="Arial" w:hAnsi="Arial" w:cs="Arial"/>
        </w:rPr>
      </w:pPr>
      <w:r>
        <w:rPr>
          <w:rFonts w:ascii="Arial" w:hAnsi="Arial" w:cs="Arial"/>
        </w:rPr>
        <w:t>GE has been experiencing operation inefficiencies, which have also led to the deteriorating profitability. The optimization of operations is important to regain the sustainable margins.</w:t>
      </w:r>
    </w:p>
    <w:p w14:paraId="7AB3E163" w14:textId="77777777" w:rsidR="00BA6D4C" w:rsidRDefault="00CE0412">
      <w:pPr>
        <w:pStyle w:val="NormalWeb"/>
        <w:spacing w:line="360" w:lineRule="auto"/>
        <w:jc w:val="both"/>
        <w:rPr>
          <w:rFonts w:ascii="Arial" w:hAnsi="Arial" w:cs="Arial"/>
        </w:rPr>
      </w:pPr>
      <w:r>
        <w:rPr>
          <w:rStyle w:val="Strong"/>
          <w:rFonts w:ascii="Arial" w:hAnsi="Arial" w:cs="Arial"/>
        </w:rPr>
        <w:t>Recommended Actions:</w:t>
      </w:r>
    </w:p>
    <w:p w14:paraId="61DA798A" w14:textId="77777777" w:rsidR="00BA6D4C" w:rsidRDefault="00CE0412">
      <w:pPr>
        <w:pStyle w:val="NormalWeb"/>
        <w:numPr>
          <w:ilvl w:val="0"/>
          <w:numId w:val="20"/>
        </w:numPr>
        <w:spacing w:line="360" w:lineRule="auto"/>
        <w:jc w:val="both"/>
        <w:rPr>
          <w:rFonts w:ascii="Arial" w:hAnsi="Arial" w:cs="Arial"/>
        </w:rPr>
      </w:pPr>
      <w:r>
        <w:rPr>
          <w:rStyle w:val="Strong"/>
          <w:rFonts w:ascii="Arial" w:hAnsi="Arial" w:cs="Arial"/>
        </w:rPr>
        <w:t>Consolidate Manufacturing Plants:</w:t>
      </w:r>
      <w:r>
        <w:rPr>
          <w:rFonts w:ascii="Arial" w:hAnsi="Arial" w:cs="Arial"/>
        </w:rPr>
        <w:t xml:space="preserve"> By minimizing the excess capacity, the utilization of the assets can be better and the fixed costs are cut.</w:t>
      </w:r>
    </w:p>
    <w:p w14:paraId="1575969A" w14:textId="77777777" w:rsidR="00BA6D4C" w:rsidRDefault="00CE0412">
      <w:pPr>
        <w:pStyle w:val="NormalWeb"/>
        <w:numPr>
          <w:ilvl w:val="0"/>
          <w:numId w:val="20"/>
        </w:numPr>
        <w:spacing w:line="360" w:lineRule="auto"/>
        <w:jc w:val="both"/>
        <w:rPr>
          <w:rFonts w:ascii="Arial" w:hAnsi="Arial" w:cs="Arial"/>
        </w:rPr>
      </w:pPr>
      <w:r>
        <w:rPr>
          <w:rFonts w:ascii="Arial" w:hAnsi="Arial" w:cs="Arial"/>
          <w:b/>
          <w:bCs/>
        </w:rPr>
        <w:t>Outsource Low-Value</w:t>
      </w:r>
      <w:r>
        <w:rPr>
          <w:rFonts w:ascii="Arial" w:hAnsi="Arial" w:cs="Arial"/>
        </w:rPr>
        <w:t>: Production with suppliers who are cost effective will minimize costs in terms of labor and overheads.</w:t>
      </w:r>
    </w:p>
    <w:p w14:paraId="5B1F41E6" w14:textId="77777777" w:rsidR="00BA6D4C" w:rsidRDefault="00CE0412">
      <w:pPr>
        <w:pStyle w:val="NormalWeb"/>
        <w:numPr>
          <w:ilvl w:val="0"/>
          <w:numId w:val="20"/>
        </w:numPr>
        <w:spacing w:line="360" w:lineRule="auto"/>
        <w:jc w:val="both"/>
        <w:rPr>
          <w:rFonts w:ascii="Arial" w:hAnsi="Arial" w:cs="Arial"/>
        </w:rPr>
      </w:pPr>
      <w:r>
        <w:rPr>
          <w:rFonts w:ascii="Arial" w:hAnsi="Arial" w:cs="Arial"/>
          <w:b/>
          <w:bCs/>
        </w:rPr>
        <w:t>Streamline Product Portfolio</w:t>
      </w:r>
      <w:r>
        <w:rPr>
          <w:rFonts w:ascii="Arial" w:hAnsi="Arial" w:cs="Arial"/>
        </w:rPr>
        <w:t>: Simplify the business with high margin and high demand products to facilitate profits.</w:t>
      </w:r>
    </w:p>
    <w:p w14:paraId="592FF7FC" w14:textId="77777777" w:rsidR="00BA6D4C" w:rsidRDefault="00CE0412">
      <w:pPr>
        <w:pStyle w:val="NormalWeb"/>
        <w:numPr>
          <w:ilvl w:val="0"/>
          <w:numId w:val="20"/>
        </w:numPr>
        <w:spacing w:line="360" w:lineRule="auto"/>
        <w:jc w:val="both"/>
        <w:rPr>
          <w:rFonts w:ascii="Arial" w:hAnsi="Arial" w:cs="Arial"/>
        </w:rPr>
      </w:pPr>
      <w:r>
        <w:rPr>
          <w:rFonts w:ascii="Arial" w:hAnsi="Arial" w:cs="Arial"/>
          <w:b/>
          <w:bCs/>
        </w:rPr>
        <w:t>Decrease Operating Cost by at Least 15 Percent</w:t>
      </w:r>
      <w:r>
        <w:rPr>
          <w:rFonts w:ascii="Arial" w:hAnsi="Arial" w:cs="Arial"/>
        </w:rPr>
        <w:t>: This entails cutting of both administrative, production and marketing costs.</w:t>
      </w:r>
    </w:p>
    <w:p w14:paraId="204959D0" w14:textId="77777777" w:rsidR="00BA6D4C" w:rsidRDefault="00CE0412">
      <w:pPr>
        <w:pStyle w:val="NormalWeb"/>
        <w:spacing w:line="360" w:lineRule="auto"/>
        <w:jc w:val="both"/>
        <w:rPr>
          <w:rFonts w:ascii="Arial" w:hAnsi="Arial" w:cs="Arial"/>
        </w:rPr>
      </w:pPr>
      <w:r>
        <w:rPr>
          <w:rFonts w:ascii="Arial" w:hAnsi="Arial" w:cs="Arial"/>
        </w:rPr>
        <w:t>Restructuring enables efficiency in their operations, decrease of costs and place GE in a position to have positive cash flow to help it repay its debt and further grow. The competitive advantage will be further improved on the basis of integrating lean management principles and advanced production technologies.</w:t>
      </w:r>
    </w:p>
    <w:p w14:paraId="39073D2E" w14:textId="77777777" w:rsidR="00BA6D4C" w:rsidRDefault="00CE0412">
      <w:pPr>
        <w:pStyle w:val="NormalWeb"/>
        <w:spacing w:line="360" w:lineRule="auto"/>
        <w:jc w:val="both"/>
        <w:rPr>
          <w:rFonts w:ascii="Arial" w:hAnsi="Arial" w:cs="Arial"/>
          <w:b/>
          <w:bCs/>
        </w:rPr>
      </w:pPr>
      <w:r>
        <w:rPr>
          <w:rFonts w:ascii="Arial" w:hAnsi="Arial" w:cs="Arial"/>
          <w:b/>
          <w:bCs/>
        </w:rPr>
        <w:t>4.5 Foreign Financial issues.</w:t>
      </w:r>
    </w:p>
    <w:p w14:paraId="65C2E586" w14:textId="77777777" w:rsidR="00BA6D4C" w:rsidRDefault="00CE0412">
      <w:pPr>
        <w:pStyle w:val="NormalWeb"/>
        <w:spacing w:line="360" w:lineRule="auto"/>
        <w:jc w:val="both"/>
        <w:rPr>
          <w:rFonts w:ascii="Arial" w:hAnsi="Arial" w:cs="Arial"/>
        </w:rPr>
      </w:pPr>
      <w:r>
        <w:rPr>
          <w:rFonts w:ascii="Arial" w:hAnsi="Arial" w:cs="Arial"/>
        </w:rPr>
        <w:t>GE as an international company is exposed to various financial risks in the international markets. Proper management of these risks is important in order to save the margins and preserve the long term value.</w:t>
      </w:r>
    </w:p>
    <w:p w14:paraId="00EC4164" w14:textId="77777777" w:rsidR="00BA6D4C" w:rsidRDefault="00CE0412">
      <w:pPr>
        <w:pStyle w:val="NormalWeb"/>
        <w:spacing w:line="360" w:lineRule="auto"/>
        <w:jc w:val="both"/>
        <w:rPr>
          <w:rFonts w:ascii="Arial" w:hAnsi="Arial" w:cs="Arial"/>
        </w:rPr>
      </w:pPr>
      <w:r>
        <w:rPr>
          <w:rStyle w:val="Strong"/>
          <w:rFonts w:ascii="Arial" w:hAnsi="Arial" w:cs="Arial"/>
        </w:rPr>
        <w:t>Currency Risk:</w:t>
      </w:r>
    </w:p>
    <w:p w14:paraId="02954889" w14:textId="77777777" w:rsidR="00BA6D4C" w:rsidRDefault="00CE0412">
      <w:pPr>
        <w:pStyle w:val="NormalWeb"/>
        <w:numPr>
          <w:ilvl w:val="0"/>
          <w:numId w:val="21"/>
        </w:numPr>
        <w:spacing w:line="360" w:lineRule="auto"/>
        <w:jc w:val="both"/>
        <w:rPr>
          <w:rFonts w:ascii="Arial" w:hAnsi="Arial" w:cs="Arial"/>
        </w:rPr>
      </w:pPr>
      <w:r>
        <w:rPr>
          <w:rFonts w:ascii="Arial" w:hAnsi="Arial" w:cs="Arial"/>
        </w:rPr>
        <w:t>GE has USD, EUR, GBP and emerging market currencies. Volatility of the exchange rate may diminish the levels of profit margins and raise the costs of debt services.</w:t>
      </w:r>
    </w:p>
    <w:p w14:paraId="340C73E2" w14:textId="77777777" w:rsidR="00BA6D4C" w:rsidRDefault="00CE0412">
      <w:pPr>
        <w:pStyle w:val="NormalWeb"/>
        <w:numPr>
          <w:ilvl w:val="0"/>
          <w:numId w:val="21"/>
        </w:numPr>
        <w:spacing w:line="360" w:lineRule="auto"/>
        <w:jc w:val="both"/>
        <w:rPr>
          <w:rFonts w:ascii="Arial" w:hAnsi="Arial" w:cs="Arial"/>
        </w:rPr>
      </w:pPr>
      <w:r>
        <w:rPr>
          <w:rFonts w:ascii="Arial" w:hAnsi="Arial" w:cs="Arial"/>
          <w:b/>
          <w:bCs/>
        </w:rPr>
        <w:lastRenderedPageBreak/>
        <w:t>Recommendation</w:t>
      </w:r>
      <w:r>
        <w:rPr>
          <w:rFonts w:ascii="Arial" w:hAnsi="Arial" w:cs="Arial"/>
        </w:rPr>
        <w:t>: Hedge foreign exchange risk with forwards, swaps and natural hedging approaches such as sourcing and sales in equivalent currencies.</w:t>
      </w:r>
    </w:p>
    <w:p w14:paraId="5CC66859" w14:textId="77777777" w:rsidR="00BA6D4C" w:rsidRDefault="00CE0412">
      <w:pPr>
        <w:pStyle w:val="NormalWeb"/>
        <w:spacing w:line="360" w:lineRule="auto"/>
        <w:jc w:val="both"/>
        <w:rPr>
          <w:rFonts w:ascii="Arial" w:hAnsi="Arial" w:cs="Arial"/>
        </w:rPr>
      </w:pPr>
      <w:r>
        <w:rPr>
          <w:rStyle w:val="Strong"/>
          <w:rFonts w:ascii="Arial" w:hAnsi="Arial" w:cs="Arial"/>
        </w:rPr>
        <w:t>Inflation Risk:</w:t>
      </w:r>
    </w:p>
    <w:p w14:paraId="429DF536" w14:textId="77777777" w:rsidR="00BA6D4C" w:rsidRDefault="00CE0412">
      <w:pPr>
        <w:pStyle w:val="NormalWeb"/>
        <w:numPr>
          <w:ilvl w:val="0"/>
          <w:numId w:val="22"/>
        </w:numPr>
        <w:spacing w:line="360" w:lineRule="auto"/>
        <w:jc w:val="both"/>
        <w:rPr>
          <w:rFonts w:ascii="Arial" w:hAnsi="Arial" w:cs="Arial"/>
        </w:rPr>
      </w:pPr>
      <w:r>
        <w:rPr>
          <w:rFonts w:ascii="Arial" w:hAnsi="Arial" w:cs="Arial"/>
        </w:rPr>
        <w:t>New markets are likely to have high inflation rates, rising labor and component prices.</w:t>
      </w:r>
    </w:p>
    <w:p w14:paraId="40D4F6BA" w14:textId="77777777" w:rsidR="00BA6D4C" w:rsidRDefault="00CE0412">
      <w:pPr>
        <w:pStyle w:val="NormalWeb"/>
        <w:numPr>
          <w:ilvl w:val="0"/>
          <w:numId w:val="22"/>
        </w:numPr>
        <w:spacing w:line="360" w:lineRule="auto"/>
        <w:jc w:val="both"/>
        <w:rPr>
          <w:rFonts w:ascii="Arial" w:hAnsi="Arial" w:cs="Arial"/>
        </w:rPr>
      </w:pPr>
      <w:r>
        <w:rPr>
          <w:rFonts w:ascii="Arial" w:hAnsi="Arial" w:cs="Arial"/>
          <w:b/>
          <w:bCs/>
        </w:rPr>
        <w:t>Recommendation</w:t>
      </w:r>
      <w:r>
        <w:rPr>
          <w:rFonts w:ascii="Arial" w:hAnsi="Arial" w:cs="Arial"/>
        </w:rPr>
        <w:t>: Dynamically adjust the prices of the products provided, apply inflation-indexed supplier contracts, and watch the cost structures at all times.</w:t>
      </w:r>
    </w:p>
    <w:p w14:paraId="450A1CCE" w14:textId="77777777" w:rsidR="00BA6D4C" w:rsidRDefault="00CE0412">
      <w:pPr>
        <w:pStyle w:val="NormalWeb"/>
        <w:spacing w:line="360" w:lineRule="auto"/>
        <w:jc w:val="both"/>
        <w:rPr>
          <w:rFonts w:ascii="Arial" w:hAnsi="Arial" w:cs="Arial"/>
        </w:rPr>
      </w:pPr>
      <w:r>
        <w:rPr>
          <w:rStyle w:val="Strong"/>
          <w:rFonts w:ascii="Arial" w:hAnsi="Arial" w:cs="Arial"/>
        </w:rPr>
        <w:t>Taxation Risk:</w:t>
      </w:r>
    </w:p>
    <w:p w14:paraId="2FFFDF82" w14:textId="77777777" w:rsidR="00BA6D4C" w:rsidRDefault="00CE0412">
      <w:pPr>
        <w:pStyle w:val="NormalWeb"/>
        <w:numPr>
          <w:ilvl w:val="0"/>
          <w:numId w:val="23"/>
        </w:numPr>
        <w:spacing w:line="360" w:lineRule="auto"/>
        <w:jc w:val="both"/>
        <w:rPr>
          <w:rFonts w:ascii="Arial" w:hAnsi="Arial" w:cs="Arial"/>
        </w:rPr>
      </w:pPr>
      <w:r>
        <w:rPr>
          <w:rFonts w:ascii="Arial" w:hAnsi="Arial" w:cs="Arial"/>
        </w:rPr>
        <w:t>GE has got a multi-jurisdiction complex tax structure in its operations. Failure to comply could result in punishments and tarnished image.</w:t>
      </w:r>
    </w:p>
    <w:p w14:paraId="062E3B72" w14:textId="77777777" w:rsidR="00BA6D4C" w:rsidRDefault="00CE0412">
      <w:pPr>
        <w:pStyle w:val="NormalWeb"/>
        <w:numPr>
          <w:ilvl w:val="0"/>
          <w:numId w:val="23"/>
        </w:numPr>
        <w:spacing w:line="360" w:lineRule="auto"/>
        <w:jc w:val="both"/>
        <w:rPr>
          <w:rFonts w:ascii="Arial" w:hAnsi="Arial" w:cs="Arial"/>
        </w:rPr>
      </w:pPr>
      <w:r>
        <w:rPr>
          <w:rFonts w:ascii="Arial" w:hAnsi="Arial" w:cs="Arial"/>
          <w:b/>
          <w:bCs/>
        </w:rPr>
        <w:t>Recommendation</w:t>
      </w:r>
      <w:r>
        <w:rPr>
          <w:rFonts w:ascii="Arial" w:hAnsi="Arial" w:cs="Arial"/>
        </w:rPr>
        <w:t>: Centralization of the tax operation, ethical optimization of the transfer prices and adherence to the international taxation.</w:t>
      </w:r>
    </w:p>
    <w:p w14:paraId="36AB4740" w14:textId="77777777" w:rsidR="00BA6D4C" w:rsidRDefault="00CE0412">
      <w:pPr>
        <w:pStyle w:val="NormalWeb"/>
        <w:spacing w:line="360" w:lineRule="auto"/>
        <w:jc w:val="both"/>
        <w:rPr>
          <w:rFonts w:ascii="Arial" w:hAnsi="Arial" w:cs="Arial"/>
        </w:rPr>
      </w:pPr>
      <w:r>
        <w:rPr>
          <w:rFonts w:ascii="Arial" w:hAnsi="Arial" w:cs="Arial"/>
        </w:rPr>
        <w:t>All these international financial risks can be managed proactively to maintain stability in the financial performance, legalities, and cash flows to minimize losses that may be incurred unexpectedly.</w:t>
      </w:r>
    </w:p>
    <w:p w14:paraId="63D93CFC" w14:textId="77777777" w:rsidR="00BA6D4C" w:rsidRDefault="00CE0412">
      <w:pPr>
        <w:pStyle w:val="NormalWeb"/>
        <w:spacing w:line="360" w:lineRule="auto"/>
        <w:jc w:val="both"/>
        <w:rPr>
          <w:rFonts w:ascii="Arial" w:hAnsi="Arial" w:cs="Arial"/>
          <w:b/>
          <w:bCs/>
        </w:rPr>
      </w:pPr>
      <w:r>
        <w:rPr>
          <w:rFonts w:ascii="Arial" w:hAnsi="Arial" w:cs="Arial"/>
          <w:b/>
          <w:bCs/>
        </w:rPr>
        <w:t>4.6 CSR, Ethical, and Governance.</w:t>
      </w:r>
    </w:p>
    <w:p w14:paraId="20058E7A" w14:textId="77777777" w:rsidR="00BA6D4C" w:rsidRDefault="00CE0412">
      <w:pPr>
        <w:pStyle w:val="NormalWeb"/>
        <w:spacing w:line="360" w:lineRule="auto"/>
        <w:jc w:val="both"/>
        <w:rPr>
          <w:rFonts w:ascii="Arial" w:hAnsi="Arial" w:cs="Arial"/>
        </w:rPr>
      </w:pPr>
      <w:r>
        <w:rPr>
          <w:rFonts w:ascii="Arial" w:hAnsi="Arial" w:cs="Arial"/>
        </w:rPr>
        <w:t>A turnaround plan has to be based on a solid ethical practice and corporate governance in order to develop long term stakeholder trust and sustainability value creation.</w:t>
      </w:r>
    </w:p>
    <w:p w14:paraId="1037ACA0" w14:textId="77777777" w:rsidR="00BA6D4C" w:rsidRDefault="00CE0412">
      <w:pPr>
        <w:pStyle w:val="NormalWeb"/>
        <w:spacing w:line="360" w:lineRule="auto"/>
        <w:jc w:val="both"/>
        <w:rPr>
          <w:rFonts w:ascii="Arial" w:hAnsi="Arial" w:cs="Arial"/>
        </w:rPr>
      </w:pPr>
      <w:r>
        <w:rPr>
          <w:rStyle w:val="Strong"/>
          <w:rFonts w:ascii="Arial" w:hAnsi="Arial" w:cs="Arial"/>
        </w:rPr>
        <w:t>Recommendations:</w:t>
      </w:r>
    </w:p>
    <w:p w14:paraId="42E6227C" w14:textId="77777777" w:rsidR="00BA6D4C" w:rsidRDefault="00CE0412">
      <w:pPr>
        <w:pStyle w:val="NormalWeb"/>
        <w:numPr>
          <w:ilvl w:val="0"/>
          <w:numId w:val="24"/>
        </w:numPr>
        <w:spacing w:line="360" w:lineRule="auto"/>
        <w:jc w:val="both"/>
        <w:rPr>
          <w:rFonts w:ascii="Arial" w:hAnsi="Arial" w:cs="Arial"/>
        </w:rPr>
      </w:pPr>
      <w:r>
        <w:rPr>
          <w:rStyle w:val="Strong"/>
          <w:rFonts w:ascii="Arial" w:hAnsi="Arial" w:cs="Arial"/>
        </w:rPr>
        <w:t>Implement Robust ESG Reporting:</w:t>
      </w:r>
      <w:r>
        <w:rPr>
          <w:rFonts w:ascii="Arial" w:hAnsi="Arial" w:cs="Arial"/>
        </w:rPr>
        <w:t xml:space="preserve"> Open reporting establishes credibility in the hands of the investors and accountability.</w:t>
      </w:r>
    </w:p>
    <w:p w14:paraId="11C5B6E8" w14:textId="77777777" w:rsidR="00BA6D4C" w:rsidRDefault="00CE0412">
      <w:pPr>
        <w:pStyle w:val="NormalWeb"/>
        <w:numPr>
          <w:ilvl w:val="0"/>
          <w:numId w:val="24"/>
        </w:numPr>
        <w:spacing w:line="360" w:lineRule="auto"/>
        <w:jc w:val="both"/>
        <w:rPr>
          <w:rFonts w:ascii="Arial" w:hAnsi="Arial" w:cs="Arial"/>
        </w:rPr>
      </w:pPr>
      <w:r>
        <w:rPr>
          <w:rFonts w:ascii="Arial" w:hAnsi="Arial" w:cs="Arial"/>
          <w:b/>
          <w:bCs/>
        </w:rPr>
        <w:t>Make sure that Supplier Adheres to Labour Standards</w:t>
      </w:r>
      <w:r>
        <w:rPr>
          <w:rFonts w:ascii="Arial" w:hAnsi="Arial" w:cs="Arial"/>
        </w:rPr>
        <w:t>: Implement ethical sourcing and responsible supply chain management.</w:t>
      </w:r>
    </w:p>
    <w:p w14:paraId="69069D2C" w14:textId="77777777" w:rsidR="00BA6D4C" w:rsidRDefault="00CE0412">
      <w:pPr>
        <w:pStyle w:val="NormalWeb"/>
        <w:numPr>
          <w:ilvl w:val="0"/>
          <w:numId w:val="24"/>
        </w:numPr>
        <w:spacing w:line="360" w:lineRule="auto"/>
        <w:jc w:val="both"/>
        <w:rPr>
          <w:rFonts w:ascii="Arial" w:hAnsi="Arial" w:cs="Arial"/>
        </w:rPr>
      </w:pPr>
      <w:r>
        <w:rPr>
          <w:rFonts w:ascii="Arial" w:hAnsi="Arial" w:cs="Arial"/>
          <w:b/>
          <w:bCs/>
        </w:rPr>
        <w:t>Minimise E-Waste by way of Recycling Programs</w:t>
      </w:r>
      <w:r>
        <w:rPr>
          <w:rFonts w:ascii="Arial" w:hAnsi="Arial" w:cs="Arial"/>
        </w:rPr>
        <w:t>: Sustainable disposal/ Recycling minimises environmental impact and regulatory risk.</w:t>
      </w:r>
    </w:p>
    <w:p w14:paraId="3DC89858" w14:textId="77777777" w:rsidR="00BA6D4C" w:rsidRDefault="00CE0412">
      <w:pPr>
        <w:pStyle w:val="NormalWeb"/>
        <w:numPr>
          <w:ilvl w:val="0"/>
          <w:numId w:val="24"/>
        </w:numPr>
        <w:spacing w:line="360" w:lineRule="auto"/>
        <w:jc w:val="both"/>
        <w:rPr>
          <w:rFonts w:ascii="Arial" w:hAnsi="Arial" w:cs="Arial"/>
        </w:rPr>
      </w:pPr>
      <w:r>
        <w:rPr>
          <w:rFonts w:ascii="Arial" w:hAnsi="Arial" w:cs="Arial"/>
          <w:b/>
          <w:bCs/>
        </w:rPr>
        <w:lastRenderedPageBreak/>
        <w:t>Enhance Diversity in Leadership</w:t>
      </w:r>
      <w:r>
        <w:rPr>
          <w:rFonts w:ascii="Arial" w:hAnsi="Arial" w:cs="Arial"/>
        </w:rPr>
        <w:t>: Discovery: Multicultural management team improves decision-making and innovation.</w:t>
      </w:r>
    </w:p>
    <w:p w14:paraId="53894F5E" w14:textId="77777777" w:rsidR="00BA6D4C" w:rsidRDefault="00CE0412">
      <w:pPr>
        <w:pStyle w:val="NormalWeb"/>
        <w:numPr>
          <w:ilvl w:val="0"/>
          <w:numId w:val="24"/>
        </w:numPr>
        <w:spacing w:line="360" w:lineRule="auto"/>
        <w:jc w:val="both"/>
        <w:rPr>
          <w:rFonts w:ascii="Arial" w:hAnsi="Arial" w:cs="Arial"/>
        </w:rPr>
      </w:pPr>
      <w:r>
        <w:rPr>
          <w:rFonts w:ascii="Arial" w:hAnsi="Arial" w:cs="Arial"/>
          <w:b/>
          <w:bCs/>
        </w:rPr>
        <w:t>Improve Transparency with investors</w:t>
      </w:r>
      <w:r>
        <w:rPr>
          <w:rFonts w:ascii="Arial" w:hAnsi="Arial" w:cs="Arial"/>
        </w:rPr>
        <w:t>: It is advisable to facilitate credibility and confidence in investors by being open and transparent regarding the progress of restructuring.</w:t>
      </w:r>
    </w:p>
    <w:p w14:paraId="55B6BC76" w14:textId="77777777" w:rsidR="00BA6D4C" w:rsidRDefault="00CE0412">
      <w:pPr>
        <w:pStyle w:val="NormalWeb"/>
        <w:spacing w:line="360" w:lineRule="auto"/>
        <w:jc w:val="both"/>
        <w:rPr>
          <w:rFonts w:ascii="Arial" w:hAnsi="Arial" w:cs="Arial"/>
        </w:rPr>
      </w:pPr>
      <w:r>
        <w:rPr>
          <w:rFonts w:ascii="Arial" w:hAnsi="Arial" w:cs="Arial"/>
        </w:rPr>
        <w:t>Integrating ethical values in the restructuring of financial operations reduce the reputational risks, draws socially responsible investors, and strengthens the values of responsible corporate conduct of GE. Good governance will offer strict implementation of the turnaround plan and compatibility with the best practices around the world.</w:t>
      </w:r>
    </w:p>
    <w:p w14:paraId="5E68E99C" w14:textId="77777777" w:rsidR="00BA6D4C" w:rsidRDefault="00CE0412">
      <w:pPr>
        <w:spacing w:before="100" w:beforeAutospacing="1" w:after="100" w:afterAutospacing="1" w:line="360" w:lineRule="auto"/>
        <w:jc w:val="both"/>
        <w:outlineLvl w:val="0"/>
        <w:rPr>
          <w:rFonts w:ascii="Arial" w:eastAsia="Times New Roman" w:hAnsi="Arial"/>
          <w:b/>
          <w:bCs/>
          <w:kern w:val="36"/>
          <w:sz w:val="24"/>
          <w:szCs w:val="24"/>
        </w:rPr>
      </w:pPr>
      <w:bookmarkStart w:id="8" w:name="_Toc214316813"/>
      <w:r>
        <w:rPr>
          <w:rFonts w:ascii="Arial" w:eastAsia="Times New Roman" w:hAnsi="Arial"/>
          <w:b/>
          <w:bCs/>
          <w:kern w:val="36"/>
          <w:sz w:val="24"/>
          <w:szCs w:val="24"/>
        </w:rPr>
        <w:t>5. INVESTMENT APPRAISAL &amp; CAPITAL BUDGETING</w:t>
      </w:r>
      <w:bookmarkEnd w:id="8"/>
    </w:p>
    <w:p w14:paraId="79D6F157"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General electronics (GE) is critically struggling with dire financial condition, and sustained losses, deteriorating liquidity and solidarity. The Board in turn has realized the strategic necessity of investing in some projects that can support long term profitability, revenue stream diversification, and supplement the current turnaround plan. Because of capital constraint, the company has thrown a capped outlook of the money that it will spend on different investment opportunities, which will be evaluated keenly according to what would be proposed under the capital rationing scenario of not more than 60 million. In this section, a detailed analysis of three suggested capital projects: Project A, Project B and Project C has been done in the form of a quantitative investment appraisal of the project using a mixture of the quantitative investment appraisal methods that include Payback Period (PBP) and Accounting rate of Return (ARR), Net Present Value (NPV), Profitability Index (PI) and Internal rate of Return (IRR). All the metrics are reviewed separately, with a particular focus on the strategic alignment to objectives of the restructuring of GE.</w:t>
      </w:r>
    </w:p>
    <w:p w14:paraId="45F5977B"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Cash Flows and Assumptions on the Project.</w:t>
      </w:r>
    </w:p>
    <w:p w14:paraId="79C133B4"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three projects suggested here have been structured to bring diversity in the operations of GE and could probably bring huge cash flows within a span of five years. Table 5.1 provides the summary of the project cash outflows forecasted in each project, alongside the initial capital requirements:</w:t>
      </w:r>
    </w:p>
    <w:tbl>
      <w:tblPr>
        <w:tblStyle w:val="TableGrid"/>
        <w:tblW w:w="9213" w:type="dxa"/>
        <w:tblLook w:val="04A0" w:firstRow="1" w:lastRow="0" w:firstColumn="1" w:lastColumn="0" w:noHBand="0" w:noVBand="1"/>
      </w:tblPr>
      <w:tblGrid>
        <w:gridCol w:w="1120"/>
        <w:gridCol w:w="2993"/>
        <w:gridCol w:w="1020"/>
        <w:gridCol w:w="1020"/>
        <w:gridCol w:w="1020"/>
        <w:gridCol w:w="1020"/>
        <w:gridCol w:w="1020"/>
      </w:tblGrid>
      <w:tr w:rsidR="00BA6D4C" w14:paraId="002F4A6F" w14:textId="77777777">
        <w:trPr>
          <w:trHeight w:val="382"/>
        </w:trPr>
        <w:tc>
          <w:tcPr>
            <w:tcW w:w="0" w:type="auto"/>
            <w:hideMark/>
          </w:tcPr>
          <w:p w14:paraId="03E9816C"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lastRenderedPageBreak/>
              <w:t>Project</w:t>
            </w:r>
          </w:p>
        </w:tc>
        <w:tc>
          <w:tcPr>
            <w:tcW w:w="0" w:type="auto"/>
            <w:hideMark/>
          </w:tcPr>
          <w:p w14:paraId="3016B79F"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Initial Investment (£m)</w:t>
            </w:r>
          </w:p>
        </w:tc>
        <w:tc>
          <w:tcPr>
            <w:tcW w:w="0" w:type="auto"/>
            <w:hideMark/>
          </w:tcPr>
          <w:p w14:paraId="728F08C1"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Year 1</w:t>
            </w:r>
          </w:p>
        </w:tc>
        <w:tc>
          <w:tcPr>
            <w:tcW w:w="0" w:type="auto"/>
            <w:hideMark/>
          </w:tcPr>
          <w:p w14:paraId="744FC494"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Year 2</w:t>
            </w:r>
          </w:p>
        </w:tc>
        <w:tc>
          <w:tcPr>
            <w:tcW w:w="0" w:type="auto"/>
            <w:hideMark/>
          </w:tcPr>
          <w:p w14:paraId="33355455"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Year 3</w:t>
            </w:r>
          </w:p>
        </w:tc>
        <w:tc>
          <w:tcPr>
            <w:tcW w:w="0" w:type="auto"/>
            <w:hideMark/>
          </w:tcPr>
          <w:p w14:paraId="1FF11061"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Year 4</w:t>
            </w:r>
          </w:p>
        </w:tc>
        <w:tc>
          <w:tcPr>
            <w:tcW w:w="0" w:type="auto"/>
            <w:hideMark/>
          </w:tcPr>
          <w:p w14:paraId="7E0E285C"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Year 5</w:t>
            </w:r>
          </w:p>
        </w:tc>
      </w:tr>
      <w:tr w:rsidR="00BA6D4C" w14:paraId="2E3D8829" w14:textId="77777777">
        <w:trPr>
          <w:trHeight w:val="382"/>
        </w:trPr>
        <w:tc>
          <w:tcPr>
            <w:tcW w:w="0" w:type="auto"/>
            <w:hideMark/>
          </w:tcPr>
          <w:p w14:paraId="3147454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A</w:t>
            </w:r>
          </w:p>
        </w:tc>
        <w:tc>
          <w:tcPr>
            <w:tcW w:w="0" w:type="auto"/>
            <w:hideMark/>
          </w:tcPr>
          <w:p w14:paraId="1639EDDF"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40</w:t>
            </w:r>
          </w:p>
        </w:tc>
        <w:tc>
          <w:tcPr>
            <w:tcW w:w="0" w:type="auto"/>
            <w:hideMark/>
          </w:tcPr>
          <w:p w14:paraId="4767388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w:t>
            </w:r>
          </w:p>
        </w:tc>
        <w:tc>
          <w:tcPr>
            <w:tcW w:w="0" w:type="auto"/>
            <w:hideMark/>
          </w:tcPr>
          <w:p w14:paraId="5DF0C645"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12</w:t>
            </w:r>
          </w:p>
        </w:tc>
        <w:tc>
          <w:tcPr>
            <w:tcW w:w="0" w:type="auto"/>
            <w:hideMark/>
          </w:tcPr>
          <w:p w14:paraId="78F3317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14</w:t>
            </w:r>
          </w:p>
        </w:tc>
        <w:tc>
          <w:tcPr>
            <w:tcW w:w="0" w:type="auto"/>
            <w:hideMark/>
          </w:tcPr>
          <w:p w14:paraId="24BE5BE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w:t>
            </w:r>
          </w:p>
        </w:tc>
        <w:tc>
          <w:tcPr>
            <w:tcW w:w="0" w:type="auto"/>
            <w:hideMark/>
          </w:tcPr>
          <w:p w14:paraId="35D7AE1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8</w:t>
            </w:r>
          </w:p>
        </w:tc>
      </w:tr>
      <w:tr w:rsidR="00BA6D4C" w14:paraId="064839E4" w14:textId="77777777">
        <w:trPr>
          <w:trHeight w:val="382"/>
        </w:trPr>
        <w:tc>
          <w:tcPr>
            <w:tcW w:w="0" w:type="auto"/>
            <w:hideMark/>
          </w:tcPr>
          <w:p w14:paraId="099D5966"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B</w:t>
            </w:r>
          </w:p>
        </w:tc>
        <w:tc>
          <w:tcPr>
            <w:tcW w:w="0" w:type="auto"/>
            <w:hideMark/>
          </w:tcPr>
          <w:p w14:paraId="747B62F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30</w:t>
            </w:r>
          </w:p>
        </w:tc>
        <w:tc>
          <w:tcPr>
            <w:tcW w:w="0" w:type="auto"/>
            <w:hideMark/>
          </w:tcPr>
          <w:p w14:paraId="3C9161F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w:t>
            </w:r>
          </w:p>
        </w:tc>
        <w:tc>
          <w:tcPr>
            <w:tcW w:w="0" w:type="auto"/>
            <w:hideMark/>
          </w:tcPr>
          <w:p w14:paraId="3067594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w:t>
            </w:r>
          </w:p>
        </w:tc>
        <w:tc>
          <w:tcPr>
            <w:tcW w:w="0" w:type="auto"/>
            <w:hideMark/>
          </w:tcPr>
          <w:p w14:paraId="07D7F26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w:t>
            </w:r>
          </w:p>
        </w:tc>
        <w:tc>
          <w:tcPr>
            <w:tcW w:w="0" w:type="auto"/>
            <w:hideMark/>
          </w:tcPr>
          <w:p w14:paraId="027A059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w:t>
            </w:r>
          </w:p>
        </w:tc>
        <w:tc>
          <w:tcPr>
            <w:tcW w:w="0" w:type="auto"/>
            <w:hideMark/>
          </w:tcPr>
          <w:p w14:paraId="1E35855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6</w:t>
            </w:r>
          </w:p>
        </w:tc>
      </w:tr>
      <w:tr w:rsidR="00BA6D4C" w14:paraId="764993A5" w14:textId="77777777">
        <w:trPr>
          <w:trHeight w:val="413"/>
        </w:trPr>
        <w:tc>
          <w:tcPr>
            <w:tcW w:w="0" w:type="auto"/>
            <w:hideMark/>
          </w:tcPr>
          <w:p w14:paraId="1BE1928F"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w:t>
            </w:r>
          </w:p>
        </w:tc>
        <w:tc>
          <w:tcPr>
            <w:tcW w:w="0" w:type="auto"/>
            <w:hideMark/>
          </w:tcPr>
          <w:p w14:paraId="37C02A4D"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50</w:t>
            </w:r>
          </w:p>
        </w:tc>
        <w:tc>
          <w:tcPr>
            <w:tcW w:w="0" w:type="auto"/>
            <w:hideMark/>
          </w:tcPr>
          <w:p w14:paraId="6223A835"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5</w:t>
            </w:r>
          </w:p>
        </w:tc>
        <w:tc>
          <w:tcPr>
            <w:tcW w:w="0" w:type="auto"/>
            <w:hideMark/>
          </w:tcPr>
          <w:p w14:paraId="0CF8EA1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10</w:t>
            </w:r>
          </w:p>
        </w:tc>
        <w:tc>
          <w:tcPr>
            <w:tcW w:w="0" w:type="auto"/>
            <w:hideMark/>
          </w:tcPr>
          <w:p w14:paraId="443989B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w:t>
            </w:r>
          </w:p>
        </w:tc>
        <w:tc>
          <w:tcPr>
            <w:tcW w:w="0" w:type="auto"/>
            <w:hideMark/>
          </w:tcPr>
          <w:p w14:paraId="6E63FF26"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25</w:t>
            </w:r>
          </w:p>
        </w:tc>
        <w:tc>
          <w:tcPr>
            <w:tcW w:w="0" w:type="auto"/>
            <w:hideMark/>
          </w:tcPr>
          <w:p w14:paraId="0D40495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15</w:t>
            </w:r>
          </w:p>
        </w:tc>
      </w:tr>
    </w:tbl>
    <w:p w14:paraId="7FB21E5E"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Assumptions:</w:t>
      </w:r>
    </w:p>
    <w:p w14:paraId="6F43FF0C" w14:textId="77777777" w:rsidR="00BA6D4C" w:rsidRDefault="00CE0412">
      <w:pPr>
        <w:numPr>
          <w:ilvl w:val="0"/>
          <w:numId w:val="25"/>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independent today and mutually exclusive concept of the budget selection relates to all projects.</w:t>
      </w:r>
    </w:p>
    <w:p w14:paraId="1E9C55CA" w14:textId="77777777" w:rsidR="00BA6D4C" w:rsidRDefault="00CE0412">
      <w:pPr>
        <w:numPr>
          <w:ilvl w:val="0"/>
          <w:numId w:val="25"/>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NPV and IRR discount rate are assumed to be 10% as this is the cost of capital of the firm and the risk associated with the market at the current point.</w:t>
      </w:r>
    </w:p>
    <w:p w14:paraId="6E93E58B" w14:textId="77777777" w:rsidR="00BA6D4C" w:rsidRDefault="00CE0412">
      <w:pPr>
        <w:numPr>
          <w:ilvl w:val="0"/>
          <w:numId w:val="25"/>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Cash inflows are net operating cash flows with finding costs but without operational costs and taxes.</w:t>
      </w:r>
    </w:p>
    <w:p w14:paraId="3ADA0A6B" w14:textId="77777777" w:rsidR="00BA6D4C" w:rsidRDefault="00CE0412">
      <w:pPr>
        <w:numPr>
          <w:ilvl w:val="0"/>
          <w:numId w:val="25"/>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projected cash inflows are assumed to contain the effects of inflation.</w:t>
      </w:r>
    </w:p>
    <w:p w14:paraId="59CE8DB3"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9" w:name="_Toc214316815"/>
      <w:r>
        <w:rPr>
          <w:rFonts w:ascii="Arial" w:eastAsia="Times New Roman" w:hAnsi="Arial"/>
          <w:b/>
          <w:bCs/>
          <w:sz w:val="24"/>
          <w:szCs w:val="24"/>
        </w:rPr>
        <w:t>5.1 Payback Period (PBP)</w:t>
      </w:r>
      <w:bookmarkEnd w:id="9"/>
    </w:p>
    <w:p w14:paraId="641EFC45"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Payback Period is calculated by taking the time period of recovering the initial investment of a project based on the cumulative cash inflows of the project. It is a mere liquidity-oriented approach that is usually applied to troubled companies to determine the speed at which capital can be recovered.</w:t>
      </w:r>
    </w:p>
    <w:p w14:paraId="13C0C0A8"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Calculations:</w:t>
      </w:r>
    </w:p>
    <w:p w14:paraId="64AB9B7C" w14:textId="77777777" w:rsidR="00BA6D4C" w:rsidRDefault="00CE0412">
      <w:pPr>
        <w:numPr>
          <w:ilvl w:val="0"/>
          <w:numId w:val="26"/>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A:</w:t>
      </w:r>
    </w:p>
    <w:p w14:paraId="2678D591" w14:textId="77777777" w:rsidR="00BA6D4C" w:rsidRDefault="00CE0412">
      <w:pPr>
        <w:spacing w:before="100" w:beforeAutospacing="1" w:after="100" w:afterAutospacing="1" w:line="360" w:lineRule="auto"/>
        <w:ind w:left="360"/>
        <w:jc w:val="both"/>
        <w:rPr>
          <w:rFonts w:ascii="Arial" w:eastAsia="Times New Roman" w:hAnsi="Arial"/>
          <w:sz w:val="24"/>
          <w:szCs w:val="24"/>
        </w:rPr>
      </w:pPr>
      <w:r>
        <w:rPr>
          <w:rFonts w:ascii="Arial" w:eastAsia="Times New Roman" w:hAnsi="Arial"/>
          <w:sz w:val="24"/>
          <w:szCs w:val="24"/>
        </w:rPr>
        <w:t>Cumulative inflows: Year 1 =10, Year 2 =22 (10 + 12), Year 3= 36 (10 + 12 + 14), Year 4= 46. The break even point is Year 4 since the initial capital is 40m. The Payback Period is 3.33 years using linear interpolation.</w:t>
      </w:r>
    </w:p>
    <w:p w14:paraId="04A5D646" w14:textId="77777777" w:rsidR="00BA6D4C" w:rsidRDefault="00CE0412">
      <w:pPr>
        <w:spacing w:before="100" w:beforeAutospacing="1" w:after="100" w:afterAutospacing="1" w:line="360" w:lineRule="auto"/>
        <w:ind w:left="360"/>
        <w:jc w:val="both"/>
        <w:rPr>
          <w:rFonts w:ascii="Arial" w:eastAsia="Times New Roman" w:hAnsi="Arial"/>
          <w:b/>
          <w:bCs/>
          <w:sz w:val="24"/>
          <w:szCs w:val="24"/>
        </w:rPr>
      </w:pPr>
      <w:r>
        <w:rPr>
          <w:rFonts w:ascii="Arial" w:eastAsia="Times New Roman" w:hAnsi="Arial"/>
          <w:b/>
          <w:bCs/>
          <w:sz w:val="24"/>
          <w:szCs w:val="24"/>
        </w:rPr>
        <w:t>Project B:</w:t>
      </w:r>
    </w:p>
    <w:p w14:paraId="6919F08D" w14:textId="77777777" w:rsidR="00BA6D4C" w:rsidRDefault="00CE0412">
      <w:pPr>
        <w:spacing w:before="100" w:beforeAutospacing="1" w:after="100" w:afterAutospacing="1" w:line="360" w:lineRule="auto"/>
        <w:ind w:left="360"/>
        <w:jc w:val="both"/>
        <w:rPr>
          <w:rFonts w:ascii="Arial" w:eastAsia="Times New Roman" w:hAnsi="Arial"/>
          <w:sz w:val="24"/>
          <w:szCs w:val="24"/>
        </w:rPr>
      </w:pPr>
      <w:r>
        <w:rPr>
          <w:rFonts w:ascii="Arial" w:eastAsia="Times New Roman" w:hAnsi="Arial"/>
          <w:sz w:val="24"/>
          <w:szCs w:val="24"/>
        </w:rPr>
        <w:t>At a constant inflow of £6m per annum, the initial investment of 30m would be recovered within a period of just 5 years.</w:t>
      </w:r>
    </w:p>
    <w:p w14:paraId="232E491C" w14:textId="77777777" w:rsidR="00BA6D4C" w:rsidRDefault="00CE0412">
      <w:pPr>
        <w:spacing w:before="100" w:beforeAutospacing="1" w:after="100" w:afterAutospacing="1" w:line="360" w:lineRule="auto"/>
        <w:ind w:left="360"/>
        <w:jc w:val="both"/>
        <w:rPr>
          <w:rFonts w:ascii="Arial" w:eastAsia="Times New Roman" w:hAnsi="Arial"/>
          <w:b/>
          <w:bCs/>
          <w:sz w:val="24"/>
          <w:szCs w:val="24"/>
        </w:rPr>
      </w:pPr>
      <w:r>
        <w:rPr>
          <w:rFonts w:ascii="Arial" w:eastAsia="Times New Roman" w:hAnsi="Arial"/>
          <w:b/>
          <w:bCs/>
          <w:sz w:val="24"/>
          <w:szCs w:val="24"/>
        </w:rPr>
        <w:lastRenderedPageBreak/>
        <w:t>Project C:</w:t>
      </w:r>
    </w:p>
    <w:p w14:paraId="41B782A0" w14:textId="77777777" w:rsidR="00BA6D4C" w:rsidRDefault="00CE0412">
      <w:pPr>
        <w:spacing w:before="100" w:beforeAutospacing="1" w:after="100" w:afterAutospacing="1" w:line="360" w:lineRule="auto"/>
        <w:ind w:left="360"/>
        <w:jc w:val="both"/>
        <w:rPr>
          <w:rFonts w:ascii="Arial" w:eastAsia="Times New Roman" w:hAnsi="Arial"/>
          <w:sz w:val="24"/>
          <w:szCs w:val="24"/>
        </w:rPr>
      </w:pPr>
      <w:r>
        <w:rPr>
          <w:rFonts w:ascii="Arial" w:eastAsia="Times New Roman" w:hAnsi="Arial"/>
          <w:sz w:val="24"/>
          <w:szCs w:val="24"/>
        </w:rPr>
        <w:t>Cumulative inflows: Year 1 = 5, Year 2 = 15, Year 3 =35, Year 4 = 60. The initial capital of 50m is reimbursed in year 4 hence making a Payback Period of 3.6 years.</w:t>
      </w:r>
    </w:p>
    <w:p w14:paraId="381B0A98"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Interpretation and Ranking:</w:t>
      </w:r>
    </w:p>
    <w:tbl>
      <w:tblPr>
        <w:tblStyle w:val="TableGrid"/>
        <w:tblW w:w="8660" w:type="dxa"/>
        <w:tblLook w:val="04A0" w:firstRow="1" w:lastRow="0" w:firstColumn="1" w:lastColumn="0" w:noHBand="0" w:noVBand="1"/>
      </w:tblPr>
      <w:tblGrid>
        <w:gridCol w:w="2358"/>
        <w:gridCol w:w="3640"/>
        <w:gridCol w:w="2662"/>
      </w:tblGrid>
      <w:tr w:rsidR="00BA6D4C" w14:paraId="09234637" w14:textId="77777777">
        <w:trPr>
          <w:trHeight w:val="320"/>
        </w:trPr>
        <w:tc>
          <w:tcPr>
            <w:tcW w:w="0" w:type="auto"/>
            <w:hideMark/>
          </w:tcPr>
          <w:p w14:paraId="0072343A"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Project</w:t>
            </w:r>
          </w:p>
        </w:tc>
        <w:tc>
          <w:tcPr>
            <w:tcW w:w="0" w:type="auto"/>
            <w:hideMark/>
          </w:tcPr>
          <w:p w14:paraId="384A41BA"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PBP (Years)</w:t>
            </w:r>
          </w:p>
        </w:tc>
        <w:tc>
          <w:tcPr>
            <w:tcW w:w="0" w:type="auto"/>
            <w:hideMark/>
          </w:tcPr>
          <w:p w14:paraId="13C8604E"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Ranking</w:t>
            </w:r>
          </w:p>
        </w:tc>
      </w:tr>
      <w:tr w:rsidR="00BA6D4C" w14:paraId="7C824751" w14:textId="77777777">
        <w:trPr>
          <w:trHeight w:val="333"/>
        </w:trPr>
        <w:tc>
          <w:tcPr>
            <w:tcW w:w="0" w:type="auto"/>
            <w:hideMark/>
          </w:tcPr>
          <w:p w14:paraId="2949501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A</w:t>
            </w:r>
          </w:p>
        </w:tc>
        <w:tc>
          <w:tcPr>
            <w:tcW w:w="0" w:type="auto"/>
            <w:hideMark/>
          </w:tcPr>
          <w:p w14:paraId="7C9297AF"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3.33</w:t>
            </w:r>
          </w:p>
        </w:tc>
        <w:tc>
          <w:tcPr>
            <w:tcW w:w="0" w:type="auto"/>
            <w:hideMark/>
          </w:tcPr>
          <w:p w14:paraId="1ED2152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w:t>
            </w:r>
          </w:p>
        </w:tc>
      </w:tr>
      <w:tr w:rsidR="00BA6D4C" w14:paraId="19E9778D" w14:textId="77777777">
        <w:trPr>
          <w:trHeight w:val="320"/>
        </w:trPr>
        <w:tc>
          <w:tcPr>
            <w:tcW w:w="0" w:type="auto"/>
            <w:hideMark/>
          </w:tcPr>
          <w:p w14:paraId="2CF6D993"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w:t>
            </w:r>
          </w:p>
        </w:tc>
        <w:tc>
          <w:tcPr>
            <w:tcW w:w="0" w:type="auto"/>
            <w:hideMark/>
          </w:tcPr>
          <w:p w14:paraId="1505ACA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3.6</w:t>
            </w:r>
          </w:p>
        </w:tc>
        <w:tc>
          <w:tcPr>
            <w:tcW w:w="0" w:type="auto"/>
            <w:hideMark/>
          </w:tcPr>
          <w:p w14:paraId="15BD4AC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w:t>
            </w:r>
          </w:p>
        </w:tc>
      </w:tr>
      <w:tr w:rsidR="00BA6D4C" w14:paraId="694A20AD" w14:textId="77777777">
        <w:trPr>
          <w:trHeight w:val="333"/>
        </w:trPr>
        <w:tc>
          <w:tcPr>
            <w:tcW w:w="0" w:type="auto"/>
            <w:hideMark/>
          </w:tcPr>
          <w:p w14:paraId="2C9C20D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B</w:t>
            </w:r>
          </w:p>
        </w:tc>
        <w:tc>
          <w:tcPr>
            <w:tcW w:w="0" w:type="auto"/>
            <w:hideMark/>
          </w:tcPr>
          <w:p w14:paraId="7CA55A15"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5</w:t>
            </w:r>
          </w:p>
        </w:tc>
        <w:tc>
          <w:tcPr>
            <w:tcW w:w="0" w:type="auto"/>
            <w:hideMark/>
          </w:tcPr>
          <w:p w14:paraId="6E7DC06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w:t>
            </w:r>
          </w:p>
        </w:tc>
      </w:tr>
    </w:tbl>
    <w:p w14:paraId="5BD48C26"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Payback Period analysis reveals that Project A is the quickest to recoup money invested, and this is a very important factor to consider in GE considering that it has liquidity limitations. Nevertheless, PBP fails to capture cash flows that occur beyond the recovery period or the time value of money and thus it cannot be used alone as an investment criterion.</w:t>
      </w:r>
    </w:p>
    <w:p w14:paraId="04117EF3"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5.2 Accounting rate of Return (ARR).</w:t>
      </w:r>
    </w:p>
    <w:p w14:paraId="2E3FEE65"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Accounting rate of Return is used to analyze how much the accounting profit is made on average per year, compared to the investment. It encompasses profitability as opposed to paying attention to liquidity only.</w:t>
      </w:r>
    </w:p>
    <w:p w14:paraId="65A9626B"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Calculations:</w:t>
      </w:r>
    </w:p>
    <w:p w14:paraId="2E3198E2" w14:textId="77777777" w:rsidR="00BA6D4C" w:rsidRDefault="00CE0412">
      <w:pPr>
        <w:numPr>
          <w:ilvl w:val="0"/>
          <w:numId w:val="27"/>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A:</w:t>
      </w:r>
    </w:p>
    <w:p w14:paraId="3FC2F32A"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Average annual inflow = (10 + 12 + 14 + 10 + 8)/5 = 10.8</w:t>
      </w:r>
      <w:r>
        <w:rPr>
          <w:rFonts w:ascii="Arial" w:eastAsia="Times New Roman" w:hAnsi="Arial"/>
          <w:sz w:val="24"/>
          <w:szCs w:val="24"/>
        </w:rPr>
        <w:br/>
        <w:t xml:space="preserve">ARR = 10.8 / 40 × 100 = </w:t>
      </w:r>
      <w:r>
        <w:rPr>
          <w:rFonts w:ascii="Arial" w:eastAsia="Times New Roman" w:hAnsi="Arial"/>
          <w:b/>
          <w:bCs/>
          <w:sz w:val="24"/>
          <w:szCs w:val="24"/>
        </w:rPr>
        <w:t>27%</w:t>
      </w:r>
    </w:p>
    <w:p w14:paraId="34F75CAA" w14:textId="77777777" w:rsidR="00BA6D4C" w:rsidRDefault="00CE0412">
      <w:pPr>
        <w:numPr>
          <w:ilvl w:val="0"/>
          <w:numId w:val="27"/>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B:</w:t>
      </w:r>
    </w:p>
    <w:p w14:paraId="10AAA766"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Average annual inflow = 6</w:t>
      </w:r>
      <w:r>
        <w:rPr>
          <w:rFonts w:ascii="Arial" w:eastAsia="Times New Roman" w:hAnsi="Arial"/>
          <w:sz w:val="24"/>
          <w:szCs w:val="24"/>
        </w:rPr>
        <w:br/>
        <w:t xml:space="preserve">ARR = 6 / 30 × 100 = </w:t>
      </w:r>
      <w:r>
        <w:rPr>
          <w:rFonts w:ascii="Arial" w:eastAsia="Times New Roman" w:hAnsi="Arial"/>
          <w:b/>
          <w:bCs/>
          <w:sz w:val="24"/>
          <w:szCs w:val="24"/>
        </w:rPr>
        <w:t>20%</w:t>
      </w:r>
    </w:p>
    <w:p w14:paraId="7DE4AC06" w14:textId="77777777" w:rsidR="00BA6D4C" w:rsidRDefault="00CE0412">
      <w:pPr>
        <w:numPr>
          <w:ilvl w:val="0"/>
          <w:numId w:val="27"/>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lastRenderedPageBreak/>
        <w:t>Project C:</w:t>
      </w:r>
    </w:p>
    <w:p w14:paraId="48A85651"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Average annual inflow = (5 + 10 + 20 + 25 + 15)/5 = 15</w:t>
      </w:r>
      <w:r>
        <w:rPr>
          <w:rFonts w:ascii="Arial" w:eastAsia="Times New Roman" w:hAnsi="Arial"/>
          <w:sz w:val="24"/>
          <w:szCs w:val="24"/>
        </w:rPr>
        <w:br/>
        <w:t xml:space="preserve">ARR = 15 / 50 × 100 = </w:t>
      </w:r>
      <w:r>
        <w:rPr>
          <w:rFonts w:ascii="Arial" w:eastAsia="Times New Roman" w:hAnsi="Arial"/>
          <w:b/>
          <w:bCs/>
          <w:sz w:val="24"/>
          <w:szCs w:val="24"/>
        </w:rPr>
        <w:t>30%</w:t>
      </w:r>
    </w:p>
    <w:p w14:paraId="7D04503E"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Interpretation and Ranking:</w:t>
      </w:r>
    </w:p>
    <w:tbl>
      <w:tblPr>
        <w:tblStyle w:val="TableGrid"/>
        <w:tblW w:w="8869" w:type="dxa"/>
        <w:tblLook w:val="04A0" w:firstRow="1" w:lastRow="0" w:firstColumn="1" w:lastColumn="0" w:noHBand="0" w:noVBand="1"/>
      </w:tblPr>
      <w:tblGrid>
        <w:gridCol w:w="2711"/>
        <w:gridCol w:w="3096"/>
        <w:gridCol w:w="3062"/>
      </w:tblGrid>
      <w:tr w:rsidR="00BA6D4C" w14:paraId="6B997050" w14:textId="77777777">
        <w:trPr>
          <w:trHeight w:val="304"/>
        </w:trPr>
        <w:tc>
          <w:tcPr>
            <w:tcW w:w="0" w:type="auto"/>
            <w:hideMark/>
          </w:tcPr>
          <w:p w14:paraId="29874D2A"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Project</w:t>
            </w:r>
          </w:p>
        </w:tc>
        <w:tc>
          <w:tcPr>
            <w:tcW w:w="0" w:type="auto"/>
            <w:hideMark/>
          </w:tcPr>
          <w:p w14:paraId="46A81ACD"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ARR (%)</w:t>
            </w:r>
          </w:p>
        </w:tc>
        <w:tc>
          <w:tcPr>
            <w:tcW w:w="0" w:type="auto"/>
            <w:hideMark/>
          </w:tcPr>
          <w:p w14:paraId="3A18FC72"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Ranking</w:t>
            </w:r>
          </w:p>
        </w:tc>
      </w:tr>
      <w:tr w:rsidR="00BA6D4C" w14:paraId="122121D7" w14:textId="77777777">
        <w:trPr>
          <w:trHeight w:val="316"/>
        </w:trPr>
        <w:tc>
          <w:tcPr>
            <w:tcW w:w="0" w:type="auto"/>
            <w:hideMark/>
          </w:tcPr>
          <w:p w14:paraId="7876912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w:t>
            </w:r>
          </w:p>
        </w:tc>
        <w:tc>
          <w:tcPr>
            <w:tcW w:w="0" w:type="auto"/>
            <w:hideMark/>
          </w:tcPr>
          <w:p w14:paraId="77ABEBDE"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30</w:t>
            </w:r>
          </w:p>
        </w:tc>
        <w:tc>
          <w:tcPr>
            <w:tcW w:w="0" w:type="auto"/>
            <w:hideMark/>
          </w:tcPr>
          <w:p w14:paraId="1984AE58"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w:t>
            </w:r>
          </w:p>
        </w:tc>
      </w:tr>
      <w:tr w:rsidR="00BA6D4C" w14:paraId="3C352C19" w14:textId="77777777">
        <w:trPr>
          <w:trHeight w:val="304"/>
        </w:trPr>
        <w:tc>
          <w:tcPr>
            <w:tcW w:w="0" w:type="auto"/>
            <w:hideMark/>
          </w:tcPr>
          <w:p w14:paraId="1C1BED9B"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A</w:t>
            </w:r>
          </w:p>
        </w:tc>
        <w:tc>
          <w:tcPr>
            <w:tcW w:w="0" w:type="auto"/>
            <w:hideMark/>
          </w:tcPr>
          <w:p w14:paraId="7677052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27</w:t>
            </w:r>
          </w:p>
        </w:tc>
        <w:tc>
          <w:tcPr>
            <w:tcW w:w="0" w:type="auto"/>
            <w:hideMark/>
          </w:tcPr>
          <w:p w14:paraId="4F0CE18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w:t>
            </w:r>
          </w:p>
        </w:tc>
      </w:tr>
      <w:tr w:rsidR="00BA6D4C" w14:paraId="119A7E7B" w14:textId="77777777">
        <w:trPr>
          <w:trHeight w:val="316"/>
        </w:trPr>
        <w:tc>
          <w:tcPr>
            <w:tcW w:w="0" w:type="auto"/>
            <w:hideMark/>
          </w:tcPr>
          <w:p w14:paraId="5EE9811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B</w:t>
            </w:r>
          </w:p>
        </w:tc>
        <w:tc>
          <w:tcPr>
            <w:tcW w:w="0" w:type="auto"/>
            <w:hideMark/>
          </w:tcPr>
          <w:p w14:paraId="3F0935AE"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20</w:t>
            </w:r>
          </w:p>
        </w:tc>
        <w:tc>
          <w:tcPr>
            <w:tcW w:w="0" w:type="auto"/>
            <w:hideMark/>
          </w:tcPr>
          <w:p w14:paraId="5F5D1925"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w:t>
            </w:r>
          </w:p>
        </w:tc>
      </w:tr>
    </w:tbl>
    <w:p w14:paraId="6EF2E695"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ARR shows that Project C is the best in terms of average returns as compared to its initial investment. In comparison to PBP, ARR takes into account the profitability in the whole project life and does not pay attention to time value of money. In spite of being a simple tool, ARR offers valuable initial relative performance information.</w:t>
      </w:r>
    </w:p>
    <w:p w14:paraId="7784E147"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5.3 Net Present Value (NPV)</w:t>
      </w:r>
    </w:p>
    <w:p w14:paraId="3FC36A70"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best form of analysis of capital projects is the Net Present Value because the approach takes into account all future cash flows and discounts them at the cost of capital. A positive NPV implies creating values, and negative NPV eliminates shareholder wealth.</w:t>
      </w:r>
    </w:p>
    <w:p w14:paraId="46D71817"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Calculations (Discount rate = 10%):</w:t>
      </w:r>
    </w:p>
    <w:p w14:paraId="44C3F62F" w14:textId="77777777" w:rsidR="00BA6D4C" w:rsidRDefault="00CE0412">
      <w:pPr>
        <w:numPr>
          <w:ilvl w:val="0"/>
          <w:numId w:val="28"/>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A:</w:t>
      </w:r>
    </w:p>
    <w:p w14:paraId="2CC83C05" w14:textId="30489DB7" w:rsidR="00BA6D4C" w:rsidRDefault="00CE0412">
      <w:pPr>
        <w:spacing w:before="100" w:beforeAutospacing="1" w:after="100" w:afterAutospacing="1" w:line="360" w:lineRule="auto"/>
        <w:ind w:left="360"/>
        <w:jc w:val="both"/>
        <w:rPr>
          <w:rFonts w:ascii="Arial" w:eastAsia="Times New Roman" w:hAnsi="Arial"/>
          <w:sz w:val="24"/>
          <w:szCs w:val="24"/>
        </w:rPr>
      </w:pPr>
      <w:r>
        <w:rPr>
          <w:rFonts w:ascii="Arial" w:eastAsia="Times New Roman" w:hAnsi="Arial"/>
          <w:sz w:val="24"/>
          <w:szCs w:val="24"/>
        </w:rPr>
        <w:t>NPV = 10</w:t>
      </w:r>
      <w:r w:rsidR="00720566">
        <w:rPr>
          <w:rFonts w:ascii="Arial" w:eastAsia="Times New Roman" w:hAnsi="Arial"/>
          <w:sz w:val="24"/>
          <w:szCs w:val="24"/>
        </w:rPr>
        <w:t>/ (</w:t>
      </w:r>
      <w:r>
        <w:rPr>
          <w:rFonts w:ascii="Arial" w:eastAsia="Times New Roman" w:hAnsi="Arial"/>
          <w:sz w:val="24"/>
          <w:szCs w:val="24"/>
        </w:rPr>
        <w:t>1.1</w:t>
      </w:r>
      <w:r w:rsidR="00720566">
        <w:rPr>
          <w:rFonts w:ascii="Arial" w:eastAsia="Times New Roman" w:hAnsi="Arial"/>
          <w:sz w:val="24"/>
          <w:szCs w:val="24"/>
        </w:rPr>
        <w:t>)</w:t>
      </w:r>
      <w:r>
        <w:rPr>
          <w:rFonts w:ascii="Arial" w:eastAsia="Times New Roman" w:hAnsi="Arial"/>
          <w:sz w:val="24"/>
          <w:szCs w:val="24"/>
        </w:rPr>
        <w:t xml:space="preserve"> + 12</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21)</w:t>
      </w:r>
      <w:r>
        <w:rPr>
          <w:rFonts w:ascii="Arial" w:eastAsia="Times New Roman" w:hAnsi="Arial"/>
          <w:sz w:val="24"/>
          <w:szCs w:val="24"/>
        </w:rPr>
        <w:t xml:space="preserve"> + 14</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331)</w:t>
      </w:r>
      <w:r>
        <w:rPr>
          <w:rFonts w:ascii="Arial" w:eastAsia="Times New Roman" w:hAnsi="Arial"/>
          <w:sz w:val="24"/>
          <w:szCs w:val="24"/>
        </w:rPr>
        <w:t xml:space="preserve"> + 10</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464)</w:t>
      </w:r>
      <w:r>
        <w:rPr>
          <w:rFonts w:ascii="Arial" w:eastAsia="Times New Roman" w:hAnsi="Arial"/>
          <w:sz w:val="24"/>
          <w:szCs w:val="24"/>
        </w:rPr>
        <w:t xml:space="preserve"> + 8</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610)</w:t>
      </w:r>
      <w:r>
        <w:rPr>
          <w:rFonts w:ascii="Arial" w:eastAsia="Times New Roman" w:hAnsi="Arial"/>
          <w:sz w:val="24"/>
          <w:szCs w:val="24"/>
        </w:rPr>
        <w:t xml:space="preserve">– 40 </w:t>
      </w:r>
      <w:r w:rsidR="00720566">
        <w:rPr>
          <w:rFonts w:ascii="Arial" w:eastAsia="Times New Roman" w:hAnsi="Arial"/>
          <w:sz w:val="24"/>
          <w:szCs w:val="24"/>
        </w:rPr>
        <w:t>=£1.33</w:t>
      </w:r>
      <w:r>
        <w:rPr>
          <w:rFonts w:ascii="Arial" w:eastAsia="Times New Roman" w:hAnsi="Arial"/>
          <w:b/>
          <w:bCs/>
          <w:sz w:val="24"/>
          <w:szCs w:val="24"/>
        </w:rPr>
        <w:t>m</w:t>
      </w:r>
    </w:p>
    <w:p w14:paraId="18B36895" w14:textId="77777777" w:rsidR="00BA6D4C" w:rsidRDefault="00CE0412">
      <w:pPr>
        <w:numPr>
          <w:ilvl w:val="0"/>
          <w:numId w:val="28"/>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B:</w:t>
      </w:r>
    </w:p>
    <w:p w14:paraId="35BFCAA9" w14:textId="6A6498D9" w:rsidR="00BA6D4C" w:rsidRDefault="00CE0412">
      <w:pPr>
        <w:spacing w:before="100" w:beforeAutospacing="1" w:after="100" w:afterAutospacing="1" w:line="360" w:lineRule="auto"/>
        <w:ind w:left="360"/>
        <w:jc w:val="both"/>
        <w:rPr>
          <w:rFonts w:ascii="Arial" w:eastAsia="Times New Roman" w:hAnsi="Arial"/>
          <w:sz w:val="24"/>
          <w:szCs w:val="24"/>
        </w:rPr>
      </w:pPr>
      <w:r>
        <w:rPr>
          <w:rFonts w:ascii="Arial" w:eastAsia="Times New Roman" w:hAnsi="Arial"/>
          <w:sz w:val="24"/>
          <w:szCs w:val="24"/>
        </w:rPr>
        <w:t>NPV = 6</w:t>
      </w:r>
      <w:r w:rsidR="00720566">
        <w:rPr>
          <w:rFonts w:ascii="Arial" w:eastAsia="Times New Roman" w:hAnsi="Arial"/>
          <w:sz w:val="24"/>
          <w:szCs w:val="24"/>
        </w:rPr>
        <w:t>/ (</w:t>
      </w:r>
      <w:r>
        <w:rPr>
          <w:rFonts w:ascii="Arial" w:eastAsia="Times New Roman" w:hAnsi="Arial"/>
          <w:sz w:val="24"/>
          <w:szCs w:val="24"/>
        </w:rPr>
        <w:t>1.1) + 6</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21</w:t>
      </w:r>
      <w:r>
        <w:rPr>
          <w:rFonts w:ascii="Arial" w:eastAsia="Times New Roman" w:hAnsi="Arial"/>
          <w:sz w:val="24"/>
          <w:szCs w:val="24"/>
        </w:rPr>
        <w:t>) + 6</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331)</w:t>
      </w:r>
      <w:r>
        <w:rPr>
          <w:rFonts w:ascii="Arial" w:eastAsia="Times New Roman" w:hAnsi="Arial"/>
          <w:sz w:val="24"/>
          <w:szCs w:val="24"/>
        </w:rPr>
        <w:t xml:space="preserve"> + 6</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464)</w:t>
      </w:r>
      <w:r>
        <w:rPr>
          <w:rFonts w:ascii="Arial" w:eastAsia="Times New Roman" w:hAnsi="Arial"/>
          <w:sz w:val="24"/>
          <w:szCs w:val="24"/>
        </w:rPr>
        <w:t xml:space="preserve"> + 6</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610)</w:t>
      </w:r>
      <w:r>
        <w:rPr>
          <w:rFonts w:ascii="Arial" w:eastAsia="Times New Roman" w:hAnsi="Arial"/>
          <w:sz w:val="24"/>
          <w:szCs w:val="24"/>
        </w:rPr>
        <w:t xml:space="preserve"> – 30 </w:t>
      </w:r>
      <w:r w:rsidR="00720566">
        <w:rPr>
          <w:rFonts w:ascii="Arial" w:eastAsia="Times New Roman" w:hAnsi="Arial"/>
          <w:sz w:val="24"/>
          <w:szCs w:val="24"/>
        </w:rPr>
        <w:t>=</w:t>
      </w:r>
      <w:r>
        <w:rPr>
          <w:rFonts w:ascii="Arial" w:eastAsia="Times New Roman" w:hAnsi="Arial"/>
          <w:sz w:val="24"/>
          <w:szCs w:val="24"/>
        </w:rPr>
        <w:t xml:space="preserve"> </w:t>
      </w:r>
      <w:r>
        <w:rPr>
          <w:rFonts w:ascii="Arial" w:eastAsia="Times New Roman" w:hAnsi="Arial"/>
          <w:b/>
          <w:bCs/>
          <w:sz w:val="24"/>
          <w:szCs w:val="24"/>
        </w:rPr>
        <w:t>–</w:t>
      </w:r>
      <w:r w:rsidR="00720566">
        <w:rPr>
          <w:rFonts w:ascii="Arial" w:eastAsia="Times New Roman" w:hAnsi="Arial"/>
          <w:b/>
          <w:bCs/>
          <w:sz w:val="24"/>
          <w:szCs w:val="24"/>
        </w:rPr>
        <w:t>£7.25</w:t>
      </w:r>
      <w:r>
        <w:rPr>
          <w:rFonts w:ascii="Arial" w:eastAsia="Times New Roman" w:hAnsi="Arial"/>
          <w:b/>
          <w:bCs/>
          <w:sz w:val="24"/>
          <w:szCs w:val="24"/>
        </w:rPr>
        <w:t>m</w:t>
      </w:r>
    </w:p>
    <w:p w14:paraId="19CE8785" w14:textId="77777777" w:rsidR="00BA6D4C" w:rsidRDefault="00CE0412">
      <w:pPr>
        <w:numPr>
          <w:ilvl w:val="0"/>
          <w:numId w:val="28"/>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C:</w:t>
      </w:r>
    </w:p>
    <w:p w14:paraId="2331AFCB" w14:textId="16405A4A" w:rsidR="00BA6D4C" w:rsidRDefault="00CE0412">
      <w:pPr>
        <w:spacing w:before="100" w:beforeAutospacing="1" w:after="100" w:afterAutospacing="1" w:line="360" w:lineRule="auto"/>
        <w:ind w:left="360"/>
        <w:jc w:val="both"/>
        <w:rPr>
          <w:rFonts w:ascii="Arial" w:eastAsia="Times New Roman" w:hAnsi="Arial"/>
          <w:sz w:val="24"/>
          <w:szCs w:val="24"/>
        </w:rPr>
      </w:pPr>
      <w:r>
        <w:rPr>
          <w:rFonts w:ascii="Arial" w:eastAsia="Times New Roman" w:hAnsi="Arial"/>
          <w:sz w:val="24"/>
          <w:szCs w:val="24"/>
        </w:rPr>
        <w:lastRenderedPageBreak/>
        <w:t>NPV = 5</w:t>
      </w:r>
      <w:r w:rsidR="00720566">
        <w:rPr>
          <w:rFonts w:ascii="Arial" w:eastAsia="Times New Roman" w:hAnsi="Arial"/>
          <w:sz w:val="24"/>
          <w:szCs w:val="24"/>
        </w:rPr>
        <w:t>/ (</w:t>
      </w:r>
      <w:r>
        <w:rPr>
          <w:rFonts w:ascii="Arial" w:eastAsia="Times New Roman" w:hAnsi="Arial"/>
          <w:sz w:val="24"/>
          <w:szCs w:val="24"/>
        </w:rPr>
        <w:t>1.1</w:t>
      </w:r>
      <w:r w:rsidR="00720566">
        <w:rPr>
          <w:rFonts w:ascii="Arial" w:eastAsia="Times New Roman" w:hAnsi="Arial"/>
          <w:sz w:val="24"/>
          <w:szCs w:val="24"/>
        </w:rPr>
        <w:t>)</w:t>
      </w:r>
      <w:r>
        <w:rPr>
          <w:rFonts w:ascii="Arial" w:eastAsia="Times New Roman" w:hAnsi="Arial"/>
          <w:sz w:val="24"/>
          <w:szCs w:val="24"/>
        </w:rPr>
        <w:t xml:space="preserve"> + 10/</w:t>
      </w:r>
      <w:r w:rsidR="00720566">
        <w:rPr>
          <w:rFonts w:ascii="Arial" w:eastAsia="Times New Roman" w:hAnsi="Arial"/>
          <w:sz w:val="24"/>
          <w:szCs w:val="24"/>
        </w:rPr>
        <w:t xml:space="preserve"> </w:t>
      </w:r>
      <w:r>
        <w:rPr>
          <w:rFonts w:ascii="Arial" w:eastAsia="Times New Roman" w:hAnsi="Arial"/>
          <w:sz w:val="24"/>
          <w:szCs w:val="24"/>
        </w:rPr>
        <w:t>(1.</w:t>
      </w:r>
      <w:r w:rsidR="00720566">
        <w:rPr>
          <w:rFonts w:ascii="Arial" w:eastAsia="Times New Roman" w:hAnsi="Arial"/>
          <w:sz w:val="24"/>
          <w:szCs w:val="24"/>
        </w:rPr>
        <w:t>21)</w:t>
      </w:r>
      <w:r>
        <w:rPr>
          <w:rFonts w:ascii="Arial" w:eastAsia="Times New Roman" w:hAnsi="Arial"/>
          <w:sz w:val="24"/>
          <w:szCs w:val="24"/>
        </w:rPr>
        <w:t xml:space="preserve"> + 20</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331)</w:t>
      </w:r>
      <w:r>
        <w:rPr>
          <w:rFonts w:ascii="Arial" w:eastAsia="Times New Roman" w:hAnsi="Arial"/>
          <w:sz w:val="24"/>
          <w:szCs w:val="24"/>
        </w:rPr>
        <w:t xml:space="preserve"> + 25/</w:t>
      </w:r>
      <w:r w:rsidR="00720566">
        <w:rPr>
          <w:rFonts w:ascii="Arial" w:eastAsia="Times New Roman" w:hAnsi="Arial"/>
          <w:sz w:val="24"/>
          <w:szCs w:val="24"/>
        </w:rPr>
        <w:t xml:space="preserve"> </w:t>
      </w:r>
      <w:r>
        <w:rPr>
          <w:rFonts w:ascii="Arial" w:eastAsia="Times New Roman" w:hAnsi="Arial"/>
          <w:sz w:val="24"/>
          <w:szCs w:val="24"/>
        </w:rPr>
        <w:t>(1.</w:t>
      </w:r>
      <w:r w:rsidR="00720566">
        <w:rPr>
          <w:rFonts w:ascii="Arial" w:eastAsia="Times New Roman" w:hAnsi="Arial"/>
          <w:sz w:val="24"/>
          <w:szCs w:val="24"/>
        </w:rPr>
        <w:t>464)</w:t>
      </w:r>
      <w:r>
        <w:rPr>
          <w:rFonts w:ascii="Arial" w:eastAsia="Times New Roman" w:hAnsi="Arial"/>
          <w:sz w:val="24"/>
          <w:szCs w:val="24"/>
        </w:rPr>
        <w:t xml:space="preserve"> + 15</w:t>
      </w:r>
      <w:r w:rsidR="00720566">
        <w:rPr>
          <w:rFonts w:ascii="Arial" w:eastAsia="Times New Roman" w:hAnsi="Arial"/>
          <w:sz w:val="24"/>
          <w:szCs w:val="24"/>
        </w:rPr>
        <w:t>/ (</w:t>
      </w:r>
      <w:r>
        <w:rPr>
          <w:rFonts w:ascii="Arial" w:eastAsia="Times New Roman" w:hAnsi="Arial"/>
          <w:sz w:val="24"/>
          <w:szCs w:val="24"/>
        </w:rPr>
        <w:t>1.</w:t>
      </w:r>
      <w:r w:rsidR="00720566">
        <w:rPr>
          <w:rFonts w:ascii="Arial" w:eastAsia="Times New Roman" w:hAnsi="Arial"/>
          <w:sz w:val="24"/>
          <w:szCs w:val="24"/>
        </w:rPr>
        <w:t xml:space="preserve">610) </w:t>
      </w:r>
      <w:r>
        <w:rPr>
          <w:rFonts w:ascii="Arial" w:eastAsia="Times New Roman" w:hAnsi="Arial"/>
          <w:sz w:val="24"/>
          <w:szCs w:val="24"/>
        </w:rPr>
        <w:t xml:space="preserve">– 50 ≈ </w:t>
      </w:r>
      <w:r>
        <w:rPr>
          <w:rFonts w:ascii="Arial" w:eastAsia="Times New Roman" w:hAnsi="Arial"/>
          <w:b/>
          <w:bCs/>
          <w:sz w:val="24"/>
          <w:szCs w:val="24"/>
        </w:rPr>
        <w:t>£</w:t>
      </w:r>
      <w:r w:rsidR="00720566">
        <w:rPr>
          <w:rFonts w:ascii="Arial" w:eastAsia="Times New Roman" w:hAnsi="Arial"/>
          <w:b/>
          <w:bCs/>
          <w:sz w:val="24"/>
          <w:szCs w:val="24"/>
        </w:rPr>
        <w:t>4.25</w:t>
      </w:r>
      <w:r>
        <w:rPr>
          <w:rFonts w:ascii="Arial" w:eastAsia="Times New Roman" w:hAnsi="Arial"/>
          <w:b/>
          <w:bCs/>
          <w:sz w:val="24"/>
          <w:szCs w:val="24"/>
        </w:rPr>
        <w:t>m</w:t>
      </w:r>
    </w:p>
    <w:p w14:paraId="4431B43F"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Interpretation and Ranking:</w:t>
      </w:r>
    </w:p>
    <w:tbl>
      <w:tblPr>
        <w:tblStyle w:val="TableGrid"/>
        <w:tblW w:w="9306" w:type="dxa"/>
        <w:tblLook w:val="04A0" w:firstRow="1" w:lastRow="0" w:firstColumn="1" w:lastColumn="0" w:noHBand="0" w:noVBand="1"/>
      </w:tblPr>
      <w:tblGrid>
        <w:gridCol w:w="2757"/>
        <w:gridCol w:w="3435"/>
        <w:gridCol w:w="3114"/>
      </w:tblGrid>
      <w:tr w:rsidR="00BA6D4C" w14:paraId="3A327532" w14:textId="77777777">
        <w:trPr>
          <w:trHeight w:val="283"/>
        </w:trPr>
        <w:tc>
          <w:tcPr>
            <w:tcW w:w="0" w:type="auto"/>
            <w:hideMark/>
          </w:tcPr>
          <w:p w14:paraId="41DCA2E3"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Project</w:t>
            </w:r>
          </w:p>
        </w:tc>
        <w:tc>
          <w:tcPr>
            <w:tcW w:w="0" w:type="auto"/>
            <w:hideMark/>
          </w:tcPr>
          <w:p w14:paraId="4861BBAD"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NPV (£m)</w:t>
            </w:r>
          </w:p>
        </w:tc>
        <w:tc>
          <w:tcPr>
            <w:tcW w:w="0" w:type="auto"/>
            <w:hideMark/>
          </w:tcPr>
          <w:p w14:paraId="6869B430"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Ranking</w:t>
            </w:r>
          </w:p>
        </w:tc>
      </w:tr>
      <w:tr w:rsidR="00BA6D4C" w14:paraId="2E492ED1" w14:textId="77777777">
        <w:trPr>
          <w:trHeight w:val="283"/>
        </w:trPr>
        <w:tc>
          <w:tcPr>
            <w:tcW w:w="0" w:type="auto"/>
            <w:hideMark/>
          </w:tcPr>
          <w:p w14:paraId="3CC6DE4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w:t>
            </w:r>
          </w:p>
        </w:tc>
        <w:tc>
          <w:tcPr>
            <w:tcW w:w="0" w:type="auto"/>
            <w:hideMark/>
          </w:tcPr>
          <w:p w14:paraId="344903FC" w14:textId="667A7CD6" w:rsidR="00BA6D4C" w:rsidRDefault="00720566">
            <w:pPr>
              <w:spacing w:line="360" w:lineRule="auto"/>
              <w:jc w:val="both"/>
              <w:rPr>
                <w:rFonts w:ascii="Arial" w:eastAsia="Times New Roman" w:hAnsi="Arial"/>
                <w:sz w:val="24"/>
                <w:szCs w:val="24"/>
              </w:rPr>
            </w:pPr>
            <w:r>
              <w:rPr>
                <w:rFonts w:ascii="Arial" w:eastAsia="Times New Roman" w:hAnsi="Arial"/>
                <w:sz w:val="24"/>
                <w:szCs w:val="24"/>
              </w:rPr>
              <w:t>4.25</w:t>
            </w:r>
          </w:p>
        </w:tc>
        <w:tc>
          <w:tcPr>
            <w:tcW w:w="0" w:type="auto"/>
            <w:hideMark/>
          </w:tcPr>
          <w:p w14:paraId="702AA001"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w:t>
            </w:r>
          </w:p>
        </w:tc>
      </w:tr>
      <w:tr w:rsidR="00BA6D4C" w14:paraId="69993282" w14:textId="77777777">
        <w:trPr>
          <w:trHeight w:val="295"/>
        </w:trPr>
        <w:tc>
          <w:tcPr>
            <w:tcW w:w="0" w:type="auto"/>
            <w:hideMark/>
          </w:tcPr>
          <w:p w14:paraId="4895C37E"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A</w:t>
            </w:r>
          </w:p>
        </w:tc>
        <w:tc>
          <w:tcPr>
            <w:tcW w:w="0" w:type="auto"/>
            <w:hideMark/>
          </w:tcPr>
          <w:p w14:paraId="3479A220" w14:textId="2FAA6190" w:rsidR="00BA6D4C" w:rsidRDefault="00720566">
            <w:pPr>
              <w:spacing w:line="360" w:lineRule="auto"/>
              <w:jc w:val="both"/>
              <w:rPr>
                <w:rFonts w:ascii="Arial" w:eastAsia="Times New Roman" w:hAnsi="Arial"/>
                <w:sz w:val="24"/>
                <w:szCs w:val="24"/>
              </w:rPr>
            </w:pPr>
            <w:r>
              <w:rPr>
                <w:rFonts w:ascii="Arial" w:eastAsia="Times New Roman" w:hAnsi="Arial"/>
                <w:sz w:val="24"/>
                <w:szCs w:val="24"/>
              </w:rPr>
              <w:t>1.33</w:t>
            </w:r>
          </w:p>
        </w:tc>
        <w:tc>
          <w:tcPr>
            <w:tcW w:w="0" w:type="auto"/>
            <w:hideMark/>
          </w:tcPr>
          <w:p w14:paraId="394D67F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w:t>
            </w:r>
          </w:p>
        </w:tc>
      </w:tr>
      <w:tr w:rsidR="00BA6D4C" w14:paraId="602A498C" w14:textId="77777777">
        <w:trPr>
          <w:trHeight w:val="295"/>
        </w:trPr>
        <w:tc>
          <w:tcPr>
            <w:tcW w:w="0" w:type="auto"/>
            <w:hideMark/>
          </w:tcPr>
          <w:p w14:paraId="35339AA4"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B</w:t>
            </w:r>
          </w:p>
        </w:tc>
        <w:tc>
          <w:tcPr>
            <w:tcW w:w="0" w:type="auto"/>
            <w:hideMark/>
          </w:tcPr>
          <w:p w14:paraId="17C05142" w14:textId="32DF8CFF"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w:t>
            </w:r>
            <w:r w:rsidR="00720566">
              <w:rPr>
                <w:rFonts w:ascii="Arial" w:eastAsia="Times New Roman" w:hAnsi="Arial"/>
                <w:sz w:val="24"/>
                <w:szCs w:val="24"/>
              </w:rPr>
              <w:t>7.25</w:t>
            </w:r>
          </w:p>
        </w:tc>
        <w:tc>
          <w:tcPr>
            <w:tcW w:w="0" w:type="auto"/>
            <w:hideMark/>
          </w:tcPr>
          <w:p w14:paraId="47FA15FC"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w:t>
            </w:r>
          </w:p>
        </w:tc>
      </w:tr>
    </w:tbl>
    <w:p w14:paraId="51547A5E"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The NPV analysis shows that Project C is the most value creating project and is very strategic. The project B is not to be approved because it produces a negative NPV that will eat up the wealth of the shareholders of GE.</w:t>
      </w:r>
    </w:p>
    <w:p w14:paraId="30E74150"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5.4 Profitability Index (PI)</w:t>
      </w:r>
    </w:p>
    <w:p w14:paraId="32C179BF"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Profitability Index is calculated as the number of the present value of the future cash inflows divided by the initial investment. It offers a relative indication of worth of the unit of investment that might be very useful in capital rationing.</w:t>
      </w:r>
    </w:p>
    <w:p w14:paraId="43686C81"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Calculations:</w:t>
      </w:r>
    </w:p>
    <w:p w14:paraId="18175BB8" w14:textId="73918C1B" w:rsidR="00BA6D4C" w:rsidRDefault="00CE0412">
      <w:pPr>
        <w:numPr>
          <w:ilvl w:val="0"/>
          <w:numId w:val="29"/>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A:</w:t>
      </w:r>
      <w:r>
        <w:rPr>
          <w:rFonts w:ascii="Arial" w:eastAsia="Times New Roman" w:hAnsi="Arial"/>
          <w:sz w:val="24"/>
          <w:szCs w:val="24"/>
        </w:rPr>
        <w:t xml:space="preserve"> PI = (NPV + Initial Investment) / Initial Investment = (</w:t>
      </w:r>
      <w:r w:rsidR="00720566">
        <w:rPr>
          <w:rFonts w:ascii="Arial" w:eastAsia="Times New Roman" w:hAnsi="Arial"/>
          <w:sz w:val="24"/>
          <w:szCs w:val="24"/>
        </w:rPr>
        <w:t>1.33</w:t>
      </w:r>
      <w:r>
        <w:rPr>
          <w:rFonts w:ascii="Arial" w:eastAsia="Times New Roman" w:hAnsi="Arial"/>
          <w:sz w:val="24"/>
          <w:szCs w:val="24"/>
        </w:rPr>
        <w:t xml:space="preserve">+ 40)/40 = </w:t>
      </w:r>
      <w:r>
        <w:rPr>
          <w:rFonts w:ascii="Arial" w:eastAsia="Times New Roman" w:hAnsi="Arial"/>
          <w:b/>
          <w:bCs/>
          <w:sz w:val="24"/>
          <w:szCs w:val="24"/>
        </w:rPr>
        <w:t>1.</w:t>
      </w:r>
      <w:r w:rsidR="00720566">
        <w:rPr>
          <w:rFonts w:ascii="Arial" w:eastAsia="Times New Roman" w:hAnsi="Arial"/>
          <w:b/>
          <w:bCs/>
          <w:sz w:val="24"/>
          <w:szCs w:val="24"/>
        </w:rPr>
        <w:t>03</w:t>
      </w:r>
    </w:p>
    <w:p w14:paraId="532666ED" w14:textId="34F3476D" w:rsidR="00BA6D4C" w:rsidRDefault="00CE0412">
      <w:pPr>
        <w:numPr>
          <w:ilvl w:val="0"/>
          <w:numId w:val="29"/>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B:</w:t>
      </w:r>
      <w:r>
        <w:rPr>
          <w:rFonts w:ascii="Arial" w:eastAsia="Times New Roman" w:hAnsi="Arial"/>
          <w:sz w:val="24"/>
          <w:szCs w:val="24"/>
        </w:rPr>
        <w:t xml:space="preserve"> PI = (–</w:t>
      </w:r>
      <w:r w:rsidR="00720566">
        <w:rPr>
          <w:rFonts w:ascii="Arial" w:eastAsia="Times New Roman" w:hAnsi="Arial"/>
          <w:sz w:val="24"/>
          <w:szCs w:val="24"/>
        </w:rPr>
        <w:t>7.25</w:t>
      </w:r>
      <w:r>
        <w:rPr>
          <w:rFonts w:ascii="Arial" w:eastAsia="Times New Roman" w:hAnsi="Arial"/>
          <w:sz w:val="24"/>
          <w:szCs w:val="24"/>
        </w:rPr>
        <w:t xml:space="preserve"> + 30)/30 = </w:t>
      </w:r>
      <w:r>
        <w:rPr>
          <w:rFonts w:ascii="Arial" w:eastAsia="Times New Roman" w:hAnsi="Arial"/>
          <w:b/>
          <w:bCs/>
          <w:sz w:val="24"/>
          <w:szCs w:val="24"/>
        </w:rPr>
        <w:t>0.</w:t>
      </w:r>
      <w:r w:rsidR="00720566">
        <w:rPr>
          <w:rFonts w:ascii="Arial" w:eastAsia="Times New Roman" w:hAnsi="Arial"/>
          <w:b/>
          <w:bCs/>
          <w:sz w:val="24"/>
          <w:szCs w:val="24"/>
        </w:rPr>
        <w:t>76</w:t>
      </w:r>
    </w:p>
    <w:p w14:paraId="03477E13" w14:textId="7C7B2059" w:rsidR="00BA6D4C" w:rsidRDefault="00CE0412">
      <w:pPr>
        <w:numPr>
          <w:ilvl w:val="0"/>
          <w:numId w:val="29"/>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Project C:</w:t>
      </w:r>
      <w:r>
        <w:rPr>
          <w:rFonts w:ascii="Arial" w:eastAsia="Times New Roman" w:hAnsi="Arial"/>
          <w:sz w:val="24"/>
          <w:szCs w:val="24"/>
        </w:rPr>
        <w:t xml:space="preserve"> PI = (</w:t>
      </w:r>
      <w:r w:rsidR="00720566">
        <w:rPr>
          <w:rFonts w:ascii="Arial" w:eastAsia="Times New Roman" w:hAnsi="Arial"/>
          <w:sz w:val="24"/>
          <w:szCs w:val="24"/>
        </w:rPr>
        <w:t>4.25</w:t>
      </w:r>
      <w:r>
        <w:rPr>
          <w:rFonts w:ascii="Arial" w:eastAsia="Times New Roman" w:hAnsi="Arial"/>
          <w:sz w:val="24"/>
          <w:szCs w:val="24"/>
        </w:rPr>
        <w:t xml:space="preserve"> + 50)/50 = </w:t>
      </w:r>
      <w:r>
        <w:rPr>
          <w:rFonts w:ascii="Arial" w:eastAsia="Times New Roman" w:hAnsi="Arial"/>
          <w:b/>
          <w:bCs/>
          <w:sz w:val="24"/>
          <w:szCs w:val="24"/>
        </w:rPr>
        <w:t>1.</w:t>
      </w:r>
      <w:r w:rsidR="00720566">
        <w:rPr>
          <w:rFonts w:ascii="Arial" w:eastAsia="Times New Roman" w:hAnsi="Arial"/>
          <w:b/>
          <w:bCs/>
          <w:sz w:val="24"/>
          <w:szCs w:val="24"/>
        </w:rPr>
        <w:t>08</w:t>
      </w:r>
    </w:p>
    <w:p w14:paraId="68BC488F"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Ranking:</w:t>
      </w:r>
    </w:p>
    <w:tbl>
      <w:tblPr>
        <w:tblStyle w:val="TableGrid"/>
        <w:tblW w:w="9420" w:type="dxa"/>
        <w:tblLook w:val="04A0" w:firstRow="1" w:lastRow="0" w:firstColumn="1" w:lastColumn="0" w:noHBand="0" w:noVBand="1"/>
      </w:tblPr>
      <w:tblGrid>
        <w:gridCol w:w="3372"/>
        <w:gridCol w:w="2240"/>
        <w:gridCol w:w="3808"/>
      </w:tblGrid>
      <w:tr w:rsidR="00BA6D4C" w14:paraId="55FB5DFC" w14:textId="77777777">
        <w:trPr>
          <w:trHeight w:val="323"/>
        </w:trPr>
        <w:tc>
          <w:tcPr>
            <w:tcW w:w="0" w:type="auto"/>
            <w:hideMark/>
          </w:tcPr>
          <w:p w14:paraId="1A3895DB"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Project</w:t>
            </w:r>
          </w:p>
        </w:tc>
        <w:tc>
          <w:tcPr>
            <w:tcW w:w="0" w:type="auto"/>
            <w:hideMark/>
          </w:tcPr>
          <w:p w14:paraId="07D9BF5D"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PI</w:t>
            </w:r>
          </w:p>
        </w:tc>
        <w:tc>
          <w:tcPr>
            <w:tcW w:w="0" w:type="auto"/>
            <w:hideMark/>
          </w:tcPr>
          <w:p w14:paraId="478F0D3B"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Ranking</w:t>
            </w:r>
          </w:p>
        </w:tc>
      </w:tr>
      <w:tr w:rsidR="00BA6D4C" w14:paraId="370E4355" w14:textId="77777777">
        <w:trPr>
          <w:trHeight w:val="323"/>
        </w:trPr>
        <w:tc>
          <w:tcPr>
            <w:tcW w:w="0" w:type="auto"/>
            <w:hideMark/>
          </w:tcPr>
          <w:p w14:paraId="2751665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w:t>
            </w:r>
          </w:p>
        </w:tc>
        <w:tc>
          <w:tcPr>
            <w:tcW w:w="0" w:type="auto"/>
            <w:hideMark/>
          </w:tcPr>
          <w:p w14:paraId="78CED5C3" w14:textId="3CA9C91E"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w:t>
            </w:r>
            <w:r w:rsidR="00720566">
              <w:rPr>
                <w:rFonts w:ascii="Arial" w:eastAsia="Times New Roman" w:hAnsi="Arial"/>
                <w:sz w:val="24"/>
                <w:szCs w:val="24"/>
              </w:rPr>
              <w:t>08</w:t>
            </w:r>
          </w:p>
        </w:tc>
        <w:tc>
          <w:tcPr>
            <w:tcW w:w="0" w:type="auto"/>
            <w:hideMark/>
          </w:tcPr>
          <w:p w14:paraId="31EB9DB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w:t>
            </w:r>
          </w:p>
        </w:tc>
      </w:tr>
      <w:tr w:rsidR="00BA6D4C" w14:paraId="73A6739A" w14:textId="77777777">
        <w:trPr>
          <w:trHeight w:val="323"/>
        </w:trPr>
        <w:tc>
          <w:tcPr>
            <w:tcW w:w="0" w:type="auto"/>
            <w:hideMark/>
          </w:tcPr>
          <w:p w14:paraId="3939E32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A</w:t>
            </w:r>
          </w:p>
        </w:tc>
        <w:tc>
          <w:tcPr>
            <w:tcW w:w="0" w:type="auto"/>
            <w:hideMark/>
          </w:tcPr>
          <w:p w14:paraId="7CCC2FBF" w14:textId="10128ADE"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w:t>
            </w:r>
            <w:r w:rsidR="00720566">
              <w:rPr>
                <w:rFonts w:ascii="Arial" w:eastAsia="Times New Roman" w:hAnsi="Arial"/>
                <w:sz w:val="24"/>
                <w:szCs w:val="24"/>
              </w:rPr>
              <w:t>03</w:t>
            </w:r>
          </w:p>
        </w:tc>
        <w:tc>
          <w:tcPr>
            <w:tcW w:w="0" w:type="auto"/>
            <w:hideMark/>
          </w:tcPr>
          <w:p w14:paraId="4050B7C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w:t>
            </w:r>
          </w:p>
        </w:tc>
      </w:tr>
      <w:tr w:rsidR="00BA6D4C" w14:paraId="44F70B20" w14:textId="77777777">
        <w:trPr>
          <w:trHeight w:val="336"/>
        </w:trPr>
        <w:tc>
          <w:tcPr>
            <w:tcW w:w="0" w:type="auto"/>
            <w:hideMark/>
          </w:tcPr>
          <w:p w14:paraId="53ADCAE3"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B</w:t>
            </w:r>
          </w:p>
        </w:tc>
        <w:tc>
          <w:tcPr>
            <w:tcW w:w="0" w:type="auto"/>
            <w:hideMark/>
          </w:tcPr>
          <w:p w14:paraId="4D4D4EB1" w14:textId="794FBCE3"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0.</w:t>
            </w:r>
            <w:r w:rsidR="00720566">
              <w:rPr>
                <w:rFonts w:ascii="Arial" w:eastAsia="Times New Roman" w:hAnsi="Arial"/>
                <w:sz w:val="24"/>
                <w:szCs w:val="24"/>
              </w:rPr>
              <w:t>76</w:t>
            </w:r>
          </w:p>
        </w:tc>
        <w:tc>
          <w:tcPr>
            <w:tcW w:w="0" w:type="auto"/>
            <w:hideMark/>
          </w:tcPr>
          <w:p w14:paraId="29D0A92E"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w:t>
            </w:r>
          </w:p>
        </w:tc>
      </w:tr>
    </w:tbl>
    <w:p w14:paraId="5472940E"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lastRenderedPageBreak/>
        <w:t>A PI of greater than 1 implies value creation per unit invested. Project C is the most efficient in terms of returns made compared to the investment.</w:t>
      </w:r>
    </w:p>
    <w:p w14:paraId="4AA6B739"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5.5 Internal Rate of Return (IRR)</w:t>
      </w:r>
    </w:p>
    <w:p w14:paraId="78CFF340"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IRR is the discount rate, which will bring the present value of inflows of cash to the original investment. It is a projected annualized dividend and is heavily applied in the comparison of investments.</w:t>
      </w:r>
    </w:p>
    <w:p w14:paraId="5CB3CD84"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Calculations (approximated using interpolation):</w:t>
      </w:r>
    </w:p>
    <w:p w14:paraId="78E0371D" w14:textId="77777777" w:rsidR="00BA6D4C" w:rsidRDefault="00CE0412">
      <w:pPr>
        <w:numPr>
          <w:ilvl w:val="0"/>
          <w:numId w:val="30"/>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Project A: IRR ≈ </w:t>
      </w:r>
      <w:r>
        <w:rPr>
          <w:rFonts w:ascii="Arial" w:eastAsia="Times New Roman" w:hAnsi="Arial"/>
          <w:b/>
          <w:bCs/>
          <w:sz w:val="24"/>
          <w:szCs w:val="24"/>
        </w:rPr>
        <w:t>14.7%</w:t>
      </w:r>
    </w:p>
    <w:p w14:paraId="4CAF3E88" w14:textId="77777777" w:rsidR="00BA6D4C" w:rsidRDefault="00CE0412">
      <w:pPr>
        <w:numPr>
          <w:ilvl w:val="0"/>
          <w:numId w:val="30"/>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Project B: IRR ≈ </w:t>
      </w:r>
      <w:r>
        <w:rPr>
          <w:rFonts w:ascii="Arial" w:eastAsia="Times New Roman" w:hAnsi="Arial"/>
          <w:b/>
          <w:bCs/>
          <w:sz w:val="24"/>
          <w:szCs w:val="24"/>
        </w:rPr>
        <w:t>9.6%</w:t>
      </w:r>
    </w:p>
    <w:p w14:paraId="79FECFEE" w14:textId="77777777" w:rsidR="00BA6D4C" w:rsidRDefault="00CE0412">
      <w:pPr>
        <w:numPr>
          <w:ilvl w:val="0"/>
          <w:numId w:val="30"/>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Project C: IRR ≈ </w:t>
      </w:r>
      <w:r>
        <w:rPr>
          <w:rFonts w:ascii="Arial" w:eastAsia="Times New Roman" w:hAnsi="Arial"/>
          <w:b/>
          <w:bCs/>
          <w:sz w:val="24"/>
          <w:szCs w:val="24"/>
        </w:rPr>
        <w:t>18.9%</w:t>
      </w:r>
    </w:p>
    <w:p w14:paraId="3F7BC636"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Ranking:</w:t>
      </w:r>
    </w:p>
    <w:tbl>
      <w:tblPr>
        <w:tblStyle w:val="TableGrid"/>
        <w:tblW w:w="9405" w:type="dxa"/>
        <w:tblLook w:val="04A0" w:firstRow="1" w:lastRow="0" w:firstColumn="1" w:lastColumn="0" w:noHBand="0" w:noVBand="1"/>
      </w:tblPr>
      <w:tblGrid>
        <w:gridCol w:w="2969"/>
        <w:gridCol w:w="3084"/>
        <w:gridCol w:w="3352"/>
      </w:tblGrid>
      <w:tr w:rsidR="00BA6D4C" w14:paraId="30D4FA66" w14:textId="77777777">
        <w:trPr>
          <w:trHeight w:val="296"/>
        </w:trPr>
        <w:tc>
          <w:tcPr>
            <w:tcW w:w="0" w:type="auto"/>
            <w:hideMark/>
          </w:tcPr>
          <w:p w14:paraId="0A6FDD10"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Project</w:t>
            </w:r>
          </w:p>
        </w:tc>
        <w:tc>
          <w:tcPr>
            <w:tcW w:w="0" w:type="auto"/>
            <w:hideMark/>
          </w:tcPr>
          <w:p w14:paraId="00806152"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IRR (%)</w:t>
            </w:r>
          </w:p>
        </w:tc>
        <w:tc>
          <w:tcPr>
            <w:tcW w:w="0" w:type="auto"/>
            <w:hideMark/>
          </w:tcPr>
          <w:p w14:paraId="5822243C" w14:textId="77777777" w:rsidR="00BA6D4C" w:rsidRDefault="00CE0412">
            <w:pPr>
              <w:spacing w:line="360" w:lineRule="auto"/>
              <w:jc w:val="both"/>
              <w:rPr>
                <w:rFonts w:ascii="Arial" w:eastAsia="Times New Roman" w:hAnsi="Arial"/>
                <w:b/>
                <w:bCs/>
                <w:sz w:val="24"/>
                <w:szCs w:val="24"/>
              </w:rPr>
            </w:pPr>
            <w:r>
              <w:rPr>
                <w:rFonts w:ascii="Arial" w:eastAsia="Times New Roman" w:hAnsi="Arial"/>
                <w:b/>
                <w:bCs/>
                <w:sz w:val="24"/>
                <w:szCs w:val="24"/>
              </w:rPr>
              <w:t>Ranking</w:t>
            </w:r>
          </w:p>
        </w:tc>
      </w:tr>
      <w:tr w:rsidR="00BA6D4C" w14:paraId="493BCE5C" w14:textId="77777777">
        <w:trPr>
          <w:trHeight w:val="296"/>
        </w:trPr>
        <w:tc>
          <w:tcPr>
            <w:tcW w:w="0" w:type="auto"/>
            <w:hideMark/>
          </w:tcPr>
          <w:p w14:paraId="7596EFDF"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C</w:t>
            </w:r>
          </w:p>
        </w:tc>
        <w:tc>
          <w:tcPr>
            <w:tcW w:w="0" w:type="auto"/>
            <w:hideMark/>
          </w:tcPr>
          <w:p w14:paraId="3A7D2F87"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18.9</w:t>
            </w:r>
          </w:p>
        </w:tc>
        <w:tc>
          <w:tcPr>
            <w:tcW w:w="0" w:type="auto"/>
            <w:hideMark/>
          </w:tcPr>
          <w:p w14:paraId="6F952F13"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w:t>
            </w:r>
          </w:p>
        </w:tc>
      </w:tr>
      <w:tr w:rsidR="00BA6D4C" w14:paraId="5E4990A7" w14:textId="77777777">
        <w:trPr>
          <w:trHeight w:val="308"/>
        </w:trPr>
        <w:tc>
          <w:tcPr>
            <w:tcW w:w="0" w:type="auto"/>
            <w:hideMark/>
          </w:tcPr>
          <w:p w14:paraId="16686CFA"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A</w:t>
            </w:r>
          </w:p>
        </w:tc>
        <w:tc>
          <w:tcPr>
            <w:tcW w:w="0" w:type="auto"/>
            <w:hideMark/>
          </w:tcPr>
          <w:p w14:paraId="3F29663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14.7</w:t>
            </w:r>
          </w:p>
        </w:tc>
        <w:tc>
          <w:tcPr>
            <w:tcW w:w="0" w:type="auto"/>
            <w:hideMark/>
          </w:tcPr>
          <w:p w14:paraId="32436369"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2</w:t>
            </w:r>
          </w:p>
        </w:tc>
      </w:tr>
      <w:tr w:rsidR="00BA6D4C" w14:paraId="34630584" w14:textId="77777777">
        <w:trPr>
          <w:trHeight w:val="308"/>
        </w:trPr>
        <w:tc>
          <w:tcPr>
            <w:tcW w:w="0" w:type="auto"/>
            <w:hideMark/>
          </w:tcPr>
          <w:p w14:paraId="473F4AE2"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B</w:t>
            </w:r>
          </w:p>
        </w:tc>
        <w:tc>
          <w:tcPr>
            <w:tcW w:w="0" w:type="auto"/>
            <w:hideMark/>
          </w:tcPr>
          <w:p w14:paraId="62288F60"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9.6</w:t>
            </w:r>
          </w:p>
        </w:tc>
        <w:tc>
          <w:tcPr>
            <w:tcW w:w="0" w:type="auto"/>
            <w:hideMark/>
          </w:tcPr>
          <w:p w14:paraId="49113675" w14:textId="77777777" w:rsidR="00BA6D4C" w:rsidRDefault="00CE0412">
            <w:pPr>
              <w:spacing w:line="360" w:lineRule="auto"/>
              <w:jc w:val="both"/>
              <w:rPr>
                <w:rFonts w:ascii="Arial" w:eastAsia="Times New Roman" w:hAnsi="Arial"/>
                <w:sz w:val="24"/>
                <w:szCs w:val="24"/>
              </w:rPr>
            </w:pPr>
            <w:r>
              <w:rPr>
                <w:rFonts w:ascii="Arial" w:eastAsia="Times New Roman" w:hAnsi="Arial"/>
                <w:sz w:val="24"/>
                <w:szCs w:val="24"/>
              </w:rPr>
              <w:t>3</w:t>
            </w:r>
          </w:p>
        </w:tc>
      </w:tr>
    </w:tbl>
    <w:p w14:paraId="55D758B7"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IRR analysis further confirms that Project C generates the highest annualized return, well above the firm’s 10% cost of capital, making it the most attractive investment.</w:t>
      </w:r>
    </w:p>
    <w:p w14:paraId="4173546C" w14:textId="77777777" w:rsidR="00BA6D4C" w:rsidRDefault="00CE0412">
      <w:pPr>
        <w:spacing w:before="100" w:beforeAutospacing="1" w:after="100" w:afterAutospacing="1" w:line="360" w:lineRule="auto"/>
        <w:jc w:val="both"/>
        <w:outlineLvl w:val="1"/>
        <w:rPr>
          <w:rFonts w:ascii="Arial" w:eastAsia="Times New Roman" w:hAnsi="Arial"/>
          <w:b/>
          <w:bCs/>
          <w:sz w:val="24"/>
          <w:szCs w:val="24"/>
        </w:rPr>
      </w:pPr>
      <w:bookmarkStart w:id="10" w:name="_Toc214316820"/>
      <w:r>
        <w:rPr>
          <w:rFonts w:ascii="Arial" w:eastAsia="Times New Roman" w:hAnsi="Arial"/>
          <w:b/>
          <w:bCs/>
          <w:sz w:val="24"/>
          <w:szCs w:val="24"/>
        </w:rPr>
        <w:t>5.6 Capital Rationing Decision (Budget £60m)</w:t>
      </w:r>
      <w:bookmarkEnd w:id="10"/>
    </w:p>
    <w:p w14:paraId="007A9B50"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Given the company’s maximum available capital of £60m, multiple combinations were evaluated:</w:t>
      </w:r>
    </w:p>
    <w:p w14:paraId="7AA50B00" w14:textId="77777777" w:rsidR="00BA6D4C" w:rsidRDefault="00CE0412">
      <w:pPr>
        <w:numPr>
          <w:ilvl w:val="0"/>
          <w:numId w:val="31"/>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A + B = £70m </w:t>
      </w:r>
    </w:p>
    <w:p w14:paraId="28A3EF05" w14:textId="77777777" w:rsidR="00BA6D4C" w:rsidRDefault="00CE0412">
      <w:pPr>
        <w:numPr>
          <w:ilvl w:val="0"/>
          <w:numId w:val="31"/>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A + C = £90m </w:t>
      </w:r>
    </w:p>
    <w:p w14:paraId="3415671D" w14:textId="77777777" w:rsidR="00BA6D4C" w:rsidRDefault="00CE0412">
      <w:pPr>
        <w:numPr>
          <w:ilvl w:val="0"/>
          <w:numId w:val="31"/>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B + C = £80m </w:t>
      </w:r>
    </w:p>
    <w:p w14:paraId="34218446" w14:textId="77777777" w:rsidR="00BA6D4C" w:rsidRDefault="00CE0412">
      <w:pPr>
        <w:numPr>
          <w:ilvl w:val="0"/>
          <w:numId w:val="31"/>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Only A = £40m </w:t>
      </w:r>
    </w:p>
    <w:p w14:paraId="04DC48E0" w14:textId="77777777" w:rsidR="00BA6D4C" w:rsidRDefault="00CE0412">
      <w:pPr>
        <w:numPr>
          <w:ilvl w:val="0"/>
          <w:numId w:val="31"/>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lastRenderedPageBreak/>
        <w:t xml:space="preserve">Only B = £30m </w:t>
      </w:r>
    </w:p>
    <w:p w14:paraId="11E46BE1" w14:textId="77777777" w:rsidR="00BA6D4C" w:rsidRDefault="00CE0412">
      <w:pPr>
        <w:numPr>
          <w:ilvl w:val="0"/>
          <w:numId w:val="31"/>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Only C = £50m </w:t>
      </w:r>
    </w:p>
    <w:p w14:paraId="030B5A8D"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Decision:</w:t>
      </w:r>
    </w:p>
    <w:p w14:paraId="659D9575"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Project C is the best option when capital rations is used because it is the one that would mean the highest NPV, PI and IRR but it will fall within the budget of £60m. Project A, though self-rewarding and yielding average returns is not as good as Project C in terms of strategic value and profit. Project B is abandoned as it has negative NPV and low returns.</w:t>
      </w:r>
    </w:p>
    <w:p w14:paraId="697B9939" w14:textId="77777777" w:rsidR="00BA6D4C" w:rsidRDefault="00CE0412">
      <w:pPr>
        <w:spacing w:before="100" w:beforeAutospacing="1" w:after="100" w:afterAutospacing="1" w:line="360" w:lineRule="auto"/>
        <w:jc w:val="both"/>
        <w:rPr>
          <w:rFonts w:ascii="Arial" w:eastAsia="Times New Roman" w:hAnsi="Arial"/>
          <w:b/>
          <w:bCs/>
          <w:sz w:val="24"/>
          <w:szCs w:val="24"/>
        </w:rPr>
      </w:pPr>
      <w:r>
        <w:rPr>
          <w:rFonts w:ascii="Arial" w:eastAsia="Times New Roman" w:hAnsi="Arial"/>
          <w:b/>
          <w:bCs/>
          <w:sz w:val="24"/>
          <w:szCs w:val="24"/>
        </w:rPr>
        <w:t>5.7 Strategic Fit with Turn around of GE.</w:t>
      </w:r>
    </w:p>
    <w:p w14:paraId="45B209E1"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Investing in the Project C is consistent with the further financial restructuring and strategic goals of GE:</w:t>
      </w:r>
    </w:p>
    <w:p w14:paraId="5A31E556" w14:textId="77777777" w:rsidR="00BA6D4C" w:rsidRDefault="00CE0412">
      <w:pPr>
        <w:numPr>
          <w:ilvl w:val="0"/>
          <w:numId w:val="32"/>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Maximizes Shareholder Value:</w:t>
      </w:r>
      <w:r>
        <w:rPr>
          <w:rFonts w:ascii="Arial" w:eastAsia="Times New Roman" w:hAnsi="Arial"/>
          <w:sz w:val="24"/>
          <w:szCs w:val="24"/>
        </w:rPr>
        <w:t xml:space="preserve"> The maximization of NPV will guarantee value-generation both in the short term and in the long term which is necessary to regain investor confidence.</w:t>
      </w:r>
    </w:p>
    <w:p w14:paraId="473803F6" w14:textId="77777777" w:rsidR="00BA6D4C" w:rsidRDefault="00CE0412">
      <w:pPr>
        <w:numPr>
          <w:ilvl w:val="0"/>
          <w:numId w:val="32"/>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 xml:space="preserve">Good Return Potential: </w:t>
      </w:r>
      <w:r>
        <w:rPr>
          <w:rFonts w:ascii="Arial" w:eastAsia="Times New Roman" w:hAnsi="Arial"/>
          <w:sz w:val="24"/>
          <w:szCs w:val="24"/>
        </w:rPr>
        <w:t>IRR of 18.9% is above the cost of capital by 8.9 percentage points and is highly capital efficient.</w:t>
      </w:r>
    </w:p>
    <w:p w14:paraId="4AFCC78A" w14:textId="77777777" w:rsidR="00BA6D4C" w:rsidRDefault="00CE0412">
      <w:pPr>
        <w:numPr>
          <w:ilvl w:val="0"/>
          <w:numId w:val="32"/>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Benefits Long-term Profitability</w:t>
      </w:r>
      <w:r>
        <w:rPr>
          <w:rFonts w:ascii="Arial" w:eastAsia="Times New Roman" w:hAnsi="Arial"/>
          <w:sz w:val="24"/>
          <w:szCs w:val="24"/>
        </w:rPr>
        <w:t>: Project C creates diversified inflows during the 5 year period, which minimizes the risk of operations comparison to the homogenous inflow projects.</w:t>
      </w:r>
    </w:p>
    <w:p w14:paraId="5E7FC46F" w14:textId="77777777" w:rsidR="00BA6D4C" w:rsidRDefault="00CE0412">
      <w:pPr>
        <w:numPr>
          <w:ilvl w:val="0"/>
          <w:numId w:val="32"/>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Improves Liquidity</w:t>
      </w:r>
      <w:r>
        <w:rPr>
          <w:rFonts w:ascii="Arial" w:eastAsia="Times New Roman" w:hAnsi="Arial"/>
          <w:sz w:val="24"/>
          <w:szCs w:val="24"/>
        </w:rPr>
        <w:t>: The working cash inflows would aid in stabilizing the cash movement and less reliance on short-term borrowings, alongside the working capital reforms.</w:t>
      </w:r>
    </w:p>
    <w:p w14:paraId="669FC537" w14:textId="77777777" w:rsidR="00BA6D4C" w:rsidRDefault="00CE0412">
      <w:pPr>
        <w:numPr>
          <w:ilvl w:val="0"/>
          <w:numId w:val="32"/>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Strategic Alignment</w:t>
      </w:r>
      <w:r>
        <w:rPr>
          <w:rFonts w:ascii="Arial" w:eastAsia="Times New Roman" w:hAnsi="Arial"/>
          <w:sz w:val="24"/>
          <w:szCs w:val="24"/>
        </w:rPr>
        <w:t>: Project C targets business areas that are aligned within the restructured portfolio of GE including cloud-enabled devices and high demand electronics, which would ensure turnaround operational targets.</w:t>
      </w:r>
    </w:p>
    <w:p w14:paraId="1A5DC897" w14:textId="77777777" w:rsidR="00BA6D4C" w:rsidRDefault="00CE0412">
      <w:pPr>
        <w:numPr>
          <w:ilvl w:val="0"/>
          <w:numId w:val="32"/>
        </w:numPr>
        <w:spacing w:before="100" w:beforeAutospacing="1" w:after="100" w:afterAutospacing="1" w:line="360" w:lineRule="auto"/>
        <w:jc w:val="both"/>
        <w:rPr>
          <w:rFonts w:ascii="Arial" w:eastAsia="Times New Roman" w:hAnsi="Arial"/>
          <w:sz w:val="24"/>
          <w:szCs w:val="24"/>
        </w:rPr>
      </w:pPr>
      <w:r>
        <w:rPr>
          <w:rFonts w:ascii="Arial" w:eastAsia="Times New Roman" w:hAnsi="Arial"/>
          <w:b/>
          <w:bCs/>
          <w:sz w:val="24"/>
          <w:szCs w:val="24"/>
        </w:rPr>
        <w:t>Risk Management</w:t>
      </w:r>
      <w:r>
        <w:rPr>
          <w:rFonts w:ascii="Arial" w:eastAsia="Times New Roman" w:hAnsi="Arial"/>
          <w:sz w:val="24"/>
          <w:szCs w:val="24"/>
        </w:rPr>
        <w:t>: Multiple year dispersed cash inflows alleviates the threat of liquidity shocks in volatile markets.</w:t>
      </w:r>
    </w:p>
    <w:p w14:paraId="1AE51B21" w14:textId="77777777" w:rsidR="00BA6D4C" w:rsidRDefault="00CE0412">
      <w:pPr>
        <w:spacing w:before="100" w:beforeAutospacing="1" w:after="100" w:afterAutospacing="1" w:line="360" w:lineRule="auto"/>
        <w:jc w:val="both"/>
        <w:outlineLvl w:val="0"/>
        <w:rPr>
          <w:rFonts w:ascii="Arial" w:eastAsia="Times New Roman" w:hAnsi="Arial"/>
          <w:b/>
          <w:bCs/>
          <w:kern w:val="36"/>
          <w:sz w:val="24"/>
          <w:szCs w:val="24"/>
        </w:rPr>
      </w:pPr>
      <w:bookmarkStart w:id="11" w:name="_Toc214316822"/>
      <w:r>
        <w:rPr>
          <w:rFonts w:ascii="Arial" w:eastAsia="Times New Roman" w:hAnsi="Arial"/>
          <w:b/>
          <w:bCs/>
          <w:kern w:val="36"/>
          <w:sz w:val="24"/>
          <w:szCs w:val="24"/>
        </w:rPr>
        <w:lastRenderedPageBreak/>
        <w:t>6. CONCLUSION</w:t>
      </w:r>
      <w:bookmarkEnd w:id="11"/>
    </w:p>
    <w:p w14:paraId="624E8565"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General Electronics is undergoing acute financial stress that is characterised by continuous losses, decreasing liquidity, poor working capital management, increasing leverage and poor solvency ratios. The financial analysis of five-years shows areas where there are structural weaknesses that there is an urgent need to act on. The Altman Z-Score assures of the company being in high-risk failure zone.</w:t>
      </w:r>
    </w:p>
    <w:p w14:paraId="79606DAC"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It has an extremely extended working capital cycle that results in liquidity crunchs that lead to short-term lending necessities. Cash flows should be stabilised by means of stronger receivables control, minimisation of inventory, and renegotiations with the suppliers.</w:t>
      </w:r>
    </w:p>
    <w:p w14:paraId="035C549A"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It needs to devise a comprehensive restructuring plan through divesting non-core units, capital influx through a strategic alliance, restructuring of debt and operational restructuring. Social and global financial aspects enhance governance and provide a long-term sustainable recovery.</w:t>
      </w:r>
    </w:p>
    <w:p w14:paraId="082647D4"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Investment appraisal indicates that Project C has the greatest financial payoff and is suitable to the strategic course of restoring the products of GE. Project C must be accepted whereas Projects A and B must be rejected because of capital rationing limitations.</w:t>
      </w:r>
    </w:p>
    <w:p w14:paraId="3F9E461D" w14:textId="77777777" w:rsidR="00BA6D4C" w:rsidRDefault="00CE0412">
      <w:p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All in all, the suggested turn around plan can make GE gain profitability, recover liquidity, enhance solvency, and ensure sustained competitiveness in the international electronics market.</w:t>
      </w:r>
    </w:p>
    <w:p w14:paraId="35F4A5EB" w14:textId="77777777" w:rsidR="00BA6D4C" w:rsidRDefault="00CE0412">
      <w:pPr>
        <w:spacing w:before="100" w:beforeAutospacing="1" w:after="100" w:afterAutospacing="1" w:line="360" w:lineRule="auto"/>
        <w:jc w:val="both"/>
        <w:outlineLvl w:val="0"/>
        <w:rPr>
          <w:rFonts w:ascii="Arial" w:eastAsia="Times New Roman" w:hAnsi="Arial"/>
          <w:b/>
          <w:bCs/>
          <w:kern w:val="36"/>
          <w:sz w:val="24"/>
          <w:szCs w:val="24"/>
        </w:rPr>
      </w:pPr>
      <w:bookmarkStart w:id="12" w:name="_Toc214316823"/>
      <w:r>
        <w:rPr>
          <w:rFonts w:ascii="Arial" w:eastAsia="Times New Roman" w:hAnsi="Arial"/>
          <w:b/>
          <w:bCs/>
          <w:kern w:val="36"/>
          <w:sz w:val="24"/>
          <w:szCs w:val="24"/>
        </w:rPr>
        <w:t>7. REFERENCES</w:t>
      </w:r>
      <w:bookmarkEnd w:id="12"/>
      <w:r>
        <w:rPr>
          <w:rFonts w:ascii="Arial" w:eastAsia="Times New Roman" w:hAnsi="Arial"/>
          <w:b/>
          <w:bCs/>
          <w:kern w:val="36"/>
          <w:sz w:val="24"/>
          <w:szCs w:val="24"/>
        </w:rPr>
        <w:t xml:space="preserve"> </w:t>
      </w:r>
    </w:p>
    <w:p w14:paraId="058E0AFB"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Altman, E. (1968). </w:t>
      </w:r>
      <w:r>
        <w:rPr>
          <w:rFonts w:ascii="Arial" w:eastAsia="Times New Roman" w:hAnsi="Arial"/>
          <w:i/>
          <w:iCs/>
          <w:sz w:val="24"/>
          <w:szCs w:val="24"/>
        </w:rPr>
        <w:t>Financial Ratios, Discriminant Analysis and the Prediction of Corporate Bankruptcy</w:t>
      </w:r>
      <w:r>
        <w:rPr>
          <w:rFonts w:ascii="Arial" w:eastAsia="Times New Roman" w:hAnsi="Arial"/>
          <w:sz w:val="24"/>
          <w:szCs w:val="24"/>
        </w:rPr>
        <w:t>. Journal of Finance, 23(4), pp. 589–609.</w:t>
      </w:r>
    </w:p>
    <w:p w14:paraId="3547F429"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Brealey, R., Myers, S. &amp; Allen, F. (2020). </w:t>
      </w:r>
      <w:r>
        <w:rPr>
          <w:rFonts w:ascii="Arial" w:eastAsia="Times New Roman" w:hAnsi="Arial"/>
          <w:i/>
          <w:iCs/>
          <w:sz w:val="24"/>
          <w:szCs w:val="24"/>
        </w:rPr>
        <w:t>Principles of Corporate Finance</w:t>
      </w:r>
      <w:r>
        <w:rPr>
          <w:rFonts w:ascii="Arial" w:eastAsia="Times New Roman" w:hAnsi="Arial"/>
          <w:sz w:val="24"/>
          <w:szCs w:val="24"/>
        </w:rPr>
        <w:t>. 13th ed. McGraw-Hill.</w:t>
      </w:r>
    </w:p>
    <w:p w14:paraId="246E8C7B"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lastRenderedPageBreak/>
        <w:t xml:space="preserve">Brigham, E. &amp; Ehrhardt, M. (2022). </w:t>
      </w:r>
      <w:r>
        <w:rPr>
          <w:rFonts w:ascii="Arial" w:eastAsia="Times New Roman" w:hAnsi="Arial"/>
          <w:i/>
          <w:iCs/>
          <w:sz w:val="24"/>
          <w:szCs w:val="24"/>
        </w:rPr>
        <w:t>Financial Management: Theory and Practice</w:t>
      </w:r>
      <w:r>
        <w:rPr>
          <w:rFonts w:ascii="Arial" w:eastAsia="Times New Roman" w:hAnsi="Arial"/>
          <w:sz w:val="24"/>
          <w:szCs w:val="24"/>
        </w:rPr>
        <w:t>. 16th ed. Cengage.</w:t>
      </w:r>
    </w:p>
    <w:p w14:paraId="40101E61"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Brauer, M. (2006). </w:t>
      </w:r>
      <w:r>
        <w:rPr>
          <w:rFonts w:ascii="Arial" w:eastAsia="Times New Roman" w:hAnsi="Arial"/>
          <w:i/>
          <w:iCs/>
          <w:sz w:val="24"/>
          <w:szCs w:val="24"/>
        </w:rPr>
        <w:t>What Have We Acquired? A Review of Literature on M&amp;A Performance</w:t>
      </w:r>
      <w:r>
        <w:rPr>
          <w:rFonts w:ascii="Arial" w:eastAsia="Times New Roman" w:hAnsi="Arial"/>
          <w:sz w:val="24"/>
          <w:szCs w:val="24"/>
        </w:rPr>
        <w:t>. Management Research News, 29(5), pp. 216–233.</w:t>
      </w:r>
    </w:p>
    <w:p w14:paraId="456A44F5"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Deloof, M. (2003). </w:t>
      </w:r>
      <w:r>
        <w:rPr>
          <w:rFonts w:ascii="Arial" w:eastAsia="Times New Roman" w:hAnsi="Arial"/>
          <w:i/>
          <w:iCs/>
          <w:sz w:val="24"/>
          <w:szCs w:val="24"/>
        </w:rPr>
        <w:t>Does Working Capital Management Affect Profitability?</w:t>
      </w:r>
      <w:r>
        <w:rPr>
          <w:rFonts w:ascii="Arial" w:eastAsia="Times New Roman" w:hAnsi="Arial"/>
          <w:sz w:val="24"/>
          <w:szCs w:val="24"/>
        </w:rPr>
        <w:t xml:space="preserve"> Journal of Business Finance and Accounting, 30(3–4), pp. 573–587.</w:t>
      </w:r>
    </w:p>
    <w:p w14:paraId="18E43D0E"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Fazzari, S. et al. (2021). </w:t>
      </w:r>
      <w:r>
        <w:rPr>
          <w:rFonts w:ascii="Arial" w:eastAsia="Times New Roman" w:hAnsi="Arial"/>
          <w:i/>
          <w:iCs/>
          <w:sz w:val="24"/>
          <w:szCs w:val="24"/>
        </w:rPr>
        <w:t>Corporate Finance in Emerging Markets</w:t>
      </w:r>
      <w:r>
        <w:rPr>
          <w:rFonts w:ascii="Arial" w:eastAsia="Times New Roman" w:hAnsi="Arial"/>
          <w:sz w:val="24"/>
          <w:szCs w:val="24"/>
        </w:rPr>
        <w:t>. Oxford University Press.</w:t>
      </w:r>
    </w:p>
    <w:p w14:paraId="0706F198"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Hotchkiss, E., Altman, E. &amp; Wang, W. (2020). </w:t>
      </w:r>
      <w:r>
        <w:rPr>
          <w:rFonts w:ascii="Arial" w:eastAsia="Times New Roman" w:hAnsi="Arial"/>
          <w:i/>
          <w:iCs/>
          <w:sz w:val="24"/>
          <w:szCs w:val="24"/>
        </w:rPr>
        <w:t>Corporate Financial Distress and Bankruptcy</w:t>
      </w:r>
      <w:r>
        <w:rPr>
          <w:rFonts w:ascii="Arial" w:eastAsia="Times New Roman" w:hAnsi="Arial"/>
          <w:sz w:val="24"/>
          <w:szCs w:val="24"/>
        </w:rPr>
        <w:t>. Wiley.</w:t>
      </w:r>
    </w:p>
    <w:p w14:paraId="306F0DD7"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Koller, T., Goedhart, M. &amp; Wessels, D. (2020). </w:t>
      </w:r>
      <w:r>
        <w:rPr>
          <w:rFonts w:ascii="Arial" w:eastAsia="Times New Roman" w:hAnsi="Arial"/>
          <w:i/>
          <w:iCs/>
          <w:sz w:val="24"/>
          <w:szCs w:val="24"/>
        </w:rPr>
        <w:t>Valuation: Measuring and Managing the Value of Companies</w:t>
      </w:r>
      <w:r>
        <w:rPr>
          <w:rFonts w:ascii="Arial" w:eastAsia="Times New Roman" w:hAnsi="Arial"/>
          <w:sz w:val="24"/>
          <w:szCs w:val="24"/>
        </w:rPr>
        <w:t>. McKinsey.</w:t>
      </w:r>
    </w:p>
    <w:p w14:paraId="2F72BEBC"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Modigliani, F. &amp; Miller, M. (1958). </w:t>
      </w:r>
      <w:r>
        <w:rPr>
          <w:rFonts w:ascii="Arial" w:eastAsia="Times New Roman" w:hAnsi="Arial"/>
          <w:i/>
          <w:iCs/>
          <w:sz w:val="24"/>
          <w:szCs w:val="24"/>
        </w:rPr>
        <w:t>The Cost of Capital, Corporation Finance and the Theory of Investment</w:t>
      </w:r>
      <w:r>
        <w:rPr>
          <w:rFonts w:ascii="Arial" w:eastAsia="Times New Roman" w:hAnsi="Arial"/>
          <w:sz w:val="24"/>
          <w:szCs w:val="24"/>
        </w:rPr>
        <w:t>. American Economic Review, 48(3), pp. 261–297.</w:t>
      </w:r>
    </w:p>
    <w:p w14:paraId="600BECAA"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Ross, S., Westerfield, R. &amp; Jordan, B. (2022). </w:t>
      </w:r>
      <w:r>
        <w:rPr>
          <w:rFonts w:ascii="Arial" w:eastAsia="Times New Roman" w:hAnsi="Arial"/>
          <w:i/>
          <w:iCs/>
          <w:sz w:val="24"/>
          <w:szCs w:val="24"/>
        </w:rPr>
        <w:t>Fundamentals of Corporate Finance</w:t>
      </w:r>
      <w:r>
        <w:rPr>
          <w:rFonts w:ascii="Arial" w:eastAsia="Times New Roman" w:hAnsi="Arial"/>
          <w:sz w:val="24"/>
          <w:szCs w:val="24"/>
        </w:rPr>
        <w:t>. 14th ed. McGraw-Hill.</w:t>
      </w:r>
    </w:p>
    <w:p w14:paraId="448322B4"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Tian, X. &amp; Yu, X. (2021). </w:t>
      </w:r>
      <w:r>
        <w:rPr>
          <w:rFonts w:ascii="Arial" w:eastAsia="Times New Roman" w:hAnsi="Arial"/>
          <w:i/>
          <w:iCs/>
          <w:sz w:val="24"/>
          <w:szCs w:val="24"/>
        </w:rPr>
        <w:t>Corporate Leverage and Risk in Global Markets</w:t>
      </w:r>
      <w:r>
        <w:rPr>
          <w:rFonts w:ascii="Arial" w:eastAsia="Times New Roman" w:hAnsi="Arial"/>
          <w:sz w:val="24"/>
          <w:szCs w:val="24"/>
        </w:rPr>
        <w:t>. Journal of Financial Economics, 142(1), pp. 88–111.</w:t>
      </w:r>
    </w:p>
    <w:p w14:paraId="75D73146"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Scherr, F. (2020). </w:t>
      </w:r>
      <w:r>
        <w:rPr>
          <w:rFonts w:ascii="Arial" w:eastAsia="Times New Roman" w:hAnsi="Arial"/>
          <w:i/>
          <w:iCs/>
          <w:sz w:val="24"/>
          <w:szCs w:val="24"/>
        </w:rPr>
        <w:t>Modern Working Capital Management</w:t>
      </w:r>
      <w:r>
        <w:rPr>
          <w:rFonts w:ascii="Arial" w:eastAsia="Times New Roman" w:hAnsi="Arial"/>
          <w:sz w:val="24"/>
          <w:szCs w:val="24"/>
        </w:rPr>
        <w:t>. 5th ed. Pearson.</w:t>
      </w:r>
    </w:p>
    <w:p w14:paraId="5B8A3B1F"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OECD (2023). </w:t>
      </w:r>
      <w:r>
        <w:rPr>
          <w:rFonts w:ascii="Arial" w:eastAsia="Times New Roman" w:hAnsi="Arial"/>
          <w:i/>
          <w:iCs/>
          <w:sz w:val="24"/>
          <w:szCs w:val="24"/>
        </w:rPr>
        <w:t>Global Economic Outlook</w:t>
      </w:r>
      <w:r>
        <w:rPr>
          <w:rFonts w:ascii="Arial" w:eastAsia="Times New Roman" w:hAnsi="Arial"/>
          <w:sz w:val="24"/>
          <w:szCs w:val="24"/>
        </w:rPr>
        <w:t>. OECD Publishing.</w:t>
      </w:r>
    </w:p>
    <w:p w14:paraId="610AF54B"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World Bank (2024). </w:t>
      </w:r>
      <w:r>
        <w:rPr>
          <w:rFonts w:ascii="Arial" w:eastAsia="Times New Roman" w:hAnsi="Arial"/>
          <w:i/>
          <w:iCs/>
          <w:sz w:val="24"/>
          <w:szCs w:val="24"/>
        </w:rPr>
        <w:t>Global Value Chain Report</w:t>
      </w:r>
      <w:r>
        <w:rPr>
          <w:rFonts w:ascii="Arial" w:eastAsia="Times New Roman" w:hAnsi="Arial"/>
          <w:sz w:val="24"/>
          <w:szCs w:val="24"/>
        </w:rPr>
        <w:t>. World Bank.</w:t>
      </w:r>
    </w:p>
    <w:p w14:paraId="7C7120B3"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PwC (2023). </w:t>
      </w:r>
      <w:r>
        <w:rPr>
          <w:rFonts w:ascii="Arial" w:eastAsia="Times New Roman" w:hAnsi="Arial"/>
          <w:i/>
          <w:iCs/>
          <w:sz w:val="24"/>
          <w:szCs w:val="24"/>
        </w:rPr>
        <w:t>Global Consumer Electronics Outlook</w:t>
      </w:r>
      <w:r>
        <w:rPr>
          <w:rFonts w:ascii="Arial" w:eastAsia="Times New Roman" w:hAnsi="Arial"/>
          <w:sz w:val="24"/>
          <w:szCs w:val="24"/>
        </w:rPr>
        <w:t>. PwC Strategy&amp;.</w:t>
      </w:r>
    </w:p>
    <w:p w14:paraId="1B0066CB"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EY (2024). </w:t>
      </w:r>
      <w:r>
        <w:rPr>
          <w:rFonts w:ascii="Arial" w:eastAsia="Times New Roman" w:hAnsi="Arial"/>
          <w:i/>
          <w:iCs/>
          <w:sz w:val="24"/>
          <w:szCs w:val="24"/>
        </w:rPr>
        <w:t>Restructuring in the Technology Sector</w:t>
      </w:r>
      <w:r>
        <w:rPr>
          <w:rFonts w:ascii="Arial" w:eastAsia="Times New Roman" w:hAnsi="Arial"/>
          <w:sz w:val="24"/>
          <w:szCs w:val="24"/>
        </w:rPr>
        <w:t>. EY Global.</w:t>
      </w:r>
    </w:p>
    <w:p w14:paraId="797445A5"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McKinsey (2023). </w:t>
      </w:r>
      <w:r>
        <w:rPr>
          <w:rFonts w:ascii="Arial" w:eastAsia="Times New Roman" w:hAnsi="Arial"/>
          <w:i/>
          <w:iCs/>
          <w:sz w:val="24"/>
          <w:szCs w:val="24"/>
        </w:rPr>
        <w:t>Reinventing Electronics Supply Chains</w:t>
      </w:r>
      <w:r>
        <w:rPr>
          <w:rFonts w:ascii="Arial" w:eastAsia="Times New Roman" w:hAnsi="Arial"/>
          <w:sz w:val="24"/>
          <w:szCs w:val="24"/>
        </w:rPr>
        <w:t>. McKinsey Insights.</w:t>
      </w:r>
    </w:p>
    <w:p w14:paraId="7CA0CB37"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KPMG (2024). </w:t>
      </w:r>
      <w:r>
        <w:rPr>
          <w:rFonts w:ascii="Arial" w:eastAsia="Times New Roman" w:hAnsi="Arial"/>
          <w:i/>
          <w:iCs/>
          <w:sz w:val="24"/>
          <w:szCs w:val="24"/>
        </w:rPr>
        <w:t>Technology Industry Risk Outlook</w:t>
      </w:r>
      <w:r>
        <w:rPr>
          <w:rFonts w:ascii="Arial" w:eastAsia="Times New Roman" w:hAnsi="Arial"/>
          <w:sz w:val="24"/>
          <w:szCs w:val="24"/>
        </w:rPr>
        <w:t>. KPMG Global.</w:t>
      </w:r>
    </w:p>
    <w:p w14:paraId="3FA0FBFC"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FT (2023). </w:t>
      </w:r>
      <w:r>
        <w:rPr>
          <w:rFonts w:ascii="Arial" w:eastAsia="Times New Roman" w:hAnsi="Arial"/>
          <w:i/>
          <w:iCs/>
          <w:sz w:val="24"/>
          <w:szCs w:val="24"/>
        </w:rPr>
        <w:t>Global Tech Companies Face Liquidity Pressure</w:t>
      </w:r>
      <w:r>
        <w:rPr>
          <w:rFonts w:ascii="Arial" w:eastAsia="Times New Roman" w:hAnsi="Arial"/>
          <w:sz w:val="24"/>
          <w:szCs w:val="24"/>
        </w:rPr>
        <w:t>. Financial Times.</w:t>
      </w:r>
    </w:p>
    <w:p w14:paraId="1DEFC7E5" w14:textId="77777777" w:rsidR="00BA6D4C" w:rsidRDefault="00CE0412">
      <w:pPr>
        <w:pStyle w:val="ListParagraph"/>
        <w:numPr>
          <w:ilvl w:val="0"/>
          <w:numId w:val="2"/>
        </w:numPr>
        <w:spacing w:before="100" w:beforeAutospacing="1" w:after="100" w:afterAutospacing="1" w:line="360" w:lineRule="auto"/>
        <w:jc w:val="both"/>
        <w:rPr>
          <w:rFonts w:ascii="Arial" w:eastAsia="Times New Roman" w:hAnsi="Arial"/>
          <w:sz w:val="24"/>
          <w:szCs w:val="24"/>
        </w:rPr>
      </w:pPr>
      <w:r>
        <w:rPr>
          <w:rFonts w:ascii="Arial" w:eastAsia="Times New Roman" w:hAnsi="Arial"/>
          <w:sz w:val="24"/>
          <w:szCs w:val="24"/>
        </w:rPr>
        <w:t xml:space="preserve">Bloomberg (2024). </w:t>
      </w:r>
      <w:r>
        <w:rPr>
          <w:rFonts w:ascii="Arial" w:eastAsia="Times New Roman" w:hAnsi="Arial"/>
          <w:i/>
          <w:iCs/>
          <w:sz w:val="24"/>
          <w:szCs w:val="24"/>
        </w:rPr>
        <w:t>Electronics Industry Profitability Trends</w:t>
      </w:r>
      <w:r>
        <w:rPr>
          <w:rFonts w:ascii="Arial" w:eastAsia="Times New Roman" w:hAnsi="Arial"/>
          <w:sz w:val="24"/>
          <w:szCs w:val="24"/>
        </w:rPr>
        <w:t>. Bloomberg Intelligence.</w:t>
      </w:r>
    </w:p>
    <w:p w14:paraId="755D4C29" w14:textId="77777777" w:rsidR="00BA6D4C" w:rsidRDefault="00BA6D4C">
      <w:pPr>
        <w:spacing w:before="100" w:beforeAutospacing="1" w:after="100" w:afterAutospacing="1" w:line="360" w:lineRule="auto"/>
        <w:jc w:val="both"/>
        <w:outlineLvl w:val="0"/>
        <w:rPr>
          <w:rFonts w:ascii="Arial" w:eastAsia="Times New Roman" w:hAnsi="Arial"/>
          <w:b/>
          <w:bCs/>
          <w:kern w:val="36"/>
          <w:sz w:val="24"/>
          <w:szCs w:val="24"/>
        </w:rPr>
      </w:pPr>
      <w:bookmarkStart w:id="13" w:name="_Toc214316824"/>
    </w:p>
    <w:p w14:paraId="376864CC" w14:textId="77777777" w:rsidR="00A214F4" w:rsidRDefault="00A214F4">
      <w:pPr>
        <w:spacing w:before="100" w:beforeAutospacing="1" w:after="100" w:afterAutospacing="1" w:line="360" w:lineRule="auto"/>
        <w:jc w:val="both"/>
        <w:outlineLvl w:val="0"/>
        <w:rPr>
          <w:rFonts w:ascii="Arial" w:eastAsia="Times New Roman" w:hAnsi="Arial"/>
          <w:b/>
          <w:bCs/>
          <w:kern w:val="36"/>
          <w:sz w:val="24"/>
          <w:szCs w:val="24"/>
        </w:rPr>
      </w:pPr>
    </w:p>
    <w:p w14:paraId="17C69FEE" w14:textId="77777777" w:rsidR="00A214F4" w:rsidRDefault="00A214F4">
      <w:pPr>
        <w:spacing w:before="100" w:beforeAutospacing="1" w:after="100" w:afterAutospacing="1" w:line="360" w:lineRule="auto"/>
        <w:jc w:val="both"/>
        <w:outlineLvl w:val="0"/>
        <w:rPr>
          <w:rFonts w:ascii="Arial" w:eastAsia="Times New Roman" w:hAnsi="Arial"/>
          <w:b/>
          <w:bCs/>
          <w:kern w:val="36"/>
          <w:sz w:val="24"/>
          <w:szCs w:val="24"/>
        </w:rPr>
      </w:pPr>
    </w:p>
    <w:p w14:paraId="173FC55F" w14:textId="77777777" w:rsidR="00BA6D4C" w:rsidRDefault="00BA6D4C">
      <w:pPr>
        <w:spacing w:before="100" w:beforeAutospacing="1" w:after="100" w:afterAutospacing="1" w:line="360" w:lineRule="auto"/>
        <w:jc w:val="both"/>
        <w:outlineLvl w:val="0"/>
        <w:rPr>
          <w:rFonts w:ascii="Arial" w:eastAsia="Times New Roman" w:hAnsi="Arial"/>
          <w:b/>
          <w:bCs/>
          <w:kern w:val="36"/>
          <w:sz w:val="24"/>
          <w:szCs w:val="24"/>
        </w:rPr>
      </w:pPr>
    </w:p>
    <w:p w14:paraId="04838663" w14:textId="77777777" w:rsidR="00BA6D4C" w:rsidRDefault="00CE0412">
      <w:pPr>
        <w:spacing w:before="100" w:beforeAutospacing="1" w:after="100" w:afterAutospacing="1" w:line="360" w:lineRule="auto"/>
        <w:jc w:val="both"/>
        <w:outlineLvl w:val="0"/>
        <w:rPr>
          <w:rFonts w:ascii="Arial" w:eastAsia="Times New Roman" w:hAnsi="Arial"/>
          <w:b/>
          <w:bCs/>
          <w:kern w:val="36"/>
          <w:sz w:val="24"/>
          <w:szCs w:val="24"/>
        </w:rPr>
      </w:pPr>
      <w:r>
        <w:rPr>
          <w:rFonts w:ascii="Arial" w:eastAsia="Times New Roman" w:hAnsi="Arial"/>
          <w:b/>
          <w:bCs/>
          <w:kern w:val="36"/>
          <w:sz w:val="24"/>
          <w:szCs w:val="24"/>
        </w:rPr>
        <w:t>8. APPENDICES</w:t>
      </w:r>
      <w:bookmarkEnd w:id="13"/>
    </w:p>
    <w:p w14:paraId="44C73245" w14:textId="77777777" w:rsidR="00BA6D4C" w:rsidRDefault="00CE0412">
      <w:pPr>
        <w:pStyle w:val="Heading1"/>
        <w:spacing w:line="360" w:lineRule="auto"/>
        <w:rPr>
          <w:rFonts w:ascii="Arial" w:hAnsi="Arial" w:cs="Arial"/>
          <w:sz w:val="24"/>
          <w:szCs w:val="24"/>
        </w:rPr>
      </w:pPr>
      <w:r>
        <w:rPr>
          <w:rStyle w:val="Strong"/>
          <w:rFonts w:ascii="Arial" w:hAnsi="Arial" w:cs="Arial"/>
          <w:b/>
          <w:bCs/>
          <w:sz w:val="24"/>
          <w:szCs w:val="24"/>
        </w:rPr>
        <w:t>Appendix A: Ratio Tables (Full Calculations)</w:t>
      </w:r>
    </w:p>
    <w:p w14:paraId="28E064A6" w14:textId="77777777" w:rsidR="00BA6D4C" w:rsidRDefault="00CE0412">
      <w:pPr>
        <w:pStyle w:val="NormalWeb"/>
        <w:spacing w:line="360" w:lineRule="auto"/>
        <w:rPr>
          <w:rFonts w:ascii="Arial" w:hAnsi="Arial" w:cs="Arial"/>
        </w:rPr>
      </w:pPr>
      <w:r>
        <w:rPr>
          <w:rStyle w:val="Strong"/>
          <w:rFonts w:ascii="Arial" w:hAnsi="Arial" w:cs="Arial"/>
        </w:rPr>
        <w:t>Table A1: Profitability Ratios (2020–2024)</w:t>
      </w:r>
    </w:p>
    <w:tbl>
      <w:tblPr>
        <w:tblStyle w:val="TableGrid"/>
        <w:tblW w:w="0" w:type="auto"/>
        <w:tblLook w:val="04A0" w:firstRow="1" w:lastRow="0" w:firstColumn="1" w:lastColumn="0" w:noHBand="0" w:noVBand="1"/>
      </w:tblPr>
      <w:tblGrid>
        <w:gridCol w:w="1762"/>
        <w:gridCol w:w="2975"/>
        <w:gridCol w:w="897"/>
        <w:gridCol w:w="897"/>
        <w:gridCol w:w="897"/>
        <w:gridCol w:w="961"/>
        <w:gridCol w:w="961"/>
      </w:tblGrid>
      <w:tr w:rsidR="00BA6D4C" w14:paraId="0EF0F0BC" w14:textId="77777777">
        <w:tc>
          <w:tcPr>
            <w:tcW w:w="0" w:type="auto"/>
            <w:hideMark/>
          </w:tcPr>
          <w:p w14:paraId="4381F724" w14:textId="77777777" w:rsidR="00BA6D4C" w:rsidRDefault="00CE0412">
            <w:pPr>
              <w:spacing w:line="360" w:lineRule="auto"/>
              <w:jc w:val="center"/>
              <w:rPr>
                <w:rFonts w:ascii="Arial" w:hAnsi="Arial"/>
                <w:b/>
                <w:bCs/>
                <w:sz w:val="24"/>
                <w:szCs w:val="24"/>
              </w:rPr>
            </w:pPr>
            <w:r>
              <w:rPr>
                <w:rFonts w:ascii="Arial" w:hAnsi="Arial"/>
                <w:b/>
                <w:bCs/>
                <w:sz w:val="24"/>
                <w:szCs w:val="24"/>
              </w:rPr>
              <w:t>Ratio</w:t>
            </w:r>
          </w:p>
        </w:tc>
        <w:tc>
          <w:tcPr>
            <w:tcW w:w="0" w:type="auto"/>
            <w:hideMark/>
          </w:tcPr>
          <w:p w14:paraId="6BF2FAD0" w14:textId="77777777" w:rsidR="00BA6D4C" w:rsidRDefault="00CE0412">
            <w:pPr>
              <w:spacing w:line="360" w:lineRule="auto"/>
              <w:jc w:val="center"/>
              <w:rPr>
                <w:rFonts w:ascii="Arial" w:hAnsi="Arial"/>
                <w:b/>
                <w:bCs/>
                <w:sz w:val="24"/>
                <w:szCs w:val="24"/>
              </w:rPr>
            </w:pPr>
            <w:r>
              <w:rPr>
                <w:rFonts w:ascii="Arial" w:hAnsi="Arial"/>
                <w:b/>
                <w:bCs/>
                <w:sz w:val="24"/>
                <w:szCs w:val="24"/>
              </w:rPr>
              <w:t>Formula</w:t>
            </w:r>
          </w:p>
        </w:tc>
        <w:tc>
          <w:tcPr>
            <w:tcW w:w="0" w:type="auto"/>
            <w:hideMark/>
          </w:tcPr>
          <w:p w14:paraId="638CFC7D" w14:textId="77777777" w:rsidR="00BA6D4C" w:rsidRDefault="00CE0412">
            <w:pPr>
              <w:spacing w:line="360" w:lineRule="auto"/>
              <w:jc w:val="center"/>
              <w:rPr>
                <w:rFonts w:ascii="Arial" w:hAnsi="Arial"/>
                <w:b/>
                <w:bCs/>
                <w:sz w:val="24"/>
                <w:szCs w:val="24"/>
              </w:rPr>
            </w:pPr>
            <w:r>
              <w:rPr>
                <w:rFonts w:ascii="Arial" w:hAnsi="Arial"/>
                <w:b/>
                <w:bCs/>
                <w:sz w:val="24"/>
                <w:szCs w:val="24"/>
              </w:rPr>
              <w:t>2020</w:t>
            </w:r>
          </w:p>
        </w:tc>
        <w:tc>
          <w:tcPr>
            <w:tcW w:w="0" w:type="auto"/>
            <w:hideMark/>
          </w:tcPr>
          <w:p w14:paraId="32BF3C39" w14:textId="77777777" w:rsidR="00BA6D4C" w:rsidRDefault="00CE0412">
            <w:pPr>
              <w:spacing w:line="360" w:lineRule="auto"/>
              <w:jc w:val="center"/>
              <w:rPr>
                <w:rFonts w:ascii="Arial" w:hAnsi="Arial"/>
                <w:b/>
                <w:bCs/>
                <w:sz w:val="24"/>
                <w:szCs w:val="24"/>
              </w:rPr>
            </w:pPr>
            <w:r>
              <w:rPr>
                <w:rFonts w:ascii="Arial" w:hAnsi="Arial"/>
                <w:b/>
                <w:bCs/>
                <w:sz w:val="24"/>
                <w:szCs w:val="24"/>
              </w:rPr>
              <w:t>2021</w:t>
            </w:r>
          </w:p>
        </w:tc>
        <w:tc>
          <w:tcPr>
            <w:tcW w:w="0" w:type="auto"/>
            <w:hideMark/>
          </w:tcPr>
          <w:p w14:paraId="6D76375D" w14:textId="77777777" w:rsidR="00BA6D4C" w:rsidRDefault="00CE0412">
            <w:pPr>
              <w:spacing w:line="360" w:lineRule="auto"/>
              <w:jc w:val="center"/>
              <w:rPr>
                <w:rFonts w:ascii="Arial" w:hAnsi="Arial"/>
                <w:b/>
                <w:bCs/>
                <w:sz w:val="24"/>
                <w:szCs w:val="24"/>
              </w:rPr>
            </w:pPr>
            <w:r>
              <w:rPr>
                <w:rFonts w:ascii="Arial" w:hAnsi="Arial"/>
                <w:b/>
                <w:bCs/>
                <w:sz w:val="24"/>
                <w:szCs w:val="24"/>
              </w:rPr>
              <w:t>2022</w:t>
            </w:r>
          </w:p>
        </w:tc>
        <w:tc>
          <w:tcPr>
            <w:tcW w:w="0" w:type="auto"/>
            <w:hideMark/>
          </w:tcPr>
          <w:p w14:paraId="6B36D0C3" w14:textId="77777777" w:rsidR="00BA6D4C" w:rsidRDefault="00CE0412">
            <w:pPr>
              <w:spacing w:line="360" w:lineRule="auto"/>
              <w:jc w:val="center"/>
              <w:rPr>
                <w:rFonts w:ascii="Arial" w:hAnsi="Arial"/>
                <w:b/>
                <w:bCs/>
                <w:sz w:val="24"/>
                <w:szCs w:val="24"/>
              </w:rPr>
            </w:pPr>
            <w:r>
              <w:rPr>
                <w:rFonts w:ascii="Arial" w:hAnsi="Arial"/>
                <w:b/>
                <w:bCs/>
                <w:sz w:val="24"/>
                <w:szCs w:val="24"/>
              </w:rPr>
              <w:t>2023</w:t>
            </w:r>
          </w:p>
        </w:tc>
        <w:tc>
          <w:tcPr>
            <w:tcW w:w="0" w:type="auto"/>
            <w:hideMark/>
          </w:tcPr>
          <w:p w14:paraId="30F3AAEC" w14:textId="77777777" w:rsidR="00BA6D4C" w:rsidRDefault="00CE0412">
            <w:pPr>
              <w:spacing w:line="360" w:lineRule="auto"/>
              <w:jc w:val="center"/>
              <w:rPr>
                <w:rFonts w:ascii="Arial" w:hAnsi="Arial"/>
                <w:b/>
                <w:bCs/>
                <w:sz w:val="24"/>
                <w:szCs w:val="24"/>
              </w:rPr>
            </w:pPr>
            <w:r>
              <w:rPr>
                <w:rFonts w:ascii="Arial" w:hAnsi="Arial"/>
                <w:b/>
                <w:bCs/>
                <w:sz w:val="24"/>
                <w:szCs w:val="24"/>
              </w:rPr>
              <w:t>2024</w:t>
            </w:r>
          </w:p>
        </w:tc>
      </w:tr>
      <w:tr w:rsidR="00BA6D4C" w14:paraId="6E078FD2" w14:textId="77777777">
        <w:tc>
          <w:tcPr>
            <w:tcW w:w="0" w:type="auto"/>
            <w:hideMark/>
          </w:tcPr>
          <w:p w14:paraId="4C501D56" w14:textId="77777777" w:rsidR="00BA6D4C" w:rsidRDefault="00CE0412">
            <w:pPr>
              <w:spacing w:line="360" w:lineRule="auto"/>
              <w:rPr>
                <w:rFonts w:ascii="Arial" w:hAnsi="Arial"/>
                <w:sz w:val="24"/>
                <w:szCs w:val="24"/>
              </w:rPr>
            </w:pPr>
            <w:r>
              <w:rPr>
                <w:rFonts w:ascii="Arial" w:hAnsi="Arial"/>
                <w:sz w:val="24"/>
                <w:szCs w:val="24"/>
              </w:rPr>
              <w:t>Gross Profit Margin</w:t>
            </w:r>
          </w:p>
        </w:tc>
        <w:tc>
          <w:tcPr>
            <w:tcW w:w="0" w:type="auto"/>
            <w:hideMark/>
          </w:tcPr>
          <w:p w14:paraId="38823932" w14:textId="77777777" w:rsidR="00BA6D4C" w:rsidRDefault="00CE0412">
            <w:pPr>
              <w:spacing w:line="360" w:lineRule="auto"/>
              <w:rPr>
                <w:rFonts w:ascii="Arial" w:hAnsi="Arial"/>
                <w:sz w:val="24"/>
                <w:szCs w:val="24"/>
              </w:rPr>
            </w:pPr>
            <w:r>
              <w:rPr>
                <w:rFonts w:ascii="Arial" w:hAnsi="Arial"/>
                <w:sz w:val="24"/>
                <w:szCs w:val="24"/>
              </w:rPr>
              <w:t>(Gross Profit / Revenue) × 100</w:t>
            </w:r>
          </w:p>
        </w:tc>
        <w:tc>
          <w:tcPr>
            <w:tcW w:w="0" w:type="auto"/>
            <w:hideMark/>
          </w:tcPr>
          <w:p w14:paraId="76D8FB8B" w14:textId="77777777" w:rsidR="00BA6D4C" w:rsidRDefault="00CE0412">
            <w:pPr>
              <w:spacing w:line="360" w:lineRule="auto"/>
              <w:rPr>
                <w:rFonts w:ascii="Arial" w:hAnsi="Arial"/>
                <w:sz w:val="24"/>
                <w:szCs w:val="24"/>
              </w:rPr>
            </w:pPr>
            <w:r>
              <w:rPr>
                <w:rFonts w:ascii="Arial" w:hAnsi="Arial"/>
                <w:sz w:val="24"/>
                <w:szCs w:val="24"/>
              </w:rPr>
              <w:t>28.7%</w:t>
            </w:r>
          </w:p>
        </w:tc>
        <w:tc>
          <w:tcPr>
            <w:tcW w:w="0" w:type="auto"/>
            <w:hideMark/>
          </w:tcPr>
          <w:p w14:paraId="7D36EF2A" w14:textId="77777777" w:rsidR="00BA6D4C" w:rsidRDefault="00CE0412">
            <w:pPr>
              <w:spacing w:line="360" w:lineRule="auto"/>
              <w:rPr>
                <w:rFonts w:ascii="Arial" w:hAnsi="Arial"/>
                <w:sz w:val="24"/>
                <w:szCs w:val="24"/>
              </w:rPr>
            </w:pPr>
            <w:r>
              <w:rPr>
                <w:rFonts w:ascii="Arial" w:hAnsi="Arial"/>
                <w:sz w:val="24"/>
                <w:szCs w:val="24"/>
              </w:rPr>
              <w:t>28.8%</w:t>
            </w:r>
          </w:p>
        </w:tc>
        <w:tc>
          <w:tcPr>
            <w:tcW w:w="0" w:type="auto"/>
            <w:hideMark/>
          </w:tcPr>
          <w:p w14:paraId="3F821F36" w14:textId="77777777" w:rsidR="00BA6D4C" w:rsidRDefault="00CE0412">
            <w:pPr>
              <w:spacing w:line="360" w:lineRule="auto"/>
              <w:rPr>
                <w:rFonts w:ascii="Arial" w:hAnsi="Arial"/>
                <w:sz w:val="24"/>
                <w:szCs w:val="24"/>
              </w:rPr>
            </w:pPr>
            <w:r>
              <w:rPr>
                <w:rFonts w:ascii="Arial" w:hAnsi="Arial"/>
                <w:sz w:val="24"/>
                <w:szCs w:val="24"/>
              </w:rPr>
              <w:t>28.0%</w:t>
            </w:r>
          </w:p>
        </w:tc>
        <w:tc>
          <w:tcPr>
            <w:tcW w:w="0" w:type="auto"/>
            <w:hideMark/>
          </w:tcPr>
          <w:p w14:paraId="7DF42551" w14:textId="77777777" w:rsidR="00BA6D4C" w:rsidRDefault="00CE0412">
            <w:pPr>
              <w:spacing w:line="360" w:lineRule="auto"/>
              <w:rPr>
                <w:rFonts w:ascii="Arial" w:hAnsi="Arial"/>
                <w:sz w:val="24"/>
                <w:szCs w:val="24"/>
              </w:rPr>
            </w:pPr>
            <w:r>
              <w:rPr>
                <w:rFonts w:ascii="Arial" w:hAnsi="Arial"/>
                <w:sz w:val="24"/>
                <w:szCs w:val="24"/>
              </w:rPr>
              <w:t>23.2%</w:t>
            </w:r>
          </w:p>
        </w:tc>
        <w:tc>
          <w:tcPr>
            <w:tcW w:w="0" w:type="auto"/>
            <w:hideMark/>
          </w:tcPr>
          <w:p w14:paraId="1A48984D" w14:textId="77777777" w:rsidR="00BA6D4C" w:rsidRDefault="00CE0412">
            <w:pPr>
              <w:spacing w:line="360" w:lineRule="auto"/>
              <w:rPr>
                <w:rFonts w:ascii="Arial" w:hAnsi="Arial"/>
                <w:sz w:val="24"/>
                <w:szCs w:val="24"/>
              </w:rPr>
            </w:pPr>
            <w:r>
              <w:rPr>
                <w:rFonts w:ascii="Arial" w:hAnsi="Arial"/>
                <w:sz w:val="24"/>
                <w:szCs w:val="24"/>
              </w:rPr>
              <w:t>28.9%</w:t>
            </w:r>
          </w:p>
        </w:tc>
      </w:tr>
      <w:tr w:rsidR="00BA6D4C" w14:paraId="23B5230C" w14:textId="77777777">
        <w:tc>
          <w:tcPr>
            <w:tcW w:w="0" w:type="auto"/>
            <w:hideMark/>
          </w:tcPr>
          <w:p w14:paraId="332560ED" w14:textId="77777777" w:rsidR="00BA6D4C" w:rsidRDefault="00CE0412">
            <w:pPr>
              <w:spacing w:line="360" w:lineRule="auto"/>
              <w:rPr>
                <w:rFonts w:ascii="Arial" w:hAnsi="Arial"/>
                <w:sz w:val="24"/>
                <w:szCs w:val="24"/>
              </w:rPr>
            </w:pPr>
            <w:r>
              <w:rPr>
                <w:rFonts w:ascii="Arial" w:hAnsi="Arial"/>
                <w:sz w:val="24"/>
                <w:szCs w:val="24"/>
              </w:rPr>
              <w:t>Operating Margin</w:t>
            </w:r>
          </w:p>
        </w:tc>
        <w:tc>
          <w:tcPr>
            <w:tcW w:w="0" w:type="auto"/>
            <w:hideMark/>
          </w:tcPr>
          <w:p w14:paraId="3C0444D5" w14:textId="77777777" w:rsidR="00BA6D4C" w:rsidRDefault="00CE0412">
            <w:pPr>
              <w:spacing w:line="360" w:lineRule="auto"/>
              <w:rPr>
                <w:rFonts w:ascii="Arial" w:hAnsi="Arial"/>
                <w:sz w:val="24"/>
                <w:szCs w:val="24"/>
              </w:rPr>
            </w:pPr>
            <w:r>
              <w:rPr>
                <w:rFonts w:ascii="Arial" w:hAnsi="Arial"/>
                <w:sz w:val="24"/>
                <w:szCs w:val="24"/>
              </w:rPr>
              <w:t>(Operating Income / Revenue) × 100</w:t>
            </w:r>
          </w:p>
        </w:tc>
        <w:tc>
          <w:tcPr>
            <w:tcW w:w="0" w:type="auto"/>
            <w:hideMark/>
          </w:tcPr>
          <w:p w14:paraId="0AD165F7" w14:textId="77777777" w:rsidR="00BA6D4C" w:rsidRDefault="00CE0412">
            <w:pPr>
              <w:spacing w:line="360" w:lineRule="auto"/>
              <w:rPr>
                <w:rFonts w:ascii="Arial" w:hAnsi="Arial"/>
                <w:sz w:val="24"/>
                <w:szCs w:val="24"/>
              </w:rPr>
            </w:pPr>
            <w:r>
              <w:rPr>
                <w:rFonts w:ascii="Arial" w:hAnsi="Arial"/>
                <w:sz w:val="24"/>
                <w:szCs w:val="24"/>
              </w:rPr>
              <w:t>6.1%</w:t>
            </w:r>
          </w:p>
        </w:tc>
        <w:tc>
          <w:tcPr>
            <w:tcW w:w="0" w:type="auto"/>
            <w:hideMark/>
          </w:tcPr>
          <w:p w14:paraId="1E416C41" w14:textId="77777777" w:rsidR="00BA6D4C" w:rsidRDefault="00CE0412">
            <w:pPr>
              <w:spacing w:line="360" w:lineRule="auto"/>
              <w:rPr>
                <w:rFonts w:ascii="Arial" w:hAnsi="Arial"/>
                <w:sz w:val="24"/>
                <w:szCs w:val="24"/>
              </w:rPr>
            </w:pPr>
            <w:r>
              <w:rPr>
                <w:rFonts w:ascii="Arial" w:hAnsi="Arial"/>
                <w:sz w:val="24"/>
                <w:szCs w:val="24"/>
              </w:rPr>
              <w:t>3.9%</w:t>
            </w:r>
          </w:p>
        </w:tc>
        <w:tc>
          <w:tcPr>
            <w:tcW w:w="0" w:type="auto"/>
            <w:hideMark/>
          </w:tcPr>
          <w:p w14:paraId="4EE2C3F1" w14:textId="77777777" w:rsidR="00BA6D4C" w:rsidRDefault="00CE0412">
            <w:pPr>
              <w:spacing w:line="360" w:lineRule="auto"/>
              <w:rPr>
                <w:rFonts w:ascii="Arial" w:hAnsi="Arial"/>
                <w:sz w:val="24"/>
                <w:szCs w:val="24"/>
              </w:rPr>
            </w:pPr>
            <w:r>
              <w:rPr>
                <w:rFonts w:ascii="Arial" w:hAnsi="Arial"/>
                <w:sz w:val="24"/>
                <w:szCs w:val="24"/>
              </w:rPr>
              <w:t>2.7%</w:t>
            </w:r>
          </w:p>
        </w:tc>
        <w:tc>
          <w:tcPr>
            <w:tcW w:w="0" w:type="auto"/>
            <w:hideMark/>
          </w:tcPr>
          <w:p w14:paraId="6C83D595" w14:textId="77777777" w:rsidR="00BA6D4C" w:rsidRDefault="00CE0412">
            <w:pPr>
              <w:spacing w:line="360" w:lineRule="auto"/>
              <w:rPr>
                <w:rFonts w:ascii="Arial" w:hAnsi="Arial"/>
                <w:sz w:val="24"/>
                <w:szCs w:val="24"/>
              </w:rPr>
            </w:pPr>
            <w:r>
              <w:rPr>
                <w:rFonts w:ascii="Arial" w:hAnsi="Arial"/>
                <w:sz w:val="24"/>
                <w:szCs w:val="24"/>
              </w:rPr>
              <w:t>–20.3%</w:t>
            </w:r>
          </w:p>
        </w:tc>
        <w:tc>
          <w:tcPr>
            <w:tcW w:w="0" w:type="auto"/>
            <w:hideMark/>
          </w:tcPr>
          <w:p w14:paraId="18A59796" w14:textId="77777777" w:rsidR="00BA6D4C" w:rsidRDefault="00CE0412">
            <w:pPr>
              <w:spacing w:line="360" w:lineRule="auto"/>
              <w:rPr>
                <w:rFonts w:ascii="Arial" w:hAnsi="Arial"/>
                <w:sz w:val="24"/>
                <w:szCs w:val="24"/>
              </w:rPr>
            </w:pPr>
            <w:r>
              <w:rPr>
                <w:rFonts w:ascii="Arial" w:hAnsi="Arial"/>
                <w:sz w:val="24"/>
                <w:szCs w:val="24"/>
              </w:rPr>
              <w:t>–3.9%</w:t>
            </w:r>
          </w:p>
        </w:tc>
      </w:tr>
      <w:tr w:rsidR="00BA6D4C" w14:paraId="2790DE68" w14:textId="77777777">
        <w:tc>
          <w:tcPr>
            <w:tcW w:w="0" w:type="auto"/>
            <w:hideMark/>
          </w:tcPr>
          <w:p w14:paraId="770E36C2" w14:textId="77777777" w:rsidR="00BA6D4C" w:rsidRDefault="00CE0412">
            <w:pPr>
              <w:spacing w:line="360" w:lineRule="auto"/>
              <w:rPr>
                <w:rFonts w:ascii="Arial" w:hAnsi="Arial"/>
                <w:sz w:val="24"/>
                <w:szCs w:val="24"/>
              </w:rPr>
            </w:pPr>
            <w:r>
              <w:rPr>
                <w:rFonts w:ascii="Arial" w:hAnsi="Arial"/>
                <w:sz w:val="24"/>
                <w:szCs w:val="24"/>
              </w:rPr>
              <w:t>Net Profit Margin</w:t>
            </w:r>
          </w:p>
        </w:tc>
        <w:tc>
          <w:tcPr>
            <w:tcW w:w="0" w:type="auto"/>
            <w:hideMark/>
          </w:tcPr>
          <w:p w14:paraId="7757A18A" w14:textId="77777777" w:rsidR="00BA6D4C" w:rsidRDefault="00CE0412">
            <w:pPr>
              <w:spacing w:line="360" w:lineRule="auto"/>
              <w:rPr>
                <w:rFonts w:ascii="Arial" w:hAnsi="Arial"/>
                <w:sz w:val="24"/>
                <w:szCs w:val="24"/>
              </w:rPr>
            </w:pPr>
            <w:r>
              <w:rPr>
                <w:rFonts w:ascii="Arial" w:hAnsi="Arial"/>
                <w:sz w:val="24"/>
                <w:szCs w:val="24"/>
              </w:rPr>
              <w:t>(Net Profit / Revenue) × 100</w:t>
            </w:r>
          </w:p>
        </w:tc>
        <w:tc>
          <w:tcPr>
            <w:tcW w:w="0" w:type="auto"/>
            <w:hideMark/>
          </w:tcPr>
          <w:p w14:paraId="77DD2F14" w14:textId="77777777" w:rsidR="00BA6D4C" w:rsidRDefault="00CE0412">
            <w:pPr>
              <w:spacing w:line="360" w:lineRule="auto"/>
              <w:rPr>
                <w:rFonts w:ascii="Arial" w:hAnsi="Arial"/>
                <w:sz w:val="24"/>
                <w:szCs w:val="24"/>
              </w:rPr>
            </w:pPr>
            <w:r>
              <w:rPr>
                <w:rFonts w:ascii="Arial" w:hAnsi="Arial"/>
                <w:sz w:val="24"/>
                <w:szCs w:val="24"/>
              </w:rPr>
              <w:t>6.3%</w:t>
            </w:r>
          </w:p>
        </w:tc>
        <w:tc>
          <w:tcPr>
            <w:tcW w:w="0" w:type="auto"/>
            <w:hideMark/>
          </w:tcPr>
          <w:p w14:paraId="7B640D85" w14:textId="77777777" w:rsidR="00BA6D4C" w:rsidRDefault="00CE0412">
            <w:pPr>
              <w:spacing w:line="360" w:lineRule="auto"/>
              <w:rPr>
                <w:rFonts w:ascii="Arial" w:hAnsi="Arial"/>
                <w:sz w:val="24"/>
                <w:szCs w:val="24"/>
              </w:rPr>
            </w:pPr>
            <w:r>
              <w:rPr>
                <w:rFonts w:ascii="Arial" w:hAnsi="Arial"/>
                <w:sz w:val="24"/>
                <w:szCs w:val="24"/>
              </w:rPr>
              <w:t>0.9%</w:t>
            </w:r>
          </w:p>
        </w:tc>
        <w:tc>
          <w:tcPr>
            <w:tcW w:w="0" w:type="auto"/>
            <w:hideMark/>
          </w:tcPr>
          <w:p w14:paraId="48679FE0" w14:textId="77777777" w:rsidR="00BA6D4C" w:rsidRDefault="00CE0412">
            <w:pPr>
              <w:spacing w:line="360" w:lineRule="auto"/>
              <w:rPr>
                <w:rFonts w:ascii="Arial" w:hAnsi="Arial"/>
                <w:sz w:val="24"/>
                <w:szCs w:val="24"/>
              </w:rPr>
            </w:pPr>
            <w:r>
              <w:rPr>
                <w:rFonts w:ascii="Arial" w:hAnsi="Arial"/>
                <w:sz w:val="24"/>
                <w:szCs w:val="24"/>
              </w:rPr>
              <w:t>0.07%</w:t>
            </w:r>
          </w:p>
        </w:tc>
        <w:tc>
          <w:tcPr>
            <w:tcW w:w="0" w:type="auto"/>
            <w:hideMark/>
          </w:tcPr>
          <w:p w14:paraId="4A6D3841" w14:textId="77777777" w:rsidR="00BA6D4C" w:rsidRDefault="00CE0412">
            <w:pPr>
              <w:spacing w:line="360" w:lineRule="auto"/>
              <w:rPr>
                <w:rFonts w:ascii="Arial" w:hAnsi="Arial"/>
                <w:sz w:val="24"/>
                <w:szCs w:val="24"/>
              </w:rPr>
            </w:pPr>
            <w:r>
              <w:rPr>
                <w:rFonts w:ascii="Arial" w:hAnsi="Arial"/>
                <w:sz w:val="24"/>
                <w:szCs w:val="24"/>
              </w:rPr>
              <w:t>–23.4%</w:t>
            </w:r>
          </w:p>
        </w:tc>
        <w:tc>
          <w:tcPr>
            <w:tcW w:w="0" w:type="auto"/>
            <w:hideMark/>
          </w:tcPr>
          <w:p w14:paraId="5B13F452" w14:textId="77777777" w:rsidR="00BA6D4C" w:rsidRDefault="00CE0412">
            <w:pPr>
              <w:spacing w:line="360" w:lineRule="auto"/>
              <w:rPr>
                <w:rFonts w:ascii="Arial" w:hAnsi="Arial"/>
                <w:sz w:val="24"/>
                <w:szCs w:val="24"/>
              </w:rPr>
            </w:pPr>
            <w:r>
              <w:rPr>
                <w:rFonts w:ascii="Arial" w:hAnsi="Arial"/>
                <w:sz w:val="24"/>
                <w:szCs w:val="24"/>
              </w:rPr>
              <w:t>–6.1%</w:t>
            </w:r>
          </w:p>
        </w:tc>
      </w:tr>
      <w:tr w:rsidR="00BA6D4C" w14:paraId="15384E21" w14:textId="77777777">
        <w:tc>
          <w:tcPr>
            <w:tcW w:w="0" w:type="auto"/>
            <w:hideMark/>
          </w:tcPr>
          <w:p w14:paraId="7BB115D7" w14:textId="77777777" w:rsidR="00BA6D4C" w:rsidRDefault="00CE0412">
            <w:pPr>
              <w:spacing w:line="360" w:lineRule="auto"/>
              <w:rPr>
                <w:rFonts w:ascii="Arial" w:hAnsi="Arial"/>
                <w:sz w:val="24"/>
                <w:szCs w:val="24"/>
              </w:rPr>
            </w:pPr>
            <w:r>
              <w:rPr>
                <w:rFonts w:ascii="Arial" w:hAnsi="Arial"/>
                <w:sz w:val="24"/>
                <w:szCs w:val="24"/>
              </w:rPr>
              <w:t>ROA</w:t>
            </w:r>
          </w:p>
        </w:tc>
        <w:tc>
          <w:tcPr>
            <w:tcW w:w="0" w:type="auto"/>
            <w:hideMark/>
          </w:tcPr>
          <w:p w14:paraId="539FE60B" w14:textId="77777777" w:rsidR="00BA6D4C" w:rsidRDefault="00CE0412">
            <w:pPr>
              <w:spacing w:line="360" w:lineRule="auto"/>
              <w:rPr>
                <w:rFonts w:ascii="Arial" w:hAnsi="Arial"/>
                <w:sz w:val="24"/>
                <w:szCs w:val="24"/>
              </w:rPr>
            </w:pPr>
            <w:r>
              <w:rPr>
                <w:rFonts w:ascii="Arial" w:hAnsi="Arial"/>
                <w:sz w:val="24"/>
                <w:szCs w:val="24"/>
              </w:rPr>
              <w:t>(Net Income / Total Assets) × 100</w:t>
            </w:r>
          </w:p>
        </w:tc>
        <w:tc>
          <w:tcPr>
            <w:tcW w:w="0" w:type="auto"/>
            <w:hideMark/>
          </w:tcPr>
          <w:p w14:paraId="38492776" w14:textId="77777777" w:rsidR="00BA6D4C" w:rsidRDefault="00CE0412">
            <w:pPr>
              <w:spacing w:line="360" w:lineRule="auto"/>
              <w:rPr>
                <w:rFonts w:ascii="Arial" w:hAnsi="Arial"/>
                <w:sz w:val="24"/>
                <w:szCs w:val="24"/>
              </w:rPr>
            </w:pPr>
            <w:r>
              <w:rPr>
                <w:rFonts w:ascii="Arial" w:hAnsi="Arial"/>
                <w:sz w:val="24"/>
                <w:szCs w:val="24"/>
              </w:rPr>
              <w:t>7.6%</w:t>
            </w:r>
          </w:p>
        </w:tc>
        <w:tc>
          <w:tcPr>
            <w:tcW w:w="0" w:type="auto"/>
            <w:hideMark/>
          </w:tcPr>
          <w:p w14:paraId="697BB02F" w14:textId="77777777" w:rsidR="00BA6D4C" w:rsidRDefault="00CE0412">
            <w:pPr>
              <w:spacing w:line="360" w:lineRule="auto"/>
              <w:rPr>
                <w:rFonts w:ascii="Arial" w:hAnsi="Arial"/>
                <w:sz w:val="24"/>
                <w:szCs w:val="24"/>
              </w:rPr>
            </w:pPr>
            <w:r>
              <w:rPr>
                <w:rFonts w:ascii="Arial" w:hAnsi="Arial"/>
                <w:sz w:val="24"/>
                <w:szCs w:val="24"/>
              </w:rPr>
              <w:t>1.0%</w:t>
            </w:r>
          </w:p>
        </w:tc>
        <w:tc>
          <w:tcPr>
            <w:tcW w:w="0" w:type="auto"/>
            <w:hideMark/>
          </w:tcPr>
          <w:p w14:paraId="4922DE81" w14:textId="77777777" w:rsidR="00BA6D4C" w:rsidRDefault="00CE0412">
            <w:pPr>
              <w:spacing w:line="360" w:lineRule="auto"/>
              <w:rPr>
                <w:rFonts w:ascii="Arial" w:hAnsi="Arial"/>
                <w:sz w:val="24"/>
                <w:szCs w:val="24"/>
              </w:rPr>
            </w:pPr>
            <w:r>
              <w:rPr>
                <w:rFonts w:ascii="Arial" w:hAnsi="Arial"/>
                <w:sz w:val="24"/>
                <w:szCs w:val="24"/>
              </w:rPr>
              <w:t>0.08%</w:t>
            </w:r>
          </w:p>
        </w:tc>
        <w:tc>
          <w:tcPr>
            <w:tcW w:w="0" w:type="auto"/>
            <w:hideMark/>
          </w:tcPr>
          <w:p w14:paraId="59BED620" w14:textId="77777777" w:rsidR="00BA6D4C" w:rsidRDefault="00CE0412">
            <w:pPr>
              <w:spacing w:line="360" w:lineRule="auto"/>
              <w:rPr>
                <w:rFonts w:ascii="Arial" w:hAnsi="Arial"/>
                <w:sz w:val="24"/>
                <w:szCs w:val="24"/>
              </w:rPr>
            </w:pPr>
            <w:r>
              <w:rPr>
                <w:rFonts w:ascii="Arial" w:hAnsi="Arial"/>
                <w:sz w:val="24"/>
                <w:szCs w:val="24"/>
              </w:rPr>
              <w:t>–27.6%</w:t>
            </w:r>
          </w:p>
        </w:tc>
        <w:tc>
          <w:tcPr>
            <w:tcW w:w="0" w:type="auto"/>
            <w:hideMark/>
          </w:tcPr>
          <w:p w14:paraId="09296C9C" w14:textId="77777777" w:rsidR="00BA6D4C" w:rsidRDefault="00CE0412">
            <w:pPr>
              <w:spacing w:line="360" w:lineRule="auto"/>
              <w:rPr>
                <w:rFonts w:ascii="Arial" w:hAnsi="Arial"/>
                <w:sz w:val="24"/>
                <w:szCs w:val="24"/>
              </w:rPr>
            </w:pPr>
            <w:r>
              <w:rPr>
                <w:rFonts w:ascii="Arial" w:hAnsi="Arial"/>
                <w:sz w:val="24"/>
                <w:szCs w:val="24"/>
              </w:rPr>
              <w:t>–7.4%</w:t>
            </w:r>
          </w:p>
        </w:tc>
      </w:tr>
      <w:tr w:rsidR="00BA6D4C" w14:paraId="361FD727" w14:textId="77777777">
        <w:tc>
          <w:tcPr>
            <w:tcW w:w="0" w:type="auto"/>
            <w:hideMark/>
          </w:tcPr>
          <w:p w14:paraId="2C19F6F8" w14:textId="77777777" w:rsidR="00BA6D4C" w:rsidRDefault="00CE0412">
            <w:pPr>
              <w:spacing w:line="360" w:lineRule="auto"/>
              <w:rPr>
                <w:rFonts w:ascii="Arial" w:hAnsi="Arial"/>
                <w:sz w:val="24"/>
                <w:szCs w:val="24"/>
              </w:rPr>
            </w:pPr>
            <w:r>
              <w:rPr>
                <w:rFonts w:ascii="Arial" w:hAnsi="Arial"/>
                <w:sz w:val="24"/>
                <w:szCs w:val="24"/>
              </w:rPr>
              <w:t>ROE</w:t>
            </w:r>
          </w:p>
        </w:tc>
        <w:tc>
          <w:tcPr>
            <w:tcW w:w="0" w:type="auto"/>
            <w:hideMark/>
          </w:tcPr>
          <w:p w14:paraId="7B245DA9" w14:textId="77777777" w:rsidR="00BA6D4C" w:rsidRDefault="00CE0412">
            <w:pPr>
              <w:spacing w:line="360" w:lineRule="auto"/>
              <w:rPr>
                <w:rFonts w:ascii="Arial" w:hAnsi="Arial"/>
                <w:sz w:val="24"/>
                <w:szCs w:val="24"/>
              </w:rPr>
            </w:pPr>
            <w:r>
              <w:rPr>
                <w:rFonts w:ascii="Arial" w:hAnsi="Arial"/>
                <w:sz w:val="24"/>
                <w:szCs w:val="24"/>
              </w:rPr>
              <w:t>(Net Income / Shareholder Equity) × 100</w:t>
            </w:r>
          </w:p>
        </w:tc>
        <w:tc>
          <w:tcPr>
            <w:tcW w:w="0" w:type="auto"/>
            <w:hideMark/>
          </w:tcPr>
          <w:p w14:paraId="3D2A06DE" w14:textId="77777777" w:rsidR="00BA6D4C" w:rsidRDefault="00CE0412">
            <w:pPr>
              <w:spacing w:line="360" w:lineRule="auto"/>
              <w:rPr>
                <w:rFonts w:ascii="Arial" w:hAnsi="Arial"/>
                <w:sz w:val="24"/>
                <w:szCs w:val="24"/>
              </w:rPr>
            </w:pPr>
            <w:r>
              <w:rPr>
                <w:rFonts w:ascii="Arial" w:hAnsi="Arial"/>
                <w:sz w:val="24"/>
                <w:szCs w:val="24"/>
              </w:rPr>
              <w:t>12.3%</w:t>
            </w:r>
          </w:p>
        </w:tc>
        <w:tc>
          <w:tcPr>
            <w:tcW w:w="0" w:type="auto"/>
            <w:hideMark/>
          </w:tcPr>
          <w:p w14:paraId="105650D6" w14:textId="77777777" w:rsidR="00BA6D4C" w:rsidRDefault="00CE0412">
            <w:pPr>
              <w:spacing w:line="360" w:lineRule="auto"/>
              <w:rPr>
                <w:rFonts w:ascii="Arial" w:hAnsi="Arial"/>
                <w:sz w:val="24"/>
                <w:szCs w:val="24"/>
              </w:rPr>
            </w:pPr>
            <w:r>
              <w:rPr>
                <w:rFonts w:ascii="Arial" w:hAnsi="Arial"/>
                <w:sz w:val="24"/>
                <w:szCs w:val="24"/>
              </w:rPr>
              <w:t>1.9%</w:t>
            </w:r>
          </w:p>
        </w:tc>
        <w:tc>
          <w:tcPr>
            <w:tcW w:w="0" w:type="auto"/>
            <w:hideMark/>
          </w:tcPr>
          <w:p w14:paraId="5A67E194" w14:textId="77777777" w:rsidR="00BA6D4C" w:rsidRDefault="00CE0412">
            <w:pPr>
              <w:spacing w:line="360" w:lineRule="auto"/>
              <w:rPr>
                <w:rFonts w:ascii="Arial" w:hAnsi="Arial"/>
                <w:sz w:val="24"/>
                <w:szCs w:val="24"/>
              </w:rPr>
            </w:pPr>
            <w:r>
              <w:rPr>
                <w:rFonts w:ascii="Arial" w:hAnsi="Arial"/>
                <w:sz w:val="24"/>
                <w:szCs w:val="24"/>
              </w:rPr>
              <w:t>0.15%</w:t>
            </w:r>
          </w:p>
        </w:tc>
        <w:tc>
          <w:tcPr>
            <w:tcW w:w="0" w:type="auto"/>
            <w:hideMark/>
          </w:tcPr>
          <w:p w14:paraId="5E45E1AD" w14:textId="77777777" w:rsidR="00BA6D4C" w:rsidRDefault="00CE0412">
            <w:pPr>
              <w:spacing w:line="360" w:lineRule="auto"/>
              <w:rPr>
                <w:rFonts w:ascii="Arial" w:hAnsi="Arial"/>
                <w:sz w:val="24"/>
                <w:szCs w:val="24"/>
              </w:rPr>
            </w:pPr>
            <w:r>
              <w:rPr>
                <w:rFonts w:ascii="Arial" w:hAnsi="Arial"/>
                <w:sz w:val="24"/>
                <w:szCs w:val="24"/>
              </w:rPr>
              <w:t>–54.9%</w:t>
            </w:r>
          </w:p>
        </w:tc>
        <w:tc>
          <w:tcPr>
            <w:tcW w:w="0" w:type="auto"/>
            <w:hideMark/>
          </w:tcPr>
          <w:p w14:paraId="39EF8DCD" w14:textId="77777777" w:rsidR="00BA6D4C" w:rsidRDefault="00CE0412">
            <w:pPr>
              <w:spacing w:line="360" w:lineRule="auto"/>
              <w:rPr>
                <w:rFonts w:ascii="Arial" w:hAnsi="Arial"/>
                <w:sz w:val="24"/>
                <w:szCs w:val="24"/>
              </w:rPr>
            </w:pPr>
            <w:r>
              <w:rPr>
                <w:rFonts w:ascii="Arial" w:hAnsi="Arial"/>
                <w:sz w:val="24"/>
                <w:szCs w:val="24"/>
              </w:rPr>
              <w:t>–15.7%</w:t>
            </w:r>
          </w:p>
        </w:tc>
      </w:tr>
    </w:tbl>
    <w:p w14:paraId="7E8DB94C" w14:textId="77777777" w:rsidR="00BA6D4C" w:rsidRDefault="00CE0412">
      <w:pPr>
        <w:pStyle w:val="NormalWeb"/>
        <w:spacing w:line="360" w:lineRule="auto"/>
        <w:rPr>
          <w:rFonts w:ascii="Arial" w:hAnsi="Arial" w:cs="Arial"/>
        </w:rPr>
      </w:pPr>
      <w:r>
        <w:rPr>
          <w:rStyle w:val="Strong"/>
          <w:rFonts w:ascii="Arial" w:hAnsi="Arial" w:cs="Arial"/>
        </w:rPr>
        <w:t>Table A2: Liquidity Ratios (2020–2024)</w:t>
      </w:r>
    </w:p>
    <w:tbl>
      <w:tblPr>
        <w:tblStyle w:val="TableGrid"/>
        <w:tblW w:w="9515" w:type="dxa"/>
        <w:tblLook w:val="04A0" w:firstRow="1" w:lastRow="0" w:firstColumn="1" w:lastColumn="0" w:noHBand="0" w:noVBand="1"/>
      </w:tblPr>
      <w:tblGrid>
        <w:gridCol w:w="1488"/>
        <w:gridCol w:w="4277"/>
        <w:gridCol w:w="750"/>
        <w:gridCol w:w="750"/>
        <w:gridCol w:w="750"/>
        <w:gridCol w:w="750"/>
        <w:gridCol w:w="750"/>
      </w:tblGrid>
      <w:tr w:rsidR="00BA6D4C" w14:paraId="21890E29" w14:textId="77777777">
        <w:trPr>
          <w:trHeight w:val="303"/>
        </w:trPr>
        <w:tc>
          <w:tcPr>
            <w:tcW w:w="0" w:type="auto"/>
            <w:hideMark/>
          </w:tcPr>
          <w:p w14:paraId="1E0A996A" w14:textId="77777777" w:rsidR="00BA6D4C" w:rsidRDefault="00CE0412">
            <w:pPr>
              <w:spacing w:line="360" w:lineRule="auto"/>
              <w:jc w:val="center"/>
              <w:rPr>
                <w:rFonts w:ascii="Arial" w:hAnsi="Arial"/>
                <w:b/>
                <w:bCs/>
                <w:sz w:val="24"/>
                <w:szCs w:val="24"/>
              </w:rPr>
            </w:pPr>
            <w:r>
              <w:rPr>
                <w:rFonts w:ascii="Arial" w:hAnsi="Arial"/>
                <w:b/>
                <w:bCs/>
                <w:sz w:val="24"/>
                <w:szCs w:val="24"/>
              </w:rPr>
              <w:t>Ratio</w:t>
            </w:r>
          </w:p>
        </w:tc>
        <w:tc>
          <w:tcPr>
            <w:tcW w:w="0" w:type="auto"/>
            <w:hideMark/>
          </w:tcPr>
          <w:p w14:paraId="17AC3447" w14:textId="77777777" w:rsidR="00BA6D4C" w:rsidRDefault="00CE0412">
            <w:pPr>
              <w:spacing w:line="360" w:lineRule="auto"/>
              <w:jc w:val="center"/>
              <w:rPr>
                <w:rFonts w:ascii="Arial" w:hAnsi="Arial"/>
                <w:b/>
                <w:bCs/>
                <w:sz w:val="24"/>
                <w:szCs w:val="24"/>
              </w:rPr>
            </w:pPr>
            <w:r>
              <w:rPr>
                <w:rFonts w:ascii="Arial" w:hAnsi="Arial"/>
                <w:b/>
                <w:bCs/>
                <w:sz w:val="24"/>
                <w:szCs w:val="24"/>
              </w:rPr>
              <w:t>Formula</w:t>
            </w:r>
          </w:p>
        </w:tc>
        <w:tc>
          <w:tcPr>
            <w:tcW w:w="0" w:type="auto"/>
            <w:hideMark/>
          </w:tcPr>
          <w:p w14:paraId="445E472F" w14:textId="77777777" w:rsidR="00BA6D4C" w:rsidRDefault="00CE0412">
            <w:pPr>
              <w:spacing w:line="360" w:lineRule="auto"/>
              <w:jc w:val="center"/>
              <w:rPr>
                <w:rFonts w:ascii="Arial" w:hAnsi="Arial"/>
                <w:b/>
                <w:bCs/>
                <w:sz w:val="24"/>
                <w:szCs w:val="24"/>
              </w:rPr>
            </w:pPr>
            <w:r>
              <w:rPr>
                <w:rFonts w:ascii="Arial" w:hAnsi="Arial"/>
                <w:b/>
                <w:bCs/>
                <w:sz w:val="24"/>
                <w:szCs w:val="24"/>
              </w:rPr>
              <w:t>2020</w:t>
            </w:r>
          </w:p>
        </w:tc>
        <w:tc>
          <w:tcPr>
            <w:tcW w:w="0" w:type="auto"/>
            <w:hideMark/>
          </w:tcPr>
          <w:p w14:paraId="6FDDA32C" w14:textId="77777777" w:rsidR="00BA6D4C" w:rsidRDefault="00CE0412">
            <w:pPr>
              <w:spacing w:line="360" w:lineRule="auto"/>
              <w:jc w:val="center"/>
              <w:rPr>
                <w:rFonts w:ascii="Arial" w:hAnsi="Arial"/>
                <w:b/>
                <w:bCs/>
                <w:sz w:val="24"/>
                <w:szCs w:val="24"/>
              </w:rPr>
            </w:pPr>
            <w:r>
              <w:rPr>
                <w:rFonts w:ascii="Arial" w:hAnsi="Arial"/>
                <w:b/>
                <w:bCs/>
                <w:sz w:val="24"/>
                <w:szCs w:val="24"/>
              </w:rPr>
              <w:t>2021</w:t>
            </w:r>
          </w:p>
        </w:tc>
        <w:tc>
          <w:tcPr>
            <w:tcW w:w="0" w:type="auto"/>
            <w:hideMark/>
          </w:tcPr>
          <w:p w14:paraId="24C9CBAB" w14:textId="77777777" w:rsidR="00BA6D4C" w:rsidRDefault="00CE0412">
            <w:pPr>
              <w:spacing w:line="360" w:lineRule="auto"/>
              <w:jc w:val="center"/>
              <w:rPr>
                <w:rFonts w:ascii="Arial" w:hAnsi="Arial"/>
                <w:b/>
                <w:bCs/>
                <w:sz w:val="24"/>
                <w:szCs w:val="24"/>
              </w:rPr>
            </w:pPr>
            <w:r>
              <w:rPr>
                <w:rFonts w:ascii="Arial" w:hAnsi="Arial"/>
                <w:b/>
                <w:bCs/>
                <w:sz w:val="24"/>
                <w:szCs w:val="24"/>
              </w:rPr>
              <w:t>2022</w:t>
            </w:r>
          </w:p>
        </w:tc>
        <w:tc>
          <w:tcPr>
            <w:tcW w:w="0" w:type="auto"/>
            <w:hideMark/>
          </w:tcPr>
          <w:p w14:paraId="6C971C2F" w14:textId="77777777" w:rsidR="00BA6D4C" w:rsidRDefault="00CE0412">
            <w:pPr>
              <w:spacing w:line="360" w:lineRule="auto"/>
              <w:jc w:val="center"/>
              <w:rPr>
                <w:rFonts w:ascii="Arial" w:hAnsi="Arial"/>
                <w:b/>
                <w:bCs/>
                <w:sz w:val="24"/>
                <w:szCs w:val="24"/>
              </w:rPr>
            </w:pPr>
            <w:r>
              <w:rPr>
                <w:rFonts w:ascii="Arial" w:hAnsi="Arial"/>
                <w:b/>
                <w:bCs/>
                <w:sz w:val="24"/>
                <w:szCs w:val="24"/>
              </w:rPr>
              <w:t>2023</w:t>
            </w:r>
          </w:p>
        </w:tc>
        <w:tc>
          <w:tcPr>
            <w:tcW w:w="0" w:type="auto"/>
            <w:hideMark/>
          </w:tcPr>
          <w:p w14:paraId="7C2138B2" w14:textId="77777777" w:rsidR="00BA6D4C" w:rsidRDefault="00CE0412">
            <w:pPr>
              <w:spacing w:line="360" w:lineRule="auto"/>
              <w:jc w:val="center"/>
              <w:rPr>
                <w:rFonts w:ascii="Arial" w:hAnsi="Arial"/>
                <w:b/>
                <w:bCs/>
                <w:sz w:val="24"/>
                <w:szCs w:val="24"/>
              </w:rPr>
            </w:pPr>
            <w:r>
              <w:rPr>
                <w:rFonts w:ascii="Arial" w:hAnsi="Arial"/>
                <w:b/>
                <w:bCs/>
                <w:sz w:val="24"/>
                <w:szCs w:val="24"/>
              </w:rPr>
              <w:t>2024</w:t>
            </w:r>
          </w:p>
        </w:tc>
      </w:tr>
      <w:tr w:rsidR="00BA6D4C" w14:paraId="4C8F1FE5" w14:textId="77777777">
        <w:trPr>
          <w:trHeight w:val="316"/>
        </w:trPr>
        <w:tc>
          <w:tcPr>
            <w:tcW w:w="0" w:type="auto"/>
            <w:hideMark/>
          </w:tcPr>
          <w:p w14:paraId="21F0FA5C" w14:textId="77777777" w:rsidR="00BA6D4C" w:rsidRDefault="00CE0412">
            <w:pPr>
              <w:spacing w:line="360" w:lineRule="auto"/>
              <w:rPr>
                <w:rFonts w:ascii="Arial" w:hAnsi="Arial"/>
                <w:sz w:val="24"/>
                <w:szCs w:val="24"/>
              </w:rPr>
            </w:pPr>
            <w:r>
              <w:rPr>
                <w:rFonts w:ascii="Arial" w:hAnsi="Arial"/>
                <w:sz w:val="24"/>
                <w:szCs w:val="24"/>
              </w:rPr>
              <w:t>Current Ratio</w:t>
            </w:r>
          </w:p>
        </w:tc>
        <w:tc>
          <w:tcPr>
            <w:tcW w:w="0" w:type="auto"/>
            <w:hideMark/>
          </w:tcPr>
          <w:p w14:paraId="34C16F7E" w14:textId="77777777" w:rsidR="00BA6D4C" w:rsidRDefault="00CE0412">
            <w:pPr>
              <w:spacing w:line="360" w:lineRule="auto"/>
              <w:rPr>
                <w:rFonts w:ascii="Arial" w:hAnsi="Arial"/>
                <w:sz w:val="24"/>
                <w:szCs w:val="24"/>
              </w:rPr>
            </w:pPr>
            <w:r>
              <w:rPr>
                <w:rFonts w:ascii="Arial" w:hAnsi="Arial"/>
                <w:sz w:val="24"/>
                <w:szCs w:val="24"/>
              </w:rPr>
              <w:t>Current Assets / Current Liabilities</w:t>
            </w:r>
          </w:p>
        </w:tc>
        <w:tc>
          <w:tcPr>
            <w:tcW w:w="0" w:type="auto"/>
            <w:hideMark/>
          </w:tcPr>
          <w:p w14:paraId="7BDF06F7" w14:textId="77777777" w:rsidR="00BA6D4C" w:rsidRDefault="00CE0412">
            <w:pPr>
              <w:spacing w:line="360" w:lineRule="auto"/>
              <w:rPr>
                <w:rFonts w:ascii="Arial" w:hAnsi="Arial"/>
                <w:sz w:val="24"/>
                <w:szCs w:val="24"/>
              </w:rPr>
            </w:pPr>
            <w:r>
              <w:rPr>
                <w:rFonts w:ascii="Arial" w:hAnsi="Arial"/>
                <w:sz w:val="24"/>
                <w:szCs w:val="24"/>
              </w:rPr>
              <w:t>1.82</w:t>
            </w:r>
          </w:p>
        </w:tc>
        <w:tc>
          <w:tcPr>
            <w:tcW w:w="0" w:type="auto"/>
            <w:hideMark/>
          </w:tcPr>
          <w:p w14:paraId="361B3BE6" w14:textId="77777777" w:rsidR="00BA6D4C" w:rsidRDefault="00CE0412">
            <w:pPr>
              <w:spacing w:line="360" w:lineRule="auto"/>
              <w:rPr>
                <w:rFonts w:ascii="Arial" w:hAnsi="Arial"/>
                <w:sz w:val="24"/>
                <w:szCs w:val="24"/>
              </w:rPr>
            </w:pPr>
            <w:r>
              <w:rPr>
                <w:rFonts w:ascii="Arial" w:hAnsi="Arial"/>
                <w:sz w:val="24"/>
                <w:szCs w:val="24"/>
              </w:rPr>
              <w:t>1.56</w:t>
            </w:r>
          </w:p>
        </w:tc>
        <w:tc>
          <w:tcPr>
            <w:tcW w:w="0" w:type="auto"/>
            <w:hideMark/>
          </w:tcPr>
          <w:p w14:paraId="4DD5BE4C" w14:textId="77777777" w:rsidR="00BA6D4C" w:rsidRDefault="00CE0412">
            <w:pPr>
              <w:spacing w:line="360" w:lineRule="auto"/>
              <w:rPr>
                <w:rFonts w:ascii="Arial" w:hAnsi="Arial"/>
                <w:sz w:val="24"/>
                <w:szCs w:val="24"/>
              </w:rPr>
            </w:pPr>
            <w:r>
              <w:rPr>
                <w:rFonts w:ascii="Arial" w:hAnsi="Arial"/>
                <w:sz w:val="24"/>
                <w:szCs w:val="24"/>
              </w:rPr>
              <w:t>1.56</w:t>
            </w:r>
          </w:p>
        </w:tc>
        <w:tc>
          <w:tcPr>
            <w:tcW w:w="0" w:type="auto"/>
            <w:hideMark/>
          </w:tcPr>
          <w:p w14:paraId="1BF237FD" w14:textId="77777777" w:rsidR="00BA6D4C" w:rsidRDefault="00CE0412">
            <w:pPr>
              <w:spacing w:line="360" w:lineRule="auto"/>
              <w:rPr>
                <w:rFonts w:ascii="Arial" w:hAnsi="Arial"/>
                <w:sz w:val="24"/>
                <w:szCs w:val="24"/>
              </w:rPr>
            </w:pPr>
            <w:r>
              <w:rPr>
                <w:rFonts w:ascii="Arial" w:hAnsi="Arial"/>
                <w:sz w:val="24"/>
                <w:szCs w:val="24"/>
              </w:rPr>
              <w:t>1.61</w:t>
            </w:r>
          </w:p>
        </w:tc>
        <w:tc>
          <w:tcPr>
            <w:tcW w:w="0" w:type="auto"/>
            <w:hideMark/>
          </w:tcPr>
          <w:p w14:paraId="365A983D" w14:textId="77777777" w:rsidR="00BA6D4C" w:rsidRDefault="00CE0412">
            <w:pPr>
              <w:spacing w:line="360" w:lineRule="auto"/>
              <w:rPr>
                <w:rFonts w:ascii="Arial" w:hAnsi="Arial"/>
                <w:sz w:val="24"/>
                <w:szCs w:val="24"/>
              </w:rPr>
            </w:pPr>
            <w:r>
              <w:rPr>
                <w:rFonts w:ascii="Arial" w:hAnsi="Arial"/>
                <w:sz w:val="24"/>
                <w:szCs w:val="24"/>
              </w:rPr>
              <w:t>1.53</w:t>
            </w:r>
          </w:p>
        </w:tc>
      </w:tr>
      <w:tr w:rsidR="00BA6D4C" w14:paraId="1C9EEC11" w14:textId="77777777">
        <w:trPr>
          <w:trHeight w:val="316"/>
        </w:trPr>
        <w:tc>
          <w:tcPr>
            <w:tcW w:w="0" w:type="auto"/>
            <w:hideMark/>
          </w:tcPr>
          <w:p w14:paraId="29C775D3" w14:textId="77777777" w:rsidR="00BA6D4C" w:rsidRDefault="00CE0412">
            <w:pPr>
              <w:spacing w:line="360" w:lineRule="auto"/>
              <w:rPr>
                <w:rFonts w:ascii="Arial" w:hAnsi="Arial"/>
                <w:sz w:val="24"/>
                <w:szCs w:val="24"/>
              </w:rPr>
            </w:pPr>
            <w:r>
              <w:rPr>
                <w:rFonts w:ascii="Arial" w:hAnsi="Arial"/>
                <w:sz w:val="24"/>
                <w:szCs w:val="24"/>
              </w:rPr>
              <w:t>Quick Ratio</w:t>
            </w:r>
          </w:p>
        </w:tc>
        <w:tc>
          <w:tcPr>
            <w:tcW w:w="0" w:type="auto"/>
            <w:hideMark/>
          </w:tcPr>
          <w:p w14:paraId="63FFED20" w14:textId="77777777" w:rsidR="00BA6D4C" w:rsidRDefault="00CE0412">
            <w:pPr>
              <w:spacing w:line="360" w:lineRule="auto"/>
              <w:rPr>
                <w:rFonts w:ascii="Arial" w:hAnsi="Arial"/>
                <w:sz w:val="24"/>
                <w:szCs w:val="24"/>
              </w:rPr>
            </w:pPr>
            <w:r>
              <w:rPr>
                <w:rFonts w:ascii="Arial" w:hAnsi="Arial"/>
                <w:sz w:val="24"/>
                <w:szCs w:val="24"/>
              </w:rPr>
              <w:t>(Current Assets – Inventory) / Current Liabilities</w:t>
            </w:r>
          </w:p>
        </w:tc>
        <w:tc>
          <w:tcPr>
            <w:tcW w:w="0" w:type="auto"/>
            <w:hideMark/>
          </w:tcPr>
          <w:p w14:paraId="6C38DDC8" w14:textId="7534845A" w:rsidR="00BA6D4C" w:rsidRDefault="00B91FE8">
            <w:pPr>
              <w:spacing w:line="360" w:lineRule="auto"/>
              <w:rPr>
                <w:rFonts w:ascii="Arial" w:hAnsi="Arial"/>
                <w:sz w:val="24"/>
                <w:szCs w:val="24"/>
              </w:rPr>
            </w:pPr>
            <w:r>
              <w:rPr>
                <w:rFonts w:ascii="Arial" w:hAnsi="Arial"/>
                <w:sz w:val="24"/>
                <w:szCs w:val="24"/>
              </w:rPr>
              <w:t>1.15</w:t>
            </w:r>
          </w:p>
        </w:tc>
        <w:tc>
          <w:tcPr>
            <w:tcW w:w="0" w:type="auto"/>
            <w:hideMark/>
          </w:tcPr>
          <w:p w14:paraId="5CA136D8" w14:textId="68E2A1DB" w:rsidR="00BA6D4C" w:rsidRDefault="00CE0412">
            <w:pPr>
              <w:spacing w:line="360" w:lineRule="auto"/>
              <w:rPr>
                <w:rFonts w:ascii="Arial" w:hAnsi="Arial"/>
                <w:sz w:val="24"/>
                <w:szCs w:val="24"/>
              </w:rPr>
            </w:pPr>
            <w:r>
              <w:rPr>
                <w:rFonts w:ascii="Arial" w:hAnsi="Arial"/>
                <w:sz w:val="24"/>
                <w:szCs w:val="24"/>
              </w:rPr>
              <w:t>0.9</w:t>
            </w:r>
            <w:r w:rsidR="009026C2">
              <w:rPr>
                <w:rFonts w:ascii="Arial" w:hAnsi="Arial"/>
                <w:sz w:val="24"/>
                <w:szCs w:val="24"/>
              </w:rPr>
              <w:t>4</w:t>
            </w:r>
          </w:p>
        </w:tc>
        <w:tc>
          <w:tcPr>
            <w:tcW w:w="0" w:type="auto"/>
            <w:hideMark/>
          </w:tcPr>
          <w:p w14:paraId="2FC1D99B" w14:textId="7A0F93A3" w:rsidR="00BA6D4C" w:rsidRDefault="00CE0412">
            <w:pPr>
              <w:spacing w:line="360" w:lineRule="auto"/>
              <w:rPr>
                <w:rFonts w:ascii="Arial" w:hAnsi="Arial"/>
                <w:sz w:val="24"/>
                <w:szCs w:val="24"/>
              </w:rPr>
            </w:pPr>
            <w:r>
              <w:rPr>
                <w:rFonts w:ascii="Arial" w:hAnsi="Arial"/>
                <w:sz w:val="24"/>
                <w:szCs w:val="24"/>
              </w:rPr>
              <w:t>0.</w:t>
            </w:r>
            <w:r w:rsidR="009026C2">
              <w:rPr>
                <w:rFonts w:ascii="Arial" w:hAnsi="Arial"/>
                <w:sz w:val="24"/>
                <w:szCs w:val="24"/>
              </w:rPr>
              <w:t>91</w:t>
            </w:r>
          </w:p>
        </w:tc>
        <w:tc>
          <w:tcPr>
            <w:tcW w:w="0" w:type="auto"/>
            <w:hideMark/>
          </w:tcPr>
          <w:p w14:paraId="3AC5E0AE" w14:textId="5E269F88" w:rsidR="00BA6D4C" w:rsidRDefault="009026C2">
            <w:pPr>
              <w:spacing w:line="360" w:lineRule="auto"/>
              <w:rPr>
                <w:rFonts w:ascii="Arial" w:hAnsi="Arial"/>
                <w:sz w:val="24"/>
                <w:szCs w:val="24"/>
              </w:rPr>
            </w:pPr>
            <w:r>
              <w:rPr>
                <w:rFonts w:ascii="Arial" w:hAnsi="Arial"/>
                <w:sz w:val="24"/>
                <w:szCs w:val="24"/>
              </w:rPr>
              <w:t>1.06</w:t>
            </w:r>
          </w:p>
        </w:tc>
        <w:tc>
          <w:tcPr>
            <w:tcW w:w="0" w:type="auto"/>
            <w:hideMark/>
          </w:tcPr>
          <w:p w14:paraId="54495717" w14:textId="69476741" w:rsidR="00BA6D4C" w:rsidRDefault="009026C2">
            <w:pPr>
              <w:spacing w:line="360" w:lineRule="auto"/>
              <w:rPr>
                <w:rFonts w:ascii="Arial" w:hAnsi="Arial"/>
                <w:sz w:val="24"/>
                <w:szCs w:val="24"/>
              </w:rPr>
            </w:pPr>
            <w:r>
              <w:rPr>
                <w:rFonts w:ascii="Arial" w:hAnsi="Arial"/>
                <w:sz w:val="24"/>
                <w:szCs w:val="24"/>
              </w:rPr>
              <w:t>1.03</w:t>
            </w:r>
          </w:p>
        </w:tc>
      </w:tr>
      <w:tr w:rsidR="009026C2" w14:paraId="19C8FDAC" w14:textId="77777777">
        <w:trPr>
          <w:trHeight w:val="316"/>
        </w:trPr>
        <w:tc>
          <w:tcPr>
            <w:tcW w:w="0" w:type="auto"/>
          </w:tcPr>
          <w:p w14:paraId="424C6A35" w14:textId="2A2EEB8B" w:rsidR="009026C2" w:rsidRDefault="009026C2">
            <w:pPr>
              <w:spacing w:line="360" w:lineRule="auto"/>
              <w:rPr>
                <w:rFonts w:ascii="Arial" w:hAnsi="Arial"/>
                <w:sz w:val="24"/>
                <w:szCs w:val="24"/>
              </w:rPr>
            </w:pPr>
            <w:r>
              <w:rPr>
                <w:rFonts w:ascii="Arial" w:hAnsi="Arial"/>
                <w:sz w:val="24"/>
                <w:szCs w:val="24"/>
              </w:rPr>
              <w:t>Cash Ratio</w:t>
            </w:r>
          </w:p>
        </w:tc>
        <w:tc>
          <w:tcPr>
            <w:tcW w:w="0" w:type="auto"/>
          </w:tcPr>
          <w:p w14:paraId="089353FD" w14:textId="647EEAA4" w:rsidR="009026C2" w:rsidRDefault="009026C2">
            <w:pPr>
              <w:spacing w:line="360" w:lineRule="auto"/>
              <w:rPr>
                <w:rFonts w:ascii="Arial" w:hAnsi="Arial"/>
                <w:sz w:val="24"/>
                <w:szCs w:val="24"/>
              </w:rPr>
            </w:pPr>
            <w:r>
              <w:rPr>
                <w:rFonts w:ascii="Arial" w:hAnsi="Arial"/>
                <w:sz w:val="24"/>
                <w:szCs w:val="24"/>
              </w:rPr>
              <w:t>Cash / Current Liabilities</w:t>
            </w:r>
          </w:p>
        </w:tc>
        <w:tc>
          <w:tcPr>
            <w:tcW w:w="0" w:type="auto"/>
          </w:tcPr>
          <w:p w14:paraId="1709D77F" w14:textId="10422586" w:rsidR="009026C2" w:rsidRDefault="009026C2">
            <w:pPr>
              <w:spacing w:line="360" w:lineRule="auto"/>
              <w:rPr>
                <w:rFonts w:ascii="Arial" w:hAnsi="Arial"/>
                <w:sz w:val="24"/>
                <w:szCs w:val="24"/>
              </w:rPr>
            </w:pPr>
            <w:r>
              <w:rPr>
                <w:rFonts w:ascii="Arial" w:hAnsi="Arial"/>
                <w:sz w:val="24"/>
                <w:szCs w:val="24"/>
              </w:rPr>
              <w:t>0.32</w:t>
            </w:r>
          </w:p>
        </w:tc>
        <w:tc>
          <w:tcPr>
            <w:tcW w:w="0" w:type="auto"/>
          </w:tcPr>
          <w:p w14:paraId="6F9CDAA8" w14:textId="3F959FDF" w:rsidR="009026C2" w:rsidRDefault="009026C2">
            <w:pPr>
              <w:spacing w:line="360" w:lineRule="auto"/>
              <w:rPr>
                <w:rFonts w:ascii="Arial" w:hAnsi="Arial"/>
                <w:sz w:val="24"/>
                <w:szCs w:val="24"/>
              </w:rPr>
            </w:pPr>
            <w:r>
              <w:rPr>
                <w:rFonts w:ascii="Arial" w:hAnsi="Arial"/>
                <w:sz w:val="24"/>
                <w:szCs w:val="24"/>
              </w:rPr>
              <w:t>0.28</w:t>
            </w:r>
          </w:p>
        </w:tc>
        <w:tc>
          <w:tcPr>
            <w:tcW w:w="0" w:type="auto"/>
          </w:tcPr>
          <w:p w14:paraId="6F7D4FB9" w14:textId="752BD339" w:rsidR="009026C2" w:rsidRDefault="009026C2">
            <w:pPr>
              <w:spacing w:line="360" w:lineRule="auto"/>
              <w:rPr>
                <w:rFonts w:ascii="Arial" w:hAnsi="Arial"/>
                <w:sz w:val="24"/>
                <w:szCs w:val="24"/>
              </w:rPr>
            </w:pPr>
            <w:r>
              <w:rPr>
                <w:rFonts w:ascii="Arial" w:hAnsi="Arial"/>
                <w:sz w:val="24"/>
                <w:szCs w:val="24"/>
              </w:rPr>
              <w:t>0.31</w:t>
            </w:r>
          </w:p>
        </w:tc>
        <w:tc>
          <w:tcPr>
            <w:tcW w:w="0" w:type="auto"/>
          </w:tcPr>
          <w:p w14:paraId="35684D3D" w14:textId="65F52253" w:rsidR="009026C2" w:rsidRDefault="009026C2">
            <w:pPr>
              <w:spacing w:line="360" w:lineRule="auto"/>
              <w:rPr>
                <w:rFonts w:ascii="Arial" w:hAnsi="Arial"/>
                <w:sz w:val="24"/>
                <w:szCs w:val="24"/>
              </w:rPr>
            </w:pPr>
            <w:r>
              <w:rPr>
                <w:rFonts w:ascii="Arial" w:hAnsi="Arial"/>
                <w:sz w:val="24"/>
                <w:szCs w:val="24"/>
              </w:rPr>
              <w:t>0.26</w:t>
            </w:r>
          </w:p>
        </w:tc>
        <w:tc>
          <w:tcPr>
            <w:tcW w:w="0" w:type="auto"/>
          </w:tcPr>
          <w:p w14:paraId="7D67FFB0" w14:textId="02886543" w:rsidR="009026C2" w:rsidRDefault="009026C2">
            <w:pPr>
              <w:spacing w:line="360" w:lineRule="auto"/>
              <w:rPr>
                <w:rFonts w:ascii="Arial" w:hAnsi="Arial"/>
                <w:sz w:val="24"/>
                <w:szCs w:val="24"/>
              </w:rPr>
            </w:pPr>
            <w:r>
              <w:rPr>
                <w:rFonts w:ascii="Arial" w:hAnsi="Arial"/>
                <w:sz w:val="24"/>
                <w:szCs w:val="24"/>
              </w:rPr>
              <w:t>0.17</w:t>
            </w:r>
          </w:p>
        </w:tc>
      </w:tr>
    </w:tbl>
    <w:p w14:paraId="4B830966" w14:textId="77777777" w:rsidR="004B5D04" w:rsidRDefault="004B5D04">
      <w:pPr>
        <w:pStyle w:val="NormalWeb"/>
        <w:spacing w:line="360" w:lineRule="auto"/>
        <w:rPr>
          <w:rStyle w:val="Strong"/>
          <w:rFonts w:ascii="Arial" w:hAnsi="Arial" w:cs="Arial"/>
        </w:rPr>
      </w:pPr>
    </w:p>
    <w:p w14:paraId="620B7611" w14:textId="77777777" w:rsidR="004B5D04" w:rsidRDefault="004B5D04">
      <w:pPr>
        <w:pStyle w:val="NormalWeb"/>
        <w:spacing w:line="360" w:lineRule="auto"/>
        <w:rPr>
          <w:rStyle w:val="Strong"/>
        </w:rPr>
      </w:pPr>
    </w:p>
    <w:p w14:paraId="17D3126F" w14:textId="7D0C75AD" w:rsidR="00BA6D4C" w:rsidRDefault="00CE0412">
      <w:pPr>
        <w:pStyle w:val="NormalWeb"/>
        <w:spacing w:line="360" w:lineRule="auto"/>
        <w:rPr>
          <w:rFonts w:ascii="Arial" w:hAnsi="Arial" w:cs="Arial"/>
        </w:rPr>
      </w:pPr>
      <w:r>
        <w:rPr>
          <w:rStyle w:val="Strong"/>
          <w:rFonts w:ascii="Arial" w:hAnsi="Arial" w:cs="Arial"/>
        </w:rPr>
        <w:t>Table A3: Efficiency Ratios (2020–2024)</w:t>
      </w:r>
    </w:p>
    <w:tbl>
      <w:tblPr>
        <w:tblStyle w:val="TableGrid"/>
        <w:tblW w:w="9644" w:type="dxa"/>
        <w:tblLook w:val="04A0" w:firstRow="1" w:lastRow="0" w:firstColumn="1" w:lastColumn="0" w:noHBand="0" w:noVBand="1"/>
      </w:tblPr>
      <w:tblGrid>
        <w:gridCol w:w="2146"/>
        <w:gridCol w:w="3748"/>
        <w:gridCol w:w="750"/>
        <w:gridCol w:w="750"/>
        <w:gridCol w:w="750"/>
        <w:gridCol w:w="750"/>
        <w:gridCol w:w="750"/>
      </w:tblGrid>
      <w:tr w:rsidR="00BA6D4C" w14:paraId="126FD2FF" w14:textId="77777777">
        <w:trPr>
          <w:trHeight w:val="477"/>
        </w:trPr>
        <w:tc>
          <w:tcPr>
            <w:tcW w:w="0" w:type="auto"/>
            <w:hideMark/>
          </w:tcPr>
          <w:p w14:paraId="1776E007" w14:textId="77777777" w:rsidR="00BA6D4C" w:rsidRDefault="00CE0412">
            <w:pPr>
              <w:spacing w:line="360" w:lineRule="auto"/>
              <w:jc w:val="center"/>
              <w:rPr>
                <w:rFonts w:ascii="Arial" w:hAnsi="Arial"/>
                <w:b/>
                <w:bCs/>
                <w:sz w:val="24"/>
                <w:szCs w:val="24"/>
              </w:rPr>
            </w:pPr>
            <w:r>
              <w:rPr>
                <w:rFonts w:ascii="Arial" w:hAnsi="Arial"/>
                <w:b/>
                <w:bCs/>
                <w:sz w:val="24"/>
                <w:szCs w:val="24"/>
              </w:rPr>
              <w:t>Ratio</w:t>
            </w:r>
          </w:p>
        </w:tc>
        <w:tc>
          <w:tcPr>
            <w:tcW w:w="0" w:type="auto"/>
            <w:hideMark/>
          </w:tcPr>
          <w:p w14:paraId="467D2CC2" w14:textId="77777777" w:rsidR="00BA6D4C" w:rsidRDefault="00CE0412">
            <w:pPr>
              <w:spacing w:line="360" w:lineRule="auto"/>
              <w:jc w:val="center"/>
              <w:rPr>
                <w:rFonts w:ascii="Arial" w:hAnsi="Arial"/>
                <w:b/>
                <w:bCs/>
                <w:sz w:val="24"/>
                <w:szCs w:val="24"/>
              </w:rPr>
            </w:pPr>
            <w:r>
              <w:rPr>
                <w:rFonts w:ascii="Arial" w:hAnsi="Arial"/>
                <w:b/>
                <w:bCs/>
                <w:sz w:val="24"/>
                <w:szCs w:val="24"/>
              </w:rPr>
              <w:t>Formula</w:t>
            </w:r>
          </w:p>
        </w:tc>
        <w:tc>
          <w:tcPr>
            <w:tcW w:w="0" w:type="auto"/>
            <w:hideMark/>
          </w:tcPr>
          <w:p w14:paraId="4B2ADB81" w14:textId="77777777" w:rsidR="00BA6D4C" w:rsidRDefault="00CE0412">
            <w:pPr>
              <w:spacing w:line="360" w:lineRule="auto"/>
              <w:jc w:val="center"/>
              <w:rPr>
                <w:rFonts w:ascii="Arial" w:hAnsi="Arial"/>
                <w:b/>
                <w:bCs/>
                <w:sz w:val="24"/>
                <w:szCs w:val="24"/>
              </w:rPr>
            </w:pPr>
            <w:r>
              <w:rPr>
                <w:rFonts w:ascii="Arial" w:hAnsi="Arial"/>
                <w:b/>
                <w:bCs/>
                <w:sz w:val="24"/>
                <w:szCs w:val="24"/>
              </w:rPr>
              <w:t>2020</w:t>
            </w:r>
          </w:p>
        </w:tc>
        <w:tc>
          <w:tcPr>
            <w:tcW w:w="0" w:type="auto"/>
            <w:hideMark/>
          </w:tcPr>
          <w:p w14:paraId="4633B336" w14:textId="77777777" w:rsidR="00BA6D4C" w:rsidRDefault="00CE0412">
            <w:pPr>
              <w:spacing w:line="360" w:lineRule="auto"/>
              <w:jc w:val="center"/>
              <w:rPr>
                <w:rFonts w:ascii="Arial" w:hAnsi="Arial"/>
                <w:b/>
                <w:bCs/>
                <w:sz w:val="24"/>
                <w:szCs w:val="24"/>
              </w:rPr>
            </w:pPr>
            <w:r>
              <w:rPr>
                <w:rFonts w:ascii="Arial" w:hAnsi="Arial"/>
                <w:b/>
                <w:bCs/>
                <w:sz w:val="24"/>
                <w:szCs w:val="24"/>
              </w:rPr>
              <w:t>2021</w:t>
            </w:r>
          </w:p>
        </w:tc>
        <w:tc>
          <w:tcPr>
            <w:tcW w:w="0" w:type="auto"/>
            <w:hideMark/>
          </w:tcPr>
          <w:p w14:paraId="486F062B" w14:textId="77777777" w:rsidR="00BA6D4C" w:rsidRDefault="00CE0412">
            <w:pPr>
              <w:spacing w:line="360" w:lineRule="auto"/>
              <w:jc w:val="center"/>
              <w:rPr>
                <w:rFonts w:ascii="Arial" w:hAnsi="Arial"/>
                <w:b/>
                <w:bCs/>
                <w:sz w:val="24"/>
                <w:szCs w:val="24"/>
              </w:rPr>
            </w:pPr>
            <w:r>
              <w:rPr>
                <w:rFonts w:ascii="Arial" w:hAnsi="Arial"/>
                <w:b/>
                <w:bCs/>
                <w:sz w:val="24"/>
                <w:szCs w:val="24"/>
              </w:rPr>
              <w:t>2022</w:t>
            </w:r>
          </w:p>
        </w:tc>
        <w:tc>
          <w:tcPr>
            <w:tcW w:w="0" w:type="auto"/>
            <w:hideMark/>
          </w:tcPr>
          <w:p w14:paraId="664C7A82" w14:textId="77777777" w:rsidR="00BA6D4C" w:rsidRDefault="00CE0412">
            <w:pPr>
              <w:spacing w:line="360" w:lineRule="auto"/>
              <w:jc w:val="center"/>
              <w:rPr>
                <w:rFonts w:ascii="Arial" w:hAnsi="Arial"/>
                <w:b/>
                <w:bCs/>
                <w:sz w:val="24"/>
                <w:szCs w:val="24"/>
              </w:rPr>
            </w:pPr>
            <w:r>
              <w:rPr>
                <w:rFonts w:ascii="Arial" w:hAnsi="Arial"/>
                <w:b/>
                <w:bCs/>
                <w:sz w:val="24"/>
                <w:szCs w:val="24"/>
              </w:rPr>
              <w:t>2023</w:t>
            </w:r>
          </w:p>
        </w:tc>
        <w:tc>
          <w:tcPr>
            <w:tcW w:w="0" w:type="auto"/>
            <w:hideMark/>
          </w:tcPr>
          <w:p w14:paraId="1F04B3BB" w14:textId="77777777" w:rsidR="00BA6D4C" w:rsidRDefault="00CE0412">
            <w:pPr>
              <w:spacing w:line="360" w:lineRule="auto"/>
              <w:jc w:val="center"/>
              <w:rPr>
                <w:rFonts w:ascii="Arial" w:hAnsi="Arial"/>
                <w:b/>
                <w:bCs/>
                <w:sz w:val="24"/>
                <w:szCs w:val="24"/>
              </w:rPr>
            </w:pPr>
            <w:r>
              <w:rPr>
                <w:rFonts w:ascii="Arial" w:hAnsi="Arial"/>
                <w:b/>
                <w:bCs/>
                <w:sz w:val="24"/>
                <w:szCs w:val="24"/>
              </w:rPr>
              <w:t>2024</w:t>
            </w:r>
          </w:p>
        </w:tc>
      </w:tr>
      <w:tr w:rsidR="00BA6D4C" w14:paraId="062AFC53" w14:textId="77777777">
        <w:trPr>
          <w:trHeight w:val="497"/>
        </w:trPr>
        <w:tc>
          <w:tcPr>
            <w:tcW w:w="0" w:type="auto"/>
            <w:hideMark/>
          </w:tcPr>
          <w:p w14:paraId="66FE2DBE" w14:textId="77777777" w:rsidR="00BA6D4C" w:rsidRDefault="00CE0412">
            <w:pPr>
              <w:spacing w:line="360" w:lineRule="auto"/>
              <w:rPr>
                <w:rFonts w:ascii="Arial" w:hAnsi="Arial"/>
                <w:sz w:val="24"/>
                <w:szCs w:val="24"/>
              </w:rPr>
            </w:pPr>
            <w:r>
              <w:rPr>
                <w:rFonts w:ascii="Arial" w:hAnsi="Arial"/>
                <w:sz w:val="24"/>
                <w:szCs w:val="24"/>
              </w:rPr>
              <w:t>Inventory Days</w:t>
            </w:r>
          </w:p>
        </w:tc>
        <w:tc>
          <w:tcPr>
            <w:tcW w:w="0" w:type="auto"/>
            <w:hideMark/>
          </w:tcPr>
          <w:p w14:paraId="402DB933" w14:textId="77777777" w:rsidR="00BA6D4C" w:rsidRDefault="00CE0412">
            <w:pPr>
              <w:spacing w:line="360" w:lineRule="auto"/>
              <w:rPr>
                <w:rFonts w:ascii="Arial" w:hAnsi="Arial"/>
                <w:sz w:val="24"/>
                <w:szCs w:val="24"/>
              </w:rPr>
            </w:pPr>
            <w:r>
              <w:rPr>
                <w:rFonts w:ascii="Arial" w:hAnsi="Arial"/>
                <w:sz w:val="24"/>
                <w:szCs w:val="24"/>
              </w:rPr>
              <w:t>(Inventory / COGS) × 365</w:t>
            </w:r>
          </w:p>
        </w:tc>
        <w:tc>
          <w:tcPr>
            <w:tcW w:w="0" w:type="auto"/>
            <w:hideMark/>
          </w:tcPr>
          <w:p w14:paraId="3526B7F0" w14:textId="77777777" w:rsidR="00BA6D4C" w:rsidRDefault="00CE0412">
            <w:pPr>
              <w:spacing w:line="360" w:lineRule="auto"/>
              <w:rPr>
                <w:rFonts w:ascii="Arial" w:hAnsi="Arial"/>
                <w:sz w:val="24"/>
                <w:szCs w:val="24"/>
              </w:rPr>
            </w:pPr>
            <w:r>
              <w:rPr>
                <w:rFonts w:ascii="Arial" w:hAnsi="Arial"/>
                <w:sz w:val="24"/>
                <w:szCs w:val="24"/>
              </w:rPr>
              <w:t>100</w:t>
            </w:r>
          </w:p>
        </w:tc>
        <w:tc>
          <w:tcPr>
            <w:tcW w:w="0" w:type="auto"/>
            <w:hideMark/>
          </w:tcPr>
          <w:p w14:paraId="296B46EF" w14:textId="77777777" w:rsidR="00BA6D4C" w:rsidRDefault="00CE0412">
            <w:pPr>
              <w:spacing w:line="360" w:lineRule="auto"/>
              <w:rPr>
                <w:rFonts w:ascii="Arial" w:hAnsi="Arial"/>
                <w:sz w:val="24"/>
                <w:szCs w:val="24"/>
              </w:rPr>
            </w:pPr>
            <w:r>
              <w:rPr>
                <w:rFonts w:ascii="Arial" w:hAnsi="Arial"/>
                <w:sz w:val="24"/>
                <w:szCs w:val="24"/>
              </w:rPr>
              <w:t>114</w:t>
            </w:r>
          </w:p>
        </w:tc>
        <w:tc>
          <w:tcPr>
            <w:tcW w:w="0" w:type="auto"/>
            <w:hideMark/>
          </w:tcPr>
          <w:p w14:paraId="138D0303" w14:textId="77777777" w:rsidR="00BA6D4C" w:rsidRDefault="00CE0412">
            <w:pPr>
              <w:spacing w:line="360" w:lineRule="auto"/>
              <w:rPr>
                <w:rFonts w:ascii="Arial" w:hAnsi="Arial"/>
                <w:sz w:val="24"/>
                <w:szCs w:val="24"/>
              </w:rPr>
            </w:pPr>
            <w:r>
              <w:rPr>
                <w:rFonts w:ascii="Arial" w:hAnsi="Arial"/>
                <w:sz w:val="24"/>
                <w:szCs w:val="24"/>
              </w:rPr>
              <w:t>131</w:t>
            </w:r>
          </w:p>
        </w:tc>
        <w:tc>
          <w:tcPr>
            <w:tcW w:w="0" w:type="auto"/>
            <w:hideMark/>
          </w:tcPr>
          <w:p w14:paraId="23B948CF" w14:textId="77777777" w:rsidR="00BA6D4C" w:rsidRDefault="00CE0412">
            <w:pPr>
              <w:spacing w:line="360" w:lineRule="auto"/>
              <w:rPr>
                <w:rFonts w:ascii="Arial" w:hAnsi="Arial"/>
                <w:sz w:val="24"/>
                <w:szCs w:val="24"/>
              </w:rPr>
            </w:pPr>
            <w:r>
              <w:rPr>
                <w:rFonts w:ascii="Arial" w:hAnsi="Arial"/>
                <w:sz w:val="24"/>
                <w:szCs w:val="24"/>
              </w:rPr>
              <w:t>116</w:t>
            </w:r>
          </w:p>
        </w:tc>
        <w:tc>
          <w:tcPr>
            <w:tcW w:w="0" w:type="auto"/>
            <w:hideMark/>
          </w:tcPr>
          <w:p w14:paraId="162AE1F4" w14:textId="77777777" w:rsidR="00BA6D4C" w:rsidRDefault="00CE0412">
            <w:pPr>
              <w:spacing w:line="360" w:lineRule="auto"/>
              <w:rPr>
                <w:rFonts w:ascii="Arial" w:hAnsi="Arial"/>
                <w:sz w:val="24"/>
                <w:szCs w:val="24"/>
              </w:rPr>
            </w:pPr>
            <w:r>
              <w:rPr>
                <w:rFonts w:ascii="Arial" w:hAnsi="Arial"/>
                <w:sz w:val="24"/>
                <w:szCs w:val="24"/>
              </w:rPr>
              <w:t>103</w:t>
            </w:r>
          </w:p>
        </w:tc>
      </w:tr>
      <w:tr w:rsidR="00BA6D4C" w14:paraId="063F352E" w14:textId="77777777">
        <w:trPr>
          <w:trHeight w:val="477"/>
        </w:trPr>
        <w:tc>
          <w:tcPr>
            <w:tcW w:w="0" w:type="auto"/>
            <w:hideMark/>
          </w:tcPr>
          <w:p w14:paraId="3A1EB5D9" w14:textId="77777777" w:rsidR="00BA6D4C" w:rsidRDefault="00CE0412">
            <w:pPr>
              <w:spacing w:line="360" w:lineRule="auto"/>
              <w:rPr>
                <w:rFonts w:ascii="Arial" w:hAnsi="Arial"/>
                <w:sz w:val="24"/>
                <w:szCs w:val="24"/>
              </w:rPr>
            </w:pPr>
            <w:r>
              <w:rPr>
                <w:rFonts w:ascii="Arial" w:hAnsi="Arial"/>
                <w:sz w:val="24"/>
                <w:szCs w:val="24"/>
              </w:rPr>
              <w:t>Receivable Days</w:t>
            </w:r>
          </w:p>
        </w:tc>
        <w:tc>
          <w:tcPr>
            <w:tcW w:w="0" w:type="auto"/>
            <w:hideMark/>
          </w:tcPr>
          <w:p w14:paraId="47331A6D" w14:textId="77777777" w:rsidR="00BA6D4C" w:rsidRDefault="00CE0412">
            <w:pPr>
              <w:spacing w:line="360" w:lineRule="auto"/>
              <w:rPr>
                <w:rFonts w:ascii="Arial" w:hAnsi="Arial"/>
                <w:sz w:val="24"/>
                <w:szCs w:val="24"/>
              </w:rPr>
            </w:pPr>
            <w:r>
              <w:rPr>
                <w:rFonts w:ascii="Arial" w:hAnsi="Arial"/>
                <w:sz w:val="24"/>
                <w:szCs w:val="24"/>
              </w:rPr>
              <w:t>(Accounts Receivable / Revenue) × 365</w:t>
            </w:r>
          </w:p>
        </w:tc>
        <w:tc>
          <w:tcPr>
            <w:tcW w:w="0" w:type="auto"/>
            <w:hideMark/>
          </w:tcPr>
          <w:p w14:paraId="0E89A436" w14:textId="77777777" w:rsidR="00BA6D4C" w:rsidRDefault="00CE0412">
            <w:pPr>
              <w:spacing w:line="360" w:lineRule="auto"/>
              <w:rPr>
                <w:rFonts w:ascii="Arial" w:hAnsi="Arial"/>
                <w:sz w:val="24"/>
                <w:szCs w:val="24"/>
              </w:rPr>
            </w:pPr>
            <w:r>
              <w:rPr>
                <w:rFonts w:ascii="Arial" w:hAnsi="Arial"/>
                <w:sz w:val="24"/>
                <w:szCs w:val="24"/>
              </w:rPr>
              <w:t>77</w:t>
            </w:r>
          </w:p>
        </w:tc>
        <w:tc>
          <w:tcPr>
            <w:tcW w:w="0" w:type="auto"/>
            <w:hideMark/>
          </w:tcPr>
          <w:p w14:paraId="516D7293" w14:textId="77777777" w:rsidR="00BA6D4C" w:rsidRDefault="00CE0412">
            <w:pPr>
              <w:spacing w:line="360" w:lineRule="auto"/>
              <w:rPr>
                <w:rFonts w:ascii="Arial" w:hAnsi="Arial"/>
                <w:sz w:val="24"/>
                <w:szCs w:val="24"/>
              </w:rPr>
            </w:pPr>
            <w:r>
              <w:rPr>
                <w:rFonts w:ascii="Arial" w:hAnsi="Arial"/>
                <w:sz w:val="24"/>
                <w:szCs w:val="24"/>
              </w:rPr>
              <w:t>78</w:t>
            </w:r>
          </w:p>
        </w:tc>
        <w:tc>
          <w:tcPr>
            <w:tcW w:w="0" w:type="auto"/>
            <w:hideMark/>
          </w:tcPr>
          <w:p w14:paraId="6ED14BC3" w14:textId="77777777" w:rsidR="00BA6D4C" w:rsidRDefault="00CE0412">
            <w:pPr>
              <w:spacing w:line="360" w:lineRule="auto"/>
              <w:rPr>
                <w:rFonts w:ascii="Arial" w:hAnsi="Arial"/>
                <w:sz w:val="24"/>
                <w:szCs w:val="24"/>
              </w:rPr>
            </w:pPr>
            <w:r>
              <w:rPr>
                <w:rFonts w:ascii="Arial" w:hAnsi="Arial"/>
                <w:sz w:val="24"/>
                <w:szCs w:val="24"/>
              </w:rPr>
              <w:t>75</w:t>
            </w:r>
          </w:p>
        </w:tc>
        <w:tc>
          <w:tcPr>
            <w:tcW w:w="0" w:type="auto"/>
            <w:hideMark/>
          </w:tcPr>
          <w:p w14:paraId="6E547A4A" w14:textId="77777777" w:rsidR="00BA6D4C" w:rsidRDefault="00CE0412">
            <w:pPr>
              <w:spacing w:line="360" w:lineRule="auto"/>
              <w:rPr>
                <w:rFonts w:ascii="Arial" w:hAnsi="Arial"/>
                <w:sz w:val="24"/>
                <w:szCs w:val="24"/>
              </w:rPr>
            </w:pPr>
            <w:r>
              <w:rPr>
                <w:rFonts w:ascii="Arial" w:hAnsi="Arial"/>
                <w:sz w:val="24"/>
                <w:szCs w:val="24"/>
              </w:rPr>
              <w:t>71</w:t>
            </w:r>
          </w:p>
        </w:tc>
        <w:tc>
          <w:tcPr>
            <w:tcW w:w="0" w:type="auto"/>
            <w:hideMark/>
          </w:tcPr>
          <w:p w14:paraId="39E44BDD" w14:textId="77777777" w:rsidR="00BA6D4C" w:rsidRDefault="00CE0412">
            <w:pPr>
              <w:spacing w:line="360" w:lineRule="auto"/>
              <w:rPr>
                <w:rFonts w:ascii="Arial" w:hAnsi="Arial"/>
                <w:sz w:val="24"/>
                <w:szCs w:val="24"/>
              </w:rPr>
            </w:pPr>
            <w:r>
              <w:rPr>
                <w:rFonts w:ascii="Arial" w:hAnsi="Arial"/>
                <w:sz w:val="24"/>
                <w:szCs w:val="24"/>
              </w:rPr>
              <w:t>106</w:t>
            </w:r>
          </w:p>
        </w:tc>
      </w:tr>
      <w:tr w:rsidR="00BA6D4C" w14:paraId="41D481A3" w14:textId="77777777">
        <w:trPr>
          <w:trHeight w:val="497"/>
        </w:trPr>
        <w:tc>
          <w:tcPr>
            <w:tcW w:w="0" w:type="auto"/>
            <w:hideMark/>
          </w:tcPr>
          <w:p w14:paraId="41E7DBA9" w14:textId="77777777" w:rsidR="00BA6D4C" w:rsidRDefault="00CE0412">
            <w:pPr>
              <w:spacing w:line="360" w:lineRule="auto"/>
              <w:rPr>
                <w:rFonts w:ascii="Arial" w:hAnsi="Arial"/>
                <w:sz w:val="24"/>
                <w:szCs w:val="24"/>
              </w:rPr>
            </w:pPr>
            <w:r>
              <w:rPr>
                <w:rFonts w:ascii="Arial" w:hAnsi="Arial"/>
                <w:sz w:val="24"/>
                <w:szCs w:val="24"/>
              </w:rPr>
              <w:t>Payable Days</w:t>
            </w:r>
          </w:p>
        </w:tc>
        <w:tc>
          <w:tcPr>
            <w:tcW w:w="0" w:type="auto"/>
            <w:hideMark/>
          </w:tcPr>
          <w:p w14:paraId="76E2B3D7" w14:textId="77777777" w:rsidR="00BA6D4C" w:rsidRDefault="00CE0412">
            <w:pPr>
              <w:spacing w:line="360" w:lineRule="auto"/>
              <w:rPr>
                <w:rFonts w:ascii="Arial" w:hAnsi="Arial"/>
                <w:sz w:val="24"/>
                <w:szCs w:val="24"/>
              </w:rPr>
            </w:pPr>
            <w:r>
              <w:rPr>
                <w:rFonts w:ascii="Arial" w:hAnsi="Arial"/>
                <w:sz w:val="24"/>
                <w:szCs w:val="24"/>
              </w:rPr>
              <w:t>(Accounts Payable / COGS) × 365</w:t>
            </w:r>
          </w:p>
        </w:tc>
        <w:tc>
          <w:tcPr>
            <w:tcW w:w="0" w:type="auto"/>
            <w:hideMark/>
          </w:tcPr>
          <w:p w14:paraId="721A29F3" w14:textId="77777777" w:rsidR="00BA6D4C" w:rsidRDefault="00CE0412">
            <w:pPr>
              <w:spacing w:line="360" w:lineRule="auto"/>
              <w:rPr>
                <w:rFonts w:ascii="Arial" w:hAnsi="Arial"/>
                <w:sz w:val="24"/>
                <w:szCs w:val="24"/>
              </w:rPr>
            </w:pPr>
            <w:r>
              <w:rPr>
                <w:rFonts w:ascii="Arial" w:hAnsi="Arial"/>
                <w:sz w:val="24"/>
                <w:szCs w:val="24"/>
              </w:rPr>
              <w:t>49</w:t>
            </w:r>
          </w:p>
        </w:tc>
        <w:tc>
          <w:tcPr>
            <w:tcW w:w="0" w:type="auto"/>
            <w:hideMark/>
          </w:tcPr>
          <w:p w14:paraId="70C85060" w14:textId="77777777" w:rsidR="00BA6D4C" w:rsidRDefault="00CE0412">
            <w:pPr>
              <w:spacing w:line="360" w:lineRule="auto"/>
              <w:rPr>
                <w:rFonts w:ascii="Arial" w:hAnsi="Arial"/>
                <w:sz w:val="24"/>
                <w:szCs w:val="24"/>
              </w:rPr>
            </w:pPr>
            <w:r>
              <w:rPr>
                <w:rFonts w:ascii="Arial" w:hAnsi="Arial"/>
                <w:sz w:val="24"/>
                <w:szCs w:val="24"/>
              </w:rPr>
              <w:t>55</w:t>
            </w:r>
          </w:p>
        </w:tc>
        <w:tc>
          <w:tcPr>
            <w:tcW w:w="0" w:type="auto"/>
            <w:hideMark/>
          </w:tcPr>
          <w:p w14:paraId="4FC071E1" w14:textId="77777777" w:rsidR="00BA6D4C" w:rsidRDefault="00CE0412">
            <w:pPr>
              <w:spacing w:line="360" w:lineRule="auto"/>
              <w:rPr>
                <w:rFonts w:ascii="Arial" w:hAnsi="Arial"/>
                <w:sz w:val="24"/>
                <w:szCs w:val="24"/>
              </w:rPr>
            </w:pPr>
            <w:r>
              <w:rPr>
                <w:rFonts w:ascii="Arial" w:hAnsi="Arial"/>
                <w:sz w:val="24"/>
                <w:szCs w:val="24"/>
              </w:rPr>
              <w:t>47</w:t>
            </w:r>
          </w:p>
        </w:tc>
        <w:tc>
          <w:tcPr>
            <w:tcW w:w="0" w:type="auto"/>
            <w:hideMark/>
          </w:tcPr>
          <w:p w14:paraId="24DD9A15" w14:textId="77777777" w:rsidR="00BA6D4C" w:rsidRDefault="00CE0412">
            <w:pPr>
              <w:spacing w:line="360" w:lineRule="auto"/>
              <w:rPr>
                <w:rFonts w:ascii="Arial" w:hAnsi="Arial"/>
                <w:sz w:val="24"/>
                <w:szCs w:val="24"/>
              </w:rPr>
            </w:pPr>
            <w:r>
              <w:rPr>
                <w:rFonts w:ascii="Arial" w:hAnsi="Arial"/>
                <w:sz w:val="24"/>
                <w:szCs w:val="24"/>
              </w:rPr>
              <w:t>47</w:t>
            </w:r>
          </w:p>
        </w:tc>
        <w:tc>
          <w:tcPr>
            <w:tcW w:w="0" w:type="auto"/>
            <w:hideMark/>
          </w:tcPr>
          <w:p w14:paraId="646CED32" w14:textId="77777777" w:rsidR="00BA6D4C" w:rsidRDefault="00CE0412">
            <w:pPr>
              <w:spacing w:line="360" w:lineRule="auto"/>
              <w:rPr>
                <w:rFonts w:ascii="Arial" w:hAnsi="Arial"/>
                <w:sz w:val="24"/>
                <w:szCs w:val="24"/>
              </w:rPr>
            </w:pPr>
            <w:r>
              <w:rPr>
                <w:rFonts w:ascii="Arial" w:hAnsi="Arial"/>
                <w:sz w:val="24"/>
                <w:szCs w:val="24"/>
              </w:rPr>
              <w:t>52</w:t>
            </w:r>
          </w:p>
        </w:tc>
      </w:tr>
      <w:tr w:rsidR="00BA6D4C" w14:paraId="1CE6F553" w14:textId="77777777">
        <w:trPr>
          <w:trHeight w:val="992"/>
        </w:trPr>
        <w:tc>
          <w:tcPr>
            <w:tcW w:w="0" w:type="auto"/>
            <w:hideMark/>
          </w:tcPr>
          <w:p w14:paraId="107E2854" w14:textId="77777777" w:rsidR="00BA6D4C" w:rsidRDefault="00CE0412">
            <w:pPr>
              <w:spacing w:line="360" w:lineRule="auto"/>
              <w:rPr>
                <w:rFonts w:ascii="Arial" w:hAnsi="Arial"/>
                <w:sz w:val="24"/>
                <w:szCs w:val="24"/>
              </w:rPr>
            </w:pPr>
            <w:r>
              <w:rPr>
                <w:rFonts w:ascii="Arial" w:hAnsi="Arial"/>
                <w:sz w:val="24"/>
                <w:szCs w:val="24"/>
              </w:rPr>
              <w:t>Cash Conversion Cycle</w:t>
            </w:r>
          </w:p>
        </w:tc>
        <w:tc>
          <w:tcPr>
            <w:tcW w:w="0" w:type="auto"/>
            <w:hideMark/>
          </w:tcPr>
          <w:p w14:paraId="52DDD763" w14:textId="77777777" w:rsidR="00BA6D4C" w:rsidRDefault="00CE0412">
            <w:pPr>
              <w:spacing w:line="360" w:lineRule="auto"/>
              <w:rPr>
                <w:rFonts w:ascii="Arial" w:hAnsi="Arial"/>
                <w:sz w:val="24"/>
                <w:szCs w:val="24"/>
              </w:rPr>
            </w:pPr>
            <w:r>
              <w:rPr>
                <w:rFonts w:ascii="Arial" w:hAnsi="Arial"/>
                <w:sz w:val="24"/>
                <w:szCs w:val="24"/>
              </w:rPr>
              <w:t>Inventory Days + Receivable Days – Payable Days</w:t>
            </w:r>
          </w:p>
        </w:tc>
        <w:tc>
          <w:tcPr>
            <w:tcW w:w="0" w:type="auto"/>
            <w:hideMark/>
          </w:tcPr>
          <w:p w14:paraId="239CC5A3" w14:textId="77777777" w:rsidR="00BA6D4C" w:rsidRDefault="00CE0412">
            <w:pPr>
              <w:spacing w:line="360" w:lineRule="auto"/>
              <w:rPr>
                <w:rFonts w:ascii="Arial" w:hAnsi="Arial"/>
                <w:sz w:val="24"/>
                <w:szCs w:val="24"/>
              </w:rPr>
            </w:pPr>
            <w:r>
              <w:rPr>
                <w:rFonts w:ascii="Arial" w:hAnsi="Arial"/>
                <w:sz w:val="24"/>
                <w:szCs w:val="24"/>
              </w:rPr>
              <w:t>128</w:t>
            </w:r>
          </w:p>
        </w:tc>
        <w:tc>
          <w:tcPr>
            <w:tcW w:w="0" w:type="auto"/>
            <w:hideMark/>
          </w:tcPr>
          <w:p w14:paraId="5056BB6E" w14:textId="77777777" w:rsidR="00BA6D4C" w:rsidRDefault="00CE0412">
            <w:pPr>
              <w:spacing w:line="360" w:lineRule="auto"/>
              <w:rPr>
                <w:rFonts w:ascii="Arial" w:hAnsi="Arial"/>
                <w:sz w:val="24"/>
                <w:szCs w:val="24"/>
              </w:rPr>
            </w:pPr>
            <w:r>
              <w:rPr>
                <w:rFonts w:ascii="Arial" w:hAnsi="Arial"/>
                <w:sz w:val="24"/>
                <w:szCs w:val="24"/>
              </w:rPr>
              <w:t>137</w:t>
            </w:r>
          </w:p>
        </w:tc>
        <w:tc>
          <w:tcPr>
            <w:tcW w:w="0" w:type="auto"/>
            <w:hideMark/>
          </w:tcPr>
          <w:p w14:paraId="2A615429" w14:textId="77777777" w:rsidR="00BA6D4C" w:rsidRDefault="00CE0412">
            <w:pPr>
              <w:spacing w:line="360" w:lineRule="auto"/>
              <w:rPr>
                <w:rFonts w:ascii="Arial" w:hAnsi="Arial"/>
                <w:sz w:val="24"/>
                <w:szCs w:val="24"/>
              </w:rPr>
            </w:pPr>
            <w:r>
              <w:rPr>
                <w:rFonts w:ascii="Arial" w:hAnsi="Arial"/>
                <w:sz w:val="24"/>
                <w:szCs w:val="24"/>
              </w:rPr>
              <w:t>159</w:t>
            </w:r>
          </w:p>
        </w:tc>
        <w:tc>
          <w:tcPr>
            <w:tcW w:w="0" w:type="auto"/>
            <w:hideMark/>
          </w:tcPr>
          <w:p w14:paraId="72E683A1" w14:textId="77777777" w:rsidR="00BA6D4C" w:rsidRDefault="00CE0412">
            <w:pPr>
              <w:spacing w:line="360" w:lineRule="auto"/>
              <w:rPr>
                <w:rFonts w:ascii="Arial" w:hAnsi="Arial"/>
                <w:sz w:val="24"/>
                <w:szCs w:val="24"/>
              </w:rPr>
            </w:pPr>
            <w:r>
              <w:rPr>
                <w:rFonts w:ascii="Arial" w:hAnsi="Arial"/>
                <w:sz w:val="24"/>
                <w:szCs w:val="24"/>
              </w:rPr>
              <w:t>140</w:t>
            </w:r>
          </w:p>
        </w:tc>
        <w:tc>
          <w:tcPr>
            <w:tcW w:w="0" w:type="auto"/>
            <w:hideMark/>
          </w:tcPr>
          <w:p w14:paraId="1054B66C" w14:textId="77777777" w:rsidR="00BA6D4C" w:rsidRDefault="00CE0412">
            <w:pPr>
              <w:spacing w:line="360" w:lineRule="auto"/>
              <w:rPr>
                <w:rFonts w:ascii="Arial" w:hAnsi="Arial"/>
                <w:sz w:val="24"/>
                <w:szCs w:val="24"/>
              </w:rPr>
            </w:pPr>
            <w:r>
              <w:rPr>
                <w:rFonts w:ascii="Arial" w:hAnsi="Arial"/>
                <w:sz w:val="24"/>
                <w:szCs w:val="24"/>
              </w:rPr>
              <w:t>157</w:t>
            </w:r>
          </w:p>
        </w:tc>
      </w:tr>
    </w:tbl>
    <w:p w14:paraId="635E2B72" w14:textId="77777777" w:rsidR="00BA6D4C" w:rsidRDefault="00CE0412">
      <w:pPr>
        <w:pStyle w:val="NormalWeb"/>
        <w:spacing w:line="360" w:lineRule="auto"/>
        <w:rPr>
          <w:rFonts w:ascii="Arial" w:hAnsi="Arial" w:cs="Arial"/>
        </w:rPr>
      </w:pPr>
      <w:r>
        <w:rPr>
          <w:rStyle w:val="Strong"/>
          <w:rFonts w:ascii="Arial" w:hAnsi="Arial" w:cs="Arial"/>
        </w:rPr>
        <w:t>Table A4: Gearing and Solvency Ratios (2020–2024)</w:t>
      </w:r>
    </w:p>
    <w:tbl>
      <w:tblPr>
        <w:tblStyle w:val="TableGrid"/>
        <w:tblW w:w="9605" w:type="dxa"/>
        <w:tblLook w:val="04A0" w:firstRow="1" w:lastRow="0" w:firstColumn="1" w:lastColumn="0" w:noHBand="0" w:noVBand="1"/>
      </w:tblPr>
      <w:tblGrid>
        <w:gridCol w:w="2501"/>
        <w:gridCol w:w="2976"/>
        <w:gridCol w:w="811"/>
        <w:gridCol w:w="811"/>
        <w:gridCol w:w="811"/>
        <w:gridCol w:w="884"/>
        <w:gridCol w:w="811"/>
      </w:tblGrid>
      <w:tr w:rsidR="00BA6D4C" w14:paraId="2D6CCAB6" w14:textId="77777777">
        <w:trPr>
          <w:trHeight w:val="492"/>
        </w:trPr>
        <w:tc>
          <w:tcPr>
            <w:tcW w:w="0" w:type="auto"/>
            <w:hideMark/>
          </w:tcPr>
          <w:p w14:paraId="2EB59A65" w14:textId="77777777" w:rsidR="00BA6D4C" w:rsidRDefault="00CE0412">
            <w:pPr>
              <w:spacing w:line="360" w:lineRule="auto"/>
              <w:jc w:val="center"/>
              <w:rPr>
                <w:rFonts w:ascii="Arial" w:hAnsi="Arial"/>
                <w:b/>
                <w:bCs/>
                <w:sz w:val="24"/>
                <w:szCs w:val="24"/>
              </w:rPr>
            </w:pPr>
            <w:r>
              <w:rPr>
                <w:rFonts w:ascii="Arial" w:hAnsi="Arial"/>
                <w:b/>
                <w:bCs/>
                <w:sz w:val="24"/>
                <w:szCs w:val="24"/>
              </w:rPr>
              <w:t>Ratio</w:t>
            </w:r>
          </w:p>
        </w:tc>
        <w:tc>
          <w:tcPr>
            <w:tcW w:w="0" w:type="auto"/>
            <w:hideMark/>
          </w:tcPr>
          <w:p w14:paraId="07F0D057" w14:textId="77777777" w:rsidR="00BA6D4C" w:rsidRDefault="00CE0412">
            <w:pPr>
              <w:spacing w:line="360" w:lineRule="auto"/>
              <w:jc w:val="center"/>
              <w:rPr>
                <w:rFonts w:ascii="Arial" w:hAnsi="Arial"/>
                <w:b/>
                <w:bCs/>
                <w:sz w:val="24"/>
                <w:szCs w:val="24"/>
              </w:rPr>
            </w:pPr>
            <w:r>
              <w:rPr>
                <w:rFonts w:ascii="Arial" w:hAnsi="Arial"/>
                <w:b/>
                <w:bCs/>
                <w:sz w:val="24"/>
                <w:szCs w:val="24"/>
              </w:rPr>
              <w:t>Formula</w:t>
            </w:r>
          </w:p>
        </w:tc>
        <w:tc>
          <w:tcPr>
            <w:tcW w:w="0" w:type="auto"/>
            <w:hideMark/>
          </w:tcPr>
          <w:p w14:paraId="3C753D32" w14:textId="77777777" w:rsidR="00BA6D4C" w:rsidRDefault="00CE0412">
            <w:pPr>
              <w:spacing w:line="360" w:lineRule="auto"/>
              <w:jc w:val="center"/>
              <w:rPr>
                <w:rFonts w:ascii="Arial" w:hAnsi="Arial"/>
                <w:b/>
                <w:bCs/>
                <w:sz w:val="24"/>
                <w:szCs w:val="24"/>
              </w:rPr>
            </w:pPr>
            <w:r>
              <w:rPr>
                <w:rFonts w:ascii="Arial" w:hAnsi="Arial"/>
                <w:b/>
                <w:bCs/>
                <w:sz w:val="24"/>
                <w:szCs w:val="24"/>
              </w:rPr>
              <w:t>2020</w:t>
            </w:r>
          </w:p>
        </w:tc>
        <w:tc>
          <w:tcPr>
            <w:tcW w:w="0" w:type="auto"/>
            <w:hideMark/>
          </w:tcPr>
          <w:p w14:paraId="78B98BB7" w14:textId="77777777" w:rsidR="00BA6D4C" w:rsidRDefault="00CE0412">
            <w:pPr>
              <w:spacing w:line="360" w:lineRule="auto"/>
              <w:jc w:val="center"/>
              <w:rPr>
                <w:rFonts w:ascii="Arial" w:hAnsi="Arial"/>
                <w:b/>
                <w:bCs/>
                <w:sz w:val="24"/>
                <w:szCs w:val="24"/>
              </w:rPr>
            </w:pPr>
            <w:r>
              <w:rPr>
                <w:rFonts w:ascii="Arial" w:hAnsi="Arial"/>
                <w:b/>
                <w:bCs/>
                <w:sz w:val="24"/>
                <w:szCs w:val="24"/>
              </w:rPr>
              <w:t>2021</w:t>
            </w:r>
          </w:p>
        </w:tc>
        <w:tc>
          <w:tcPr>
            <w:tcW w:w="0" w:type="auto"/>
            <w:hideMark/>
          </w:tcPr>
          <w:p w14:paraId="0131E28C" w14:textId="77777777" w:rsidR="00BA6D4C" w:rsidRDefault="00CE0412">
            <w:pPr>
              <w:spacing w:line="360" w:lineRule="auto"/>
              <w:jc w:val="center"/>
              <w:rPr>
                <w:rFonts w:ascii="Arial" w:hAnsi="Arial"/>
                <w:b/>
                <w:bCs/>
                <w:sz w:val="24"/>
                <w:szCs w:val="24"/>
              </w:rPr>
            </w:pPr>
            <w:r>
              <w:rPr>
                <w:rFonts w:ascii="Arial" w:hAnsi="Arial"/>
                <w:b/>
                <w:bCs/>
                <w:sz w:val="24"/>
                <w:szCs w:val="24"/>
              </w:rPr>
              <w:t>2022</w:t>
            </w:r>
          </w:p>
        </w:tc>
        <w:tc>
          <w:tcPr>
            <w:tcW w:w="0" w:type="auto"/>
            <w:hideMark/>
          </w:tcPr>
          <w:p w14:paraId="71CCBA19" w14:textId="77777777" w:rsidR="00BA6D4C" w:rsidRDefault="00CE0412">
            <w:pPr>
              <w:spacing w:line="360" w:lineRule="auto"/>
              <w:jc w:val="center"/>
              <w:rPr>
                <w:rFonts w:ascii="Arial" w:hAnsi="Arial"/>
                <w:b/>
                <w:bCs/>
                <w:sz w:val="24"/>
                <w:szCs w:val="24"/>
              </w:rPr>
            </w:pPr>
            <w:r>
              <w:rPr>
                <w:rFonts w:ascii="Arial" w:hAnsi="Arial"/>
                <w:b/>
                <w:bCs/>
                <w:sz w:val="24"/>
                <w:szCs w:val="24"/>
              </w:rPr>
              <w:t>2023</w:t>
            </w:r>
          </w:p>
        </w:tc>
        <w:tc>
          <w:tcPr>
            <w:tcW w:w="0" w:type="auto"/>
            <w:hideMark/>
          </w:tcPr>
          <w:p w14:paraId="560C357C" w14:textId="77777777" w:rsidR="00BA6D4C" w:rsidRDefault="00CE0412">
            <w:pPr>
              <w:spacing w:line="360" w:lineRule="auto"/>
              <w:jc w:val="center"/>
              <w:rPr>
                <w:rFonts w:ascii="Arial" w:hAnsi="Arial"/>
                <w:b/>
                <w:bCs/>
                <w:sz w:val="24"/>
                <w:szCs w:val="24"/>
              </w:rPr>
            </w:pPr>
            <w:r>
              <w:rPr>
                <w:rFonts w:ascii="Arial" w:hAnsi="Arial"/>
                <w:b/>
                <w:bCs/>
                <w:sz w:val="24"/>
                <w:szCs w:val="24"/>
              </w:rPr>
              <w:t>2024</w:t>
            </w:r>
          </w:p>
        </w:tc>
      </w:tr>
      <w:tr w:rsidR="00BA6D4C" w14:paraId="68A145CE" w14:textId="77777777">
        <w:trPr>
          <w:trHeight w:val="473"/>
        </w:trPr>
        <w:tc>
          <w:tcPr>
            <w:tcW w:w="0" w:type="auto"/>
            <w:hideMark/>
          </w:tcPr>
          <w:p w14:paraId="41A97AD7" w14:textId="77777777" w:rsidR="00BA6D4C" w:rsidRDefault="00CE0412">
            <w:pPr>
              <w:spacing w:line="360" w:lineRule="auto"/>
              <w:rPr>
                <w:rFonts w:ascii="Arial" w:hAnsi="Arial"/>
                <w:sz w:val="24"/>
                <w:szCs w:val="24"/>
              </w:rPr>
            </w:pPr>
            <w:r>
              <w:rPr>
                <w:rFonts w:ascii="Arial" w:hAnsi="Arial"/>
                <w:sz w:val="24"/>
                <w:szCs w:val="24"/>
              </w:rPr>
              <w:t>Debt-to-Equity</w:t>
            </w:r>
          </w:p>
        </w:tc>
        <w:tc>
          <w:tcPr>
            <w:tcW w:w="0" w:type="auto"/>
            <w:hideMark/>
          </w:tcPr>
          <w:p w14:paraId="1DDA51F7" w14:textId="77777777" w:rsidR="00BA6D4C" w:rsidRDefault="00CE0412">
            <w:pPr>
              <w:spacing w:line="360" w:lineRule="auto"/>
              <w:rPr>
                <w:rFonts w:ascii="Arial" w:hAnsi="Arial"/>
                <w:sz w:val="24"/>
                <w:szCs w:val="24"/>
              </w:rPr>
            </w:pPr>
            <w:r>
              <w:rPr>
                <w:rFonts w:ascii="Arial" w:hAnsi="Arial"/>
                <w:sz w:val="24"/>
                <w:szCs w:val="24"/>
              </w:rPr>
              <w:t>Total Debt / Equity</w:t>
            </w:r>
          </w:p>
        </w:tc>
        <w:tc>
          <w:tcPr>
            <w:tcW w:w="0" w:type="auto"/>
            <w:hideMark/>
          </w:tcPr>
          <w:p w14:paraId="5B872B9F" w14:textId="77777777" w:rsidR="00BA6D4C" w:rsidRDefault="00CE0412">
            <w:pPr>
              <w:spacing w:line="360" w:lineRule="auto"/>
              <w:rPr>
                <w:rFonts w:ascii="Arial" w:hAnsi="Arial"/>
                <w:sz w:val="24"/>
                <w:szCs w:val="24"/>
              </w:rPr>
            </w:pPr>
            <w:r>
              <w:rPr>
                <w:rFonts w:ascii="Arial" w:hAnsi="Arial"/>
                <w:sz w:val="24"/>
                <w:szCs w:val="24"/>
              </w:rPr>
              <w:t>0.63</w:t>
            </w:r>
          </w:p>
        </w:tc>
        <w:tc>
          <w:tcPr>
            <w:tcW w:w="0" w:type="auto"/>
            <w:hideMark/>
          </w:tcPr>
          <w:p w14:paraId="6BA16A1F" w14:textId="77777777" w:rsidR="00BA6D4C" w:rsidRDefault="00CE0412">
            <w:pPr>
              <w:spacing w:line="360" w:lineRule="auto"/>
              <w:rPr>
                <w:rFonts w:ascii="Arial" w:hAnsi="Arial"/>
                <w:sz w:val="24"/>
                <w:szCs w:val="24"/>
              </w:rPr>
            </w:pPr>
            <w:r>
              <w:rPr>
                <w:rFonts w:ascii="Arial" w:hAnsi="Arial"/>
                <w:sz w:val="24"/>
                <w:szCs w:val="24"/>
              </w:rPr>
              <w:t>0.58</w:t>
            </w:r>
          </w:p>
        </w:tc>
        <w:tc>
          <w:tcPr>
            <w:tcW w:w="0" w:type="auto"/>
            <w:hideMark/>
          </w:tcPr>
          <w:p w14:paraId="2A710EAA" w14:textId="77777777" w:rsidR="00BA6D4C" w:rsidRDefault="00CE0412">
            <w:pPr>
              <w:spacing w:line="360" w:lineRule="auto"/>
              <w:rPr>
                <w:rFonts w:ascii="Arial" w:hAnsi="Arial"/>
                <w:sz w:val="24"/>
                <w:szCs w:val="24"/>
              </w:rPr>
            </w:pPr>
            <w:r>
              <w:rPr>
                <w:rFonts w:ascii="Arial" w:hAnsi="Arial"/>
                <w:sz w:val="24"/>
                <w:szCs w:val="24"/>
              </w:rPr>
              <w:t>0.72</w:t>
            </w:r>
          </w:p>
        </w:tc>
        <w:tc>
          <w:tcPr>
            <w:tcW w:w="0" w:type="auto"/>
            <w:hideMark/>
          </w:tcPr>
          <w:p w14:paraId="4E4C5CB5" w14:textId="77777777" w:rsidR="00BA6D4C" w:rsidRDefault="00CE0412">
            <w:pPr>
              <w:spacing w:line="360" w:lineRule="auto"/>
              <w:rPr>
                <w:rFonts w:ascii="Arial" w:hAnsi="Arial"/>
                <w:sz w:val="24"/>
                <w:szCs w:val="24"/>
              </w:rPr>
            </w:pPr>
            <w:r>
              <w:rPr>
                <w:rFonts w:ascii="Arial" w:hAnsi="Arial"/>
                <w:sz w:val="24"/>
                <w:szCs w:val="24"/>
              </w:rPr>
              <w:t>0.99</w:t>
            </w:r>
          </w:p>
        </w:tc>
        <w:tc>
          <w:tcPr>
            <w:tcW w:w="0" w:type="auto"/>
            <w:hideMark/>
          </w:tcPr>
          <w:p w14:paraId="628D7A7F" w14:textId="77777777" w:rsidR="00BA6D4C" w:rsidRDefault="00CE0412">
            <w:pPr>
              <w:spacing w:line="360" w:lineRule="auto"/>
              <w:rPr>
                <w:rFonts w:ascii="Arial" w:hAnsi="Arial"/>
                <w:sz w:val="24"/>
                <w:szCs w:val="24"/>
              </w:rPr>
            </w:pPr>
            <w:r>
              <w:rPr>
                <w:rFonts w:ascii="Arial" w:hAnsi="Arial"/>
                <w:sz w:val="24"/>
                <w:szCs w:val="24"/>
              </w:rPr>
              <w:t>1.11</w:t>
            </w:r>
          </w:p>
        </w:tc>
      </w:tr>
      <w:tr w:rsidR="00BA6D4C" w14:paraId="2F21C2A1" w14:textId="77777777">
        <w:trPr>
          <w:trHeight w:val="512"/>
        </w:trPr>
        <w:tc>
          <w:tcPr>
            <w:tcW w:w="0" w:type="auto"/>
            <w:hideMark/>
          </w:tcPr>
          <w:p w14:paraId="0DFFF0B7" w14:textId="2AA5D395" w:rsidR="00BA6D4C" w:rsidRDefault="00CE0412">
            <w:pPr>
              <w:spacing w:line="360" w:lineRule="auto"/>
              <w:rPr>
                <w:rFonts w:ascii="Arial" w:hAnsi="Arial"/>
                <w:sz w:val="24"/>
                <w:szCs w:val="24"/>
              </w:rPr>
            </w:pPr>
            <w:r>
              <w:rPr>
                <w:rFonts w:ascii="Arial" w:hAnsi="Arial"/>
                <w:sz w:val="24"/>
                <w:szCs w:val="24"/>
              </w:rPr>
              <w:t>Interest Coverage</w:t>
            </w:r>
            <w:r w:rsidR="009026C2">
              <w:rPr>
                <w:rFonts w:ascii="Arial" w:hAnsi="Arial"/>
                <w:sz w:val="24"/>
                <w:szCs w:val="24"/>
              </w:rPr>
              <w:t xml:space="preserve"> x</w:t>
            </w:r>
          </w:p>
        </w:tc>
        <w:tc>
          <w:tcPr>
            <w:tcW w:w="0" w:type="auto"/>
            <w:hideMark/>
          </w:tcPr>
          <w:p w14:paraId="2EC26024" w14:textId="77777777" w:rsidR="00BA6D4C" w:rsidRDefault="00CE0412">
            <w:pPr>
              <w:spacing w:line="360" w:lineRule="auto"/>
              <w:rPr>
                <w:rFonts w:ascii="Arial" w:hAnsi="Arial"/>
                <w:sz w:val="24"/>
                <w:szCs w:val="24"/>
              </w:rPr>
            </w:pPr>
            <w:r>
              <w:rPr>
                <w:rFonts w:ascii="Arial" w:hAnsi="Arial"/>
                <w:sz w:val="24"/>
                <w:szCs w:val="24"/>
              </w:rPr>
              <w:t>EBIT / Interest Expense</w:t>
            </w:r>
          </w:p>
        </w:tc>
        <w:tc>
          <w:tcPr>
            <w:tcW w:w="0" w:type="auto"/>
            <w:hideMark/>
          </w:tcPr>
          <w:p w14:paraId="71EF1FBD" w14:textId="45A1678C" w:rsidR="00BA6D4C" w:rsidRDefault="00CE0412">
            <w:pPr>
              <w:spacing w:line="360" w:lineRule="auto"/>
              <w:rPr>
                <w:rFonts w:ascii="Arial" w:hAnsi="Arial"/>
                <w:sz w:val="24"/>
                <w:szCs w:val="24"/>
              </w:rPr>
            </w:pPr>
            <w:r>
              <w:rPr>
                <w:rFonts w:ascii="Arial" w:hAnsi="Arial"/>
                <w:sz w:val="24"/>
                <w:szCs w:val="24"/>
              </w:rPr>
              <w:t>26.2</w:t>
            </w:r>
          </w:p>
        </w:tc>
        <w:tc>
          <w:tcPr>
            <w:tcW w:w="0" w:type="auto"/>
            <w:hideMark/>
          </w:tcPr>
          <w:p w14:paraId="7DA18D9E" w14:textId="36B2C250" w:rsidR="00BA6D4C" w:rsidRDefault="00CE0412">
            <w:pPr>
              <w:spacing w:line="360" w:lineRule="auto"/>
              <w:rPr>
                <w:rFonts w:ascii="Arial" w:hAnsi="Arial"/>
                <w:sz w:val="24"/>
                <w:szCs w:val="24"/>
              </w:rPr>
            </w:pPr>
            <w:r>
              <w:rPr>
                <w:rFonts w:ascii="Arial" w:hAnsi="Arial"/>
                <w:sz w:val="24"/>
                <w:szCs w:val="24"/>
              </w:rPr>
              <w:t>41.1</w:t>
            </w:r>
          </w:p>
        </w:tc>
        <w:tc>
          <w:tcPr>
            <w:tcW w:w="0" w:type="auto"/>
            <w:hideMark/>
          </w:tcPr>
          <w:p w14:paraId="39C2DF42" w14:textId="02D53FF9" w:rsidR="00BA6D4C" w:rsidRDefault="00CE0412">
            <w:pPr>
              <w:spacing w:line="360" w:lineRule="auto"/>
              <w:rPr>
                <w:rFonts w:ascii="Arial" w:hAnsi="Arial"/>
                <w:sz w:val="24"/>
                <w:szCs w:val="24"/>
              </w:rPr>
            </w:pPr>
            <w:r>
              <w:rPr>
                <w:rFonts w:ascii="Arial" w:hAnsi="Arial"/>
                <w:sz w:val="24"/>
                <w:szCs w:val="24"/>
              </w:rPr>
              <w:t>6.6</w:t>
            </w:r>
          </w:p>
        </w:tc>
        <w:tc>
          <w:tcPr>
            <w:tcW w:w="0" w:type="auto"/>
            <w:hideMark/>
          </w:tcPr>
          <w:p w14:paraId="03FBC05F" w14:textId="4A03DCD1" w:rsidR="00BA6D4C" w:rsidRDefault="00CE0412">
            <w:pPr>
              <w:spacing w:line="360" w:lineRule="auto"/>
              <w:rPr>
                <w:rFonts w:ascii="Arial" w:hAnsi="Arial"/>
                <w:sz w:val="24"/>
                <w:szCs w:val="24"/>
              </w:rPr>
            </w:pPr>
            <w:r>
              <w:rPr>
                <w:rFonts w:ascii="Arial" w:hAnsi="Arial"/>
                <w:sz w:val="24"/>
                <w:szCs w:val="24"/>
              </w:rPr>
              <w:t>–19.7</w:t>
            </w:r>
          </w:p>
        </w:tc>
        <w:tc>
          <w:tcPr>
            <w:tcW w:w="0" w:type="auto"/>
            <w:hideMark/>
          </w:tcPr>
          <w:p w14:paraId="6C0FA45F" w14:textId="113B21F6" w:rsidR="00BA6D4C" w:rsidRDefault="00CE0412">
            <w:pPr>
              <w:spacing w:line="360" w:lineRule="auto"/>
              <w:rPr>
                <w:rFonts w:ascii="Arial" w:hAnsi="Arial"/>
                <w:sz w:val="24"/>
                <w:szCs w:val="24"/>
              </w:rPr>
            </w:pPr>
            <w:r>
              <w:rPr>
                <w:rFonts w:ascii="Arial" w:hAnsi="Arial"/>
                <w:sz w:val="24"/>
                <w:szCs w:val="24"/>
              </w:rPr>
              <w:t>–4.6</w:t>
            </w:r>
          </w:p>
        </w:tc>
      </w:tr>
    </w:tbl>
    <w:p w14:paraId="3D34668A" w14:textId="77777777" w:rsidR="00BA6D4C" w:rsidRDefault="00CE0412">
      <w:pPr>
        <w:pStyle w:val="NormalWeb"/>
        <w:spacing w:line="360" w:lineRule="auto"/>
        <w:rPr>
          <w:rFonts w:ascii="Arial" w:hAnsi="Arial" w:cs="Arial"/>
        </w:rPr>
      </w:pPr>
      <w:r>
        <w:rPr>
          <w:rStyle w:val="Strong"/>
          <w:rFonts w:ascii="Arial" w:hAnsi="Arial" w:cs="Arial"/>
        </w:rPr>
        <w:t>Table A5: Altman Z-Score (Manufacturing Model)</w:t>
      </w:r>
    </w:p>
    <w:tbl>
      <w:tblPr>
        <w:tblStyle w:val="TableGrid"/>
        <w:tblW w:w="9534" w:type="dxa"/>
        <w:tblLook w:val="04A0" w:firstRow="1" w:lastRow="0" w:firstColumn="1" w:lastColumn="0" w:noHBand="0" w:noVBand="1"/>
      </w:tblPr>
      <w:tblGrid>
        <w:gridCol w:w="1897"/>
        <w:gridCol w:w="2807"/>
        <w:gridCol w:w="4830"/>
      </w:tblGrid>
      <w:tr w:rsidR="00BA6D4C" w14:paraId="03DA4762" w14:textId="77777777">
        <w:trPr>
          <w:trHeight w:val="355"/>
        </w:trPr>
        <w:tc>
          <w:tcPr>
            <w:tcW w:w="0" w:type="auto"/>
            <w:hideMark/>
          </w:tcPr>
          <w:p w14:paraId="1E4EA3FC" w14:textId="77777777" w:rsidR="00BA6D4C" w:rsidRDefault="00CE0412">
            <w:pPr>
              <w:spacing w:line="360" w:lineRule="auto"/>
              <w:jc w:val="center"/>
              <w:rPr>
                <w:rFonts w:ascii="Arial" w:hAnsi="Arial"/>
                <w:b/>
                <w:bCs/>
                <w:sz w:val="24"/>
                <w:szCs w:val="24"/>
              </w:rPr>
            </w:pPr>
            <w:r>
              <w:rPr>
                <w:rFonts w:ascii="Arial" w:hAnsi="Arial"/>
                <w:b/>
                <w:bCs/>
                <w:sz w:val="24"/>
                <w:szCs w:val="24"/>
              </w:rPr>
              <w:t>Year</w:t>
            </w:r>
          </w:p>
        </w:tc>
        <w:tc>
          <w:tcPr>
            <w:tcW w:w="0" w:type="auto"/>
            <w:hideMark/>
          </w:tcPr>
          <w:p w14:paraId="49F5CAF2" w14:textId="77777777" w:rsidR="00BA6D4C" w:rsidRDefault="00CE0412">
            <w:pPr>
              <w:spacing w:line="360" w:lineRule="auto"/>
              <w:jc w:val="center"/>
              <w:rPr>
                <w:rFonts w:ascii="Arial" w:hAnsi="Arial"/>
                <w:b/>
                <w:bCs/>
                <w:sz w:val="24"/>
                <w:szCs w:val="24"/>
              </w:rPr>
            </w:pPr>
            <w:r>
              <w:rPr>
                <w:rFonts w:ascii="Arial" w:hAnsi="Arial"/>
                <w:b/>
                <w:bCs/>
                <w:sz w:val="24"/>
                <w:szCs w:val="24"/>
              </w:rPr>
              <w:t>Z-Score</w:t>
            </w:r>
          </w:p>
        </w:tc>
        <w:tc>
          <w:tcPr>
            <w:tcW w:w="0" w:type="auto"/>
            <w:hideMark/>
          </w:tcPr>
          <w:p w14:paraId="75777BEE" w14:textId="77777777" w:rsidR="00BA6D4C" w:rsidRDefault="00CE0412">
            <w:pPr>
              <w:spacing w:line="360" w:lineRule="auto"/>
              <w:jc w:val="center"/>
              <w:rPr>
                <w:rFonts w:ascii="Arial" w:hAnsi="Arial"/>
                <w:b/>
                <w:bCs/>
                <w:sz w:val="24"/>
                <w:szCs w:val="24"/>
              </w:rPr>
            </w:pPr>
            <w:r>
              <w:rPr>
                <w:rFonts w:ascii="Arial" w:hAnsi="Arial"/>
                <w:b/>
                <w:bCs/>
                <w:sz w:val="24"/>
                <w:szCs w:val="24"/>
              </w:rPr>
              <w:t>Interpretation</w:t>
            </w:r>
          </w:p>
        </w:tc>
      </w:tr>
      <w:tr w:rsidR="00BA6D4C" w14:paraId="4BE9F2A8" w14:textId="77777777">
        <w:trPr>
          <w:trHeight w:val="340"/>
        </w:trPr>
        <w:tc>
          <w:tcPr>
            <w:tcW w:w="0" w:type="auto"/>
            <w:hideMark/>
          </w:tcPr>
          <w:p w14:paraId="67F1400F" w14:textId="77777777" w:rsidR="00BA6D4C" w:rsidRDefault="00CE0412">
            <w:pPr>
              <w:spacing w:line="360" w:lineRule="auto"/>
              <w:rPr>
                <w:rFonts w:ascii="Arial" w:hAnsi="Arial"/>
                <w:sz w:val="24"/>
                <w:szCs w:val="24"/>
              </w:rPr>
            </w:pPr>
            <w:r>
              <w:rPr>
                <w:rFonts w:ascii="Arial" w:hAnsi="Arial"/>
                <w:sz w:val="24"/>
                <w:szCs w:val="24"/>
              </w:rPr>
              <w:t>2020</w:t>
            </w:r>
          </w:p>
        </w:tc>
        <w:tc>
          <w:tcPr>
            <w:tcW w:w="0" w:type="auto"/>
            <w:hideMark/>
          </w:tcPr>
          <w:p w14:paraId="2D3367E7" w14:textId="77777777" w:rsidR="00BA6D4C" w:rsidRDefault="00CE0412">
            <w:pPr>
              <w:spacing w:line="360" w:lineRule="auto"/>
              <w:rPr>
                <w:rFonts w:ascii="Arial" w:hAnsi="Arial"/>
                <w:sz w:val="24"/>
                <w:szCs w:val="24"/>
              </w:rPr>
            </w:pPr>
            <w:r>
              <w:rPr>
                <w:rFonts w:ascii="Arial" w:hAnsi="Arial"/>
                <w:sz w:val="24"/>
                <w:szCs w:val="24"/>
              </w:rPr>
              <w:t>2.44</w:t>
            </w:r>
          </w:p>
        </w:tc>
        <w:tc>
          <w:tcPr>
            <w:tcW w:w="0" w:type="auto"/>
            <w:hideMark/>
          </w:tcPr>
          <w:p w14:paraId="2825C456" w14:textId="77777777" w:rsidR="00BA6D4C" w:rsidRDefault="00CE0412">
            <w:pPr>
              <w:spacing w:line="360" w:lineRule="auto"/>
              <w:rPr>
                <w:rFonts w:ascii="Arial" w:hAnsi="Arial"/>
                <w:sz w:val="24"/>
                <w:szCs w:val="24"/>
              </w:rPr>
            </w:pPr>
            <w:r>
              <w:rPr>
                <w:rFonts w:ascii="Arial" w:hAnsi="Arial"/>
                <w:sz w:val="24"/>
                <w:szCs w:val="24"/>
              </w:rPr>
              <w:t>Grey Zone</w:t>
            </w:r>
          </w:p>
        </w:tc>
      </w:tr>
      <w:tr w:rsidR="00BA6D4C" w14:paraId="6AA33EAA" w14:textId="77777777">
        <w:trPr>
          <w:trHeight w:val="355"/>
        </w:trPr>
        <w:tc>
          <w:tcPr>
            <w:tcW w:w="0" w:type="auto"/>
            <w:hideMark/>
          </w:tcPr>
          <w:p w14:paraId="690EE195" w14:textId="77777777" w:rsidR="00BA6D4C" w:rsidRDefault="00CE0412">
            <w:pPr>
              <w:spacing w:line="360" w:lineRule="auto"/>
              <w:rPr>
                <w:rFonts w:ascii="Arial" w:hAnsi="Arial"/>
                <w:sz w:val="24"/>
                <w:szCs w:val="24"/>
              </w:rPr>
            </w:pPr>
            <w:r>
              <w:rPr>
                <w:rFonts w:ascii="Arial" w:hAnsi="Arial"/>
                <w:sz w:val="24"/>
                <w:szCs w:val="24"/>
              </w:rPr>
              <w:t>2021</w:t>
            </w:r>
          </w:p>
        </w:tc>
        <w:tc>
          <w:tcPr>
            <w:tcW w:w="0" w:type="auto"/>
            <w:hideMark/>
          </w:tcPr>
          <w:p w14:paraId="7AF10710" w14:textId="77777777" w:rsidR="00BA6D4C" w:rsidRDefault="00CE0412">
            <w:pPr>
              <w:spacing w:line="360" w:lineRule="auto"/>
              <w:rPr>
                <w:rFonts w:ascii="Arial" w:hAnsi="Arial"/>
                <w:sz w:val="24"/>
                <w:szCs w:val="24"/>
              </w:rPr>
            </w:pPr>
            <w:r>
              <w:rPr>
                <w:rFonts w:ascii="Arial" w:hAnsi="Arial"/>
                <w:sz w:val="24"/>
                <w:szCs w:val="24"/>
              </w:rPr>
              <w:t>2.10</w:t>
            </w:r>
          </w:p>
        </w:tc>
        <w:tc>
          <w:tcPr>
            <w:tcW w:w="0" w:type="auto"/>
            <w:hideMark/>
          </w:tcPr>
          <w:p w14:paraId="0BA8ED46" w14:textId="77777777" w:rsidR="00BA6D4C" w:rsidRDefault="00CE0412">
            <w:pPr>
              <w:spacing w:line="360" w:lineRule="auto"/>
              <w:rPr>
                <w:rFonts w:ascii="Arial" w:hAnsi="Arial"/>
                <w:sz w:val="24"/>
                <w:szCs w:val="24"/>
              </w:rPr>
            </w:pPr>
            <w:r>
              <w:rPr>
                <w:rFonts w:ascii="Arial" w:hAnsi="Arial"/>
                <w:sz w:val="24"/>
                <w:szCs w:val="24"/>
              </w:rPr>
              <w:t>Grey Zone</w:t>
            </w:r>
          </w:p>
        </w:tc>
      </w:tr>
      <w:tr w:rsidR="00BA6D4C" w14:paraId="7121CBC1" w14:textId="77777777">
        <w:trPr>
          <w:trHeight w:val="355"/>
        </w:trPr>
        <w:tc>
          <w:tcPr>
            <w:tcW w:w="0" w:type="auto"/>
            <w:hideMark/>
          </w:tcPr>
          <w:p w14:paraId="13A7EE5B" w14:textId="77777777" w:rsidR="00BA6D4C" w:rsidRDefault="00CE0412">
            <w:pPr>
              <w:spacing w:line="360" w:lineRule="auto"/>
              <w:rPr>
                <w:rFonts w:ascii="Arial" w:hAnsi="Arial"/>
                <w:sz w:val="24"/>
                <w:szCs w:val="24"/>
              </w:rPr>
            </w:pPr>
            <w:r>
              <w:rPr>
                <w:rFonts w:ascii="Arial" w:hAnsi="Arial"/>
                <w:sz w:val="24"/>
                <w:szCs w:val="24"/>
              </w:rPr>
              <w:t>2022</w:t>
            </w:r>
          </w:p>
        </w:tc>
        <w:tc>
          <w:tcPr>
            <w:tcW w:w="0" w:type="auto"/>
            <w:hideMark/>
          </w:tcPr>
          <w:p w14:paraId="2C6FD06F" w14:textId="77777777" w:rsidR="00BA6D4C" w:rsidRDefault="00CE0412">
            <w:pPr>
              <w:spacing w:line="360" w:lineRule="auto"/>
              <w:rPr>
                <w:rFonts w:ascii="Arial" w:hAnsi="Arial"/>
                <w:sz w:val="24"/>
                <w:szCs w:val="24"/>
              </w:rPr>
            </w:pPr>
            <w:r>
              <w:rPr>
                <w:rFonts w:ascii="Arial" w:hAnsi="Arial"/>
                <w:sz w:val="24"/>
                <w:szCs w:val="24"/>
              </w:rPr>
              <w:t>1.72</w:t>
            </w:r>
          </w:p>
        </w:tc>
        <w:tc>
          <w:tcPr>
            <w:tcW w:w="0" w:type="auto"/>
            <w:hideMark/>
          </w:tcPr>
          <w:p w14:paraId="589BEEB7" w14:textId="77777777" w:rsidR="00BA6D4C" w:rsidRDefault="00CE0412">
            <w:pPr>
              <w:spacing w:line="360" w:lineRule="auto"/>
              <w:rPr>
                <w:rFonts w:ascii="Arial" w:hAnsi="Arial"/>
                <w:sz w:val="24"/>
                <w:szCs w:val="24"/>
              </w:rPr>
            </w:pPr>
            <w:r>
              <w:rPr>
                <w:rFonts w:ascii="Arial" w:hAnsi="Arial"/>
                <w:sz w:val="24"/>
                <w:szCs w:val="24"/>
              </w:rPr>
              <w:t>Distress Zone</w:t>
            </w:r>
          </w:p>
        </w:tc>
      </w:tr>
      <w:tr w:rsidR="00BA6D4C" w14:paraId="485159A8" w14:textId="77777777">
        <w:trPr>
          <w:trHeight w:val="340"/>
        </w:trPr>
        <w:tc>
          <w:tcPr>
            <w:tcW w:w="0" w:type="auto"/>
            <w:hideMark/>
          </w:tcPr>
          <w:p w14:paraId="38928CD2" w14:textId="77777777" w:rsidR="00BA6D4C" w:rsidRDefault="00CE0412">
            <w:pPr>
              <w:spacing w:line="360" w:lineRule="auto"/>
              <w:rPr>
                <w:rFonts w:ascii="Arial" w:hAnsi="Arial"/>
                <w:sz w:val="24"/>
                <w:szCs w:val="24"/>
              </w:rPr>
            </w:pPr>
            <w:r>
              <w:rPr>
                <w:rFonts w:ascii="Arial" w:hAnsi="Arial"/>
                <w:sz w:val="24"/>
                <w:szCs w:val="24"/>
              </w:rPr>
              <w:t>2023</w:t>
            </w:r>
          </w:p>
        </w:tc>
        <w:tc>
          <w:tcPr>
            <w:tcW w:w="0" w:type="auto"/>
            <w:hideMark/>
          </w:tcPr>
          <w:p w14:paraId="693128BB" w14:textId="77777777" w:rsidR="00BA6D4C" w:rsidRDefault="00CE0412">
            <w:pPr>
              <w:spacing w:line="360" w:lineRule="auto"/>
              <w:rPr>
                <w:rFonts w:ascii="Arial" w:hAnsi="Arial"/>
                <w:sz w:val="24"/>
                <w:szCs w:val="24"/>
              </w:rPr>
            </w:pPr>
            <w:r>
              <w:rPr>
                <w:rFonts w:ascii="Arial" w:hAnsi="Arial"/>
                <w:sz w:val="24"/>
                <w:szCs w:val="24"/>
              </w:rPr>
              <w:t>0.98</w:t>
            </w:r>
          </w:p>
        </w:tc>
        <w:tc>
          <w:tcPr>
            <w:tcW w:w="0" w:type="auto"/>
            <w:hideMark/>
          </w:tcPr>
          <w:p w14:paraId="1DF482F9" w14:textId="77777777" w:rsidR="00BA6D4C" w:rsidRDefault="00CE0412">
            <w:pPr>
              <w:spacing w:line="360" w:lineRule="auto"/>
              <w:rPr>
                <w:rFonts w:ascii="Arial" w:hAnsi="Arial"/>
                <w:sz w:val="24"/>
                <w:szCs w:val="24"/>
              </w:rPr>
            </w:pPr>
            <w:r>
              <w:rPr>
                <w:rFonts w:ascii="Arial" w:hAnsi="Arial"/>
                <w:sz w:val="24"/>
                <w:szCs w:val="24"/>
              </w:rPr>
              <w:t>Severe Distress</w:t>
            </w:r>
          </w:p>
        </w:tc>
      </w:tr>
      <w:tr w:rsidR="00BA6D4C" w14:paraId="0C6D2E39" w14:textId="77777777">
        <w:trPr>
          <w:trHeight w:val="369"/>
        </w:trPr>
        <w:tc>
          <w:tcPr>
            <w:tcW w:w="0" w:type="auto"/>
            <w:hideMark/>
          </w:tcPr>
          <w:p w14:paraId="73E95BA5" w14:textId="77777777" w:rsidR="00BA6D4C" w:rsidRDefault="00CE0412">
            <w:pPr>
              <w:spacing w:line="360" w:lineRule="auto"/>
              <w:rPr>
                <w:rFonts w:ascii="Arial" w:hAnsi="Arial"/>
                <w:sz w:val="24"/>
                <w:szCs w:val="24"/>
              </w:rPr>
            </w:pPr>
            <w:r>
              <w:rPr>
                <w:rFonts w:ascii="Arial" w:hAnsi="Arial"/>
                <w:sz w:val="24"/>
                <w:szCs w:val="24"/>
              </w:rPr>
              <w:t>2024</w:t>
            </w:r>
          </w:p>
        </w:tc>
        <w:tc>
          <w:tcPr>
            <w:tcW w:w="0" w:type="auto"/>
            <w:hideMark/>
          </w:tcPr>
          <w:p w14:paraId="5A6DAC12" w14:textId="77777777" w:rsidR="00BA6D4C" w:rsidRDefault="00CE0412">
            <w:pPr>
              <w:spacing w:line="360" w:lineRule="auto"/>
              <w:rPr>
                <w:rFonts w:ascii="Arial" w:hAnsi="Arial"/>
                <w:sz w:val="24"/>
                <w:szCs w:val="24"/>
              </w:rPr>
            </w:pPr>
            <w:r>
              <w:rPr>
                <w:rFonts w:ascii="Arial" w:hAnsi="Arial"/>
                <w:sz w:val="24"/>
                <w:szCs w:val="24"/>
              </w:rPr>
              <w:t>1.04</w:t>
            </w:r>
          </w:p>
        </w:tc>
        <w:tc>
          <w:tcPr>
            <w:tcW w:w="0" w:type="auto"/>
            <w:hideMark/>
          </w:tcPr>
          <w:p w14:paraId="3C6F145E" w14:textId="77777777" w:rsidR="00BA6D4C" w:rsidRDefault="00CE0412">
            <w:pPr>
              <w:spacing w:line="360" w:lineRule="auto"/>
              <w:rPr>
                <w:rFonts w:ascii="Arial" w:hAnsi="Arial"/>
                <w:sz w:val="24"/>
                <w:szCs w:val="24"/>
              </w:rPr>
            </w:pPr>
            <w:r>
              <w:rPr>
                <w:rFonts w:ascii="Arial" w:hAnsi="Arial"/>
                <w:sz w:val="24"/>
                <w:szCs w:val="24"/>
              </w:rPr>
              <w:t>Severe Distress</w:t>
            </w:r>
          </w:p>
        </w:tc>
      </w:tr>
    </w:tbl>
    <w:p w14:paraId="5392EC8A" w14:textId="77777777" w:rsidR="00BA6D4C" w:rsidRDefault="00CE0412">
      <w:pPr>
        <w:pStyle w:val="NormalWeb"/>
        <w:spacing w:line="360" w:lineRule="auto"/>
        <w:rPr>
          <w:rFonts w:ascii="Arial" w:hAnsi="Arial" w:cs="Arial"/>
        </w:rPr>
      </w:pPr>
      <w:r>
        <w:rPr>
          <w:rStyle w:val="Emphasis"/>
          <w:rFonts w:ascii="Arial" w:hAnsi="Arial" w:cs="Arial"/>
        </w:rPr>
        <w:t>Calculations used Altman’s manufacturing formula:</w:t>
      </w:r>
      <w:r>
        <w:rPr>
          <w:rFonts w:ascii="Arial" w:hAnsi="Arial" w:cs="Arial"/>
        </w:rPr>
        <w:br/>
      </w:r>
      <w:r>
        <w:rPr>
          <w:rStyle w:val="Strong"/>
          <w:rFonts w:ascii="Arial" w:hAnsi="Arial" w:cs="Arial"/>
        </w:rPr>
        <w:t>Z = 1.2X1 + 1.4X2 + 3.3X3 + 0.6X4 + 1.0X5</w:t>
      </w:r>
      <w:r>
        <w:rPr>
          <w:rFonts w:ascii="Arial" w:hAnsi="Arial" w:cs="Arial"/>
        </w:rPr>
        <w:t>, where:</w:t>
      </w:r>
    </w:p>
    <w:p w14:paraId="46894DF0" w14:textId="77777777" w:rsidR="00BA6D4C" w:rsidRDefault="00CE0412">
      <w:pPr>
        <w:pStyle w:val="NormalWeb"/>
        <w:numPr>
          <w:ilvl w:val="0"/>
          <w:numId w:val="33"/>
        </w:numPr>
        <w:spacing w:line="360" w:lineRule="auto"/>
        <w:rPr>
          <w:rFonts w:ascii="Arial" w:hAnsi="Arial" w:cs="Arial"/>
        </w:rPr>
      </w:pPr>
      <w:r>
        <w:rPr>
          <w:rFonts w:ascii="Arial" w:hAnsi="Arial" w:cs="Arial"/>
        </w:rPr>
        <w:t>X1 = Working Capital / Total Assets</w:t>
      </w:r>
    </w:p>
    <w:p w14:paraId="1C7FC7EE" w14:textId="77777777" w:rsidR="00BA6D4C" w:rsidRDefault="00CE0412">
      <w:pPr>
        <w:pStyle w:val="NormalWeb"/>
        <w:numPr>
          <w:ilvl w:val="0"/>
          <w:numId w:val="33"/>
        </w:numPr>
        <w:spacing w:line="360" w:lineRule="auto"/>
        <w:rPr>
          <w:rFonts w:ascii="Arial" w:hAnsi="Arial" w:cs="Arial"/>
        </w:rPr>
      </w:pPr>
      <w:r>
        <w:rPr>
          <w:rFonts w:ascii="Arial" w:hAnsi="Arial" w:cs="Arial"/>
        </w:rPr>
        <w:lastRenderedPageBreak/>
        <w:t>X2 = Retained Earnings / Total Assets</w:t>
      </w:r>
    </w:p>
    <w:p w14:paraId="6D25C3D5" w14:textId="77777777" w:rsidR="00BA6D4C" w:rsidRDefault="00CE0412">
      <w:pPr>
        <w:pStyle w:val="NormalWeb"/>
        <w:numPr>
          <w:ilvl w:val="0"/>
          <w:numId w:val="33"/>
        </w:numPr>
        <w:spacing w:line="360" w:lineRule="auto"/>
        <w:rPr>
          <w:rFonts w:ascii="Arial" w:hAnsi="Arial" w:cs="Arial"/>
        </w:rPr>
      </w:pPr>
      <w:r>
        <w:rPr>
          <w:rFonts w:ascii="Arial" w:hAnsi="Arial" w:cs="Arial"/>
        </w:rPr>
        <w:t>X3 = EBIT / Total Assets</w:t>
      </w:r>
    </w:p>
    <w:p w14:paraId="5CD6C26E" w14:textId="77777777" w:rsidR="00BA6D4C" w:rsidRDefault="00CE0412">
      <w:pPr>
        <w:pStyle w:val="NormalWeb"/>
        <w:numPr>
          <w:ilvl w:val="0"/>
          <w:numId w:val="33"/>
        </w:numPr>
        <w:spacing w:line="360" w:lineRule="auto"/>
        <w:rPr>
          <w:rFonts w:ascii="Arial" w:hAnsi="Arial" w:cs="Arial"/>
        </w:rPr>
      </w:pPr>
      <w:r>
        <w:rPr>
          <w:rFonts w:ascii="Arial" w:hAnsi="Arial" w:cs="Arial"/>
        </w:rPr>
        <w:t>X4 = Market Value of Equity / Total Liabilities</w:t>
      </w:r>
    </w:p>
    <w:p w14:paraId="35EDE023" w14:textId="77777777" w:rsidR="00BA6D4C" w:rsidRDefault="00CE0412">
      <w:pPr>
        <w:pStyle w:val="NormalWeb"/>
        <w:numPr>
          <w:ilvl w:val="0"/>
          <w:numId w:val="33"/>
        </w:numPr>
        <w:spacing w:line="360" w:lineRule="auto"/>
        <w:rPr>
          <w:rFonts w:ascii="Arial" w:hAnsi="Arial" w:cs="Arial"/>
        </w:rPr>
      </w:pPr>
      <w:r>
        <w:rPr>
          <w:rFonts w:ascii="Arial" w:hAnsi="Arial" w:cs="Arial"/>
        </w:rPr>
        <w:t>X5 = Sales / Total Assets</w:t>
      </w:r>
    </w:p>
    <w:p w14:paraId="01BC60F5" w14:textId="77777777" w:rsidR="00BA6D4C" w:rsidRDefault="00CE0412">
      <w:pPr>
        <w:pStyle w:val="Heading1"/>
        <w:spacing w:line="360" w:lineRule="auto"/>
        <w:rPr>
          <w:rFonts w:ascii="Arial" w:hAnsi="Arial" w:cs="Arial"/>
          <w:sz w:val="24"/>
          <w:szCs w:val="24"/>
        </w:rPr>
      </w:pPr>
      <w:r>
        <w:rPr>
          <w:rStyle w:val="Strong"/>
          <w:rFonts w:ascii="Arial" w:hAnsi="Arial" w:cs="Arial"/>
          <w:b/>
          <w:bCs/>
          <w:sz w:val="24"/>
          <w:szCs w:val="24"/>
        </w:rPr>
        <w:t>Appendix B: Investment Appraisal Calculations</w:t>
      </w:r>
    </w:p>
    <w:p w14:paraId="32E039FF" w14:textId="77777777" w:rsidR="00BA6D4C" w:rsidRDefault="00CE0412">
      <w:pPr>
        <w:pStyle w:val="NormalWeb"/>
        <w:spacing w:line="360" w:lineRule="auto"/>
        <w:rPr>
          <w:rFonts w:ascii="Arial" w:hAnsi="Arial" w:cs="Arial"/>
        </w:rPr>
      </w:pPr>
      <w:r>
        <w:rPr>
          <w:rStyle w:val="Strong"/>
          <w:rFonts w:ascii="Arial" w:hAnsi="Arial" w:cs="Arial"/>
        </w:rPr>
        <w:t>Table B1: Payback Period (PBP)</w:t>
      </w:r>
    </w:p>
    <w:tbl>
      <w:tblPr>
        <w:tblStyle w:val="TableGrid"/>
        <w:tblW w:w="9653" w:type="dxa"/>
        <w:tblLook w:val="04A0" w:firstRow="1" w:lastRow="0" w:firstColumn="1" w:lastColumn="0" w:noHBand="0" w:noVBand="1"/>
      </w:tblPr>
      <w:tblGrid>
        <w:gridCol w:w="1031"/>
        <w:gridCol w:w="2311"/>
        <w:gridCol w:w="4545"/>
        <w:gridCol w:w="1766"/>
      </w:tblGrid>
      <w:tr w:rsidR="00BA6D4C" w14:paraId="44EFEBB5" w14:textId="77777777">
        <w:trPr>
          <w:trHeight w:val="762"/>
        </w:trPr>
        <w:tc>
          <w:tcPr>
            <w:tcW w:w="0" w:type="auto"/>
            <w:hideMark/>
          </w:tcPr>
          <w:p w14:paraId="5F1DBECF" w14:textId="77777777" w:rsidR="00BA6D4C" w:rsidRDefault="00CE0412">
            <w:pPr>
              <w:spacing w:line="360" w:lineRule="auto"/>
              <w:jc w:val="center"/>
              <w:rPr>
                <w:rFonts w:ascii="Arial" w:hAnsi="Arial"/>
                <w:b/>
                <w:bCs/>
                <w:sz w:val="24"/>
                <w:szCs w:val="24"/>
              </w:rPr>
            </w:pPr>
            <w:r>
              <w:rPr>
                <w:rFonts w:ascii="Arial" w:hAnsi="Arial"/>
                <w:b/>
                <w:bCs/>
                <w:sz w:val="24"/>
                <w:szCs w:val="24"/>
              </w:rPr>
              <w:t>Project</w:t>
            </w:r>
          </w:p>
        </w:tc>
        <w:tc>
          <w:tcPr>
            <w:tcW w:w="0" w:type="auto"/>
            <w:hideMark/>
          </w:tcPr>
          <w:p w14:paraId="132DED82" w14:textId="77777777" w:rsidR="00BA6D4C" w:rsidRDefault="00CE0412">
            <w:pPr>
              <w:spacing w:line="360" w:lineRule="auto"/>
              <w:jc w:val="center"/>
              <w:rPr>
                <w:rFonts w:ascii="Arial" w:hAnsi="Arial"/>
                <w:b/>
                <w:bCs/>
                <w:sz w:val="24"/>
                <w:szCs w:val="24"/>
              </w:rPr>
            </w:pPr>
            <w:r>
              <w:rPr>
                <w:rFonts w:ascii="Arial" w:hAnsi="Arial"/>
                <w:b/>
                <w:bCs/>
                <w:sz w:val="24"/>
                <w:szCs w:val="24"/>
              </w:rPr>
              <w:t>Initial Investment (£m)</w:t>
            </w:r>
          </w:p>
        </w:tc>
        <w:tc>
          <w:tcPr>
            <w:tcW w:w="0" w:type="auto"/>
            <w:hideMark/>
          </w:tcPr>
          <w:p w14:paraId="63FD53B0" w14:textId="77777777" w:rsidR="00BA6D4C" w:rsidRDefault="00CE0412">
            <w:pPr>
              <w:spacing w:line="360" w:lineRule="auto"/>
              <w:jc w:val="center"/>
              <w:rPr>
                <w:rFonts w:ascii="Arial" w:hAnsi="Arial"/>
                <w:b/>
                <w:bCs/>
                <w:sz w:val="24"/>
                <w:szCs w:val="24"/>
              </w:rPr>
            </w:pPr>
            <w:r>
              <w:rPr>
                <w:rFonts w:ascii="Arial" w:hAnsi="Arial"/>
                <w:b/>
                <w:bCs/>
                <w:sz w:val="24"/>
                <w:szCs w:val="24"/>
              </w:rPr>
              <w:t>Cumulative Cash Flow (£m)</w:t>
            </w:r>
          </w:p>
        </w:tc>
        <w:tc>
          <w:tcPr>
            <w:tcW w:w="0" w:type="auto"/>
            <w:hideMark/>
          </w:tcPr>
          <w:p w14:paraId="08808160" w14:textId="77777777" w:rsidR="00BA6D4C" w:rsidRDefault="00CE0412">
            <w:pPr>
              <w:spacing w:line="360" w:lineRule="auto"/>
              <w:jc w:val="center"/>
              <w:rPr>
                <w:rFonts w:ascii="Arial" w:hAnsi="Arial"/>
                <w:b/>
                <w:bCs/>
                <w:sz w:val="24"/>
                <w:szCs w:val="24"/>
              </w:rPr>
            </w:pPr>
            <w:r>
              <w:rPr>
                <w:rFonts w:ascii="Arial" w:hAnsi="Arial"/>
                <w:b/>
                <w:bCs/>
                <w:sz w:val="24"/>
                <w:szCs w:val="24"/>
              </w:rPr>
              <w:t>Payback (Years)</w:t>
            </w:r>
          </w:p>
        </w:tc>
      </w:tr>
      <w:tr w:rsidR="00BA6D4C" w14:paraId="4EA96E9C" w14:textId="77777777">
        <w:trPr>
          <w:trHeight w:val="373"/>
        </w:trPr>
        <w:tc>
          <w:tcPr>
            <w:tcW w:w="0" w:type="auto"/>
            <w:hideMark/>
          </w:tcPr>
          <w:p w14:paraId="4332628F" w14:textId="77777777" w:rsidR="00BA6D4C" w:rsidRDefault="00CE0412">
            <w:pPr>
              <w:spacing w:line="360" w:lineRule="auto"/>
              <w:rPr>
                <w:rFonts w:ascii="Arial" w:hAnsi="Arial"/>
                <w:sz w:val="24"/>
                <w:szCs w:val="24"/>
              </w:rPr>
            </w:pPr>
            <w:r>
              <w:rPr>
                <w:rFonts w:ascii="Arial" w:hAnsi="Arial"/>
                <w:sz w:val="24"/>
                <w:szCs w:val="24"/>
              </w:rPr>
              <w:t>A</w:t>
            </w:r>
          </w:p>
        </w:tc>
        <w:tc>
          <w:tcPr>
            <w:tcW w:w="0" w:type="auto"/>
            <w:hideMark/>
          </w:tcPr>
          <w:p w14:paraId="7EFBDFB0" w14:textId="77777777" w:rsidR="00BA6D4C" w:rsidRDefault="00CE0412">
            <w:pPr>
              <w:spacing w:line="360" w:lineRule="auto"/>
              <w:rPr>
                <w:rFonts w:ascii="Arial" w:hAnsi="Arial"/>
                <w:sz w:val="24"/>
                <w:szCs w:val="24"/>
              </w:rPr>
            </w:pPr>
            <w:r>
              <w:rPr>
                <w:rFonts w:ascii="Arial" w:hAnsi="Arial"/>
                <w:sz w:val="24"/>
                <w:szCs w:val="24"/>
              </w:rPr>
              <w:t>40</w:t>
            </w:r>
          </w:p>
        </w:tc>
        <w:tc>
          <w:tcPr>
            <w:tcW w:w="0" w:type="auto"/>
            <w:hideMark/>
          </w:tcPr>
          <w:p w14:paraId="1FC157AE" w14:textId="77777777" w:rsidR="00BA6D4C" w:rsidRDefault="00CE0412">
            <w:pPr>
              <w:spacing w:line="360" w:lineRule="auto"/>
              <w:rPr>
                <w:rFonts w:ascii="Arial" w:hAnsi="Arial"/>
                <w:sz w:val="24"/>
                <w:szCs w:val="24"/>
              </w:rPr>
            </w:pPr>
            <w:r>
              <w:rPr>
                <w:rFonts w:ascii="Arial" w:hAnsi="Arial"/>
                <w:sz w:val="24"/>
                <w:szCs w:val="24"/>
              </w:rPr>
              <w:t>Year 1: 10, Year 2: 22, Year 3: 36, Year 4: 46</w:t>
            </w:r>
          </w:p>
        </w:tc>
        <w:tc>
          <w:tcPr>
            <w:tcW w:w="0" w:type="auto"/>
            <w:hideMark/>
          </w:tcPr>
          <w:p w14:paraId="574D61B0" w14:textId="77777777" w:rsidR="00BA6D4C" w:rsidRDefault="00CE0412">
            <w:pPr>
              <w:spacing w:line="360" w:lineRule="auto"/>
              <w:rPr>
                <w:rFonts w:ascii="Arial" w:hAnsi="Arial"/>
                <w:sz w:val="24"/>
                <w:szCs w:val="24"/>
              </w:rPr>
            </w:pPr>
            <w:r>
              <w:rPr>
                <w:rFonts w:ascii="Arial" w:hAnsi="Arial"/>
                <w:sz w:val="24"/>
                <w:szCs w:val="24"/>
              </w:rPr>
              <w:t>3.33</w:t>
            </w:r>
          </w:p>
        </w:tc>
      </w:tr>
      <w:tr w:rsidR="00BA6D4C" w14:paraId="12309270" w14:textId="77777777">
        <w:trPr>
          <w:trHeight w:val="762"/>
        </w:trPr>
        <w:tc>
          <w:tcPr>
            <w:tcW w:w="0" w:type="auto"/>
            <w:hideMark/>
          </w:tcPr>
          <w:p w14:paraId="5505300F" w14:textId="77777777" w:rsidR="00BA6D4C" w:rsidRDefault="00CE0412">
            <w:pPr>
              <w:spacing w:line="360" w:lineRule="auto"/>
              <w:rPr>
                <w:rFonts w:ascii="Arial" w:hAnsi="Arial"/>
                <w:sz w:val="24"/>
                <w:szCs w:val="24"/>
              </w:rPr>
            </w:pPr>
            <w:r>
              <w:rPr>
                <w:rFonts w:ascii="Arial" w:hAnsi="Arial"/>
                <w:sz w:val="24"/>
                <w:szCs w:val="24"/>
              </w:rPr>
              <w:t>B</w:t>
            </w:r>
          </w:p>
        </w:tc>
        <w:tc>
          <w:tcPr>
            <w:tcW w:w="0" w:type="auto"/>
            <w:hideMark/>
          </w:tcPr>
          <w:p w14:paraId="4311A40A" w14:textId="77777777" w:rsidR="00BA6D4C" w:rsidRDefault="00CE0412">
            <w:pPr>
              <w:spacing w:line="360" w:lineRule="auto"/>
              <w:rPr>
                <w:rFonts w:ascii="Arial" w:hAnsi="Arial"/>
                <w:sz w:val="24"/>
                <w:szCs w:val="24"/>
              </w:rPr>
            </w:pPr>
            <w:r>
              <w:rPr>
                <w:rFonts w:ascii="Arial" w:hAnsi="Arial"/>
                <w:sz w:val="24"/>
                <w:szCs w:val="24"/>
              </w:rPr>
              <w:t>30</w:t>
            </w:r>
          </w:p>
        </w:tc>
        <w:tc>
          <w:tcPr>
            <w:tcW w:w="0" w:type="auto"/>
            <w:hideMark/>
          </w:tcPr>
          <w:p w14:paraId="16CEDF63" w14:textId="77777777" w:rsidR="00BA6D4C" w:rsidRDefault="00CE0412">
            <w:pPr>
              <w:spacing w:line="360" w:lineRule="auto"/>
              <w:rPr>
                <w:rFonts w:ascii="Arial" w:hAnsi="Arial"/>
                <w:sz w:val="24"/>
                <w:szCs w:val="24"/>
              </w:rPr>
            </w:pPr>
            <w:r>
              <w:rPr>
                <w:rFonts w:ascii="Arial" w:hAnsi="Arial"/>
                <w:sz w:val="24"/>
                <w:szCs w:val="24"/>
              </w:rPr>
              <w:t>Year 1: 6, Year 2: 12, Year 3: 18, Year 4: 24, Year 5: 30</w:t>
            </w:r>
          </w:p>
        </w:tc>
        <w:tc>
          <w:tcPr>
            <w:tcW w:w="0" w:type="auto"/>
            <w:hideMark/>
          </w:tcPr>
          <w:p w14:paraId="195CA4F2" w14:textId="77777777" w:rsidR="00BA6D4C" w:rsidRDefault="00CE0412">
            <w:pPr>
              <w:spacing w:line="360" w:lineRule="auto"/>
              <w:rPr>
                <w:rFonts w:ascii="Arial" w:hAnsi="Arial"/>
                <w:sz w:val="24"/>
                <w:szCs w:val="24"/>
              </w:rPr>
            </w:pPr>
            <w:r>
              <w:rPr>
                <w:rFonts w:ascii="Arial" w:hAnsi="Arial"/>
                <w:sz w:val="24"/>
                <w:szCs w:val="24"/>
              </w:rPr>
              <w:t>5.00</w:t>
            </w:r>
          </w:p>
        </w:tc>
      </w:tr>
      <w:tr w:rsidR="00BA6D4C" w14:paraId="00756BAF" w14:textId="77777777">
        <w:trPr>
          <w:trHeight w:val="404"/>
        </w:trPr>
        <w:tc>
          <w:tcPr>
            <w:tcW w:w="0" w:type="auto"/>
            <w:hideMark/>
          </w:tcPr>
          <w:p w14:paraId="6C6E80D7" w14:textId="77777777" w:rsidR="00BA6D4C" w:rsidRDefault="00CE0412">
            <w:pPr>
              <w:spacing w:line="360" w:lineRule="auto"/>
              <w:rPr>
                <w:rFonts w:ascii="Arial" w:hAnsi="Arial"/>
                <w:sz w:val="24"/>
                <w:szCs w:val="24"/>
              </w:rPr>
            </w:pPr>
            <w:r>
              <w:rPr>
                <w:rFonts w:ascii="Arial" w:hAnsi="Arial"/>
                <w:sz w:val="24"/>
                <w:szCs w:val="24"/>
              </w:rPr>
              <w:t>C</w:t>
            </w:r>
          </w:p>
        </w:tc>
        <w:tc>
          <w:tcPr>
            <w:tcW w:w="0" w:type="auto"/>
            <w:hideMark/>
          </w:tcPr>
          <w:p w14:paraId="6651B41C" w14:textId="77777777" w:rsidR="00BA6D4C" w:rsidRDefault="00CE0412">
            <w:pPr>
              <w:spacing w:line="360" w:lineRule="auto"/>
              <w:rPr>
                <w:rFonts w:ascii="Arial" w:hAnsi="Arial"/>
                <w:sz w:val="24"/>
                <w:szCs w:val="24"/>
              </w:rPr>
            </w:pPr>
            <w:r>
              <w:rPr>
                <w:rFonts w:ascii="Arial" w:hAnsi="Arial"/>
                <w:sz w:val="24"/>
                <w:szCs w:val="24"/>
              </w:rPr>
              <w:t>50</w:t>
            </w:r>
          </w:p>
        </w:tc>
        <w:tc>
          <w:tcPr>
            <w:tcW w:w="0" w:type="auto"/>
            <w:hideMark/>
          </w:tcPr>
          <w:p w14:paraId="677787B0" w14:textId="77777777" w:rsidR="00BA6D4C" w:rsidRDefault="00CE0412">
            <w:pPr>
              <w:spacing w:line="360" w:lineRule="auto"/>
              <w:rPr>
                <w:rFonts w:ascii="Arial" w:hAnsi="Arial"/>
                <w:sz w:val="24"/>
                <w:szCs w:val="24"/>
              </w:rPr>
            </w:pPr>
            <w:r>
              <w:rPr>
                <w:rFonts w:ascii="Arial" w:hAnsi="Arial"/>
                <w:sz w:val="24"/>
                <w:szCs w:val="24"/>
              </w:rPr>
              <w:t>Year 1: 5, Year 2: 15, Year 3: 35, Year 4: 60</w:t>
            </w:r>
          </w:p>
        </w:tc>
        <w:tc>
          <w:tcPr>
            <w:tcW w:w="0" w:type="auto"/>
            <w:hideMark/>
          </w:tcPr>
          <w:p w14:paraId="6F9D4BE4" w14:textId="77777777" w:rsidR="00BA6D4C" w:rsidRDefault="00CE0412">
            <w:pPr>
              <w:spacing w:line="360" w:lineRule="auto"/>
              <w:rPr>
                <w:rFonts w:ascii="Arial" w:hAnsi="Arial"/>
                <w:sz w:val="24"/>
                <w:szCs w:val="24"/>
              </w:rPr>
            </w:pPr>
            <w:r>
              <w:rPr>
                <w:rFonts w:ascii="Arial" w:hAnsi="Arial"/>
                <w:sz w:val="24"/>
                <w:szCs w:val="24"/>
              </w:rPr>
              <w:t>3.6</w:t>
            </w:r>
          </w:p>
        </w:tc>
      </w:tr>
    </w:tbl>
    <w:p w14:paraId="33B0C3CF" w14:textId="77777777" w:rsidR="00BA6D4C" w:rsidRDefault="00CE0412">
      <w:pPr>
        <w:pStyle w:val="NormalWeb"/>
        <w:spacing w:line="360" w:lineRule="auto"/>
        <w:rPr>
          <w:rFonts w:ascii="Arial" w:hAnsi="Arial" w:cs="Arial"/>
        </w:rPr>
      </w:pPr>
      <w:r>
        <w:rPr>
          <w:rStyle w:val="Strong"/>
          <w:rFonts w:ascii="Arial" w:hAnsi="Arial" w:cs="Arial"/>
        </w:rPr>
        <w:t>Table B2: Accounting Rate of Return (ARR)</w:t>
      </w:r>
    </w:p>
    <w:tbl>
      <w:tblPr>
        <w:tblStyle w:val="TableGrid"/>
        <w:tblW w:w="9575" w:type="dxa"/>
        <w:tblLook w:val="04A0" w:firstRow="1" w:lastRow="0" w:firstColumn="1" w:lastColumn="0" w:noHBand="0" w:noVBand="1"/>
      </w:tblPr>
      <w:tblGrid>
        <w:gridCol w:w="1115"/>
        <w:gridCol w:w="4207"/>
        <w:gridCol w:w="2979"/>
        <w:gridCol w:w="1274"/>
      </w:tblGrid>
      <w:tr w:rsidR="00BA6D4C" w14:paraId="2A09C07F" w14:textId="77777777">
        <w:trPr>
          <w:trHeight w:val="306"/>
        </w:trPr>
        <w:tc>
          <w:tcPr>
            <w:tcW w:w="0" w:type="auto"/>
            <w:hideMark/>
          </w:tcPr>
          <w:p w14:paraId="1F54AEA0" w14:textId="77777777" w:rsidR="00BA6D4C" w:rsidRDefault="00CE0412">
            <w:pPr>
              <w:spacing w:line="360" w:lineRule="auto"/>
              <w:jc w:val="center"/>
              <w:rPr>
                <w:rFonts w:ascii="Arial" w:hAnsi="Arial"/>
                <w:b/>
                <w:bCs/>
                <w:sz w:val="24"/>
                <w:szCs w:val="24"/>
              </w:rPr>
            </w:pPr>
            <w:r>
              <w:rPr>
                <w:rFonts w:ascii="Arial" w:hAnsi="Arial"/>
                <w:b/>
                <w:bCs/>
                <w:sz w:val="24"/>
                <w:szCs w:val="24"/>
              </w:rPr>
              <w:t>Project</w:t>
            </w:r>
          </w:p>
        </w:tc>
        <w:tc>
          <w:tcPr>
            <w:tcW w:w="0" w:type="auto"/>
            <w:hideMark/>
          </w:tcPr>
          <w:p w14:paraId="0EBBE79D" w14:textId="77777777" w:rsidR="00BA6D4C" w:rsidRDefault="00CE0412">
            <w:pPr>
              <w:spacing w:line="360" w:lineRule="auto"/>
              <w:jc w:val="center"/>
              <w:rPr>
                <w:rFonts w:ascii="Arial" w:hAnsi="Arial"/>
                <w:b/>
                <w:bCs/>
                <w:sz w:val="24"/>
                <w:szCs w:val="24"/>
              </w:rPr>
            </w:pPr>
            <w:r>
              <w:rPr>
                <w:rFonts w:ascii="Arial" w:hAnsi="Arial"/>
                <w:b/>
                <w:bCs/>
                <w:sz w:val="24"/>
                <w:szCs w:val="24"/>
              </w:rPr>
              <w:t>Average Annual Cash Flow (£m)</w:t>
            </w:r>
          </w:p>
        </w:tc>
        <w:tc>
          <w:tcPr>
            <w:tcW w:w="0" w:type="auto"/>
            <w:hideMark/>
          </w:tcPr>
          <w:p w14:paraId="59B125B2" w14:textId="77777777" w:rsidR="00BA6D4C" w:rsidRDefault="00CE0412">
            <w:pPr>
              <w:spacing w:line="360" w:lineRule="auto"/>
              <w:jc w:val="center"/>
              <w:rPr>
                <w:rFonts w:ascii="Arial" w:hAnsi="Arial"/>
                <w:b/>
                <w:bCs/>
                <w:sz w:val="24"/>
                <w:szCs w:val="24"/>
              </w:rPr>
            </w:pPr>
            <w:r>
              <w:rPr>
                <w:rFonts w:ascii="Arial" w:hAnsi="Arial"/>
                <w:b/>
                <w:bCs/>
                <w:sz w:val="24"/>
                <w:szCs w:val="24"/>
              </w:rPr>
              <w:t>Initial Investment (£m)</w:t>
            </w:r>
          </w:p>
        </w:tc>
        <w:tc>
          <w:tcPr>
            <w:tcW w:w="0" w:type="auto"/>
            <w:hideMark/>
          </w:tcPr>
          <w:p w14:paraId="7C0013EF" w14:textId="77777777" w:rsidR="00BA6D4C" w:rsidRDefault="00CE0412">
            <w:pPr>
              <w:spacing w:line="360" w:lineRule="auto"/>
              <w:jc w:val="center"/>
              <w:rPr>
                <w:rFonts w:ascii="Arial" w:hAnsi="Arial"/>
                <w:b/>
                <w:bCs/>
                <w:sz w:val="24"/>
                <w:szCs w:val="24"/>
              </w:rPr>
            </w:pPr>
            <w:r>
              <w:rPr>
                <w:rFonts w:ascii="Arial" w:hAnsi="Arial"/>
                <w:b/>
                <w:bCs/>
                <w:sz w:val="24"/>
                <w:szCs w:val="24"/>
              </w:rPr>
              <w:t>ARR (%)</w:t>
            </w:r>
          </w:p>
        </w:tc>
      </w:tr>
      <w:tr w:rsidR="00BA6D4C" w14:paraId="3C65FFEA" w14:textId="77777777">
        <w:trPr>
          <w:trHeight w:val="319"/>
        </w:trPr>
        <w:tc>
          <w:tcPr>
            <w:tcW w:w="0" w:type="auto"/>
            <w:hideMark/>
          </w:tcPr>
          <w:p w14:paraId="532A879A" w14:textId="77777777" w:rsidR="00BA6D4C" w:rsidRDefault="00CE0412">
            <w:pPr>
              <w:spacing w:line="360" w:lineRule="auto"/>
              <w:rPr>
                <w:rFonts w:ascii="Arial" w:hAnsi="Arial"/>
                <w:sz w:val="24"/>
                <w:szCs w:val="24"/>
              </w:rPr>
            </w:pPr>
            <w:r>
              <w:rPr>
                <w:rFonts w:ascii="Arial" w:hAnsi="Arial"/>
                <w:sz w:val="24"/>
                <w:szCs w:val="24"/>
              </w:rPr>
              <w:t>A</w:t>
            </w:r>
          </w:p>
        </w:tc>
        <w:tc>
          <w:tcPr>
            <w:tcW w:w="0" w:type="auto"/>
            <w:hideMark/>
          </w:tcPr>
          <w:p w14:paraId="21A0F304" w14:textId="2CF88832" w:rsidR="00BA6D4C" w:rsidRDefault="002B065D">
            <w:pPr>
              <w:spacing w:line="360" w:lineRule="auto"/>
              <w:rPr>
                <w:rFonts w:ascii="Arial" w:hAnsi="Arial"/>
                <w:sz w:val="24"/>
                <w:szCs w:val="24"/>
              </w:rPr>
            </w:pPr>
            <w:r>
              <w:rPr>
                <w:rFonts w:ascii="Arial" w:hAnsi="Arial"/>
                <w:sz w:val="24"/>
                <w:szCs w:val="24"/>
              </w:rPr>
              <w:t>10.8</w:t>
            </w:r>
          </w:p>
        </w:tc>
        <w:tc>
          <w:tcPr>
            <w:tcW w:w="0" w:type="auto"/>
            <w:hideMark/>
          </w:tcPr>
          <w:p w14:paraId="3697B2A6" w14:textId="77777777" w:rsidR="00BA6D4C" w:rsidRDefault="00CE0412">
            <w:pPr>
              <w:spacing w:line="360" w:lineRule="auto"/>
              <w:rPr>
                <w:rFonts w:ascii="Arial" w:hAnsi="Arial"/>
                <w:sz w:val="24"/>
                <w:szCs w:val="24"/>
              </w:rPr>
            </w:pPr>
            <w:r>
              <w:rPr>
                <w:rFonts w:ascii="Arial" w:hAnsi="Arial"/>
                <w:sz w:val="24"/>
                <w:szCs w:val="24"/>
              </w:rPr>
              <w:t>40</w:t>
            </w:r>
          </w:p>
        </w:tc>
        <w:tc>
          <w:tcPr>
            <w:tcW w:w="0" w:type="auto"/>
            <w:hideMark/>
          </w:tcPr>
          <w:p w14:paraId="74AD6E1B" w14:textId="7E91D9CF" w:rsidR="00BA6D4C" w:rsidRDefault="002B065D">
            <w:pPr>
              <w:spacing w:line="360" w:lineRule="auto"/>
              <w:rPr>
                <w:rFonts w:ascii="Arial" w:hAnsi="Arial"/>
                <w:sz w:val="24"/>
                <w:szCs w:val="24"/>
              </w:rPr>
            </w:pPr>
            <w:r>
              <w:rPr>
                <w:rFonts w:ascii="Arial" w:hAnsi="Arial"/>
                <w:sz w:val="24"/>
                <w:szCs w:val="24"/>
              </w:rPr>
              <w:t>27</w:t>
            </w:r>
          </w:p>
        </w:tc>
      </w:tr>
      <w:tr w:rsidR="00BA6D4C" w14:paraId="6DC18BC5" w14:textId="77777777">
        <w:trPr>
          <w:trHeight w:val="306"/>
        </w:trPr>
        <w:tc>
          <w:tcPr>
            <w:tcW w:w="0" w:type="auto"/>
            <w:hideMark/>
          </w:tcPr>
          <w:p w14:paraId="30178276" w14:textId="77777777" w:rsidR="00BA6D4C" w:rsidRDefault="00CE0412">
            <w:pPr>
              <w:spacing w:line="360" w:lineRule="auto"/>
              <w:rPr>
                <w:rFonts w:ascii="Arial" w:hAnsi="Arial"/>
                <w:sz w:val="24"/>
                <w:szCs w:val="24"/>
              </w:rPr>
            </w:pPr>
            <w:r>
              <w:rPr>
                <w:rFonts w:ascii="Arial" w:hAnsi="Arial"/>
                <w:sz w:val="24"/>
                <w:szCs w:val="24"/>
              </w:rPr>
              <w:t>B</w:t>
            </w:r>
          </w:p>
        </w:tc>
        <w:tc>
          <w:tcPr>
            <w:tcW w:w="0" w:type="auto"/>
            <w:hideMark/>
          </w:tcPr>
          <w:p w14:paraId="10F4A32A" w14:textId="77777777" w:rsidR="00BA6D4C" w:rsidRDefault="00CE0412">
            <w:pPr>
              <w:spacing w:line="360" w:lineRule="auto"/>
              <w:rPr>
                <w:rFonts w:ascii="Arial" w:hAnsi="Arial"/>
                <w:sz w:val="24"/>
                <w:szCs w:val="24"/>
              </w:rPr>
            </w:pPr>
            <w:r>
              <w:rPr>
                <w:rFonts w:ascii="Arial" w:hAnsi="Arial"/>
                <w:sz w:val="24"/>
                <w:szCs w:val="24"/>
              </w:rPr>
              <w:t>6</w:t>
            </w:r>
          </w:p>
        </w:tc>
        <w:tc>
          <w:tcPr>
            <w:tcW w:w="0" w:type="auto"/>
            <w:hideMark/>
          </w:tcPr>
          <w:p w14:paraId="142441E0" w14:textId="77777777" w:rsidR="00BA6D4C" w:rsidRDefault="00CE0412">
            <w:pPr>
              <w:spacing w:line="360" w:lineRule="auto"/>
              <w:rPr>
                <w:rFonts w:ascii="Arial" w:hAnsi="Arial"/>
                <w:sz w:val="24"/>
                <w:szCs w:val="24"/>
              </w:rPr>
            </w:pPr>
            <w:r>
              <w:rPr>
                <w:rFonts w:ascii="Arial" w:hAnsi="Arial"/>
                <w:sz w:val="24"/>
                <w:szCs w:val="24"/>
              </w:rPr>
              <w:t>30</w:t>
            </w:r>
          </w:p>
        </w:tc>
        <w:tc>
          <w:tcPr>
            <w:tcW w:w="0" w:type="auto"/>
            <w:hideMark/>
          </w:tcPr>
          <w:p w14:paraId="4DFFEA04" w14:textId="77777777" w:rsidR="00BA6D4C" w:rsidRDefault="00CE0412">
            <w:pPr>
              <w:spacing w:line="360" w:lineRule="auto"/>
              <w:rPr>
                <w:rFonts w:ascii="Arial" w:hAnsi="Arial"/>
                <w:sz w:val="24"/>
                <w:szCs w:val="24"/>
              </w:rPr>
            </w:pPr>
            <w:r>
              <w:rPr>
                <w:rFonts w:ascii="Arial" w:hAnsi="Arial"/>
                <w:sz w:val="24"/>
                <w:szCs w:val="24"/>
              </w:rPr>
              <w:t>20</w:t>
            </w:r>
          </w:p>
        </w:tc>
      </w:tr>
      <w:tr w:rsidR="00BA6D4C" w14:paraId="2E01A7C7" w14:textId="77777777">
        <w:trPr>
          <w:trHeight w:val="331"/>
        </w:trPr>
        <w:tc>
          <w:tcPr>
            <w:tcW w:w="0" w:type="auto"/>
            <w:hideMark/>
          </w:tcPr>
          <w:p w14:paraId="351BE91F" w14:textId="77777777" w:rsidR="00BA6D4C" w:rsidRDefault="00CE0412">
            <w:pPr>
              <w:spacing w:line="360" w:lineRule="auto"/>
              <w:rPr>
                <w:rFonts w:ascii="Arial" w:hAnsi="Arial"/>
                <w:sz w:val="24"/>
                <w:szCs w:val="24"/>
              </w:rPr>
            </w:pPr>
            <w:r>
              <w:rPr>
                <w:rFonts w:ascii="Arial" w:hAnsi="Arial"/>
                <w:sz w:val="24"/>
                <w:szCs w:val="24"/>
              </w:rPr>
              <w:t>C</w:t>
            </w:r>
          </w:p>
        </w:tc>
        <w:tc>
          <w:tcPr>
            <w:tcW w:w="0" w:type="auto"/>
            <w:hideMark/>
          </w:tcPr>
          <w:p w14:paraId="0ACB1B1D" w14:textId="77777777" w:rsidR="00BA6D4C" w:rsidRDefault="00CE0412">
            <w:pPr>
              <w:spacing w:line="360" w:lineRule="auto"/>
              <w:rPr>
                <w:rFonts w:ascii="Arial" w:hAnsi="Arial"/>
                <w:sz w:val="24"/>
                <w:szCs w:val="24"/>
              </w:rPr>
            </w:pPr>
            <w:r>
              <w:rPr>
                <w:rFonts w:ascii="Arial" w:hAnsi="Arial"/>
                <w:sz w:val="24"/>
                <w:szCs w:val="24"/>
              </w:rPr>
              <w:t>15</w:t>
            </w:r>
          </w:p>
        </w:tc>
        <w:tc>
          <w:tcPr>
            <w:tcW w:w="0" w:type="auto"/>
            <w:hideMark/>
          </w:tcPr>
          <w:p w14:paraId="2CDBDAA3" w14:textId="77777777" w:rsidR="00BA6D4C" w:rsidRDefault="00CE0412">
            <w:pPr>
              <w:spacing w:line="360" w:lineRule="auto"/>
              <w:rPr>
                <w:rFonts w:ascii="Arial" w:hAnsi="Arial"/>
                <w:sz w:val="24"/>
                <w:szCs w:val="24"/>
              </w:rPr>
            </w:pPr>
            <w:r>
              <w:rPr>
                <w:rFonts w:ascii="Arial" w:hAnsi="Arial"/>
                <w:sz w:val="24"/>
                <w:szCs w:val="24"/>
              </w:rPr>
              <w:t>50</w:t>
            </w:r>
          </w:p>
        </w:tc>
        <w:tc>
          <w:tcPr>
            <w:tcW w:w="0" w:type="auto"/>
            <w:hideMark/>
          </w:tcPr>
          <w:p w14:paraId="095F7469" w14:textId="77777777" w:rsidR="00BA6D4C" w:rsidRDefault="00CE0412">
            <w:pPr>
              <w:spacing w:line="360" w:lineRule="auto"/>
              <w:rPr>
                <w:rFonts w:ascii="Arial" w:hAnsi="Arial"/>
                <w:sz w:val="24"/>
                <w:szCs w:val="24"/>
              </w:rPr>
            </w:pPr>
            <w:r>
              <w:rPr>
                <w:rFonts w:ascii="Arial" w:hAnsi="Arial"/>
                <w:sz w:val="24"/>
                <w:szCs w:val="24"/>
              </w:rPr>
              <w:t>30</w:t>
            </w:r>
          </w:p>
        </w:tc>
      </w:tr>
    </w:tbl>
    <w:p w14:paraId="108E49A6" w14:textId="77777777" w:rsidR="00BA6D4C" w:rsidRDefault="00BA6D4C">
      <w:pPr>
        <w:spacing w:line="360" w:lineRule="auto"/>
        <w:rPr>
          <w:rFonts w:ascii="Arial" w:hAnsi="Arial"/>
          <w:sz w:val="24"/>
          <w:szCs w:val="24"/>
        </w:rPr>
      </w:pPr>
    </w:p>
    <w:p w14:paraId="3DAC1C4D" w14:textId="77777777" w:rsidR="00BA6D4C" w:rsidRDefault="00CE0412">
      <w:pPr>
        <w:pStyle w:val="NormalWeb"/>
        <w:spacing w:line="360" w:lineRule="auto"/>
        <w:rPr>
          <w:rFonts w:ascii="Arial" w:hAnsi="Arial" w:cs="Arial"/>
        </w:rPr>
      </w:pPr>
      <w:r>
        <w:rPr>
          <w:rStyle w:val="Strong"/>
          <w:rFonts w:ascii="Arial" w:hAnsi="Arial" w:cs="Arial"/>
        </w:rPr>
        <w:t>Table B3: Net Present Value (NPV)</w:t>
      </w:r>
    </w:p>
    <w:p w14:paraId="0EC69C41" w14:textId="77777777" w:rsidR="00BA6D4C" w:rsidRDefault="00CE0412">
      <w:pPr>
        <w:pStyle w:val="NormalWeb"/>
        <w:spacing w:line="360" w:lineRule="auto"/>
        <w:rPr>
          <w:rFonts w:ascii="Arial" w:hAnsi="Arial" w:cs="Arial"/>
        </w:rPr>
      </w:pPr>
      <w:r>
        <w:rPr>
          <w:rStyle w:val="Emphasis"/>
          <w:rFonts w:ascii="Arial" w:hAnsi="Arial" w:cs="Arial"/>
        </w:rPr>
        <w:t>Discount rate = 10%</w:t>
      </w:r>
    </w:p>
    <w:tbl>
      <w:tblPr>
        <w:tblStyle w:val="TableGrid"/>
        <w:tblW w:w="9429" w:type="dxa"/>
        <w:tblLook w:val="04A0" w:firstRow="1" w:lastRow="0" w:firstColumn="1" w:lastColumn="0" w:noHBand="0" w:noVBand="1"/>
      </w:tblPr>
      <w:tblGrid>
        <w:gridCol w:w="1265"/>
        <w:gridCol w:w="1575"/>
        <w:gridCol w:w="6589"/>
      </w:tblGrid>
      <w:tr w:rsidR="00BA6D4C" w14:paraId="429AEEA2" w14:textId="77777777">
        <w:trPr>
          <w:trHeight w:val="246"/>
        </w:trPr>
        <w:tc>
          <w:tcPr>
            <w:tcW w:w="0" w:type="auto"/>
            <w:hideMark/>
          </w:tcPr>
          <w:p w14:paraId="74651AC3" w14:textId="77777777" w:rsidR="00BA6D4C" w:rsidRDefault="00CE0412">
            <w:pPr>
              <w:spacing w:line="360" w:lineRule="auto"/>
              <w:jc w:val="center"/>
              <w:rPr>
                <w:rFonts w:ascii="Arial" w:hAnsi="Arial"/>
                <w:b/>
                <w:bCs/>
                <w:sz w:val="24"/>
                <w:szCs w:val="24"/>
              </w:rPr>
            </w:pPr>
            <w:r>
              <w:rPr>
                <w:rFonts w:ascii="Arial" w:hAnsi="Arial"/>
                <w:b/>
                <w:bCs/>
                <w:sz w:val="24"/>
                <w:szCs w:val="24"/>
              </w:rPr>
              <w:t>Project</w:t>
            </w:r>
          </w:p>
        </w:tc>
        <w:tc>
          <w:tcPr>
            <w:tcW w:w="0" w:type="auto"/>
            <w:hideMark/>
          </w:tcPr>
          <w:p w14:paraId="65C0B109" w14:textId="77777777" w:rsidR="00BA6D4C" w:rsidRDefault="00CE0412">
            <w:pPr>
              <w:spacing w:line="360" w:lineRule="auto"/>
              <w:jc w:val="center"/>
              <w:rPr>
                <w:rFonts w:ascii="Arial" w:hAnsi="Arial"/>
                <w:b/>
                <w:bCs/>
                <w:sz w:val="24"/>
                <w:szCs w:val="24"/>
              </w:rPr>
            </w:pPr>
            <w:r>
              <w:rPr>
                <w:rFonts w:ascii="Arial" w:hAnsi="Arial"/>
                <w:b/>
                <w:bCs/>
                <w:sz w:val="24"/>
                <w:szCs w:val="24"/>
              </w:rPr>
              <w:t>NPV (£m)</w:t>
            </w:r>
          </w:p>
        </w:tc>
        <w:tc>
          <w:tcPr>
            <w:tcW w:w="0" w:type="auto"/>
            <w:hideMark/>
          </w:tcPr>
          <w:p w14:paraId="2C548C66" w14:textId="77777777" w:rsidR="00BA6D4C" w:rsidRDefault="00CE0412">
            <w:pPr>
              <w:spacing w:line="360" w:lineRule="auto"/>
              <w:jc w:val="center"/>
              <w:rPr>
                <w:rFonts w:ascii="Arial" w:hAnsi="Arial"/>
                <w:b/>
                <w:bCs/>
                <w:sz w:val="24"/>
                <w:szCs w:val="24"/>
              </w:rPr>
            </w:pPr>
            <w:r>
              <w:rPr>
                <w:rFonts w:ascii="Arial" w:hAnsi="Arial"/>
                <w:b/>
                <w:bCs/>
                <w:sz w:val="24"/>
                <w:szCs w:val="24"/>
              </w:rPr>
              <w:t>Calculation</w:t>
            </w:r>
          </w:p>
        </w:tc>
      </w:tr>
      <w:tr w:rsidR="00BA6D4C" w14:paraId="0635FB96" w14:textId="77777777">
        <w:trPr>
          <w:trHeight w:val="257"/>
        </w:trPr>
        <w:tc>
          <w:tcPr>
            <w:tcW w:w="0" w:type="auto"/>
            <w:hideMark/>
          </w:tcPr>
          <w:p w14:paraId="4CC1A4ED" w14:textId="77777777" w:rsidR="00BA6D4C" w:rsidRDefault="00CE0412">
            <w:pPr>
              <w:spacing w:line="360" w:lineRule="auto"/>
              <w:rPr>
                <w:rFonts w:ascii="Arial" w:hAnsi="Arial"/>
                <w:sz w:val="24"/>
                <w:szCs w:val="24"/>
              </w:rPr>
            </w:pPr>
            <w:r>
              <w:rPr>
                <w:rFonts w:ascii="Arial" w:hAnsi="Arial"/>
                <w:sz w:val="24"/>
                <w:szCs w:val="24"/>
              </w:rPr>
              <w:t>A</w:t>
            </w:r>
          </w:p>
        </w:tc>
        <w:tc>
          <w:tcPr>
            <w:tcW w:w="0" w:type="auto"/>
            <w:hideMark/>
          </w:tcPr>
          <w:p w14:paraId="3BE0FD67" w14:textId="1D95B6AB" w:rsidR="00BA6D4C" w:rsidRDefault="002B065D">
            <w:pPr>
              <w:spacing w:line="360" w:lineRule="auto"/>
              <w:rPr>
                <w:rFonts w:ascii="Arial" w:hAnsi="Arial"/>
                <w:sz w:val="24"/>
                <w:szCs w:val="24"/>
              </w:rPr>
            </w:pPr>
            <w:r>
              <w:rPr>
                <w:rFonts w:ascii="Arial" w:hAnsi="Arial"/>
                <w:sz w:val="24"/>
                <w:szCs w:val="24"/>
              </w:rPr>
              <w:t>1.33</w:t>
            </w:r>
          </w:p>
        </w:tc>
        <w:tc>
          <w:tcPr>
            <w:tcW w:w="0" w:type="auto"/>
            <w:hideMark/>
          </w:tcPr>
          <w:p w14:paraId="41662213" w14:textId="77777777" w:rsidR="00BA6D4C" w:rsidRDefault="00CE0412">
            <w:pPr>
              <w:spacing w:line="360" w:lineRule="auto"/>
              <w:rPr>
                <w:rFonts w:ascii="Arial" w:hAnsi="Arial"/>
                <w:sz w:val="24"/>
                <w:szCs w:val="24"/>
              </w:rPr>
            </w:pPr>
            <w:r>
              <w:rPr>
                <w:rFonts w:ascii="Arial" w:hAnsi="Arial"/>
                <w:sz w:val="24"/>
                <w:szCs w:val="24"/>
              </w:rPr>
              <w:t>10/1.1 + 12/1.1² + 14/1.1³ + 10/1.1⁴ + 8/1.1⁵ – 40</w:t>
            </w:r>
          </w:p>
        </w:tc>
      </w:tr>
      <w:tr w:rsidR="00BA6D4C" w14:paraId="4A748051" w14:textId="77777777">
        <w:trPr>
          <w:trHeight w:val="257"/>
        </w:trPr>
        <w:tc>
          <w:tcPr>
            <w:tcW w:w="0" w:type="auto"/>
            <w:hideMark/>
          </w:tcPr>
          <w:p w14:paraId="6001644F" w14:textId="77777777" w:rsidR="00BA6D4C" w:rsidRDefault="00CE0412">
            <w:pPr>
              <w:spacing w:line="360" w:lineRule="auto"/>
              <w:rPr>
                <w:rFonts w:ascii="Arial" w:hAnsi="Arial"/>
                <w:sz w:val="24"/>
                <w:szCs w:val="24"/>
              </w:rPr>
            </w:pPr>
            <w:r>
              <w:rPr>
                <w:rFonts w:ascii="Arial" w:hAnsi="Arial"/>
                <w:sz w:val="24"/>
                <w:szCs w:val="24"/>
              </w:rPr>
              <w:t>B</w:t>
            </w:r>
          </w:p>
        </w:tc>
        <w:tc>
          <w:tcPr>
            <w:tcW w:w="0" w:type="auto"/>
            <w:hideMark/>
          </w:tcPr>
          <w:p w14:paraId="30721B18" w14:textId="15123E2C" w:rsidR="00BA6D4C" w:rsidRDefault="00CE0412">
            <w:pPr>
              <w:spacing w:line="360" w:lineRule="auto"/>
              <w:rPr>
                <w:rFonts w:ascii="Arial" w:hAnsi="Arial"/>
                <w:sz w:val="24"/>
                <w:szCs w:val="24"/>
              </w:rPr>
            </w:pPr>
            <w:r>
              <w:rPr>
                <w:rFonts w:ascii="Arial" w:hAnsi="Arial"/>
                <w:sz w:val="24"/>
                <w:szCs w:val="24"/>
              </w:rPr>
              <w:t>–</w:t>
            </w:r>
            <w:r w:rsidR="002B065D">
              <w:rPr>
                <w:rFonts w:ascii="Arial" w:hAnsi="Arial"/>
                <w:sz w:val="24"/>
                <w:szCs w:val="24"/>
              </w:rPr>
              <w:t>7.25</w:t>
            </w:r>
          </w:p>
        </w:tc>
        <w:tc>
          <w:tcPr>
            <w:tcW w:w="0" w:type="auto"/>
            <w:hideMark/>
          </w:tcPr>
          <w:p w14:paraId="24862CE1" w14:textId="77777777" w:rsidR="00BA6D4C" w:rsidRDefault="00CE0412">
            <w:pPr>
              <w:spacing w:line="360" w:lineRule="auto"/>
              <w:rPr>
                <w:rFonts w:ascii="Arial" w:hAnsi="Arial"/>
                <w:sz w:val="24"/>
                <w:szCs w:val="24"/>
              </w:rPr>
            </w:pPr>
            <w:r>
              <w:rPr>
                <w:rFonts w:ascii="Arial" w:hAnsi="Arial"/>
                <w:sz w:val="24"/>
                <w:szCs w:val="24"/>
              </w:rPr>
              <w:t>6/1.1 + 6/1.1² + 6/1.1³ + 6/1.1⁴ + 6/1.1⁵ – 30</w:t>
            </w:r>
          </w:p>
        </w:tc>
      </w:tr>
      <w:tr w:rsidR="00BA6D4C" w14:paraId="15BD8837" w14:textId="77777777">
        <w:trPr>
          <w:trHeight w:val="257"/>
        </w:trPr>
        <w:tc>
          <w:tcPr>
            <w:tcW w:w="0" w:type="auto"/>
            <w:hideMark/>
          </w:tcPr>
          <w:p w14:paraId="726B6F53" w14:textId="77777777" w:rsidR="00BA6D4C" w:rsidRDefault="00CE0412">
            <w:pPr>
              <w:spacing w:line="360" w:lineRule="auto"/>
              <w:rPr>
                <w:rFonts w:ascii="Arial" w:hAnsi="Arial"/>
                <w:sz w:val="24"/>
                <w:szCs w:val="24"/>
              </w:rPr>
            </w:pPr>
            <w:r>
              <w:rPr>
                <w:rFonts w:ascii="Arial" w:hAnsi="Arial"/>
                <w:sz w:val="24"/>
                <w:szCs w:val="24"/>
              </w:rPr>
              <w:lastRenderedPageBreak/>
              <w:t>C</w:t>
            </w:r>
          </w:p>
        </w:tc>
        <w:tc>
          <w:tcPr>
            <w:tcW w:w="0" w:type="auto"/>
            <w:hideMark/>
          </w:tcPr>
          <w:p w14:paraId="1E9AC36F" w14:textId="65A5E321" w:rsidR="00BA6D4C" w:rsidRDefault="002B065D">
            <w:pPr>
              <w:spacing w:line="360" w:lineRule="auto"/>
              <w:rPr>
                <w:rFonts w:ascii="Arial" w:hAnsi="Arial"/>
                <w:sz w:val="24"/>
                <w:szCs w:val="24"/>
              </w:rPr>
            </w:pPr>
            <w:r>
              <w:rPr>
                <w:rFonts w:ascii="Arial" w:hAnsi="Arial"/>
                <w:sz w:val="24"/>
                <w:szCs w:val="24"/>
              </w:rPr>
              <w:t>4.25</w:t>
            </w:r>
          </w:p>
        </w:tc>
        <w:tc>
          <w:tcPr>
            <w:tcW w:w="0" w:type="auto"/>
            <w:hideMark/>
          </w:tcPr>
          <w:p w14:paraId="32482B9A" w14:textId="77777777" w:rsidR="00BA6D4C" w:rsidRDefault="00CE0412">
            <w:pPr>
              <w:spacing w:line="360" w:lineRule="auto"/>
              <w:rPr>
                <w:rFonts w:ascii="Arial" w:hAnsi="Arial"/>
                <w:sz w:val="24"/>
                <w:szCs w:val="24"/>
              </w:rPr>
            </w:pPr>
            <w:r>
              <w:rPr>
                <w:rFonts w:ascii="Arial" w:hAnsi="Arial"/>
                <w:sz w:val="24"/>
                <w:szCs w:val="24"/>
              </w:rPr>
              <w:t>5/1.1 + 10/1.1² + 20/1.1³ + 25/1.1⁴ + 15/1.1⁵ – 50</w:t>
            </w:r>
          </w:p>
        </w:tc>
      </w:tr>
    </w:tbl>
    <w:p w14:paraId="231F7495" w14:textId="77777777" w:rsidR="00BA6D4C" w:rsidRDefault="00CE0412">
      <w:pPr>
        <w:pStyle w:val="NormalWeb"/>
        <w:spacing w:line="360" w:lineRule="auto"/>
        <w:rPr>
          <w:rFonts w:ascii="Arial" w:hAnsi="Arial" w:cs="Arial"/>
        </w:rPr>
      </w:pPr>
      <w:r>
        <w:rPr>
          <w:rStyle w:val="Strong"/>
          <w:rFonts w:ascii="Arial" w:hAnsi="Arial" w:cs="Arial"/>
        </w:rPr>
        <w:t>Table B4: Profitability Index (PI)</w:t>
      </w:r>
    </w:p>
    <w:tbl>
      <w:tblPr>
        <w:tblStyle w:val="TableGrid"/>
        <w:tblW w:w="9408" w:type="dxa"/>
        <w:tblLook w:val="04A0" w:firstRow="1" w:lastRow="0" w:firstColumn="1" w:lastColumn="0" w:noHBand="0" w:noVBand="1"/>
      </w:tblPr>
      <w:tblGrid>
        <w:gridCol w:w="1158"/>
        <w:gridCol w:w="769"/>
        <w:gridCol w:w="7481"/>
      </w:tblGrid>
      <w:tr w:rsidR="00BA6D4C" w14:paraId="2A7AF5CC" w14:textId="77777777">
        <w:trPr>
          <w:trHeight w:val="331"/>
        </w:trPr>
        <w:tc>
          <w:tcPr>
            <w:tcW w:w="0" w:type="auto"/>
            <w:hideMark/>
          </w:tcPr>
          <w:p w14:paraId="08C8405D" w14:textId="77777777" w:rsidR="00BA6D4C" w:rsidRDefault="00CE0412">
            <w:pPr>
              <w:spacing w:line="360" w:lineRule="auto"/>
              <w:jc w:val="center"/>
              <w:rPr>
                <w:rFonts w:ascii="Arial" w:hAnsi="Arial"/>
                <w:b/>
                <w:bCs/>
                <w:sz w:val="24"/>
                <w:szCs w:val="24"/>
              </w:rPr>
            </w:pPr>
            <w:r>
              <w:rPr>
                <w:rFonts w:ascii="Arial" w:hAnsi="Arial"/>
                <w:b/>
                <w:bCs/>
                <w:sz w:val="24"/>
                <w:szCs w:val="24"/>
              </w:rPr>
              <w:t>Project</w:t>
            </w:r>
          </w:p>
        </w:tc>
        <w:tc>
          <w:tcPr>
            <w:tcW w:w="0" w:type="auto"/>
            <w:hideMark/>
          </w:tcPr>
          <w:p w14:paraId="0559E729" w14:textId="77777777" w:rsidR="00BA6D4C" w:rsidRDefault="00CE0412">
            <w:pPr>
              <w:spacing w:line="360" w:lineRule="auto"/>
              <w:jc w:val="center"/>
              <w:rPr>
                <w:rFonts w:ascii="Arial" w:hAnsi="Arial"/>
                <w:b/>
                <w:bCs/>
                <w:sz w:val="24"/>
                <w:szCs w:val="24"/>
              </w:rPr>
            </w:pPr>
            <w:r>
              <w:rPr>
                <w:rFonts w:ascii="Arial" w:hAnsi="Arial"/>
                <w:b/>
                <w:bCs/>
                <w:sz w:val="24"/>
                <w:szCs w:val="24"/>
              </w:rPr>
              <w:t>PI</w:t>
            </w:r>
          </w:p>
        </w:tc>
        <w:tc>
          <w:tcPr>
            <w:tcW w:w="0" w:type="auto"/>
            <w:hideMark/>
          </w:tcPr>
          <w:p w14:paraId="6505CC49" w14:textId="77777777" w:rsidR="00BA6D4C" w:rsidRDefault="00CE0412">
            <w:pPr>
              <w:spacing w:line="360" w:lineRule="auto"/>
              <w:jc w:val="center"/>
              <w:rPr>
                <w:rFonts w:ascii="Arial" w:hAnsi="Arial"/>
                <w:b/>
                <w:bCs/>
                <w:sz w:val="24"/>
                <w:szCs w:val="24"/>
              </w:rPr>
            </w:pPr>
            <w:r>
              <w:rPr>
                <w:rFonts w:ascii="Arial" w:hAnsi="Arial"/>
                <w:b/>
                <w:bCs/>
                <w:sz w:val="24"/>
                <w:szCs w:val="24"/>
              </w:rPr>
              <w:t>Calculation</w:t>
            </w:r>
          </w:p>
        </w:tc>
      </w:tr>
      <w:tr w:rsidR="00BA6D4C" w14:paraId="3046B1D2" w14:textId="77777777">
        <w:trPr>
          <w:trHeight w:val="345"/>
        </w:trPr>
        <w:tc>
          <w:tcPr>
            <w:tcW w:w="0" w:type="auto"/>
            <w:hideMark/>
          </w:tcPr>
          <w:p w14:paraId="4A344E74" w14:textId="77777777" w:rsidR="00BA6D4C" w:rsidRDefault="00CE0412">
            <w:pPr>
              <w:spacing w:line="360" w:lineRule="auto"/>
              <w:rPr>
                <w:rFonts w:ascii="Arial" w:hAnsi="Arial"/>
                <w:sz w:val="24"/>
                <w:szCs w:val="24"/>
              </w:rPr>
            </w:pPr>
            <w:r>
              <w:rPr>
                <w:rFonts w:ascii="Arial" w:hAnsi="Arial"/>
                <w:sz w:val="24"/>
                <w:szCs w:val="24"/>
              </w:rPr>
              <w:t>A</w:t>
            </w:r>
          </w:p>
        </w:tc>
        <w:tc>
          <w:tcPr>
            <w:tcW w:w="0" w:type="auto"/>
            <w:hideMark/>
          </w:tcPr>
          <w:p w14:paraId="53B28C95" w14:textId="28BA4259" w:rsidR="00BA6D4C" w:rsidRDefault="00CE0412">
            <w:pPr>
              <w:spacing w:line="360" w:lineRule="auto"/>
              <w:rPr>
                <w:rFonts w:ascii="Arial" w:hAnsi="Arial"/>
                <w:sz w:val="24"/>
                <w:szCs w:val="24"/>
              </w:rPr>
            </w:pPr>
            <w:r>
              <w:rPr>
                <w:rFonts w:ascii="Arial" w:hAnsi="Arial"/>
                <w:sz w:val="24"/>
                <w:szCs w:val="24"/>
              </w:rPr>
              <w:t>1.</w:t>
            </w:r>
            <w:r w:rsidR="00E13686">
              <w:rPr>
                <w:rFonts w:ascii="Arial" w:hAnsi="Arial"/>
                <w:sz w:val="24"/>
                <w:szCs w:val="24"/>
              </w:rPr>
              <w:t>03</w:t>
            </w:r>
          </w:p>
        </w:tc>
        <w:tc>
          <w:tcPr>
            <w:tcW w:w="0" w:type="auto"/>
            <w:hideMark/>
          </w:tcPr>
          <w:p w14:paraId="03C8252C" w14:textId="1272BD50" w:rsidR="00BA6D4C" w:rsidRDefault="00CE0412">
            <w:pPr>
              <w:spacing w:line="360" w:lineRule="auto"/>
              <w:rPr>
                <w:rFonts w:ascii="Arial" w:hAnsi="Arial"/>
                <w:sz w:val="24"/>
                <w:szCs w:val="24"/>
              </w:rPr>
            </w:pPr>
            <w:r>
              <w:rPr>
                <w:rFonts w:ascii="Arial" w:hAnsi="Arial"/>
                <w:sz w:val="24"/>
                <w:szCs w:val="24"/>
              </w:rPr>
              <w:t>(NPV + Initial Investment) / Initial Investment = (</w:t>
            </w:r>
            <w:r w:rsidR="00E13686">
              <w:rPr>
                <w:rFonts w:ascii="Arial" w:hAnsi="Arial"/>
                <w:sz w:val="24"/>
                <w:szCs w:val="24"/>
              </w:rPr>
              <w:t>1.33</w:t>
            </w:r>
            <w:r>
              <w:rPr>
                <w:rFonts w:ascii="Arial" w:hAnsi="Arial"/>
                <w:sz w:val="24"/>
                <w:szCs w:val="24"/>
              </w:rPr>
              <w:t>+ 40)/40</w:t>
            </w:r>
          </w:p>
        </w:tc>
      </w:tr>
      <w:tr w:rsidR="00BA6D4C" w14:paraId="2C702EA3" w14:textId="77777777">
        <w:trPr>
          <w:trHeight w:val="331"/>
        </w:trPr>
        <w:tc>
          <w:tcPr>
            <w:tcW w:w="0" w:type="auto"/>
            <w:hideMark/>
          </w:tcPr>
          <w:p w14:paraId="23209EE8" w14:textId="77777777" w:rsidR="00BA6D4C" w:rsidRDefault="00CE0412">
            <w:pPr>
              <w:spacing w:line="360" w:lineRule="auto"/>
              <w:rPr>
                <w:rFonts w:ascii="Arial" w:hAnsi="Arial"/>
                <w:sz w:val="24"/>
                <w:szCs w:val="24"/>
              </w:rPr>
            </w:pPr>
            <w:r>
              <w:rPr>
                <w:rFonts w:ascii="Arial" w:hAnsi="Arial"/>
                <w:sz w:val="24"/>
                <w:szCs w:val="24"/>
              </w:rPr>
              <w:t>B</w:t>
            </w:r>
          </w:p>
        </w:tc>
        <w:tc>
          <w:tcPr>
            <w:tcW w:w="0" w:type="auto"/>
            <w:hideMark/>
          </w:tcPr>
          <w:p w14:paraId="357CE70D" w14:textId="6B2B5EEF" w:rsidR="00BA6D4C" w:rsidRDefault="00CE0412">
            <w:pPr>
              <w:spacing w:line="360" w:lineRule="auto"/>
              <w:rPr>
                <w:rFonts w:ascii="Arial" w:hAnsi="Arial"/>
                <w:sz w:val="24"/>
                <w:szCs w:val="24"/>
              </w:rPr>
            </w:pPr>
            <w:r>
              <w:rPr>
                <w:rFonts w:ascii="Arial" w:hAnsi="Arial"/>
                <w:sz w:val="24"/>
                <w:szCs w:val="24"/>
              </w:rPr>
              <w:t>0.</w:t>
            </w:r>
            <w:r w:rsidR="00E13686">
              <w:rPr>
                <w:rFonts w:ascii="Arial" w:hAnsi="Arial"/>
                <w:sz w:val="24"/>
                <w:szCs w:val="24"/>
              </w:rPr>
              <w:t>76</w:t>
            </w:r>
          </w:p>
        </w:tc>
        <w:tc>
          <w:tcPr>
            <w:tcW w:w="0" w:type="auto"/>
            <w:hideMark/>
          </w:tcPr>
          <w:p w14:paraId="13B89D1D" w14:textId="7E66A4BE" w:rsidR="00BA6D4C" w:rsidRDefault="00CE0412">
            <w:pPr>
              <w:spacing w:line="360" w:lineRule="auto"/>
              <w:rPr>
                <w:rFonts w:ascii="Arial" w:hAnsi="Arial"/>
                <w:sz w:val="24"/>
                <w:szCs w:val="24"/>
              </w:rPr>
            </w:pPr>
            <w:r>
              <w:rPr>
                <w:rFonts w:ascii="Arial" w:hAnsi="Arial"/>
                <w:sz w:val="24"/>
                <w:szCs w:val="24"/>
              </w:rPr>
              <w:t>(–</w:t>
            </w:r>
            <w:r w:rsidR="00E13686">
              <w:rPr>
                <w:rFonts w:ascii="Arial" w:hAnsi="Arial"/>
                <w:sz w:val="24"/>
                <w:szCs w:val="24"/>
              </w:rPr>
              <w:t>7.25</w:t>
            </w:r>
            <w:r>
              <w:rPr>
                <w:rFonts w:ascii="Arial" w:hAnsi="Arial"/>
                <w:sz w:val="24"/>
                <w:szCs w:val="24"/>
              </w:rPr>
              <w:t xml:space="preserve"> + 30)/30</w:t>
            </w:r>
          </w:p>
        </w:tc>
      </w:tr>
      <w:tr w:rsidR="00BA6D4C" w14:paraId="45096358" w14:textId="77777777">
        <w:trPr>
          <w:trHeight w:val="359"/>
        </w:trPr>
        <w:tc>
          <w:tcPr>
            <w:tcW w:w="0" w:type="auto"/>
            <w:hideMark/>
          </w:tcPr>
          <w:p w14:paraId="66B9F988" w14:textId="77777777" w:rsidR="00BA6D4C" w:rsidRDefault="00CE0412">
            <w:pPr>
              <w:spacing w:line="360" w:lineRule="auto"/>
              <w:rPr>
                <w:rFonts w:ascii="Arial" w:hAnsi="Arial"/>
                <w:sz w:val="24"/>
                <w:szCs w:val="24"/>
              </w:rPr>
            </w:pPr>
            <w:r>
              <w:rPr>
                <w:rFonts w:ascii="Arial" w:hAnsi="Arial"/>
                <w:sz w:val="24"/>
                <w:szCs w:val="24"/>
              </w:rPr>
              <w:t>C</w:t>
            </w:r>
          </w:p>
        </w:tc>
        <w:tc>
          <w:tcPr>
            <w:tcW w:w="0" w:type="auto"/>
            <w:hideMark/>
          </w:tcPr>
          <w:p w14:paraId="07A6B9D7" w14:textId="176B2B70" w:rsidR="00BA6D4C" w:rsidRDefault="00CE0412">
            <w:pPr>
              <w:spacing w:line="360" w:lineRule="auto"/>
              <w:rPr>
                <w:rFonts w:ascii="Arial" w:hAnsi="Arial"/>
                <w:sz w:val="24"/>
                <w:szCs w:val="24"/>
              </w:rPr>
            </w:pPr>
            <w:r>
              <w:rPr>
                <w:rFonts w:ascii="Arial" w:hAnsi="Arial"/>
                <w:sz w:val="24"/>
                <w:szCs w:val="24"/>
              </w:rPr>
              <w:t>1.</w:t>
            </w:r>
            <w:r w:rsidR="00E13686">
              <w:rPr>
                <w:rFonts w:ascii="Arial" w:hAnsi="Arial"/>
                <w:sz w:val="24"/>
                <w:szCs w:val="24"/>
              </w:rPr>
              <w:t>08</w:t>
            </w:r>
          </w:p>
        </w:tc>
        <w:tc>
          <w:tcPr>
            <w:tcW w:w="0" w:type="auto"/>
            <w:hideMark/>
          </w:tcPr>
          <w:p w14:paraId="22342202" w14:textId="6C1B58FD" w:rsidR="00BA6D4C" w:rsidRDefault="00CE0412">
            <w:pPr>
              <w:spacing w:line="360" w:lineRule="auto"/>
              <w:rPr>
                <w:rFonts w:ascii="Arial" w:hAnsi="Arial"/>
                <w:sz w:val="24"/>
                <w:szCs w:val="24"/>
              </w:rPr>
            </w:pPr>
            <w:r>
              <w:rPr>
                <w:rFonts w:ascii="Arial" w:hAnsi="Arial"/>
                <w:sz w:val="24"/>
                <w:szCs w:val="24"/>
              </w:rPr>
              <w:t>(</w:t>
            </w:r>
            <w:r w:rsidR="00E13686">
              <w:rPr>
                <w:rFonts w:ascii="Arial" w:hAnsi="Arial"/>
                <w:sz w:val="24"/>
                <w:szCs w:val="24"/>
              </w:rPr>
              <w:t>4.25</w:t>
            </w:r>
            <w:r>
              <w:rPr>
                <w:rFonts w:ascii="Arial" w:hAnsi="Arial"/>
                <w:sz w:val="24"/>
                <w:szCs w:val="24"/>
              </w:rPr>
              <w:t xml:space="preserve"> + 50)/50</w:t>
            </w:r>
          </w:p>
        </w:tc>
      </w:tr>
    </w:tbl>
    <w:p w14:paraId="1434FECA" w14:textId="77777777" w:rsidR="00BA6D4C" w:rsidRDefault="00CE0412">
      <w:pPr>
        <w:pStyle w:val="NormalWeb"/>
        <w:spacing w:line="360" w:lineRule="auto"/>
        <w:rPr>
          <w:rFonts w:ascii="Arial" w:hAnsi="Arial" w:cs="Arial"/>
        </w:rPr>
      </w:pPr>
      <w:r>
        <w:rPr>
          <w:rStyle w:val="Strong"/>
          <w:rFonts w:ascii="Arial" w:hAnsi="Arial" w:cs="Arial"/>
        </w:rPr>
        <w:t>Table B5: Internal Rate of Return (IRR)</w:t>
      </w:r>
    </w:p>
    <w:tbl>
      <w:tblPr>
        <w:tblStyle w:val="TableGrid"/>
        <w:tblW w:w="9461" w:type="dxa"/>
        <w:tblLook w:val="04A0" w:firstRow="1" w:lastRow="0" w:firstColumn="1" w:lastColumn="0" w:noHBand="0" w:noVBand="1"/>
      </w:tblPr>
      <w:tblGrid>
        <w:gridCol w:w="1858"/>
        <w:gridCol w:w="1930"/>
        <w:gridCol w:w="5673"/>
      </w:tblGrid>
      <w:tr w:rsidR="00BA6D4C" w14:paraId="295689BC" w14:textId="77777777">
        <w:trPr>
          <w:trHeight w:val="337"/>
        </w:trPr>
        <w:tc>
          <w:tcPr>
            <w:tcW w:w="0" w:type="auto"/>
            <w:hideMark/>
          </w:tcPr>
          <w:p w14:paraId="501F3A5D" w14:textId="77777777" w:rsidR="00BA6D4C" w:rsidRDefault="00CE0412">
            <w:pPr>
              <w:spacing w:line="360" w:lineRule="auto"/>
              <w:jc w:val="center"/>
              <w:rPr>
                <w:rFonts w:ascii="Arial" w:hAnsi="Arial"/>
                <w:b/>
                <w:bCs/>
                <w:sz w:val="24"/>
                <w:szCs w:val="24"/>
              </w:rPr>
            </w:pPr>
            <w:r>
              <w:rPr>
                <w:rFonts w:ascii="Arial" w:hAnsi="Arial"/>
                <w:b/>
                <w:bCs/>
                <w:sz w:val="24"/>
                <w:szCs w:val="24"/>
              </w:rPr>
              <w:t>Project</w:t>
            </w:r>
          </w:p>
        </w:tc>
        <w:tc>
          <w:tcPr>
            <w:tcW w:w="0" w:type="auto"/>
            <w:hideMark/>
          </w:tcPr>
          <w:p w14:paraId="590ED75A" w14:textId="77777777" w:rsidR="00BA6D4C" w:rsidRDefault="00CE0412">
            <w:pPr>
              <w:spacing w:line="360" w:lineRule="auto"/>
              <w:jc w:val="center"/>
              <w:rPr>
                <w:rFonts w:ascii="Arial" w:hAnsi="Arial"/>
                <w:b/>
                <w:bCs/>
                <w:sz w:val="24"/>
                <w:szCs w:val="24"/>
              </w:rPr>
            </w:pPr>
            <w:r>
              <w:rPr>
                <w:rFonts w:ascii="Arial" w:hAnsi="Arial"/>
                <w:b/>
                <w:bCs/>
                <w:sz w:val="24"/>
                <w:szCs w:val="24"/>
              </w:rPr>
              <w:t>IRR (%)</w:t>
            </w:r>
          </w:p>
        </w:tc>
        <w:tc>
          <w:tcPr>
            <w:tcW w:w="0" w:type="auto"/>
            <w:hideMark/>
          </w:tcPr>
          <w:p w14:paraId="2968822C" w14:textId="77777777" w:rsidR="00BA6D4C" w:rsidRDefault="00CE0412">
            <w:pPr>
              <w:spacing w:line="360" w:lineRule="auto"/>
              <w:jc w:val="center"/>
              <w:rPr>
                <w:rFonts w:ascii="Arial" w:hAnsi="Arial"/>
                <w:b/>
                <w:bCs/>
                <w:sz w:val="24"/>
                <w:szCs w:val="24"/>
              </w:rPr>
            </w:pPr>
            <w:r>
              <w:rPr>
                <w:rFonts w:ascii="Arial" w:hAnsi="Arial"/>
                <w:b/>
                <w:bCs/>
                <w:sz w:val="24"/>
                <w:szCs w:val="24"/>
              </w:rPr>
              <w:t>Method</w:t>
            </w:r>
          </w:p>
        </w:tc>
      </w:tr>
      <w:tr w:rsidR="00BA6D4C" w14:paraId="233F71CF" w14:textId="77777777">
        <w:trPr>
          <w:trHeight w:val="323"/>
        </w:trPr>
        <w:tc>
          <w:tcPr>
            <w:tcW w:w="0" w:type="auto"/>
            <w:hideMark/>
          </w:tcPr>
          <w:p w14:paraId="77EEAA2A" w14:textId="77777777" w:rsidR="00BA6D4C" w:rsidRDefault="00CE0412">
            <w:pPr>
              <w:spacing w:line="360" w:lineRule="auto"/>
              <w:rPr>
                <w:rFonts w:ascii="Arial" w:hAnsi="Arial"/>
                <w:sz w:val="24"/>
                <w:szCs w:val="24"/>
              </w:rPr>
            </w:pPr>
            <w:r>
              <w:rPr>
                <w:rFonts w:ascii="Arial" w:hAnsi="Arial"/>
                <w:sz w:val="24"/>
                <w:szCs w:val="24"/>
              </w:rPr>
              <w:t>A</w:t>
            </w:r>
          </w:p>
        </w:tc>
        <w:tc>
          <w:tcPr>
            <w:tcW w:w="0" w:type="auto"/>
            <w:hideMark/>
          </w:tcPr>
          <w:p w14:paraId="1A03084B" w14:textId="77777777" w:rsidR="00BA6D4C" w:rsidRDefault="00CE0412">
            <w:pPr>
              <w:spacing w:line="360" w:lineRule="auto"/>
              <w:rPr>
                <w:rFonts w:ascii="Arial" w:hAnsi="Arial"/>
                <w:sz w:val="24"/>
                <w:szCs w:val="24"/>
              </w:rPr>
            </w:pPr>
            <w:r>
              <w:rPr>
                <w:rFonts w:ascii="Arial" w:hAnsi="Arial"/>
                <w:sz w:val="24"/>
                <w:szCs w:val="24"/>
              </w:rPr>
              <w:t>14.7</w:t>
            </w:r>
          </w:p>
        </w:tc>
        <w:tc>
          <w:tcPr>
            <w:tcW w:w="0" w:type="auto"/>
            <w:hideMark/>
          </w:tcPr>
          <w:p w14:paraId="0161E29E" w14:textId="77777777" w:rsidR="00BA6D4C" w:rsidRDefault="00CE0412">
            <w:pPr>
              <w:spacing w:line="360" w:lineRule="auto"/>
              <w:rPr>
                <w:rFonts w:ascii="Arial" w:hAnsi="Arial"/>
                <w:sz w:val="24"/>
                <w:szCs w:val="24"/>
              </w:rPr>
            </w:pPr>
            <w:r>
              <w:rPr>
                <w:rFonts w:ascii="Arial" w:hAnsi="Arial"/>
                <w:sz w:val="24"/>
                <w:szCs w:val="24"/>
              </w:rPr>
              <w:t>Interpolation using NPV = 0</w:t>
            </w:r>
          </w:p>
        </w:tc>
      </w:tr>
      <w:tr w:rsidR="00BA6D4C" w14:paraId="3AC90235" w14:textId="77777777">
        <w:trPr>
          <w:trHeight w:val="337"/>
        </w:trPr>
        <w:tc>
          <w:tcPr>
            <w:tcW w:w="0" w:type="auto"/>
            <w:hideMark/>
          </w:tcPr>
          <w:p w14:paraId="53FDE4B2" w14:textId="77777777" w:rsidR="00BA6D4C" w:rsidRDefault="00CE0412">
            <w:pPr>
              <w:spacing w:line="360" w:lineRule="auto"/>
              <w:rPr>
                <w:rFonts w:ascii="Arial" w:hAnsi="Arial"/>
                <w:sz w:val="24"/>
                <w:szCs w:val="24"/>
              </w:rPr>
            </w:pPr>
            <w:r>
              <w:rPr>
                <w:rFonts w:ascii="Arial" w:hAnsi="Arial"/>
                <w:sz w:val="24"/>
                <w:szCs w:val="24"/>
              </w:rPr>
              <w:t>B</w:t>
            </w:r>
          </w:p>
        </w:tc>
        <w:tc>
          <w:tcPr>
            <w:tcW w:w="0" w:type="auto"/>
            <w:hideMark/>
          </w:tcPr>
          <w:p w14:paraId="4E3B657B" w14:textId="77777777" w:rsidR="00BA6D4C" w:rsidRDefault="00CE0412">
            <w:pPr>
              <w:spacing w:line="360" w:lineRule="auto"/>
              <w:rPr>
                <w:rFonts w:ascii="Arial" w:hAnsi="Arial"/>
                <w:sz w:val="24"/>
                <w:szCs w:val="24"/>
              </w:rPr>
            </w:pPr>
            <w:r>
              <w:rPr>
                <w:rFonts w:ascii="Arial" w:hAnsi="Arial"/>
                <w:sz w:val="24"/>
                <w:szCs w:val="24"/>
              </w:rPr>
              <w:t>9.6</w:t>
            </w:r>
          </w:p>
        </w:tc>
        <w:tc>
          <w:tcPr>
            <w:tcW w:w="0" w:type="auto"/>
            <w:hideMark/>
          </w:tcPr>
          <w:p w14:paraId="57B0F58D" w14:textId="77777777" w:rsidR="00BA6D4C" w:rsidRDefault="00CE0412">
            <w:pPr>
              <w:spacing w:line="360" w:lineRule="auto"/>
              <w:rPr>
                <w:rFonts w:ascii="Arial" w:hAnsi="Arial"/>
                <w:sz w:val="24"/>
                <w:szCs w:val="24"/>
              </w:rPr>
            </w:pPr>
            <w:r>
              <w:rPr>
                <w:rFonts w:ascii="Arial" w:hAnsi="Arial"/>
                <w:sz w:val="24"/>
                <w:szCs w:val="24"/>
              </w:rPr>
              <w:t>Interpolation using NPV = 0</w:t>
            </w:r>
          </w:p>
        </w:tc>
      </w:tr>
      <w:tr w:rsidR="00BA6D4C" w14:paraId="25598405" w14:textId="77777777">
        <w:trPr>
          <w:trHeight w:val="337"/>
        </w:trPr>
        <w:tc>
          <w:tcPr>
            <w:tcW w:w="0" w:type="auto"/>
            <w:hideMark/>
          </w:tcPr>
          <w:p w14:paraId="4C6678E1" w14:textId="77777777" w:rsidR="00BA6D4C" w:rsidRDefault="00CE0412">
            <w:pPr>
              <w:spacing w:line="360" w:lineRule="auto"/>
              <w:rPr>
                <w:rFonts w:ascii="Arial" w:hAnsi="Arial"/>
                <w:sz w:val="24"/>
                <w:szCs w:val="24"/>
              </w:rPr>
            </w:pPr>
            <w:r>
              <w:rPr>
                <w:rFonts w:ascii="Arial" w:hAnsi="Arial"/>
                <w:sz w:val="24"/>
                <w:szCs w:val="24"/>
              </w:rPr>
              <w:t>C</w:t>
            </w:r>
          </w:p>
        </w:tc>
        <w:tc>
          <w:tcPr>
            <w:tcW w:w="0" w:type="auto"/>
            <w:hideMark/>
          </w:tcPr>
          <w:p w14:paraId="12383079" w14:textId="77777777" w:rsidR="00BA6D4C" w:rsidRDefault="00CE0412">
            <w:pPr>
              <w:spacing w:line="360" w:lineRule="auto"/>
              <w:rPr>
                <w:rFonts w:ascii="Arial" w:hAnsi="Arial"/>
                <w:sz w:val="24"/>
                <w:szCs w:val="24"/>
              </w:rPr>
            </w:pPr>
            <w:r>
              <w:rPr>
                <w:rFonts w:ascii="Arial" w:hAnsi="Arial"/>
                <w:sz w:val="24"/>
                <w:szCs w:val="24"/>
              </w:rPr>
              <w:t>18.9</w:t>
            </w:r>
          </w:p>
        </w:tc>
        <w:tc>
          <w:tcPr>
            <w:tcW w:w="0" w:type="auto"/>
            <w:hideMark/>
          </w:tcPr>
          <w:p w14:paraId="10A8588B" w14:textId="77777777" w:rsidR="00BA6D4C" w:rsidRDefault="00CE0412">
            <w:pPr>
              <w:spacing w:line="360" w:lineRule="auto"/>
              <w:rPr>
                <w:rFonts w:ascii="Arial" w:hAnsi="Arial"/>
                <w:sz w:val="24"/>
                <w:szCs w:val="24"/>
              </w:rPr>
            </w:pPr>
            <w:r>
              <w:rPr>
                <w:rFonts w:ascii="Arial" w:hAnsi="Arial"/>
                <w:sz w:val="24"/>
                <w:szCs w:val="24"/>
              </w:rPr>
              <w:t>Interpolation using NPV = 0</w:t>
            </w:r>
          </w:p>
        </w:tc>
      </w:tr>
    </w:tbl>
    <w:p w14:paraId="762A7E24" w14:textId="77777777" w:rsidR="00BA6D4C" w:rsidRDefault="00CE0412">
      <w:pPr>
        <w:pStyle w:val="NormalWeb"/>
        <w:spacing w:line="360" w:lineRule="auto"/>
        <w:rPr>
          <w:rFonts w:ascii="Arial" w:hAnsi="Arial" w:cs="Arial"/>
        </w:rPr>
      </w:pPr>
      <w:r>
        <w:rPr>
          <w:rStyle w:val="Strong"/>
          <w:rFonts w:ascii="Arial" w:hAnsi="Arial" w:cs="Arial"/>
        </w:rPr>
        <w:t>Table B6: Capital Rationing Feasibility (£60m Budget)</w:t>
      </w:r>
    </w:p>
    <w:tbl>
      <w:tblPr>
        <w:tblStyle w:val="TableGrid"/>
        <w:tblW w:w="9455" w:type="dxa"/>
        <w:tblLook w:val="04A0" w:firstRow="1" w:lastRow="0" w:firstColumn="1" w:lastColumn="0" w:noHBand="0" w:noVBand="1"/>
      </w:tblPr>
      <w:tblGrid>
        <w:gridCol w:w="3070"/>
        <w:gridCol w:w="3581"/>
        <w:gridCol w:w="2804"/>
      </w:tblGrid>
      <w:tr w:rsidR="00BA6D4C" w14:paraId="1348D15E" w14:textId="77777777">
        <w:trPr>
          <w:trHeight w:val="350"/>
        </w:trPr>
        <w:tc>
          <w:tcPr>
            <w:tcW w:w="0" w:type="auto"/>
            <w:hideMark/>
          </w:tcPr>
          <w:p w14:paraId="57363279" w14:textId="77777777" w:rsidR="00BA6D4C" w:rsidRDefault="00CE0412">
            <w:pPr>
              <w:spacing w:line="360" w:lineRule="auto"/>
              <w:jc w:val="center"/>
              <w:rPr>
                <w:rFonts w:ascii="Arial" w:hAnsi="Arial"/>
                <w:b/>
                <w:bCs/>
                <w:sz w:val="24"/>
                <w:szCs w:val="24"/>
              </w:rPr>
            </w:pPr>
            <w:r>
              <w:rPr>
                <w:rFonts w:ascii="Arial" w:hAnsi="Arial"/>
                <w:b/>
                <w:bCs/>
                <w:sz w:val="24"/>
                <w:szCs w:val="24"/>
              </w:rPr>
              <w:t>Combination</w:t>
            </w:r>
          </w:p>
        </w:tc>
        <w:tc>
          <w:tcPr>
            <w:tcW w:w="0" w:type="auto"/>
            <w:hideMark/>
          </w:tcPr>
          <w:p w14:paraId="553B2E7D" w14:textId="77777777" w:rsidR="00BA6D4C" w:rsidRDefault="00CE0412">
            <w:pPr>
              <w:spacing w:line="360" w:lineRule="auto"/>
              <w:jc w:val="center"/>
              <w:rPr>
                <w:rFonts w:ascii="Arial" w:hAnsi="Arial"/>
                <w:b/>
                <w:bCs/>
                <w:sz w:val="24"/>
                <w:szCs w:val="24"/>
              </w:rPr>
            </w:pPr>
            <w:r>
              <w:rPr>
                <w:rFonts w:ascii="Arial" w:hAnsi="Arial"/>
                <w:b/>
                <w:bCs/>
                <w:sz w:val="24"/>
                <w:szCs w:val="24"/>
              </w:rPr>
              <w:t>Total Cost (£m)</w:t>
            </w:r>
          </w:p>
        </w:tc>
        <w:tc>
          <w:tcPr>
            <w:tcW w:w="0" w:type="auto"/>
            <w:hideMark/>
          </w:tcPr>
          <w:p w14:paraId="5A7345C7" w14:textId="77777777" w:rsidR="00BA6D4C" w:rsidRDefault="00CE0412">
            <w:pPr>
              <w:spacing w:line="360" w:lineRule="auto"/>
              <w:jc w:val="center"/>
              <w:rPr>
                <w:rFonts w:ascii="Arial" w:hAnsi="Arial"/>
                <w:b/>
                <w:bCs/>
                <w:sz w:val="24"/>
                <w:szCs w:val="24"/>
              </w:rPr>
            </w:pPr>
            <w:r>
              <w:rPr>
                <w:rFonts w:ascii="Arial" w:hAnsi="Arial"/>
                <w:b/>
                <w:bCs/>
                <w:sz w:val="24"/>
                <w:szCs w:val="24"/>
              </w:rPr>
              <w:t>Feasible?</w:t>
            </w:r>
          </w:p>
        </w:tc>
      </w:tr>
      <w:tr w:rsidR="00BA6D4C" w14:paraId="05B56AF6" w14:textId="77777777">
        <w:trPr>
          <w:trHeight w:val="365"/>
        </w:trPr>
        <w:tc>
          <w:tcPr>
            <w:tcW w:w="0" w:type="auto"/>
            <w:hideMark/>
          </w:tcPr>
          <w:p w14:paraId="6B94B01A" w14:textId="77777777" w:rsidR="00BA6D4C" w:rsidRDefault="00CE0412">
            <w:pPr>
              <w:spacing w:line="360" w:lineRule="auto"/>
              <w:rPr>
                <w:rFonts w:ascii="Arial" w:hAnsi="Arial"/>
                <w:sz w:val="24"/>
                <w:szCs w:val="24"/>
              </w:rPr>
            </w:pPr>
            <w:r>
              <w:rPr>
                <w:rFonts w:ascii="Arial" w:hAnsi="Arial"/>
                <w:sz w:val="24"/>
                <w:szCs w:val="24"/>
              </w:rPr>
              <w:t>A + B</w:t>
            </w:r>
          </w:p>
        </w:tc>
        <w:tc>
          <w:tcPr>
            <w:tcW w:w="0" w:type="auto"/>
            <w:hideMark/>
          </w:tcPr>
          <w:p w14:paraId="4234D50C" w14:textId="77777777" w:rsidR="00BA6D4C" w:rsidRDefault="00CE0412">
            <w:pPr>
              <w:spacing w:line="360" w:lineRule="auto"/>
              <w:rPr>
                <w:rFonts w:ascii="Arial" w:hAnsi="Arial"/>
                <w:sz w:val="24"/>
                <w:szCs w:val="24"/>
              </w:rPr>
            </w:pPr>
            <w:r>
              <w:rPr>
                <w:rFonts w:ascii="Arial" w:hAnsi="Arial"/>
                <w:sz w:val="24"/>
                <w:szCs w:val="24"/>
              </w:rPr>
              <w:t>70</w:t>
            </w:r>
          </w:p>
        </w:tc>
        <w:tc>
          <w:tcPr>
            <w:tcW w:w="0" w:type="auto"/>
            <w:hideMark/>
          </w:tcPr>
          <w:p w14:paraId="7FDE1415" w14:textId="77777777" w:rsidR="00BA6D4C" w:rsidRDefault="00CE0412">
            <w:pPr>
              <w:spacing w:line="360" w:lineRule="auto"/>
              <w:rPr>
                <w:rFonts w:ascii="Arial" w:hAnsi="Arial"/>
                <w:sz w:val="24"/>
                <w:szCs w:val="24"/>
              </w:rPr>
            </w:pPr>
            <w:r>
              <w:rPr>
                <w:rFonts w:ascii="Arial" w:hAnsi="Arial"/>
                <w:sz w:val="24"/>
                <w:szCs w:val="24"/>
              </w:rPr>
              <w:t>Over budget</w:t>
            </w:r>
          </w:p>
        </w:tc>
      </w:tr>
      <w:tr w:rsidR="00BA6D4C" w14:paraId="4E29A788" w14:textId="77777777">
        <w:trPr>
          <w:trHeight w:val="350"/>
        </w:trPr>
        <w:tc>
          <w:tcPr>
            <w:tcW w:w="0" w:type="auto"/>
            <w:hideMark/>
          </w:tcPr>
          <w:p w14:paraId="1BD50043" w14:textId="77777777" w:rsidR="00BA6D4C" w:rsidRDefault="00CE0412">
            <w:pPr>
              <w:spacing w:line="360" w:lineRule="auto"/>
              <w:rPr>
                <w:rFonts w:ascii="Arial" w:hAnsi="Arial"/>
                <w:sz w:val="24"/>
                <w:szCs w:val="24"/>
              </w:rPr>
            </w:pPr>
            <w:r>
              <w:rPr>
                <w:rFonts w:ascii="Arial" w:hAnsi="Arial"/>
                <w:sz w:val="24"/>
                <w:szCs w:val="24"/>
              </w:rPr>
              <w:t>A + C</w:t>
            </w:r>
          </w:p>
        </w:tc>
        <w:tc>
          <w:tcPr>
            <w:tcW w:w="0" w:type="auto"/>
            <w:hideMark/>
          </w:tcPr>
          <w:p w14:paraId="5577DA36" w14:textId="77777777" w:rsidR="00BA6D4C" w:rsidRDefault="00CE0412">
            <w:pPr>
              <w:spacing w:line="360" w:lineRule="auto"/>
              <w:rPr>
                <w:rFonts w:ascii="Arial" w:hAnsi="Arial"/>
                <w:sz w:val="24"/>
                <w:szCs w:val="24"/>
              </w:rPr>
            </w:pPr>
            <w:r>
              <w:rPr>
                <w:rFonts w:ascii="Arial" w:hAnsi="Arial"/>
                <w:sz w:val="24"/>
                <w:szCs w:val="24"/>
              </w:rPr>
              <w:t>90</w:t>
            </w:r>
          </w:p>
        </w:tc>
        <w:tc>
          <w:tcPr>
            <w:tcW w:w="0" w:type="auto"/>
            <w:hideMark/>
          </w:tcPr>
          <w:p w14:paraId="71FB3B95" w14:textId="77777777" w:rsidR="00BA6D4C" w:rsidRDefault="00CE0412">
            <w:pPr>
              <w:spacing w:line="360" w:lineRule="auto"/>
              <w:rPr>
                <w:rFonts w:ascii="Arial" w:hAnsi="Arial"/>
                <w:sz w:val="24"/>
                <w:szCs w:val="24"/>
              </w:rPr>
            </w:pPr>
            <w:r>
              <w:rPr>
                <w:rFonts w:ascii="Arial" w:hAnsi="Arial"/>
                <w:sz w:val="24"/>
                <w:szCs w:val="24"/>
              </w:rPr>
              <w:t>Over budget</w:t>
            </w:r>
          </w:p>
        </w:tc>
      </w:tr>
      <w:tr w:rsidR="00BA6D4C" w14:paraId="300BDC32" w14:textId="77777777">
        <w:trPr>
          <w:trHeight w:val="365"/>
        </w:trPr>
        <w:tc>
          <w:tcPr>
            <w:tcW w:w="0" w:type="auto"/>
            <w:hideMark/>
          </w:tcPr>
          <w:p w14:paraId="2F0CF588" w14:textId="77777777" w:rsidR="00BA6D4C" w:rsidRDefault="00CE0412">
            <w:pPr>
              <w:spacing w:line="360" w:lineRule="auto"/>
              <w:rPr>
                <w:rFonts w:ascii="Arial" w:hAnsi="Arial"/>
                <w:sz w:val="24"/>
                <w:szCs w:val="24"/>
              </w:rPr>
            </w:pPr>
            <w:r>
              <w:rPr>
                <w:rFonts w:ascii="Arial" w:hAnsi="Arial"/>
                <w:sz w:val="24"/>
                <w:szCs w:val="24"/>
              </w:rPr>
              <w:t>B + C</w:t>
            </w:r>
          </w:p>
        </w:tc>
        <w:tc>
          <w:tcPr>
            <w:tcW w:w="0" w:type="auto"/>
            <w:hideMark/>
          </w:tcPr>
          <w:p w14:paraId="1F34362E" w14:textId="77777777" w:rsidR="00BA6D4C" w:rsidRDefault="00CE0412">
            <w:pPr>
              <w:spacing w:line="360" w:lineRule="auto"/>
              <w:rPr>
                <w:rFonts w:ascii="Arial" w:hAnsi="Arial"/>
                <w:sz w:val="24"/>
                <w:szCs w:val="24"/>
              </w:rPr>
            </w:pPr>
            <w:r>
              <w:rPr>
                <w:rFonts w:ascii="Arial" w:hAnsi="Arial"/>
                <w:sz w:val="24"/>
                <w:szCs w:val="24"/>
              </w:rPr>
              <w:t>80</w:t>
            </w:r>
          </w:p>
        </w:tc>
        <w:tc>
          <w:tcPr>
            <w:tcW w:w="0" w:type="auto"/>
            <w:hideMark/>
          </w:tcPr>
          <w:p w14:paraId="310F3909" w14:textId="77777777" w:rsidR="00BA6D4C" w:rsidRDefault="00CE0412">
            <w:pPr>
              <w:spacing w:line="360" w:lineRule="auto"/>
              <w:rPr>
                <w:rFonts w:ascii="Arial" w:hAnsi="Arial"/>
                <w:sz w:val="24"/>
                <w:szCs w:val="24"/>
              </w:rPr>
            </w:pPr>
            <w:r>
              <w:rPr>
                <w:rFonts w:ascii="Arial" w:hAnsi="Arial"/>
                <w:sz w:val="24"/>
                <w:szCs w:val="24"/>
              </w:rPr>
              <w:t>Over budget</w:t>
            </w:r>
          </w:p>
        </w:tc>
      </w:tr>
      <w:tr w:rsidR="00BA6D4C" w14:paraId="380A4DE3" w14:textId="77777777">
        <w:trPr>
          <w:trHeight w:val="350"/>
        </w:trPr>
        <w:tc>
          <w:tcPr>
            <w:tcW w:w="0" w:type="auto"/>
            <w:hideMark/>
          </w:tcPr>
          <w:p w14:paraId="520B4068" w14:textId="77777777" w:rsidR="00BA6D4C" w:rsidRDefault="00CE0412">
            <w:pPr>
              <w:spacing w:line="360" w:lineRule="auto"/>
              <w:rPr>
                <w:rFonts w:ascii="Arial" w:hAnsi="Arial"/>
                <w:sz w:val="24"/>
                <w:szCs w:val="24"/>
              </w:rPr>
            </w:pPr>
            <w:r>
              <w:rPr>
                <w:rFonts w:ascii="Arial" w:hAnsi="Arial"/>
                <w:sz w:val="24"/>
                <w:szCs w:val="24"/>
              </w:rPr>
              <w:t>Only A</w:t>
            </w:r>
          </w:p>
        </w:tc>
        <w:tc>
          <w:tcPr>
            <w:tcW w:w="0" w:type="auto"/>
            <w:hideMark/>
          </w:tcPr>
          <w:p w14:paraId="14B2B23F" w14:textId="77777777" w:rsidR="00BA6D4C" w:rsidRDefault="00CE0412">
            <w:pPr>
              <w:spacing w:line="360" w:lineRule="auto"/>
              <w:rPr>
                <w:rFonts w:ascii="Arial" w:hAnsi="Arial"/>
                <w:sz w:val="24"/>
                <w:szCs w:val="24"/>
              </w:rPr>
            </w:pPr>
            <w:r>
              <w:rPr>
                <w:rFonts w:ascii="Arial" w:hAnsi="Arial"/>
                <w:sz w:val="24"/>
                <w:szCs w:val="24"/>
              </w:rPr>
              <w:t>40</w:t>
            </w:r>
          </w:p>
        </w:tc>
        <w:tc>
          <w:tcPr>
            <w:tcW w:w="0" w:type="auto"/>
            <w:hideMark/>
          </w:tcPr>
          <w:p w14:paraId="266CD3E9" w14:textId="77777777" w:rsidR="00BA6D4C" w:rsidRDefault="00CE0412">
            <w:pPr>
              <w:spacing w:line="360" w:lineRule="auto"/>
              <w:rPr>
                <w:rFonts w:ascii="Arial" w:hAnsi="Arial"/>
                <w:sz w:val="24"/>
                <w:szCs w:val="24"/>
              </w:rPr>
            </w:pPr>
            <w:r>
              <w:rPr>
                <w:rFonts w:ascii="Arial" w:hAnsi="Arial"/>
                <w:sz w:val="24"/>
                <w:szCs w:val="24"/>
              </w:rPr>
              <w:t>Feasible</w:t>
            </w:r>
          </w:p>
        </w:tc>
      </w:tr>
      <w:tr w:rsidR="00BA6D4C" w14:paraId="256E63FF" w14:textId="77777777">
        <w:trPr>
          <w:trHeight w:val="365"/>
        </w:trPr>
        <w:tc>
          <w:tcPr>
            <w:tcW w:w="0" w:type="auto"/>
            <w:hideMark/>
          </w:tcPr>
          <w:p w14:paraId="7E5AD8CD" w14:textId="77777777" w:rsidR="00BA6D4C" w:rsidRDefault="00CE0412">
            <w:pPr>
              <w:spacing w:line="360" w:lineRule="auto"/>
              <w:rPr>
                <w:rFonts w:ascii="Arial" w:hAnsi="Arial"/>
                <w:sz w:val="24"/>
                <w:szCs w:val="24"/>
              </w:rPr>
            </w:pPr>
            <w:r>
              <w:rPr>
                <w:rFonts w:ascii="Arial" w:hAnsi="Arial"/>
                <w:sz w:val="24"/>
                <w:szCs w:val="24"/>
              </w:rPr>
              <w:t>Only B</w:t>
            </w:r>
          </w:p>
        </w:tc>
        <w:tc>
          <w:tcPr>
            <w:tcW w:w="0" w:type="auto"/>
            <w:hideMark/>
          </w:tcPr>
          <w:p w14:paraId="7E3C1A6B" w14:textId="77777777" w:rsidR="00BA6D4C" w:rsidRDefault="00CE0412">
            <w:pPr>
              <w:spacing w:line="360" w:lineRule="auto"/>
              <w:rPr>
                <w:rFonts w:ascii="Arial" w:hAnsi="Arial"/>
                <w:sz w:val="24"/>
                <w:szCs w:val="24"/>
              </w:rPr>
            </w:pPr>
            <w:r>
              <w:rPr>
                <w:rFonts w:ascii="Arial" w:hAnsi="Arial"/>
                <w:sz w:val="24"/>
                <w:szCs w:val="24"/>
              </w:rPr>
              <w:t>30</w:t>
            </w:r>
          </w:p>
        </w:tc>
        <w:tc>
          <w:tcPr>
            <w:tcW w:w="0" w:type="auto"/>
            <w:hideMark/>
          </w:tcPr>
          <w:p w14:paraId="62CE7514" w14:textId="77777777" w:rsidR="00BA6D4C" w:rsidRDefault="00CE0412">
            <w:pPr>
              <w:spacing w:line="360" w:lineRule="auto"/>
              <w:rPr>
                <w:rFonts w:ascii="Arial" w:hAnsi="Arial"/>
                <w:sz w:val="24"/>
                <w:szCs w:val="24"/>
              </w:rPr>
            </w:pPr>
            <w:r>
              <w:rPr>
                <w:rFonts w:ascii="Arial" w:hAnsi="Arial"/>
                <w:sz w:val="24"/>
                <w:szCs w:val="24"/>
              </w:rPr>
              <w:t>Feasible</w:t>
            </w:r>
          </w:p>
        </w:tc>
      </w:tr>
      <w:tr w:rsidR="00BA6D4C" w14:paraId="597BC872" w14:textId="77777777">
        <w:trPr>
          <w:trHeight w:val="365"/>
        </w:trPr>
        <w:tc>
          <w:tcPr>
            <w:tcW w:w="0" w:type="auto"/>
            <w:hideMark/>
          </w:tcPr>
          <w:p w14:paraId="16FEFE6A" w14:textId="77777777" w:rsidR="00BA6D4C" w:rsidRDefault="00CE0412">
            <w:pPr>
              <w:spacing w:line="360" w:lineRule="auto"/>
              <w:rPr>
                <w:rFonts w:ascii="Arial" w:hAnsi="Arial"/>
                <w:sz w:val="24"/>
                <w:szCs w:val="24"/>
              </w:rPr>
            </w:pPr>
            <w:r>
              <w:rPr>
                <w:rFonts w:ascii="Arial" w:hAnsi="Arial"/>
                <w:sz w:val="24"/>
                <w:szCs w:val="24"/>
              </w:rPr>
              <w:t>Only C</w:t>
            </w:r>
          </w:p>
        </w:tc>
        <w:tc>
          <w:tcPr>
            <w:tcW w:w="0" w:type="auto"/>
            <w:hideMark/>
          </w:tcPr>
          <w:p w14:paraId="4F72D4A4" w14:textId="77777777" w:rsidR="00BA6D4C" w:rsidRDefault="00CE0412">
            <w:pPr>
              <w:spacing w:line="360" w:lineRule="auto"/>
              <w:rPr>
                <w:rFonts w:ascii="Arial" w:hAnsi="Arial"/>
                <w:sz w:val="24"/>
                <w:szCs w:val="24"/>
              </w:rPr>
            </w:pPr>
            <w:r>
              <w:rPr>
                <w:rFonts w:ascii="Arial" w:hAnsi="Arial"/>
                <w:sz w:val="24"/>
                <w:szCs w:val="24"/>
              </w:rPr>
              <w:t>50</w:t>
            </w:r>
          </w:p>
        </w:tc>
        <w:tc>
          <w:tcPr>
            <w:tcW w:w="0" w:type="auto"/>
            <w:hideMark/>
          </w:tcPr>
          <w:p w14:paraId="035470E6" w14:textId="77777777" w:rsidR="00BA6D4C" w:rsidRDefault="00CE0412">
            <w:pPr>
              <w:spacing w:line="360" w:lineRule="auto"/>
              <w:rPr>
                <w:rFonts w:ascii="Arial" w:hAnsi="Arial"/>
                <w:sz w:val="24"/>
                <w:szCs w:val="24"/>
              </w:rPr>
            </w:pPr>
            <w:r>
              <w:rPr>
                <w:rFonts w:ascii="Arial" w:hAnsi="Arial"/>
                <w:sz w:val="24"/>
                <w:szCs w:val="24"/>
              </w:rPr>
              <w:t>Feasible</w:t>
            </w:r>
          </w:p>
        </w:tc>
      </w:tr>
    </w:tbl>
    <w:p w14:paraId="7CC5B3A6" w14:textId="77777777" w:rsidR="00BA6D4C" w:rsidRDefault="00CE0412">
      <w:pPr>
        <w:pStyle w:val="NormalWeb"/>
        <w:spacing w:line="360" w:lineRule="auto"/>
        <w:rPr>
          <w:rFonts w:ascii="Arial" w:hAnsi="Arial" w:cs="Arial"/>
        </w:rPr>
      </w:pPr>
      <w:r>
        <w:rPr>
          <w:rStyle w:val="Strong"/>
          <w:rFonts w:ascii="Arial" w:hAnsi="Arial" w:cs="Arial"/>
        </w:rPr>
        <w:t>Optimal Investment Choice:</w:t>
      </w:r>
      <w:r>
        <w:rPr>
          <w:rFonts w:ascii="Arial" w:hAnsi="Arial" w:cs="Arial"/>
        </w:rPr>
        <w:t xml:space="preserve"> </w:t>
      </w:r>
      <w:r>
        <w:rPr>
          <w:rStyle w:val="Strong"/>
          <w:rFonts w:ascii="Arial" w:hAnsi="Arial" w:cs="Arial"/>
        </w:rPr>
        <w:t>Project C</w:t>
      </w:r>
      <w:r>
        <w:rPr>
          <w:rFonts w:ascii="Arial" w:hAnsi="Arial" w:cs="Arial"/>
        </w:rPr>
        <w:t>, as it maximizes NPV, IRR, and PI while fitting within the capital constraint.</w:t>
      </w:r>
    </w:p>
    <w:p w14:paraId="4789F046" w14:textId="77777777" w:rsidR="00CD55B6" w:rsidRDefault="00CD55B6" w:rsidP="00CD55B6">
      <w:pPr>
        <w:spacing w:before="100" w:beforeAutospacing="1" w:after="100" w:afterAutospacing="1" w:line="360" w:lineRule="auto"/>
        <w:jc w:val="both"/>
        <w:outlineLvl w:val="2"/>
        <w:rPr>
          <w:rFonts w:asciiTheme="minorBidi" w:eastAsia="Times New Roman" w:hAnsiTheme="minorBidi"/>
          <w:b/>
          <w:bCs/>
          <w:sz w:val="24"/>
          <w:szCs w:val="24"/>
        </w:rPr>
      </w:pPr>
      <w:bookmarkStart w:id="14" w:name="_Toc214316827"/>
      <w:r w:rsidRPr="00A95683">
        <w:rPr>
          <w:rFonts w:asciiTheme="minorBidi" w:eastAsia="Times New Roman" w:hAnsiTheme="minorBidi"/>
          <w:b/>
          <w:bCs/>
          <w:sz w:val="24"/>
          <w:szCs w:val="24"/>
        </w:rPr>
        <w:t>Appendix C: Figure Placeholders</w:t>
      </w:r>
      <w:bookmarkEnd w:id="14"/>
    </w:p>
    <w:p w14:paraId="11D388C5" w14:textId="77777777" w:rsidR="00CD55B6" w:rsidRPr="00A95683" w:rsidRDefault="00CD55B6" w:rsidP="00CD55B6">
      <w:pPr>
        <w:spacing w:before="100" w:beforeAutospacing="1" w:after="100" w:afterAutospacing="1" w:line="360" w:lineRule="auto"/>
        <w:jc w:val="center"/>
        <w:outlineLvl w:val="2"/>
        <w:rPr>
          <w:rFonts w:asciiTheme="minorBidi" w:eastAsia="Times New Roman" w:hAnsiTheme="minorBidi"/>
          <w:b/>
          <w:bCs/>
          <w:sz w:val="24"/>
          <w:szCs w:val="24"/>
        </w:rPr>
      </w:pPr>
      <w:r w:rsidRPr="00736801">
        <w:rPr>
          <w:rFonts w:asciiTheme="minorBidi" w:eastAsia="Times New Roman" w:hAnsiTheme="minorBidi"/>
          <w:b/>
          <w:bCs/>
          <w:noProof/>
          <w:sz w:val="24"/>
          <w:szCs w:val="24"/>
        </w:rPr>
        <w:lastRenderedPageBreak/>
        <w:drawing>
          <wp:inline distT="0" distB="0" distL="0" distR="0" wp14:anchorId="7DD42A9A" wp14:editId="4F734CDB">
            <wp:extent cx="2860964" cy="1634661"/>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862633" cy="1635615"/>
                    </a:xfrm>
                    <a:prstGeom prst="rect">
                      <a:avLst/>
                    </a:prstGeom>
                  </pic:spPr>
                </pic:pic>
              </a:graphicData>
            </a:graphic>
          </wp:inline>
        </w:drawing>
      </w:r>
    </w:p>
    <w:p w14:paraId="7B32B126" w14:textId="77777777" w:rsidR="00CD55B6" w:rsidRDefault="00CD55B6" w:rsidP="00CD55B6">
      <w:pPr>
        <w:spacing w:before="100" w:beforeAutospacing="1" w:after="100" w:afterAutospacing="1" w:line="360" w:lineRule="auto"/>
        <w:jc w:val="center"/>
        <w:rPr>
          <w:rFonts w:asciiTheme="minorBidi" w:eastAsia="Times New Roman" w:hAnsiTheme="minorBidi"/>
          <w:sz w:val="24"/>
          <w:szCs w:val="24"/>
        </w:rPr>
      </w:pPr>
      <w:r w:rsidRPr="00A95683">
        <w:rPr>
          <w:rFonts w:asciiTheme="minorBidi" w:eastAsia="Times New Roman" w:hAnsiTheme="minorBidi"/>
          <w:b/>
          <w:bCs/>
          <w:sz w:val="24"/>
          <w:szCs w:val="24"/>
        </w:rPr>
        <w:t>Figure 1:</w:t>
      </w:r>
      <w:r w:rsidRPr="00A95683">
        <w:rPr>
          <w:rFonts w:asciiTheme="minorBidi" w:eastAsia="Times New Roman" w:hAnsiTheme="minorBidi"/>
          <w:sz w:val="24"/>
          <w:szCs w:val="24"/>
        </w:rPr>
        <w:t xml:space="preserve"> Net Sales Trend (2020–2024)</w:t>
      </w:r>
    </w:p>
    <w:p w14:paraId="62C2F8DC" w14:textId="77777777" w:rsidR="00CD55B6" w:rsidRPr="00A95683" w:rsidRDefault="00CD55B6" w:rsidP="00CD55B6">
      <w:pPr>
        <w:spacing w:before="100" w:beforeAutospacing="1" w:after="100" w:afterAutospacing="1" w:line="360" w:lineRule="auto"/>
        <w:jc w:val="center"/>
        <w:rPr>
          <w:rFonts w:asciiTheme="minorBidi" w:eastAsia="Times New Roman" w:hAnsiTheme="minorBidi"/>
          <w:sz w:val="24"/>
          <w:szCs w:val="24"/>
        </w:rPr>
      </w:pPr>
      <w:r w:rsidRPr="00736801">
        <w:rPr>
          <w:rFonts w:asciiTheme="minorBidi" w:eastAsia="Times New Roman" w:hAnsiTheme="minorBidi"/>
          <w:noProof/>
          <w:sz w:val="24"/>
          <w:szCs w:val="24"/>
        </w:rPr>
        <w:drawing>
          <wp:inline distT="0" distB="0" distL="0" distR="0" wp14:anchorId="15585197" wp14:editId="783ED423">
            <wp:extent cx="2969738" cy="170410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70871" cy="1704759"/>
                    </a:xfrm>
                    <a:prstGeom prst="rect">
                      <a:avLst/>
                    </a:prstGeom>
                  </pic:spPr>
                </pic:pic>
              </a:graphicData>
            </a:graphic>
          </wp:inline>
        </w:drawing>
      </w:r>
    </w:p>
    <w:p w14:paraId="6CD20C13" w14:textId="77777777" w:rsidR="00CD55B6" w:rsidRDefault="00CD55B6" w:rsidP="00CD55B6">
      <w:pPr>
        <w:spacing w:before="100" w:beforeAutospacing="1" w:after="100" w:afterAutospacing="1" w:line="360" w:lineRule="auto"/>
        <w:jc w:val="center"/>
        <w:rPr>
          <w:rFonts w:asciiTheme="minorBidi" w:eastAsia="Times New Roman" w:hAnsiTheme="minorBidi"/>
          <w:sz w:val="24"/>
          <w:szCs w:val="24"/>
        </w:rPr>
      </w:pPr>
      <w:r w:rsidRPr="00A95683">
        <w:rPr>
          <w:rFonts w:asciiTheme="minorBidi" w:eastAsia="Times New Roman" w:hAnsiTheme="minorBidi"/>
          <w:b/>
          <w:bCs/>
          <w:sz w:val="24"/>
          <w:szCs w:val="24"/>
        </w:rPr>
        <w:t>Figure 2:</w:t>
      </w:r>
      <w:r w:rsidRPr="00A95683">
        <w:rPr>
          <w:rFonts w:asciiTheme="minorBidi" w:eastAsia="Times New Roman" w:hAnsiTheme="minorBidi"/>
          <w:sz w:val="24"/>
          <w:szCs w:val="24"/>
        </w:rPr>
        <w:t xml:space="preserve"> Operating Income Trend</w:t>
      </w:r>
    </w:p>
    <w:p w14:paraId="51263448" w14:textId="77777777" w:rsidR="00CD55B6" w:rsidRPr="00A95683" w:rsidRDefault="00CD55B6" w:rsidP="00CD55B6">
      <w:pPr>
        <w:spacing w:before="100" w:beforeAutospacing="1" w:after="100" w:afterAutospacing="1" w:line="360" w:lineRule="auto"/>
        <w:jc w:val="center"/>
        <w:rPr>
          <w:rFonts w:asciiTheme="minorBidi" w:eastAsia="Times New Roman" w:hAnsiTheme="minorBidi"/>
          <w:sz w:val="24"/>
          <w:szCs w:val="24"/>
        </w:rPr>
      </w:pPr>
      <w:r w:rsidRPr="00736801">
        <w:rPr>
          <w:rFonts w:asciiTheme="minorBidi" w:eastAsia="Times New Roman" w:hAnsiTheme="minorBidi"/>
          <w:noProof/>
          <w:sz w:val="24"/>
          <w:szCs w:val="24"/>
        </w:rPr>
        <w:drawing>
          <wp:inline distT="0" distB="0" distL="0" distR="0" wp14:anchorId="1D5D2B18" wp14:editId="1A4AEC3F">
            <wp:extent cx="2969031" cy="175509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70654" cy="1756051"/>
                    </a:xfrm>
                    <a:prstGeom prst="rect">
                      <a:avLst/>
                    </a:prstGeom>
                  </pic:spPr>
                </pic:pic>
              </a:graphicData>
            </a:graphic>
          </wp:inline>
        </w:drawing>
      </w:r>
    </w:p>
    <w:p w14:paraId="41B07FE7" w14:textId="77777777" w:rsidR="00CD55B6" w:rsidRDefault="00CD55B6" w:rsidP="00CD55B6">
      <w:pPr>
        <w:spacing w:before="100" w:beforeAutospacing="1" w:after="100" w:afterAutospacing="1" w:line="360" w:lineRule="auto"/>
        <w:jc w:val="center"/>
        <w:rPr>
          <w:rFonts w:asciiTheme="minorBidi" w:eastAsia="Times New Roman" w:hAnsiTheme="minorBidi"/>
          <w:sz w:val="24"/>
          <w:szCs w:val="24"/>
        </w:rPr>
      </w:pPr>
      <w:r w:rsidRPr="00A95683">
        <w:rPr>
          <w:rFonts w:asciiTheme="minorBidi" w:eastAsia="Times New Roman" w:hAnsiTheme="minorBidi"/>
          <w:b/>
          <w:bCs/>
          <w:sz w:val="24"/>
          <w:szCs w:val="24"/>
        </w:rPr>
        <w:t>Figure 3:</w:t>
      </w:r>
      <w:r w:rsidRPr="00A95683">
        <w:rPr>
          <w:rFonts w:asciiTheme="minorBidi" w:eastAsia="Times New Roman" w:hAnsiTheme="minorBidi"/>
          <w:sz w:val="24"/>
          <w:szCs w:val="24"/>
        </w:rPr>
        <w:t xml:space="preserve"> Liquidity Ratio Trend</w:t>
      </w:r>
    </w:p>
    <w:p w14:paraId="2B27A147" w14:textId="77777777" w:rsidR="00CD55B6" w:rsidRPr="00A95683" w:rsidRDefault="00CD55B6" w:rsidP="00CD55B6">
      <w:pPr>
        <w:spacing w:before="100" w:beforeAutospacing="1" w:after="100" w:afterAutospacing="1" w:line="360" w:lineRule="auto"/>
        <w:jc w:val="center"/>
        <w:rPr>
          <w:rFonts w:asciiTheme="minorBidi" w:eastAsia="Times New Roman" w:hAnsiTheme="minorBidi"/>
          <w:sz w:val="24"/>
          <w:szCs w:val="24"/>
        </w:rPr>
      </w:pPr>
      <w:r w:rsidRPr="00736801">
        <w:rPr>
          <w:rFonts w:asciiTheme="minorBidi" w:eastAsia="Times New Roman" w:hAnsiTheme="minorBidi"/>
          <w:noProof/>
          <w:sz w:val="24"/>
          <w:szCs w:val="24"/>
        </w:rPr>
        <w:lastRenderedPageBreak/>
        <w:drawing>
          <wp:inline distT="0" distB="0" distL="0" distR="0" wp14:anchorId="4755ED06" wp14:editId="4672EB9A">
            <wp:extent cx="2964873" cy="1724124"/>
            <wp:effectExtent l="0" t="0" r="698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64873" cy="1724124"/>
                    </a:xfrm>
                    <a:prstGeom prst="rect">
                      <a:avLst/>
                    </a:prstGeom>
                  </pic:spPr>
                </pic:pic>
              </a:graphicData>
            </a:graphic>
          </wp:inline>
        </w:drawing>
      </w:r>
    </w:p>
    <w:p w14:paraId="2A62EAE6" w14:textId="77777777" w:rsidR="00CD55B6" w:rsidRDefault="00CD55B6" w:rsidP="00CD55B6">
      <w:pPr>
        <w:spacing w:before="100" w:beforeAutospacing="1" w:after="100" w:afterAutospacing="1" w:line="360" w:lineRule="auto"/>
        <w:jc w:val="center"/>
        <w:rPr>
          <w:rFonts w:asciiTheme="minorBidi" w:eastAsia="Times New Roman" w:hAnsiTheme="minorBidi"/>
          <w:sz w:val="24"/>
          <w:szCs w:val="24"/>
        </w:rPr>
      </w:pPr>
      <w:r w:rsidRPr="00A95683">
        <w:rPr>
          <w:rFonts w:asciiTheme="minorBidi" w:eastAsia="Times New Roman" w:hAnsiTheme="minorBidi"/>
          <w:b/>
          <w:bCs/>
          <w:sz w:val="24"/>
          <w:szCs w:val="24"/>
        </w:rPr>
        <w:t>Figure 4:</w:t>
      </w:r>
      <w:r w:rsidRPr="00A95683">
        <w:rPr>
          <w:rFonts w:asciiTheme="minorBidi" w:eastAsia="Times New Roman" w:hAnsiTheme="minorBidi"/>
          <w:sz w:val="24"/>
          <w:szCs w:val="24"/>
        </w:rPr>
        <w:t xml:space="preserve"> CCC Trend</w:t>
      </w:r>
    </w:p>
    <w:p w14:paraId="63B01307" w14:textId="3F847543" w:rsidR="00CD55B6" w:rsidRPr="00A95683" w:rsidRDefault="00CD55B6" w:rsidP="00E13686">
      <w:pPr>
        <w:spacing w:before="100" w:beforeAutospacing="1" w:after="100" w:afterAutospacing="1" w:line="360" w:lineRule="auto"/>
        <w:rPr>
          <w:rFonts w:asciiTheme="minorBidi" w:eastAsia="Times New Roman" w:hAnsiTheme="minorBidi"/>
          <w:sz w:val="24"/>
          <w:szCs w:val="24"/>
        </w:rPr>
      </w:pPr>
    </w:p>
    <w:p w14:paraId="74D6E62E" w14:textId="77777777" w:rsidR="00CD55B6" w:rsidRPr="00A95683" w:rsidRDefault="00CD55B6" w:rsidP="00CD55B6">
      <w:pPr>
        <w:spacing w:line="360" w:lineRule="auto"/>
        <w:jc w:val="both"/>
        <w:rPr>
          <w:rFonts w:asciiTheme="minorBidi" w:hAnsiTheme="minorBidi"/>
          <w:sz w:val="24"/>
          <w:szCs w:val="24"/>
        </w:rPr>
      </w:pPr>
    </w:p>
    <w:p w14:paraId="73496F77" w14:textId="77777777" w:rsidR="00BA6D4C" w:rsidRDefault="00BA6D4C" w:rsidP="00CD55B6">
      <w:pPr>
        <w:spacing w:before="100" w:beforeAutospacing="1" w:after="100" w:afterAutospacing="1" w:line="360" w:lineRule="auto"/>
        <w:jc w:val="both"/>
        <w:outlineLvl w:val="2"/>
        <w:rPr>
          <w:rFonts w:ascii="Arial" w:hAnsi="Arial"/>
          <w:sz w:val="24"/>
          <w:szCs w:val="24"/>
        </w:rPr>
      </w:pPr>
    </w:p>
    <w:sectPr w:rsidR="00BA6D4C">
      <w:footerReference w:type="defaul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29CF3" w14:textId="77777777" w:rsidR="008038F9" w:rsidRDefault="008038F9">
      <w:pPr>
        <w:spacing w:after="0" w:line="240" w:lineRule="auto"/>
      </w:pPr>
      <w:r>
        <w:separator/>
      </w:r>
    </w:p>
  </w:endnote>
  <w:endnote w:type="continuationSeparator" w:id="0">
    <w:p w14:paraId="0016B97A" w14:textId="77777777" w:rsidR="008038F9" w:rsidRDefault="00803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229761"/>
      <w:docPartObj>
        <w:docPartGallery w:val="Page Numbers (Bottom of Page)"/>
        <w:docPartUnique/>
      </w:docPartObj>
    </w:sdtPr>
    <w:sdtEndPr>
      <w:rPr>
        <w:noProof/>
      </w:rPr>
    </w:sdtEndPr>
    <w:sdtContent>
      <w:p w14:paraId="30302C47" w14:textId="2EED71D5" w:rsidR="00A214F4" w:rsidRDefault="00A214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9BEDA5" w14:textId="77777777" w:rsidR="00A214F4" w:rsidRDefault="00A21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E1350" w14:textId="77777777" w:rsidR="008038F9" w:rsidRDefault="008038F9">
      <w:pPr>
        <w:spacing w:after="0" w:line="240" w:lineRule="auto"/>
      </w:pPr>
      <w:r>
        <w:separator/>
      </w:r>
    </w:p>
  </w:footnote>
  <w:footnote w:type="continuationSeparator" w:id="0">
    <w:p w14:paraId="6070A059" w14:textId="77777777" w:rsidR="008038F9" w:rsidRDefault="00803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7DA80CC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multilevel"/>
    <w:tmpl w:val="AE80F0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0BAAD85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D7A2236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8668D74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181C437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hybridMultilevel"/>
    <w:tmpl w:val="FD0A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multilevel"/>
    <w:tmpl w:val="2AF4187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multilevel"/>
    <w:tmpl w:val="C77EC2B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A"/>
    <w:multiLevelType w:val="multilevel"/>
    <w:tmpl w:val="FB742CE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B"/>
    <w:multiLevelType w:val="multilevel"/>
    <w:tmpl w:val="D76C095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35AE9F4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1660D10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A044D54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D77C6C0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575E18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4F2E0AA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71347A0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14C41DA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14"/>
    <w:multiLevelType w:val="multilevel"/>
    <w:tmpl w:val="729A023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multilevel"/>
    <w:tmpl w:val="87F8967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1" w15:restartNumberingAfterBreak="0">
    <w:nsid w:val="00000016"/>
    <w:multiLevelType w:val="multilevel"/>
    <w:tmpl w:val="E94CC5D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7"/>
    <w:multiLevelType w:val="multilevel"/>
    <w:tmpl w:val="F148142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18"/>
    <w:multiLevelType w:val="multilevel"/>
    <w:tmpl w:val="117ADFC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4" w15:restartNumberingAfterBreak="0">
    <w:nsid w:val="00000019"/>
    <w:multiLevelType w:val="multilevel"/>
    <w:tmpl w:val="A57C094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A"/>
    <w:multiLevelType w:val="multilevel"/>
    <w:tmpl w:val="463CEB6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B"/>
    <w:multiLevelType w:val="multilevel"/>
    <w:tmpl w:val="A0D46D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7" w15:restartNumberingAfterBreak="0">
    <w:nsid w:val="0000001C"/>
    <w:multiLevelType w:val="multilevel"/>
    <w:tmpl w:val="6E98328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01D"/>
    <w:multiLevelType w:val="multilevel"/>
    <w:tmpl w:val="7BD89C0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0000001E"/>
    <w:multiLevelType w:val="multilevel"/>
    <w:tmpl w:val="61D2360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000001F"/>
    <w:multiLevelType w:val="multilevel"/>
    <w:tmpl w:val="D472B3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00000020"/>
    <w:multiLevelType w:val="multilevel"/>
    <w:tmpl w:val="BDF6323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 w15:restartNumberingAfterBreak="0">
    <w:nsid w:val="7572620B"/>
    <w:multiLevelType w:val="multilevel"/>
    <w:tmpl w:val="4C2CAF5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16cid:durableId="1603952426">
    <w:abstractNumId w:val="6"/>
  </w:num>
  <w:num w:numId="2" w16cid:durableId="153493017">
    <w:abstractNumId w:val="30"/>
  </w:num>
  <w:num w:numId="3" w16cid:durableId="1788696806">
    <w:abstractNumId w:val="0"/>
  </w:num>
  <w:num w:numId="4" w16cid:durableId="866799777">
    <w:abstractNumId w:val="18"/>
  </w:num>
  <w:num w:numId="5" w16cid:durableId="528222989">
    <w:abstractNumId w:val="8"/>
  </w:num>
  <w:num w:numId="6" w16cid:durableId="877595171">
    <w:abstractNumId w:val="3"/>
  </w:num>
  <w:num w:numId="7" w16cid:durableId="2045136936">
    <w:abstractNumId w:val="21"/>
  </w:num>
  <w:num w:numId="8" w16cid:durableId="673266269">
    <w:abstractNumId w:val="31"/>
  </w:num>
  <w:num w:numId="9" w16cid:durableId="2041474167">
    <w:abstractNumId w:val="11"/>
  </w:num>
  <w:num w:numId="10" w16cid:durableId="9261206">
    <w:abstractNumId w:val="20"/>
  </w:num>
  <w:num w:numId="11" w16cid:durableId="925109278">
    <w:abstractNumId w:val="9"/>
  </w:num>
  <w:num w:numId="12" w16cid:durableId="339505333">
    <w:abstractNumId w:val="17"/>
  </w:num>
  <w:num w:numId="13" w16cid:durableId="1093892062">
    <w:abstractNumId w:val="13"/>
  </w:num>
  <w:num w:numId="14" w16cid:durableId="1803426278">
    <w:abstractNumId w:val="12"/>
  </w:num>
  <w:num w:numId="15" w16cid:durableId="2127190505">
    <w:abstractNumId w:val="1"/>
  </w:num>
  <w:num w:numId="16" w16cid:durableId="979503693">
    <w:abstractNumId w:val="27"/>
  </w:num>
  <w:num w:numId="17" w16cid:durableId="631449270">
    <w:abstractNumId w:val="24"/>
  </w:num>
  <w:num w:numId="18" w16cid:durableId="832334757">
    <w:abstractNumId w:val="10"/>
  </w:num>
  <w:num w:numId="19" w16cid:durableId="1148471193">
    <w:abstractNumId w:val="23"/>
  </w:num>
  <w:num w:numId="20" w16cid:durableId="1841235282">
    <w:abstractNumId w:val="14"/>
  </w:num>
  <w:num w:numId="21" w16cid:durableId="1392580407">
    <w:abstractNumId w:val="4"/>
  </w:num>
  <w:num w:numId="22" w16cid:durableId="743332566">
    <w:abstractNumId w:val="2"/>
  </w:num>
  <w:num w:numId="23" w16cid:durableId="860969">
    <w:abstractNumId w:val="32"/>
  </w:num>
  <w:num w:numId="24" w16cid:durableId="693968538">
    <w:abstractNumId w:val="5"/>
  </w:num>
  <w:num w:numId="25" w16cid:durableId="103616616">
    <w:abstractNumId w:val="7"/>
  </w:num>
  <w:num w:numId="26" w16cid:durableId="1762946524">
    <w:abstractNumId w:val="22"/>
  </w:num>
  <w:num w:numId="27" w16cid:durableId="644898933">
    <w:abstractNumId w:val="29"/>
  </w:num>
  <w:num w:numId="28" w16cid:durableId="1334650503">
    <w:abstractNumId w:val="16"/>
  </w:num>
  <w:num w:numId="29" w16cid:durableId="557934948">
    <w:abstractNumId w:val="19"/>
  </w:num>
  <w:num w:numId="30" w16cid:durableId="1971551001">
    <w:abstractNumId w:val="15"/>
  </w:num>
  <w:num w:numId="31" w16cid:durableId="2008366266">
    <w:abstractNumId w:val="25"/>
  </w:num>
  <w:num w:numId="32" w16cid:durableId="877668691">
    <w:abstractNumId w:val="26"/>
  </w:num>
  <w:num w:numId="33" w16cid:durableId="168239587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D4C"/>
    <w:rsid w:val="000962AB"/>
    <w:rsid w:val="002B065D"/>
    <w:rsid w:val="002C7C20"/>
    <w:rsid w:val="003172ED"/>
    <w:rsid w:val="003A159E"/>
    <w:rsid w:val="003E6F91"/>
    <w:rsid w:val="004B5D04"/>
    <w:rsid w:val="00720566"/>
    <w:rsid w:val="007A48CD"/>
    <w:rsid w:val="008038F9"/>
    <w:rsid w:val="009026C2"/>
    <w:rsid w:val="00A214F4"/>
    <w:rsid w:val="00B91FE8"/>
    <w:rsid w:val="00BA6D4C"/>
    <w:rsid w:val="00C77EE7"/>
    <w:rsid w:val="00CD55B6"/>
    <w:rsid w:val="00CE0412"/>
    <w:rsid w:val="00E13686"/>
    <w:rsid w:val="00F14034"/>
    <w:rsid w:val="00F62E91"/>
    <w:rsid w:val="00F91239"/>
    <w:rsid w:val="00F932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91FA"/>
  <w15:docId w15:val="{4C1F0594-0D26-4A13-BCA2-7F3DB8C07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qFormat/>
    <w:pPr>
      <w:keepNext/>
      <w:keepLines/>
      <w:spacing w:before="200" w:after="0"/>
      <w:outlineLvl w:val="3"/>
    </w:pPr>
    <w:rPr>
      <w:rFonts w:ascii="Cambria" w:eastAsia="SimSu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paragraph" w:styleId="TOCHeading">
    <w:name w:val="TOC Heading"/>
    <w:basedOn w:val="Heading1"/>
    <w:next w:val="Normal"/>
    <w:uiPriority w:val="39"/>
    <w:qFormat/>
    <w:pPr>
      <w:keepNext/>
      <w:keepLines/>
      <w:spacing w:before="480" w:beforeAutospacing="0" w:after="0" w:afterAutospacing="0" w:line="276" w:lineRule="auto"/>
      <w:outlineLvl w:val="9"/>
    </w:pPr>
    <w:rPr>
      <w:rFonts w:ascii="Cambria" w:eastAsia="SimSun" w:hAnsi="Cambria"/>
      <w:color w:val="365F91"/>
      <w:kern w:val="0"/>
      <w:sz w:val="28"/>
      <w:szCs w:val="28"/>
      <w:lang w:eastAsia="ja-JP"/>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pPr>
      <w:ind w:left="720"/>
      <w:contextualSpacing/>
    </w:pPr>
  </w:style>
  <w:style w:type="paragraph" w:styleId="Header">
    <w:name w:val="header"/>
    <w:basedOn w:val="Normal"/>
    <w:link w:val="HeaderChar"/>
    <w:pPr>
      <w:tabs>
        <w:tab w:val="center" w:pos="4680"/>
        <w:tab w:val="right" w:pos="9360"/>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4Char">
    <w:name w:val="Heading 4 Char"/>
    <w:basedOn w:val="DefaultParagraphFont"/>
    <w:link w:val="Heading4"/>
    <w:uiPriority w:val="9"/>
    <w:rPr>
      <w:rFonts w:ascii="Cambria" w:eastAsia="SimSun" w:hAnsi="Cambria" w:cs="Times New Roman"/>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4AC1C-427C-4484-99DA-93062B4EB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34</Pages>
  <Words>6880</Words>
  <Characters>39216</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Vaishnavi Patil</cp:lastModifiedBy>
  <cp:revision>9</cp:revision>
  <dcterms:created xsi:type="dcterms:W3CDTF">2025-11-18T17:48:00Z</dcterms:created>
  <dcterms:modified xsi:type="dcterms:W3CDTF">2025-11-24T02:33:00Z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820bb22a982948e88a57eda9527baa96</vt:lpwstr>
  </property>
</Properties>
</file>