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E2BE516"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000621B1" w:rsidRPr="000621B1">
        <w:t xml:space="preserve"> </w:t>
      </w:r>
      <w:r w:rsidR="000621B1" w:rsidRPr="000621B1">
        <w:rPr>
          <w:rFonts w:ascii="Arial" w:hAnsi="Arial" w:cs="Arial"/>
          <w:b/>
          <w:bCs/>
          <w:sz w:val="28"/>
          <w:szCs w:val="24"/>
          <w:lang w:val="en-GB"/>
        </w:rPr>
        <w:t>Md Sonet Islam</w:t>
      </w:r>
      <w:r w:rsidRPr="002E5287">
        <w:rPr>
          <w:rFonts w:ascii="Arial" w:hAnsi="Arial" w:cs="Arial"/>
          <w:sz w:val="28"/>
          <w:szCs w:val="24"/>
          <w:lang w:val="en-GB"/>
        </w:rPr>
        <w:t xml:space="preserve"> </w:t>
      </w:r>
    </w:p>
    <w:p w14:paraId="697ED246" w14:textId="3A1A4FE1"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0621B1" w:rsidRPr="000621B1">
        <w:t xml:space="preserve"> </w:t>
      </w:r>
      <w:r w:rsidR="002D1910">
        <w:rPr>
          <w:rFonts w:ascii="Arial" w:hAnsi="Arial" w:cs="Arial"/>
          <w:b/>
          <w:bCs/>
          <w:sz w:val="28"/>
          <w:szCs w:val="24"/>
          <w:lang w:val="en-GB"/>
        </w:rPr>
        <w:t>2504936</w:t>
      </w:r>
    </w:p>
    <w:p w14:paraId="4155A697" w14:textId="7E31837D"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008A0DD0" w:rsidRPr="008A0DD0">
        <w:rPr>
          <w:rFonts w:ascii="Arial" w:hAnsi="Arial" w:cs="Arial"/>
          <w:b/>
          <w:bCs/>
          <w:sz w:val="28"/>
          <w:szCs w:val="24"/>
          <w:lang w:val="en-GB"/>
        </w:rPr>
        <w:t>LCMB703</w:t>
      </w:r>
      <w:r w:rsidR="00B60E67">
        <w:rPr>
          <w:rFonts w:ascii="Arial" w:hAnsi="Arial" w:cs="Arial"/>
          <w:b/>
          <w:bCs/>
          <w:sz w:val="28"/>
          <w:szCs w:val="24"/>
          <w:lang w:val="en-GB"/>
        </w:rPr>
        <w:t>7</w:t>
      </w:r>
    </w:p>
    <w:p w14:paraId="0DE4BC8F" w14:textId="7BBEEC78" w:rsidR="00A31DCA" w:rsidRPr="008A0DD0" w:rsidRDefault="00A31DCA" w:rsidP="008A0DD0">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008A0DD0" w:rsidRPr="008A0DD0">
        <w:rPr>
          <w:rFonts w:ascii="Arial" w:hAnsi="Arial" w:cs="Arial"/>
          <w:b/>
          <w:bCs/>
          <w:sz w:val="28"/>
          <w:szCs w:val="24"/>
          <w:lang w:val="en-GB"/>
        </w:rPr>
        <w:t>Business Development Proposal</w:t>
      </w:r>
    </w:p>
    <w:p w14:paraId="1B227B4A" w14:textId="1FA5CCAA"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r w:rsidR="007B7149" w:rsidRPr="007B7149">
        <w:rPr>
          <w:rFonts w:ascii="Arial" w:hAnsi="Arial" w:cs="Arial"/>
          <w:b/>
          <w:bCs/>
          <w:sz w:val="28"/>
          <w:szCs w:val="24"/>
          <w:lang w:val="en-GB"/>
        </w:rPr>
        <w:t>Developing a Premium Specialty Coffee Shop through Ethical Sourcing and Sustainable Supply Chain Management to Enhance Competitive Advantage in the UK</w:t>
      </w:r>
      <w:r w:rsidR="004439A2" w:rsidRPr="004439A2">
        <w:rPr>
          <w:rFonts w:ascii="Arial" w:hAnsi="Arial" w:cs="Arial"/>
          <w:b/>
          <w:bCs/>
          <w:sz w:val="28"/>
          <w:szCs w:val="24"/>
          <w:lang w:val="en-GB"/>
        </w:rPr>
        <w:t>"</w:t>
      </w:r>
    </w:p>
    <w:p w14:paraId="09021493" w14:textId="0117E2F0" w:rsidR="006E29E7" w:rsidRPr="000621B1" w:rsidRDefault="006E29E7" w:rsidP="000621B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000621B1" w:rsidRPr="000621B1">
        <w:rPr>
          <w:rFonts w:ascii="Arial" w:hAnsi="Arial" w:cs="Arial"/>
          <w:b/>
          <w:bCs/>
          <w:sz w:val="28"/>
          <w:szCs w:val="24"/>
          <w:lang w:val="en-GB"/>
        </w:rPr>
        <w:t>Balendran Kandasamy</w:t>
      </w:r>
    </w:p>
    <w:p w14:paraId="1D38A85A" w14:textId="48902FC3"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6D16A244"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0621B1" w:rsidRPr="000621B1">
        <w:rPr>
          <w:rFonts w:ascii="Arial" w:hAnsi="Arial" w:cs="Arial"/>
          <w:bCs/>
          <w:sz w:val="24"/>
          <w:szCs w:val="24"/>
          <w:lang w:val="en-GB"/>
        </w:rPr>
        <w:t>Md Sonet Islam</w:t>
      </w:r>
      <w:r w:rsidR="000621B1" w:rsidRPr="002E5287">
        <w:rPr>
          <w:rFonts w:ascii="Arial" w:hAnsi="Arial" w:cs="Arial"/>
          <w:sz w:val="28"/>
          <w:szCs w:val="24"/>
          <w:lang w:val="en-GB"/>
        </w:rPr>
        <w:t xml:space="preserve"> </w:t>
      </w:r>
      <w:r w:rsidRPr="002E5287">
        <w:rPr>
          <w:rFonts w:ascii="Arial" w:hAnsi="Arial" w:cs="Arial"/>
          <w:sz w:val="24"/>
          <w:szCs w:val="24"/>
          <w:lang w:val="en-GB"/>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0B62EE2"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E358F4" w:rsidRPr="00E358F4">
        <w:rPr>
          <w:rFonts w:ascii="Arial" w:hAnsi="Arial" w:cs="Arial"/>
          <w:bCs/>
          <w:sz w:val="24"/>
          <w:szCs w:val="24"/>
          <w:lang w:val="en-GB"/>
        </w:rPr>
        <w:t>Md Sonet Islam</w:t>
      </w:r>
    </w:p>
    <w:p w14:paraId="504C1E27" w14:textId="16466DCD"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2FFFDAE0" w14:textId="35E965CB" w:rsidR="00416524" w:rsidRPr="00416524" w:rsidRDefault="00A31DCA" w:rsidP="00416524">
          <w:pPr>
            <w:pStyle w:val="TOC1"/>
            <w:tabs>
              <w:tab w:val="right" w:leader="dot" w:pos="9016"/>
            </w:tabs>
            <w:jc w:val="both"/>
            <w:rPr>
              <w:rFonts w:ascii="Arial" w:eastAsiaTheme="minorEastAsia" w:hAnsi="Arial" w:cs="Arial"/>
              <w:noProof/>
              <w:sz w:val="24"/>
              <w:szCs w:val="24"/>
              <w:lang w:val="en-GB" w:eastAsia="en-GB"/>
            </w:rPr>
          </w:pPr>
          <w:r w:rsidRPr="0092558D">
            <w:rPr>
              <w:rFonts w:ascii="Arial" w:hAnsi="Arial" w:cs="Arial"/>
              <w:bCs/>
              <w:noProof/>
              <w:sz w:val="24"/>
              <w:szCs w:val="24"/>
              <w:lang w:val="en-GB"/>
            </w:rPr>
            <w:fldChar w:fldCharType="begin"/>
          </w:r>
          <w:r w:rsidRPr="0092558D">
            <w:rPr>
              <w:rFonts w:ascii="Arial" w:hAnsi="Arial" w:cs="Arial"/>
              <w:bCs/>
              <w:noProof/>
              <w:sz w:val="24"/>
              <w:szCs w:val="24"/>
              <w:lang w:val="en-GB"/>
            </w:rPr>
            <w:instrText xml:space="preserve"> TOC \o "1-3" \h \z \u </w:instrText>
          </w:r>
          <w:r w:rsidRPr="0092558D">
            <w:rPr>
              <w:rFonts w:ascii="Arial" w:hAnsi="Arial" w:cs="Arial"/>
              <w:bCs/>
              <w:noProof/>
              <w:sz w:val="24"/>
              <w:szCs w:val="24"/>
              <w:lang w:val="en-GB"/>
            </w:rPr>
            <w:fldChar w:fldCharType="separate"/>
          </w:r>
          <w:hyperlink w:anchor="_Toc239695325" w:history="1">
            <w:r w:rsidR="00416524" w:rsidRPr="00416524">
              <w:rPr>
                <w:rStyle w:val="Hyperlink"/>
                <w:rFonts w:ascii="Arial" w:eastAsia="Times New Roman" w:hAnsi="Arial" w:cs="Arial"/>
                <w:noProof/>
                <w:sz w:val="24"/>
                <w:szCs w:val="24"/>
                <w:lang w:val="en-GB" w:eastAsia="en-GB"/>
              </w:rPr>
              <w:t>Chapter 1: Introduction</w:t>
            </w:r>
            <w:r w:rsidR="00416524" w:rsidRPr="00416524">
              <w:rPr>
                <w:rFonts w:ascii="Arial" w:hAnsi="Arial" w:cs="Arial"/>
                <w:noProof/>
                <w:webHidden/>
                <w:sz w:val="24"/>
                <w:szCs w:val="24"/>
              </w:rPr>
              <w:tab/>
            </w:r>
            <w:r w:rsidR="00416524" w:rsidRPr="00416524">
              <w:rPr>
                <w:rFonts w:ascii="Arial" w:hAnsi="Arial" w:cs="Arial"/>
                <w:noProof/>
                <w:webHidden/>
                <w:sz w:val="24"/>
                <w:szCs w:val="24"/>
              </w:rPr>
              <w:fldChar w:fldCharType="begin"/>
            </w:r>
            <w:r w:rsidR="00416524" w:rsidRPr="00416524">
              <w:rPr>
                <w:rFonts w:ascii="Arial" w:hAnsi="Arial" w:cs="Arial"/>
                <w:noProof/>
                <w:webHidden/>
                <w:sz w:val="24"/>
                <w:szCs w:val="24"/>
              </w:rPr>
              <w:instrText xml:space="preserve"> PAGEREF _Toc239695325 \h </w:instrText>
            </w:r>
            <w:r w:rsidR="00416524" w:rsidRPr="00416524">
              <w:rPr>
                <w:rFonts w:ascii="Arial" w:hAnsi="Arial" w:cs="Arial"/>
                <w:noProof/>
                <w:webHidden/>
                <w:sz w:val="24"/>
                <w:szCs w:val="24"/>
              </w:rPr>
            </w:r>
            <w:r w:rsidR="00416524" w:rsidRPr="00416524">
              <w:rPr>
                <w:rFonts w:ascii="Arial" w:hAnsi="Arial" w:cs="Arial"/>
                <w:noProof/>
                <w:webHidden/>
                <w:sz w:val="24"/>
                <w:szCs w:val="24"/>
              </w:rPr>
              <w:fldChar w:fldCharType="separate"/>
            </w:r>
            <w:r w:rsidR="00416524" w:rsidRPr="00416524">
              <w:rPr>
                <w:rFonts w:ascii="Arial" w:hAnsi="Arial" w:cs="Arial"/>
                <w:noProof/>
                <w:webHidden/>
                <w:sz w:val="24"/>
                <w:szCs w:val="24"/>
              </w:rPr>
              <w:t>1</w:t>
            </w:r>
            <w:r w:rsidR="00416524" w:rsidRPr="00416524">
              <w:rPr>
                <w:rFonts w:ascii="Arial" w:hAnsi="Arial" w:cs="Arial"/>
                <w:noProof/>
                <w:webHidden/>
                <w:sz w:val="24"/>
                <w:szCs w:val="24"/>
              </w:rPr>
              <w:fldChar w:fldCharType="end"/>
            </w:r>
          </w:hyperlink>
        </w:p>
        <w:p w14:paraId="057C88C3" w14:textId="34C2C393"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26" w:history="1">
            <w:r w:rsidRPr="00416524">
              <w:rPr>
                <w:rStyle w:val="Hyperlink"/>
                <w:rFonts w:ascii="Arial" w:eastAsia="Times New Roman" w:hAnsi="Arial" w:cs="Arial"/>
                <w:noProof/>
                <w:sz w:val="24"/>
                <w:szCs w:val="24"/>
                <w:lang w:val="en-GB" w:eastAsia="en-GB"/>
              </w:rPr>
              <w:t>1.1 Background and Context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_Toc239695326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w:t>
            </w:r>
            <w:r w:rsidRPr="00416524">
              <w:rPr>
                <w:rFonts w:ascii="Arial" w:hAnsi="Arial" w:cs="Arial"/>
                <w:noProof/>
                <w:webHidden/>
                <w:sz w:val="24"/>
                <w:szCs w:val="24"/>
              </w:rPr>
              <w:fldChar w:fldCharType="end"/>
            </w:r>
          </w:hyperlink>
        </w:p>
        <w:p w14:paraId="15975BF6" w14:textId="2A8AD7B1"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27" w:history="1">
            <w:r w:rsidRPr="00416524">
              <w:rPr>
                <w:rStyle w:val="Hyperlink"/>
                <w:rFonts w:ascii="Arial" w:eastAsia="Times New Roman" w:hAnsi="Arial" w:cs="Arial"/>
                <w:noProof/>
                <w:sz w:val="24"/>
                <w:szCs w:val="24"/>
                <w:lang w:val="en-GB" w:eastAsia="en-GB"/>
              </w:rPr>
              <w:t>1.2 Problem or Opportunity Statement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_Toc239695327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w:t>
            </w:r>
            <w:r w:rsidRPr="00416524">
              <w:rPr>
                <w:rFonts w:ascii="Arial" w:hAnsi="Arial" w:cs="Arial"/>
                <w:noProof/>
                <w:webHidden/>
                <w:sz w:val="24"/>
                <w:szCs w:val="24"/>
              </w:rPr>
              <w:fldChar w:fldCharType="end"/>
            </w:r>
          </w:hyperlink>
        </w:p>
        <w:p w14:paraId="6AAFABE7" w14:textId="38C4CF7E"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28" w:history="1">
            <w:r w:rsidRPr="00416524">
              <w:rPr>
                <w:rStyle w:val="Hyperlink"/>
                <w:rFonts w:ascii="Arial" w:eastAsia="Times New Roman" w:hAnsi="Arial" w:cs="Arial"/>
                <w:noProof/>
                <w:sz w:val="24"/>
                <w:szCs w:val="24"/>
                <w:lang w:val="en-GB" w:eastAsia="en-GB"/>
              </w:rPr>
              <w:t>1.3 Initial Observation of Demand</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_Toc239695328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w:t>
            </w:r>
            <w:r w:rsidRPr="00416524">
              <w:rPr>
                <w:rFonts w:ascii="Arial" w:hAnsi="Arial" w:cs="Arial"/>
                <w:noProof/>
                <w:webHidden/>
                <w:sz w:val="24"/>
                <w:szCs w:val="24"/>
              </w:rPr>
              <w:fldChar w:fldCharType="end"/>
            </w:r>
          </w:hyperlink>
        </w:p>
        <w:p w14:paraId="7062BE51" w14:textId="5DDAA0ED"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29" w:history="1">
            <w:r w:rsidRPr="00416524">
              <w:rPr>
                <w:rStyle w:val="Hyperlink"/>
                <w:rFonts w:ascii="Arial" w:eastAsia="Times New Roman" w:hAnsi="Arial" w:cs="Arial"/>
                <w:noProof/>
                <w:sz w:val="24"/>
                <w:szCs w:val="24"/>
                <w:lang w:val="en-GB" w:eastAsia="en-GB"/>
              </w:rPr>
              <w:t>1.4 Aim, Objectives and Research Questions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_Toc239695329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w:t>
            </w:r>
            <w:r w:rsidRPr="00416524">
              <w:rPr>
                <w:rFonts w:ascii="Arial" w:hAnsi="Arial" w:cs="Arial"/>
                <w:noProof/>
                <w:webHidden/>
                <w:sz w:val="24"/>
                <w:szCs w:val="24"/>
              </w:rPr>
              <w:fldChar w:fldCharType="end"/>
            </w:r>
          </w:hyperlink>
        </w:p>
        <w:p w14:paraId="172C1DDE" w14:textId="6FBB1555"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30" w:history="1">
            <w:r w:rsidRPr="00416524">
              <w:rPr>
                <w:rStyle w:val="Hyperlink"/>
                <w:rFonts w:ascii="Arial" w:eastAsia="Times New Roman" w:hAnsi="Arial" w:cs="Arial"/>
                <w:noProof/>
                <w:sz w:val="24"/>
                <w:szCs w:val="24"/>
                <w:lang w:val="en-GB" w:eastAsia="en-GB"/>
              </w:rPr>
              <w:t>Aim</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w:t>
            </w:r>
            <w:r w:rsidRPr="00416524">
              <w:rPr>
                <w:rFonts w:ascii="Arial" w:hAnsi="Arial" w:cs="Arial"/>
                <w:noProof/>
                <w:webHidden/>
                <w:sz w:val="24"/>
                <w:szCs w:val="24"/>
              </w:rPr>
              <w:fldChar w:fldCharType="end"/>
            </w:r>
          </w:hyperlink>
        </w:p>
        <w:p w14:paraId="12828B9E" w14:textId="1FD736BF"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31" w:history="1">
            <w:r w:rsidRPr="00416524">
              <w:rPr>
                <w:rStyle w:val="Hyperlink"/>
                <w:rFonts w:ascii="Arial" w:eastAsia="Times New Roman" w:hAnsi="Arial" w:cs="Arial"/>
                <w:noProof/>
                <w:sz w:val="24"/>
                <w:szCs w:val="24"/>
                <w:lang w:val="en-GB" w:eastAsia="en-GB"/>
              </w:rPr>
              <w:t>Objectives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w:t>
            </w:r>
            <w:r w:rsidRPr="00416524">
              <w:rPr>
                <w:rFonts w:ascii="Arial" w:hAnsi="Arial" w:cs="Arial"/>
                <w:noProof/>
                <w:webHidden/>
                <w:sz w:val="24"/>
                <w:szCs w:val="24"/>
              </w:rPr>
              <w:fldChar w:fldCharType="end"/>
            </w:r>
          </w:hyperlink>
        </w:p>
        <w:p w14:paraId="3532E831" w14:textId="0E2BDEF1"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32" w:history="1">
            <w:r w:rsidRPr="00416524">
              <w:rPr>
                <w:rStyle w:val="Hyperlink"/>
                <w:rFonts w:ascii="Arial" w:eastAsia="Times New Roman" w:hAnsi="Arial" w:cs="Arial"/>
                <w:noProof/>
                <w:sz w:val="24"/>
                <w:szCs w:val="24"/>
                <w:lang w:val="en-GB" w:eastAsia="en-GB"/>
              </w:rPr>
              <w:t>Research Questions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w:t>
            </w:r>
            <w:r w:rsidRPr="00416524">
              <w:rPr>
                <w:rFonts w:ascii="Arial" w:hAnsi="Arial" w:cs="Arial"/>
                <w:noProof/>
                <w:webHidden/>
                <w:sz w:val="24"/>
                <w:szCs w:val="24"/>
              </w:rPr>
              <w:fldChar w:fldCharType="end"/>
            </w:r>
          </w:hyperlink>
        </w:p>
        <w:p w14:paraId="7D0277B0" w14:textId="0DF1616C"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33" w:history="1">
            <w:r w:rsidRPr="00416524">
              <w:rPr>
                <w:rStyle w:val="Hyperlink"/>
                <w:rFonts w:ascii="Arial" w:eastAsia="Times New Roman" w:hAnsi="Arial" w:cs="Arial"/>
                <w:noProof/>
                <w:sz w:val="24"/>
                <w:szCs w:val="24"/>
                <w:lang w:val="en-GB" w:eastAsia="en-GB"/>
              </w:rPr>
              <w:t>1.5 Scope and Boundaries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w:t>
            </w:r>
            <w:r w:rsidRPr="00416524">
              <w:rPr>
                <w:rFonts w:ascii="Arial" w:hAnsi="Arial" w:cs="Arial"/>
                <w:noProof/>
                <w:webHidden/>
                <w:sz w:val="24"/>
                <w:szCs w:val="24"/>
              </w:rPr>
              <w:fldChar w:fldCharType="end"/>
            </w:r>
          </w:hyperlink>
        </w:p>
        <w:p w14:paraId="62B69D9C" w14:textId="4CB02BE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34" w:history="1">
            <w:r w:rsidRPr="00416524">
              <w:rPr>
                <w:rStyle w:val="Hyperlink"/>
                <w:rFonts w:ascii="Arial" w:eastAsia="Times New Roman" w:hAnsi="Arial" w:cs="Arial"/>
                <w:noProof/>
                <w:sz w:val="24"/>
                <w:szCs w:val="24"/>
                <w:lang w:val="en-GB" w:eastAsia="en-GB"/>
              </w:rPr>
              <w:t>1.6 Structure of the Report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w:t>
            </w:r>
            <w:r w:rsidRPr="00416524">
              <w:rPr>
                <w:rFonts w:ascii="Arial" w:hAnsi="Arial" w:cs="Arial"/>
                <w:noProof/>
                <w:webHidden/>
                <w:sz w:val="24"/>
                <w:szCs w:val="24"/>
              </w:rPr>
              <w:fldChar w:fldCharType="end"/>
            </w:r>
          </w:hyperlink>
        </w:p>
        <w:p w14:paraId="12C9617C" w14:textId="556A5562"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35" w:history="1">
            <w:r w:rsidRPr="00416524">
              <w:rPr>
                <w:rStyle w:val="Hyperlink"/>
                <w:rFonts w:ascii="Arial" w:eastAsia="Times New Roman" w:hAnsi="Arial" w:cs="Arial"/>
                <w:noProof/>
                <w:sz w:val="24"/>
                <w:szCs w:val="24"/>
                <w:lang w:val="en-GB" w:eastAsia="en-GB"/>
              </w:rPr>
              <w:t>Chapter 2: Company Description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w:t>
            </w:r>
            <w:r w:rsidRPr="00416524">
              <w:rPr>
                <w:rFonts w:ascii="Arial" w:hAnsi="Arial" w:cs="Arial"/>
                <w:noProof/>
                <w:webHidden/>
                <w:sz w:val="24"/>
                <w:szCs w:val="24"/>
              </w:rPr>
              <w:fldChar w:fldCharType="end"/>
            </w:r>
          </w:hyperlink>
        </w:p>
        <w:p w14:paraId="52AD9688" w14:textId="45AC1AEC"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36" w:history="1">
            <w:r w:rsidRPr="00416524">
              <w:rPr>
                <w:rStyle w:val="Hyperlink"/>
                <w:rFonts w:ascii="Arial" w:eastAsia="Times New Roman" w:hAnsi="Arial" w:cs="Arial"/>
                <w:noProof/>
                <w:sz w:val="24"/>
                <w:szCs w:val="24"/>
                <w:lang w:val="en-GB" w:eastAsia="en-GB"/>
              </w:rPr>
              <w:t>2.1 Business Identity and Legal Structure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w:t>
            </w:r>
            <w:r w:rsidRPr="00416524">
              <w:rPr>
                <w:rFonts w:ascii="Arial" w:hAnsi="Arial" w:cs="Arial"/>
                <w:noProof/>
                <w:webHidden/>
                <w:sz w:val="24"/>
                <w:szCs w:val="24"/>
              </w:rPr>
              <w:fldChar w:fldCharType="end"/>
            </w:r>
          </w:hyperlink>
        </w:p>
        <w:p w14:paraId="6874B9FE" w14:textId="57A47B77"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37" w:history="1">
            <w:r w:rsidRPr="00416524">
              <w:rPr>
                <w:rStyle w:val="Hyperlink"/>
                <w:rFonts w:ascii="Arial" w:eastAsia="Times New Roman" w:hAnsi="Arial" w:cs="Arial"/>
                <w:noProof/>
                <w:sz w:val="24"/>
                <w:szCs w:val="24"/>
                <w:lang w:val="en-GB" w:eastAsia="en-GB"/>
              </w:rPr>
              <w:t>2.2 Product or Service and the Problem Solved</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w:t>
            </w:r>
            <w:r w:rsidRPr="00416524">
              <w:rPr>
                <w:rFonts w:ascii="Arial" w:hAnsi="Arial" w:cs="Arial"/>
                <w:noProof/>
                <w:webHidden/>
                <w:sz w:val="24"/>
                <w:szCs w:val="24"/>
              </w:rPr>
              <w:fldChar w:fldCharType="end"/>
            </w:r>
          </w:hyperlink>
        </w:p>
        <w:p w14:paraId="61103643" w14:textId="13796ED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38" w:history="1">
            <w:r w:rsidRPr="00416524">
              <w:rPr>
                <w:rStyle w:val="Hyperlink"/>
                <w:rFonts w:ascii="Arial" w:eastAsia="Times New Roman" w:hAnsi="Arial" w:cs="Arial"/>
                <w:noProof/>
                <w:sz w:val="24"/>
                <w:szCs w:val="24"/>
                <w:lang w:val="en-GB" w:eastAsia="en-GB"/>
              </w:rPr>
              <w:t>2.3 Founding Idea and Brief History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6</w:t>
            </w:r>
            <w:r w:rsidRPr="00416524">
              <w:rPr>
                <w:rFonts w:ascii="Arial" w:hAnsi="Arial" w:cs="Arial"/>
                <w:noProof/>
                <w:webHidden/>
                <w:sz w:val="24"/>
                <w:szCs w:val="24"/>
              </w:rPr>
              <w:fldChar w:fldCharType="end"/>
            </w:r>
          </w:hyperlink>
        </w:p>
        <w:p w14:paraId="45FEA53F" w14:textId="3884FE0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39" w:history="1">
            <w:r w:rsidRPr="00416524">
              <w:rPr>
                <w:rStyle w:val="Hyperlink"/>
                <w:rFonts w:ascii="Arial" w:eastAsia="Times New Roman" w:hAnsi="Arial" w:cs="Arial"/>
                <w:noProof/>
                <w:sz w:val="24"/>
                <w:szCs w:val="24"/>
                <w:lang w:val="en-GB" w:eastAsia="en-GB"/>
              </w:rPr>
              <w:t>2.4 Mission, Vision and Values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_Toc239695339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6</w:t>
            </w:r>
            <w:r w:rsidRPr="00416524">
              <w:rPr>
                <w:rFonts w:ascii="Arial" w:hAnsi="Arial" w:cs="Arial"/>
                <w:noProof/>
                <w:webHidden/>
                <w:sz w:val="24"/>
                <w:szCs w:val="24"/>
              </w:rPr>
              <w:fldChar w:fldCharType="end"/>
            </w:r>
          </w:hyperlink>
        </w:p>
        <w:p w14:paraId="551633DB" w14:textId="3F3C541B"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40" w:history="1">
            <w:r w:rsidRPr="00416524">
              <w:rPr>
                <w:rStyle w:val="Hyperlink"/>
                <w:rFonts w:ascii="Arial" w:eastAsia="Times New Roman" w:hAnsi="Arial" w:cs="Arial"/>
                <w:noProof/>
                <w:sz w:val="24"/>
                <w:szCs w:val="24"/>
                <w:lang w:val="en-GB" w:eastAsia="en-GB"/>
              </w:rPr>
              <w:t>Mission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6</w:t>
            </w:r>
            <w:r w:rsidRPr="00416524">
              <w:rPr>
                <w:rFonts w:ascii="Arial" w:hAnsi="Arial" w:cs="Arial"/>
                <w:noProof/>
                <w:webHidden/>
                <w:sz w:val="24"/>
                <w:szCs w:val="24"/>
              </w:rPr>
              <w:fldChar w:fldCharType="end"/>
            </w:r>
          </w:hyperlink>
        </w:p>
        <w:p w14:paraId="4FD04DD2" w14:textId="57763C10"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41" w:history="1">
            <w:r w:rsidRPr="00416524">
              <w:rPr>
                <w:rStyle w:val="Hyperlink"/>
                <w:rFonts w:ascii="Arial" w:eastAsia="Times New Roman" w:hAnsi="Arial" w:cs="Arial"/>
                <w:noProof/>
                <w:sz w:val="24"/>
                <w:szCs w:val="24"/>
                <w:lang w:val="en-GB" w:eastAsia="en-GB"/>
              </w:rPr>
              <w:t>Vision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6</w:t>
            </w:r>
            <w:r w:rsidRPr="00416524">
              <w:rPr>
                <w:rFonts w:ascii="Arial" w:hAnsi="Arial" w:cs="Arial"/>
                <w:noProof/>
                <w:webHidden/>
                <w:sz w:val="24"/>
                <w:szCs w:val="24"/>
              </w:rPr>
              <w:fldChar w:fldCharType="end"/>
            </w:r>
          </w:hyperlink>
        </w:p>
        <w:p w14:paraId="05465566" w14:textId="01DB65F9"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2" w:history="1">
            <w:r w:rsidRPr="00416524">
              <w:rPr>
                <w:rStyle w:val="Hyperlink"/>
                <w:rFonts w:ascii="Arial" w:eastAsia="Times New Roman" w:hAnsi="Arial" w:cs="Arial"/>
                <w:noProof/>
                <w:sz w:val="24"/>
                <w:szCs w:val="24"/>
                <w:lang w:val="en-GB" w:eastAsia="en-GB"/>
              </w:rPr>
              <w:t>2.5 Business Objectives and Goals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7</w:t>
            </w:r>
            <w:r w:rsidRPr="00416524">
              <w:rPr>
                <w:rFonts w:ascii="Arial" w:hAnsi="Arial" w:cs="Arial"/>
                <w:noProof/>
                <w:webHidden/>
                <w:sz w:val="24"/>
                <w:szCs w:val="24"/>
              </w:rPr>
              <w:fldChar w:fldCharType="end"/>
            </w:r>
          </w:hyperlink>
        </w:p>
        <w:p w14:paraId="7646D0F1" w14:textId="0164224B"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3" w:history="1">
            <w:r w:rsidRPr="00416524">
              <w:rPr>
                <w:rStyle w:val="Hyperlink"/>
                <w:rFonts w:ascii="Arial" w:eastAsia="Times New Roman" w:hAnsi="Arial" w:cs="Arial"/>
                <w:noProof/>
                <w:sz w:val="24"/>
                <w:szCs w:val="24"/>
                <w:lang w:val="en-GB" w:eastAsia="en-GB"/>
              </w:rPr>
              <w:t>2.6 Alignment with Trends and Opportunity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7</w:t>
            </w:r>
            <w:r w:rsidRPr="00416524">
              <w:rPr>
                <w:rFonts w:ascii="Arial" w:hAnsi="Arial" w:cs="Arial"/>
                <w:noProof/>
                <w:webHidden/>
                <w:sz w:val="24"/>
                <w:szCs w:val="24"/>
              </w:rPr>
              <w:fldChar w:fldCharType="end"/>
            </w:r>
          </w:hyperlink>
        </w:p>
        <w:p w14:paraId="15CA91CF" w14:textId="59ABBA31"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44" w:history="1">
            <w:r w:rsidRPr="00416524">
              <w:rPr>
                <w:rStyle w:val="Hyperlink"/>
                <w:rFonts w:ascii="Arial" w:eastAsia="Times New Roman" w:hAnsi="Arial" w:cs="Arial"/>
                <w:noProof/>
                <w:sz w:val="24"/>
                <w:szCs w:val="24"/>
                <w:lang w:val="en-GB" w:eastAsia="en-GB"/>
              </w:rPr>
              <w:t>Chapter 3: Literature Review</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9</w:t>
            </w:r>
            <w:r w:rsidRPr="00416524">
              <w:rPr>
                <w:rFonts w:ascii="Arial" w:hAnsi="Arial" w:cs="Arial"/>
                <w:noProof/>
                <w:webHidden/>
                <w:sz w:val="24"/>
                <w:szCs w:val="24"/>
              </w:rPr>
              <w:fldChar w:fldCharType="end"/>
            </w:r>
          </w:hyperlink>
        </w:p>
        <w:p w14:paraId="1748672D" w14:textId="67C1287A"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5" w:history="1">
            <w:r w:rsidRPr="00416524">
              <w:rPr>
                <w:rStyle w:val="Hyperlink"/>
                <w:rFonts w:ascii="Arial" w:eastAsia="Times New Roman" w:hAnsi="Arial" w:cs="Arial"/>
                <w:noProof/>
                <w:sz w:val="24"/>
                <w:szCs w:val="24"/>
                <w:lang w:val="en-GB" w:eastAsia="en-GB"/>
              </w:rPr>
              <w:t>3.1 Introduction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9</w:t>
            </w:r>
            <w:r w:rsidRPr="00416524">
              <w:rPr>
                <w:rFonts w:ascii="Arial" w:hAnsi="Arial" w:cs="Arial"/>
                <w:noProof/>
                <w:webHidden/>
                <w:sz w:val="24"/>
                <w:szCs w:val="24"/>
              </w:rPr>
              <w:fldChar w:fldCharType="end"/>
            </w:r>
          </w:hyperlink>
        </w:p>
        <w:p w14:paraId="4FAAECEF" w14:textId="3398A1EA"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6" w:history="1">
            <w:r w:rsidRPr="00416524">
              <w:rPr>
                <w:rStyle w:val="Hyperlink"/>
                <w:rFonts w:ascii="Arial" w:eastAsia="Times New Roman" w:hAnsi="Arial" w:cs="Arial"/>
                <w:noProof/>
                <w:sz w:val="24"/>
                <w:szCs w:val="24"/>
                <w:lang w:val="en-GB" w:eastAsia="en-GB"/>
              </w:rPr>
              <w:t>3.2 Specialty Coffee, Consumer Value and Ethical Consumption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9</w:t>
            </w:r>
            <w:r w:rsidRPr="00416524">
              <w:rPr>
                <w:rFonts w:ascii="Arial" w:hAnsi="Arial" w:cs="Arial"/>
                <w:noProof/>
                <w:webHidden/>
                <w:sz w:val="24"/>
                <w:szCs w:val="24"/>
              </w:rPr>
              <w:fldChar w:fldCharType="end"/>
            </w:r>
          </w:hyperlink>
        </w:p>
        <w:p w14:paraId="6B506084" w14:textId="609CF94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7" w:history="1">
            <w:r w:rsidRPr="00416524">
              <w:rPr>
                <w:rStyle w:val="Hyperlink"/>
                <w:rFonts w:ascii="Arial" w:eastAsia="Times New Roman" w:hAnsi="Arial" w:cs="Arial"/>
                <w:noProof/>
                <w:sz w:val="24"/>
                <w:szCs w:val="24"/>
                <w:lang w:val="en-GB" w:eastAsia="en-GB"/>
              </w:rPr>
              <w:t>3.3 Ethical Sourcing and Sustainable Supply-Chain Management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9</w:t>
            </w:r>
            <w:r w:rsidRPr="00416524">
              <w:rPr>
                <w:rFonts w:ascii="Arial" w:hAnsi="Arial" w:cs="Arial"/>
                <w:noProof/>
                <w:webHidden/>
                <w:sz w:val="24"/>
                <w:szCs w:val="24"/>
              </w:rPr>
              <w:fldChar w:fldCharType="end"/>
            </w:r>
          </w:hyperlink>
        </w:p>
        <w:p w14:paraId="0593A40A" w14:textId="65006703"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8" w:history="1">
            <w:r w:rsidRPr="00416524">
              <w:rPr>
                <w:rStyle w:val="Hyperlink"/>
                <w:rFonts w:ascii="Arial" w:eastAsia="Times New Roman" w:hAnsi="Arial" w:cs="Arial"/>
                <w:noProof/>
                <w:sz w:val="24"/>
                <w:szCs w:val="24"/>
                <w:lang w:val="en-GB" w:eastAsia="en-GB"/>
              </w:rPr>
              <w:t>3.4 Competitive Advantage: Porter and RBV/VRIO</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10</w:t>
            </w:r>
            <w:r w:rsidRPr="00416524">
              <w:rPr>
                <w:rFonts w:ascii="Arial" w:hAnsi="Arial" w:cs="Arial"/>
                <w:noProof/>
                <w:webHidden/>
                <w:sz w:val="24"/>
                <w:szCs w:val="24"/>
              </w:rPr>
              <w:fldChar w:fldCharType="end"/>
            </w:r>
          </w:hyperlink>
        </w:p>
        <w:p w14:paraId="0C08BF52" w14:textId="4DEA7791"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49" w:history="1">
            <w:r w:rsidRPr="00416524">
              <w:rPr>
                <w:rStyle w:val="Hyperlink"/>
                <w:rFonts w:ascii="Arial" w:eastAsia="Times New Roman" w:hAnsi="Arial" w:cs="Arial"/>
                <w:noProof/>
                <w:sz w:val="24"/>
                <w:szCs w:val="24"/>
                <w:lang w:val="en-GB" w:eastAsia="en-GB"/>
              </w:rPr>
              <w:t>3.5 External and Industry Environment: PESTLE and Five Forces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_Toc239695349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10</w:t>
            </w:r>
            <w:r w:rsidRPr="00416524">
              <w:rPr>
                <w:rFonts w:ascii="Arial" w:hAnsi="Arial" w:cs="Arial"/>
                <w:noProof/>
                <w:webHidden/>
                <w:sz w:val="24"/>
                <w:szCs w:val="24"/>
              </w:rPr>
              <w:fldChar w:fldCharType="end"/>
            </w:r>
          </w:hyperlink>
        </w:p>
        <w:p w14:paraId="46A05C4B" w14:textId="18E40E0E"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0" w:history="1">
            <w:r w:rsidRPr="00416524">
              <w:rPr>
                <w:rStyle w:val="Hyperlink"/>
                <w:rFonts w:ascii="Arial" w:eastAsia="Times New Roman" w:hAnsi="Arial" w:cs="Arial"/>
                <w:noProof/>
                <w:sz w:val="24"/>
                <w:szCs w:val="24"/>
                <w:lang w:val="en-GB" w:eastAsia="en-GB"/>
              </w:rPr>
              <w:t>3.6 Value Creation and Sustainability: Value Chain and TBL</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11</w:t>
            </w:r>
            <w:r w:rsidRPr="00416524">
              <w:rPr>
                <w:rFonts w:ascii="Arial" w:hAnsi="Arial" w:cs="Arial"/>
                <w:noProof/>
                <w:webHidden/>
                <w:sz w:val="24"/>
                <w:szCs w:val="24"/>
              </w:rPr>
              <w:fldChar w:fldCharType="end"/>
            </w:r>
          </w:hyperlink>
        </w:p>
        <w:p w14:paraId="1101893C" w14:textId="01E16766"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1" w:history="1">
            <w:r w:rsidRPr="00416524">
              <w:rPr>
                <w:rStyle w:val="Hyperlink"/>
                <w:rFonts w:ascii="Arial" w:eastAsia="Times New Roman" w:hAnsi="Arial" w:cs="Arial"/>
                <w:noProof/>
                <w:sz w:val="24"/>
                <w:szCs w:val="24"/>
                <w:lang w:val="en-GB" w:eastAsia="en-GB"/>
              </w:rPr>
              <w:t>3.7 Customer and Business Model Tools: VPC and BMC</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11</w:t>
            </w:r>
            <w:r w:rsidRPr="00416524">
              <w:rPr>
                <w:rFonts w:ascii="Arial" w:hAnsi="Arial" w:cs="Arial"/>
                <w:noProof/>
                <w:webHidden/>
                <w:sz w:val="24"/>
                <w:szCs w:val="24"/>
              </w:rPr>
              <w:fldChar w:fldCharType="end"/>
            </w:r>
          </w:hyperlink>
        </w:p>
        <w:p w14:paraId="02FA6A10" w14:textId="649F98A0"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2" w:history="1">
            <w:r w:rsidRPr="00416524">
              <w:rPr>
                <w:rStyle w:val="Hyperlink"/>
                <w:rFonts w:ascii="Arial" w:eastAsia="Times New Roman" w:hAnsi="Arial" w:cs="Arial"/>
                <w:noProof/>
                <w:sz w:val="24"/>
                <w:szCs w:val="24"/>
                <w:lang w:val="en-GB" w:eastAsia="en-GB"/>
              </w:rPr>
              <w:t>3.8 Integrated Framework and Research Gap</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12</w:t>
            </w:r>
            <w:r w:rsidRPr="00416524">
              <w:rPr>
                <w:rFonts w:ascii="Arial" w:hAnsi="Arial" w:cs="Arial"/>
                <w:noProof/>
                <w:webHidden/>
                <w:sz w:val="24"/>
                <w:szCs w:val="24"/>
              </w:rPr>
              <w:fldChar w:fldCharType="end"/>
            </w:r>
          </w:hyperlink>
        </w:p>
        <w:p w14:paraId="5BC3A22E" w14:textId="2B26A972"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53" w:history="1">
            <w:r w:rsidRPr="00416524">
              <w:rPr>
                <w:rStyle w:val="Hyperlink"/>
                <w:rFonts w:ascii="Arial" w:eastAsia="Times New Roman" w:hAnsi="Arial" w:cs="Arial"/>
                <w:noProof/>
                <w:sz w:val="24"/>
                <w:szCs w:val="24"/>
                <w:lang w:val="en-GB" w:eastAsia="en-GB"/>
              </w:rPr>
              <w:t>Chapter 4: RESEARCH METHODOLOGY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13</w:t>
            </w:r>
            <w:r w:rsidRPr="00416524">
              <w:rPr>
                <w:rFonts w:ascii="Arial" w:hAnsi="Arial" w:cs="Arial"/>
                <w:noProof/>
                <w:webHidden/>
                <w:sz w:val="24"/>
                <w:szCs w:val="24"/>
              </w:rPr>
              <w:fldChar w:fldCharType="end"/>
            </w:r>
          </w:hyperlink>
        </w:p>
        <w:p w14:paraId="7B31ABA8" w14:textId="69F1249B"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4" w:history="1">
            <w:r w:rsidRPr="00416524">
              <w:rPr>
                <w:rStyle w:val="Hyperlink"/>
                <w:rFonts w:ascii="Arial" w:eastAsia="Times New Roman" w:hAnsi="Arial" w:cs="Arial"/>
                <w:noProof/>
                <w:sz w:val="24"/>
                <w:szCs w:val="24"/>
                <w:lang w:val="en-GB" w:eastAsia="en-GB"/>
              </w:rPr>
              <w:t>4.1 Introduction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13</w:t>
            </w:r>
            <w:r w:rsidRPr="00416524">
              <w:rPr>
                <w:rFonts w:ascii="Arial" w:hAnsi="Arial" w:cs="Arial"/>
                <w:noProof/>
                <w:webHidden/>
                <w:sz w:val="24"/>
                <w:szCs w:val="24"/>
              </w:rPr>
              <w:fldChar w:fldCharType="end"/>
            </w:r>
          </w:hyperlink>
        </w:p>
        <w:p w14:paraId="3B9340EC" w14:textId="2CAB3D0E"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5" w:history="1">
            <w:r w:rsidRPr="00416524">
              <w:rPr>
                <w:rStyle w:val="Hyperlink"/>
                <w:rFonts w:ascii="Arial" w:eastAsia="Times New Roman" w:hAnsi="Arial" w:cs="Arial"/>
                <w:noProof/>
                <w:sz w:val="24"/>
                <w:szCs w:val="24"/>
                <w:lang w:val="en-GB" w:eastAsia="en-GB"/>
              </w:rPr>
              <w:t>4.2 Research Approach and Design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13</w:t>
            </w:r>
            <w:r w:rsidRPr="00416524">
              <w:rPr>
                <w:rFonts w:ascii="Arial" w:hAnsi="Arial" w:cs="Arial"/>
                <w:noProof/>
                <w:webHidden/>
                <w:sz w:val="24"/>
                <w:szCs w:val="24"/>
              </w:rPr>
              <w:fldChar w:fldCharType="end"/>
            </w:r>
          </w:hyperlink>
        </w:p>
        <w:p w14:paraId="1B2E5F00" w14:textId="172EAE5C"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6" w:history="1">
            <w:r w:rsidRPr="00416524">
              <w:rPr>
                <w:rStyle w:val="Hyperlink"/>
                <w:rFonts w:ascii="Arial" w:eastAsia="Times New Roman" w:hAnsi="Arial" w:cs="Arial"/>
                <w:noProof/>
                <w:sz w:val="24"/>
                <w:szCs w:val="24"/>
                <w:lang w:val="en-GB" w:eastAsia="en-GB"/>
              </w:rPr>
              <w:t>4.3 Data Sources and Literature Search Strategy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14</w:t>
            </w:r>
            <w:r w:rsidRPr="00416524">
              <w:rPr>
                <w:rFonts w:ascii="Arial" w:hAnsi="Arial" w:cs="Arial"/>
                <w:noProof/>
                <w:webHidden/>
                <w:sz w:val="24"/>
                <w:szCs w:val="24"/>
              </w:rPr>
              <w:fldChar w:fldCharType="end"/>
            </w:r>
          </w:hyperlink>
        </w:p>
        <w:p w14:paraId="5CFF3E7E" w14:textId="081B37B1"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7" w:history="1">
            <w:r w:rsidRPr="00416524">
              <w:rPr>
                <w:rStyle w:val="Hyperlink"/>
                <w:rFonts w:ascii="Arial" w:eastAsia="Times New Roman" w:hAnsi="Arial" w:cs="Arial"/>
                <w:noProof/>
                <w:sz w:val="24"/>
                <w:szCs w:val="24"/>
                <w:lang w:val="en-GB" w:eastAsia="en-GB"/>
              </w:rPr>
              <w:t>4.4 Inclusion and Exclusion Criteria</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14</w:t>
            </w:r>
            <w:r w:rsidRPr="00416524">
              <w:rPr>
                <w:rFonts w:ascii="Arial" w:hAnsi="Arial" w:cs="Arial"/>
                <w:noProof/>
                <w:webHidden/>
                <w:sz w:val="24"/>
                <w:szCs w:val="24"/>
              </w:rPr>
              <w:fldChar w:fldCharType="end"/>
            </w:r>
          </w:hyperlink>
        </w:p>
        <w:p w14:paraId="470D4A27" w14:textId="4F92043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8" w:history="1">
            <w:r w:rsidRPr="00416524">
              <w:rPr>
                <w:rStyle w:val="Hyperlink"/>
                <w:rFonts w:ascii="Arial" w:eastAsia="Times New Roman" w:hAnsi="Arial" w:cs="Arial"/>
                <w:noProof/>
                <w:sz w:val="24"/>
                <w:szCs w:val="24"/>
                <w:lang w:val="en-GB" w:eastAsia="en-GB"/>
              </w:rPr>
              <w:t>4.5 Data Analysis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15</w:t>
            </w:r>
            <w:r w:rsidRPr="00416524">
              <w:rPr>
                <w:rFonts w:ascii="Arial" w:hAnsi="Arial" w:cs="Arial"/>
                <w:noProof/>
                <w:webHidden/>
                <w:sz w:val="24"/>
                <w:szCs w:val="24"/>
              </w:rPr>
              <w:fldChar w:fldCharType="end"/>
            </w:r>
          </w:hyperlink>
        </w:p>
        <w:p w14:paraId="63E2A6F6" w14:textId="43B24D34"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59" w:history="1">
            <w:r w:rsidRPr="00416524">
              <w:rPr>
                <w:rStyle w:val="Hyperlink"/>
                <w:rFonts w:ascii="Arial" w:eastAsia="Times New Roman" w:hAnsi="Arial" w:cs="Arial"/>
                <w:noProof/>
                <w:sz w:val="24"/>
                <w:szCs w:val="24"/>
                <w:lang w:val="en-GB" w:eastAsia="en-GB"/>
              </w:rPr>
              <w:t>4.6 Application of Strategic Frameworks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_Toc239695359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15</w:t>
            </w:r>
            <w:r w:rsidRPr="00416524">
              <w:rPr>
                <w:rFonts w:ascii="Arial" w:hAnsi="Arial" w:cs="Arial"/>
                <w:noProof/>
                <w:webHidden/>
                <w:sz w:val="24"/>
                <w:szCs w:val="24"/>
              </w:rPr>
              <w:fldChar w:fldCharType="end"/>
            </w:r>
          </w:hyperlink>
        </w:p>
        <w:p w14:paraId="092C21AF" w14:textId="4CDFCFFD"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0" w:history="1">
            <w:r w:rsidRPr="00416524">
              <w:rPr>
                <w:rStyle w:val="Hyperlink"/>
                <w:rFonts w:ascii="Arial" w:eastAsia="Times New Roman" w:hAnsi="Arial" w:cs="Arial"/>
                <w:noProof/>
                <w:sz w:val="24"/>
                <w:szCs w:val="24"/>
                <w:lang w:val="en-GB" w:eastAsia="en-GB"/>
              </w:rPr>
              <w:t>4.7 Reliability, validity and limitations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16</w:t>
            </w:r>
            <w:r w:rsidRPr="00416524">
              <w:rPr>
                <w:rFonts w:ascii="Arial" w:hAnsi="Arial" w:cs="Arial"/>
                <w:noProof/>
                <w:webHidden/>
                <w:sz w:val="24"/>
                <w:szCs w:val="24"/>
              </w:rPr>
              <w:fldChar w:fldCharType="end"/>
            </w:r>
          </w:hyperlink>
        </w:p>
        <w:p w14:paraId="7D14E2C7" w14:textId="0BE5C46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1" w:history="1">
            <w:r w:rsidRPr="00416524">
              <w:rPr>
                <w:rStyle w:val="Hyperlink"/>
                <w:rFonts w:ascii="Arial" w:eastAsia="Times New Roman" w:hAnsi="Arial" w:cs="Arial"/>
                <w:noProof/>
                <w:sz w:val="24"/>
                <w:szCs w:val="24"/>
                <w:lang w:val="en-GB" w:eastAsia="en-GB"/>
              </w:rPr>
              <w:t>4.8 Ethical Considerations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16</w:t>
            </w:r>
            <w:r w:rsidRPr="00416524">
              <w:rPr>
                <w:rFonts w:ascii="Arial" w:hAnsi="Arial" w:cs="Arial"/>
                <w:noProof/>
                <w:webHidden/>
                <w:sz w:val="24"/>
                <w:szCs w:val="24"/>
              </w:rPr>
              <w:fldChar w:fldCharType="end"/>
            </w:r>
          </w:hyperlink>
        </w:p>
        <w:p w14:paraId="254CF2F1" w14:textId="33CB2072"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62" w:history="1">
            <w:r w:rsidRPr="00416524">
              <w:rPr>
                <w:rStyle w:val="Hyperlink"/>
                <w:rFonts w:ascii="Arial" w:eastAsia="Times New Roman" w:hAnsi="Arial" w:cs="Arial"/>
                <w:noProof/>
                <w:sz w:val="24"/>
                <w:szCs w:val="24"/>
                <w:lang w:val="en-GB" w:eastAsia="en-GB"/>
              </w:rPr>
              <w:t>Chapter 5: Market Opportunity Analysis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17</w:t>
            </w:r>
            <w:r w:rsidRPr="00416524">
              <w:rPr>
                <w:rFonts w:ascii="Arial" w:hAnsi="Arial" w:cs="Arial"/>
                <w:noProof/>
                <w:webHidden/>
                <w:sz w:val="24"/>
                <w:szCs w:val="24"/>
              </w:rPr>
              <w:fldChar w:fldCharType="end"/>
            </w:r>
          </w:hyperlink>
        </w:p>
        <w:p w14:paraId="1410CAC4" w14:textId="4302BF04"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3" w:history="1">
            <w:r w:rsidRPr="00416524">
              <w:rPr>
                <w:rStyle w:val="Hyperlink"/>
                <w:rFonts w:ascii="Arial" w:hAnsi="Arial" w:cs="Arial"/>
                <w:noProof/>
                <w:sz w:val="24"/>
                <w:szCs w:val="24"/>
                <w:lang w:val="en-GB" w:eastAsia="en-GB"/>
              </w:rPr>
              <w:t>5.1 Introduction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17</w:t>
            </w:r>
            <w:r w:rsidRPr="00416524">
              <w:rPr>
                <w:rFonts w:ascii="Arial" w:hAnsi="Arial" w:cs="Arial"/>
                <w:noProof/>
                <w:webHidden/>
                <w:sz w:val="24"/>
                <w:szCs w:val="24"/>
              </w:rPr>
              <w:fldChar w:fldCharType="end"/>
            </w:r>
          </w:hyperlink>
        </w:p>
        <w:p w14:paraId="633F720E" w14:textId="7FFE196D"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4" w:history="1">
            <w:r w:rsidRPr="00416524">
              <w:rPr>
                <w:rStyle w:val="Hyperlink"/>
                <w:rFonts w:ascii="Arial" w:hAnsi="Arial" w:cs="Arial"/>
                <w:noProof/>
                <w:sz w:val="24"/>
                <w:szCs w:val="24"/>
                <w:lang w:val="en-GB" w:eastAsia="en-GB"/>
              </w:rPr>
              <w:t>5.2 UK Coffee Market Context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17</w:t>
            </w:r>
            <w:r w:rsidRPr="00416524">
              <w:rPr>
                <w:rFonts w:ascii="Arial" w:hAnsi="Arial" w:cs="Arial"/>
                <w:noProof/>
                <w:webHidden/>
                <w:sz w:val="24"/>
                <w:szCs w:val="24"/>
              </w:rPr>
              <w:fldChar w:fldCharType="end"/>
            </w:r>
          </w:hyperlink>
        </w:p>
        <w:p w14:paraId="14076D6A" w14:textId="1CFAF368"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5" w:history="1">
            <w:r w:rsidRPr="00416524">
              <w:rPr>
                <w:rStyle w:val="Hyperlink"/>
                <w:rFonts w:ascii="Arial" w:hAnsi="Arial" w:cs="Arial"/>
                <w:noProof/>
                <w:sz w:val="24"/>
                <w:szCs w:val="24"/>
                <w:lang w:val="en-GB" w:eastAsia="en-GB"/>
              </w:rPr>
              <w:t>5.3 Local Market Opportunity: Covent Garden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17</w:t>
            </w:r>
            <w:r w:rsidRPr="00416524">
              <w:rPr>
                <w:rFonts w:ascii="Arial" w:hAnsi="Arial" w:cs="Arial"/>
                <w:noProof/>
                <w:webHidden/>
                <w:sz w:val="24"/>
                <w:szCs w:val="24"/>
              </w:rPr>
              <w:fldChar w:fldCharType="end"/>
            </w:r>
          </w:hyperlink>
        </w:p>
        <w:p w14:paraId="7BFD2551" w14:textId="7C08E16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6" w:history="1">
            <w:r w:rsidRPr="00416524">
              <w:rPr>
                <w:rStyle w:val="Hyperlink"/>
                <w:rFonts w:ascii="Arial" w:hAnsi="Arial" w:cs="Arial"/>
                <w:noProof/>
                <w:sz w:val="24"/>
                <w:szCs w:val="24"/>
                <w:lang w:val="en-GB" w:eastAsia="en-GB"/>
              </w:rPr>
              <w:t>5.4 Market Segmentation and Targeting</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20</w:t>
            </w:r>
            <w:r w:rsidRPr="00416524">
              <w:rPr>
                <w:rFonts w:ascii="Arial" w:hAnsi="Arial" w:cs="Arial"/>
                <w:noProof/>
                <w:webHidden/>
                <w:sz w:val="24"/>
                <w:szCs w:val="24"/>
              </w:rPr>
              <w:fldChar w:fldCharType="end"/>
            </w:r>
          </w:hyperlink>
        </w:p>
        <w:p w14:paraId="398D7BE7" w14:textId="51A73699"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7" w:history="1">
            <w:r w:rsidRPr="00416524">
              <w:rPr>
                <w:rStyle w:val="Hyperlink"/>
                <w:rFonts w:ascii="Arial" w:hAnsi="Arial" w:cs="Arial"/>
                <w:noProof/>
                <w:sz w:val="24"/>
                <w:szCs w:val="24"/>
                <w:lang w:val="en-GB" w:eastAsia="en-GB"/>
              </w:rPr>
              <w:t>5.5 Indicative TAM, SAM and SOM</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21</w:t>
            </w:r>
            <w:r w:rsidRPr="00416524">
              <w:rPr>
                <w:rFonts w:ascii="Arial" w:hAnsi="Arial" w:cs="Arial"/>
                <w:noProof/>
                <w:webHidden/>
                <w:sz w:val="24"/>
                <w:szCs w:val="24"/>
              </w:rPr>
              <w:fldChar w:fldCharType="end"/>
            </w:r>
          </w:hyperlink>
        </w:p>
        <w:p w14:paraId="03D720EB" w14:textId="611A78AC"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8" w:history="1">
            <w:r w:rsidRPr="00416524">
              <w:rPr>
                <w:rStyle w:val="Hyperlink"/>
                <w:rFonts w:ascii="Arial" w:hAnsi="Arial" w:cs="Arial"/>
                <w:noProof/>
                <w:sz w:val="24"/>
                <w:szCs w:val="24"/>
                <w:lang w:val="en-GB" w:eastAsia="en-GB"/>
              </w:rPr>
              <w:t>5.6 Customer Needs and Commercial Opportunity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23</w:t>
            </w:r>
            <w:r w:rsidRPr="00416524">
              <w:rPr>
                <w:rFonts w:ascii="Arial" w:hAnsi="Arial" w:cs="Arial"/>
                <w:noProof/>
                <w:webHidden/>
                <w:sz w:val="24"/>
                <w:szCs w:val="24"/>
              </w:rPr>
              <w:fldChar w:fldCharType="end"/>
            </w:r>
          </w:hyperlink>
        </w:p>
        <w:p w14:paraId="6F167C3C" w14:textId="12A0FE76"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69" w:history="1">
            <w:r w:rsidRPr="00416524">
              <w:rPr>
                <w:rStyle w:val="Hyperlink"/>
                <w:rFonts w:ascii="Arial" w:hAnsi="Arial" w:cs="Arial"/>
                <w:noProof/>
                <w:sz w:val="24"/>
                <w:szCs w:val="24"/>
                <w:lang w:val="en-GB" w:eastAsia="en-GB"/>
              </w:rPr>
              <w:t>5.7 Market Opportunity Assessment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_Toc239695369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23</w:t>
            </w:r>
            <w:r w:rsidRPr="00416524">
              <w:rPr>
                <w:rFonts w:ascii="Arial" w:hAnsi="Arial" w:cs="Arial"/>
                <w:noProof/>
                <w:webHidden/>
                <w:sz w:val="24"/>
                <w:szCs w:val="24"/>
              </w:rPr>
              <w:fldChar w:fldCharType="end"/>
            </w:r>
          </w:hyperlink>
        </w:p>
        <w:p w14:paraId="4CA8F1B9" w14:textId="5701AEAE"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70" w:history="1">
            <w:r w:rsidRPr="00416524">
              <w:rPr>
                <w:rStyle w:val="Hyperlink"/>
                <w:rFonts w:ascii="Arial" w:hAnsi="Arial" w:cs="Arial"/>
                <w:noProof/>
                <w:sz w:val="24"/>
                <w:szCs w:val="24"/>
                <w:lang w:val="en-GB" w:eastAsia="en-GB"/>
              </w:rPr>
              <w:t>Chapter 6: Competitive Environment Analysis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25</w:t>
            </w:r>
            <w:r w:rsidRPr="00416524">
              <w:rPr>
                <w:rFonts w:ascii="Arial" w:hAnsi="Arial" w:cs="Arial"/>
                <w:noProof/>
                <w:webHidden/>
                <w:sz w:val="24"/>
                <w:szCs w:val="24"/>
              </w:rPr>
              <w:fldChar w:fldCharType="end"/>
            </w:r>
          </w:hyperlink>
        </w:p>
        <w:p w14:paraId="084E1DA7" w14:textId="5AE6105D"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1" w:history="1">
            <w:r w:rsidRPr="00416524">
              <w:rPr>
                <w:rStyle w:val="Hyperlink"/>
                <w:rFonts w:ascii="Arial" w:hAnsi="Arial" w:cs="Arial"/>
                <w:noProof/>
                <w:sz w:val="24"/>
                <w:szCs w:val="24"/>
                <w:lang w:val="en-GB" w:eastAsia="en-GB"/>
              </w:rPr>
              <w:t>6.1 Introduction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25</w:t>
            </w:r>
            <w:r w:rsidRPr="00416524">
              <w:rPr>
                <w:rFonts w:ascii="Arial" w:hAnsi="Arial" w:cs="Arial"/>
                <w:noProof/>
                <w:webHidden/>
                <w:sz w:val="24"/>
                <w:szCs w:val="24"/>
              </w:rPr>
              <w:fldChar w:fldCharType="end"/>
            </w:r>
          </w:hyperlink>
        </w:p>
        <w:p w14:paraId="37D4422C" w14:textId="4DE85764"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2" w:history="1">
            <w:r w:rsidRPr="00416524">
              <w:rPr>
                <w:rStyle w:val="Hyperlink"/>
                <w:rFonts w:ascii="Arial" w:hAnsi="Arial" w:cs="Arial"/>
                <w:noProof/>
                <w:sz w:val="24"/>
                <w:szCs w:val="24"/>
                <w:lang w:val="en-GB" w:eastAsia="en-GB"/>
              </w:rPr>
              <w:t>6.2 Competitor Analysis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25</w:t>
            </w:r>
            <w:r w:rsidRPr="00416524">
              <w:rPr>
                <w:rFonts w:ascii="Arial" w:hAnsi="Arial" w:cs="Arial"/>
                <w:noProof/>
                <w:webHidden/>
                <w:sz w:val="24"/>
                <w:szCs w:val="24"/>
              </w:rPr>
              <w:fldChar w:fldCharType="end"/>
            </w:r>
          </w:hyperlink>
        </w:p>
        <w:p w14:paraId="64FB55CB" w14:textId="31184E24"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3" w:history="1">
            <w:r w:rsidRPr="00416524">
              <w:rPr>
                <w:rStyle w:val="Hyperlink"/>
                <w:rFonts w:ascii="Arial" w:hAnsi="Arial" w:cs="Arial"/>
                <w:noProof/>
                <w:sz w:val="24"/>
                <w:szCs w:val="24"/>
                <w:lang w:val="en-GB" w:eastAsia="en-GB"/>
              </w:rPr>
              <w:t>6.3 Porter’s Five Force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28</w:t>
            </w:r>
            <w:r w:rsidRPr="00416524">
              <w:rPr>
                <w:rFonts w:ascii="Arial" w:hAnsi="Arial" w:cs="Arial"/>
                <w:noProof/>
                <w:webHidden/>
                <w:sz w:val="24"/>
                <w:szCs w:val="24"/>
              </w:rPr>
              <w:fldChar w:fldCharType="end"/>
            </w:r>
          </w:hyperlink>
        </w:p>
        <w:p w14:paraId="19173559" w14:textId="76353D76"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4" w:history="1">
            <w:r w:rsidRPr="00416524">
              <w:rPr>
                <w:rStyle w:val="Hyperlink"/>
                <w:rFonts w:ascii="Arial" w:hAnsi="Arial" w:cs="Arial"/>
                <w:noProof/>
                <w:sz w:val="24"/>
                <w:szCs w:val="24"/>
                <w:lang w:val="en-GB" w:eastAsia="en-GB"/>
              </w:rPr>
              <w:t>6.4 PESTLE Analysis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30</w:t>
            </w:r>
            <w:r w:rsidRPr="00416524">
              <w:rPr>
                <w:rFonts w:ascii="Arial" w:hAnsi="Arial" w:cs="Arial"/>
                <w:noProof/>
                <w:webHidden/>
                <w:sz w:val="24"/>
                <w:szCs w:val="24"/>
              </w:rPr>
              <w:fldChar w:fldCharType="end"/>
            </w:r>
          </w:hyperlink>
        </w:p>
        <w:p w14:paraId="2A6660B0" w14:textId="6D408859"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5" w:history="1">
            <w:r w:rsidRPr="00416524">
              <w:rPr>
                <w:rStyle w:val="Hyperlink"/>
                <w:rFonts w:ascii="Arial" w:hAnsi="Arial" w:cs="Arial"/>
                <w:noProof/>
                <w:sz w:val="24"/>
                <w:szCs w:val="24"/>
                <w:lang w:val="en-GB" w:eastAsia="en-GB"/>
              </w:rPr>
              <w:t>6.5 Evidence-Based Positioning Gap</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32</w:t>
            </w:r>
            <w:r w:rsidRPr="00416524">
              <w:rPr>
                <w:rFonts w:ascii="Arial" w:hAnsi="Arial" w:cs="Arial"/>
                <w:noProof/>
                <w:webHidden/>
                <w:sz w:val="24"/>
                <w:szCs w:val="24"/>
              </w:rPr>
              <w:fldChar w:fldCharType="end"/>
            </w:r>
          </w:hyperlink>
        </w:p>
        <w:p w14:paraId="3498131C" w14:textId="6DD913CD"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6" w:history="1">
            <w:r w:rsidRPr="00416524">
              <w:rPr>
                <w:rStyle w:val="Hyperlink"/>
                <w:rFonts w:ascii="Arial" w:hAnsi="Arial" w:cs="Arial"/>
                <w:noProof/>
                <w:sz w:val="24"/>
                <w:szCs w:val="24"/>
                <w:lang w:val="en-GB" w:eastAsia="en-GB"/>
              </w:rPr>
              <w:t>6.6 Chapter Synthesis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33</w:t>
            </w:r>
            <w:r w:rsidRPr="00416524">
              <w:rPr>
                <w:rFonts w:ascii="Arial" w:hAnsi="Arial" w:cs="Arial"/>
                <w:noProof/>
                <w:webHidden/>
                <w:sz w:val="24"/>
                <w:szCs w:val="24"/>
              </w:rPr>
              <w:fldChar w:fldCharType="end"/>
            </w:r>
          </w:hyperlink>
        </w:p>
        <w:p w14:paraId="4921E479" w14:textId="212B3C3C"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77" w:history="1">
            <w:r w:rsidRPr="00416524">
              <w:rPr>
                <w:rStyle w:val="Hyperlink"/>
                <w:rFonts w:ascii="Arial" w:eastAsia="Times New Roman" w:hAnsi="Arial" w:cs="Arial"/>
                <w:noProof/>
                <w:sz w:val="24"/>
                <w:szCs w:val="24"/>
                <w:lang w:val="en-GB" w:eastAsia="en-GB"/>
              </w:rPr>
              <w:t>Chapter 7: Business Strategy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34</w:t>
            </w:r>
            <w:r w:rsidRPr="00416524">
              <w:rPr>
                <w:rFonts w:ascii="Arial" w:hAnsi="Arial" w:cs="Arial"/>
                <w:noProof/>
                <w:webHidden/>
                <w:sz w:val="24"/>
                <w:szCs w:val="24"/>
              </w:rPr>
              <w:fldChar w:fldCharType="end"/>
            </w:r>
          </w:hyperlink>
        </w:p>
        <w:p w14:paraId="3446E4DA" w14:textId="4E5C208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8" w:history="1">
            <w:r w:rsidRPr="00416524">
              <w:rPr>
                <w:rStyle w:val="Hyperlink"/>
                <w:rFonts w:ascii="Arial" w:eastAsia="Times New Roman" w:hAnsi="Arial" w:cs="Arial"/>
                <w:noProof/>
                <w:sz w:val="24"/>
                <w:szCs w:val="24"/>
                <w:lang w:val="en-GB" w:eastAsia="en-GB"/>
              </w:rPr>
              <w:t>7.1 Strategic Situation and Frameworks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34</w:t>
            </w:r>
            <w:r w:rsidRPr="00416524">
              <w:rPr>
                <w:rFonts w:ascii="Arial" w:hAnsi="Arial" w:cs="Arial"/>
                <w:noProof/>
                <w:webHidden/>
                <w:sz w:val="24"/>
                <w:szCs w:val="24"/>
              </w:rPr>
              <w:fldChar w:fldCharType="end"/>
            </w:r>
          </w:hyperlink>
        </w:p>
        <w:p w14:paraId="1EC65271" w14:textId="6F5F66AC"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79" w:history="1">
            <w:r w:rsidRPr="00416524">
              <w:rPr>
                <w:rStyle w:val="Hyperlink"/>
                <w:rFonts w:ascii="Arial" w:eastAsia="Times New Roman" w:hAnsi="Arial" w:cs="Arial"/>
                <w:noProof/>
                <w:sz w:val="24"/>
                <w:szCs w:val="24"/>
                <w:lang w:val="en-GB" w:eastAsia="en-GB"/>
              </w:rPr>
              <w:t>7.2 Internal Analysis Using VRIO</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_Toc239695379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34</w:t>
            </w:r>
            <w:r w:rsidRPr="00416524">
              <w:rPr>
                <w:rFonts w:ascii="Arial" w:hAnsi="Arial" w:cs="Arial"/>
                <w:noProof/>
                <w:webHidden/>
                <w:sz w:val="24"/>
                <w:szCs w:val="24"/>
              </w:rPr>
              <w:fldChar w:fldCharType="end"/>
            </w:r>
          </w:hyperlink>
        </w:p>
        <w:p w14:paraId="39558B53" w14:textId="0F7173C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80" w:history="1">
            <w:r w:rsidRPr="00416524">
              <w:rPr>
                <w:rStyle w:val="Hyperlink"/>
                <w:rFonts w:ascii="Arial" w:eastAsia="Times New Roman" w:hAnsi="Arial" w:cs="Arial"/>
                <w:noProof/>
                <w:sz w:val="24"/>
                <w:szCs w:val="24"/>
                <w:lang w:val="en-GB" w:eastAsia="en-GB"/>
              </w:rPr>
              <w:t>7.3 SWOT and Strategic Issues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36</w:t>
            </w:r>
            <w:r w:rsidRPr="00416524">
              <w:rPr>
                <w:rFonts w:ascii="Arial" w:hAnsi="Arial" w:cs="Arial"/>
                <w:noProof/>
                <w:webHidden/>
                <w:sz w:val="24"/>
                <w:szCs w:val="24"/>
              </w:rPr>
              <w:fldChar w:fldCharType="end"/>
            </w:r>
          </w:hyperlink>
        </w:p>
        <w:p w14:paraId="21CEB390" w14:textId="2AED4755"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81" w:history="1">
            <w:r w:rsidRPr="00416524">
              <w:rPr>
                <w:rStyle w:val="Hyperlink"/>
                <w:rFonts w:ascii="Arial" w:eastAsia="Times New Roman" w:hAnsi="Arial" w:cs="Arial"/>
                <w:noProof/>
                <w:sz w:val="24"/>
                <w:szCs w:val="24"/>
                <w:lang w:val="en-GB" w:eastAsia="en-GB"/>
              </w:rPr>
              <w:t>7.4 Strategic Alternatives and Choice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37</w:t>
            </w:r>
            <w:r w:rsidRPr="00416524">
              <w:rPr>
                <w:rFonts w:ascii="Arial" w:hAnsi="Arial" w:cs="Arial"/>
                <w:noProof/>
                <w:webHidden/>
                <w:sz w:val="24"/>
                <w:szCs w:val="24"/>
              </w:rPr>
              <w:fldChar w:fldCharType="end"/>
            </w:r>
          </w:hyperlink>
        </w:p>
        <w:p w14:paraId="11CB6EF0" w14:textId="424F517B"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82" w:history="1">
            <w:r w:rsidRPr="00416524">
              <w:rPr>
                <w:rStyle w:val="Hyperlink"/>
                <w:rFonts w:ascii="Arial" w:eastAsia="Times New Roman" w:hAnsi="Arial" w:cs="Arial"/>
                <w:noProof/>
                <w:sz w:val="24"/>
                <w:szCs w:val="24"/>
                <w:lang w:val="en-GB" w:eastAsia="en-GB"/>
              </w:rPr>
              <w:t>Alternative 1: Premium Specialty Differentiation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37</w:t>
            </w:r>
            <w:r w:rsidRPr="00416524">
              <w:rPr>
                <w:rFonts w:ascii="Arial" w:hAnsi="Arial" w:cs="Arial"/>
                <w:noProof/>
                <w:webHidden/>
                <w:sz w:val="24"/>
                <w:szCs w:val="24"/>
              </w:rPr>
              <w:fldChar w:fldCharType="end"/>
            </w:r>
          </w:hyperlink>
        </w:p>
        <w:p w14:paraId="446B9593" w14:textId="28387841"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83" w:history="1">
            <w:r w:rsidRPr="00416524">
              <w:rPr>
                <w:rStyle w:val="Hyperlink"/>
                <w:rFonts w:ascii="Arial" w:eastAsia="Times New Roman" w:hAnsi="Arial" w:cs="Arial"/>
                <w:noProof/>
                <w:sz w:val="24"/>
                <w:szCs w:val="24"/>
                <w:lang w:val="en-GB" w:eastAsia="en-GB"/>
              </w:rPr>
              <w:t>Alternative 2: Focused Ethical Differentiation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38</w:t>
            </w:r>
            <w:r w:rsidRPr="00416524">
              <w:rPr>
                <w:rFonts w:ascii="Arial" w:hAnsi="Arial" w:cs="Arial"/>
                <w:noProof/>
                <w:webHidden/>
                <w:sz w:val="24"/>
                <w:szCs w:val="24"/>
              </w:rPr>
              <w:fldChar w:fldCharType="end"/>
            </w:r>
          </w:hyperlink>
        </w:p>
        <w:p w14:paraId="6E55FE91" w14:textId="27A8CF5A"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84" w:history="1">
            <w:r w:rsidRPr="00416524">
              <w:rPr>
                <w:rStyle w:val="Hyperlink"/>
                <w:rFonts w:ascii="Arial" w:eastAsia="Times New Roman" w:hAnsi="Arial" w:cs="Arial"/>
                <w:noProof/>
                <w:sz w:val="24"/>
                <w:szCs w:val="24"/>
                <w:lang w:val="en-GB" w:eastAsia="en-GB"/>
              </w:rPr>
              <w:t>Alternative 3: Focused Entry Followed by Evidence-Led Expansion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38</w:t>
            </w:r>
            <w:r w:rsidRPr="00416524">
              <w:rPr>
                <w:rFonts w:ascii="Arial" w:hAnsi="Arial" w:cs="Arial"/>
                <w:noProof/>
                <w:webHidden/>
                <w:sz w:val="24"/>
                <w:szCs w:val="24"/>
              </w:rPr>
              <w:fldChar w:fldCharType="end"/>
            </w:r>
          </w:hyperlink>
        </w:p>
        <w:p w14:paraId="7413FC88" w14:textId="53E20A51"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85" w:history="1">
            <w:r w:rsidRPr="00416524">
              <w:rPr>
                <w:rStyle w:val="Hyperlink"/>
                <w:rFonts w:ascii="Arial" w:eastAsia="Times New Roman" w:hAnsi="Arial" w:cs="Arial"/>
                <w:noProof/>
                <w:sz w:val="24"/>
                <w:szCs w:val="24"/>
                <w:lang w:val="en-GB" w:eastAsia="en-GB"/>
              </w:rPr>
              <w:t>7.5 USP, Value Proposition and Positioning</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39</w:t>
            </w:r>
            <w:r w:rsidRPr="00416524">
              <w:rPr>
                <w:rFonts w:ascii="Arial" w:hAnsi="Arial" w:cs="Arial"/>
                <w:noProof/>
                <w:webHidden/>
                <w:sz w:val="24"/>
                <w:szCs w:val="24"/>
              </w:rPr>
              <w:fldChar w:fldCharType="end"/>
            </w:r>
          </w:hyperlink>
        </w:p>
        <w:p w14:paraId="3DCBD0FD" w14:textId="322522E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86" w:history="1">
            <w:r w:rsidRPr="00416524">
              <w:rPr>
                <w:rStyle w:val="Hyperlink"/>
                <w:rFonts w:ascii="Arial" w:eastAsia="Times New Roman" w:hAnsi="Arial" w:cs="Arial"/>
                <w:noProof/>
                <w:sz w:val="24"/>
                <w:szCs w:val="24"/>
                <w:lang w:val="en-GB" w:eastAsia="en-GB"/>
              </w:rPr>
              <w:t>7.6 Competitive Advantage and Key Success Factors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40</w:t>
            </w:r>
            <w:r w:rsidRPr="00416524">
              <w:rPr>
                <w:rFonts w:ascii="Arial" w:hAnsi="Arial" w:cs="Arial"/>
                <w:noProof/>
                <w:webHidden/>
                <w:sz w:val="24"/>
                <w:szCs w:val="24"/>
              </w:rPr>
              <w:fldChar w:fldCharType="end"/>
            </w:r>
          </w:hyperlink>
        </w:p>
        <w:p w14:paraId="4F1D3CD2" w14:textId="33C81B9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87" w:history="1">
            <w:r w:rsidRPr="00416524">
              <w:rPr>
                <w:rStyle w:val="Hyperlink"/>
                <w:rFonts w:ascii="Arial" w:eastAsia="Times New Roman" w:hAnsi="Arial" w:cs="Arial"/>
                <w:noProof/>
                <w:sz w:val="24"/>
                <w:szCs w:val="24"/>
                <w:lang w:val="en-GB" w:eastAsia="en-GB"/>
              </w:rPr>
              <w:t>7.7 Strategic Synthesis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42</w:t>
            </w:r>
            <w:r w:rsidRPr="00416524">
              <w:rPr>
                <w:rFonts w:ascii="Arial" w:hAnsi="Arial" w:cs="Arial"/>
                <w:noProof/>
                <w:webHidden/>
                <w:sz w:val="24"/>
                <w:szCs w:val="24"/>
              </w:rPr>
              <w:fldChar w:fldCharType="end"/>
            </w:r>
          </w:hyperlink>
        </w:p>
        <w:p w14:paraId="2FB325FF" w14:textId="1A1664E9"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88" w:history="1">
            <w:r w:rsidRPr="00416524">
              <w:rPr>
                <w:rStyle w:val="Hyperlink"/>
                <w:rFonts w:ascii="Arial" w:eastAsia="Times New Roman" w:hAnsi="Arial" w:cs="Arial"/>
                <w:noProof/>
                <w:sz w:val="24"/>
                <w:szCs w:val="24"/>
                <w:lang w:val="en-GB" w:eastAsia="en-GB"/>
              </w:rPr>
              <w:t>Chapter 8: Business Model Canvas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43</w:t>
            </w:r>
            <w:r w:rsidRPr="00416524">
              <w:rPr>
                <w:rFonts w:ascii="Arial" w:hAnsi="Arial" w:cs="Arial"/>
                <w:noProof/>
                <w:webHidden/>
                <w:sz w:val="24"/>
                <w:szCs w:val="24"/>
              </w:rPr>
              <w:fldChar w:fldCharType="end"/>
            </w:r>
          </w:hyperlink>
        </w:p>
        <w:p w14:paraId="06C57C16" w14:textId="1A9C53D6"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89" w:history="1">
            <w:r w:rsidRPr="00416524">
              <w:rPr>
                <w:rStyle w:val="Hyperlink"/>
                <w:rFonts w:ascii="Arial" w:eastAsia="Times New Roman" w:hAnsi="Arial" w:cs="Arial"/>
                <w:noProof/>
                <w:sz w:val="24"/>
                <w:szCs w:val="24"/>
                <w:lang w:val="en-GB" w:eastAsia="en-GB"/>
              </w:rPr>
              <w:t>8.1 Model Overview and Alignment</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_Toc239695389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43</w:t>
            </w:r>
            <w:r w:rsidRPr="00416524">
              <w:rPr>
                <w:rFonts w:ascii="Arial" w:hAnsi="Arial" w:cs="Arial"/>
                <w:noProof/>
                <w:webHidden/>
                <w:sz w:val="24"/>
                <w:szCs w:val="24"/>
              </w:rPr>
              <w:fldChar w:fldCharType="end"/>
            </w:r>
          </w:hyperlink>
        </w:p>
        <w:p w14:paraId="6136004D" w14:textId="784527B5"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0" w:history="1">
            <w:r w:rsidRPr="00416524">
              <w:rPr>
                <w:rStyle w:val="Hyperlink"/>
                <w:rFonts w:ascii="Arial" w:eastAsia="Times New Roman" w:hAnsi="Arial" w:cs="Arial"/>
                <w:noProof/>
                <w:sz w:val="24"/>
                <w:szCs w:val="24"/>
                <w:lang w:val="en-GB" w:eastAsia="en-GB"/>
              </w:rPr>
              <w:t>8.2 Customer Segments and Value Proposition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43</w:t>
            </w:r>
            <w:r w:rsidRPr="00416524">
              <w:rPr>
                <w:rFonts w:ascii="Arial" w:hAnsi="Arial" w:cs="Arial"/>
                <w:noProof/>
                <w:webHidden/>
                <w:sz w:val="24"/>
                <w:szCs w:val="24"/>
              </w:rPr>
              <w:fldChar w:fldCharType="end"/>
            </w:r>
          </w:hyperlink>
        </w:p>
        <w:p w14:paraId="6FB67F88" w14:textId="4B761B8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1" w:history="1">
            <w:r w:rsidRPr="00416524">
              <w:rPr>
                <w:rStyle w:val="Hyperlink"/>
                <w:rFonts w:ascii="Arial" w:eastAsia="Times New Roman" w:hAnsi="Arial" w:cs="Arial"/>
                <w:noProof/>
                <w:sz w:val="24"/>
                <w:szCs w:val="24"/>
                <w:lang w:val="en-GB" w:eastAsia="en-GB"/>
              </w:rPr>
              <w:t>8.3 Channels and Customer Relationships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44</w:t>
            </w:r>
            <w:r w:rsidRPr="00416524">
              <w:rPr>
                <w:rFonts w:ascii="Arial" w:hAnsi="Arial" w:cs="Arial"/>
                <w:noProof/>
                <w:webHidden/>
                <w:sz w:val="24"/>
                <w:szCs w:val="24"/>
              </w:rPr>
              <w:fldChar w:fldCharType="end"/>
            </w:r>
          </w:hyperlink>
        </w:p>
        <w:p w14:paraId="47478462" w14:textId="29F60E20"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2" w:history="1">
            <w:r w:rsidRPr="00416524">
              <w:rPr>
                <w:rStyle w:val="Hyperlink"/>
                <w:rFonts w:ascii="Arial" w:eastAsia="Times New Roman" w:hAnsi="Arial" w:cs="Arial"/>
                <w:noProof/>
                <w:sz w:val="24"/>
                <w:szCs w:val="24"/>
                <w:lang w:val="en-GB" w:eastAsia="en-GB"/>
              </w:rPr>
              <w:t>8.4 Revenue Streams and Cost Structure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44</w:t>
            </w:r>
            <w:r w:rsidRPr="00416524">
              <w:rPr>
                <w:rFonts w:ascii="Arial" w:hAnsi="Arial" w:cs="Arial"/>
                <w:noProof/>
                <w:webHidden/>
                <w:sz w:val="24"/>
                <w:szCs w:val="24"/>
              </w:rPr>
              <w:fldChar w:fldCharType="end"/>
            </w:r>
          </w:hyperlink>
        </w:p>
        <w:p w14:paraId="1DAE86BC" w14:textId="68AEFA5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3" w:history="1">
            <w:r w:rsidRPr="00416524">
              <w:rPr>
                <w:rStyle w:val="Hyperlink"/>
                <w:rFonts w:ascii="Arial" w:eastAsia="Times New Roman" w:hAnsi="Arial" w:cs="Arial"/>
                <w:noProof/>
                <w:sz w:val="24"/>
                <w:szCs w:val="24"/>
                <w:lang w:val="en-GB" w:eastAsia="en-GB"/>
              </w:rPr>
              <w:t>8.5 Key Resources, Activities and Partnerships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44</w:t>
            </w:r>
            <w:r w:rsidRPr="00416524">
              <w:rPr>
                <w:rFonts w:ascii="Arial" w:hAnsi="Arial" w:cs="Arial"/>
                <w:noProof/>
                <w:webHidden/>
                <w:sz w:val="24"/>
                <w:szCs w:val="24"/>
              </w:rPr>
              <w:fldChar w:fldCharType="end"/>
            </w:r>
          </w:hyperlink>
        </w:p>
        <w:p w14:paraId="4B7399B0" w14:textId="41535B8F"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4" w:history="1">
            <w:r w:rsidRPr="00416524">
              <w:rPr>
                <w:rStyle w:val="Hyperlink"/>
                <w:rFonts w:ascii="Arial" w:eastAsia="Times New Roman" w:hAnsi="Arial" w:cs="Arial"/>
                <w:noProof/>
                <w:sz w:val="24"/>
                <w:szCs w:val="24"/>
                <w:lang w:val="en-GB" w:eastAsia="en-GB"/>
              </w:rPr>
              <w:t>8.6 Integration, Assumptions and Conclusion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45</w:t>
            </w:r>
            <w:r w:rsidRPr="00416524">
              <w:rPr>
                <w:rFonts w:ascii="Arial" w:hAnsi="Arial" w:cs="Arial"/>
                <w:noProof/>
                <w:webHidden/>
                <w:sz w:val="24"/>
                <w:szCs w:val="24"/>
              </w:rPr>
              <w:fldChar w:fldCharType="end"/>
            </w:r>
          </w:hyperlink>
        </w:p>
        <w:p w14:paraId="2CDBC20A" w14:textId="460A3DC5"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395" w:history="1">
            <w:r w:rsidRPr="00416524">
              <w:rPr>
                <w:rStyle w:val="Hyperlink"/>
                <w:rFonts w:ascii="Arial" w:eastAsia="Times New Roman" w:hAnsi="Arial" w:cs="Arial"/>
                <w:noProof/>
                <w:sz w:val="24"/>
                <w:szCs w:val="24"/>
                <w:lang w:val="en-GB" w:eastAsia="en-GB"/>
              </w:rPr>
              <w:t>Chapter 9: Financial, Marketing and Sales, and Human Capital Management Plan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46</w:t>
            </w:r>
            <w:r w:rsidRPr="00416524">
              <w:rPr>
                <w:rFonts w:ascii="Arial" w:hAnsi="Arial" w:cs="Arial"/>
                <w:noProof/>
                <w:webHidden/>
                <w:sz w:val="24"/>
                <w:szCs w:val="24"/>
              </w:rPr>
              <w:fldChar w:fldCharType="end"/>
            </w:r>
          </w:hyperlink>
        </w:p>
        <w:p w14:paraId="05AFCFF4" w14:textId="7FE30976"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6" w:history="1">
            <w:r w:rsidRPr="00416524">
              <w:rPr>
                <w:rStyle w:val="Hyperlink"/>
                <w:rFonts w:ascii="Arial" w:eastAsia="Times New Roman" w:hAnsi="Arial" w:cs="Arial"/>
                <w:noProof/>
                <w:sz w:val="24"/>
                <w:szCs w:val="24"/>
                <w:lang w:val="en-GB" w:eastAsia="en-GB"/>
              </w:rPr>
              <w:t>9.1 Integrated Plan Overview</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46</w:t>
            </w:r>
            <w:r w:rsidRPr="00416524">
              <w:rPr>
                <w:rFonts w:ascii="Arial" w:hAnsi="Arial" w:cs="Arial"/>
                <w:noProof/>
                <w:webHidden/>
                <w:sz w:val="24"/>
                <w:szCs w:val="24"/>
              </w:rPr>
              <w:fldChar w:fldCharType="end"/>
            </w:r>
          </w:hyperlink>
        </w:p>
        <w:p w14:paraId="44C980B5" w14:textId="331B6357"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397" w:history="1">
            <w:r w:rsidRPr="00416524">
              <w:rPr>
                <w:rStyle w:val="Hyperlink"/>
                <w:rFonts w:ascii="Arial" w:eastAsia="Times New Roman" w:hAnsi="Arial" w:cs="Arial"/>
                <w:noProof/>
                <w:sz w:val="24"/>
                <w:szCs w:val="24"/>
                <w:lang w:val="en-GB" w:eastAsia="en-GB"/>
              </w:rPr>
              <w:t>9.2 Financial Plan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46</w:t>
            </w:r>
            <w:r w:rsidRPr="00416524">
              <w:rPr>
                <w:rFonts w:ascii="Arial" w:hAnsi="Arial" w:cs="Arial"/>
                <w:noProof/>
                <w:webHidden/>
                <w:sz w:val="24"/>
                <w:szCs w:val="24"/>
              </w:rPr>
              <w:fldChar w:fldCharType="end"/>
            </w:r>
          </w:hyperlink>
        </w:p>
        <w:p w14:paraId="015B7B05" w14:textId="4D7AC021"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98" w:history="1">
            <w:r w:rsidRPr="00416524">
              <w:rPr>
                <w:rStyle w:val="Hyperlink"/>
                <w:rFonts w:ascii="Arial" w:eastAsia="Times New Roman" w:hAnsi="Arial" w:cs="Arial"/>
                <w:noProof/>
                <w:sz w:val="24"/>
                <w:szCs w:val="24"/>
                <w:lang w:val="en-GB" w:eastAsia="en-GB"/>
              </w:rPr>
              <w:t>9.2.1 Economic assumptions and business model</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46</w:t>
            </w:r>
            <w:r w:rsidRPr="00416524">
              <w:rPr>
                <w:rFonts w:ascii="Arial" w:hAnsi="Arial" w:cs="Arial"/>
                <w:noProof/>
                <w:webHidden/>
                <w:sz w:val="24"/>
                <w:szCs w:val="24"/>
              </w:rPr>
              <w:fldChar w:fldCharType="end"/>
            </w:r>
          </w:hyperlink>
        </w:p>
        <w:p w14:paraId="2D8B2B6F" w14:textId="5E1C2C5F"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399" w:history="1">
            <w:r w:rsidRPr="00416524">
              <w:rPr>
                <w:rStyle w:val="Hyperlink"/>
                <w:rFonts w:ascii="Arial" w:eastAsia="Times New Roman" w:hAnsi="Arial" w:cs="Arial"/>
                <w:noProof/>
                <w:sz w:val="24"/>
                <w:szCs w:val="24"/>
                <w:lang w:val="en-GB" w:eastAsia="en-GB"/>
              </w:rPr>
              <w:t>9.2.2 Start-up investment and funding</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_Toc239695399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47</w:t>
            </w:r>
            <w:r w:rsidRPr="00416524">
              <w:rPr>
                <w:rFonts w:ascii="Arial" w:hAnsi="Arial" w:cs="Arial"/>
                <w:noProof/>
                <w:webHidden/>
                <w:sz w:val="24"/>
                <w:szCs w:val="24"/>
              </w:rPr>
              <w:fldChar w:fldCharType="end"/>
            </w:r>
          </w:hyperlink>
        </w:p>
        <w:p w14:paraId="4F0E1924" w14:textId="0F2AB547"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0" w:history="1">
            <w:r w:rsidRPr="00416524">
              <w:rPr>
                <w:rStyle w:val="Hyperlink"/>
                <w:rFonts w:ascii="Arial" w:eastAsia="Times New Roman" w:hAnsi="Arial" w:cs="Arial"/>
                <w:noProof/>
                <w:sz w:val="24"/>
                <w:szCs w:val="24"/>
                <w:lang w:val="en-GB" w:eastAsia="en-GB"/>
              </w:rPr>
              <w:t>9.2.3 Operating cost structure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48</w:t>
            </w:r>
            <w:r w:rsidRPr="00416524">
              <w:rPr>
                <w:rFonts w:ascii="Arial" w:hAnsi="Arial" w:cs="Arial"/>
                <w:noProof/>
                <w:webHidden/>
                <w:sz w:val="24"/>
                <w:szCs w:val="24"/>
              </w:rPr>
              <w:fldChar w:fldCharType="end"/>
            </w:r>
          </w:hyperlink>
        </w:p>
        <w:p w14:paraId="6AE75AEC" w14:textId="457FCF3A"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1" w:history="1">
            <w:r w:rsidRPr="00416524">
              <w:rPr>
                <w:rStyle w:val="Hyperlink"/>
                <w:rFonts w:ascii="Arial" w:eastAsia="Times New Roman" w:hAnsi="Arial" w:cs="Arial"/>
                <w:noProof/>
                <w:sz w:val="24"/>
                <w:szCs w:val="24"/>
                <w:lang w:val="en-GB" w:eastAsia="en-GB"/>
              </w:rPr>
              <w:t>9.2.4 Revenue and profitability projection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48</w:t>
            </w:r>
            <w:r w:rsidRPr="00416524">
              <w:rPr>
                <w:rFonts w:ascii="Arial" w:hAnsi="Arial" w:cs="Arial"/>
                <w:noProof/>
                <w:webHidden/>
                <w:sz w:val="24"/>
                <w:szCs w:val="24"/>
              </w:rPr>
              <w:fldChar w:fldCharType="end"/>
            </w:r>
          </w:hyperlink>
        </w:p>
        <w:p w14:paraId="4897F3FD" w14:textId="202974BA"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2" w:history="1">
            <w:r w:rsidRPr="00416524">
              <w:rPr>
                <w:rStyle w:val="Hyperlink"/>
                <w:rFonts w:ascii="Arial" w:eastAsia="Times New Roman" w:hAnsi="Arial" w:cs="Arial"/>
                <w:noProof/>
                <w:sz w:val="24"/>
                <w:szCs w:val="24"/>
                <w:lang w:val="en-GB" w:eastAsia="en-GB"/>
              </w:rPr>
              <w:t>9.2.5 Break-even and sensitivity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49</w:t>
            </w:r>
            <w:r w:rsidRPr="00416524">
              <w:rPr>
                <w:rFonts w:ascii="Arial" w:hAnsi="Arial" w:cs="Arial"/>
                <w:noProof/>
                <w:webHidden/>
                <w:sz w:val="24"/>
                <w:szCs w:val="24"/>
              </w:rPr>
              <w:fldChar w:fldCharType="end"/>
            </w:r>
          </w:hyperlink>
        </w:p>
        <w:p w14:paraId="08780C40" w14:textId="43BC57DC"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03" w:history="1">
            <w:r w:rsidRPr="00416524">
              <w:rPr>
                <w:rStyle w:val="Hyperlink"/>
                <w:rFonts w:ascii="Arial" w:eastAsia="Times New Roman" w:hAnsi="Arial" w:cs="Arial"/>
                <w:noProof/>
                <w:sz w:val="24"/>
                <w:szCs w:val="24"/>
                <w:lang w:val="en-GB" w:eastAsia="en-GB"/>
              </w:rPr>
              <w:t>9.3 Marketing and Sales Plan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49</w:t>
            </w:r>
            <w:r w:rsidRPr="00416524">
              <w:rPr>
                <w:rFonts w:ascii="Arial" w:hAnsi="Arial" w:cs="Arial"/>
                <w:noProof/>
                <w:webHidden/>
                <w:sz w:val="24"/>
                <w:szCs w:val="24"/>
              </w:rPr>
              <w:fldChar w:fldCharType="end"/>
            </w:r>
          </w:hyperlink>
        </w:p>
        <w:p w14:paraId="007AB6D7" w14:textId="090A2946"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4" w:history="1">
            <w:r w:rsidRPr="00416524">
              <w:rPr>
                <w:rStyle w:val="Hyperlink"/>
                <w:rFonts w:ascii="Arial" w:eastAsia="Times New Roman" w:hAnsi="Arial" w:cs="Arial"/>
                <w:noProof/>
                <w:sz w:val="24"/>
                <w:szCs w:val="24"/>
                <w:lang w:val="en-GB" w:eastAsia="en-GB"/>
              </w:rPr>
              <w:t>9.3.1 Segmentation, targeting and positioning</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49</w:t>
            </w:r>
            <w:r w:rsidRPr="00416524">
              <w:rPr>
                <w:rFonts w:ascii="Arial" w:hAnsi="Arial" w:cs="Arial"/>
                <w:noProof/>
                <w:webHidden/>
                <w:sz w:val="24"/>
                <w:szCs w:val="24"/>
              </w:rPr>
              <w:fldChar w:fldCharType="end"/>
            </w:r>
          </w:hyperlink>
        </w:p>
        <w:p w14:paraId="7EC5036F" w14:textId="57FF510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05" w:history="1">
            <w:r w:rsidRPr="00416524">
              <w:rPr>
                <w:rStyle w:val="Hyperlink"/>
                <w:rFonts w:ascii="Arial" w:eastAsia="Times New Roman" w:hAnsi="Arial" w:cs="Arial"/>
                <w:noProof/>
                <w:sz w:val="24"/>
                <w:szCs w:val="24"/>
                <w:lang w:val="en-GB" w:eastAsia="en-GB"/>
              </w:rPr>
              <w:t>9.3.2 Marketing mix: 7Ps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50</w:t>
            </w:r>
            <w:r w:rsidRPr="00416524">
              <w:rPr>
                <w:rFonts w:ascii="Arial" w:hAnsi="Arial" w:cs="Arial"/>
                <w:noProof/>
                <w:webHidden/>
                <w:sz w:val="24"/>
                <w:szCs w:val="24"/>
              </w:rPr>
              <w:fldChar w:fldCharType="end"/>
            </w:r>
          </w:hyperlink>
        </w:p>
        <w:p w14:paraId="6721B568" w14:textId="3ED6CB56"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6" w:history="1">
            <w:r w:rsidRPr="00416524">
              <w:rPr>
                <w:rStyle w:val="Hyperlink"/>
                <w:rFonts w:ascii="Arial" w:eastAsia="Times New Roman" w:hAnsi="Arial" w:cs="Arial"/>
                <w:noProof/>
                <w:sz w:val="24"/>
                <w:szCs w:val="24"/>
                <w:lang w:val="en-GB" w:eastAsia="en-GB"/>
              </w:rPr>
              <w:t>9.3.3 Customer acquisition and sales process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51</w:t>
            </w:r>
            <w:r w:rsidRPr="00416524">
              <w:rPr>
                <w:rFonts w:ascii="Arial" w:hAnsi="Arial" w:cs="Arial"/>
                <w:noProof/>
                <w:webHidden/>
                <w:sz w:val="24"/>
                <w:szCs w:val="24"/>
              </w:rPr>
              <w:fldChar w:fldCharType="end"/>
            </w:r>
          </w:hyperlink>
        </w:p>
        <w:p w14:paraId="1339345F" w14:textId="0144D62A"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07" w:history="1">
            <w:r w:rsidRPr="00416524">
              <w:rPr>
                <w:rStyle w:val="Hyperlink"/>
                <w:rFonts w:ascii="Arial" w:eastAsia="Times New Roman" w:hAnsi="Arial" w:cs="Arial"/>
                <w:noProof/>
                <w:sz w:val="24"/>
                <w:szCs w:val="24"/>
                <w:lang w:val="en-GB" w:eastAsia="en-GB"/>
              </w:rPr>
              <w:t>9.4 Human Capital Management Plan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52</w:t>
            </w:r>
            <w:r w:rsidRPr="00416524">
              <w:rPr>
                <w:rFonts w:ascii="Arial" w:hAnsi="Arial" w:cs="Arial"/>
                <w:noProof/>
                <w:webHidden/>
                <w:sz w:val="24"/>
                <w:szCs w:val="24"/>
              </w:rPr>
              <w:fldChar w:fldCharType="end"/>
            </w:r>
          </w:hyperlink>
        </w:p>
        <w:p w14:paraId="149ACEF8" w14:textId="6E4C60AB"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8" w:history="1">
            <w:r w:rsidRPr="00416524">
              <w:rPr>
                <w:rStyle w:val="Hyperlink"/>
                <w:rFonts w:ascii="Arial" w:eastAsia="Times New Roman" w:hAnsi="Arial" w:cs="Arial"/>
                <w:noProof/>
                <w:sz w:val="24"/>
                <w:szCs w:val="24"/>
                <w:lang w:val="en-GB" w:eastAsia="en-GB"/>
              </w:rPr>
              <w:t>9.4.1 Organisational structure and staffing</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52</w:t>
            </w:r>
            <w:r w:rsidRPr="00416524">
              <w:rPr>
                <w:rFonts w:ascii="Arial" w:hAnsi="Arial" w:cs="Arial"/>
                <w:noProof/>
                <w:webHidden/>
                <w:sz w:val="24"/>
                <w:szCs w:val="24"/>
              </w:rPr>
              <w:fldChar w:fldCharType="end"/>
            </w:r>
          </w:hyperlink>
        </w:p>
        <w:p w14:paraId="1202CB40" w14:textId="3CF8E46D"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09" w:history="1">
            <w:r w:rsidRPr="00416524">
              <w:rPr>
                <w:rStyle w:val="Hyperlink"/>
                <w:rFonts w:ascii="Arial" w:eastAsia="Times New Roman" w:hAnsi="Arial" w:cs="Arial"/>
                <w:noProof/>
                <w:sz w:val="24"/>
                <w:szCs w:val="24"/>
                <w:lang w:val="en-GB" w:eastAsia="en-GB"/>
              </w:rPr>
              <w:t>9.4.2 Recruitment, development and retention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_Toc239695409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52</w:t>
            </w:r>
            <w:r w:rsidRPr="00416524">
              <w:rPr>
                <w:rFonts w:ascii="Arial" w:hAnsi="Arial" w:cs="Arial"/>
                <w:noProof/>
                <w:webHidden/>
                <w:sz w:val="24"/>
                <w:szCs w:val="24"/>
              </w:rPr>
              <w:fldChar w:fldCharType="end"/>
            </w:r>
          </w:hyperlink>
        </w:p>
        <w:p w14:paraId="103C10D9" w14:textId="45A7726E" w:rsidR="00416524" w:rsidRPr="00416524" w:rsidRDefault="00416524" w:rsidP="00416524">
          <w:pPr>
            <w:pStyle w:val="TOC3"/>
            <w:tabs>
              <w:tab w:val="right" w:leader="dot" w:pos="9016"/>
            </w:tabs>
            <w:jc w:val="both"/>
            <w:rPr>
              <w:rFonts w:ascii="Arial" w:eastAsiaTheme="minorEastAsia" w:hAnsi="Arial" w:cs="Arial"/>
              <w:noProof/>
              <w:sz w:val="24"/>
              <w:szCs w:val="24"/>
              <w:lang w:val="en-GB" w:eastAsia="en-GB"/>
            </w:rPr>
          </w:pPr>
          <w:hyperlink w:anchor="_Toc239695410" w:history="1">
            <w:r w:rsidRPr="00416524">
              <w:rPr>
                <w:rStyle w:val="Hyperlink"/>
                <w:rFonts w:ascii="Arial" w:eastAsia="Times New Roman" w:hAnsi="Arial" w:cs="Arial"/>
                <w:noProof/>
                <w:sz w:val="24"/>
                <w:szCs w:val="24"/>
                <w:lang w:val="en-GB" w:eastAsia="en-GB"/>
              </w:rPr>
              <w:t>9.4.3 Employment and operational compliance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_Toc239695410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53</w:t>
            </w:r>
            <w:r w:rsidRPr="00416524">
              <w:rPr>
                <w:rFonts w:ascii="Arial" w:hAnsi="Arial" w:cs="Arial"/>
                <w:noProof/>
                <w:webHidden/>
                <w:sz w:val="24"/>
                <w:szCs w:val="24"/>
              </w:rPr>
              <w:fldChar w:fldCharType="end"/>
            </w:r>
          </w:hyperlink>
        </w:p>
        <w:p w14:paraId="6B5F09F4" w14:textId="5F2ABBC0"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1" w:history="1">
            <w:r w:rsidRPr="00416524">
              <w:rPr>
                <w:rStyle w:val="Hyperlink"/>
                <w:rFonts w:ascii="Arial" w:eastAsia="Times New Roman" w:hAnsi="Arial" w:cs="Arial"/>
                <w:noProof/>
                <w:sz w:val="24"/>
                <w:szCs w:val="24"/>
                <w:lang w:val="en-GB" w:eastAsia="en-GB"/>
              </w:rPr>
              <w:t>9.5 Integration, Scalability and Conclusion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_Toc239695411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53</w:t>
            </w:r>
            <w:r w:rsidRPr="00416524">
              <w:rPr>
                <w:rFonts w:ascii="Arial" w:hAnsi="Arial" w:cs="Arial"/>
                <w:noProof/>
                <w:webHidden/>
                <w:sz w:val="24"/>
                <w:szCs w:val="24"/>
              </w:rPr>
              <w:fldChar w:fldCharType="end"/>
            </w:r>
          </w:hyperlink>
        </w:p>
        <w:p w14:paraId="380DCD87" w14:textId="0542F12A" w:rsidR="00416524" w:rsidRPr="00416524" w:rsidRDefault="00416524" w:rsidP="00416524">
          <w:pPr>
            <w:pStyle w:val="TOC1"/>
            <w:tabs>
              <w:tab w:val="right" w:leader="dot" w:pos="9016"/>
            </w:tabs>
            <w:jc w:val="both"/>
            <w:rPr>
              <w:rFonts w:ascii="Arial" w:eastAsiaTheme="minorEastAsia" w:hAnsi="Arial" w:cs="Arial"/>
              <w:noProof/>
              <w:sz w:val="24"/>
              <w:szCs w:val="24"/>
              <w:lang w:val="en-GB" w:eastAsia="en-GB"/>
            </w:rPr>
          </w:pPr>
          <w:hyperlink w:anchor="_Toc239695412" w:history="1">
            <w:r w:rsidRPr="00416524">
              <w:rPr>
                <w:rStyle w:val="Hyperlink"/>
                <w:rFonts w:ascii="Arial" w:eastAsia="Times New Roman" w:hAnsi="Arial" w:cs="Arial"/>
                <w:noProof/>
                <w:sz w:val="24"/>
                <w:szCs w:val="24"/>
                <w:lang w:val="en-GB" w:eastAsia="en-GB"/>
              </w:rPr>
              <w:t>Chapter 10: Operations Plan</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_Toc239695412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54</w:t>
            </w:r>
            <w:r w:rsidRPr="00416524">
              <w:rPr>
                <w:rFonts w:ascii="Arial" w:hAnsi="Arial" w:cs="Arial"/>
                <w:noProof/>
                <w:webHidden/>
                <w:sz w:val="24"/>
                <w:szCs w:val="24"/>
              </w:rPr>
              <w:fldChar w:fldCharType="end"/>
            </w:r>
          </w:hyperlink>
        </w:p>
        <w:p w14:paraId="04927F80" w14:textId="0EAA1BEE"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3" w:history="1">
            <w:r w:rsidRPr="00416524">
              <w:rPr>
                <w:rStyle w:val="Hyperlink"/>
                <w:rFonts w:ascii="Arial" w:eastAsia="Times New Roman" w:hAnsi="Arial" w:cs="Arial"/>
                <w:noProof/>
                <w:sz w:val="24"/>
                <w:szCs w:val="24"/>
                <w:lang w:val="en-GB" w:eastAsia="en-GB"/>
              </w:rPr>
              <w:t>10.1 Operating Model</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_Toc239695413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54</w:t>
            </w:r>
            <w:r w:rsidRPr="00416524">
              <w:rPr>
                <w:rFonts w:ascii="Arial" w:hAnsi="Arial" w:cs="Arial"/>
                <w:noProof/>
                <w:webHidden/>
                <w:sz w:val="24"/>
                <w:szCs w:val="24"/>
              </w:rPr>
              <w:fldChar w:fldCharType="end"/>
            </w:r>
          </w:hyperlink>
        </w:p>
        <w:p w14:paraId="0332019C" w14:textId="32368669"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4" w:history="1">
            <w:r w:rsidRPr="00416524">
              <w:rPr>
                <w:rStyle w:val="Hyperlink"/>
                <w:rFonts w:ascii="Arial" w:eastAsia="Times New Roman" w:hAnsi="Arial" w:cs="Arial"/>
                <w:noProof/>
                <w:sz w:val="24"/>
                <w:szCs w:val="24"/>
                <w:lang w:val="en-GB" w:eastAsia="en-GB"/>
              </w:rPr>
              <w:t>10.2 Operational Workflow and Capacity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_Toc239695414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54</w:t>
            </w:r>
            <w:r w:rsidRPr="00416524">
              <w:rPr>
                <w:rFonts w:ascii="Arial" w:hAnsi="Arial" w:cs="Arial"/>
                <w:noProof/>
                <w:webHidden/>
                <w:sz w:val="24"/>
                <w:szCs w:val="24"/>
              </w:rPr>
              <w:fldChar w:fldCharType="end"/>
            </w:r>
          </w:hyperlink>
        </w:p>
        <w:p w14:paraId="30746250" w14:textId="1CC1CDFB"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5" w:history="1">
            <w:r w:rsidRPr="00416524">
              <w:rPr>
                <w:rStyle w:val="Hyperlink"/>
                <w:rFonts w:ascii="Arial" w:eastAsia="Times New Roman" w:hAnsi="Arial" w:cs="Arial"/>
                <w:noProof/>
                <w:sz w:val="24"/>
                <w:szCs w:val="24"/>
                <w:lang w:val="en-GB" w:eastAsia="en-GB"/>
              </w:rPr>
              <w:t>10.3 Location, Facilities, Equipment and Technology</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_Toc239695415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55</w:t>
            </w:r>
            <w:r w:rsidRPr="00416524">
              <w:rPr>
                <w:rFonts w:ascii="Arial" w:hAnsi="Arial" w:cs="Arial"/>
                <w:noProof/>
                <w:webHidden/>
                <w:sz w:val="24"/>
                <w:szCs w:val="24"/>
              </w:rPr>
              <w:fldChar w:fldCharType="end"/>
            </w:r>
          </w:hyperlink>
        </w:p>
        <w:p w14:paraId="7BEC6A15" w14:textId="1BB54EE4"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6" w:history="1">
            <w:r w:rsidRPr="00416524">
              <w:rPr>
                <w:rStyle w:val="Hyperlink"/>
                <w:rFonts w:ascii="Arial" w:eastAsia="Times New Roman" w:hAnsi="Arial" w:cs="Arial"/>
                <w:noProof/>
                <w:sz w:val="24"/>
                <w:szCs w:val="24"/>
                <w:lang w:val="en-GB" w:eastAsia="en-GB"/>
              </w:rPr>
              <w:t>10.4 Supply Chain, Procurement, Inventory and Logistic</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_Toc239695416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55</w:t>
            </w:r>
            <w:r w:rsidRPr="00416524">
              <w:rPr>
                <w:rFonts w:ascii="Arial" w:hAnsi="Arial" w:cs="Arial"/>
                <w:noProof/>
                <w:webHidden/>
                <w:sz w:val="24"/>
                <w:szCs w:val="24"/>
              </w:rPr>
              <w:fldChar w:fldCharType="end"/>
            </w:r>
          </w:hyperlink>
        </w:p>
        <w:p w14:paraId="37AEA25D" w14:textId="6E604BF2"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7" w:history="1">
            <w:r w:rsidRPr="00416524">
              <w:rPr>
                <w:rStyle w:val="Hyperlink"/>
                <w:rFonts w:ascii="Arial" w:eastAsia="Times New Roman" w:hAnsi="Arial" w:cs="Arial"/>
                <w:noProof/>
                <w:sz w:val="24"/>
                <w:szCs w:val="24"/>
                <w:lang w:val="en-GB" w:eastAsia="en-GB"/>
              </w:rPr>
              <w:t>10.5 Quality, Compliance and Operational Controls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_Toc239695417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56</w:t>
            </w:r>
            <w:r w:rsidRPr="00416524">
              <w:rPr>
                <w:rFonts w:ascii="Arial" w:hAnsi="Arial" w:cs="Arial"/>
                <w:noProof/>
                <w:webHidden/>
                <w:sz w:val="24"/>
                <w:szCs w:val="24"/>
              </w:rPr>
              <w:fldChar w:fldCharType="end"/>
            </w:r>
          </w:hyperlink>
        </w:p>
        <w:p w14:paraId="419791A4" w14:textId="7AD1BA5A" w:rsidR="00416524" w:rsidRPr="00416524" w:rsidRDefault="00416524" w:rsidP="00416524">
          <w:pPr>
            <w:pStyle w:val="TOC2"/>
            <w:tabs>
              <w:tab w:val="right" w:leader="dot" w:pos="9016"/>
            </w:tabs>
            <w:jc w:val="both"/>
            <w:rPr>
              <w:rFonts w:ascii="Arial" w:eastAsiaTheme="minorEastAsia" w:hAnsi="Arial" w:cs="Arial"/>
              <w:noProof/>
              <w:sz w:val="24"/>
              <w:szCs w:val="24"/>
              <w:lang w:val="en-GB" w:eastAsia="en-GB"/>
            </w:rPr>
          </w:pPr>
          <w:hyperlink w:anchor="_Toc239695418" w:history="1">
            <w:r w:rsidRPr="00416524">
              <w:rPr>
                <w:rStyle w:val="Hyperlink"/>
                <w:rFonts w:ascii="Arial" w:eastAsia="Times New Roman" w:hAnsi="Arial" w:cs="Arial"/>
                <w:noProof/>
                <w:sz w:val="24"/>
                <w:szCs w:val="24"/>
                <w:lang w:val="en-GB" w:eastAsia="en-GB"/>
              </w:rPr>
              <w:t>10.6 Operational Synthesis</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_Toc239695418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57</w:t>
            </w:r>
            <w:r w:rsidRPr="00416524">
              <w:rPr>
                <w:rFonts w:ascii="Arial" w:hAnsi="Arial" w:cs="Arial"/>
                <w:noProof/>
                <w:webHidden/>
                <w:sz w:val="24"/>
                <w:szCs w:val="24"/>
              </w:rPr>
              <w:fldChar w:fldCharType="end"/>
            </w:r>
          </w:hyperlink>
        </w:p>
        <w:p w14:paraId="6EBB21D5" w14:textId="73C14781" w:rsidR="00416524" w:rsidRDefault="00416524" w:rsidP="00416524">
          <w:pPr>
            <w:pStyle w:val="TOC1"/>
            <w:tabs>
              <w:tab w:val="right" w:leader="dot" w:pos="9016"/>
            </w:tabs>
            <w:jc w:val="both"/>
            <w:rPr>
              <w:rFonts w:eastAsiaTheme="minorEastAsia"/>
              <w:noProof/>
              <w:lang w:val="en-GB" w:eastAsia="en-GB"/>
            </w:rPr>
          </w:pPr>
          <w:hyperlink w:anchor="_Toc239695419" w:history="1">
            <w:r w:rsidRPr="00416524">
              <w:rPr>
                <w:rStyle w:val="Hyperlink"/>
                <w:rFonts w:ascii="Arial" w:eastAsia="Times New Roman" w:hAnsi="Arial" w:cs="Arial"/>
                <w:noProof/>
                <w:sz w:val="24"/>
                <w:szCs w:val="24"/>
                <w:lang w:val="en-GB" w:eastAsia="en-GB"/>
              </w:rPr>
              <w:t>Reference</w:t>
            </w:r>
            <w:r w:rsidRPr="00416524">
              <w:rPr>
                <w:rFonts w:ascii="Arial" w:hAnsi="Arial" w:cs="Arial"/>
                <w:noProof/>
                <w:webHidden/>
                <w:sz w:val="24"/>
                <w:szCs w:val="24"/>
              </w:rPr>
              <w:tab/>
            </w:r>
            <w:r w:rsidRPr="00416524">
              <w:rPr>
                <w:rFonts w:ascii="Arial" w:hAnsi="Arial" w:cs="Arial"/>
                <w:noProof/>
                <w:webHidden/>
                <w:sz w:val="24"/>
                <w:szCs w:val="24"/>
              </w:rPr>
              <w:fldChar w:fldCharType="begin"/>
            </w:r>
            <w:r w:rsidRPr="00416524">
              <w:rPr>
                <w:rFonts w:ascii="Arial" w:hAnsi="Arial" w:cs="Arial"/>
                <w:noProof/>
                <w:webHidden/>
                <w:sz w:val="24"/>
                <w:szCs w:val="24"/>
              </w:rPr>
              <w:instrText xml:space="preserve"> PAGEREF _Toc239695419 \h </w:instrText>
            </w:r>
            <w:r w:rsidRPr="00416524">
              <w:rPr>
                <w:rFonts w:ascii="Arial" w:hAnsi="Arial" w:cs="Arial"/>
                <w:noProof/>
                <w:webHidden/>
                <w:sz w:val="24"/>
                <w:szCs w:val="24"/>
              </w:rPr>
            </w:r>
            <w:r w:rsidRPr="00416524">
              <w:rPr>
                <w:rFonts w:ascii="Arial" w:hAnsi="Arial" w:cs="Arial"/>
                <w:noProof/>
                <w:webHidden/>
                <w:sz w:val="24"/>
                <w:szCs w:val="24"/>
              </w:rPr>
              <w:fldChar w:fldCharType="separate"/>
            </w:r>
            <w:r w:rsidRPr="00416524">
              <w:rPr>
                <w:rFonts w:ascii="Arial" w:hAnsi="Arial" w:cs="Arial"/>
                <w:noProof/>
                <w:webHidden/>
                <w:sz w:val="24"/>
                <w:szCs w:val="24"/>
              </w:rPr>
              <w:t>58</w:t>
            </w:r>
            <w:r w:rsidRPr="00416524">
              <w:rPr>
                <w:rFonts w:ascii="Arial" w:hAnsi="Arial" w:cs="Arial"/>
                <w:noProof/>
                <w:webHidden/>
                <w:sz w:val="24"/>
                <w:szCs w:val="24"/>
              </w:rPr>
              <w:fldChar w:fldCharType="end"/>
            </w:r>
          </w:hyperlink>
        </w:p>
        <w:p w14:paraId="0B0AB942" w14:textId="217F6985" w:rsidR="00A31DCA" w:rsidRPr="0092558D" w:rsidRDefault="00A31DCA" w:rsidP="0092558D">
          <w:pPr>
            <w:jc w:val="both"/>
            <w:rPr>
              <w:rFonts w:ascii="Arial" w:hAnsi="Arial" w:cs="Arial"/>
              <w:sz w:val="24"/>
              <w:szCs w:val="24"/>
              <w:lang w:val="en-GB"/>
            </w:rPr>
          </w:pPr>
          <w:r w:rsidRPr="0092558D">
            <w:rPr>
              <w:rFonts w:ascii="Arial" w:hAnsi="Arial" w:cs="Arial"/>
              <w:bCs/>
              <w:noProof/>
              <w:sz w:val="24"/>
              <w:szCs w:val="24"/>
              <w:lang w:val="en-GB"/>
            </w:rPr>
            <w:fldChar w:fldCharType="end"/>
          </w:r>
        </w:p>
      </w:sdtContent>
    </w:sdt>
    <w:p w14:paraId="1322BE4C" w14:textId="77777777" w:rsidR="00E10813" w:rsidRDefault="00E10813" w:rsidP="00EE305D">
      <w:pPr>
        <w:jc w:val="center"/>
        <w:rPr>
          <w:rFonts w:ascii="Arial" w:hAnsi="Arial" w:cs="Arial"/>
          <w:sz w:val="24"/>
          <w:szCs w:val="24"/>
          <w:lang w:val="en-GB"/>
        </w:rPr>
      </w:pPr>
    </w:p>
    <w:p w14:paraId="5438C0D5" w14:textId="77777777" w:rsidR="00E10813" w:rsidRDefault="00E10813" w:rsidP="00EE305D">
      <w:pPr>
        <w:jc w:val="center"/>
        <w:rPr>
          <w:rFonts w:ascii="Arial" w:hAnsi="Arial" w:cs="Arial"/>
          <w:sz w:val="24"/>
          <w:szCs w:val="24"/>
          <w:lang w:val="en-GB"/>
        </w:rPr>
      </w:pPr>
    </w:p>
    <w:p w14:paraId="386913B3" w14:textId="77777777" w:rsidR="00E10813" w:rsidRDefault="00E10813" w:rsidP="00EE305D">
      <w:pPr>
        <w:jc w:val="center"/>
        <w:rPr>
          <w:rFonts w:ascii="Arial" w:hAnsi="Arial" w:cs="Arial"/>
          <w:sz w:val="24"/>
          <w:szCs w:val="24"/>
          <w:lang w:val="en-GB"/>
        </w:rPr>
      </w:pPr>
    </w:p>
    <w:p w14:paraId="68C6C127" w14:textId="77777777" w:rsidR="00E10813" w:rsidRDefault="00E10813" w:rsidP="00EE305D">
      <w:pPr>
        <w:jc w:val="center"/>
        <w:rPr>
          <w:rFonts w:ascii="Arial" w:hAnsi="Arial" w:cs="Arial"/>
          <w:sz w:val="24"/>
          <w:szCs w:val="24"/>
          <w:lang w:val="en-GB"/>
        </w:rPr>
      </w:pPr>
    </w:p>
    <w:p w14:paraId="3EAB928E" w14:textId="77777777" w:rsidR="00E10813" w:rsidRDefault="00E10813" w:rsidP="00EE305D">
      <w:pPr>
        <w:jc w:val="center"/>
        <w:rPr>
          <w:rFonts w:ascii="Arial" w:hAnsi="Arial" w:cs="Arial"/>
          <w:sz w:val="24"/>
          <w:szCs w:val="24"/>
          <w:lang w:val="en-GB"/>
        </w:rPr>
      </w:pPr>
    </w:p>
    <w:p w14:paraId="4E84AE50" w14:textId="77777777" w:rsidR="00E10813" w:rsidRDefault="00E10813" w:rsidP="00EE305D">
      <w:pPr>
        <w:jc w:val="center"/>
        <w:rPr>
          <w:rFonts w:ascii="Arial" w:hAnsi="Arial" w:cs="Arial"/>
          <w:sz w:val="24"/>
          <w:szCs w:val="24"/>
          <w:lang w:val="en-GB"/>
        </w:rPr>
      </w:pPr>
    </w:p>
    <w:p w14:paraId="68603D91" w14:textId="297A2907" w:rsidR="00EE305D" w:rsidRDefault="0092558D" w:rsidP="00EE305D">
      <w:pPr>
        <w:jc w:val="center"/>
        <w:rPr>
          <w:rFonts w:ascii="Arial" w:hAnsi="Arial" w:cs="Arial"/>
          <w:b/>
          <w:bCs/>
          <w:sz w:val="28"/>
        </w:rPr>
      </w:pPr>
      <w:r>
        <w:rPr>
          <w:rFonts w:ascii="Arial" w:hAnsi="Arial" w:cs="Arial"/>
          <w:sz w:val="24"/>
          <w:szCs w:val="24"/>
          <w:lang w:val="en-GB"/>
        </w:rPr>
        <w:lastRenderedPageBreak/>
        <w:t xml:space="preserve"> </w:t>
      </w:r>
      <w:r w:rsidR="00EE305D" w:rsidRPr="003A3104">
        <w:rPr>
          <w:rFonts w:ascii="Arial" w:hAnsi="Arial" w:cs="Arial"/>
          <w:b/>
          <w:bCs/>
          <w:sz w:val="28"/>
        </w:rPr>
        <w:t>List of Table</w:t>
      </w:r>
    </w:p>
    <w:p w14:paraId="3FD28A98" w14:textId="2A20CED9" w:rsidR="00E10813" w:rsidRDefault="00E10813">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"Table" </w:instrText>
      </w:r>
      <w:r>
        <w:rPr>
          <w:rFonts w:ascii="Arial" w:hAnsi="Arial" w:cs="Arial"/>
          <w:sz w:val="24"/>
          <w:szCs w:val="24"/>
          <w:lang w:val="en-GB"/>
        </w:rPr>
        <w:fldChar w:fldCharType="separate"/>
      </w:r>
      <w:hyperlink w:anchor="_Toc239695420" w:history="1">
        <w:r w:rsidRPr="00A765F9">
          <w:rPr>
            <w:rStyle w:val="Hyperlink"/>
            <w:rFonts w:ascii="Arial" w:hAnsi="Arial" w:cs="Arial"/>
            <w:noProof/>
          </w:rPr>
          <w:t>Table 1: Local Customer Pools and Demand Characteristics</w:t>
        </w:r>
        <w:r>
          <w:rPr>
            <w:noProof/>
            <w:webHidden/>
          </w:rPr>
          <w:tab/>
        </w:r>
        <w:r>
          <w:rPr>
            <w:noProof/>
            <w:webHidden/>
          </w:rPr>
          <w:fldChar w:fldCharType="begin"/>
        </w:r>
        <w:r>
          <w:rPr>
            <w:noProof/>
            <w:webHidden/>
          </w:rPr>
          <w:instrText xml:space="preserve"> PAGEREF _Toc239695420 \h </w:instrText>
        </w:r>
        <w:r>
          <w:rPr>
            <w:noProof/>
            <w:webHidden/>
          </w:rPr>
        </w:r>
        <w:r>
          <w:rPr>
            <w:noProof/>
            <w:webHidden/>
          </w:rPr>
          <w:fldChar w:fldCharType="separate"/>
        </w:r>
        <w:r>
          <w:rPr>
            <w:noProof/>
            <w:webHidden/>
          </w:rPr>
          <w:t>18</w:t>
        </w:r>
        <w:r>
          <w:rPr>
            <w:noProof/>
            <w:webHidden/>
          </w:rPr>
          <w:fldChar w:fldCharType="end"/>
        </w:r>
      </w:hyperlink>
    </w:p>
    <w:p w14:paraId="0B1BCE4D" w14:textId="03AA38DA" w:rsidR="00E10813" w:rsidRDefault="00E10813">
      <w:pPr>
        <w:pStyle w:val="TableofFigures"/>
        <w:tabs>
          <w:tab w:val="right" w:leader="dot" w:pos="9016"/>
        </w:tabs>
        <w:rPr>
          <w:rFonts w:eastAsiaTheme="minorEastAsia"/>
          <w:noProof/>
          <w:lang w:val="en-GB" w:eastAsia="en-GB"/>
        </w:rPr>
      </w:pPr>
      <w:hyperlink w:anchor="_Toc239695421" w:history="1">
        <w:r w:rsidRPr="00A765F9">
          <w:rPr>
            <w:rStyle w:val="Hyperlink"/>
            <w:rFonts w:ascii="Arial" w:hAnsi="Arial" w:cs="Arial"/>
            <w:noProof/>
          </w:rPr>
          <w:t>Table 2: Illustrative Local Demand Scenario</w:t>
        </w:r>
        <w:r>
          <w:rPr>
            <w:noProof/>
            <w:webHidden/>
          </w:rPr>
          <w:tab/>
        </w:r>
        <w:r>
          <w:rPr>
            <w:noProof/>
            <w:webHidden/>
          </w:rPr>
          <w:fldChar w:fldCharType="begin"/>
        </w:r>
        <w:r>
          <w:rPr>
            <w:noProof/>
            <w:webHidden/>
          </w:rPr>
          <w:instrText xml:space="preserve"> PAGEREF _Toc239695421 \h </w:instrText>
        </w:r>
        <w:r>
          <w:rPr>
            <w:noProof/>
            <w:webHidden/>
          </w:rPr>
        </w:r>
        <w:r>
          <w:rPr>
            <w:noProof/>
            <w:webHidden/>
          </w:rPr>
          <w:fldChar w:fldCharType="separate"/>
        </w:r>
        <w:r>
          <w:rPr>
            <w:noProof/>
            <w:webHidden/>
          </w:rPr>
          <w:t>19</w:t>
        </w:r>
        <w:r>
          <w:rPr>
            <w:noProof/>
            <w:webHidden/>
          </w:rPr>
          <w:fldChar w:fldCharType="end"/>
        </w:r>
      </w:hyperlink>
    </w:p>
    <w:p w14:paraId="44C614B9" w14:textId="259823BE" w:rsidR="00E10813" w:rsidRDefault="00E10813">
      <w:pPr>
        <w:pStyle w:val="TableofFigures"/>
        <w:tabs>
          <w:tab w:val="right" w:leader="dot" w:pos="9016"/>
        </w:tabs>
        <w:rPr>
          <w:rFonts w:eastAsiaTheme="minorEastAsia"/>
          <w:noProof/>
          <w:lang w:val="en-GB" w:eastAsia="en-GB"/>
        </w:rPr>
      </w:pPr>
      <w:hyperlink w:anchor="_Toc239695422" w:history="1">
        <w:r w:rsidRPr="00A765F9">
          <w:rPr>
            <w:rStyle w:val="Hyperlink"/>
            <w:rFonts w:ascii="Arial" w:hAnsi="Arial" w:cs="Arial"/>
            <w:noProof/>
          </w:rPr>
          <w:t>Table 3: Indicative Market Opportunity</w:t>
        </w:r>
        <w:r>
          <w:rPr>
            <w:noProof/>
            <w:webHidden/>
          </w:rPr>
          <w:tab/>
        </w:r>
        <w:r>
          <w:rPr>
            <w:noProof/>
            <w:webHidden/>
          </w:rPr>
          <w:fldChar w:fldCharType="begin"/>
        </w:r>
        <w:r>
          <w:rPr>
            <w:noProof/>
            <w:webHidden/>
          </w:rPr>
          <w:instrText xml:space="preserve"> PAGEREF _Toc239695422 \h </w:instrText>
        </w:r>
        <w:r>
          <w:rPr>
            <w:noProof/>
            <w:webHidden/>
          </w:rPr>
        </w:r>
        <w:r>
          <w:rPr>
            <w:noProof/>
            <w:webHidden/>
          </w:rPr>
          <w:fldChar w:fldCharType="separate"/>
        </w:r>
        <w:r>
          <w:rPr>
            <w:noProof/>
            <w:webHidden/>
          </w:rPr>
          <w:t>22</w:t>
        </w:r>
        <w:r>
          <w:rPr>
            <w:noProof/>
            <w:webHidden/>
          </w:rPr>
          <w:fldChar w:fldCharType="end"/>
        </w:r>
      </w:hyperlink>
    </w:p>
    <w:p w14:paraId="7E15D23F" w14:textId="7A3B0A0D" w:rsidR="00E10813" w:rsidRDefault="00E10813">
      <w:pPr>
        <w:pStyle w:val="TableofFigures"/>
        <w:tabs>
          <w:tab w:val="right" w:leader="dot" w:pos="9016"/>
        </w:tabs>
        <w:rPr>
          <w:rFonts w:eastAsiaTheme="minorEastAsia"/>
          <w:noProof/>
          <w:lang w:val="en-GB" w:eastAsia="en-GB"/>
        </w:rPr>
      </w:pPr>
      <w:hyperlink w:anchor="_Toc239695423" w:history="1">
        <w:r w:rsidRPr="00A765F9">
          <w:rPr>
            <w:rStyle w:val="Hyperlink"/>
            <w:rFonts w:ascii="Arial" w:hAnsi="Arial" w:cs="Arial"/>
            <w:noProof/>
          </w:rPr>
          <w:t>Table 4: Competitor Comparison</w:t>
        </w:r>
        <w:r>
          <w:rPr>
            <w:noProof/>
            <w:webHidden/>
          </w:rPr>
          <w:tab/>
        </w:r>
        <w:r>
          <w:rPr>
            <w:noProof/>
            <w:webHidden/>
          </w:rPr>
          <w:fldChar w:fldCharType="begin"/>
        </w:r>
        <w:r>
          <w:rPr>
            <w:noProof/>
            <w:webHidden/>
          </w:rPr>
          <w:instrText xml:space="preserve"> PAGEREF _Toc239695423 \h </w:instrText>
        </w:r>
        <w:r>
          <w:rPr>
            <w:noProof/>
            <w:webHidden/>
          </w:rPr>
        </w:r>
        <w:r>
          <w:rPr>
            <w:noProof/>
            <w:webHidden/>
          </w:rPr>
          <w:fldChar w:fldCharType="separate"/>
        </w:r>
        <w:r>
          <w:rPr>
            <w:noProof/>
            <w:webHidden/>
          </w:rPr>
          <w:t>25</w:t>
        </w:r>
        <w:r>
          <w:rPr>
            <w:noProof/>
            <w:webHidden/>
          </w:rPr>
          <w:fldChar w:fldCharType="end"/>
        </w:r>
      </w:hyperlink>
    </w:p>
    <w:p w14:paraId="262FC14F" w14:textId="4D9B6753" w:rsidR="00E10813" w:rsidRDefault="00E10813">
      <w:pPr>
        <w:pStyle w:val="TableofFigures"/>
        <w:tabs>
          <w:tab w:val="right" w:leader="dot" w:pos="9016"/>
        </w:tabs>
        <w:rPr>
          <w:rFonts w:eastAsiaTheme="minorEastAsia"/>
          <w:noProof/>
          <w:lang w:val="en-GB" w:eastAsia="en-GB"/>
        </w:rPr>
      </w:pPr>
      <w:hyperlink w:anchor="_Toc239695424" w:history="1">
        <w:r w:rsidRPr="00A765F9">
          <w:rPr>
            <w:rStyle w:val="Hyperlink"/>
            <w:rFonts w:ascii="Arial" w:hAnsi="Arial" w:cs="Arial"/>
            <w:noProof/>
          </w:rPr>
          <w:t>Table 5: Five Forces Assessment</w:t>
        </w:r>
        <w:r>
          <w:rPr>
            <w:noProof/>
            <w:webHidden/>
          </w:rPr>
          <w:tab/>
        </w:r>
        <w:r>
          <w:rPr>
            <w:noProof/>
            <w:webHidden/>
          </w:rPr>
          <w:fldChar w:fldCharType="begin"/>
        </w:r>
        <w:r>
          <w:rPr>
            <w:noProof/>
            <w:webHidden/>
          </w:rPr>
          <w:instrText xml:space="preserve"> PAGEREF _Toc239695424 \h </w:instrText>
        </w:r>
        <w:r>
          <w:rPr>
            <w:noProof/>
            <w:webHidden/>
          </w:rPr>
        </w:r>
        <w:r>
          <w:rPr>
            <w:noProof/>
            <w:webHidden/>
          </w:rPr>
          <w:fldChar w:fldCharType="separate"/>
        </w:r>
        <w:r>
          <w:rPr>
            <w:noProof/>
            <w:webHidden/>
          </w:rPr>
          <w:t>28</w:t>
        </w:r>
        <w:r>
          <w:rPr>
            <w:noProof/>
            <w:webHidden/>
          </w:rPr>
          <w:fldChar w:fldCharType="end"/>
        </w:r>
      </w:hyperlink>
    </w:p>
    <w:p w14:paraId="1117C872" w14:textId="7E415405" w:rsidR="00E10813" w:rsidRDefault="00E10813">
      <w:pPr>
        <w:pStyle w:val="TableofFigures"/>
        <w:tabs>
          <w:tab w:val="right" w:leader="dot" w:pos="9016"/>
        </w:tabs>
        <w:rPr>
          <w:rFonts w:eastAsiaTheme="minorEastAsia"/>
          <w:noProof/>
          <w:lang w:val="en-GB" w:eastAsia="en-GB"/>
        </w:rPr>
      </w:pPr>
      <w:hyperlink w:anchor="_Toc239695425" w:history="1">
        <w:r w:rsidRPr="00A765F9">
          <w:rPr>
            <w:rStyle w:val="Hyperlink"/>
            <w:rFonts w:ascii="Arial" w:hAnsi="Arial" w:cs="Arial"/>
            <w:noProof/>
          </w:rPr>
          <w:t>Table 6: PESTLE Analysis</w:t>
        </w:r>
        <w:r>
          <w:rPr>
            <w:noProof/>
            <w:webHidden/>
          </w:rPr>
          <w:tab/>
        </w:r>
        <w:r>
          <w:rPr>
            <w:noProof/>
            <w:webHidden/>
          </w:rPr>
          <w:fldChar w:fldCharType="begin"/>
        </w:r>
        <w:r>
          <w:rPr>
            <w:noProof/>
            <w:webHidden/>
          </w:rPr>
          <w:instrText xml:space="preserve"> PAGEREF _Toc239695425 \h </w:instrText>
        </w:r>
        <w:r>
          <w:rPr>
            <w:noProof/>
            <w:webHidden/>
          </w:rPr>
        </w:r>
        <w:r>
          <w:rPr>
            <w:noProof/>
            <w:webHidden/>
          </w:rPr>
          <w:fldChar w:fldCharType="separate"/>
        </w:r>
        <w:r>
          <w:rPr>
            <w:noProof/>
            <w:webHidden/>
          </w:rPr>
          <w:t>30</w:t>
        </w:r>
        <w:r>
          <w:rPr>
            <w:noProof/>
            <w:webHidden/>
          </w:rPr>
          <w:fldChar w:fldCharType="end"/>
        </w:r>
      </w:hyperlink>
    </w:p>
    <w:p w14:paraId="58718199" w14:textId="08B030B9" w:rsidR="00E10813" w:rsidRDefault="00E10813">
      <w:pPr>
        <w:pStyle w:val="TableofFigures"/>
        <w:tabs>
          <w:tab w:val="right" w:leader="dot" w:pos="9016"/>
        </w:tabs>
        <w:rPr>
          <w:rFonts w:eastAsiaTheme="minorEastAsia"/>
          <w:noProof/>
          <w:lang w:val="en-GB" w:eastAsia="en-GB"/>
        </w:rPr>
      </w:pPr>
      <w:hyperlink w:anchor="_Toc239695426" w:history="1">
        <w:r w:rsidRPr="00A765F9">
          <w:rPr>
            <w:rStyle w:val="Hyperlink"/>
            <w:rFonts w:ascii="Arial" w:hAnsi="Arial" w:cs="Arial"/>
            <w:noProof/>
          </w:rPr>
          <w:t>Table 7.: VRIO Analysis of The Ethical Bean Coffee House</w:t>
        </w:r>
        <w:r>
          <w:rPr>
            <w:noProof/>
            <w:webHidden/>
          </w:rPr>
          <w:tab/>
        </w:r>
        <w:r>
          <w:rPr>
            <w:noProof/>
            <w:webHidden/>
          </w:rPr>
          <w:fldChar w:fldCharType="begin"/>
        </w:r>
        <w:r>
          <w:rPr>
            <w:noProof/>
            <w:webHidden/>
          </w:rPr>
          <w:instrText xml:space="preserve"> PAGEREF _Toc239695426 \h </w:instrText>
        </w:r>
        <w:r>
          <w:rPr>
            <w:noProof/>
            <w:webHidden/>
          </w:rPr>
        </w:r>
        <w:r>
          <w:rPr>
            <w:noProof/>
            <w:webHidden/>
          </w:rPr>
          <w:fldChar w:fldCharType="separate"/>
        </w:r>
        <w:r>
          <w:rPr>
            <w:noProof/>
            <w:webHidden/>
          </w:rPr>
          <w:t>35</w:t>
        </w:r>
        <w:r>
          <w:rPr>
            <w:noProof/>
            <w:webHidden/>
          </w:rPr>
          <w:fldChar w:fldCharType="end"/>
        </w:r>
      </w:hyperlink>
    </w:p>
    <w:p w14:paraId="1585AFAA" w14:textId="6747D59D" w:rsidR="00E10813" w:rsidRDefault="00E10813">
      <w:pPr>
        <w:pStyle w:val="TableofFigures"/>
        <w:tabs>
          <w:tab w:val="right" w:leader="dot" w:pos="9016"/>
        </w:tabs>
        <w:rPr>
          <w:rFonts w:eastAsiaTheme="minorEastAsia"/>
          <w:noProof/>
          <w:lang w:val="en-GB" w:eastAsia="en-GB"/>
        </w:rPr>
      </w:pPr>
      <w:hyperlink w:anchor="_Toc239695427" w:history="1">
        <w:r w:rsidRPr="00A765F9">
          <w:rPr>
            <w:rStyle w:val="Hyperlink"/>
            <w:rFonts w:ascii="Arial" w:hAnsi="Arial" w:cs="Arial"/>
            <w:noProof/>
          </w:rPr>
          <w:t>Table 8: SWOT Analysis of The Ethical Bean Coffee House</w:t>
        </w:r>
        <w:r>
          <w:rPr>
            <w:noProof/>
            <w:webHidden/>
          </w:rPr>
          <w:tab/>
        </w:r>
        <w:r>
          <w:rPr>
            <w:noProof/>
            <w:webHidden/>
          </w:rPr>
          <w:fldChar w:fldCharType="begin"/>
        </w:r>
        <w:r>
          <w:rPr>
            <w:noProof/>
            <w:webHidden/>
          </w:rPr>
          <w:instrText xml:space="preserve"> PAGEREF _Toc239695427 \h </w:instrText>
        </w:r>
        <w:r>
          <w:rPr>
            <w:noProof/>
            <w:webHidden/>
          </w:rPr>
        </w:r>
        <w:r>
          <w:rPr>
            <w:noProof/>
            <w:webHidden/>
          </w:rPr>
          <w:fldChar w:fldCharType="separate"/>
        </w:r>
        <w:r>
          <w:rPr>
            <w:noProof/>
            <w:webHidden/>
          </w:rPr>
          <w:t>36</w:t>
        </w:r>
        <w:r>
          <w:rPr>
            <w:noProof/>
            <w:webHidden/>
          </w:rPr>
          <w:fldChar w:fldCharType="end"/>
        </w:r>
      </w:hyperlink>
    </w:p>
    <w:p w14:paraId="44B0C182" w14:textId="148F3D6C" w:rsidR="00E10813" w:rsidRDefault="00E10813">
      <w:pPr>
        <w:pStyle w:val="TableofFigures"/>
        <w:tabs>
          <w:tab w:val="right" w:leader="dot" w:pos="9016"/>
        </w:tabs>
        <w:rPr>
          <w:rFonts w:eastAsiaTheme="minorEastAsia"/>
          <w:noProof/>
          <w:lang w:val="en-GB" w:eastAsia="en-GB"/>
        </w:rPr>
      </w:pPr>
      <w:hyperlink w:anchor="_Toc239695428" w:history="1">
        <w:r w:rsidRPr="00A765F9">
          <w:rPr>
            <w:rStyle w:val="Hyperlink"/>
            <w:rFonts w:ascii="Arial" w:hAnsi="Arial" w:cs="Arial"/>
            <w:noProof/>
          </w:rPr>
          <w:t>Table 9: Evaluation of Strategic Alternatives</w:t>
        </w:r>
        <w:r>
          <w:rPr>
            <w:noProof/>
            <w:webHidden/>
          </w:rPr>
          <w:tab/>
        </w:r>
        <w:r>
          <w:rPr>
            <w:noProof/>
            <w:webHidden/>
          </w:rPr>
          <w:fldChar w:fldCharType="begin"/>
        </w:r>
        <w:r>
          <w:rPr>
            <w:noProof/>
            <w:webHidden/>
          </w:rPr>
          <w:instrText xml:space="preserve"> PAGEREF _Toc239695428 \h </w:instrText>
        </w:r>
        <w:r>
          <w:rPr>
            <w:noProof/>
            <w:webHidden/>
          </w:rPr>
        </w:r>
        <w:r>
          <w:rPr>
            <w:noProof/>
            <w:webHidden/>
          </w:rPr>
          <w:fldChar w:fldCharType="separate"/>
        </w:r>
        <w:r>
          <w:rPr>
            <w:noProof/>
            <w:webHidden/>
          </w:rPr>
          <w:t>39</w:t>
        </w:r>
        <w:r>
          <w:rPr>
            <w:noProof/>
            <w:webHidden/>
          </w:rPr>
          <w:fldChar w:fldCharType="end"/>
        </w:r>
      </w:hyperlink>
    </w:p>
    <w:p w14:paraId="4BFC6D45" w14:textId="292631B3" w:rsidR="00E10813" w:rsidRDefault="00E10813">
      <w:pPr>
        <w:pStyle w:val="TableofFigures"/>
        <w:tabs>
          <w:tab w:val="right" w:leader="dot" w:pos="9016"/>
        </w:tabs>
        <w:rPr>
          <w:rFonts w:eastAsiaTheme="minorEastAsia"/>
          <w:noProof/>
          <w:lang w:val="en-GB" w:eastAsia="en-GB"/>
        </w:rPr>
      </w:pPr>
      <w:hyperlink w:anchor="_Toc239695429" w:history="1">
        <w:r w:rsidRPr="00A765F9">
          <w:rPr>
            <w:rStyle w:val="Hyperlink"/>
            <w:rFonts w:ascii="Arial" w:hAnsi="Arial" w:cs="Arial"/>
            <w:noProof/>
          </w:rPr>
          <w:t>Table 10.Economic assumptions and business model</w:t>
        </w:r>
        <w:r>
          <w:rPr>
            <w:noProof/>
            <w:webHidden/>
          </w:rPr>
          <w:tab/>
        </w:r>
        <w:r>
          <w:rPr>
            <w:noProof/>
            <w:webHidden/>
          </w:rPr>
          <w:fldChar w:fldCharType="begin"/>
        </w:r>
        <w:r>
          <w:rPr>
            <w:noProof/>
            <w:webHidden/>
          </w:rPr>
          <w:instrText xml:space="preserve"> PAGEREF _Toc239695429 \h </w:instrText>
        </w:r>
        <w:r>
          <w:rPr>
            <w:noProof/>
            <w:webHidden/>
          </w:rPr>
        </w:r>
        <w:r>
          <w:rPr>
            <w:noProof/>
            <w:webHidden/>
          </w:rPr>
          <w:fldChar w:fldCharType="separate"/>
        </w:r>
        <w:r>
          <w:rPr>
            <w:noProof/>
            <w:webHidden/>
          </w:rPr>
          <w:t>46</w:t>
        </w:r>
        <w:r>
          <w:rPr>
            <w:noProof/>
            <w:webHidden/>
          </w:rPr>
          <w:fldChar w:fldCharType="end"/>
        </w:r>
      </w:hyperlink>
    </w:p>
    <w:p w14:paraId="2DF8D020" w14:textId="7678FA0C" w:rsidR="00E10813" w:rsidRDefault="00E10813">
      <w:pPr>
        <w:pStyle w:val="TableofFigures"/>
        <w:tabs>
          <w:tab w:val="right" w:leader="dot" w:pos="9016"/>
        </w:tabs>
        <w:rPr>
          <w:rFonts w:eastAsiaTheme="minorEastAsia"/>
          <w:noProof/>
          <w:lang w:val="en-GB" w:eastAsia="en-GB"/>
        </w:rPr>
      </w:pPr>
      <w:hyperlink w:anchor="_Toc239695430" w:history="1">
        <w:r w:rsidRPr="00A765F9">
          <w:rPr>
            <w:rStyle w:val="Hyperlink"/>
            <w:rFonts w:ascii="Arial" w:hAnsi="Arial" w:cs="Arial"/>
            <w:noProof/>
          </w:rPr>
          <w:t>Table 11.Revenue and profitability projection</w:t>
        </w:r>
        <w:r>
          <w:rPr>
            <w:noProof/>
            <w:webHidden/>
          </w:rPr>
          <w:tab/>
        </w:r>
        <w:r>
          <w:rPr>
            <w:noProof/>
            <w:webHidden/>
          </w:rPr>
          <w:fldChar w:fldCharType="begin"/>
        </w:r>
        <w:r>
          <w:rPr>
            <w:noProof/>
            <w:webHidden/>
          </w:rPr>
          <w:instrText xml:space="preserve"> PAGEREF _Toc239695430 \h </w:instrText>
        </w:r>
        <w:r>
          <w:rPr>
            <w:noProof/>
            <w:webHidden/>
          </w:rPr>
        </w:r>
        <w:r>
          <w:rPr>
            <w:noProof/>
            <w:webHidden/>
          </w:rPr>
          <w:fldChar w:fldCharType="separate"/>
        </w:r>
        <w:r>
          <w:rPr>
            <w:noProof/>
            <w:webHidden/>
          </w:rPr>
          <w:t>48</w:t>
        </w:r>
        <w:r>
          <w:rPr>
            <w:noProof/>
            <w:webHidden/>
          </w:rPr>
          <w:fldChar w:fldCharType="end"/>
        </w:r>
      </w:hyperlink>
    </w:p>
    <w:p w14:paraId="3D553038" w14:textId="651943C4" w:rsidR="00E10813" w:rsidRDefault="00E10813">
      <w:pPr>
        <w:pStyle w:val="TableofFigures"/>
        <w:tabs>
          <w:tab w:val="right" w:leader="dot" w:pos="9016"/>
        </w:tabs>
        <w:rPr>
          <w:rFonts w:eastAsiaTheme="minorEastAsia"/>
          <w:noProof/>
          <w:lang w:val="en-GB" w:eastAsia="en-GB"/>
        </w:rPr>
      </w:pPr>
      <w:hyperlink w:anchor="_Toc239695431" w:history="1">
        <w:r w:rsidRPr="00A765F9">
          <w:rPr>
            <w:rStyle w:val="Hyperlink"/>
            <w:rFonts w:ascii="Arial" w:hAnsi="Arial" w:cs="Arial"/>
            <w:noProof/>
          </w:rPr>
          <w:t>Table 12.Marketing mix</w:t>
        </w:r>
        <w:r>
          <w:rPr>
            <w:noProof/>
            <w:webHidden/>
          </w:rPr>
          <w:tab/>
        </w:r>
        <w:r>
          <w:rPr>
            <w:noProof/>
            <w:webHidden/>
          </w:rPr>
          <w:fldChar w:fldCharType="begin"/>
        </w:r>
        <w:r>
          <w:rPr>
            <w:noProof/>
            <w:webHidden/>
          </w:rPr>
          <w:instrText xml:space="preserve"> PAGEREF _Toc239695431 \h </w:instrText>
        </w:r>
        <w:r>
          <w:rPr>
            <w:noProof/>
            <w:webHidden/>
          </w:rPr>
        </w:r>
        <w:r>
          <w:rPr>
            <w:noProof/>
            <w:webHidden/>
          </w:rPr>
          <w:fldChar w:fldCharType="separate"/>
        </w:r>
        <w:r>
          <w:rPr>
            <w:noProof/>
            <w:webHidden/>
          </w:rPr>
          <w:t>50</w:t>
        </w:r>
        <w:r>
          <w:rPr>
            <w:noProof/>
            <w:webHidden/>
          </w:rPr>
          <w:fldChar w:fldCharType="end"/>
        </w:r>
      </w:hyperlink>
    </w:p>
    <w:p w14:paraId="170A47EA" w14:textId="51751D0C" w:rsidR="006D021F" w:rsidRDefault="00E10813" w:rsidP="006E6B3E">
      <w:pPr>
        <w:spacing w:line="360" w:lineRule="auto"/>
        <w:rPr>
          <w:rFonts w:ascii="Arial" w:hAnsi="Arial" w:cs="Arial"/>
          <w:sz w:val="24"/>
          <w:szCs w:val="24"/>
          <w:lang w:val="en-GB"/>
        </w:rPr>
      </w:pPr>
      <w:r>
        <w:rPr>
          <w:rFonts w:ascii="Arial" w:hAnsi="Arial" w:cs="Arial"/>
          <w:sz w:val="24"/>
          <w:szCs w:val="24"/>
          <w:lang w:val="en-GB"/>
        </w:rPr>
        <w:fldChar w:fldCharType="end"/>
      </w:r>
    </w:p>
    <w:p w14:paraId="595DDFA5" w14:textId="77777777" w:rsidR="00EE305D" w:rsidRDefault="00EE305D" w:rsidP="00EE305D">
      <w:pPr>
        <w:jc w:val="center"/>
        <w:rPr>
          <w:rFonts w:ascii="Arial" w:hAnsi="Arial" w:cs="Arial"/>
          <w:b/>
          <w:bCs/>
          <w:sz w:val="28"/>
        </w:rPr>
      </w:pPr>
      <w:r w:rsidRPr="003A3104">
        <w:rPr>
          <w:rFonts w:ascii="Arial" w:hAnsi="Arial" w:cs="Arial"/>
          <w:b/>
          <w:bCs/>
          <w:sz w:val="28"/>
        </w:rPr>
        <w:t>List of Figure</w:t>
      </w:r>
    </w:p>
    <w:p w14:paraId="37CAE90C" w14:textId="5E45CA39" w:rsidR="00EE305D" w:rsidRDefault="00EE305D">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"Figure" </w:instrText>
      </w:r>
      <w:r>
        <w:rPr>
          <w:rFonts w:ascii="Arial" w:hAnsi="Arial" w:cs="Arial"/>
          <w:sz w:val="24"/>
          <w:szCs w:val="24"/>
          <w:lang w:val="en-GB"/>
        </w:rPr>
        <w:fldChar w:fldCharType="separate"/>
      </w:r>
      <w:hyperlink w:anchor="_Toc239273638" w:history="1">
        <w:r w:rsidRPr="00BC7DBD">
          <w:rPr>
            <w:rStyle w:val="Hyperlink"/>
            <w:rFonts w:ascii="Arial" w:hAnsi="Arial" w:cs="Arial"/>
            <w:noProof/>
          </w:rPr>
          <w:t>Figure 1.: Strategic Logic for The Ethical Bean Coffee House</w:t>
        </w:r>
        <w:r>
          <w:rPr>
            <w:noProof/>
            <w:webHidden/>
          </w:rPr>
          <w:tab/>
        </w:r>
        <w:r>
          <w:rPr>
            <w:noProof/>
            <w:webHidden/>
          </w:rPr>
          <w:fldChar w:fldCharType="begin"/>
        </w:r>
        <w:r>
          <w:rPr>
            <w:noProof/>
            <w:webHidden/>
          </w:rPr>
          <w:instrText xml:space="preserve"> PAGEREF _Toc239273638 \h </w:instrText>
        </w:r>
        <w:r>
          <w:rPr>
            <w:noProof/>
            <w:webHidden/>
          </w:rPr>
        </w:r>
        <w:r>
          <w:rPr>
            <w:noProof/>
            <w:webHidden/>
          </w:rPr>
          <w:fldChar w:fldCharType="separate"/>
        </w:r>
        <w:r>
          <w:rPr>
            <w:noProof/>
            <w:webHidden/>
          </w:rPr>
          <w:t>36</w:t>
        </w:r>
        <w:r>
          <w:rPr>
            <w:noProof/>
            <w:webHidden/>
          </w:rPr>
          <w:fldChar w:fldCharType="end"/>
        </w:r>
      </w:hyperlink>
    </w:p>
    <w:p w14:paraId="36D8B265" w14:textId="2B8012A4" w:rsidR="00EE305D" w:rsidRPr="002E5287" w:rsidRDefault="00EE305D" w:rsidP="006E6B3E">
      <w:pPr>
        <w:spacing w:line="360" w:lineRule="auto"/>
        <w:rPr>
          <w:rFonts w:ascii="Arial" w:hAnsi="Arial" w:cs="Arial"/>
          <w:sz w:val="24"/>
          <w:szCs w:val="24"/>
          <w:lang w:val="en-GB"/>
        </w:rPr>
      </w:pPr>
      <w:r>
        <w:rPr>
          <w:rFonts w:ascii="Arial" w:hAnsi="Arial" w:cs="Arial"/>
          <w:sz w:val="24"/>
          <w:szCs w:val="24"/>
          <w:lang w:val="en-GB"/>
        </w:rPr>
        <w:fldChar w:fldCharType="end"/>
      </w:r>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1"/>
          <w:pgSz w:w="11906" w:h="16838"/>
          <w:pgMar w:top="1440" w:right="1440" w:bottom="1440" w:left="1440" w:header="708" w:footer="708" w:gutter="0"/>
          <w:pgNumType w:fmt="lowerRoman" w:start="1"/>
          <w:cols w:space="708"/>
          <w:docGrid w:linePitch="360"/>
        </w:sectPr>
      </w:pPr>
      <w:bookmarkStart w:id="0" w:name="_GoBack"/>
      <w:bookmarkEnd w:id="0"/>
    </w:p>
    <w:p w14:paraId="7E7C9F73" w14:textId="77777777" w:rsidR="001B41A5" w:rsidRPr="00974088" w:rsidRDefault="001B41A5" w:rsidP="00201851">
      <w:pPr>
        <w:pStyle w:val="Heading1"/>
        <w:jc w:val="center"/>
        <w:rPr>
          <w:rFonts w:eastAsia="Times New Roman"/>
          <w:lang w:val="en-GB" w:eastAsia="en-GB"/>
        </w:rPr>
      </w:pPr>
      <w:bookmarkStart w:id="1" w:name="_Toc239695325"/>
      <w:r w:rsidRPr="00974088">
        <w:rPr>
          <w:rFonts w:eastAsia="Times New Roman"/>
          <w:lang w:val="en-GB" w:eastAsia="en-GB"/>
        </w:rPr>
        <w:lastRenderedPageBreak/>
        <w:t>Chapter 1: Introduction</w:t>
      </w:r>
      <w:bookmarkEnd w:id="1"/>
    </w:p>
    <w:p w14:paraId="0DFDF218" w14:textId="77777777" w:rsidR="001B41A5" w:rsidRPr="00974088" w:rsidRDefault="001B41A5" w:rsidP="00201851">
      <w:pPr>
        <w:pStyle w:val="Heading2"/>
        <w:rPr>
          <w:rFonts w:eastAsia="Times New Roman"/>
          <w:lang w:val="en-GB" w:eastAsia="en-GB"/>
        </w:rPr>
      </w:pPr>
      <w:bookmarkStart w:id="2" w:name="_Toc239695326"/>
      <w:r w:rsidRPr="00974088">
        <w:rPr>
          <w:rFonts w:eastAsia="Times New Roman"/>
          <w:lang w:val="en-GB" w:eastAsia="en-GB"/>
        </w:rPr>
        <w:t>1.1 Background and Context</w:t>
      </w:r>
      <w:bookmarkEnd w:id="2"/>
    </w:p>
    <w:p w14:paraId="1F0A6CFE" w14:textId="0B9D0C60"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UK coffee shop industry represents a significant and increasingly competitive component of the foodservice sector. Coffee is deeply embedded in UK consumer culture, with the British Coffee Association reporting approximately 98 million cups consumed daily and more than 210,000 jobs supported by the wider coffee industry (British Coffee Association, 2022). Recent industry evidence indicates continued market expansion, with the UK branded coffee shop market valued at approximately £6.1 billion in 2025 and comprising 11,456 outlets, representing 5.2% growth over the previous year (World Coffee Portal, 2025). Nevertheless, rising operating costs and increasing consumer price sensitivity create challenges for coffee busines</w:t>
      </w:r>
      <w:r w:rsidR="00201851">
        <w:rPr>
          <w:rFonts w:ascii="Arial" w:hAnsi="Arial" w:cs="Arial"/>
          <w:sz w:val="24"/>
          <w:szCs w:val="24"/>
          <w:lang w:val="en-GB" w:eastAsia="en-GB"/>
        </w:rPr>
        <w:t>ses seeking sustainable growth.</w:t>
      </w:r>
    </w:p>
    <w:p w14:paraId="2F38D585" w14:textId="6B9F327F"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proposed The Ethical Bean Coffee House will be located on Monmouth Street, Covent Garden, London, UK, an established food, retail and tourism destination. The area has a strong specialty coffee presence, including Monmouth Coffee Company and WatchHouse, creating both an attractive customer environment and a highly competitive market (Covent Garden London, 2026). Monmouth Coffee Company operates at 27 Monmouth Street, highlighting the need for clear differentiation (Monmouth Coffee Company, 2026). Furthermore, consumers increasingly value ethical and sustainable coffee production and may demonstrate willingness to pay premiums for responsibly produced coffee (Fuller, Grebitus and Schmitz, 2022; Fuller and Grebitus, 2023). Consequently, ethical sourcing and resilient supply-chain practices provide important areas for investigation.</w:t>
      </w:r>
    </w:p>
    <w:p w14:paraId="3264135A" w14:textId="77777777" w:rsidR="001B41A5" w:rsidRPr="00974088" w:rsidRDefault="001B41A5" w:rsidP="00201851">
      <w:pPr>
        <w:pStyle w:val="Heading2"/>
        <w:jc w:val="both"/>
        <w:rPr>
          <w:rFonts w:eastAsia="Times New Roman"/>
          <w:lang w:val="en-GB" w:eastAsia="en-GB"/>
        </w:rPr>
      </w:pPr>
      <w:bookmarkStart w:id="3" w:name="_Toc239695327"/>
      <w:r w:rsidRPr="00974088">
        <w:rPr>
          <w:rFonts w:eastAsia="Times New Roman"/>
          <w:lang w:val="en-GB" w:eastAsia="en-GB"/>
        </w:rPr>
        <w:t>1.2 Problem or Opportunity Statement</w:t>
      </w:r>
      <w:bookmarkEnd w:id="3"/>
    </w:p>
    <w:p w14:paraId="7BA90718" w14:textId="7B4A6E77" w:rsidR="001B41A5" w:rsidRPr="00974088" w:rsidRDefault="00062B3E"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The central business opportunity arises from continued demand for specialty coffee alongside growing consumer interest in ethical and sustainable consumption. However, Monmouth Street and the wider Covent Garden area already have established specialty coffee businesses, including Monmouth Coffee Company and Watch House, creating a competitive environment where product quality alone may not provide sufficient differentiation (Covent Garden London, 2026). The opportunity for The Ethical Bean Coffee House is therefore to investigate whether combining premium specialty coffee, transparent ethical sourcing, sustainable supply-chain </w:t>
      </w:r>
      <w:r w:rsidRPr="00974088">
        <w:rPr>
          <w:rFonts w:ascii="Arial" w:hAnsi="Arial" w:cs="Arial"/>
          <w:sz w:val="24"/>
          <w:szCs w:val="24"/>
          <w:lang w:val="en-GB" w:eastAsia="en-GB"/>
        </w:rPr>
        <w:lastRenderedPageBreak/>
        <w:t>practices and an enhanced customer experience can address an identifiable market need. The BDP will evaluate this proposition through secondary market, customer and competitor evidence rather than assuming commercial viability.</w:t>
      </w:r>
    </w:p>
    <w:p w14:paraId="1E821E61" w14:textId="77777777" w:rsidR="001B41A5" w:rsidRPr="00974088" w:rsidRDefault="001B41A5" w:rsidP="00201851">
      <w:pPr>
        <w:pStyle w:val="Heading2"/>
        <w:rPr>
          <w:rFonts w:eastAsia="Times New Roman"/>
          <w:lang w:val="en-GB" w:eastAsia="en-GB"/>
        </w:rPr>
      </w:pPr>
      <w:bookmarkStart w:id="4" w:name="_Toc239695328"/>
      <w:r w:rsidRPr="00974088">
        <w:rPr>
          <w:rFonts w:eastAsia="Times New Roman"/>
          <w:lang w:val="en-GB" w:eastAsia="en-GB"/>
        </w:rPr>
        <w:t>1.3 Initial Observation of Demand</w:t>
      </w:r>
      <w:bookmarkEnd w:id="4"/>
    </w:p>
    <w:p w14:paraId="67444121" w14:textId="11964C76" w:rsidR="001B41A5" w:rsidRPr="00974088" w:rsidRDefault="00974088"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Preliminary market evidence indicates sustained consumer engagement with UK coffee shops. World Coffee Portal (2025) reports that 60% of surveyed UK coffee-shop consumers visit coffee shops multiple times per week, while average consumer spending reached approximately £6.23 per visit. This suggests continuing demand for café-based consumption despite wider cost-of-living pressures. Consumer interest in ethical consumption also provides a relevant demand signal, with Fairtrade reporting strong recognition and regular purchasing of Fairtrade products in the UK (Fairtrade, 2025). However, the presence of established specialty coffee operators in Covent Garden means that demand for coffee alone does not establish commercial potential. The BDP will therefore examine local competition, customer preferences and pricing evidence to assess the opportunity</w:t>
      </w:r>
      <w:r w:rsidR="001B41A5" w:rsidRPr="00974088">
        <w:rPr>
          <w:rFonts w:ascii="Arial" w:hAnsi="Arial" w:cs="Arial"/>
          <w:sz w:val="24"/>
          <w:szCs w:val="24"/>
          <w:lang w:val="en-GB" w:eastAsia="en-GB"/>
        </w:rPr>
        <w:t>.</w:t>
      </w:r>
    </w:p>
    <w:p w14:paraId="40838A19" w14:textId="77777777" w:rsidR="001B41A5" w:rsidRPr="00974088" w:rsidRDefault="001B41A5" w:rsidP="00201851">
      <w:pPr>
        <w:pStyle w:val="Heading2"/>
        <w:rPr>
          <w:rFonts w:eastAsia="Times New Roman"/>
          <w:lang w:val="en-GB" w:eastAsia="en-GB"/>
        </w:rPr>
      </w:pPr>
      <w:bookmarkStart w:id="5" w:name="_Toc239695329"/>
      <w:r w:rsidRPr="00974088">
        <w:rPr>
          <w:rFonts w:eastAsia="Times New Roman"/>
          <w:lang w:val="en-GB" w:eastAsia="en-GB"/>
        </w:rPr>
        <w:t>1.4 Aim, Objectives and Research Questions</w:t>
      </w:r>
      <w:bookmarkEnd w:id="5"/>
    </w:p>
    <w:p w14:paraId="1155B0BC" w14:textId="77777777" w:rsidR="001B41A5" w:rsidRPr="00974088" w:rsidRDefault="001B41A5" w:rsidP="00201851">
      <w:pPr>
        <w:pStyle w:val="Heading3"/>
        <w:rPr>
          <w:rFonts w:eastAsia="Times New Roman"/>
          <w:lang w:val="en-GB" w:eastAsia="en-GB"/>
        </w:rPr>
      </w:pPr>
      <w:bookmarkStart w:id="6" w:name="_Toc239695330"/>
      <w:r w:rsidRPr="00974088">
        <w:rPr>
          <w:rFonts w:eastAsia="Times New Roman"/>
          <w:lang w:val="en-GB" w:eastAsia="en-GB"/>
        </w:rPr>
        <w:t>Aim</w:t>
      </w:r>
      <w:bookmarkEnd w:id="6"/>
    </w:p>
    <w:p w14:paraId="1F69D2FF"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To evaluate the market opportunity, strategic requirements and commercial feasibility of establishing The Ethical Bean Coffee House as an ethically sourced and sustainability-focused specialty coffee business on Monmouth Street, Covent Garden, London.</w:t>
      </w:r>
    </w:p>
    <w:p w14:paraId="39D04B0B" w14:textId="77777777" w:rsidR="001B41A5" w:rsidRPr="00974088" w:rsidRDefault="001B41A5" w:rsidP="00201851">
      <w:pPr>
        <w:pStyle w:val="Heading3"/>
        <w:rPr>
          <w:rFonts w:eastAsia="Times New Roman"/>
          <w:lang w:val="en-GB" w:eastAsia="en-GB"/>
        </w:rPr>
      </w:pPr>
      <w:bookmarkStart w:id="7" w:name="_Toc239695331"/>
      <w:r w:rsidRPr="00974088">
        <w:rPr>
          <w:rFonts w:eastAsia="Times New Roman"/>
          <w:lang w:val="en-GB" w:eastAsia="en-GB"/>
        </w:rPr>
        <w:t>Objectives</w:t>
      </w:r>
      <w:bookmarkEnd w:id="7"/>
    </w:p>
    <w:p w14:paraId="06DBA6A3"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UK specialty coffee market and the local characteristics of Covent Garden using credible secondary market, demographic and industry evidence during the BDP research period. </w:t>
      </w:r>
    </w:p>
    <w:p w14:paraId="33947330"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analyse customer needs, purchasing behaviour and sustainability preferences relevant to premium and ethically sourced coffee consumers using published secondary evidence. </w:t>
      </w:r>
    </w:p>
    <w:p w14:paraId="6113C636"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competitive environment of Monmouth Street and Covent Garden by comparing relevant competitors, pricing, product propositions, customer experience and sustainability positioning. </w:t>
      </w:r>
    </w:p>
    <w:p w14:paraId="4EA7F449"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lastRenderedPageBreak/>
        <w:t xml:space="preserve">To develop and assess an evidence-based business strategy, business model, financial plan, operational plan and implementation approach for The Ethical Bean Coffee House and determine the conditions required for potential commercial feasibility. </w:t>
      </w:r>
    </w:p>
    <w:p w14:paraId="1C53793A" w14:textId="77777777" w:rsidR="001B41A5" w:rsidRPr="00974088" w:rsidRDefault="001B41A5" w:rsidP="00201851">
      <w:pPr>
        <w:pStyle w:val="Heading3"/>
        <w:rPr>
          <w:rFonts w:eastAsia="Times New Roman"/>
          <w:lang w:val="en-GB" w:eastAsia="en-GB"/>
        </w:rPr>
      </w:pPr>
      <w:bookmarkStart w:id="8" w:name="_Toc239695332"/>
      <w:r w:rsidRPr="00974088">
        <w:rPr>
          <w:rFonts w:eastAsia="Times New Roman"/>
          <w:lang w:val="en-GB" w:eastAsia="en-GB"/>
        </w:rPr>
        <w:t>Research Questions</w:t>
      </w:r>
      <w:bookmarkEnd w:id="8"/>
    </w:p>
    <w:p w14:paraId="495E5E57"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RQ1: What market conditions and consumer trends influence the opportunity for a specialty coffee business in Covent Garden?</w:t>
      </w:r>
    </w:p>
    <w:p w14:paraId="44561941"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RQ2: What customer needs, preferences and purchasing behaviours could support an ethically sourced and sustainability-focused coffee proposition?</w:t>
      </w:r>
    </w:p>
    <w:p w14:paraId="3613B0CD"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RQ3: How does The Ethical Bean Coffee House's proposed positioning compare with existing coffee-shop competitors in Monmouth Street and the wider Covent Garden area?</w:t>
      </w:r>
    </w:p>
    <w:p w14:paraId="2C726850"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RQ4: What business strategy, business model, financial structure and operational approach would be required to establish The Ethical Bean Coffee House?</w:t>
      </w:r>
    </w:p>
    <w:p w14:paraId="3C18959C"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RQ5: Under what conditions could The Ethical Bean Coffee House represent a commercially feasible business opportunity?</w:t>
      </w:r>
    </w:p>
    <w:p w14:paraId="163065A1"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These questions directly guide the subsequent market, customer, competitor, strategic, financial and implementation analyses.</w:t>
      </w:r>
    </w:p>
    <w:p w14:paraId="59B790CD" w14:textId="77777777" w:rsidR="001B41A5" w:rsidRPr="00974088" w:rsidRDefault="001B41A5" w:rsidP="00201851">
      <w:pPr>
        <w:pStyle w:val="Heading2"/>
        <w:rPr>
          <w:rFonts w:eastAsia="Times New Roman"/>
          <w:lang w:val="en-GB" w:eastAsia="en-GB"/>
        </w:rPr>
      </w:pPr>
      <w:bookmarkStart w:id="9" w:name="_Toc239695333"/>
      <w:r w:rsidRPr="00974088">
        <w:rPr>
          <w:rFonts w:eastAsia="Times New Roman"/>
          <w:lang w:val="en-GB" w:eastAsia="en-GB"/>
        </w:rPr>
        <w:t>1.5 Scope and Boundaries</w:t>
      </w:r>
      <w:bookmarkEnd w:id="9"/>
    </w:p>
    <w:p w14:paraId="723AF4F7"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BDP focuses on a proposed new specialty coffee business located on Monmouth Street, Covent Garden, London, UK. The analysis will consider premium coffee consumers, urban professionals, visitors, students, remote workers and ethically conscious customers. The study will examine specialty coffee, ethical sourcing, sustainability, customer experience and business development. The research will use secondary evidence only, including academic literature, government statistics, industry reports, official company information and other credible published sources. Primary surveys, interviews and focus groups are outside the scope. The analysis will be completed within the planned 16-week BDP timeframe.</w:t>
      </w:r>
    </w:p>
    <w:p w14:paraId="5AD4A888" w14:textId="77777777" w:rsidR="001B41A5" w:rsidRPr="00974088" w:rsidRDefault="001B41A5" w:rsidP="00201851">
      <w:pPr>
        <w:pStyle w:val="Heading2"/>
        <w:rPr>
          <w:rFonts w:eastAsia="Times New Roman"/>
          <w:lang w:val="en-GB" w:eastAsia="en-GB"/>
        </w:rPr>
      </w:pPr>
      <w:bookmarkStart w:id="10" w:name="_Toc239695334"/>
      <w:r w:rsidRPr="00974088">
        <w:rPr>
          <w:rFonts w:eastAsia="Times New Roman"/>
          <w:lang w:val="en-GB" w:eastAsia="en-GB"/>
        </w:rPr>
        <w:t>1.6 Structure of the Report</w:t>
      </w:r>
      <w:bookmarkEnd w:id="10"/>
    </w:p>
    <w:p w14:paraId="2B524C8A"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Following the Introduction and Company Description, Chapter 3: Literature Review establishes the academic foundation for the proposal, while Chapter 4: Research </w:t>
      </w:r>
      <w:r w:rsidRPr="00974088">
        <w:rPr>
          <w:rFonts w:ascii="Arial" w:hAnsi="Arial" w:cs="Arial"/>
          <w:sz w:val="24"/>
          <w:szCs w:val="24"/>
          <w:lang w:val="en-GB" w:eastAsia="en-GB"/>
        </w:rPr>
        <w:lastRenderedPageBreak/>
        <w:t>Methodology explains the secondary research approach and analytical methods. The subsequent BDP chapters develop the business case through Market Opportunity Analysis, Competitive Environment Analysis, Business Strategy, Business Model Canvas, Financial, Marketing and Sales, and Human Capital Management Plan, Operations Plan, Feasibility Analysis, Implementation Plan, Conclusion and Recommendations, and Reflection. Together, these chapters will evaluate the proposed opportunity systematically rather than assuming its viability at the outset.</w:t>
      </w:r>
    </w:p>
    <w:p w14:paraId="0F4F0987" w14:textId="4735E917" w:rsidR="001B41A5" w:rsidRDefault="001B41A5" w:rsidP="001B41A5">
      <w:pPr>
        <w:spacing w:after="0" w:line="240" w:lineRule="auto"/>
        <w:rPr>
          <w:rFonts w:ascii="Times New Roman" w:eastAsia="Times New Roman" w:hAnsi="Times New Roman" w:cs="Times New Roman"/>
          <w:sz w:val="24"/>
          <w:szCs w:val="24"/>
          <w:lang w:val="en-GB" w:eastAsia="en-GB"/>
        </w:rPr>
      </w:pPr>
    </w:p>
    <w:p w14:paraId="7A3BEFD8" w14:textId="2275B149" w:rsidR="00201851" w:rsidRDefault="00201851" w:rsidP="001B41A5">
      <w:pPr>
        <w:spacing w:after="0" w:line="240" w:lineRule="auto"/>
        <w:rPr>
          <w:rFonts w:ascii="Times New Roman" w:eastAsia="Times New Roman" w:hAnsi="Times New Roman" w:cs="Times New Roman"/>
          <w:sz w:val="24"/>
          <w:szCs w:val="24"/>
          <w:lang w:val="en-GB" w:eastAsia="en-GB"/>
        </w:rPr>
      </w:pPr>
    </w:p>
    <w:p w14:paraId="181F08E6" w14:textId="705FA9B6" w:rsidR="00201851" w:rsidRDefault="00201851" w:rsidP="001B41A5">
      <w:pPr>
        <w:spacing w:after="0" w:line="240" w:lineRule="auto"/>
        <w:rPr>
          <w:rFonts w:ascii="Times New Roman" w:eastAsia="Times New Roman" w:hAnsi="Times New Roman" w:cs="Times New Roman"/>
          <w:sz w:val="24"/>
          <w:szCs w:val="24"/>
          <w:lang w:val="en-GB" w:eastAsia="en-GB"/>
        </w:rPr>
      </w:pPr>
    </w:p>
    <w:p w14:paraId="20FE9BBD" w14:textId="08ECC172" w:rsidR="00201851" w:rsidRDefault="00201851" w:rsidP="001B41A5">
      <w:pPr>
        <w:spacing w:after="0" w:line="240" w:lineRule="auto"/>
        <w:rPr>
          <w:rFonts w:ascii="Times New Roman" w:eastAsia="Times New Roman" w:hAnsi="Times New Roman" w:cs="Times New Roman"/>
          <w:sz w:val="24"/>
          <w:szCs w:val="24"/>
          <w:lang w:val="en-GB" w:eastAsia="en-GB"/>
        </w:rPr>
      </w:pPr>
    </w:p>
    <w:p w14:paraId="7DC5EEF4" w14:textId="7737FC5B" w:rsidR="00201851" w:rsidRDefault="00201851" w:rsidP="001B41A5">
      <w:pPr>
        <w:spacing w:after="0" w:line="240" w:lineRule="auto"/>
        <w:rPr>
          <w:rFonts w:ascii="Times New Roman" w:eastAsia="Times New Roman" w:hAnsi="Times New Roman" w:cs="Times New Roman"/>
          <w:sz w:val="24"/>
          <w:szCs w:val="24"/>
          <w:lang w:val="en-GB" w:eastAsia="en-GB"/>
        </w:rPr>
      </w:pPr>
    </w:p>
    <w:p w14:paraId="39D91DA7" w14:textId="23FCBF94" w:rsidR="00201851" w:rsidRDefault="00201851" w:rsidP="001B41A5">
      <w:pPr>
        <w:spacing w:after="0" w:line="240" w:lineRule="auto"/>
        <w:rPr>
          <w:rFonts w:ascii="Times New Roman" w:eastAsia="Times New Roman" w:hAnsi="Times New Roman" w:cs="Times New Roman"/>
          <w:sz w:val="24"/>
          <w:szCs w:val="24"/>
          <w:lang w:val="en-GB" w:eastAsia="en-GB"/>
        </w:rPr>
      </w:pPr>
    </w:p>
    <w:p w14:paraId="324E5208" w14:textId="60990CD5" w:rsidR="00201851" w:rsidRDefault="00201851" w:rsidP="001B41A5">
      <w:pPr>
        <w:spacing w:after="0" w:line="240" w:lineRule="auto"/>
        <w:rPr>
          <w:rFonts w:ascii="Times New Roman" w:eastAsia="Times New Roman" w:hAnsi="Times New Roman" w:cs="Times New Roman"/>
          <w:sz w:val="24"/>
          <w:szCs w:val="24"/>
          <w:lang w:val="en-GB" w:eastAsia="en-GB"/>
        </w:rPr>
      </w:pPr>
    </w:p>
    <w:p w14:paraId="6A8E24AA" w14:textId="04AA4CF8" w:rsidR="00201851" w:rsidRDefault="00201851" w:rsidP="001B41A5">
      <w:pPr>
        <w:spacing w:after="0" w:line="240" w:lineRule="auto"/>
        <w:rPr>
          <w:rFonts w:ascii="Times New Roman" w:eastAsia="Times New Roman" w:hAnsi="Times New Roman" w:cs="Times New Roman"/>
          <w:sz w:val="24"/>
          <w:szCs w:val="24"/>
          <w:lang w:val="en-GB" w:eastAsia="en-GB"/>
        </w:rPr>
      </w:pPr>
    </w:p>
    <w:p w14:paraId="14576F7F" w14:textId="0DD36701" w:rsidR="00201851" w:rsidRDefault="00201851" w:rsidP="001B41A5">
      <w:pPr>
        <w:spacing w:after="0" w:line="240" w:lineRule="auto"/>
        <w:rPr>
          <w:rFonts w:ascii="Times New Roman" w:eastAsia="Times New Roman" w:hAnsi="Times New Roman" w:cs="Times New Roman"/>
          <w:sz w:val="24"/>
          <w:szCs w:val="24"/>
          <w:lang w:val="en-GB" w:eastAsia="en-GB"/>
        </w:rPr>
      </w:pPr>
    </w:p>
    <w:p w14:paraId="02234F2F" w14:textId="35E022F9" w:rsidR="00201851" w:rsidRDefault="00201851" w:rsidP="001B41A5">
      <w:pPr>
        <w:spacing w:after="0" w:line="240" w:lineRule="auto"/>
        <w:rPr>
          <w:rFonts w:ascii="Times New Roman" w:eastAsia="Times New Roman" w:hAnsi="Times New Roman" w:cs="Times New Roman"/>
          <w:sz w:val="24"/>
          <w:szCs w:val="24"/>
          <w:lang w:val="en-GB" w:eastAsia="en-GB"/>
        </w:rPr>
      </w:pPr>
    </w:p>
    <w:p w14:paraId="72AA6DAA" w14:textId="4CB261A3" w:rsidR="00201851" w:rsidRDefault="00201851" w:rsidP="001B41A5">
      <w:pPr>
        <w:spacing w:after="0" w:line="240" w:lineRule="auto"/>
        <w:rPr>
          <w:rFonts w:ascii="Times New Roman" w:eastAsia="Times New Roman" w:hAnsi="Times New Roman" w:cs="Times New Roman"/>
          <w:sz w:val="24"/>
          <w:szCs w:val="24"/>
          <w:lang w:val="en-GB" w:eastAsia="en-GB"/>
        </w:rPr>
      </w:pPr>
    </w:p>
    <w:p w14:paraId="72589AAE" w14:textId="3831D6B8" w:rsidR="00201851" w:rsidRDefault="00201851" w:rsidP="001B41A5">
      <w:pPr>
        <w:spacing w:after="0" w:line="240" w:lineRule="auto"/>
        <w:rPr>
          <w:rFonts w:ascii="Times New Roman" w:eastAsia="Times New Roman" w:hAnsi="Times New Roman" w:cs="Times New Roman"/>
          <w:sz w:val="24"/>
          <w:szCs w:val="24"/>
          <w:lang w:val="en-GB" w:eastAsia="en-GB"/>
        </w:rPr>
      </w:pPr>
    </w:p>
    <w:p w14:paraId="6B071DA5" w14:textId="2801A984" w:rsidR="00201851" w:rsidRDefault="00201851" w:rsidP="001B41A5">
      <w:pPr>
        <w:spacing w:after="0" w:line="240" w:lineRule="auto"/>
        <w:rPr>
          <w:rFonts w:ascii="Times New Roman" w:eastAsia="Times New Roman" w:hAnsi="Times New Roman" w:cs="Times New Roman"/>
          <w:sz w:val="24"/>
          <w:szCs w:val="24"/>
          <w:lang w:val="en-GB" w:eastAsia="en-GB"/>
        </w:rPr>
      </w:pPr>
    </w:p>
    <w:p w14:paraId="62D0E9CB" w14:textId="60BC186F" w:rsidR="00201851" w:rsidRDefault="00201851" w:rsidP="001B41A5">
      <w:pPr>
        <w:spacing w:after="0" w:line="240" w:lineRule="auto"/>
        <w:rPr>
          <w:rFonts w:ascii="Times New Roman" w:eastAsia="Times New Roman" w:hAnsi="Times New Roman" w:cs="Times New Roman"/>
          <w:sz w:val="24"/>
          <w:szCs w:val="24"/>
          <w:lang w:val="en-GB" w:eastAsia="en-GB"/>
        </w:rPr>
      </w:pPr>
    </w:p>
    <w:p w14:paraId="2B023E48" w14:textId="25429F22" w:rsidR="00201851" w:rsidRDefault="00201851" w:rsidP="001B41A5">
      <w:pPr>
        <w:spacing w:after="0" w:line="240" w:lineRule="auto"/>
        <w:rPr>
          <w:rFonts w:ascii="Times New Roman" w:eastAsia="Times New Roman" w:hAnsi="Times New Roman" w:cs="Times New Roman"/>
          <w:sz w:val="24"/>
          <w:szCs w:val="24"/>
          <w:lang w:val="en-GB" w:eastAsia="en-GB"/>
        </w:rPr>
      </w:pPr>
    </w:p>
    <w:p w14:paraId="07DFA7EF" w14:textId="25D18575" w:rsidR="00201851" w:rsidRDefault="00201851" w:rsidP="001B41A5">
      <w:pPr>
        <w:spacing w:after="0" w:line="240" w:lineRule="auto"/>
        <w:rPr>
          <w:rFonts w:ascii="Times New Roman" w:eastAsia="Times New Roman" w:hAnsi="Times New Roman" w:cs="Times New Roman"/>
          <w:sz w:val="24"/>
          <w:szCs w:val="24"/>
          <w:lang w:val="en-GB" w:eastAsia="en-GB"/>
        </w:rPr>
      </w:pPr>
    </w:p>
    <w:p w14:paraId="71F994D8" w14:textId="67C38EC1" w:rsidR="00201851" w:rsidRDefault="00201851" w:rsidP="001B41A5">
      <w:pPr>
        <w:spacing w:after="0" w:line="240" w:lineRule="auto"/>
        <w:rPr>
          <w:rFonts w:ascii="Times New Roman" w:eastAsia="Times New Roman" w:hAnsi="Times New Roman" w:cs="Times New Roman"/>
          <w:sz w:val="24"/>
          <w:szCs w:val="24"/>
          <w:lang w:val="en-GB" w:eastAsia="en-GB"/>
        </w:rPr>
      </w:pPr>
    </w:p>
    <w:p w14:paraId="54486458" w14:textId="4348A4BF" w:rsidR="00201851" w:rsidRDefault="00201851" w:rsidP="001B41A5">
      <w:pPr>
        <w:spacing w:after="0" w:line="240" w:lineRule="auto"/>
        <w:rPr>
          <w:rFonts w:ascii="Times New Roman" w:eastAsia="Times New Roman" w:hAnsi="Times New Roman" w:cs="Times New Roman"/>
          <w:sz w:val="24"/>
          <w:szCs w:val="24"/>
          <w:lang w:val="en-GB" w:eastAsia="en-GB"/>
        </w:rPr>
      </w:pPr>
    </w:p>
    <w:p w14:paraId="54E5049C" w14:textId="633ADFA2" w:rsidR="00201851" w:rsidRDefault="00201851" w:rsidP="001B41A5">
      <w:pPr>
        <w:spacing w:after="0" w:line="240" w:lineRule="auto"/>
        <w:rPr>
          <w:rFonts w:ascii="Times New Roman" w:eastAsia="Times New Roman" w:hAnsi="Times New Roman" w:cs="Times New Roman"/>
          <w:sz w:val="24"/>
          <w:szCs w:val="24"/>
          <w:lang w:val="en-GB" w:eastAsia="en-GB"/>
        </w:rPr>
      </w:pPr>
    </w:p>
    <w:p w14:paraId="64A223C3" w14:textId="4D4F482D" w:rsidR="00201851" w:rsidRDefault="00201851" w:rsidP="001B41A5">
      <w:pPr>
        <w:spacing w:after="0" w:line="240" w:lineRule="auto"/>
        <w:rPr>
          <w:rFonts w:ascii="Times New Roman" w:eastAsia="Times New Roman" w:hAnsi="Times New Roman" w:cs="Times New Roman"/>
          <w:sz w:val="24"/>
          <w:szCs w:val="24"/>
          <w:lang w:val="en-GB" w:eastAsia="en-GB"/>
        </w:rPr>
      </w:pPr>
    </w:p>
    <w:p w14:paraId="7590B505" w14:textId="10BB2D93" w:rsidR="00201851" w:rsidRDefault="00201851" w:rsidP="001B41A5">
      <w:pPr>
        <w:spacing w:after="0" w:line="240" w:lineRule="auto"/>
        <w:rPr>
          <w:rFonts w:ascii="Times New Roman" w:eastAsia="Times New Roman" w:hAnsi="Times New Roman" w:cs="Times New Roman"/>
          <w:sz w:val="24"/>
          <w:szCs w:val="24"/>
          <w:lang w:val="en-GB" w:eastAsia="en-GB"/>
        </w:rPr>
      </w:pPr>
    </w:p>
    <w:p w14:paraId="77D00963" w14:textId="0D3C2321" w:rsidR="00201851" w:rsidRDefault="00201851" w:rsidP="001B41A5">
      <w:pPr>
        <w:spacing w:after="0" w:line="240" w:lineRule="auto"/>
        <w:rPr>
          <w:rFonts w:ascii="Times New Roman" w:eastAsia="Times New Roman" w:hAnsi="Times New Roman" w:cs="Times New Roman"/>
          <w:sz w:val="24"/>
          <w:szCs w:val="24"/>
          <w:lang w:val="en-GB" w:eastAsia="en-GB"/>
        </w:rPr>
      </w:pPr>
    </w:p>
    <w:p w14:paraId="571C5AAA" w14:textId="67C7C5AA" w:rsidR="00201851" w:rsidRDefault="00201851" w:rsidP="001B41A5">
      <w:pPr>
        <w:spacing w:after="0" w:line="240" w:lineRule="auto"/>
        <w:rPr>
          <w:rFonts w:ascii="Times New Roman" w:eastAsia="Times New Roman" w:hAnsi="Times New Roman" w:cs="Times New Roman"/>
          <w:sz w:val="24"/>
          <w:szCs w:val="24"/>
          <w:lang w:val="en-GB" w:eastAsia="en-GB"/>
        </w:rPr>
      </w:pPr>
    </w:p>
    <w:p w14:paraId="75F6FE5F" w14:textId="0304F2B9" w:rsidR="00201851" w:rsidRDefault="00201851" w:rsidP="001B41A5">
      <w:pPr>
        <w:spacing w:after="0" w:line="240" w:lineRule="auto"/>
        <w:rPr>
          <w:rFonts w:ascii="Times New Roman" w:eastAsia="Times New Roman" w:hAnsi="Times New Roman" w:cs="Times New Roman"/>
          <w:sz w:val="24"/>
          <w:szCs w:val="24"/>
          <w:lang w:val="en-GB" w:eastAsia="en-GB"/>
        </w:rPr>
      </w:pPr>
    </w:p>
    <w:p w14:paraId="6FE05D93" w14:textId="063742DD" w:rsidR="00201851" w:rsidRDefault="00201851" w:rsidP="001B41A5">
      <w:pPr>
        <w:spacing w:after="0" w:line="240" w:lineRule="auto"/>
        <w:rPr>
          <w:rFonts w:ascii="Times New Roman" w:eastAsia="Times New Roman" w:hAnsi="Times New Roman" w:cs="Times New Roman"/>
          <w:sz w:val="24"/>
          <w:szCs w:val="24"/>
          <w:lang w:val="en-GB" w:eastAsia="en-GB"/>
        </w:rPr>
      </w:pPr>
    </w:p>
    <w:p w14:paraId="110CDB33" w14:textId="73D924D3" w:rsidR="00201851" w:rsidRDefault="00201851" w:rsidP="001B41A5">
      <w:pPr>
        <w:spacing w:after="0" w:line="240" w:lineRule="auto"/>
        <w:rPr>
          <w:rFonts w:ascii="Times New Roman" w:eastAsia="Times New Roman" w:hAnsi="Times New Roman" w:cs="Times New Roman"/>
          <w:sz w:val="24"/>
          <w:szCs w:val="24"/>
          <w:lang w:val="en-GB" w:eastAsia="en-GB"/>
        </w:rPr>
      </w:pPr>
    </w:p>
    <w:p w14:paraId="6C669615" w14:textId="1049F4AD" w:rsidR="00201851" w:rsidRDefault="00201851" w:rsidP="001B41A5">
      <w:pPr>
        <w:spacing w:after="0" w:line="240" w:lineRule="auto"/>
        <w:rPr>
          <w:rFonts w:ascii="Times New Roman" w:eastAsia="Times New Roman" w:hAnsi="Times New Roman" w:cs="Times New Roman"/>
          <w:sz w:val="24"/>
          <w:szCs w:val="24"/>
          <w:lang w:val="en-GB" w:eastAsia="en-GB"/>
        </w:rPr>
      </w:pPr>
    </w:p>
    <w:p w14:paraId="003C5BC8" w14:textId="14984271" w:rsidR="00201851" w:rsidRDefault="00201851" w:rsidP="001B41A5">
      <w:pPr>
        <w:spacing w:after="0" w:line="240" w:lineRule="auto"/>
        <w:rPr>
          <w:rFonts w:ascii="Times New Roman" w:eastAsia="Times New Roman" w:hAnsi="Times New Roman" w:cs="Times New Roman"/>
          <w:sz w:val="24"/>
          <w:szCs w:val="24"/>
          <w:lang w:val="en-GB" w:eastAsia="en-GB"/>
        </w:rPr>
      </w:pPr>
    </w:p>
    <w:p w14:paraId="3039A585" w14:textId="43DC4983" w:rsidR="00201851" w:rsidRDefault="00201851" w:rsidP="001B41A5">
      <w:pPr>
        <w:spacing w:after="0" w:line="240" w:lineRule="auto"/>
        <w:rPr>
          <w:rFonts w:ascii="Times New Roman" w:eastAsia="Times New Roman" w:hAnsi="Times New Roman" w:cs="Times New Roman"/>
          <w:sz w:val="24"/>
          <w:szCs w:val="24"/>
          <w:lang w:val="en-GB" w:eastAsia="en-GB"/>
        </w:rPr>
      </w:pPr>
    </w:p>
    <w:p w14:paraId="74FD0DD7" w14:textId="125755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B6E95FA" w14:textId="0FDAA2F8" w:rsidR="00201851" w:rsidRDefault="00201851" w:rsidP="001B41A5">
      <w:pPr>
        <w:spacing w:after="0" w:line="240" w:lineRule="auto"/>
        <w:rPr>
          <w:rFonts w:ascii="Times New Roman" w:eastAsia="Times New Roman" w:hAnsi="Times New Roman" w:cs="Times New Roman"/>
          <w:sz w:val="24"/>
          <w:szCs w:val="24"/>
          <w:lang w:val="en-GB" w:eastAsia="en-GB"/>
        </w:rPr>
      </w:pPr>
    </w:p>
    <w:p w14:paraId="51AAB060" w14:textId="2977F326" w:rsidR="00201851" w:rsidRDefault="00201851" w:rsidP="001B41A5">
      <w:pPr>
        <w:spacing w:after="0" w:line="240" w:lineRule="auto"/>
        <w:rPr>
          <w:rFonts w:ascii="Times New Roman" w:eastAsia="Times New Roman" w:hAnsi="Times New Roman" w:cs="Times New Roman"/>
          <w:sz w:val="24"/>
          <w:szCs w:val="24"/>
          <w:lang w:val="en-GB" w:eastAsia="en-GB"/>
        </w:rPr>
      </w:pPr>
    </w:p>
    <w:p w14:paraId="79B7CA40" w14:textId="77777777" w:rsidR="00296B61" w:rsidRDefault="00296B61" w:rsidP="001B41A5">
      <w:pPr>
        <w:spacing w:after="0" w:line="240" w:lineRule="auto"/>
        <w:rPr>
          <w:rFonts w:ascii="Times New Roman" w:eastAsia="Times New Roman" w:hAnsi="Times New Roman" w:cs="Times New Roman"/>
          <w:sz w:val="24"/>
          <w:szCs w:val="24"/>
          <w:lang w:val="en-GB" w:eastAsia="en-GB"/>
        </w:rPr>
      </w:pPr>
    </w:p>
    <w:p w14:paraId="69B786D3" w14:textId="5A8818CE" w:rsidR="00201851" w:rsidRDefault="00201851" w:rsidP="001B41A5">
      <w:pPr>
        <w:spacing w:after="0" w:line="240" w:lineRule="auto"/>
        <w:rPr>
          <w:rFonts w:ascii="Times New Roman" w:eastAsia="Times New Roman" w:hAnsi="Times New Roman" w:cs="Times New Roman"/>
          <w:sz w:val="24"/>
          <w:szCs w:val="24"/>
          <w:lang w:val="en-GB" w:eastAsia="en-GB"/>
        </w:rPr>
      </w:pPr>
    </w:p>
    <w:p w14:paraId="322C8AE7" w14:textId="22977235" w:rsidR="00201851" w:rsidRDefault="00201851" w:rsidP="001B41A5">
      <w:pPr>
        <w:spacing w:after="0" w:line="240" w:lineRule="auto"/>
        <w:rPr>
          <w:rFonts w:ascii="Times New Roman" w:eastAsia="Times New Roman" w:hAnsi="Times New Roman" w:cs="Times New Roman"/>
          <w:sz w:val="24"/>
          <w:szCs w:val="24"/>
          <w:lang w:val="en-GB" w:eastAsia="en-GB"/>
        </w:rPr>
      </w:pPr>
    </w:p>
    <w:p w14:paraId="27052582" w14:textId="591D59AD" w:rsidR="00201851" w:rsidRDefault="00201851" w:rsidP="001B41A5">
      <w:pPr>
        <w:spacing w:after="0" w:line="240" w:lineRule="auto"/>
        <w:rPr>
          <w:rFonts w:ascii="Times New Roman" w:eastAsia="Times New Roman" w:hAnsi="Times New Roman" w:cs="Times New Roman"/>
          <w:sz w:val="24"/>
          <w:szCs w:val="24"/>
          <w:lang w:val="en-GB" w:eastAsia="en-GB"/>
        </w:rPr>
      </w:pPr>
    </w:p>
    <w:p w14:paraId="5606328A" w14:textId="35951C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46A18DF" w14:textId="77777777" w:rsidR="00201851" w:rsidRPr="001B41A5" w:rsidRDefault="00201851" w:rsidP="001B41A5">
      <w:pPr>
        <w:spacing w:after="0" w:line="240" w:lineRule="auto"/>
        <w:rPr>
          <w:rFonts w:ascii="Times New Roman" w:eastAsia="Times New Roman" w:hAnsi="Times New Roman" w:cs="Times New Roman"/>
          <w:sz w:val="24"/>
          <w:szCs w:val="24"/>
          <w:lang w:val="en-GB" w:eastAsia="en-GB"/>
        </w:rPr>
      </w:pPr>
    </w:p>
    <w:p w14:paraId="662D26C7" w14:textId="77777777" w:rsidR="001B41A5" w:rsidRPr="00296B61" w:rsidRDefault="001B41A5" w:rsidP="00296B61">
      <w:pPr>
        <w:pStyle w:val="Heading1"/>
        <w:jc w:val="center"/>
        <w:rPr>
          <w:rFonts w:eastAsia="Times New Roman"/>
          <w:lang w:val="en-GB" w:eastAsia="en-GB"/>
        </w:rPr>
      </w:pPr>
      <w:bookmarkStart w:id="11" w:name="_Toc239695335"/>
      <w:r w:rsidRPr="00296B61">
        <w:rPr>
          <w:rFonts w:eastAsia="Times New Roman"/>
          <w:lang w:val="en-GB" w:eastAsia="en-GB"/>
        </w:rPr>
        <w:lastRenderedPageBreak/>
        <w:t>Chapter 2: Company Description</w:t>
      </w:r>
      <w:bookmarkEnd w:id="11"/>
    </w:p>
    <w:p w14:paraId="6D359CF9" w14:textId="77777777" w:rsidR="001B41A5" w:rsidRPr="00296B61" w:rsidRDefault="001B41A5" w:rsidP="00296B61">
      <w:pPr>
        <w:pStyle w:val="Heading2"/>
        <w:rPr>
          <w:rFonts w:eastAsia="Times New Roman"/>
          <w:lang w:val="en-GB" w:eastAsia="en-GB"/>
        </w:rPr>
      </w:pPr>
      <w:bookmarkStart w:id="12" w:name="_Toc239695336"/>
      <w:r w:rsidRPr="00296B61">
        <w:rPr>
          <w:rFonts w:eastAsia="Times New Roman"/>
          <w:lang w:val="en-GB" w:eastAsia="en-GB"/>
        </w:rPr>
        <w:t>2.1 Business Identity and Legal Structure</w:t>
      </w:r>
      <w:bookmarkEnd w:id="12"/>
    </w:p>
    <w:p w14:paraId="3CD3DFE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is proposed as a new specialty coffee venture to be established on Monmouth Street, Covent Garden, London, UK. The proposed business will operate as a private limited company, subject to confirmation through the subsequent legal and financial analysis. This structure is appropriate for a new venture because it can provide a formal corporate identity and separate the company's liabilities from those of its shareholders, while supporting future investment and growth.</w:t>
      </w:r>
    </w:p>
    <w:p w14:paraId="2740E2C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location provides access to an established commercial and visitor environment but also places the business within a highly competitive specialty coffee cluster. Monmouth Coffee Company already operates at 27 Monmouth Street, while Covent Garden identifies several specialty coffee businesses within the surrounding area (Monmouth Coffee Company, 2026; Covent Garden London, 2026). Consequently, location alone will not constitute the business's competitive advantage.</w:t>
      </w:r>
    </w:p>
    <w:p w14:paraId="7F49BC6B" w14:textId="77777777" w:rsidR="001B41A5" w:rsidRPr="00296B61" w:rsidRDefault="001B41A5" w:rsidP="00296B61">
      <w:pPr>
        <w:pStyle w:val="Heading2"/>
        <w:rPr>
          <w:rFonts w:eastAsia="Times New Roman"/>
          <w:lang w:val="en-GB" w:eastAsia="en-GB"/>
        </w:rPr>
      </w:pPr>
      <w:bookmarkStart w:id="13" w:name="_Toc239695337"/>
      <w:r w:rsidRPr="00296B61">
        <w:rPr>
          <w:rFonts w:eastAsia="Times New Roman"/>
          <w:lang w:val="en-GB" w:eastAsia="en-GB"/>
        </w:rPr>
        <w:t>2.2 Product or Service and the Problem Solved</w:t>
      </w:r>
      <w:bookmarkEnd w:id="13"/>
    </w:p>
    <w:p w14:paraId="4ACE4EE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will provide premium specialty coffee, ethically sourced beans, complementary food products and a sustainability-focused café experience. The core offer will include espresso-based beverages, filter coffee, seasonal specialty drinks, alternative milk options and selected pastries or light food. Coffee beans will be sourced through suppliers demonstrating credible ethical and environmental standards, with the business seeking to communicate information about origin, sourcing relationships and sustainability practices transparently.</w:t>
      </w:r>
    </w:p>
    <w:p w14:paraId="67B6D640" w14:textId="37C0F339"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service responds to the opportunity identified in Chapter 1 by combining product quality with responsible sourcing and customer experience. This is important because sustainability attributes can influence consumer preferences and willingness to pay for coffee (Fuller, Grebitus and Schmitz, 2022; Fuller and Grebitus, 2023). The business will also seek to reduce operational waste through reusable or recyclable packaging, responsible procurement and efficient resource use.</w:t>
      </w:r>
    </w:p>
    <w:p w14:paraId="003FB5D1" w14:textId="77777777" w:rsidR="00296B61" w:rsidRPr="00296B61" w:rsidRDefault="00296B61" w:rsidP="00296B61">
      <w:pPr>
        <w:spacing w:before="240" w:line="360" w:lineRule="auto"/>
        <w:jc w:val="both"/>
        <w:rPr>
          <w:rFonts w:ascii="Arial" w:hAnsi="Arial" w:cs="Arial"/>
          <w:sz w:val="24"/>
          <w:szCs w:val="24"/>
          <w:lang w:val="en-GB" w:eastAsia="en-GB"/>
        </w:rPr>
      </w:pPr>
    </w:p>
    <w:p w14:paraId="6C4654A0" w14:textId="77777777" w:rsidR="001B41A5" w:rsidRPr="00296B61" w:rsidRDefault="001B41A5" w:rsidP="00296B61">
      <w:pPr>
        <w:spacing w:before="240" w:line="360" w:lineRule="auto"/>
        <w:jc w:val="both"/>
        <w:rPr>
          <w:rFonts w:ascii="Arial" w:hAnsi="Arial" w:cs="Arial"/>
          <w:b/>
          <w:sz w:val="24"/>
          <w:szCs w:val="24"/>
          <w:lang w:val="en-GB" w:eastAsia="en-GB"/>
        </w:rPr>
      </w:pPr>
      <w:r w:rsidRPr="00296B61">
        <w:rPr>
          <w:rFonts w:ascii="Arial" w:hAnsi="Arial" w:cs="Arial"/>
          <w:b/>
          <w:sz w:val="24"/>
          <w:szCs w:val="24"/>
          <w:lang w:val="en-GB" w:eastAsia="en-GB"/>
        </w:rPr>
        <w:lastRenderedPageBreak/>
        <w:t>The initial value proposition is therefore:</w:t>
      </w:r>
    </w:p>
    <w:p w14:paraId="612976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b/>
          <w:sz w:val="24"/>
          <w:szCs w:val="24"/>
          <w:lang w:val="en-GB" w:eastAsia="en-GB"/>
        </w:rPr>
        <w:t>Premium specialty coffee delivered through transparent ethical sourcing and sustainable operations in a welcoming Covent Garden coffee-house environment</w:t>
      </w:r>
      <w:r w:rsidRPr="00296B61">
        <w:rPr>
          <w:rFonts w:ascii="Arial" w:hAnsi="Arial" w:cs="Arial"/>
          <w:sz w:val="24"/>
          <w:szCs w:val="24"/>
          <w:lang w:val="en-GB" w:eastAsia="en-GB"/>
        </w:rPr>
        <w:t>.</w:t>
      </w:r>
    </w:p>
    <w:p w14:paraId="0EA9BC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proposition will subsequently be tested against competitors, customer evidence and financial requirements.</w:t>
      </w:r>
    </w:p>
    <w:p w14:paraId="20A6F482" w14:textId="77777777" w:rsidR="001B41A5" w:rsidRPr="00296B61" w:rsidRDefault="001B41A5" w:rsidP="00296B61">
      <w:pPr>
        <w:pStyle w:val="Heading2"/>
        <w:rPr>
          <w:rFonts w:eastAsia="Times New Roman"/>
          <w:lang w:val="en-GB" w:eastAsia="en-GB"/>
        </w:rPr>
      </w:pPr>
      <w:bookmarkStart w:id="14" w:name="_Toc239695338"/>
      <w:r w:rsidRPr="00296B61">
        <w:rPr>
          <w:rFonts w:eastAsia="Times New Roman"/>
          <w:lang w:val="en-GB" w:eastAsia="en-GB"/>
        </w:rPr>
        <w:t>2.3 Founding Idea and Brief History</w:t>
      </w:r>
      <w:bookmarkEnd w:id="14"/>
    </w:p>
    <w:p w14:paraId="3FFEE7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business idea emerged from the intersection of three developments: the continued growth of specialty coffee consumption, increasing consumer awareness of ethical sourcing, and the environmental and social challenges associated with global coffee supply chains. Research identifies sustainability as an increasingly important dimension of coffee production and consumption, although the effectiveness and credibility of different sustainability initiatives vary (Wright et al., 2024). The concept therefore seeks to investigate whether these trends can be translated into a commercially appropriate independent coffee-shop proposition in Covent Garden.</w:t>
      </w:r>
    </w:p>
    <w:p w14:paraId="30F9B1A1" w14:textId="77777777" w:rsidR="001B41A5" w:rsidRPr="00296B61" w:rsidRDefault="001B41A5" w:rsidP="00296B61">
      <w:pPr>
        <w:pStyle w:val="Heading2"/>
        <w:rPr>
          <w:rFonts w:eastAsia="Times New Roman"/>
          <w:lang w:val="en-GB" w:eastAsia="en-GB"/>
        </w:rPr>
      </w:pPr>
      <w:bookmarkStart w:id="15" w:name="_Toc239695339"/>
      <w:r w:rsidRPr="00296B61">
        <w:rPr>
          <w:rFonts w:eastAsia="Times New Roman"/>
          <w:lang w:val="en-GB" w:eastAsia="en-GB"/>
        </w:rPr>
        <w:t>2.4 Mission, Vision and Values</w:t>
      </w:r>
      <w:bookmarkEnd w:id="15"/>
    </w:p>
    <w:p w14:paraId="7620363E" w14:textId="77777777" w:rsidR="001B41A5" w:rsidRPr="00296B61" w:rsidRDefault="001B41A5" w:rsidP="00296B61">
      <w:pPr>
        <w:pStyle w:val="Heading3"/>
        <w:rPr>
          <w:rFonts w:eastAsia="Times New Roman"/>
          <w:lang w:val="en-GB" w:eastAsia="en-GB"/>
        </w:rPr>
      </w:pPr>
      <w:bookmarkStart w:id="16" w:name="_Toc239695340"/>
      <w:r w:rsidRPr="00296B61">
        <w:rPr>
          <w:rFonts w:eastAsia="Times New Roman"/>
          <w:lang w:val="en-GB" w:eastAsia="en-GB"/>
        </w:rPr>
        <w:t>Mission</w:t>
      </w:r>
      <w:bookmarkEnd w:id="16"/>
    </w:p>
    <w:p w14:paraId="4CCDD0A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mission of The Ethical Bean Coffee House is to provide high-quality specialty coffee while creating greater transparency, responsibility and sustainability across the coffee-shop experience.</w:t>
      </w:r>
    </w:p>
    <w:p w14:paraId="0ECB42E9" w14:textId="77777777" w:rsidR="001B41A5" w:rsidRPr="00296B61" w:rsidRDefault="001B41A5" w:rsidP="00296B61">
      <w:pPr>
        <w:pStyle w:val="Heading3"/>
        <w:rPr>
          <w:rFonts w:eastAsia="Times New Roman"/>
          <w:lang w:val="en-GB" w:eastAsia="en-GB"/>
        </w:rPr>
      </w:pPr>
      <w:bookmarkStart w:id="17" w:name="_Toc239695341"/>
      <w:r w:rsidRPr="00296B61">
        <w:rPr>
          <w:rFonts w:eastAsia="Times New Roman"/>
          <w:lang w:val="en-GB" w:eastAsia="en-GB"/>
        </w:rPr>
        <w:t>Vision</w:t>
      </w:r>
      <w:bookmarkEnd w:id="17"/>
    </w:p>
    <w:p w14:paraId="26D291C1"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vision is to develop a recognised ethical specialty coffee brand that demonstrates how premium hospitality can be combined with responsible sourcing, environmental awareness and positive customer experiences.</w:t>
      </w:r>
    </w:p>
    <w:p w14:paraId="772E59EC" w14:textId="77777777" w:rsidR="001B41A5" w:rsidRPr="00296B61" w:rsidRDefault="001B41A5" w:rsidP="00296B61">
      <w:pPr>
        <w:jc w:val="both"/>
        <w:rPr>
          <w:rFonts w:ascii="Arial" w:hAnsi="Arial" w:cs="Arial"/>
          <w:b/>
          <w:sz w:val="24"/>
        </w:rPr>
      </w:pPr>
      <w:r w:rsidRPr="00296B61">
        <w:rPr>
          <w:rFonts w:ascii="Arial" w:hAnsi="Arial" w:cs="Arial"/>
          <w:b/>
          <w:sz w:val="24"/>
        </w:rPr>
        <w:t>The business will be guided by four core values:</w:t>
      </w:r>
    </w:p>
    <w:p w14:paraId="483CB782"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Ethical sourcing –</w:t>
      </w:r>
      <w:r w:rsidRPr="003C1271">
        <w:rPr>
          <w:rFonts w:ascii="Arial" w:hAnsi="Arial" w:cs="Arial"/>
          <w:sz w:val="24"/>
          <w:szCs w:val="24"/>
          <w:lang w:val="en-GB" w:eastAsia="en-GB"/>
        </w:rPr>
        <w:t xml:space="preserve"> prioritising responsible relationships with coffee producers and suppliers. </w:t>
      </w:r>
    </w:p>
    <w:p w14:paraId="5C58CAF8"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lastRenderedPageBreak/>
        <w:t>Sustainability –</w:t>
      </w:r>
      <w:r w:rsidRPr="003C1271">
        <w:rPr>
          <w:rFonts w:ascii="Arial" w:hAnsi="Arial" w:cs="Arial"/>
          <w:sz w:val="24"/>
          <w:szCs w:val="24"/>
          <w:lang w:val="en-GB" w:eastAsia="en-GB"/>
        </w:rPr>
        <w:t xml:space="preserve"> reducing unnecessary waste and environmental impacts across operations. </w:t>
      </w:r>
    </w:p>
    <w:p w14:paraId="556F76A4"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Quality –</w:t>
      </w:r>
      <w:r w:rsidRPr="003C1271">
        <w:rPr>
          <w:rFonts w:ascii="Arial" w:hAnsi="Arial" w:cs="Arial"/>
          <w:sz w:val="24"/>
          <w:szCs w:val="24"/>
          <w:lang w:val="en-GB" w:eastAsia="en-GB"/>
        </w:rPr>
        <w:t xml:space="preserve"> maintaining high standards in coffee preparation, ingredients and customer service. </w:t>
      </w:r>
    </w:p>
    <w:p w14:paraId="302756A8"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Transparency –</w:t>
      </w:r>
      <w:r w:rsidRPr="003C1271">
        <w:rPr>
          <w:rFonts w:ascii="Arial" w:hAnsi="Arial" w:cs="Arial"/>
          <w:sz w:val="24"/>
          <w:szCs w:val="24"/>
          <w:lang w:val="en-GB" w:eastAsia="en-GB"/>
        </w:rPr>
        <w:t xml:space="preserve"> communicating sourcing and sustainability practices honestly rather than relying on unsupported ethical claims. </w:t>
      </w:r>
    </w:p>
    <w:p w14:paraId="7034462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values are particularly relevant because credible sustainability communication can influence consumer perceptions and purchasing decisions (Fairtrade, 2025).</w:t>
      </w:r>
    </w:p>
    <w:p w14:paraId="2073CE7D" w14:textId="77777777" w:rsidR="001B41A5" w:rsidRPr="00296B61" w:rsidRDefault="001B41A5" w:rsidP="003C1271">
      <w:pPr>
        <w:pStyle w:val="Heading2"/>
        <w:rPr>
          <w:rFonts w:eastAsia="Times New Roman"/>
          <w:lang w:val="en-GB" w:eastAsia="en-GB"/>
        </w:rPr>
      </w:pPr>
      <w:bookmarkStart w:id="18" w:name="_Toc239695342"/>
      <w:r w:rsidRPr="00296B61">
        <w:rPr>
          <w:rFonts w:eastAsia="Times New Roman"/>
          <w:lang w:val="en-GB" w:eastAsia="en-GB"/>
        </w:rPr>
        <w:t>2.5 Business Objectives and Goals</w:t>
      </w:r>
      <w:bookmarkEnd w:id="18"/>
    </w:p>
    <w:p w14:paraId="15C54B2F"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The initial business objectives are designed as provisional SMART objectives and will be tested and refined through the later financial and feasibility analysis.</w:t>
      </w:r>
    </w:p>
    <w:p w14:paraId="4CE1FF46"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complete market, competitor and customer analysis for the proposed Monmouth Street location during the first stages of the 16-week BDP. </w:t>
      </w:r>
    </w:p>
    <w:p w14:paraId="150AF8EC"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an evidence-based ethical sourcing and sustainable supply-chain model before the proposed business launch. </w:t>
      </w:r>
    </w:p>
    <w:p w14:paraId="60FC3D10"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establish a differentiated product and service proposition incorporating specialty coffee quality, ethical sourcing and sustainable operating practices before launch. </w:t>
      </w:r>
    </w:p>
    <w:p w14:paraId="47BF8C04"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 three-to-five-year financial forecast, break-even analysis and sensitivity analysis within the BDP to determine the financial conditions required for potential viability. </w:t>
      </w:r>
    </w:p>
    <w:p w14:paraId="1A6B634D"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design an implementation plan containing measurable operational, customer, financial and sustainability KPIs for the proposed first year of operation. </w:t>
      </w:r>
    </w:p>
    <w:p w14:paraId="24CD3F6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objectives remain subject to evidence generated through the later chapters rather than assuming that the proposed targets are automatically achievable.</w:t>
      </w:r>
    </w:p>
    <w:p w14:paraId="71059E91" w14:textId="77777777" w:rsidR="001B41A5" w:rsidRPr="00296B61" w:rsidRDefault="001B41A5" w:rsidP="003C1271">
      <w:pPr>
        <w:pStyle w:val="Heading2"/>
        <w:rPr>
          <w:rFonts w:eastAsia="Times New Roman"/>
          <w:lang w:val="en-GB" w:eastAsia="en-GB"/>
        </w:rPr>
      </w:pPr>
      <w:bookmarkStart w:id="19" w:name="_Toc239695343"/>
      <w:r w:rsidRPr="00296B61">
        <w:rPr>
          <w:rFonts w:eastAsia="Times New Roman"/>
          <w:lang w:val="en-GB" w:eastAsia="en-GB"/>
        </w:rPr>
        <w:t>2.6 Alignment with Trends and Opportunity</w:t>
      </w:r>
      <w:bookmarkEnd w:id="19"/>
    </w:p>
    <w:p w14:paraId="7FA1063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business concept aligns with several developments in the UK coffee sector, including continued coffee-shop market growth, consumer interest in specialty coffee and increasing attention to ethical and sustainable sourcing. The UK branded coffee-</w:t>
      </w:r>
      <w:r w:rsidRPr="00296B61">
        <w:rPr>
          <w:rFonts w:ascii="Arial" w:hAnsi="Arial" w:cs="Arial"/>
          <w:sz w:val="24"/>
          <w:szCs w:val="24"/>
          <w:lang w:val="en-GB" w:eastAsia="en-GB"/>
        </w:rPr>
        <w:lastRenderedPageBreak/>
        <w:t>shop market reached £6.1 billion in 2025, while consumer research indicates continued coffee-shop engagement despite growing price sensitivity (World Coffee Portal, 2025). Ethical consumption is also relevant, with Fairtrade reporting strong recognition and regular purchasing among UK shoppers (Fairtrade, 2025).</w:t>
      </w:r>
    </w:p>
    <w:p w14:paraId="5F77D786" w14:textId="3F5B16DC"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However, the presence of established specialty operators in Covent Garden means the proposal must demonstrate a specific and defensible point of differentiation. The subsequent BDP analysis will therefore determine whether ethical sourcing, sustainability, transparency and customer experience can create sufficient strategic and commercial differentiation for The Ethical Bean Coffee House.</w:t>
      </w:r>
    </w:p>
    <w:p w14:paraId="2488C5CC" w14:textId="1CA76880" w:rsidR="00F57D71" w:rsidRDefault="00F57D71" w:rsidP="00296B61">
      <w:pPr>
        <w:spacing w:before="240" w:line="360" w:lineRule="auto"/>
        <w:jc w:val="both"/>
        <w:rPr>
          <w:rFonts w:ascii="Arial" w:hAnsi="Arial" w:cs="Arial"/>
          <w:sz w:val="24"/>
          <w:szCs w:val="24"/>
          <w:lang w:val="en-GB" w:eastAsia="en-GB"/>
        </w:rPr>
      </w:pPr>
    </w:p>
    <w:p w14:paraId="5D60A5DA" w14:textId="3DF42C88" w:rsidR="00F57D71" w:rsidRDefault="00F57D71" w:rsidP="00296B61">
      <w:pPr>
        <w:spacing w:before="240" w:line="360" w:lineRule="auto"/>
        <w:jc w:val="both"/>
        <w:rPr>
          <w:rFonts w:ascii="Arial" w:hAnsi="Arial" w:cs="Arial"/>
          <w:sz w:val="24"/>
          <w:szCs w:val="24"/>
          <w:lang w:val="en-GB" w:eastAsia="en-GB"/>
        </w:rPr>
      </w:pPr>
    </w:p>
    <w:p w14:paraId="5B5D22F0" w14:textId="5D8A1869" w:rsidR="00F57D71" w:rsidRDefault="00F57D71" w:rsidP="00296B61">
      <w:pPr>
        <w:spacing w:before="240" w:line="360" w:lineRule="auto"/>
        <w:jc w:val="both"/>
        <w:rPr>
          <w:rFonts w:ascii="Arial" w:hAnsi="Arial" w:cs="Arial"/>
          <w:sz w:val="24"/>
          <w:szCs w:val="24"/>
          <w:lang w:val="en-GB" w:eastAsia="en-GB"/>
        </w:rPr>
      </w:pPr>
    </w:p>
    <w:p w14:paraId="15D767E9" w14:textId="62DA0E78" w:rsidR="00F57D71" w:rsidRDefault="00F57D71" w:rsidP="00296B61">
      <w:pPr>
        <w:spacing w:before="240" w:line="360" w:lineRule="auto"/>
        <w:jc w:val="both"/>
        <w:rPr>
          <w:rFonts w:ascii="Arial" w:hAnsi="Arial" w:cs="Arial"/>
          <w:sz w:val="24"/>
          <w:szCs w:val="24"/>
          <w:lang w:val="en-GB" w:eastAsia="en-GB"/>
        </w:rPr>
      </w:pPr>
    </w:p>
    <w:p w14:paraId="626A061B" w14:textId="7C943722" w:rsidR="00F57D71" w:rsidRDefault="00F57D71" w:rsidP="00296B61">
      <w:pPr>
        <w:spacing w:before="240" w:line="360" w:lineRule="auto"/>
        <w:jc w:val="both"/>
        <w:rPr>
          <w:rFonts w:ascii="Arial" w:hAnsi="Arial" w:cs="Arial"/>
          <w:sz w:val="24"/>
          <w:szCs w:val="24"/>
          <w:lang w:val="en-GB" w:eastAsia="en-GB"/>
        </w:rPr>
      </w:pPr>
    </w:p>
    <w:p w14:paraId="5D140D42" w14:textId="7F2156C2" w:rsidR="00F57D71" w:rsidRDefault="00F57D71" w:rsidP="00296B61">
      <w:pPr>
        <w:spacing w:before="240" w:line="360" w:lineRule="auto"/>
        <w:jc w:val="both"/>
        <w:rPr>
          <w:rFonts w:ascii="Arial" w:hAnsi="Arial" w:cs="Arial"/>
          <w:sz w:val="24"/>
          <w:szCs w:val="24"/>
          <w:lang w:val="en-GB" w:eastAsia="en-GB"/>
        </w:rPr>
      </w:pPr>
    </w:p>
    <w:p w14:paraId="3D0A4E35" w14:textId="1DC0B111" w:rsidR="00F57D71" w:rsidRDefault="00F57D71" w:rsidP="00296B61">
      <w:pPr>
        <w:spacing w:before="240" w:line="360" w:lineRule="auto"/>
        <w:jc w:val="both"/>
        <w:rPr>
          <w:rFonts w:ascii="Arial" w:hAnsi="Arial" w:cs="Arial"/>
          <w:sz w:val="24"/>
          <w:szCs w:val="24"/>
          <w:lang w:val="en-GB" w:eastAsia="en-GB"/>
        </w:rPr>
      </w:pPr>
    </w:p>
    <w:p w14:paraId="04559FB0" w14:textId="4918065D" w:rsidR="00F57D71" w:rsidRDefault="00F57D71" w:rsidP="00296B61">
      <w:pPr>
        <w:spacing w:before="240" w:line="360" w:lineRule="auto"/>
        <w:jc w:val="both"/>
        <w:rPr>
          <w:rFonts w:ascii="Arial" w:hAnsi="Arial" w:cs="Arial"/>
          <w:sz w:val="24"/>
          <w:szCs w:val="24"/>
          <w:lang w:val="en-GB" w:eastAsia="en-GB"/>
        </w:rPr>
      </w:pPr>
    </w:p>
    <w:p w14:paraId="39B903C4" w14:textId="65DACF01" w:rsidR="00F57D71" w:rsidRDefault="00F57D71" w:rsidP="00296B61">
      <w:pPr>
        <w:spacing w:before="240" w:line="360" w:lineRule="auto"/>
        <w:jc w:val="both"/>
        <w:rPr>
          <w:rFonts w:ascii="Arial" w:hAnsi="Arial" w:cs="Arial"/>
          <w:sz w:val="24"/>
          <w:szCs w:val="24"/>
          <w:lang w:val="en-GB" w:eastAsia="en-GB"/>
        </w:rPr>
      </w:pPr>
    </w:p>
    <w:p w14:paraId="1644505A" w14:textId="3454BA7E" w:rsidR="00F57D71" w:rsidRDefault="00F57D71" w:rsidP="00296B61">
      <w:pPr>
        <w:spacing w:before="240" w:line="360" w:lineRule="auto"/>
        <w:jc w:val="both"/>
        <w:rPr>
          <w:rFonts w:ascii="Arial" w:hAnsi="Arial" w:cs="Arial"/>
          <w:sz w:val="24"/>
          <w:szCs w:val="24"/>
          <w:lang w:val="en-GB" w:eastAsia="en-GB"/>
        </w:rPr>
      </w:pPr>
    </w:p>
    <w:p w14:paraId="31834AC4" w14:textId="4BE93AFD" w:rsidR="00F57D71" w:rsidRDefault="00F57D71" w:rsidP="00296B61">
      <w:pPr>
        <w:spacing w:before="240" w:line="360" w:lineRule="auto"/>
        <w:jc w:val="both"/>
        <w:rPr>
          <w:rFonts w:ascii="Arial" w:hAnsi="Arial" w:cs="Arial"/>
          <w:sz w:val="24"/>
          <w:szCs w:val="24"/>
          <w:lang w:val="en-GB" w:eastAsia="en-GB"/>
        </w:rPr>
      </w:pPr>
    </w:p>
    <w:p w14:paraId="4D88D8AC" w14:textId="6EB7A041" w:rsidR="00F57D71" w:rsidRDefault="00F57D71" w:rsidP="00296B61">
      <w:pPr>
        <w:spacing w:before="240" w:line="360" w:lineRule="auto"/>
        <w:jc w:val="both"/>
        <w:rPr>
          <w:rFonts w:ascii="Arial" w:hAnsi="Arial" w:cs="Arial"/>
          <w:sz w:val="24"/>
          <w:szCs w:val="24"/>
          <w:lang w:val="en-GB" w:eastAsia="en-GB"/>
        </w:rPr>
      </w:pPr>
    </w:p>
    <w:p w14:paraId="158BDFD7" w14:textId="5C1021F0" w:rsidR="00F57D71" w:rsidRDefault="00F57D71" w:rsidP="00296B61">
      <w:pPr>
        <w:spacing w:before="240" w:line="360" w:lineRule="auto"/>
        <w:jc w:val="both"/>
        <w:rPr>
          <w:rFonts w:ascii="Arial" w:hAnsi="Arial" w:cs="Arial"/>
          <w:sz w:val="24"/>
          <w:szCs w:val="24"/>
          <w:lang w:val="en-GB" w:eastAsia="en-GB"/>
        </w:rPr>
      </w:pPr>
    </w:p>
    <w:p w14:paraId="71F2D4B1" w14:textId="0A307BA8" w:rsidR="00F57D71" w:rsidRDefault="00F57D71" w:rsidP="00296B61">
      <w:pPr>
        <w:spacing w:before="240" w:line="360" w:lineRule="auto"/>
        <w:jc w:val="both"/>
        <w:rPr>
          <w:rFonts w:ascii="Arial" w:hAnsi="Arial" w:cs="Arial"/>
          <w:sz w:val="24"/>
          <w:szCs w:val="24"/>
          <w:lang w:val="en-GB" w:eastAsia="en-GB"/>
        </w:rPr>
      </w:pPr>
    </w:p>
    <w:p w14:paraId="01049D26" w14:textId="1DB2E0D2" w:rsidR="00F57D71" w:rsidRDefault="00F57D71" w:rsidP="00296B61">
      <w:pPr>
        <w:spacing w:before="240" w:line="360" w:lineRule="auto"/>
        <w:jc w:val="both"/>
        <w:rPr>
          <w:rFonts w:ascii="Arial" w:hAnsi="Arial" w:cs="Arial"/>
          <w:sz w:val="24"/>
          <w:szCs w:val="24"/>
          <w:lang w:val="en-GB" w:eastAsia="en-GB"/>
        </w:rPr>
      </w:pPr>
    </w:p>
    <w:p w14:paraId="0A235F0D" w14:textId="77777777" w:rsidR="00764905" w:rsidRPr="00764905" w:rsidRDefault="00764905" w:rsidP="00764905">
      <w:pPr>
        <w:keepNext/>
        <w:keepLines/>
        <w:spacing w:before="360" w:after="80" w:line="360" w:lineRule="auto"/>
        <w:jc w:val="center"/>
        <w:outlineLvl w:val="0"/>
        <w:rPr>
          <w:rFonts w:ascii="Arial" w:eastAsia="Times New Roman" w:hAnsi="Arial" w:cstheme="majorBidi"/>
          <w:b/>
          <w:color w:val="000000" w:themeColor="text1"/>
          <w:sz w:val="32"/>
          <w:szCs w:val="40"/>
          <w:lang w:val="en-GB" w:eastAsia="en-GB"/>
        </w:rPr>
      </w:pPr>
      <w:bookmarkStart w:id="20" w:name="_Toc239695344"/>
      <w:r w:rsidRPr="00764905">
        <w:rPr>
          <w:rFonts w:ascii="Arial" w:eastAsia="Times New Roman" w:hAnsi="Arial" w:cstheme="majorBidi"/>
          <w:b/>
          <w:color w:val="000000" w:themeColor="text1"/>
          <w:sz w:val="32"/>
          <w:szCs w:val="40"/>
          <w:lang w:val="en-GB" w:eastAsia="en-GB"/>
        </w:rPr>
        <w:lastRenderedPageBreak/>
        <w:t>Chapter 3: Literature Review</w:t>
      </w:r>
      <w:bookmarkEnd w:id="20"/>
    </w:p>
    <w:p w14:paraId="0A0225D5"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1" w:name="_Toc239695345"/>
      <w:r w:rsidRPr="00764905">
        <w:rPr>
          <w:rFonts w:ascii="Arial" w:eastAsia="Times New Roman" w:hAnsi="Arial" w:cstheme="majorBidi"/>
          <w:b/>
          <w:color w:val="000000" w:themeColor="text1"/>
          <w:sz w:val="28"/>
          <w:szCs w:val="32"/>
          <w:lang w:val="en-GB" w:eastAsia="en-GB"/>
        </w:rPr>
        <w:t>3.1 Introduction</w:t>
      </w:r>
      <w:bookmarkEnd w:id="21"/>
    </w:p>
    <w:p w14:paraId="0F72010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This literature evaluation provides the academic underpinning for assessing The Ethical Bean Coffee House in Covent Garden's market opportunity, strategic needs, and commercial viability. Speciality coffee, customer value, ethical sourcing, sustainable supply-chain management, and competitive advantage are its priorities. Strategic frameworks are critically examined to determine how they describe the proposed business's external environment, resources, value creation, customer proposition, and business model. Porter's competitive strategy, RBV, PESTLE, Five Forces, and TBL, reinforced by Value Chain, VPC, and BMC, are key views.</w:t>
      </w:r>
    </w:p>
    <w:p w14:paraId="239DEFD7"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2" w:name="_Toc239695346"/>
      <w:r w:rsidRPr="00764905">
        <w:rPr>
          <w:rFonts w:ascii="Arial" w:eastAsia="Times New Roman" w:hAnsi="Arial" w:cstheme="majorBidi"/>
          <w:b/>
          <w:color w:val="000000" w:themeColor="text1"/>
          <w:sz w:val="28"/>
          <w:szCs w:val="32"/>
          <w:lang w:val="en-GB" w:eastAsia="en-GB"/>
        </w:rPr>
        <w:t>3.2 Specialty Coffee, Consumer Value and Ethical Consumption</w:t>
      </w:r>
      <w:bookmarkEnd w:id="22"/>
    </w:p>
    <w:p w14:paraId="7D06C87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Over time, speciality coffee has become about quality, provenance, workmanship, and premiumization. This allows individual coffee shops to compete on client value rather than volume. Product quality, convenience, and sensory and ethical benefits can add value to consumers (Holbrook, 1999). In coffee markets, provenance and openness may increase product value when consumers consider production and sourcing.</w:t>
      </w:r>
    </w:p>
    <w:p w14:paraId="08459ABC"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According to ethical consumption literature, sustainability and responsible sourcing might affect buy intentions and willingness to pay, but favourable ethical attitudes do not always lead to purchases. This relationship can be limited by price, convenience, quality, and trust (Carrington, Neville, and Whitwell, 2010 Sustainable consumption may require balancing environmental principles with consumer needs (White, Habib and Hardisty, 2019). Thus, The Ethical Bean Coffee House may differentiate itself with ethical orientation, but sustainability may not automatically attract customers. The research recommends assessing ethical value alongside quality, pleasure, convenience, and pricing.</w:t>
      </w:r>
    </w:p>
    <w:p w14:paraId="714DCA94"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3" w:name="_Toc239695347"/>
      <w:r w:rsidRPr="00764905">
        <w:rPr>
          <w:rFonts w:ascii="Arial" w:eastAsia="Times New Roman" w:hAnsi="Arial" w:cstheme="majorBidi"/>
          <w:b/>
          <w:color w:val="000000" w:themeColor="text1"/>
          <w:sz w:val="28"/>
          <w:szCs w:val="32"/>
          <w:lang w:val="en-GB" w:eastAsia="en-GB"/>
        </w:rPr>
        <w:t>3.3 Ethical Sourcing and Sustainable Supply-Chain Management</w:t>
      </w:r>
      <w:bookmarkEnd w:id="23"/>
    </w:p>
    <w:p w14:paraId="50617704"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Source items and materials ethically, considering social, environmental, and economic implications. Sustainable supply-chain management covers procurement, supplier relationships, operations, and value creation (Carter and Rogers, 2008). Responsible sourcing and traceability can boost confidence, authenticity, and distinction for speciality coffee brands.</w:t>
      </w:r>
    </w:p>
    <w:p w14:paraId="461FB9FB"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lastRenderedPageBreak/>
        <w:t>However, sustainability presents operational issues. Responsible procurement may cost more, require more supplier verification, and make it harder to maintain standards across distant supply chains. Greenwashing can harm customer trust, thus organisations making environmental or ethical claims must give convincing evidence (Delmas and Burbano, 2011). Thus, sustainable supply-chain management is an organisational competency that requires transparency, supplier management, and operational consistency, not just a promotion. This is significant to The Ethical Bean Coffee House since it offers speciality quality, ethical sourcing, and sustainable operations.</w:t>
      </w:r>
    </w:p>
    <w:p w14:paraId="4A2EB0B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4" w:name="_Toc239695348"/>
      <w:r w:rsidRPr="00764905">
        <w:rPr>
          <w:rFonts w:ascii="Arial" w:eastAsia="Times New Roman" w:hAnsi="Arial" w:cstheme="majorBidi"/>
          <w:b/>
          <w:color w:val="000000" w:themeColor="text1"/>
          <w:sz w:val="28"/>
          <w:szCs w:val="32"/>
          <w:lang w:val="en-GB" w:eastAsia="en-GB"/>
        </w:rPr>
        <w:t>3.4 Competitive Advantage: Porter and RBV/VRIO</w:t>
      </w:r>
      <w:bookmarkEnd w:id="24"/>
    </w:p>
    <w:p w14:paraId="7C3F4BB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Porter's (1985) competitive strategy suggests cost leadership, distinctiveness, and focus for competitive advantage. Ethical sourcing, speciality quality, and customer experience may increase operating costs for The Ethical Bean Coffee House, making differentiation better than cost leadership. The business might target Covent Garden consumers seeking excellent coffee and ethical value with a focused differentiating strategy.</w:t>
      </w:r>
    </w:p>
    <w:p w14:paraId="23481AB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Resource-Based View complements internal perspective. Valuable, rare, difficult-to-imitate, and organisationally supported resources can sustain competitive advantage, according to Barney (1991). The VRIO logic emphasises supplier connections, sourcing knowledge, brand reputation, sustainability, and customer experience. Porter focuses on how the business competes, while RBV/VRIO explains its internal resources. Differentiation requires an attractive market position and capabilities that competitors cannot easily replicate.</w:t>
      </w:r>
    </w:p>
    <w:p w14:paraId="2035047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5" w:name="_Toc239695349"/>
      <w:r w:rsidRPr="00764905">
        <w:rPr>
          <w:rFonts w:ascii="Arial" w:eastAsia="Times New Roman" w:hAnsi="Arial" w:cstheme="majorBidi"/>
          <w:b/>
          <w:color w:val="000000" w:themeColor="text1"/>
          <w:sz w:val="28"/>
          <w:szCs w:val="32"/>
          <w:lang w:val="en-GB" w:eastAsia="en-GB"/>
        </w:rPr>
        <w:t>3.5 External and Industry Environment: PESTLE and Five Forces</w:t>
      </w:r>
      <w:bookmarkEnd w:id="25"/>
    </w:p>
    <w:p w14:paraId="2CFA29D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PESTLE framework examines political, economic, social, technological, legal, and environmental factors (Yüksel, 2012). For The Ethical Bean Coffee House, economic pressures like inflation and operating costs, social trends around ethical consumption, digital ordering technology, legal requirements for food operations, and environmental pressures on coffee supply are important. PESTLE is generally an environmental scanning tool and does not explain firm-level capabilities or competitive positioning.</w:t>
      </w:r>
    </w:p>
    <w:p w14:paraId="142415AB"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lastRenderedPageBreak/>
        <w:t>Porter's (1979) Five Forces examines rivalry, new entrants, suppliers, buyers, and substitutes. It is especially useful in a competitive coffee-shop environment where established competitors can increase rivalry and alternative cafés, at-home coffee, and other beverages create substitution pressures. Five Forces evaluates industry structure, not customer-value design or internal capability. Therefore, it works best with RBV and Porter's Generic Strategies.</w:t>
      </w:r>
    </w:p>
    <w:p w14:paraId="475FFE90"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6" w:name="_Toc239695350"/>
      <w:r w:rsidRPr="00764905">
        <w:rPr>
          <w:rFonts w:ascii="Arial" w:eastAsia="Times New Roman" w:hAnsi="Arial" w:cstheme="majorBidi"/>
          <w:b/>
          <w:color w:val="000000" w:themeColor="text1"/>
          <w:sz w:val="28"/>
          <w:szCs w:val="32"/>
          <w:lang w:val="en-GB" w:eastAsia="en-GB"/>
        </w:rPr>
        <w:t>3.6 Value Creation and Sustainability: Value Chain and TBL</w:t>
      </w:r>
      <w:bookmarkEnd w:id="26"/>
    </w:p>
    <w:p w14:paraId="48B5B20E"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1985 Porter Value Chain describes how firms create value through inbound logistics, operations, marketing, sales, and service. Applied to The Ethical Bean Coffee House, value can potentially flow from ethical sourcing and supplier relationships through coffee preparation and service to the final customer experience. However, the traditional value chain may underrepresent intangible outcomes such as social responsibility and community value.</w:t>
      </w:r>
    </w:p>
    <w:p w14:paraId="7D7C9175"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Triple Bottom Line broadens sustainability evaluation through People, Planet and Profit (Elkington, 1997). Ethical supplier relationships and labour considerations address People; waste, packaging and resource efficiency address Planet; while revenue, differentiation and commercial viability address Profit. TBL therefore complements competitive frameworks by recognising that sustainability must generate social and environmental value without ignoring financial viability.</w:t>
      </w:r>
    </w:p>
    <w:p w14:paraId="2EE5358F"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7" w:name="_Toc239695351"/>
      <w:r w:rsidRPr="00764905">
        <w:rPr>
          <w:rFonts w:ascii="Arial" w:eastAsia="Times New Roman" w:hAnsi="Arial" w:cstheme="majorBidi"/>
          <w:b/>
          <w:color w:val="000000" w:themeColor="text1"/>
          <w:sz w:val="28"/>
          <w:szCs w:val="32"/>
          <w:lang w:val="en-GB" w:eastAsia="en-GB"/>
        </w:rPr>
        <w:t>3.7 Customer and Business Model Tools: VPC and BMC</w:t>
      </w:r>
      <w:bookmarkEnd w:id="27"/>
    </w:p>
    <w:p w14:paraId="2A4472C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Value Proposition Canvas helps connect customer jobs, pains and gains with the proposed value proposition (Osterwalder et al., 2014). Customers may seek quality coffee, convenience and social or work spaces while experiencing concerns about poor quality, limited transparency or unsustainable practices. The framework can therefore test the fit between these needs and the proposed combination of specialty coffee, ethical sourcing and customer experience. However, it cannot replace primary consumer research.</w:t>
      </w:r>
    </w:p>
    <w:p w14:paraId="1EF36514"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The Business Model Canvas integrates customer segments, value proposition, channels, relationships, revenue streams, resources, activities, partners and costs (Osterwalder and Pigneur, 2010). It is useful for connecting sustainability and </w:t>
      </w:r>
      <w:r w:rsidRPr="00764905">
        <w:rPr>
          <w:rFonts w:ascii="Arial" w:hAnsi="Arial" w:cs="Arial"/>
          <w:sz w:val="24"/>
          <w:szCs w:val="24"/>
          <w:lang w:val="en-GB" w:eastAsia="en-GB"/>
        </w:rPr>
        <w:lastRenderedPageBreak/>
        <w:t>customer value to commercial design, although it is primarily a business-design tool rather than a theory of competitive advantage.</w:t>
      </w:r>
    </w:p>
    <w:p w14:paraId="7A79799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28" w:name="_Toc239695352"/>
      <w:r w:rsidRPr="00764905">
        <w:rPr>
          <w:rFonts w:ascii="Arial" w:eastAsia="Times New Roman" w:hAnsi="Arial" w:cstheme="majorBidi"/>
          <w:b/>
          <w:color w:val="000000" w:themeColor="text1"/>
          <w:sz w:val="28"/>
          <w:szCs w:val="32"/>
          <w:lang w:val="en-GB" w:eastAsia="en-GB"/>
        </w:rPr>
        <w:t>3.8 Integrated Framework and Research Gap</w:t>
      </w:r>
      <w:bookmarkEnd w:id="28"/>
    </w:p>
    <w:p w14:paraId="213B9BEF"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frameworks are most useful when integrated rather than applied independently. PESTLE identifies macro-environmental conditions, while Five Forces examines industry competition. RBV/VRIO identifies internal resources and capabilities, and Porter explains competitive positioning. Value Chain examines value-creating activities, while TBL evaluates sustainability across People, Planet and Profit. VPC links customer needs to value creation, and BMC connects the proposition to the wider business model.</w:t>
      </w:r>
    </w:p>
    <w:p w14:paraId="06D9EB48" w14:textId="77777777" w:rsidR="00764905" w:rsidRPr="00764905" w:rsidRDefault="00764905" w:rsidP="00764905">
      <w:pPr>
        <w:spacing w:line="360" w:lineRule="auto"/>
        <w:jc w:val="both"/>
        <w:rPr>
          <w:sz w:val="24"/>
          <w:szCs w:val="24"/>
          <w:lang w:val="en-GB" w:eastAsia="en-GB"/>
        </w:rPr>
      </w:pPr>
      <w:r w:rsidRPr="00764905">
        <w:rPr>
          <w:rFonts w:ascii="Arial" w:hAnsi="Arial" w:cs="Arial"/>
          <w:sz w:val="24"/>
          <w:szCs w:val="24"/>
          <w:lang w:val="en-GB" w:eastAsia="en-GB"/>
        </w:rPr>
        <w:t>The literature nevertheless reveals an integration and contextual gap. Existing research addresses ethical consumption, sustainable supply chains, specialty coffee and competitive advantage, but these themes are often examined separately. There is limited integrated consideration of how ethical sourcing → sustainable operations → customer value → differentiation → business-model feasibility can operate within an independent premium specialty coffee business in a highly competitive London location such as Covent Garden. This proposal addresses that gap by combining strategic, sustainability, customer-value and business-model perspectives to evaluate whether ethical and sustainable practices can become commercially meaningful sources of differentiation for The Ethical Bean Coffee House</w:t>
      </w:r>
      <w:r w:rsidRPr="00764905">
        <w:rPr>
          <w:sz w:val="24"/>
          <w:szCs w:val="24"/>
          <w:lang w:val="en-GB" w:eastAsia="en-GB"/>
        </w:rPr>
        <w:t>.</w:t>
      </w:r>
    </w:p>
    <w:p w14:paraId="7123D942"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w:t>
      </w:r>
    </w:p>
    <w:p w14:paraId="0752AA59" w14:textId="77777777" w:rsidR="00764905" w:rsidRPr="00764905" w:rsidRDefault="00764905" w:rsidP="00764905">
      <w:pPr>
        <w:spacing w:line="360" w:lineRule="auto"/>
        <w:jc w:val="both"/>
        <w:rPr>
          <w:rFonts w:ascii="Arial" w:hAnsi="Arial" w:cs="Arial"/>
          <w:sz w:val="24"/>
          <w:szCs w:val="24"/>
          <w:lang w:val="en-GB" w:eastAsia="en-GB"/>
        </w:rPr>
      </w:pPr>
    </w:p>
    <w:p w14:paraId="095DC511" w14:textId="77777777" w:rsidR="00764905" w:rsidRPr="00764905" w:rsidRDefault="00764905" w:rsidP="00764905">
      <w:pPr>
        <w:spacing w:line="360" w:lineRule="auto"/>
        <w:jc w:val="both"/>
        <w:rPr>
          <w:rFonts w:ascii="Arial" w:hAnsi="Arial" w:cs="Arial"/>
          <w:sz w:val="24"/>
          <w:szCs w:val="24"/>
          <w:lang w:val="en-GB" w:eastAsia="en-GB"/>
        </w:rPr>
      </w:pPr>
    </w:p>
    <w:p w14:paraId="6D5DE182" w14:textId="77777777" w:rsidR="00764905" w:rsidRPr="00764905" w:rsidRDefault="00764905" w:rsidP="00764905">
      <w:pPr>
        <w:spacing w:line="360" w:lineRule="auto"/>
        <w:jc w:val="both"/>
        <w:rPr>
          <w:rFonts w:ascii="Arial" w:hAnsi="Arial" w:cs="Arial"/>
          <w:sz w:val="24"/>
          <w:szCs w:val="24"/>
          <w:lang w:val="en-GB" w:eastAsia="en-GB"/>
        </w:rPr>
      </w:pPr>
    </w:p>
    <w:p w14:paraId="45A12B3E" w14:textId="77777777" w:rsidR="00764905" w:rsidRPr="00764905" w:rsidRDefault="00764905" w:rsidP="00764905">
      <w:pPr>
        <w:spacing w:line="360" w:lineRule="auto"/>
        <w:jc w:val="both"/>
        <w:rPr>
          <w:rFonts w:ascii="Arial" w:hAnsi="Arial" w:cs="Arial"/>
          <w:sz w:val="24"/>
          <w:szCs w:val="24"/>
          <w:lang w:val="en-GB" w:eastAsia="en-GB"/>
        </w:rPr>
      </w:pPr>
    </w:p>
    <w:p w14:paraId="5304BC78" w14:textId="77777777" w:rsidR="00764905" w:rsidRPr="00764905" w:rsidRDefault="00764905" w:rsidP="00764905">
      <w:pPr>
        <w:keepNext/>
        <w:keepLines/>
        <w:spacing w:before="360" w:after="80" w:line="360" w:lineRule="auto"/>
        <w:jc w:val="center"/>
        <w:outlineLvl w:val="0"/>
        <w:rPr>
          <w:rFonts w:ascii="Arial" w:eastAsia="Times New Roman" w:hAnsi="Arial" w:cstheme="majorBidi"/>
          <w:b/>
          <w:color w:val="000000" w:themeColor="text1"/>
          <w:sz w:val="32"/>
          <w:szCs w:val="40"/>
          <w:lang w:val="en-GB" w:eastAsia="en-GB"/>
        </w:rPr>
      </w:pPr>
      <w:bookmarkStart w:id="29" w:name="_Toc239695353"/>
      <w:r w:rsidRPr="00764905">
        <w:rPr>
          <w:rFonts w:ascii="Arial" w:eastAsia="Times New Roman" w:hAnsi="Arial" w:cstheme="majorBidi"/>
          <w:b/>
          <w:color w:val="000000" w:themeColor="text1"/>
          <w:sz w:val="32"/>
          <w:szCs w:val="40"/>
          <w:lang w:val="en-GB" w:eastAsia="en-GB"/>
        </w:rPr>
        <w:lastRenderedPageBreak/>
        <w:t>Chapter 4: RESEARCH METHODOLOGY</w:t>
      </w:r>
      <w:bookmarkEnd w:id="29"/>
    </w:p>
    <w:p w14:paraId="77BF245A"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0" w:name="_Toc239695354"/>
      <w:r w:rsidRPr="00764905">
        <w:rPr>
          <w:rFonts w:ascii="Arial" w:eastAsia="Times New Roman" w:hAnsi="Arial" w:cstheme="majorBidi"/>
          <w:b/>
          <w:color w:val="000000" w:themeColor="text1"/>
          <w:sz w:val="28"/>
          <w:szCs w:val="32"/>
          <w:lang w:val="en-GB" w:eastAsia="en-GB"/>
        </w:rPr>
        <w:t>4.1 Introduction</w:t>
      </w:r>
      <w:bookmarkEnd w:id="30"/>
    </w:p>
    <w:p w14:paraId="7AE28BF3"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methodology to be used to investigate the business environment and strategic feasibility of The Ethical Bean Coffee House is explained in this chapter. The research design used in this research is the secondary research, which is the combination of quantitative and qualitative evidence to get balanced information about the proposed business. Both quantitative evidence (e.g. market size and growth, pricing, costs and financial assumptions) and qualitative evidence (e.g. consumer trends, competitors, sustainability, industry conditions and strategic issues) are examined. The methodology will be appropriate for application of the strategic frameworks such as PESTLE, Porter's Five Forces, SWOT, Value Chain Analysis, RBV/VRIO and Porter's Generic Strategies (Saunders, Lewis and Thornhill, 2019).</w:t>
      </w:r>
    </w:p>
    <w:p w14:paraId="601FE1D6"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1" w:name="_Toc239695355"/>
      <w:r w:rsidRPr="00764905">
        <w:rPr>
          <w:rFonts w:ascii="Arial" w:eastAsia="Times New Roman" w:hAnsi="Arial" w:cstheme="majorBidi"/>
          <w:b/>
          <w:color w:val="000000" w:themeColor="text1"/>
          <w:sz w:val="28"/>
          <w:szCs w:val="32"/>
          <w:lang w:val="en-GB" w:eastAsia="en-GB"/>
        </w:rPr>
        <w:t>4.2 Research Approach and Design</w:t>
      </w:r>
      <w:bookmarkEnd w:id="31"/>
    </w:p>
    <w:p w14:paraId="4227B29F"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study is conducted using secondary research with exploratory and descriptive approach. The evidence needed for the proposal is required for the coffee shop market, consumer behaviour, competitors, economic condition and sustainability but it is not required to collect primary responses so secondary research is appropriate. Secondary data may give access to a broader spectrum of existing evidence and enable researchers to compare data from various sources (Saunders, Lewis and Thornhill, 2019).</w:t>
      </w:r>
    </w:p>
    <w:p w14:paraId="07FC5C7A"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Notably, the research is not just qualitative. Both qualitative and quantitative secondary evidence are analysed. Quantitative evidence comprises of market value, growth rates, prices, operating costs and financial assumptions, while qualitative evidence covers consumer preference, sustainability trends, competitor strategies, regulatory developments and industry commentary. (Creswell and Creswell, 2018).</w:t>
      </w:r>
    </w:p>
    <w:p w14:paraId="77745835"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Emphasis is on the UK, and on the market context relevant to The Ethical Bean Coffee House. Competitor evidence is taken into account when it relates to the proposed business model, customer proposition and positioning in the market.</w:t>
      </w:r>
    </w:p>
    <w:p w14:paraId="4568E9AE"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2" w:name="_Toc239695356"/>
      <w:r w:rsidRPr="00764905">
        <w:rPr>
          <w:rFonts w:ascii="Arial" w:eastAsia="Times New Roman" w:hAnsi="Arial" w:cstheme="majorBidi"/>
          <w:b/>
          <w:color w:val="000000" w:themeColor="text1"/>
          <w:sz w:val="28"/>
          <w:szCs w:val="32"/>
          <w:lang w:val="en-GB" w:eastAsia="en-GB"/>
        </w:rPr>
        <w:lastRenderedPageBreak/>
        <w:t>4.3 Data Sources and Literature Search Strategy</w:t>
      </w:r>
      <w:bookmarkEnd w:id="32"/>
    </w:p>
    <w:p w14:paraId="64D99EF0"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A search of the academic literature was carried out using the databases of Scopus, Web of Science, Science Direct, Google Scholar and the UWTSD Library databases. These sources were chosen as they offer the possibility of peer-reviewed research and approved academic publications.</w:t>
      </w:r>
    </w:p>
    <w:p w14:paraId="0BB33827"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Relevant industry and organisational sources were also reviewed, such as publications from UK government and institutional organisations, the Office for National Statistics (ONS), British Coffee Association, British Retail Consortium, Food Standards Agency and appropriate sustainability organisations (where relevant), as well as competitor and company reports. </w:t>
      </w:r>
    </w:p>
    <w:p w14:paraId="757DF746" w14:textId="77777777" w:rsidR="00764905" w:rsidRPr="00764905" w:rsidRDefault="00764905" w:rsidP="00764905">
      <w:pPr>
        <w:spacing w:line="360" w:lineRule="auto"/>
        <w:jc w:val="both"/>
        <w:rPr>
          <w:rFonts w:ascii="Arial" w:hAnsi="Arial" w:cs="Arial"/>
          <w:b/>
          <w:sz w:val="24"/>
          <w:szCs w:val="24"/>
          <w:lang w:val="en-GB" w:eastAsia="en-GB"/>
        </w:rPr>
      </w:pPr>
      <w:r w:rsidRPr="00764905">
        <w:rPr>
          <w:rFonts w:ascii="Arial" w:hAnsi="Arial" w:cs="Arial"/>
          <w:b/>
          <w:sz w:val="24"/>
          <w:szCs w:val="24"/>
          <w:lang w:val="en-GB" w:eastAsia="en-GB"/>
        </w:rPr>
        <w:t>Combinations of keywords were used in searches:</w:t>
      </w:r>
    </w:p>
    <w:p w14:paraId="7C8420BA"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In the UK, the coffee shop market is classified as follows: </w:t>
      </w:r>
    </w:p>
    <w:p w14:paraId="73E879C7"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World of coffee and tea” </w:t>
      </w:r>
    </w:p>
    <w:p w14:paraId="3894AB06"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consumer behaviour UK” </w:t>
      </w:r>
    </w:p>
    <w:p w14:paraId="3A71D607"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“specialty coffee UK” </w:t>
      </w:r>
    </w:p>
    <w:p w14:paraId="3C2CA402"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“ethical coffee consumption” </w:t>
      </w:r>
    </w:p>
    <w:p w14:paraId="179CB5EC"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Sustainable coffee supply chain </w:t>
      </w:r>
    </w:p>
    <w:p w14:paraId="71FBE65D"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shop competitors UK” </w:t>
      </w:r>
    </w:p>
    <w:p w14:paraId="67C17080"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pricing UK” </w:t>
      </w:r>
    </w:p>
    <w:p w14:paraId="0305BBF1"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“sustainable business model coffee” </w:t>
      </w:r>
    </w:p>
    <w:p w14:paraId="0E07AD13"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Coffee industry Porter 5 forces model. </w:t>
      </w:r>
    </w:p>
    <w:p w14:paraId="57875EEF" w14:textId="77777777" w:rsidR="00764905" w:rsidRPr="00764905" w:rsidRDefault="00764905" w:rsidP="00764905">
      <w:pPr>
        <w:numPr>
          <w:ilvl w:val="0"/>
          <w:numId w:val="5"/>
        </w:numPr>
        <w:spacing w:line="360" w:lineRule="auto"/>
        <w:contextualSpacing/>
        <w:jc w:val="both"/>
        <w:rPr>
          <w:rFonts w:ascii="Arial" w:hAnsi="Arial" w:cs="Arial"/>
          <w:sz w:val="24"/>
          <w:szCs w:val="24"/>
          <w:lang w:val="en-GB" w:eastAsia="en-GB"/>
        </w:rPr>
      </w:pPr>
      <w:r w:rsidRPr="00764905">
        <w:rPr>
          <w:rFonts w:ascii="Arial" w:hAnsi="Arial" w:cs="Arial"/>
          <w:sz w:val="24"/>
          <w:szCs w:val="24"/>
          <w:lang w:val="en-GB" w:eastAsia="en-GB"/>
        </w:rPr>
        <w:t xml:space="preserve">Consumer preferences for “ethical coffee” </w:t>
      </w:r>
    </w:p>
    <w:p w14:paraId="7F51EE0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use of Boolean operators like AND and OR to narrow and/or expand the results of a search. A search of "coffee shop" AND "consumer behaviour" was performed, as well as one of "ethical coffee" AND sustainability, and one of "UK coffee market" AND growth.</w:t>
      </w:r>
    </w:p>
    <w:p w14:paraId="0525A8BD"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3" w:name="_Toc239695357"/>
      <w:r w:rsidRPr="00764905">
        <w:rPr>
          <w:rFonts w:ascii="Arial" w:eastAsia="Times New Roman" w:hAnsi="Arial" w:cstheme="majorBidi"/>
          <w:b/>
          <w:color w:val="000000" w:themeColor="text1"/>
          <w:sz w:val="28"/>
          <w:szCs w:val="32"/>
          <w:lang w:val="en-GB" w:eastAsia="en-GB"/>
        </w:rPr>
        <w:t>4.4 Inclusion and Exclusion Criteria</w:t>
      </w:r>
      <w:bookmarkEnd w:id="33"/>
    </w:p>
    <w:p w14:paraId="10C709A5"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Sources were selected where they were directly relevant to the UK coffee-shop industry, consumer behaviour, sustainability, ethical consumption, competitors, strategic management, financial assumptions and/or the theoretical underpinning of </w:t>
      </w:r>
      <w:r w:rsidRPr="00764905">
        <w:rPr>
          <w:rFonts w:ascii="Arial" w:hAnsi="Arial" w:cs="Arial"/>
          <w:sz w:val="24"/>
          <w:szCs w:val="24"/>
          <w:lang w:val="en-GB" w:eastAsia="en-GB"/>
        </w:rPr>
        <w:lastRenderedPageBreak/>
        <w:t>the proposal. Priority was given to peer-reviewed academic articles, scholarly books, government publications, reputable industry reports or credible corporate reports.</w:t>
      </w:r>
    </w:p>
    <w:p w14:paraId="3EC9AE2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Sources that did not address the research question, that contained redundant information, that had no identifiable author, that appeared to have been commercial and not a reliable source or that provided information that was not suitable for appropriate verification were excluded. To ensure that the competitive context was comparable to a coffee-shop or café market, and to ensure that the competitor could provide meaningful evidence for the product offering, pricing, customer experience, sustainability, or market positioning, competitors were included only where they met these criteria (Saunders, Lewis and Thornhill, 2019).</w:t>
      </w:r>
    </w:p>
    <w:p w14:paraId="5A2AABEA"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4" w:name="_Toc239695358"/>
      <w:r w:rsidRPr="00764905">
        <w:rPr>
          <w:rFonts w:ascii="Arial" w:eastAsia="Times New Roman" w:hAnsi="Arial" w:cstheme="majorBidi"/>
          <w:b/>
          <w:color w:val="000000" w:themeColor="text1"/>
          <w:sz w:val="28"/>
          <w:szCs w:val="32"/>
          <w:lang w:val="en-GB" w:eastAsia="en-GB"/>
        </w:rPr>
        <w:t>4.5 Data Analysis</w:t>
      </w:r>
      <w:bookmarkEnd w:id="34"/>
    </w:p>
    <w:p w14:paraId="32120E1E"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Thematic analysis, comparative analysis and quantitative trend analysis are used to analyse the collected evidence. Qualitative information is structured in the themes: Consumer behaviour, Sustainability, Ethical sourcing, Competition, Digitalisation and Strategic positioning. Thematic analysis can be used to reveal patterns in the data, based on the text (Braun and Clarke, 2022).</w:t>
      </w:r>
    </w:p>
    <w:p w14:paraId="79B47421"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Descriptive comparison is used for quantitative evidence. Market size and growth data are analysed to find trends, and competitor prices are contrasted within the same product categories for which there is data on the market. Cost data is utilized to build and evaluate financial assumptions on the proposed business. When percentages or rate of change are stated, comparisons are made between the relevant periods and not between the absolute values. </w:t>
      </w:r>
    </w:p>
    <w:p w14:paraId="1AD8110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Competitor analysis is done by comparing businesses that are relevant with the factors of price, product range, positioning and sustainability, customer experience, location, digital presence and differentiation. This is then applied in SWOT and Porter's Five Forces analysis.</w:t>
      </w:r>
    </w:p>
    <w:p w14:paraId="6E11D08B"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5" w:name="_Toc239695359"/>
      <w:r w:rsidRPr="00764905">
        <w:rPr>
          <w:rFonts w:ascii="Arial" w:eastAsia="Times New Roman" w:hAnsi="Arial" w:cstheme="majorBidi"/>
          <w:b/>
          <w:color w:val="000000" w:themeColor="text1"/>
          <w:sz w:val="28"/>
          <w:szCs w:val="32"/>
          <w:lang w:val="en-GB" w:eastAsia="en-GB"/>
        </w:rPr>
        <w:t>4.6 Application of Strategic Frameworks</w:t>
      </w:r>
      <w:bookmarkEnd w:id="35"/>
    </w:p>
    <w:p w14:paraId="3C7A5BA2"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The evidence is analyzed within a manageable framework of complementary frameworks. PESTLE is used to analyse external influences such as political, environmental, social, technological, legal and economic (Yüksel, 2012). Porter's Five Forces is used to assess the competition in the coffee-shop market (Porter, 1980). </w:t>
      </w:r>
      <w:r w:rsidRPr="00764905">
        <w:rPr>
          <w:rFonts w:ascii="Arial" w:hAnsi="Arial" w:cs="Arial"/>
          <w:sz w:val="24"/>
          <w:szCs w:val="24"/>
          <w:lang w:val="en-GB" w:eastAsia="en-GB"/>
        </w:rPr>
        <w:lastRenderedPageBreak/>
        <w:t>Value Chain Analysis takes into account all activities including sourcing, operations, marketing and service that could add value (Porter, 1985).</w:t>
      </w:r>
    </w:p>
    <w:p w14:paraId="3D1A287F"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RBV/VRIO is used to determine if resources like ethical sourcing, sustainability capability, brand reputation and customer relationships can offer valuable, rare, difficult-to-imitate and organisationally-supported advantages (Barney, 1991). Porter's Generic Strategies can be used to determine if the business in question is around differentiation, cost leadership or a focused strategy (Porter, 1985). The internal strengths and weaknesses are then combined with the external opportunities and threats through SWOT.</w:t>
      </w:r>
    </w:p>
    <w:p w14:paraId="2F907764"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6" w:name="_Toc239695360"/>
      <w:r w:rsidRPr="00764905">
        <w:rPr>
          <w:rFonts w:ascii="Arial" w:eastAsia="Times New Roman" w:hAnsi="Arial" w:cstheme="majorBidi"/>
          <w:b/>
          <w:color w:val="000000" w:themeColor="text1"/>
          <w:sz w:val="28"/>
          <w:szCs w:val="32"/>
          <w:lang w:val="en-GB" w:eastAsia="en-GB"/>
        </w:rPr>
        <w:t>4.7 Reliability, validity and limitations</w:t>
      </w:r>
      <w:bookmarkEnd w:id="36"/>
    </w:p>
    <w:p w14:paraId="5440F658"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 xml:space="preserve">Research rigour is reinforced by the use of several academic, institutional and industry sources, through a transparent search criteria and through comparing the evidence throughout the sources. Triangulation helps to minimise reliance on any one publication and enhances the validity of findings or conclusions (Saunders, Lewis and Thornhill, 2019). However, secondary research has drawbacks. Data from the market may not be the same in terms of definitions, timing or methodology, and commercial market data may be of a promotional nature. There is also restricted access to the information of the internal competitor. </w:t>
      </w:r>
    </w:p>
    <w:p w14:paraId="5B375E97" w14:textId="77777777" w:rsidR="00764905" w:rsidRPr="00764905" w:rsidRDefault="00764905" w:rsidP="00764905">
      <w:pPr>
        <w:keepNext/>
        <w:keepLines/>
        <w:spacing w:before="160" w:after="80" w:line="360" w:lineRule="auto"/>
        <w:jc w:val="both"/>
        <w:outlineLvl w:val="1"/>
        <w:rPr>
          <w:rFonts w:ascii="Arial" w:eastAsia="Times New Roman" w:hAnsi="Arial" w:cstheme="majorBidi"/>
          <w:b/>
          <w:color w:val="000000" w:themeColor="text1"/>
          <w:sz w:val="28"/>
          <w:szCs w:val="32"/>
          <w:lang w:val="en-GB" w:eastAsia="en-GB"/>
        </w:rPr>
      </w:pPr>
      <w:bookmarkStart w:id="37" w:name="_Toc239695361"/>
      <w:r w:rsidRPr="00764905">
        <w:rPr>
          <w:rFonts w:ascii="Arial" w:eastAsia="Times New Roman" w:hAnsi="Arial" w:cstheme="majorBidi"/>
          <w:b/>
          <w:color w:val="000000" w:themeColor="text1"/>
          <w:sz w:val="28"/>
          <w:szCs w:val="32"/>
          <w:lang w:val="en-GB" w:eastAsia="en-GB"/>
        </w:rPr>
        <w:t>4.8 Ethical Considerations</w:t>
      </w:r>
      <w:bookmarkEnd w:id="37"/>
    </w:p>
    <w:p w14:paraId="7634B1C6" w14:textId="77777777" w:rsidR="00764905" w:rsidRPr="00764905" w:rsidRDefault="00764905" w:rsidP="00764905">
      <w:pPr>
        <w:spacing w:line="360" w:lineRule="auto"/>
        <w:jc w:val="both"/>
        <w:rPr>
          <w:rFonts w:ascii="Arial" w:hAnsi="Arial" w:cs="Arial"/>
          <w:sz w:val="24"/>
          <w:szCs w:val="24"/>
          <w:lang w:val="en-GB" w:eastAsia="en-GB"/>
        </w:rPr>
      </w:pPr>
      <w:r w:rsidRPr="00764905">
        <w:rPr>
          <w:rFonts w:ascii="Arial" w:hAnsi="Arial" w:cs="Arial"/>
          <w:sz w:val="24"/>
          <w:szCs w:val="24"/>
          <w:lang w:val="en-GB" w:eastAsia="en-GB"/>
        </w:rPr>
        <w:t>The research process involves secondary information and no human participants, questionnaires or interviews are used, therefore there is no need for consent of participants or collection of personal information. Academic honesty, however, is still important. Sources are correctly identified in a Harvard referencing style, evidence is not fabricated or deliberately misrepresented and assumptions are identified as such and distinguished from published evidence.  (Saunders, Lewis &amp; Thornhill, 2019).</w:t>
      </w:r>
    </w:p>
    <w:p w14:paraId="5E9500D9" w14:textId="77777777" w:rsidR="00764905" w:rsidRPr="00764905" w:rsidRDefault="00764905" w:rsidP="00764905">
      <w:pPr>
        <w:spacing w:line="360" w:lineRule="auto"/>
        <w:jc w:val="both"/>
        <w:rPr>
          <w:rFonts w:ascii="Arial" w:hAnsi="Arial" w:cs="Arial"/>
          <w:sz w:val="24"/>
          <w:szCs w:val="24"/>
          <w:lang w:val="en-GB" w:eastAsia="en-GB"/>
        </w:rPr>
      </w:pPr>
    </w:p>
    <w:p w14:paraId="154E71DB" w14:textId="77777777" w:rsidR="00764905" w:rsidRPr="00764905" w:rsidRDefault="00764905" w:rsidP="00764905">
      <w:pPr>
        <w:spacing w:line="360" w:lineRule="auto"/>
        <w:jc w:val="both"/>
        <w:rPr>
          <w:rFonts w:ascii="Arial" w:hAnsi="Arial" w:cs="Arial"/>
          <w:sz w:val="24"/>
          <w:szCs w:val="24"/>
          <w:lang w:val="en-GB" w:eastAsia="en-GB"/>
        </w:rPr>
      </w:pPr>
    </w:p>
    <w:p w14:paraId="7D729D0C" w14:textId="77777777" w:rsidR="00764905" w:rsidRPr="00764905" w:rsidRDefault="00764905" w:rsidP="00764905">
      <w:pPr>
        <w:spacing w:line="360" w:lineRule="auto"/>
        <w:jc w:val="both"/>
        <w:rPr>
          <w:rFonts w:ascii="Arial" w:hAnsi="Arial" w:cs="Arial"/>
          <w:sz w:val="24"/>
          <w:szCs w:val="24"/>
          <w:lang w:val="en-GB" w:eastAsia="en-GB"/>
        </w:rPr>
      </w:pPr>
    </w:p>
    <w:p w14:paraId="30FFC1EF" w14:textId="77777777" w:rsidR="00764905" w:rsidRPr="00764905" w:rsidRDefault="00764905" w:rsidP="00764905">
      <w:pPr>
        <w:spacing w:line="360" w:lineRule="auto"/>
        <w:jc w:val="both"/>
        <w:rPr>
          <w:rFonts w:ascii="Arial" w:hAnsi="Arial" w:cs="Arial"/>
          <w:sz w:val="24"/>
          <w:szCs w:val="24"/>
          <w:lang w:val="en-GB" w:eastAsia="en-GB"/>
        </w:rPr>
      </w:pPr>
    </w:p>
    <w:p w14:paraId="5EBFA8F1" w14:textId="77777777" w:rsidR="00764905" w:rsidRPr="00764905" w:rsidRDefault="00764905" w:rsidP="00764905">
      <w:pPr>
        <w:spacing w:line="360" w:lineRule="auto"/>
        <w:jc w:val="both"/>
        <w:rPr>
          <w:rFonts w:ascii="Arial" w:hAnsi="Arial" w:cs="Arial"/>
          <w:sz w:val="24"/>
          <w:szCs w:val="24"/>
          <w:lang w:val="en-GB" w:eastAsia="en-GB"/>
        </w:rPr>
      </w:pPr>
    </w:p>
    <w:p w14:paraId="7DE13C2D" w14:textId="1F9AFDC0" w:rsidR="00764905" w:rsidRPr="0051296B" w:rsidRDefault="00764905" w:rsidP="00F331CA">
      <w:pPr>
        <w:pStyle w:val="Heading1"/>
        <w:jc w:val="center"/>
        <w:rPr>
          <w:rFonts w:eastAsia="Times New Roman"/>
          <w:lang w:val="en-GB" w:eastAsia="en-GB"/>
        </w:rPr>
      </w:pPr>
      <w:bookmarkStart w:id="38" w:name="_Toc239695362"/>
      <w:r w:rsidRPr="00764905">
        <w:rPr>
          <w:rFonts w:eastAsia="Times New Roman"/>
          <w:lang w:val="en-GB" w:eastAsia="en-GB"/>
        </w:rPr>
        <w:lastRenderedPageBreak/>
        <w:t>Chapter 5: Market Opportunity Analysis</w:t>
      </w:r>
      <w:bookmarkEnd w:id="38"/>
    </w:p>
    <w:p w14:paraId="137C03D6" w14:textId="307F27EA" w:rsidR="004C6A98" w:rsidRPr="004C6A98" w:rsidRDefault="0051296B" w:rsidP="00F331CA">
      <w:pPr>
        <w:pStyle w:val="Heading2"/>
        <w:rPr>
          <w:lang w:val="en-GB" w:eastAsia="en-GB"/>
        </w:rPr>
      </w:pPr>
      <w:bookmarkStart w:id="39" w:name="_Toc239695363"/>
      <w:r>
        <w:rPr>
          <w:lang w:val="en-GB" w:eastAsia="en-GB"/>
        </w:rPr>
        <w:t>5.1 Introduction</w:t>
      </w:r>
      <w:bookmarkEnd w:id="39"/>
    </w:p>
    <w:p w14:paraId="3809780F" w14:textId="00859177" w:rsidR="004C6A98" w:rsidRPr="004C6A98" w:rsidRDefault="00F331CA" w:rsidP="004C6A98">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This chapter assesses the market potential of The Ethical Bean Coffee House (TEBC) for the location in Monmouth Street, Covent Garden, London. The analysis is based on the national coffee-market evidence and on the local geographic, demographic, psychographic and behavioural evidence, to evaluate the attractiveness and realistic feasibility of the proposed market. The analysis does not look at the whole UK coffee market; it focuses on the market that is available to one café – the potential customers in the Covent Garden catchment area. The chapter also uses Segmentation, Targeting, and Positioning (STP) concepts to identify the priority customer groups and also provides an indicative estimate of TAM-SAM-SOM. Throughout published evidence is distinguished fr</w:t>
      </w:r>
      <w:r>
        <w:rPr>
          <w:rFonts w:ascii="Arial" w:hAnsi="Arial" w:cs="Arial"/>
          <w:sz w:val="24"/>
          <w:szCs w:val="24"/>
          <w:lang w:val="en-GB" w:eastAsia="en-GB"/>
        </w:rPr>
        <w:t>om researcher assumptions</w:t>
      </w:r>
    </w:p>
    <w:p w14:paraId="30B0684F" w14:textId="7CDA03D1" w:rsidR="004C6A98" w:rsidRPr="00F331CA" w:rsidRDefault="004C6A98" w:rsidP="00F331CA">
      <w:pPr>
        <w:pStyle w:val="Heading2"/>
        <w:rPr>
          <w:lang w:val="en-GB" w:eastAsia="en-GB"/>
        </w:rPr>
      </w:pPr>
      <w:bookmarkStart w:id="40" w:name="_Toc239695364"/>
      <w:r w:rsidRPr="004C6A98">
        <w:rPr>
          <w:lang w:val="en-GB" w:eastAsia="en-GB"/>
        </w:rPr>
        <w:t>5.2 UK Coffee Market Context</w:t>
      </w:r>
      <w:bookmarkEnd w:id="40"/>
    </w:p>
    <w:p w14:paraId="1208567B" w14:textId="56988217" w:rsidR="00F331CA" w:rsidRPr="00F331CA" w:rsidRDefault="00F331CA" w:rsidP="00F331CA">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 xml:space="preserve">The proposed business is a good fit for the overall UK coffee sector. The UK coffee-shop market continues to grow with a value of £6.8 billion and 12,313 outlets in 2026 according to World Coffee Portal. The independent coffee-shop market is also significant, as is specialty coffee and personalised hospitality and café ambience, which are meeting consumer demand (World Coffee Portal, 2026). New evidence also indicates that there is still growth in premiums, and that specialist operators are also fighting it out based on quality </w:t>
      </w:r>
      <w:r>
        <w:rPr>
          <w:rFonts w:ascii="Arial" w:hAnsi="Arial" w:cs="Arial"/>
          <w:sz w:val="24"/>
          <w:szCs w:val="24"/>
          <w:lang w:val="en-GB" w:eastAsia="en-GB"/>
        </w:rPr>
        <w:t>and experience, not just price.</w:t>
      </w:r>
    </w:p>
    <w:p w14:paraId="7BB868F2" w14:textId="465029FF" w:rsidR="004C6A98" w:rsidRPr="004C6A98" w:rsidRDefault="00F331CA" w:rsidP="004C6A98">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The market size for the National market cannot be used as a reflection of the market size available to The Ethical Bean Coffee House, however. The challenge is whether enough customers can be targeted in the proposed Covent Garden si</w:t>
      </w:r>
      <w:r>
        <w:rPr>
          <w:rFonts w:ascii="Arial" w:hAnsi="Arial" w:cs="Arial"/>
          <w:sz w:val="24"/>
          <w:szCs w:val="24"/>
          <w:lang w:val="en-GB" w:eastAsia="en-GB"/>
        </w:rPr>
        <w:t>te and can become repeat buyers.</w:t>
      </w:r>
    </w:p>
    <w:p w14:paraId="2C9AECE8" w14:textId="5A845D61" w:rsidR="004C6A98" w:rsidRPr="00F331CA" w:rsidRDefault="004C6A98" w:rsidP="00F331CA">
      <w:pPr>
        <w:pStyle w:val="Heading2"/>
        <w:rPr>
          <w:lang w:val="en-GB" w:eastAsia="en-GB"/>
        </w:rPr>
      </w:pPr>
      <w:bookmarkStart w:id="41" w:name="_Toc239695365"/>
      <w:r w:rsidRPr="004C6A98">
        <w:rPr>
          <w:lang w:val="en-GB" w:eastAsia="en-GB"/>
        </w:rPr>
        <w:t>5.3 Local Market Opportunity: Covent Garden</w:t>
      </w:r>
      <w:bookmarkEnd w:id="41"/>
    </w:p>
    <w:p w14:paraId="613DD7A8" w14:textId="182E607D" w:rsidR="00F331CA" w:rsidRPr="00F331CA" w:rsidRDefault="00F331CA" w:rsidP="00F331CA">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An attractive environment exists in the area of Covent Garden as it brings together residents, workers, tourists and leisure visitors into a concentrated area. According to a 2025 commercial property profile, there are about 38 million annual visitors, around 222,000 workers and 10,000 residents within a 15-minute walking distance of the commercial property, plus around 800 bars and restaurants. These are commercial estimates and need to be considered as market sizing inp</w:t>
      </w:r>
      <w:r>
        <w:rPr>
          <w:rFonts w:ascii="Arial" w:hAnsi="Arial" w:cs="Arial"/>
          <w:sz w:val="24"/>
          <w:szCs w:val="24"/>
          <w:lang w:val="en-GB" w:eastAsia="en-GB"/>
        </w:rPr>
        <w:t>uts and not statistical figures</w:t>
      </w:r>
    </w:p>
    <w:p w14:paraId="072859D1" w14:textId="45444561" w:rsidR="00F331CA" w:rsidRPr="00F331CA" w:rsidRDefault="00F331CA" w:rsidP="00F331CA">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lastRenderedPageBreak/>
        <w:t xml:space="preserve">This is echoed by broader West End evidence, which includes the scale and quality of footfall. Shaftesbury Capital's data shows that the area has an estimated 63m footfall per year on its holdings in Covent Garden, reflecting its visitor intensity and overall commercial appeal. In addition, Covent Garden is a very active retail and food and beverage district and has continued investment in the district and strong demand </w:t>
      </w:r>
      <w:r>
        <w:rPr>
          <w:rFonts w:ascii="Arial" w:hAnsi="Arial" w:cs="Arial"/>
          <w:sz w:val="24"/>
          <w:szCs w:val="24"/>
          <w:lang w:val="en-GB" w:eastAsia="en-GB"/>
        </w:rPr>
        <w:t>for prime space (CBRE, 2026).</w:t>
      </w:r>
    </w:p>
    <w:p w14:paraId="71FC4903" w14:textId="2C79C974" w:rsidR="00A6148D" w:rsidRPr="00A6148D" w:rsidRDefault="00F331CA" w:rsidP="00A6148D">
      <w:pPr>
        <w:spacing w:before="240" w:line="360" w:lineRule="auto"/>
        <w:jc w:val="both"/>
        <w:rPr>
          <w:rFonts w:ascii="Arial" w:hAnsi="Arial" w:cs="Arial"/>
          <w:sz w:val="24"/>
          <w:szCs w:val="24"/>
          <w:lang w:val="en-GB" w:eastAsia="en-GB"/>
        </w:rPr>
      </w:pPr>
      <w:r w:rsidRPr="00F331CA">
        <w:rPr>
          <w:rFonts w:ascii="Arial" w:hAnsi="Arial" w:cs="Arial"/>
          <w:sz w:val="24"/>
          <w:szCs w:val="24"/>
          <w:lang w:val="en-GB" w:eastAsia="en-GB"/>
        </w:rPr>
        <w:t xml:space="preserve">The residential market should not, however, be overlooked. Covent Garden's population is over 6,000, based on the Covent Garden Community Association, but the exact number of people varies depending on the area chosen. Thus the potential demand of the venture needs to be viewed as the sum of the resident demand, worker demand and visitor demand, </w:t>
      </w:r>
      <w:r w:rsidR="00A6148D">
        <w:rPr>
          <w:rFonts w:ascii="Arial" w:hAnsi="Arial" w:cs="Arial"/>
          <w:sz w:val="24"/>
          <w:szCs w:val="24"/>
          <w:lang w:val="en-GB" w:eastAsia="en-GB"/>
        </w:rPr>
        <w:t>and not just the tourism demand</w:t>
      </w:r>
    </w:p>
    <w:p w14:paraId="21F6C25A" w14:textId="49A91B93" w:rsidR="00A6148D" w:rsidRPr="00A6148D" w:rsidRDefault="00A6148D" w:rsidP="00A6148D">
      <w:pPr>
        <w:pStyle w:val="Caption"/>
        <w:keepNext/>
        <w:jc w:val="both"/>
        <w:rPr>
          <w:rFonts w:ascii="Arial" w:hAnsi="Arial" w:cs="Arial"/>
          <w:sz w:val="24"/>
        </w:rPr>
      </w:pPr>
      <w:bookmarkStart w:id="42" w:name="_Toc239695420"/>
      <w:r w:rsidRPr="00A6148D">
        <w:rPr>
          <w:rFonts w:ascii="Arial" w:hAnsi="Arial" w:cs="Arial"/>
          <w:sz w:val="24"/>
        </w:rPr>
        <w:t xml:space="preserve">Table </w:t>
      </w:r>
      <w:r w:rsidRPr="00A6148D">
        <w:rPr>
          <w:rFonts w:ascii="Arial" w:hAnsi="Arial" w:cs="Arial"/>
          <w:sz w:val="24"/>
        </w:rPr>
        <w:fldChar w:fldCharType="begin"/>
      </w:r>
      <w:r w:rsidRPr="00A6148D">
        <w:rPr>
          <w:rFonts w:ascii="Arial" w:hAnsi="Arial" w:cs="Arial"/>
          <w:sz w:val="24"/>
        </w:rPr>
        <w:instrText xml:space="preserve"> SEQ Table \* ARABIC </w:instrText>
      </w:r>
      <w:r w:rsidRPr="00A6148D">
        <w:rPr>
          <w:rFonts w:ascii="Arial" w:hAnsi="Arial" w:cs="Arial"/>
          <w:sz w:val="24"/>
        </w:rPr>
        <w:fldChar w:fldCharType="separate"/>
      </w:r>
      <w:r w:rsidR="007C175A">
        <w:rPr>
          <w:rFonts w:ascii="Arial" w:hAnsi="Arial" w:cs="Arial"/>
          <w:noProof/>
          <w:sz w:val="24"/>
        </w:rPr>
        <w:t>1</w:t>
      </w:r>
      <w:r w:rsidRPr="00A6148D">
        <w:rPr>
          <w:rFonts w:ascii="Arial" w:hAnsi="Arial" w:cs="Arial"/>
          <w:sz w:val="24"/>
        </w:rPr>
        <w:fldChar w:fldCharType="end"/>
      </w:r>
      <w:r w:rsidRPr="00A6148D">
        <w:rPr>
          <w:rFonts w:ascii="Arial" w:hAnsi="Arial" w:cs="Arial"/>
          <w:sz w:val="24"/>
        </w:rPr>
        <w:t>: Local Customer Pools and Demand Characteristics</w:t>
      </w:r>
      <w:bookmarkEnd w:id="42"/>
    </w:p>
    <w:tbl>
      <w:tblPr>
        <w:tblStyle w:val="TableGrid"/>
        <w:tblW w:w="0" w:type="auto"/>
        <w:tblLook w:val="04A0" w:firstRow="1" w:lastRow="0" w:firstColumn="1" w:lastColumn="0" w:noHBand="0" w:noVBand="1"/>
      </w:tblPr>
      <w:tblGrid>
        <w:gridCol w:w="1740"/>
        <w:gridCol w:w="1795"/>
        <w:gridCol w:w="1951"/>
        <w:gridCol w:w="1763"/>
        <w:gridCol w:w="1767"/>
      </w:tblGrid>
      <w:tr w:rsidR="00A6148D" w:rsidRPr="00A6148D" w14:paraId="7E73E1C8" w14:textId="77777777" w:rsidTr="00A6148D">
        <w:tc>
          <w:tcPr>
            <w:tcW w:w="1740" w:type="dxa"/>
          </w:tcPr>
          <w:p w14:paraId="35F78780"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Customer pool</w:t>
            </w:r>
          </w:p>
        </w:tc>
        <w:tc>
          <w:tcPr>
            <w:tcW w:w="1795" w:type="dxa"/>
          </w:tcPr>
          <w:p w14:paraId="74161C54"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Available evidence</w:t>
            </w:r>
          </w:p>
        </w:tc>
        <w:tc>
          <w:tcPr>
            <w:tcW w:w="1951" w:type="dxa"/>
          </w:tcPr>
          <w:p w14:paraId="0F49B2C3"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Likely purchase pattern</w:t>
            </w:r>
          </w:p>
        </w:tc>
        <w:tc>
          <w:tcPr>
            <w:tcW w:w="1763" w:type="dxa"/>
          </w:tcPr>
          <w:p w14:paraId="195B9A37"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Average expenditure</w:t>
            </w:r>
          </w:p>
        </w:tc>
        <w:tc>
          <w:tcPr>
            <w:tcW w:w="1767" w:type="dxa"/>
          </w:tcPr>
          <w:p w14:paraId="6A37EC5F" w14:textId="77777777" w:rsidR="00A6148D" w:rsidRPr="00E53AA4" w:rsidRDefault="00A6148D" w:rsidP="0038379F">
            <w:pPr>
              <w:spacing w:before="240" w:line="360" w:lineRule="auto"/>
              <w:jc w:val="both"/>
              <w:rPr>
                <w:rFonts w:ascii="Arial" w:hAnsi="Arial" w:cs="Arial"/>
                <w:b/>
                <w:sz w:val="24"/>
                <w:szCs w:val="24"/>
                <w:lang w:val="en-GB" w:eastAsia="en-GB"/>
              </w:rPr>
            </w:pPr>
            <w:r w:rsidRPr="00E53AA4">
              <w:rPr>
                <w:rFonts w:ascii="Arial" w:hAnsi="Arial" w:cs="Arial"/>
                <w:b/>
                <w:sz w:val="24"/>
                <w:szCs w:val="24"/>
                <w:lang w:val="en-GB" w:eastAsia="en-GB"/>
              </w:rPr>
              <w:t>Commercial relevance</w:t>
            </w:r>
          </w:p>
        </w:tc>
      </w:tr>
      <w:tr w:rsidR="00A6148D" w:rsidRPr="00A6148D" w14:paraId="2B8052DB" w14:textId="77777777" w:rsidTr="00A6148D">
        <w:tc>
          <w:tcPr>
            <w:tcW w:w="1740" w:type="dxa"/>
          </w:tcPr>
          <w:p w14:paraId="3EA9BDBA"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Visitors</w:t>
            </w:r>
          </w:p>
        </w:tc>
        <w:tc>
          <w:tcPr>
            <w:tcW w:w="1795" w:type="dxa"/>
          </w:tcPr>
          <w:p w14:paraId="10E05D05"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38m+ annual visitor occasions</w:t>
            </w:r>
          </w:p>
        </w:tc>
        <w:tc>
          <w:tcPr>
            <w:tcW w:w="1951" w:type="dxa"/>
          </w:tcPr>
          <w:p w14:paraId="0A5D312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Occasional/one-off purchase; frequency depends on length and purpose of visit</w:t>
            </w:r>
          </w:p>
        </w:tc>
        <w:tc>
          <w:tcPr>
            <w:tcW w:w="1763" w:type="dxa"/>
          </w:tcPr>
          <w:p w14:paraId="34328E30"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1285A10E"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Very large volume but relatively low repeat potential</w:t>
            </w:r>
          </w:p>
        </w:tc>
      </w:tr>
      <w:tr w:rsidR="00A6148D" w:rsidRPr="00A6148D" w14:paraId="40489ABD" w14:textId="77777777" w:rsidTr="00A6148D">
        <w:tc>
          <w:tcPr>
            <w:tcW w:w="1740" w:type="dxa"/>
          </w:tcPr>
          <w:p w14:paraId="74F75AF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Workers</w:t>
            </w:r>
          </w:p>
        </w:tc>
        <w:tc>
          <w:tcPr>
            <w:tcW w:w="1795" w:type="dxa"/>
          </w:tcPr>
          <w:p w14:paraId="5068E961"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222,000 within a 15-minute walking distance</w:t>
            </w:r>
          </w:p>
        </w:tc>
        <w:tc>
          <w:tcPr>
            <w:tcW w:w="1951" w:type="dxa"/>
          </w:tcPr>
          <w:p w14:paraId="63CE04A1"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Potentially repeat weekday purchasing; frequency to be validated</w:t>
            </w:r>
          </w:p>
        </w:tc>
        <w:tc>
          <w:tcPr>
            <w:tcW w:w="1763" w:type="dxa"/>
          </w:tcPr>
          <w:p w14:paraId="71947EE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68D4A19B"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High-value segment because repeat purchasing can create predictable revenue</w:t>
            </w:r>
          </w:p>
        </w:tc>
      </w:tr>
      <w:tr w:rsidR="00A6148D" w:rsidRPr="00A6148D" w14:paraId="23F628BB" w14:textId="77777777" w:rsidTr="00A6148D">
        <w:tc>
          <w:tcPr>
            <w:tcW w:w="1740" w:type="dxa"/>
          </w:tcPr>
          <w:p w14:paraId="3C651FEC"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lastRenderedPageBreak/>
              <w:t>Residents</w:t>
            </w:r>
          </w:p>
        </w:tc>
        <w:tc>
          <w:tcPr>
            <w:tcW w:w="1795" w:type="dxa"/>
          </w:tcPr>
          <w:p w14:paraId="0E8683B8"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Approximately 10,000 within a 15-minute walking distance</w:t>
            </w:r>
          </w:p>
        </w:tc>
        <w:tc>
          <w:tcPr>
            <w:tcW w:w="1951" w:type="dxa"/>
          </w:tcPr>
          <w:p w14:paraId="5977DB4C"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Potentially regular/local purchasing</w:t>
            </w:r>
          </w:p>
        </w:tc>
        <w:tc>
          <w:tcPr>
            <w:tcW w:w="1763" w:type="dxa"/>
          </w:tcPr>
          <w:p w14:paraId="6624C7F3"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2C17B136"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Smaller population but potentially high repeat frequency</w:t>
            </w:r>
          </w:p>
        </w:tc>
      </w:tr>
      <w:tr w:rsidR="00A6148D" w:rsidRPr="00A6148D" w14:paraId="02E584E2" w14:textId="77777777" w:rsidTr="00A6148D">
        <w:tc>
          <w:tcPr>
            <w:tcW w:w="1740" w:type="dxa"/>
          </w:tcPr>
          <w:p w14:paraId="358545AE"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Wider West End visitors</w:t>
            </w:r>
          </w:p>
        </w:tc>
        <w:tc>
          <w:tcPr>
            <w:tcW w:w="1795" w:type="dxa"/>
          </w:tcPr>
          <w:p w14:paraId="54CF0372"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High regional footfall</w:t>
            </w:r>
          </w:p>
        </w:tc>
        <w:tc>
          <w:tcPr>
            <w:tcW w:w="1951" w:type="dxa"/>
          </w:tcPr>
          <w:p w14:paraId="24C40116"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Occasional purchases linked to shopping, leisure and tourism</w:t>
            </w:r>
          </w:p>
        </w:tc>
        <w:tc>
          <w:tcPr>
            <w:tcW w:w="1763" w:type="dxa"/>
          </w:tcPr>
          <w:p w14:paraId="0E6A6636"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£7 planning assumption</w:t>
            </w:r>
          </w:p>
        </w:tc>
        <w:tc>
          <w:tcPr>
            <w:tcW w:w="1767" w:type="dxa"/>
          </w:tcPr>
          <w:p w14:paraId="22DFE875" w14:textId="77777777" w:rsidR="00A6148D" w:rsidRPr="00A6148D" w:rsidRDefault="00A6148D" w:rsidP="0038379F">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Provides additional spill-over demand</w:t>
            </w:r>
          </w:p>
        </w:tc>
      </w:tr>
    </w:tbl>
    <w:p w14:paraId="10BBD4D1" w14:textId="77777777" w:rsidR="00A6148D" w:rsidRPr="00A6148D" w:rsidRDefault="00A6148D" w:rsidP="00A6148D">
      <w:pPr>
        <w:spacing w:before="240" w:line="360" w:lineRule="auto"/>
        <w:jc w:val="both"/>
        <w:rPr>
          <w:rFonts w:ascii="Arial" w:hAnsi="Arial" w:cs="Arial"/>
          <w:sz w:val="24"/>
          <w:szCs w:val="24"/>
          <w:lang w:val="en-GB" w:eastAsia="en-GB"/>
        </w:rPr>
      </w:pPr>
    </w:p>
    <w:p w14:paraId="59698B2A" w14:textId="2ED20662" w:rsidR="00A6148D" w:rsidRPr="00A6148D" w:rsidRDefault="00A6148D" w:rsidP="00A6148D">
      <w:pPr>
        <w:spacing w:before="240" w:line="360" w:lineRule="auto"/>
        <w:jc w:val="both"/>
        <w:rPr>
          <w:rFonts w:ascii="Arial" w:hAnsi="Arial" w:cs="Arial"/>
          <w:sz w:val="24"/>
          <w:szCs w:val="24"/>
          <w:lang w:val="en-GB" w:eastAsia="en-GB"/>
        </w:rPr>
      </w:pPr>
      <w:r w:rsidRPr="00A6148D">
        <w:rPr>
          <w:rFonts w:ascii="Arial" w:hAnsi="Arial" w:cs="Arial"/>
          <w:b/>
          <w:sz w:val="24"/>
          <w:szCs w:val="24"/>
          <w:lang w:val="en-GB" w:eastAsia="en-GB"/>
        </w:rPr>
        <w:t>Source:</w:t>
      </w:r>
      <w:r w:rsidRPr="00A6148D">
        <w:rPr>
          <w:rFonts w:ascii="Arial" w:hAnsi="Arial" w:cs="Arial"/>
          <w:sz w:val="24"/>
          <w:szCs w:val="24"/>
          <w:lang w:val="en-GB" w:eastAsia="en-GB"/>
        </w:rPr>
        <w:t xml:space="preserve"> Researcher’s synthesis based on published local market evidence. Population/visitor figures are secondary-data estimates; purchase frequency and average expenditure are researcher planning assumptions requiring</w:t>
      </w:r>
      <w:r>
        <w:rPr>
          <w:rFonts w:ascii="Arial" w:hAnsi="Arial" w:cs="Arial"/>
          <w:sz w:val="24"/>
          <w:szCs w:val="24"/>
          <w:lang w:val="en-GB" w:eastAsia="en-GB"/>
        </w:rPr>
        <w:t xml:space="preserve"> validation.</w:t>
      </w:r>
    </w:p>
    <w:p w14:paraId="76FD2B6F" w14:textId="58E21B80" w:rsidR="00E53AA4" w:rsidRPr="00E53AA4" w:rsidRDefault="00A6148D" w:rsidP="00E53AA4">
      <w:pPr>
        <w:spacing w:before="240" w:line="360" w:lineRule="auto"/>
        <w:jc w:val="both"/>
        <w:rPr>
          <w:rFonts w:ascii="Arial" w:hAnsi="Arial" w:cs="Arial"/>
          <w:sz w:val="24"/>
          <w:szCs w:val="24"/>
          <w:lang w:val="en-GB" w:eastAsia="en-GB"/>
        </w:rPr>
      </w:pPr>
      <w:r w:rsidRPr="00A6148D">
        <w:rPr>
          <w:rFonts w:ascii="Arial" w:hAnsi="Arial" w:cs="Arial"/>
          <w:sz w:val="24"/>
          <w:szCs w:val="24"/>
          <w:lang w:val="en-GB" w:eastAsia="en-GB"/>
        </w:rPr>
        <w:t>The local opportunity should not be interpreted solely through headline visitor numbers. The 38 million annual visitor figure represents visitor occasions rather than unique potential customers, while the worker and resident populations provide potentially more valuable repeat-purchase opportunities. For example, a worker purchasing coffee regularly during the working week could generate considerably greater annual customer value than an occasional tourist, even though the latter contributes to the area's much larger headline footfall. Consequently, the commercial attractiveness of the proposed café depends not only on the size of each customer pool but also on purchase frequency, average transaction value and the ability to convert customers into repeat users.</w:t>
      </w:r>
    </w:p>
    <w:p w14:paraId="33BA9FA1" w14:textId="53B47D9F" w:rsidR="00E53AA4" w:rsidRPr="00E53AA4" w:rsidRDefault="00E53AA4" w:rsidP="00E53AA4">
      <w:pPr>
        <w:pStyle w:val="Caption"/>
        <w:keepNext/>
        <w:rPr>
          <w:rFonts w:ascii="Arial" w:hAnsi="Arial" w:cs="Arial"/>
          <w:sz w:val="24"/>
        </w:rPr>
      </w:pPr>
      <w:bookmarkStart w:id="43" w:name="_Toc239695421"/>
      <w:r w:rsidRPr="00E53AA4">
        <w:rPr>
          <w:rFonts w:ascii="Arial" w:hAnsi="Arial" w:cs="Arial"/>
          <w:sz w:val="24"/>
        </w:rPr>
        <w:t xml:space="preserve">Table </w:t>
      </w:r>
      <w:r w:rsidRPr="00E53AA4">
        <w:rPr>
          <w:rFonts w:ascii="Arial" w:hAnsi="Arial" w:cs="Arial"/>
          <w:sz w:val="24"/>
        </w:rPr>
        <w:fldChar w:fldCharType="begin"/>
      </w:r>
      <w:r w:rsidRPr="00E53AA4">
        <w:rPr>
          <w:rFonts w:ascii="Arial" w:hAnsi="Arial" w:cs="Arial"/>
          <w:sz w:val="24"/>
        </w:rPr>
        <w:instrText xml:space="preserve"> SEQ Table \* ARABIC </w:instrText>
      </w:r>
      <w:r w:rsidRPr="00E53AA4">
        <w:rPr>
          <w:rFonts w:ascii="Arial" w:hAnsi="Arial" w:cs="Arial"/>
          <w:sz w:val="24"/>
        </w:rPr>
        <w:fldChar w:fldCharType="separate"/>
      </w:r>
      <w:r w:rsidR="007C175A">
        <w:rPr>
          <w:rFonts w:ascii="Arial" w:hAnsi="Arial" w:cs="Arial"/>
          <w:noProof/>
          <w:sz w:val="24"/>
        </w:rPr>
        <w:t>2</w:t>
      </w:r>
      <w:r w:rsidRPr="00E53AA4">
        <w:rPr>
          <w:rFonts w:ascii="Arial" w:hAnsi="Arial" w:cs="Arial"/>
          <w:sz w:val="24"/>
        </w:rPr>
        <w:fldChar w:fldCharType="end"/>
      </w:r>
      <w:r w:rsidRPr="00E53AA4">
        <w:rPr>
          <w:rFonts w:ascii="Arial" w:hAnsi="Arial" w:cs="Arial"/>
          <w:sz w:val="24"/>
        </w:rPr>
        <w:t>: Illustrative Local Demand Scenario</w:t>
      </w:r>
      <w:bookmarkEnd w:id="43"/>
    </w:p>
    <w:tbl>
      <w:tblPr>
        <w:tblStyle w:val="TableGrid"/>
        <w:tblW w:w="0" w:type="auto"/>
        <w:tblLook w:val="04A0" w:firstRow="1" w:lastRow="0" w:firstColumn="1" w:lastColumn="0" w:noHBand="0" w:noVBand="1"/>
      </w:tblPr>
      <w:tblGrid>
        <w:gridCol w:w="2254"/>
        <w:gridCol w:w="2254"/>
        <w:gridCol w:w="2254"/>
        <w:gridCol w:w="2254"/>
      </w:tblGrid>
      <w:tr w:rsidR="00E53AA4" w:rsidRPr="00E53AA4" w14:paraId="0F1EE2D5" w14:textId="77777777" w:rsidTr="00E53AA4">
        <w:tc>
          <w:tcPr>
            <w:tcW w:w="2254" w:type="dxa"/>
          </w:tcPr>
          <w:p w14:paraId="04494657"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Segment</w:t>
            </w:r>
          </w:p>
        </w:tc>
        <w:tc>
          <w:tcPr>
            <w:tcW w:w="2254" w:type="dxa"/>
          </w:tcPr>
          <w:p w14:paraId="0A1C39C5"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Market pool</w:t>
            </w:r>
          </w:p>
        </w:tc>
        <w:tc>
          <w:tcPr>
            <w:tcW w:w="2254" w:type="dxa"/>
          </w:tcPr>
          <w:p w14:paraId="77E0FCF3"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Planning assumption</w:t>
            </w:r>
          </w:p>
        </w:tc>
        <w:tc>
          <w:tcPr>
            <w:tcW w:w="2254" w:type="dxa"/>
          </w:tcPr>
          <w:p w14:paraId="0D54F3EF" w14:textId="77777777" w:rsidR="00E53AA4" w:rsidRPr="00E857CE" w:rsidRDefault="00E53AA4" w:rsidP="0038379F">
            <w:pPr>
              <w:spacing w:before="240" w:line="360" w:lineRule="auto"/>
              <w:jc w:val="both"/>
              <w:rPr>
                <w:rFonts w:ascii="Arial" w:hAnsi="Arial" w:cs="Arial"/>
                <w:b/>
                <w:sz w:val="24"/>
                <w:szCs w:val="24"/>
                <w:lang w:val="en-GB" w:eastAsia="en-GB"/>
              </w:rPr>
            </w:pPr>
            <w:r w:rsidRPr="00E857CE">
              <w:rPr>
                <w:rFonts w:ascii="Arial" w:hAnsi="Arial" w:cs="Arial"/>
                <w:b/>
                <w:sz w:val="24"/>
                <w:szCs w:val="24"/>
                <w:lang w:val="en-GB" w:eastAsia="en-GB"/>
              </w:rPr>
              <w:t>Illustrative annual transactions</w:t>
            </w:r>
          </w:p>
        </w:tc>
      </w:tr>
      <w:tr w:rsidR="00E53AA4" w:rsidRPr="00E53AA4" w14:paraId="02EEC7EB" w14:textId="77777777" w:rsidTr="00E53AA4">
        <w:tc>
          <w:tcPr>
            <w:tcW w:w="2254" w:type="dxa"/>
          </w:tcPr>
          <w:p w14:paraId="2EF0B20A"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lastRenderedPageBreak/>
              <w:t>Visitors</w:t>
            </w:r>
          </w:p>
        </w:tc>
        <w:tc>
          <w:tcPr>
            <w:tcW w:w="2254" w:type="dxa"/>
          </w:tcPr>
          <w:p w14:paraId="62EAE6FF"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38,000,000 occasions</w:t>
            </w:r>
          </w:p>
        </w:tc>
        <w:tc>
          <w:tcPr>
            <w:tcW w:w="2254" w:type="dxa"/>
          </w:tcPr>
          <w:p w14:paraId="68ACBBC5"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20% make a café purchase</w:t>
            </w:r>
          </w:p>
        </w:tc>
        <w:tc>
          <w:tcPr>
            <w:tcW w:w="2254" w:type="dxa"/>
          </w:tcPr>
          <w:p w14:paraId="45AC6D6D"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7,600,000</w:t>
            </w:r>
          </w:p>
        </w:tc>
      </w:tr>
      <w:tr w:rsidR="00E53AA4" w:rsidRPr="00E53AA4" w14:paraId="5F62ECC7" w14:textId="77777777" w:rsidTr="00E53AA4">
        <w:tc>
          <w:tcPr>
            <w:tcW w:w="2254" w:type="dxa"/>
          </w:tcPr>
          <w:p w14:paraId="1D782344"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Reachable visitor occasions</w:t>
            </w:r>
          </w:p>
        </w:tc>
        <w:tc>
          <w:tcPr>
            <w:tcW w:w="2254" w:type="dxa"/>
          </w:tcPr>
          <w:p w14:paraId="24EDB795"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7,600,000</w:t>
            </w:r>
          </w:p>
        </w:tc>
        <w:tc>
          <w:tcPr>
            <w:tcW w:w="2254" w:type="dxa"/>
          </w:tcPr>
          <w:p w14:paraId="4EA88B5F"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15% fall within realistic competitive catchment</w:t>
            </w:r>
          </w:p>
        </w:tc>
        <w:tc>
          <w:tcPr>
            <w:tcW w:w="2254" w:type="dxa"/>
          </w:tcPr>
          <w:p w14:paraId="32F796DA"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1,140,000</w:t>
            </w:r>
          </w:p>
        </w:tc>
      </w:tr>
      <w:tr w:rsidR="00E53AA4" w:rsidRPr="00E53AA4" w14:paraId="3CBAC120" w14:textId="77777777" w:rsidTr="00E53AA4">
        <w:tc>
          <w:tcPr>
            <w:tcW w:w="2254" w:type="dxa"/>
          </w:tcPr>
          <w:p w14:paraId="71228859"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TEBC visitor capture</w:t>
            </w:r>
          </w:p>
        </w:tc>
        <w:tc>
          <w:tcPr>
            <w:tcW w:w="2254" w:type="dxa"/>
          </w:tcPr>
          <w:p w14:paraId="54D5BA6A"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1,140,000</w:t>
            </w:r>
          </w:p>
        </w:tc>
        <w:tc>
          <w:tcPr>
            <w:tcW w:w="2254" w:type="dxa"/>
          </w:tcPr>
          <w:p w14:paraId="265D468E"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 captured by TEBC</w:t>
            </w:r>
          </w:p>
        </w:tc>
        <w:tc>
          <w:tcPr>
            <w:tcW w:w="2254" w:type="dxa"/>
          </w:tcPr>
          <w:p w14:paraId="63688B74"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22,800</w:t>
            </w:r>
          </w:p>
        </w:tc>
      </w:tr>
      <w:tr w:rsidR="00E53AA4" w:rsidRPr="00E53AA4" w14:paraId="39E6D1B4" w14:textId="77777777" w:rsidTr="00E53AA4">
        <w:tc>
          <w:tcPr>
            <w:tcW w:w="2254" w:type="dxa"/>
          </w:tcPr>
          <w:p w14:paraId="638FB640"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Average transaction value</w:t>
            </w:r>
          </w:p>
        </w:tc>
        <w:tc>
          <w:tcPr>
            <w:tcW w:w="2254" w:type="dxa"/>
          </w:tcPr>
          <w:p w14:paraId="1B4F95FC"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22,800 transactions</w:t>
            </w:r>
          </w:p>
        </w:tc>
        <w:tc>
          <w:tcPr>
            <w:tcW w:w="2254" w:type="dxa"/>
          </w:tcPr>
          <w:p w14:paraId="5739AB21"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£7 per transaction</w:t>
            </w:r>
          </w:p>
        </w:tc>
        <w:tc>
          <w:tcPr>
            <w:tcW w:w="2254" w:type="dxa"/>
          </w:tcPr>
          <w:p w14:paraId="5A66EEDF" w14:textId="77777777" w:rsidR="00E53AA4" w:rsidRPr="00E53AA4" w:rsidRDefault="00E53AA4" w:rsidP="0038379F">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£159,600</w:t>
            </w:r>
          </w:p>
        </w:tc>
      </w:tr>
    </w:tbl>
    <w:p w14:paraId="70CA1041" w14:textId="591964D9" w:rsidR="00E53AA4" w:rsidRPr="00E53AA4" w:rsidRDefault="00E53AA4" w:rsidP="00E53AA4">
      <w:pPr>
        <w:spacing w:before="240" w:line="360" w:lineRule="auto"/>
        <w:jc w:val="both"/>
        <w:rPr>
          <w:rFonts w:ascii="Arial" w:hAnsi="Arial" w:cs="Arial"/>
          <w:sz w:val="24"/>
          <w:szCs w:val="24"/>
          <w:lang w:val="en-GB" w:eastAsia="en-GB"/>
        </w:rPr>
      </w:pPr>
      <w:r w:rsidRPr="00E857CE">
        <w:rPr>
          <w:rFonts w:ascii="Arial" w:hAnsi="Arial" w:cs="Arial"/>
          <w:b/>
          <w:sz w:val="24"/>
          <w:szCs w:val="24"/>
          <w:lang w:val="en-GB" w:eastAsia="en-GB"/>
        </w:rPr>
        <w:t>Source:</w:t>
      </w:r>
      <w:r w:rsidRPr="00E53AA4">
        <w:rPr>
          <w:rFonts w:ascii="Arial" w:hAnsi="Arial" w:cs="Arial"/>
          <w:sz w:val="24"/>
          <w:szCs w:val="24"/>
          <w:lang w:val="en-GB" w:eastAsia="en-GB"/>
        </w:rPr>
        <w:t xml:space="preserve"> Researcher’s illustrative calculation. The 20%, 15%, 2% and £7 figures are planning assumptions and are not published market </w:t>
      </w:r>
      <w:r>
        <w:rPr>
          <w:rFonts w:ascii="Arial" w:hAnsi="Arial" w:cs="Arial"/>
          <w:sz w:val="24"/>
          <w:szCs w:val="24"/>
          <w:lang w:val="en-GB" w:eastAsia="en-GB"/>
        </w:rPr>
        <w:t>statistics or a sales forecast</w:t>
      </w:r>
    </w:p>
    <w:p w14:paraId="2F770579" w14:textId="441C8999" w:rsidR="004C6A98" w:rsidRPr="004C6A98" w:rsidRDefault="00E53AA4" w:rsidP="004C6A98">
      <w:pPr>
        <w:spacing w:before="240" w:line="360" w:lineRule="auto"/>
        <w:jc w:val="both"/>
        <w:rPr>
          <w:rFonts w:ascii="Arial" w:hAnsi="Arial" w:cs="Arial"/>
          <w:sz w:val="24"/>
          <w:szCs w:val="24"/>
          <w:lang w:val="en-GB" w:eastAsia="en-GB"/>
        </w:rPr>
      </w:pPr>
      <w:r w:rsidRPr="00E53AA4">
        <w:rPr>
          <w:rFonts w:ascii="Arial" w:hAnsi="Arial" w:cs="Arial"/>
          <w:sz w:val="24"/>
          <w:szCs w:val="24"/>
          <w:lang w:val="en-GB" w:eastAsia="en-GB"/>
        </w:rPr>
        <w:t>The resulting £159,600 should not be interpreted as a first-year revenue forecast. It represents an illustrative scenario for the visitor segment only and demonstrates how a proportion of the available local demand could translate into transactions. The assumptions require validation through competitor observation, supplier and pricing analysis, test trading and subsequent transaction data. Importantly, this scenario excludes repeat purchasing from workers and residents. A fuller commercial model should therefore estimate these segments separately using realistic purchase frequencies and average transaction values.</w:t>
      </w:r>
    </w:p>
    <w:p w14:paraId="69B92379" w14:textId="027CEFA2" w:rsidR="004C6A98" w:rsidRPr="004C6A98" w:rsidRDefault="004C6A98" w:rsidP="008B0B6B">
      <w:pPr>
        <w:pStyle w:val="Heading2"/>
        <w:rPr>
          <w:lang w:val="en-GB" w:eastAsia="en-GB"/>
        </w:rPr>
      </w:pPr>
      <w:bookmarkStart w:id="44" w:name="_Toc239695366"/>
      <w:r w:rsidRPr="004C6A98">
        <w:rPr>
          <w:lang w:val="en-GB" w:eastAsia="en-GB"/>
        </w:rPr>
        <w:t>5.4 Ma</w:t>
      </w:r>
      <w:r w:rsidR="0051296B">
        <w:rPr>
          <w:lang w:val="en-GB" w:eastAsia="en-GB"/>
        </w:rPr>
        <w:t>rket Segmentation and Targeting</w:t>
      </w:r>
      <w:bookmarkEnd w:id="44"/>
    </w:p>
    <w:p w14:paraId="6446319C" w14:textId="5FDB990A"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Analysis based upon STP: Geographic, Demographic, Psychographic and Behavioural Segments and Identification of Most C</w:t>
      </w:r>
      <w:r w:rsidR="008B0B6B">
        <w:rPr>
          <w:rFonts w:ascii="Arial" w:hAnsi="Arial" w:cs="Arial"/>
          <w:sz w:val="24"/>
          <w:szCs w:val="24"/>
          <w:lang w:val="en-GB" w:eastAsia="en-GB"/>
        </w:rPr>
        <w:t>ommercially Relevant Customers</w:t>
      </w:r>
    </w:p>
    <w:p w14:paraId="75207365" w14:textId="25B4FC44"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 xml:space="preserve">Geographic segmentation relates to customers living within walking distance of Monmouth Street and the larger Covent Garden/West End community. This is especially significant for workers and residents as repeat purchases from the cafés is related to their convenience and </w:t>
      </w:r>
      <w:r w:rsidR="008B0B6B">
        <w:rPr>
          <w:rFonts w:ascii="Arial" w:hAnsi="Arial" w:cs="Arial"/>
          <w:sz w:val="24"/>
          <w:szCs w:val="24"/>
          <w:lang w:val="en-GB" w:eastAsia="en-GB"/>
        </w:rPr>
        <w:t>accessibility</w:t>
      </w:r>
    </w:p>
    <w:p w14:paraId="59A6CA02" w14:textId="0C2CFA57"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lastRenderedPageBreak/>
        <w:t>Demographic segmentation focuses on economically active people – those working in the profession, but also those who are studying – and acknowledges that there is a much wider mix of visitors to Covent Garden t</w:t>
      </w:r>
      <w:r w:rsidR="008B0B6B">
        <w:rPr>
          <w:rFonts w:ascii="Arial" w:hAnsi="Arial" w:cs="Arial"/>
          <w:sz w:val="24"/>
          <w:szCs w:val="24"/>
          <w:lang w:val="en-GB" w:eastAsia="en-GB"/>
        </w:rPr>
        <w:t>han those who live in the area.</w:t>
      </w:r>
    </w:p>
    <w:p w14:paraId="1F02FB98" w14:textId="74306EAD"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Psychographic segmentation focuses particularly on consumers interested in specialty coffee, quality, ethical consumption, sustainability and experiential hospitality. It is consistent with research showing consumers might be willing to pay increased prices for sustainable and trustworthy coffee attributes (Fuller and Grebitus</w:t>
      </w:r>
      <w:r w:rsidR="008B0B6B">
        <w:rPr>
          <w:rFonts w:ascii="Arial" w:hAnsi="Arial" w:cs="Arial"/>
          <w:sz w:val="24"/>
          <w:szCs w:val="24"/>
          <w:lang w:val="en-GB" w:eastAsia="en-GB"/>
        </w:rPr>
        <w:t>, 2023; Abdu and Mutuku, 2021).</w:t>
      </w:r>
    </w:p>
    <w:p w14:paraId="0CD862D2" w14:textId="426F969A" w:rsidR="0010342D" w:rsidRPr="0010342D" w:rsidRDefault="0010342D" w:rsidP="0010342D">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Behavioural segmentation takes into account the frequency of coffee purchase, the number of times the person visits the café, his interest in specialty products, and the person's likelihood of repeat purchasing. So workers or regular local visitors are a more attractive prospect than occasional tourists, if they can sup</w:t>
      </w:r>
      <w:r w:rsidR="008B0B6B">
        <w:rPr>
          <w:rFonts w:ascii="Arial" w:hAnsi="Arial" w:cs="Arial"/>
          <w:sz w:val="24"/>
          <w:szCs w:val="24"/>
          <w:lang w:val="en-GB" w:eastAsia="en-GB"/>
        </w:rPr>
        <w:t>ply a recurring flow of income.</w:t>
      </w:r>
    </w:p>
    <w:p w14:paraId="5EC61C57" w14:textId="21502708" w:rsidR="004C6A98" w:rsidRPr="004C6A98" w:rsidRDefault="0010342D" w:rsidP="004C6A98">
      <w:pPr>
        <w:spacing w:before="240" w:line="360" w:lineRule="auto"/>
        <w:jc w:val="both"/>
        <w:rPr>
          <w:rFonts w:ascii="Arial" w:hAnsi="Arial" w:cs="Arial"/>
          <w:sz w:val="24"/>
          <w:szCs w:val="24"/>
          <w:lang w:val="en-GB" w:eastAsia="en-GB"/>
        </w:rPr>
      </w:pPr>
      <w:r w:rsidRPr="0010342D">
        <w:rPr>
          <w:rFonts w:ascii="Arial" w:hAnsi="Arial" w:cs="Arial"/>
          <w:sz w:val="24"/>
          <w:szCs w:val="24"/>
          <w:lang w:val="en-GB" w:eastAsia="en-GB"/>
        </w:rPr>
        <w:t xml:space="preserve">Based on this, specialty-coffee consumers and urban professionals who are concerned with ethical issues and appreciate quality, convenience and responsible sourcing are the primary target segment. The key secondary market is at the core of the Covent Garden visitors, and the local market offers a further repeat purchase </w:t>
      </w:r>
      <w:r>
        <w:rPr>
          <w:rFonts w:ascii="Arial" w:hAnsi="Arial" w:cs="Arial"/>
          <w:sz w:val="24"/>
          <w:szCs w:val="24"/>
          <w:lang w:val="en-GB" w:eastAsia="en-GB"/>
        </w:rPr>
        <w:t>opportunity</w:t>
      </w:r>
      <w:r w:rsidR="008B0B6B">
        <w:rPr>
          <w:rFonts w:ascii="Arial" w:hAnsi="Arial" w:cs="Arial"/>
          <w:sz w:val="24"/>
          <w:szCs w:val="24"/>
          <w:lang w:val="en-GB" w:eastAsia="en-GB"/>
        </w:rPr>
        <w:t>.</w:t>
      </w:r>
    </w:p>
    <w:p w14:paraId="5AE5604B" w14:textId="7E88E8E3" w:rsidR="004C6A98" w:rsidRPr="00AD7940" w:rsidRDefault="004C6A98" w:rsidP="00AD7940">
      <w:pPr>
        <w:pStyle w:val="Heading2"/>
        <w:rPr>
          <w:lang w:val="en-GB" w:eastAsia="en-GB"/>
        </w:rPr>
      </w:pPr>
      <w:bookmarkStart w:id="45" w:name="_Toc239695367"/>
      <w:r w:rsidRPr="004C6A98">
        <w:rPr>
          <w:lang w:val="en-GB" w:eastAsia="en-GB"/>
        </w:rPr>
        <w:t>5.5 Indicative TAM, SAM and SOM</w:t>
      </w:r>
      <w:bookmarkEnd w:id="45"/>
    </w:p>
    <w:p w14:paraId="62963AD6" w14:textId="16D50DF6" w:rsidR="004C6A98" w:rsidRDefault="00104C38" w:rsidP="004C6A98">
      <w:pPr>
        <w:spacing w:before="240" w:line="360" w:lineRule="auto"/>
        <w:jc w:val="both"/>
        <w:rPr>
          <w:rFonts w:ascii="Arial" w:hAnsi="Arial" w:cs="Arial"/>
          <w:sz w:val="24"/>
          <w:szCs w:val="24"/>
          <w:lang w:val="en-GB" w:eastAsia="en-GB"/>
        </w:rPr>
      </w:pPr>
      <w:r w:rsidRPr="00104C38">
        <w:rPr>
          <w:rFonts w:ascii="Arial" w:hAnsi="Arial" w:cs="Arial"/>
          <w:sz w:val="24"/>
          <w:szCs w:val="24"/>
          <w:lang w:val="en-GB" w:eastAsia="en-GB"/>
        </w:rPr>
        <w:t xml:space="preserve">A local market estimate should differentiate the overall market from the market that is potentially achievable and ultimately achievable by one café. A scenario is, therefore, a combination of published local market indicators and explicit researcher assumptions that are then combined in a scenario that is </w:t>
      </w:r>
      <w:r w:rsidR="00AD7940" w:rsidRPr="00104C38">
        <w:rPr>
          <w:rFonts w:ascii="Arial" w:hAnsi="Arial" w:cs="Arial"/>
          <w:sz w:val="24"/>
          <w:szCs w:val="24"/>
          <w:lang w:val="en-GB" w:eastAsia="en-GB"/>
        </w:rPr>
        <w:t>validated. A</w:t>
      </w:r>
      <w:r w:rsidRPr="00104C38">
        <w:rPr>
          <w:rFonts w:ascii="Arial" w:hAnsi="Arial" w:cs="Arial"/>
          <w:sz w:val="24"/>
          <w:szCs w:val="24"/>
          <w:lang w:val="en-GB" w:eastAsia="en-GB"/>
        </w:rPr>
        <w:t xml:space="preserve"> scenario is, therefore, a combination of published local market indicators and explicit researcher assumptions that are combi</w:t>
      </w:r>
      <w:r>
        <w:rPr>
          <w:rFonts w:ascii="Arial" w:hAnsi="Arial" w:cs="Arial"/>
          <w:sz w:val="24"/>
          <w:szCs w:val="24"/>
          <w:lang w:val="en-GB" w:eastAsia="en-GB"/>
        </w:rPr>
        <w:t>ned in a scenario and validated</w:t>
      </w:r>
    </w:p>
    <w:p w14:paraId="06854128" w14:textId="0375A0D5" w:rsidR="00E857CE" w:rsidRDefault="00E857CE" w:rsidP="004C6A98">
      <w:pPr>
        <w:spacing w:before="240" w:line="360" w:lineRule="auto"/>
        <w:jc w:val="both"/>
        <w:rPr>
          <w:rFonts w:ascii="Arial" w:hAnsi="Arial" w:cs="Arial"/>
          <w:sz w:val="24"/>
          <w:szCs w:val="24"/>
          <w:lang w:val="en-GB" w:eastAsia="en-GB"/>
        </w:rPr>
      </w:pPr>
    </w:p>
    <w:p w14:paraId="52A7AC92" w14:textId="77777777" w:rsidR="00E857CE" w:rsidRPr="004C6A98" w:rsidRDefault="00E857CE" w:rsidP="004C6A98">
      <w:pPr>
        <w:spacing w:before="240" w:line="360" w:lineRule="auto"/>
        <w:jc w:val="both"/>
        <w:rPr>
          <w:rFonts w:ascii="Arial" w:hAnsi="Arial" w:cs="Arial"/>
          <w:sz w:val="24"/>
          <w:szCs w:val="24"/>
          <w:lang w:val="en-GB" w:eastAsia="en-GB"/>
        </w:rPr>
      </w:pPr>
    </w:p>
    <w:p w14:paraId="33BF6210" w14:textId="4239A93C" w:rsidR="00AD7940" w:rsidRPr="00AD7940" w:rsidRDefault="00AD7940" w:rsidP="00AD7940">
      <w:pPr>
        <w:pStyle w:val="Caption"/>
        <w:keepNext/>
        <w:jc w:val="both"/>
        <w:rPr>
          <w:rFonts w:ascii="Arial" w:hAnsi="Arial" w:cs="Arial"/>
          <w:sz w:val="24"/>
        </w:rPr>
      </w:pPr>
      <w:bookmarkStart w:id="46" w:name="_Toc239695422"/>
      <w:r w:rsidRPr="00AD7940">
        <w:rPr>
          <w:rFonts w:ascii="Arial" w:hAnsi="Arial" w:cs="Arial"/>
          <w:sz w:val="24"/>
        </w:rPr>
        <w:lastRenderedPageBreak/>
        <w:t xml:space="preserve">Table </w:t>
      </w:r>
      <w:r w:rsidRPr="00AD7940">
        <w:rPr>
          <w:rFonts w:ascii="Arial" w:hAnsi="Arial" w:cs="Arial"/>
          <w:sz w:val="24"/>
        </w:rPr>
        <w:fldChar w:fldCharType="begin"/>
      </w:r>
      <w:r w:rsidRPr="00AD7940">
        <w:rPr>
          <w:rFonts w:ascii="Arial" w:hAnsi="Arial" w:cs="Arial"/>
          <w:sz w:val="24"/>
        </w:rPr>
        <w:instrText xml:space="preserve"> SEQ Table \* ARABIC </w:instrText>
      </w:r>
      <w:r w:rsidRPr="00AD7940">
        <w:rPr>
          <w:rFonts w:ascii="Arial" w:hAnsi="Arial" w:cs="Arial"/>
          <w:sz w:val="24"/>
        </w:rPr>
        <w:fldChar w:fldCharType="separate"/>
      </w:r>
      <w:r w:rsidR="007C175A">
        <w:rPr>
          <w:rFonts w:ascii="Arial" w:hAnsi="Arial" w:cs="Arial"/>
          <w:noProof/>
          <w:sz w:val="24"/>
        </w:rPr>
        <w:t>3</w:t>
      </w:r>
      <w:r w:rsidRPr="00AD7940">
        <w:rPr>
          <w:rFonts w:ascii="Arial" w:hAnsi="Arial" w:cs="Arial"/>
          <w:sz w:val="24"/>
        </w:rPr>
        <w:fldChar w:fldCharType="end"/>
      </w:r>
      <w:r w:rsidRPr="00AD7940">
        <w:rPr>
          <w:rFonts w:ascii="Arial" w:hAnsi="Arial" w:cs="Arial"/>
          <w:sz w:val="24"/>
        </w:rPr>
        <w:t>: Indicative Market Opportunity</w:t>
      </w:r>
      <w:bookmarkEnd w:id="46"/>
    </w:p>
    <w:tbl>
      <w:tblPr>
        <w:tblStyle w:val="TableGrid"/>
        <w:tblW w:w="0" w:type="auto"/>
        <w:tblLook w:val="04A0" w:firstRow="1" w:lastRow="0" w:firstColumn="1" w:lastColumn="0" w:noHBand="0" w:noVBand="1"/>
      </w:tblPr>
      <w:tblGrid>
        <w:gridCol w:w="2254"/>
        <w:gridCol w:w="2254"/>
        <w:gridCol w:w="2254"/>
        <w:gridCol w:w="2254"/>
      </w:tblGrid>
      <w:tr w:rsidR="0051296B" w:rsidRPr="0051296B" w14:paraId="18F399CD" w14:textId="77777777" w:rsidTr="0051296B">
        <w:tc>
          <w:tcPr>
            <w:tcW w:w="2254" w:type="dxa"/>
          </w:tcPr>
          <w:p w14:paraId="047A57A3"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Measure</w:t>
            </w:r>
          </w:p>
        </w:tc>
        <w:tc>
          <w:tcPr>
            <w:tcW w:w="2254" w:type="dxa"/>
          </w:tcPr>
          <w:p w14:paraId="6480BA1D"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Basis</w:t>
            </w:r>
          </w:p>
        </w:tc>
        <w:tc>
          <w:tcPr>
            <w:tcW w:w="2254" w:type="dxa"/>
          </w:tcPr>
          <w:p w14:paraId="3970E9B0"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Calculation</w:t>
            </w:r>
          </w:p>
        </w:tc>
        <w:tc>
          <w:tcPr>
            <w:tcW w:w="2254" w:type="dxa"/>
          </w:tcPr>
          <w:p w14:paraId="3BC1E825" w14:textId="77777777" w:rsidR="0051296B" w:rsidRPr="005438A3" w:rsidRDefault="0051296B" w:rsidP="008B0B6B">
            <w:pPr>
              <w:spacing w:before="240" w:line="360" w:lineRule="auto"/>
              <w:jc w:val="both"/>
              <w:rPr>
                <w:rFonts w:ascii="Arial" w:hAnsi="Arial" w:cs="Arial"/>
                <w:b/>
                <w:sz w:val="24"/>
                <w:szCs w:val="24"/>
                <w:lang w:val="en-GB" w:eastAsia="en-GB"/>
              </w:rPr>
            </w:pPr>
            <w:r w:rsidRPr="005438A3">
              <w:rPr>
                <w:rFonts w:ascii="Arial" w:hAnsi="Arial" w:cs="Arial"/>
                <w:b/>
                <w:sz w:val="24"/>
                <w:szCs w:val="24"/>
                <w:lang w:val="en-GB" w:eastAsia="en-GB"/>
              </w:rPr>
              <w:t>Indicative result</w:t>
            </w:r>
          </w:p>
        </w:tc>
      </w:tr>
      <w:tr w:rsidR="0051296B" w:rsidRPr="0051296B" w14:paraId="71484CFC" w14:textId="77777777" w:rsidTr="0051296B">
        <w:tc>
          <w:tcPr>
            <w:tcW w:w="2254" w:type="dxa"/>
          </w:tcPr>
          <w:p w14:paraId="54601674"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TAM</w:t>
            </w:r>
          </w:p>
        </w:tc>
        <w:tc>
          <w:tcPr>
            <w:tcW w:w="2254" w:type="dxa"/>
          </w:tcPr>
          <w:p w14:paraId="054A36D6"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Covent Garden annual visitors</w:t>
            </w:r>
          </w:p>
        </w:tc>
        <w:tc>
          <w:tcPr>
            <w:tcW w:w="2254" w:type="dxa"/>
          </w:tcPr>
          <w:p w14:paraId="0B26694A"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Published estimate</w:t>
            </w:r>
          </w:p>
        </w:tc>
        <w:tc>
          <w:tcPr>
            <w:tcW w:w="2254" w:type="dxa"/>
          </w:tcPr>
          <w:p w14:paraId="5BA2028A" w14:textId="173C981E"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 xml:space="preserve">38,000,000 </w:t>
            </w:r>
            <w:r w:rsidR="00E857CE" w:rsidRPr="00E857CE">
              <w:rPr>
                <w:rFonts w:ascii="Arial" w:hAnsi="Arial" w:cs="Arial"/>
                <w:sz w:val="24"/>
                <w:szCs w:val="24"/>
                <w:lang w:val="en-GB" w:eastAsia="en-GB"/>
              </w:rPr>
              <w:t>individual customers.</w:t>
            </w:r>
          </w:p>
        </w:tc>
      </w:tr>
      <w:tr w:rsidR="0051296B" w:rsidRPr="0051296B" w14:paraId="623D09DD" w14:textId="77777777" w:rsidTr="0051296B">
        <w:tc>
          <w:tcPr>
            <w:tcW w:w="2254" w:type="dxa"/>
          </w:tcPr>
          <w:p w14:paraId="7DBE4C1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Potential café occasions</w:t>
            </w:r>
          </w:p>
        </w:tc>
        <w:tc>
          <w:tcPr>
            <w:tcW w:w="2254" w:type="dxa"/>
          </w:tcPr>
          <w:p w14:paraId="087AFC62"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Assumption: 20% purchase/use a café</w:t>
            </w:r>
          </w:p>
        </w:tc>
        <w:tc>
          <w:tcPr>
            <w:tcW w:w="2254" w:type="dxa"/>
          </w:tcPr>
          <w:p w14:paraId="7130FB37"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38m × 20%</w:t>
            </w:r>
          </w:p>
        </w:tc>
        <w:tc>
          <w:tcPr>
            <w:tcW w:w="2254" w:type="dxa"/>
          </w:tcPr>
          <w:p w14:paraId="7F224EFC"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7,600,000</w:t>
            </w:r>
          </w:p>
        </w:tc>
      </w:tr>
      <w:tr w:rsidR="0051296B" w:rsidRPr="0051296B" w14:paraId="01473AF6" w14:textId="77777777" w:rsidTr="0051296B">
        <w:tc>
          <w:tcPr>
            <w:tcW w:w="2254" w:type="dxa"/>
          </w:tcPr>
          <w:p w14:paraId="5AB047EA"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SAM</w:t>
            </w:r>
          </w:p>
        </w:tc>
        <w:tc>
          <w:tcPr>
            <w:tcW w:w="2254" w:type="dxa"/>
          </w:tcPr>
          <w:p w14:paraId="37C3B3A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Assumption: 15% within realistic competitive catchment</w:t>
            </w:r>
          </w:p>
        </w:tc>
        <w:tc>
          <w:tcPr>
            <w:tcW w:w="2254" w:type="dxa"/>
          </w:tcPr>
          <w:p w14:paraId="69D0BB41"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7.6m × 15%</w:t>
            </w:r>
          </w:p>
        </w:tc>
        <w:tc>
          <w:tcPr>
            <w:tcW w:w="2254" w:type="dxa"/>
          </w:tcPr>
          <w:p w14:paraId="07AC8A6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1,140,000</w:t>
            </w:r>
          </w:p>
        </w:tc>
      </w:tr>
      <w:tr w:rsidR="0051296B" w:rsidRPr="0051296B" w14:paraId="7DB1400A" w14:textId="77777777" w:rsidTr="0051296B">
        <w:tc>
          <w:tcPr>
            <w:tcW w:w="2254" w:type="dxa"/>
          </w:tcPr>
          <w:p w14:paraId="24ADAE29"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SOM</w:t>
            </w:r>
          </w:p>
        </w:tc>
        <w:tc>
          <w:tcPr>
            <w:tcW w:w="2254" w:type="dxa"/>
          </w:tcPr>
          <w:p w14:paraId="35FF169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Assumption: 2% capture of reachable occasions</w:t>
            </w:r>
          </w:p>
        </w:tc>
        <w:tc>
          <w:tcPr>
            <w:tcW w:w="2254" w:type="dxa"/>
          </w:tcPr>
          <w:p w14:paraId="16136176"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1.14m × 2%</w:t>
            </w:r>
          </w:p>
        </w:tc>
        <w:tc>
          <w:tcPr>
            <w:tcW w:w="2254" w:type="dxa"/>
          </w:tcPr>
          <w:p w14:paraId="008EB48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22,800 transactions</w:t>
            </w:r>
          </w:p>
        </w:tc>
      </w:tr>
      <w:tr w:rsidR="0051296B" w:rsidRPr="0051296B" w14:paraId="0FC8C2C8" w14:textId="77777777" w:rsidTr="0051296B">
        <w:tc>
          <w:tcPr>
            <w:tcW w:w="2254" w:type="dxa"/>
          </w:tcPr>
          <w:p w14:paraId="13F2B008"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Average transaction value</w:t>
            </w:r>
          </w:p>
        </w:tc>
        <w:tc>
          <w:tcPr>
            <w:tcW w:w="2254" w:type="dxa"/>
          </w:tcPr>
          <w:p w14:paraId="6057CD3D"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Planning assumption</w:t>
            </w:r>
          </w:p>
        </w:tc>
        <w:tc>
          <w:tcPr>
            <w:tcW w:w="2254" w:type="dxa"/>
          </w:tcPr>
          <w:p w14:paraId="23698F0E"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£7 × 22,800</w:t>
            </w:r>
          </w:p>
        </w:tc>
        <w:tc>
          <w:tcPr>
            <w:tcW w:w="2254" w:type="dxa"/>
          </w:tcPr>
          <w:p w14:paraId="23A1C329" w14:textId="77777777" w:rsidR="0051296B" w:rsidRPr="0051296B" w:rsidRDefault="0051296B" w:rsidP="008B0B6B">
            <w:pPr>
              <w:spacing w:before="240" w:line="360" w:lineRule="auto"/>
              <w:jc w:val="both"/>
              <w:rPr>
                <w:rFonts w:ascii="Arial" w:hAnsi="Arial" w:cs="Arial"/>
                <w:sz w:val="24"/>
                <w:szCs w:val="24"/>
                <w:lang w:val="en-GB" w:eastAsia="en-GB"/>
              </w:rPr>
            </w:pPr>
            <w:r w:rsidRPr="0051296B">
              <w:rPr>
                <w:rFonts w:ascii="Arial" w:hAnsi="Arial" w:cs="Arial"/>
                <w:sz w:val="24"/>
                <w:szCs w:val="24"/>
                <w:lang w:val="en-GB" w:eastAsia="en-GB"/>
              </w:rPr>
              <w:t>£159,600 annual sales</w:t>
            </w:r>
          </w:p>
        </w:tc>
      </w:tr>
    </w:tbl>
    <w:p w14:paraId="09973968" w14:textId="30A81277" w:rsidR="004C6A98" w:rsidRPr="004C6A98" w:rsidRDefault="004C6A98" w:rsidP="004C6A98">
      <w:pPr>
        <w:spacing w:before="240" w:line="360" w:lineRule="auto"/>
        <w:jc w:val="both"/>
        <w:rPr>
          <w:rFonts w:ascii="Arial" w:hAnsi="Arial" w:cs="Arial"/>
          <w:sz w:val="24"/>
          <w:szCs w:val="24"/>
          <w:lang w:val="en-GB" w:eastAsia="en-GB"/>
        </w:rPr>
      </w:pPr>
      <w:r w:rsidRPr="005438A3">
        <w:rPr>
          <w:rFonts w:ascii="Arial" w:hAnsi="Arial" w:cs="Arial"/>
          <w:b/>
          <w:sz w:val="24"/>
          <w:szCs w:val="24"/>
          <w:lang w:val="en-GB" w:eastAsia="en-GB"/>
        </w:rPr>
        <w:t>Source:</w:t>
      </w:r>
      <w:r w:rsidRPr="004C6A98">
        <w:rPr>
          <w:rFonts w:ascii="Arial" w:hAnsi="Arial" w:cs="Arial"/>
          <w:sz w:val="24"/>
          <w:szCs w:val="24"/>
          <w:lang w:val="en-GB" w:eastAsia="en-GB"/>
        </w:rPr>
        <w:t xml:space="preserve"> Researcher’s calculation using published Covent Garden market evidence and</w:t>
      </w:r>
      <w:r w:rsidR="005438A3">
        <w:rPr>
          <w:rFonts w:ascii="Arial" w:hAnsi="Arial" w:cs="Arial"/>
          <w:sz w:val="24"/>
          <w:szCs w:val="24"/>
          <w:lang w:val="en-GB" w:eastAsia="en-GB"/>
        </w:rPr>
        <w:t xml:space="preserve"> explicit planning assumptions</w:t>
      </w:r>
    </w:p>
    <w:p w14:paraId="14A3ECB9" w14:textId="0D1A1546" w:rsidR="00596E37" w:rsidRPr="00596E37" w:rsidRDefault="00596E37" w:rsidP="00596E37">
      <w:pPr>
        <w:spacing w:before="240" w:line="360" w:lineRule="auto"/>
        <w:jc w:val="both"/>
        <w:rPr>
          <w:rFonts w:ascii="Arial" w:hAnsi="Arial" w:cs="Arial"/>
          <w:sz w:val="24"/>
          <w:szCs w:val="24"/>
          <w:lang w:val="en-GB" w:eastAsia="en-GB"/>
        </w:rPr>
      </w:pPr>
      <w:r w:rsidRPr="00596E37">
        <w:rPr>
          <w:rFonts w:ascii="Arial" w:hAnsi="Arial" w:cs="Arial"/>
          <w:sz w:val="24"/>
          <w:szCs w:val="24"/>
          <w:lang w:val="en-GB" w:eastAsia="en-GB"/>
        </w:rPr>
        <w:t>The £159,600 is not a forecast and should not be quoted as expected first year revenue. It is an illustrative attainable market scenario illustrating the size of the visitor segment's demand alone. The 20%, 15%, and 2% assumptions must be validated to be observed by the customer, assessed by foot traffic in their competitors, tested through test trading an</w:t>
      </w:r>
      <w:r>
        <w:rPr>
          <w:rFonts w:ascii="Arial" w:hAnsi="Arial" w:cs="Arial"/>
          <w:sz w:val="24"/>
          <w:szCs w:val="24"/>
          <w:lang w:val="en-GB" w:eastAsia="en-GB"/>
        </w:rPr>
        <w:t>d analysed by transaction data.</w:t>
      </w:r>
    </w:p>
    <w:p w14:paraId="39E971EF" w14:textId="099CA44D" w:rsidR="004C6A98" w:rsidRPr="004C6A98" w:rsidRDefault="00596E37" w:rsidP="004C6A98">
      <w:pPr>
        <w:spacing w:before="240" w:line="360" w:lineRule="auto"/>
        <w:jc w:val="both"/>
        <w:rPr>
          <w:rFonts w:ascii="Arial" w:hAnsi="Arial" w:cs="Arial"/>
          <w:sz w:val="24"/>
          <w:szCs w:val="24"/>
          <w:lang w:val="en-GB" w:eastAsia="en-GB"/>
        </w:rPr>
      </w:pPr>
      <w:r w:rsidRPr="00596E37">
        <w:rPr>
          <w:rFonts w:ascii="Arial" w:hAnsi="Arial" w:cs="Arial"/>
          <w:sz w:val="24"/>
          <w:szCs w:val="24"/>
          <w:lang w:val="en-GB" w:eastAsia="en-GB"/>
        </w:rPr>
        <w:t xml:space="preserve">This may be an opportunity to grow even bigger since the model doesn't monetize repeat demand from workers and residents. Then a worker who buys twice a week is much more valuable commercially than an occasional visitor even though the latter </w:t>
      </w:r>
      <w:r w:rsidRPr="00596E37">
        <w:rPr>
          <w:rFonts w:ascii="Arial" w:hAnsi="Arial" w:cs="Arial"/>
          <w:sz w:val="24"/>
          <w:szCs w:val="24"/>
          <w:lang w:val="en-GB" w:eastAsia="en-GB"/>
        </w:rPr>
        <w:lastRenderedPageBreak/>
        <w:t>generates the headline footfall. So that future financial predictions involve different transaction assumptions for workers, residents and visitors as well as being</w:t>
      </w:r>
      <w:r>
        <w:rPr>
          <w:rFonts w:ascii="Arial" w:hAnsi="Arial" w:cs="Arial"/>
          <w:sz w:val="24"/>
          <w:szCs w:val="24"/>
          <w:lang w:val="en-GB" w:eastAsia="en-GB"/>
        </w:rPr>
        <w:t xml:space="preserve"> based on total annual footfall.</w:t>
      </w:r>
    </w:p>
    <w:p w14:paraId="50F57266" w14:textId="6436E27D" w:rsidR="004C6A98" w:rsidRPr="004C6A98" w:rsidRDefault="004C6A98" w:rsidP="004B4887">
      <w:pPr>
        <w:pStyle w:val="Heading2"/>
        <w:rPr>
          <w:lang w:val="en-GB" w:eastAsia="en-GB"/>
        </w:rPr>
      </w:pPr>
      <w:bookmarkStart w:id="47" w:name="_Toc239695368"/>
      <w:r w:rsidRPr="004C6A98">
        <w:rPr>
          <w:lang w:val="en-GB" w:eastAsia="en-GB"/>
        </w:rPr>
        <w:t>5.6 Customer N</w:t>
      </w:r>
      <w:r w:rsidR="004B4887">
        <w:rPr>
          <w:lang w:val="en-GB" w:eastAsia="en-GB"/>
        </w:rPr>
        <w:t>eeds and Commercial Opportunity</w:t>
      </w:r>
      <w:bookmarkEnd w:id="47"/>
    </w:p>
    <w:p w14:paraId="584923CB" w14:textId="643F86D2"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Multiple customer needs are coming together to reinforce the market opportunity. Quality, convenience, experience and responsible consumption are becoming more and more important to customers while the specialty market opens new opportunities for independent operators to stand out in the market through the products and services they offer (World Coffee Portal, 2026). In addition, sustainability research suggests there is a potential willingness to pay for credible coffee sustainability attributes, though willingness is dependent on context and consumer (Fuller, Grebitus and Schmitz, 20</w:t>
      </w:r>
      <w:r>
        <w:rPr>
          <w:rFonts w:ascii="Arial" w:hAnsi="Arial" w:cs="Arial"/>
          <w:sz w:val="24"/>
          <w:szCs w:val="24"/>
          <w:lang w:val="en-GB" w:eastAsia="en-GB"/>
        </w:rPr>
        <w:t>22; Fuller and Grebitus, 2023)</w:t>
      </w:r>
    </w:p>
    <w:p w14:paraId="553722D3" w14:textId="208C99AF"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Meanwhile, price sensitivity is an important constraint. The venture can't assume that moral characteristics are going to remove customer sensitivity to price sensitivity. Especially in a high cost area like Covent Garden it can be expensive to buy the premises and hire staff. The commercial potential thus is to offer genuine 'ethical' value, without compromising on product quality, convenienc</w:t>
      </w:r>
      <w:r>
        <w:rPr>
          <w:rFonts w:ascii="Arial" w:hAnsi="Arial" w:cs="Arial"/>
          <w:sz w:val="24"/>
          <w:szCs w:val="24"/>
          <w:lang w:val="en-GB" w:eastAsia="en-GB"/>
        </w:rPr>
        <w:t>e or perceived value for money.</w:t>
      </w:r>
    </w:p>
    <w:p w14:paraId="0FFF0BFD" w14:textId="1A5ED59D" w:rsidR="004B4887" w:rsidRPr="004B4887" w:rsidRDefault="004B4887" w:rsidP="004B4887">
      <w:pPr>
        <w:pStyle w:val="Heading2"/>
        <w:rPr>
          <w:lang w:val="en-GB" w:eastAsia="en-GB"/>
        </w:rPr>
      </w:pPr>
      <w:bookmarkStart w:id="48" w:name="_Toc239695369"/>
      <w:r w:rsidRPr="004B4887">
        <w:rPr>
          <w:lang w:val="en-GB" w:eastAsia="en-GB"/>
        </w:rPr>
        <w:t>5.7 Market Opportunity Assessment</w:t>
      </w:r>
      <w:bookmarkEnd w:id="48"/>
    </w:p>
    <w:p w14:paraId="11F71370" w14:textId="51B0F905"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 xml:space="preserve">The overall evidence suggests a very good market opportunity but a competitive one. Visitors numbers are high, working population is large with </w:t>
      </w:r>
      <w:r w:rsidR="00A15DC3" w:rsidRPr="00A15DC3">
        <w:rPr>
          <w:rFonts w:ascii="Arial" w:hAnsi="Arial" w:cs="Arial"/>
          <w:sz w:val="24"/>
          <w:szCs w:val="24"/>
          <w:lang w:val="en-GB" w:eastAsia="en-GB"/>
        </w:rPr>
        <w:t>a local customer base within a con</w:t>
      </w:r>
      <w:r w:rsidR="00A15DC3">
        <w:rPr>
          <w:rFonts w:ascii="Arial" w:hAnsi="Arial" w:cs="Arial"/>
          <w:sz w:val="24"/>
          <w:szCs w:val="24"/>
          <w:lang w:val="en-GB" w:eastAsia="en-GB"/>
        </w:rPr>
        <w:t>centrated area of Covent Garden</w:t>
      </w:r>
      <w:r w:rsidRPr="004B4887">
        <w:rPr>
          <w:rFonts w:ascii="Arial" w:hAnsi="Arial" w:cs="Arial"/>
          <w:sz w:val="24"/>
          <w:szCs w:val="24"/>
          <w:lang w:val="en-GB" w:eastAsia="en-GB"/>
        </w:rPr>
        <w:t>. Experiential consumption and interest in responsible sourcing, combined with specialty-coffee demand</w:t>
      </w:r>
      <w:r>
        <w:rPr>
          <w:rFonts w:ascii="Arial" w:hAnsi="Arial" w:cs="Arial"/>
          <w:sz w:val="24"/>
          <w:szCs w:val="24"/>
          <w:lang w:val="en-GB" w:eastAsia="en-GB"/>
        </w:rPr>
        <w:t>, support the proposed concept.</w:t>
      </w:r>
    </w:p>
    <w:p w14:paraId="0797A407" w14:textId="0CAB0117" w:rsidR="004B4887" w:rsidRPr="004B4887"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t>But the size of the destination market does not equate with the attainable market for a single outlet. The business has a high level of competition and needs to achieve a high percentage of repeat sales from the demand possible. The most appealing market opportunity is not mass market, but concentrated market acquisition and retention of ethically conscious specialty-coffee consumers, urban profe</w:t>
      </w:r>
      <w:r>
        <w:rPr>
          <w:rFonts w:ascii="Arial" w:hAnsi="Arial" w:cs="Arial"/>
          <w:sz w:val="24"/>
          <w:szCs w:val="24"/>
          <w:lang w:val="en-GB" w:eastAsia="en-GB"/>
        </w:rPr>
        <w:t>ssionals and selected visitors.</w:t>
      </w:r>
    </w:p>
    <w:p w14:paraId="1773AFA7" w14:textId="3157775D" w:rsidR="00764905" w:rsidRPr="00764905" w:rsidRDefault="004B4887" w:rsidP="004B4887">
      <w:pPr>
        <w:spacing w:before="240" w:line="360" w:lineRule="auto"/>
        <w:jc w:val="both"/>
        <w:rPr>
          <w:rFonts w:ascii="Arial" w:hAnsi="Arial" w:cs="Arial"/>
          <w:sz w:val="24"/>
          <w:szCs w:val="24"/>
          <w:lang w:val="en-GB" w:eastAsia="en-GB"/>
        </w:rPr>
      </w:pPr>
      <w:r w:rsidRPr="004B4887">
        <w:rPr>
          <w:rFonts w:ascii="Arial" w:hAnsi="Arial" w:cs="Arial"/>
          <w:sz w:val="24"/>
          <w:szCs w:val="24"/>
          <w:lang w:val="en-GB" w:eastAsia="en-GB"/>
        </w:rPr>
        <w:lastRenderedPageBreak/>
        <w:t>The analysis backs up the focused staged differentiation strategy formulated in Chapter 7. The opportunity is subject to meeting the necessary volume of repeat sales, competitive pricing and the customer value proposition of ethical sourcing and sustainability beyond what is already provided by known competitors. The above assumptions should, therefore, be verified prior to substant</w:t>
      </w:r>
      <w:r>
        <w:rPr>
          <w:rFonts w:ascii="Arial" w:hAnsi="Arial" w:cs="Arial"/>
          <w:sz w:val="24"/>
          <w:szCs w:val="24"/>
          <w:lang w:val="en-GB" w:eastAsia="en-GB"/>
        </w:rPr>
        <w:t>ial expansion or new investment</w:t>
      </w:r>
      <w:r w:rsidR="00764905" w:rsidRPr="00764905">
        <w:rPr>
          <w:rFonts w:ascii="Arial" w:hAnsi="Arial" w:cs="Arial"/>
          <w:sz w:val="24"/>
          <w:szCs w:val="24"/>
          <w:lang w:val="en-GB" w:eastAsia="en-GB"/>
        </w:rPr>
        <w:t>.</w:t>
      </w:r>
    </w:p>
    <w:p w14:paraId="4C265EFA" w14:textId="4D64053C" w:rsidR="00764905" w:rsidRDefault="00764905" w:rsidP="00764905">
      <w:pPr>
        <w:spacing w:before="240" w:line="360" w:lineRule="auto"/>
        <w:jc w:val="both"/>
        <w:rPr>
          <w:rFonts w:ascii="Arial" w:hAnsi="Arial" w:cs="Arial"/>
          <w:sz w:val="24"/>
          <w:szCs w:val="24"/>
          <w:lang w:val="en-GB" w:eastAsia="en-GB"/>
        </w:rPr>
      </w:pPr>
    </w:p>
    <w:p w14:paraId="11299CCD" w14:textId="245DD7B6" w:rsidR="00020A7C" w:rsidRDefault="00020A7C" w:rsidP="00764905">
      <w:pPr>
        <w:spacing w:before="240" w:line="360" w:lineRule="auto"/>
        <w:jc w:val="both"/>
        <w:rPr>
          <w:rFonts w:ascii="Arial" w:hAnsi="Arial" w:cs="Arial"/>
          <w:sz w:val="24"/>
          <w:szCs w:val="24"/>
          <w:lang w:val="en-GB" w:eastAsia="en-GB"/>
        </w:rPr>
      </w:pPr>
    </w:p>
    <w:p w14:paraId="3F29333D" w14:textId="23BC02FE" w:rsidR="00020A7C" w:rsidRDefault="00020A7C" w:rsidP="00764905">
      <w:pPr>
        <w:spacing w:before="240" w:line="360" w:lineRule="auto"/>
        <w:jc w:val="both"/>
        <w:rPr>
          <w:rFonts w:ascii="Arial" w:hAnsi="Arial" w:cs="Arial"/>
          <w:sz w:val="24"/>
          <w:szCs w:val="24"/>
          <w:lang w:val="en-GB" w:eastAsia="en-GB"/>
        </w:rPr>
      </w:pPr>
    </w:p>
    <w:p w14:paraId="7ECB8131" w14:textId="115B6C20" w:rsidR="00020A7C" w:rsidRDefault="00020A7C" w:rsidP="00764905">
      <w:pPr>
        <w:spacing w:before="240" w:line="360" w:lineRule="auto"/>
        <w:jc w:val="both"/>
        <w:rPr>
          <w:rFonts w:ascii="Arial" w:hAnsi="Arial" w:cs="Arial"/>
          <w:sz w:val="24"/>
          <w:szCs w:val="24"/>
          <w:lang w:val="en-GB" w:eastAsia="en-GB"/>
        </w:rPr>
      </w:pPr>
    </w:p>
    <w:p w14:paraId="7B4FB960" w14:textId="6C237028" w:rsidR="00020A7C" w:rsidRDefault="00020A7C" w:rsidP="00764905">
      <w:pPr>
        <w:spacing w:before="240" w:line="360" w:lineRule="auto"/>
        <w:jc w:val="both"/>
        <w:rPr>
          <w:rFonts w:ascii="Arial" w:hAnsi="Arial" w:cs="Arial"/>
          <w:sz w:val="24"/>
          <w:szCs w:val="24"/>
          <w:lang w:val="en-GB" w:eastAsia="en-GB"/>
        </w:rPr>
      </w:pPr>
    </w:p>
    <w:p w14:paraId="269294A9" w14:textId="0819A84B" w:rsidR="00020A7C" w:rsidRDefault="00020A7C" w:rsidP="00764905">
      <w:pPr>
        <w:spacing w:before="240" w:line="360" w:lineRule="auto"/>
        <w:jc w:val="both"/>
        <w:rPr>
          <w:rFonts w:ascii="Arial" w:hAnsi="Arial" w:cs="Arial"/>
          <w:sz w:val="24"/>
          <w:szCs w:val="24"/>
          <w:lang w:val="en-GB" w:eastAsia="en-GB"/>
        </w:rPr>
      </w:pPr>
    </w:p>
    <w:p w14:paraId="5B59FAF8" w14:textId="31736E3A" w:rsidR="00020A7C" w:rsidRDefault="00020A7C" w:rsidP="00764905">
      <w:pPr>
        <w:spacing w:before="240" w:line="360" w:lineRule="auto"/>
        <w:jc w:val="both"/>
        <w:rPr>
          <w:rFonts w:ascii="Arial" w:hAnsi="Arial" w:cs="Arial"/>
          <w:sz w:val="24"/>
          <w:szCs w:val="24"/>
          <w:lang w:val="en-GB" w:eastAsia="en-GB"/>
        </w:rPr>
      </w:pPr>
    </w:p>
    <w:p w14:paraId="345876F2" w14:textId="74EE7E75" w:rsidR="00020A7C" w:rsidRDefault="00020A7C" w:rsidP="00764905">
      <w:pPr>
        <w:spacing w:before="240" w:line="360" w:lineRule="auto"/>
        <w:jc w:val="both"/>
        <w:rPr>
          <w:rFonts w:ascii="Arial" w:hAnsi="Arial" w:cs="Arial"/>
          <w:sz w:val="24"/>
          <w:szCs w:val="24"/>
          <w:lang w:val="en-GB" w:eastAsia="en-GB"/>
        </w:rPr>
      </w:pPr>
    </w:p>
    <w:p w14:paraId="7C764C61" w14:textId="1C201C27" w:rsidR="00020A7C" w:rsidRDefault="00020A7C" w:rsidP="00764905">
      <w:pPr>
        <w:spacing w:before="240" w:line="360" w:lineRule="auto"/>
        <w:jc w:val="both"/>
        <w:rPr>
          <w:rFonts w:ascii="Arial" w:hAnsi="Arial" w:cs="Arial"/>
          <w:sz w:val="24"/>
          <w:szCs w:val="24"/>
          <w:lang w:val="en-GB" w:eastAsia="en-GB"/>
        </w:rPr>
      </w:pPr>
    </w:p>
    <w:p w14:paraId="16E4BBEB" w14:textId="2910FCC8" w:rsidR="00020A7C" w:rsidRDefault="00020A7C" w:rsidP="00764905">
      <w:pPr>
        <w:spacing w:before="240" w:line="360" w:lineRule="auto"/>
        <w:jc w:val="both"/>
        <w:rPr>
          <w:rFonts w:ascii="Arial" w:hAnsi="Arial" w:cs="Arial"/>
          <w:sz w:val="24"/>
          <w:szCs w:val="24"/>
          <w:lang w:val="en-GB" w:eastAsia="en-GB"/>
        </w:rPr>
      </w:pPr>
    </w:p>
    <w:p w14:paraId="0BBE52BC" w14:textId="727CBCF4" w:rsidR="00020A7C" w:rsidRDefault="00020A7C" w:rsidP="00764905">
      <w:pPr>
        <w:spacing w:before="240" w:line="360" w:lineRule="auto"/>
        <w:jc w:val="both"/>
        <w:rPr>
          <w:rFonts w:ascii="Arial" w:hAnsi="Arial" w:cs="Arial"/>
          <w:sz w:val="24"/>
          <w:szCs w:val="24"/>
          <w:lang w:val="en-GB" w:eastAsia="en-GB"/>
        </w:rPr>
      </w:pPr>
    </w:p>
    <w:p w14:paraId="3669C41E" w14:textId="6EB652CB" w:rsidR="00020A7C" w:rsidRDefault="00020A7C" w:rsidP="00764905">
      <w:pPr>
        <w:spacing w:before="240" w:line="360" w:lineRule="auto"/>
        <w:jc w:val="both"/>
        <w:rPr>
          <w:rFonts w:ascii="Arial" w:hAnsi="Arial" w:cs="Arial"/>
          <w:sz w:val="24"/>
          <w:szCs w:val="24"/>
          <w:lang w:val="en-GB" w:eastAsia="en-GB"/>
        </w:rPr>
      </w:pPr>
    </w:p>
    <w:p w14:paraId="63933379" w14:textId="59909F77" w:rsidR="00020A7C" w:rsidRDefault="00020A7C" w:rsidP="00764905">
      <w:pPr>
        <w:spacing w:before="240" w:line="360" w:lineRule="auto"/>
        <w:jc w:val="both"/>
        <w:rPr>
          <w:rFonts w:ascii="Arial" w:hAnsi="Arial" w:cs="Arial"/>
          <w:sz w:val="24"/>
          <w:szCs w:val="24"/>
          <w:lang w:val="en-GB" w:eastAsia="en-GB"/>
        </w:rPr>
      </w:pPr>
    </w:p>
    <w:p w14:paraId="667F0AD3" w14:textId="306C7195" w:rsidR="00572CAA" w:rsidRDefault="00572CAA" w:rsidP="00764905">
      <w:pPr>
        <w:spacing w:before="240" w:line="360" w:lineRule="auto"/>
        <w:jc w:val="both"/>
        <w:rPr>
          <w:rFonts w:ascii="Arial" w:hAnsi="Arial" w:cs="Arial"/>
          <w:sz w:val="24"/>
          <w:szCs w:val="24"/>
          <w:lang w:val="en-GB" w:eastAsia="en-GB"/>
        </w:rPr>
      </w:pPr>
    </w:p>
    <w:p w14:paraId="4B4E296F" w14:textId="77777777" w:rsidR="00AA315B" w:rsidRDefault="00AA315B" w:rsidP="00764905">
      <w:pPr>
        <w:spacing w:before="240" w:line="360" w:lineRule="auto"/>
        <w:jc w:val="both"/>
        <w:rPr>
          <w:rFonts w:ascii="Arial" w:hAnsi="Arial" w:cs="Arial"/>
          <w:sz w:val="24"/>
          <w:szCs w:val="24"/>
          <w:lang w:val="en-GB" w:eastAsia="en-GB"/>
        </w:rPr>
      </w:pPr>
    </w:p>
    <w:p w14:paraId="281C5F4A" w14:textId="77777777" w:rsidR="00B213BD" w:rsidRPr="00B213BD" w:rsidRDefault="00B213BD" w:rsidP="00874FBB">
      <w:pPr>
        <w:pStyle w:val="Heading1"/>
        <w:jc w:val="center"/>
        <w:rPr>
          <w:lang w:val="en-GB" w:eastAsia="en-GB"/>
        </w:rPr>
      </w:pPr>
      <w:bookmarkStart w:id="49" w:name="_Toc239695370"/>
      <w:r w:rsidRPr="00B213BD">
        <w:rPr>
          <w:lang w:val="en-GB" w:eastAsia="en-GB"/>
        </w:rPr>
        <w:lastRenderedPageBreak/>
        <w:t>Chapter 6: Competitive Environment Analysis</w:t>
      </w:r>
      <w:bookmarkEnd w:id="49"/>
    </w:p>
    <w:p w14:paraId="4DD3C0B2" w14:textId="6B22C704" w:rsidR="00B213BD" w:rsidRPr="00B213BD" w:rsidRDefault="0051277B" w:rsidP="00874FBB">
      <w:pPr>
        <w:pStyle w:val="Heading2"/>
        <w:rPr>
          <w:lang w:val="en-GB" w:eastAsia="en-GB"/>
        </w:rPr>
      </w:pPr>
      <w:bookmarkStart w:id="50" w:name="_Toc239695371"/>
      <w:r>
        <w:rPr>
          <w:lang w:val="en-GB" w:eastAsia="en-GB"/>
        </w:rPr>
        <w:t>6.1 Introduction</w:t>
      </w:r>
      <w:bookmarkEnd w:id="50"/>
    </w:p>
    <w:p w14:paraId="31494B36" w14:textId="2A0CFA4E" w:rsidR="00874FBB" w:rsidRPr="00874FBB" w:rsidRDefault="00874FBB" w:rsidP="00874FBB">
      <w:pPr>
        <w:spacing w:before="240" w:line="360" w:lineRule="auto"/>
        <w:jc w:val="both"/>
        <w:rPr>
          <w:rFonts w:ascii="Arial" w:hAnsi="Arial" w:cs="Arial"/>
          <w:sz w:val="24"/>
          <w:szCs w:val="24"/>
          <w:lang w:val="en-GB" w:eastAsia="en-GB"/>
        </w:rPr>
      </w:pPr>
      <w:r w:rsidRPr="00874FBB">
        <w:rPr>
          <w:rFonts w:ascii="Arial" w:hAnsi="Arial" w:cs="Arial"/>
          <w:sz w:val="24"/>
          <w:szCs w:val="24"/>
          <w:lang w:val="en-GB" w:eastAsia="en-GB"/>
        </w:rPr>
        <w:t>The aim of this chapter is to assess the competitive landscape for The Ethical Bean Coffee House to be opened in Monmouth Street, Covent Garden, London. The analysis consists of a competitor analysis, Porter's Five Forces and PESTLE techniques and the evaluation of the competitive intensity, external pressures and scope for differentiation. Growth in the UK coffee-shop market is expected to persist through 2026, with the branded market growing to around £6.8 billion and 12,313 outlets by 2026, though competition is becoming more polarised, with value- and premium-oriented chains battling each other (World Coffee Portal, 2026). The aim of this chapter is then to establish whether the proposed business venture can carve out a viable niche</w:t>
      </w:r>
      <w:r>
        <w:rPr>
          <w:rFonts w:ascii="Arial" w:hAnsi="Arial" w:cs="Arial"/>
          <w:sz w:val="24"/>
          <w:szCs w:val="24"/>
          <w:lang w:val="en-GB" w:eastAsia="en-GB"/>
        </w:rPr>
        <w:t xml:space="preserve"> in the existing mature market</w:t>
      </w:r>
    </w:p>
    <w:p w14:paraId="4DB914B9" w14:textId="30113C79" w:rsidR="00874FBB" w:rsidRPr="00874FBB" w:rsidRDefault="00874FBB" w:rsidP="00874FBB">
      <w:pPr>
        <w:pStyle w:val="Heading2"/>
        <w:rPr>
          <w:lang w:val="en-GB" w:eastAsia="en-GB"/>
        </w:rPr>
      </w:pPr>
      <w:bookmarkStart w:id="51" w:name="_Toc239695372"/>
      <w:r>
        <w:rPr>
          <w:lang w:val="en-GB" w:eastAsia="en-GB"/>
        </w:rPr>
        <w:t>6.2 Competitor Analysis</w:t>
      </w:r>
      <w:bookmarkEnd w:id="51"/>
    </w:p>
    <w:p w14:paraId="126BB0F6" w14:textId="628F1210" w:rsidR="00B213BD" w:rsidRPr="00B213BD" w:rsidRDefault="00874FBB" w:rsidP="00874FBB">
      <w:pPr>
        <w:spacing w:before="240" w:line="360" w:lineRule="auto"/>
        <w:jc w:val="both"/>
        <w:rPr>
          <w:rFonts w:ascii="Arial" w:hAnsi="Arial" w:cs="Arial"/>
          <w:sz w:val="24"/>
          <w:szCs w:val="24"/>
          <w:lang w:val="en-GB" w:eastAsia="en-GB"/>
        </w:rPr>
      </w:pPr>
      <w:r w:rsidRPr="00874FBB">
        <w:rPr>
          <w:rFonts w:ascii="Arial" w:hAnsi="Arial" w:cs="Arial"/>
          <w:sz w:val="24"/>
          <w:szCs w:val="24"/>
          <w:lang w:val="en-GB" w:eastAsia="en-GB"/>
        </w:rPr>
        <w:t>Covent Garden is a very competitive specialty-coffee market. Local destination evidence highlights Monmouth Coffee Company, WatchHouse and Qima as key specialty coffee businesses in the area which demonstrates that the quality, provenance and experience are already key competitive elements of the area (Covent Garden London, 2026).</w:t>
      </w:r>
    </w:p>
    <w:p w14:paraId="175DF7EF" w14:textId="6ACE860B" w:rsidR="0051277B" w:rsidRPr="0051277B" w:rsidRDefault="0051277B" w:rsidP="0051277B">
      <w:pPr>
        <w:pStyle w:val="Caption"/>
        <w:keepNext/>
        <w:rPr>
          <w:rFonts w:ascii="Arial" w:hAnsi="Arial" w:cs="Arial"/>
          <w:sz w:val="24"/>
        </w:rPr>
      </w:pPr>
      <w:bookmarkStart w:id="52" w:name="_Toc239695423"/>
      <w:r w:rsidRPr="0051277B">
        <w:rPr>
          <w:rFonts w:ascii="Arial" w:hAnsi="Arial" w:cs="Arial"/>
          <w:sz w:val="24"/>
        </w:rPr>
        <w:t xml:space="preserve">Table </w:t>
      </w:r>
      <w:r w:rsidRPr="0051277B">
        <w:rPr>
          <w:rFonts w:ascii="Arial" w:hAnsi="Arial" w:cs="Arial"/>
          <w:sz w:val="24"/>
        </w:rPr>
        <w:fldChar w:fldCharType="begin"/>
      </w:r>
      <w:r w:rsidRPr="0051277B">
        <w:rPr>
          <w:rFonts w:ascii="Arial" w:hAnsi="Arial" w:cs="Arial"/>
          <w:sz w:val="24"/>
        </w:rPr>
        <w:instrText xml:space="preserve"> SEQ Table \* ARABIC </w:instrText>
      </w:r>
      <w:r w:rsidRPr="0051277B">
        <w:rPr>
          <w:rFonts w:ascii="Arial" w:hAnsi="Arial" w:cs="Arial"/>
          <w:sz w:val="24"/>
        </w:rPr>
        <w:fldChar w:fldCharType="separate"/>
      </w:r>
      <w:r w:rsidR="007C175A">
        <w:rPr>
          <w:rFonts w:ascii="Arial" w:hAnsi="Arial" w:cs="Arial"/>
          <w:noProof/>
          <w:sz w:val="24"/>
        </w:rPr>
        <w:t>4</w:t>
      </w:r>
      <w:r w:rsidRPr="0051277B">
        <w:rPr>
          <w:rFonts w:ascii="Arial" w:hAnsi="Arial" w:cs="Arial"/>
          <w:sz w:val="24"/>
        </w:rPr>
        <w:fldChar w:fldCharType="end"/>
      </w:r>
      <w:r w:rsidRPr="0051277B">
        <w:rPr>
          <w:rFonts w:ascii="Arial" w:hAnsi="Arial" w:cs="Arial"/>
          <w:sz w:val="24"/>
        </w:rPr>
        <w:t>: Competitor Comparison</w:t>
      </w:r>
      <w:bookmarkEnd w:id="52"/>
    </w:p>
    <w:tbl>
      <w:tblPr>
        <w:tblStyle w:val="TableGrid"/>
        <w:tblW w:w="0" w:type="auto"/>
        <w:tblLook w:val="04A0" w:firstRow="1" w:lastRow="0" w:firstColumn="1" w:lastColumn="0" w:noHBand="0" w:noVBand="1"/>
      </w:tblPr>
      <w:tblGrid>
        <w:gridCol w:w="1438"/>
        <w:gridCol w:w="1357"/>
        <w:gridCol w:w="1472"/>
        <w:gridCol w:w="1575"/>
        <w:gridCol w:w="1702"/>
        <w:gridCol w:w="1472"/>
      </w:tblGrid>
      <w:tr w:rsidR="0051277B" w:rsidRPr="0051277B" w14:paraId="6528824A" w14:textId="77777777" w:rsidTr="001560A9">
        <w:tc>
          <w:tcPr>
            <w:tcW w:w="1438" w:type="dxa"/>
          </w:tcPr>
          <w:p w14:paraId="47EF74F0"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Criteria</w:t>
            </w:r>
          </w:p>
        </w:tc>
        <w:tc>
          <w:tcPr>
            <w:tcW w:w="1357" w:type="dxa"/>
          </w:tcPr>
          <w:p w14:paraId="4865E777"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Monmouth Coffee Company</w:t>
            </w:r>
          </w:p>
        </w:tc>
        <w:tc>
          <w:tcPr>
            <w:tcW w:w="1472" w:type="dxa"/>
          </w:tcPr>
          <w:p w14:paraId="086D96A0"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WatchHouse</w:t>
            </w:r>
          </w:p>
        </w:tc>
        <w:tc>
          <w:tcPr>
            <w:tcW w:w="1575" w:type="dxa"/>
          </w:tcPr>
          <w:p w14:paraId="6F383C28"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Qima Café &amp; Pâtisserie</w:t>
            </w:r>
          </w:p>
        </w:tc>
        <w:tc>
          <w:tcPr>
            <w:tcW w:w="1702" w:type="dxa"/>
          </w:tcPr>
          <w:p w14:paraId="5B68C809"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Abuelo</w:t>
            </w:r>
          </w:p>
        </w:tc>
        <w:tc>
          <w:tcPr>
            <w:tcW w:w="1472" w:type="dxa"/>
          </w:tcPr>
          <w:p w14:paraId="5DCEE4B3" w14:textId="77777777" w:rsidR="0051277B" w:rsidRPr="00AA4C37" w:rsidRDefault="0051277B" w:rsidP="0038379F">
            <w:pPr>
              <w:spacing w:before="240" w:line="360" w:lineRule="auto"/>
              <w:jc w:val="both"/>
              <w:rPr>
                <w:rFonts w:ascii="Arial" w:hAnsi="Arial" w:cs="Arial"/>
                <w:b/>
                <w:sz w:val="24"/>
                <w:szCs w:val="24"/>
                <w:lang w:val="en-GB" w:eastAsia="en-GB"/>
              </w:rPr>
            </w:pPr>
            <w:r w:rsidRPr="00AA4C37">
              <w:rPr>
                <w:rFonts w:ascii="Arial" w:hAnsi="Arial" w:cs="Arial"/>
                <w:b/>
                <w:sz w:val="24"/>
                <w:szCs w:val="24"/>
                <w:lang w:val="en-GB" w:eastAsia="en-GB"/>
              </w:rPr>
              <w:t>The Ethical Bean Coffee House</w:t>
            </w:r>
          </w:p>
        </w:tc>
      </w:tr>
      <w:tr w:rsidR="0051277B" w:rsidRPr="0051277B" w14:paraId="35311728" w14:textId="77777777" w:rsidTr="001560A9">
        <w:tc>
          <w:tcPr>
            <w:tcW w:w="1438" w:type="dxa"/>
          </w:tcPr>
          <w:p w14:paraId="5E1B33DD"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Location</w:t>
            </w:r>
          </w:p>
        </w:tc>
        <w:tc>
          <w:tcPr>
            <w:tcW w:w="1357" w:type="dxa"/>
          </w:tcPr>
          <w:p w14:paraId="54A17D1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Monmouth Street</w:t>
            </w:r>
          </w:p>
        </w:tc>
        <w:tc>
          <w:tcPr>
            <w:tcW w:w="1472" w:type="dxa"/>
          </w:tcPr>
          <w:p w14:paraId="524923C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Southampton Street</w:t>
            </w:r>
          </w:p>
        </w:tc>
        <w:tc>
          <w:tcPr>
            <w:tcW w:w="1575" w:type="dxa"/>
          </w:tcPr>
          <w:p w14:paraId="5AEED1F3"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New Row</w:t>
            </w:r>
          </w:p>
        </w:tc>
        <w:tc>
          <w:tcPr>
            <w:tcW w:w="1702" w:type="dxa"/>
          </w:tcPr>
          <w:p w14:paraId="16F941C1"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Southampton Street</w:t>
            </w:r>
          </w:p>
        </w:tc>
        <w:tc>
          <w:tcPr>
            <w:tcW w:w="1472" w:type="dxa"/>
          </w:tcPr>
          <w:p w14:paraId="735C40DB"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Proposed: Monmouth Street</w:t>
            </w:r>
          </w:p>
        </w:tc>
      </w:tr>
      <w:tr w:rsidR="0051277B" w:rsidRPr="0051277B" w14:paraId="0F6F3206" w14:textId="77777777" w:rsidTr="001560A9">
        <w:tc>
          <w:tcPr>
            <w:tcW w:w="1438" w:type="dxa"/>
          </w:tcPr>
          <w:p w14:paraId="37522E47"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lastRenderedPageBreak/>
              <w:t>Core products</w:t>
            </w:r>
          </w:p>
        </w:tc>
        <w:tc>
          <w:tcPr>
            <w:tcW w:w="1357" w:type="dxa"/>
          </w:tcPr>
          <w:p w14:paraId="66C61DF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beans and food</w:t>
            </w:r>
          </w:p>
        </w:tc>
        <w:tc>
          <w:tcPr>
            <w:tcW w:w="1472" w:type="dxa"/>
          </w:tcPr>
          <w:p w14:paraId="5978E4E6"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seasonal drinks and brunch</w:t>
            </w:r>
          </w:p>
        </w:tc>
        <w:tc>
          <w:tcPr>
            <w:tcW w:w="1575" w:type="dxa"/>
          </w:tcPr>
          <w:p w14:paraId="0DF226A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and patisserie</w:t>
            </w:r>
          </w:p>
        </w:tc>
        <w:tc>
          <w:tcPr>
            <w:tcW w:w="1702" w:type="dxa"/>
          </w:tcPr>
          <w:p w14:paraId="1DC2432B"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and food</w:t>
            </w:r>
          </w:p>
        </w:tc>
        <w:tc>
          <w:tcPr>
            <w:tcW w:w="1472" w:type="dxa"/>
          </w:tcPr>
          <w:p w14:paraId="40978251"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Specialty coffee, beverages and concise food</w:t>
            </w:r>
          </w:p>
        </w:tc>
      </w:tr>
      <w:tr w:rsidR="0051277B" w:rsidRPr="0051277B" w14:paraId="766D09C5" w14:textId="77777777" w:rsidTr="001560A9">
        <w:tc>
          <w:tcPr>
            <w:tcW w:w="1438" w:type="dxa"/>
          </w:tcPr>
          <w:p w14:paraId="37DEC66E"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Target customers</w:t>
            </w:r>
          </w:p>
        </w:tc>
        <w:tc>
          <w:tcPr>
            <w:tcW w:w="1357" w:type="dxa"/>
          </w:tcPr>
          <w:p w14:paraId="786F30EA"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Coffee enthusiasts and specialty consumers</w:t>
            </w:r>
          </w:p>
        </w:tc>
        <w:tc>
          <w:tcPr>
            <w:tcW w:w="1472" w:type="dxa"/>
          </w:tcPr>
          <w:p w14:paraId="5CB481B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Premium coffee, brunch and experience consumers</w:t>
            </w:r>
          </w:p>
        </w:tc>
        <w:tc>
          <w:tcPr>
            <w:tcW w:w="1575" w:type="dxa"/>
          </w:tcPr>
          <w:p w14:paraId="13E1E58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Luxury and provenance-conscious consumers</w:t>
            </w:r>
          </w:p>
        </w:tc>
        <w:tc>
          <w:tcPr>
            <w:tcW w:w="1702" w:type="dxa"/>
          </w:tcPr>
          <w:p w14:paraId="5C2F833F"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Café and food consumers</w:t>
            </w:r>
          </w:p>
        </w:tc>
        <w:tc>
          <w:tcPr>
            <w:tcW w:w="1472" w:type="dxa"/>
          </w:tcPr>
          <w:p w14:paraId="25CAF6D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Ethical specialty consumers, professionals and visitors</w:t>
            </w:r>
          </w:p>
        </w:tc>
      </w:tr>
      <w:tr w:rsidR="0051277B" w:rsidRPr="0051277B" w14:paraId="745C1A97" w14:textId="77777777" w:rsidTr="001560A9">
        <w:tc>
          <w:tcPr>
            <w:tcW w:w="1438" w:type="dxa"/>
          </w:tcPr>
          <w:p w14:paraId="501CBF14"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Customer experience</w:t>
            </w:r>
          </w:p>
        </w:tc>
        <w:tc>
          <w:tcPr>
            <w:tcW w:w="1357" w:type="dxa"/>
          </w:tcPr>
          <w:p w14:paraId="79DB4D7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Specialist and coffee-focused</w:t>
            </w:r>
          </w:p>
        </w:tc>
        <w:tc>
          <w:tcPr>
            <w:tcW w:w="1472" w:type="dxa"/>
          </w:tcPr>
          <w:p w14:paraId="6D388B7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Design-led and experience-oriented</w:t>
            </w:r>
          </w:p>
        </w:tc>
        <w:tc>
          <w:tcPr>
            <w:tcW w:w="1575" w:type="dxa"/>
          </w:tcPr>
          <w:p w14:paraId="2D4BA3D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Premium and provenance-focused</w:t>
            </w:r>
          </w:p>
        </w:tc>
        <w:tc>
          <w:tcPr>
            <w:tcW w:w="1702" w:type="dxa"/>
          </w:tcPr>
          <w:p w14:paraId="49D9EEFC"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Food and café experience</w:t>
            </w:r>
          </w:p>
        </w:tc>
        <w:tc>
          <w:tcPr>
            <w:tcW w:w="1472" w:type="dxa"/>
          </w:tcPr>
          <w:p w14:paraId="48B21F00"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Personalised, ethical and experience-led</w:t>
            </w:r>
          </w:p>
        </w:tc>
      </w:tr>
      <w:tr w:rsidR="0051277B" w:rsidRPr="0051277B" w14:paraId="67A740D4" w14:textId="77777777" w:rsidTr="001560A9">
        <w:tc>
          <w:tcPr>
            <w:tcW w:w="1438" w:type="dxa"/>
          </w:tcPr>
          <w:p w14:paraId="0C74F9A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Sustainability positioning</w:t>
            </w:r>
          </w:p>
        </w:tc>
        <w:tc>
          <w:tcPr>
            <w:tcW w:w="1357" w:type="dxa"/>
          </w:tcPr>
          <w:p w14:paraId="7E9A83F6"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Responsible sourcing</w:t>
            </w:r>
          </w:p>
        </w:tc>
        <w:tc>
          <w:tcPr>
            <w:tcW w:w="1472" w:type="dxa"/>
          </w:tcPr>
          <w:p w14:paraId="08C55DB8"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Ethical and transparent supply chains</w:t>
            </w:r>
          </w:p>
        </w:tc>
        <w:tc>
          <w:tcPr>
            <w:tcW w:w="1575" w:type="dxa"/>
          </w:tcPr>
          <w:p w14:paraId="16A91E4F"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Strong provenance and ethical sourcing</w:t>
            </w:r>
          </w:p>
        </w:tc>
        <w:tc>
          <w:tcPr>
            <w:tcW w:w="1702" w:type="dxa"/>
          </w:tcPr>
          <w:p w14:paraId="70FC7498"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Ethical/specialty orientation</w:t>
            </w:r>
          </w:p>
        </w:tc>
        <w:tc>
          <w:tcPr>
            <w:tcW w:w="1472" w:type="dxa"/>
          </w:tcPr>
          <w:p w14:paraId="2011D864"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Central proposition</w:t>
            </w:r>
          </w:p>
        </w:tc>
      </w:tr>
      <w:tr w:rsidR="0051277B" w:rsidRPr="0051277B" w14:paraId="43629F9F" w14:textId="77777777" w:rsidTr="001560A9">
        <w:tc>
          <w:tcPr>
            <w:tcW w:w="1438" w:type="dxa"/>
          </w:tcPr>
          <w:p w14:paraId="166EF051"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Main strengths</w:t>
            </w:r>
          </w:p>
        </w:tc>
        <w:tc>
          <w:tcPr>
            <w:tcW w:w="1357" w:type="dxa"/>
          </w:tcPr>
          <w:p w14:paraId="39060B1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Heritage, reputation and sourcing expertise</w:t>
            </w:r>
          </w:p>
        </w:tc>
        <w:tc>
          <w:tcPr>
            <w:tcW w:w="1472" w:type="dxa"/>
          </w:tcPr>
          <w:p w14:paraId="37E49659"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Strong brand, experience and brunch</w:t>
            </w:r>
          </w:p>
        </w:tc>
        <w:tc>
          <w:tcPr>
            <w:tcW w:w="1575" w:type="dxa"/>
          </w:tcPr>
          <w:p w14:paraId="5768AD1F"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Rare coffee and provenance</w:t>
            </w:r>
          </w:p>
        </w:tc>
        <w:tc>
          <w:tcPr>
            <w:tcW w:w="1702" w:type="dxa"/>
          </w:tcPr>
          <w:p w14:paraId="65C66177"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Food and coffee combination</w:t>
            </w:r>
          </w:p>
        </w:tc>
        <w:tc>
          <w:tcPr>
            <w:tcW w:w="1472" w:type="dxa"/>
          </w:tcPr>
          <w:p w14:paraId="0695FEF5"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Flexible independent model</w:t>
            </w:r>
          </w:p>
        </w:tc>
      </w:tr>
      <w:tr w:rsidR="0051277B" w:rsidRPr="0051277B" w14:paraId="4D37A0CC" w14:textId="77777777" w:rsidTr="001560A9">
        <w:tc>
          <w:tcPr>
            <w:tcW w:w="1438" w:type="dxa"/>
          </w:tcPr>
          <w:p w14:paraId="39926D74"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Main weaknesses</w:t>
            </w:r>
          </w:p>
        </w:tc>
        <w:tc>
          <w:tcPr>
            <w:tcW w:w="1357" w:type="dxa"/>
          </w:tcPr>
          <w:p w14:paraId="417DDB0D"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 xml:space="preserve">Established specialist </w:t>
            </w:r>
            <w:r w:rsidRPr="0051277B">
              <w:rPr>
                <w:rFonts w:ascii="Arial" w:hAnsi="Arial" w:cs="Arial"/>
                <w:sz w:val="24"/>
                <w:szCs w:val="24"/>
                <w:lang w:val="en-GB" w:eastAsia="en-GB"/>
              </w:rPr>
              <w:lastRenderedPageBreak/>
              <w:t>positioning</w:t>
            </w:r>
          </w:p>
        </w:tc>
        <w:tc>
          <w:tcPr>
            <w:tcW w:w="1472" w:type="dxa"/>
          </w:tcPr>
          <w:p w14:paraId="14494862"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lastRenderedPageBreak/>
              <w:t>Premium positioning and strong competition</w:t>
            </w:r>
          </w:p>
        </w:tc>
        <w:tc>
          <w:tcPr>
            <w:tcW w:w="1575" w:type="dxa"/>
          </w:tcPr>
          <w:p w14:paraId="5A6A9617"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Highly premium/niche proposition</w:t>
            </w:r>
          </w:p>
        </w:tc>
        <w:tc>
          <w:tcPr>
            <w:tcW w:w="1702" w:type="dxa"/>
          </w:tcPr>
          <w:p w14:paraId="460CDCED"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Less distinctive positioning</w:t>
            </w:r>
          </w:p>
        </w:tc>
        <w:tc>
          <w:tcPr>
            <w:tcW w:w="1472" w:type="dxa"/>
          </w:tcPr>
          <w:p w14:paraId="76845180" w14:textId="77777777" w:rsidR="0051277B" w:rsidRPr="0051277B" w:rsidRDefault="0051277B" w:rsidP="0038379F">
            <w:pPr>
              <w:spacing w:before="240" w:line="360" w:lineRule="auto"/>
              <w:jc w:val="both"/>
              <w:rPr>
                <w:rFonts w:ascii="Arial" w:hAnsi="Arial" w:cs="Arial"/>
                <w:sz w:val="24"/>
                <w:szCs w:val="24"/>
                <w:lang w:val="en-GB" w:eastAsia="en-GB"/>
              </w:rPr>
            </w:pPr>
            <w:r w:rsidRPr="0051277B">
              <w:rPr>
                <w:rFonts w:ascii="Arial" w:hAnsi="Arial" w:cs="Arial"/>
                <w:sz w:val="24"/>
                <w:szCs w:val="24"/>
                <w:lang w:val="en-GB" w:eastAsia="en-GB"/>
              </w:rPr>
              <w:t>New brand and limited scale</w:t>
            </w:r>
          </w:p>
        </w:tc>
      </w:tr>
    </w:tbl>
    <w:p w14:paraId="3C5836A3" w14:textId="11F30E63"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lastRenderedPageBreak/>
        <w:t>Monmouth is certainly one of the biggest direct competitors as they have been in Covent Garden for a long time and specialise in single origin coffee and filter. According to the destination guide, Monmouth is a leading force in the specialty-coffee movement within London, and known to the coffee community for its responsibly sourced coffee (Covent Garden London, 2026). Additionally, it is of great competitive concern because it is in the immediate vicinity of the proposed site in Monmouth Street</w:t>
      </w:r>
      <w:r>
        <w:rPr>
          <w:rFonts w:ascii="Arial" w:hAnsi="Arial" w:cs="Arial"/>
          <w:sz w:val="24"/>
          <w:szCs w:val="24"/>
          <w:lang w:val="en-GB" w:eastAsia="en-GB"/>
        </w:rPr>
        <w:t>.</w:t>
      </w:r>
    </w:p>
    <w:p w14:paraId="4CBF8AB0" w14:textId="73B9AFD8"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Watch House is another great indicator, as it's a specialty coffee paired with a wider hospitality offering. The brand's location in Covent Garden, at 28–29 Southampton Street, allows them to host high-end specialty equipment, custom brew bar, brunch and outdoor seating, and create a brand-new, immersive experience around coffee (Watch House, 2026a). Additionally, its extensive footprint in London increases brand awareness and operational expertise over a new, indepe</w:t>
      </w:r>
      <w:r>
        <w:rPr>
          <w:rFonts w:ascii="Arial" w:hAnsi="Arial" w:cs="Arial"/>
          <w:sz w:val="24"/>
          <w:szCs w:val="24"/>
          <w:lang w:val="en-GB" w:eastAsia="en-GB"/>
        </w:rPr>
        <w:t>ndent café (Watch House, 2026b)</w:t>
      </w:r>
    </w:p>
    <w:p w14:paraId="6B0BFFA3" w14:textId="66205986"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This is important to the proposed ethical positioning of Qima. It curates the rare coffee, provenance and a premium coffee experience in its Covent Garden offering. Its unique Yemeni coffee and its positioning on the connection between coffee country and the cup (Covent Garden London, 2026) are emphasised with local destination information. This illustrates that sourcing and/or provenance alone do not constitute a</w:t>
      </w:r>
      <w:r>
        <w:rPr>
          <w:rFonts w:ascii="Arial" w:hAnsi="Arial" w:cs="Arial"/>
          <w:sz w:val="24"/>
          <w:szCs w:val="24"/>
          <w:lang w:val="en-GB" w:eastAsia="en-GB"/>
        </w:rPr>
        <w:t xml:space="preserve"> unique advantage to the brand</w:t>
      </w:r>
    </w:p>
    <w:p w14:paraId="2BC8CAB1" w14:textId="18798682" w:rsidR="001560A9" w:rsidRPr="001560A9" w:rsidRDefault="001560A9" w:rsidP="001560A9">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Watch House’s present brunch menu also shows the high dollar quality environment. For instance, it offers sourdough toast for £4.80 and porridge for £6.90 and pancakes for £14.50 to £15.50 (Watch House, 2026c). This is a good yardstick for the pricing of The Ethical Bean's proposed premium option that will be accessible to ev</w:t>
      </w:r>
      <w:r>
        <w:rPr>
          <w:rFonts w:ascii="Arial" w:hAnsi="Arial" w:cs="Arial"/>
          <w:sz w:val="24"/>
          <w:szCs w:val="24"/>
          <w:lang w:val="en-GB" w:eastAsia="en-GB"/>
        </w:rPr>
        <w:t>eryone</w:t>
      </w:r>
    </w:p>
    <w:p w14:paraId="5FF7F44E" w14:textId="6BB61B06" w:rsidR="00B213BD" w:rsidRPr="00B213BD" w:rsidRDefault="001560A9" w:rsidP="00B213BD">
      <w:pPr>
        <w:spacing w:before="240" w:line="360" w:lineRule="auto"/>
        <w:jc w:val="both"/>
        <w:rPr>
          <w:rFonts w:ascii="Arial" w:hAnsi="Arial" w:cs="Arial"/>
          <w:sz w:val="24"/>
          <w:szCs w:val="24"/>
          <w:lang w:val="en-GB" w:eastAsia="en-GB"/>
        </w:rPr>
      </w:pPr>
      <w:r w:rsidRPr="001560A9">
        <w:rPr>
          <w:rFonts w:ascii="Arial" w:hAnsi="Arial" w:cs="Arial"/>
          <w:sz w:val="24"/>
          <w:szCs w:val="24"/>
          <w:lang w:val="en-GB" w:eastAsia="en-GB"/>
        </w:rPr>
        <w:t xml:space="preserve">No reliable data on individual market-share for each of the cafés in Covent Garden was found. Thus it would be inappropriate to give unsupported percentages to opponents. Rather, competitive strength is measured by location, product range and breadth, pricing, brand, customer experience, sourcing credentials and operational scale. This is suitable as industry-level reports offer market and operator information, </w:t>
      </w:r>
      <w:r w:rsidRPr="001560A9">
        <w:rPr>
          <w:rFonts w:ascii="Arial" w:hAnsi="Arial" w:cs="Arial"/>
          <w:sz w:val="24"/>
          <w:szCs w:val="24"/>
          <w:lang w:val="en-GB" w:eastAsia="en-GB"/>
        </w:rPr>
        <w:lastRenderedPageBreak/>
        <w:t>which is not necessarily indicative of sales shares of individual independent cafés (World Coffee Portal, 2026).</w:t>
      </w:r>
      <w:r w:rsidRPr="00B213BD">
        <w:rPr>
          <w:rFonts w:ascii="Arial" w:hAnsi="Arial" w:cs="Arial"/>
          <w:sz w:val="24"/>
          <w:szCs w:val="24"/>
          <w:lang w:val="en-GB" w:eastAsia="en-GB"/>
        </w:rPr>
        <w:t xml:space="preserve"> </w:t>
      </w:r>
    </w:p>
    <w:p w14:paraId="0E2F304C" w14:textId="194C9C42" w:rsidR="00B213BD" w:rsidRPr="00B213BD" w:rsidRDefault="006F1D89" w:rsidP="007B159C">
      <w:pPr>
        <w:pStyle w:val="Heading2"/>
        <w:rPr>
          <w:lang w:val="en-GB" w:eastAsia="en-GB"/>
        </w:rPr>
      </w:pPr>
      <w:bookmarkStart w:id="53" w:name="_Toc239695373"/>
      <w:r>
        <w:rPr>
          <w:lang w:val="en-GB" w:eastAsia="en-GB"/>
        </w:rPr>
        <w:t>6.3 Porter’s Five Force</w:t>
      </w:r>
      <w:bookmarkEnd w:id="53"/>
    </w:p>
    <w:p w14:paraId="545F726D" w14:textId="21C39604"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Porter’s Five Forces evaluates the structural pressures affecting industry attractiveness and profitabilit</w:t>
      </w:r>
      <w:r w:rsidR="006F1D89">
        <w:rPr>
          <w:rFonts w:ascii="Arial" w:hAnsi="Arial" w:cs="Arial"/>
          <w:sz w:val="24"/>
          <w:szCs w:val="24"/>
          <w:lang w:val="en-GB" w:eastAsia="en-GB"/>
        </w:rPr>
        <w:t>y (Porter, 1980; Porter, 2008).</w:t>
      </w:r>
    </w:p>
    <w:p w14:paraId="2B308233" w14:textId="01FF7342" w:rsidR="006F1D89" w:rsidRPr="006F1D89" w:rsidRDefault="006F1D89" w:rsidP="006F1D89">
      <w:pPr>
        <w:pStyle w:val="Caption"/>
        <w:keepNext/>
        <w:jc w:val="both"/>
        <w:rPr>
          <w:rFonts w:ascii="Arial" w:hAnsi="Arial" w:cs="Arial"/>
          <w:sz w:val="24"/>
        </w:rPr>
      </w:pPr>
      <w:bookmarkStart w:id="54" w:name="_Toc239695424"/>
      <w:r w:rsidRPr="006F1D89">
        <w:rPr>
          <w:rFonts w:ascii="Arial" w:hAnsi="Arial" w:cs="Arial"/>
          <w:sz w:val="24"/>
        </w:rPr>
        <w:t xml:space="preserve">Table </w:t>
      </w:r>
      <w:r w:rsidRPr="006F1D89">
        <w:rPr>
          <w:rFonts w:ascii="Arial" w:hAnsi="Arial" w:cs="Arial"/>
          <w:sz w:val="24"/>
        </w:rPr>
        <w:fldChar w:fldCharType="begin"/>
      </w:r>
      <w:r w:rsidRPr="006F1D89">
        <w:rPr>
          <w:rFonts w:ascii="Arial" w:hAnsi="Arial" w:cs="Arial"/>
          <w:sz w:val="24"/>
        </w:rPr>
        <w:instrText xml:space="preserve"> SEQ Table \* ARABIC </w:instrText>
      </w:r>
      <w:r w:rsidRPr="006F1D89">
        <w:rPr>
          <w:rFonts w:ascii="Arial" w:hAnsi="Arial" w:cs="Arial"/>
          <w:sz w:val="24"/>
        </w:rPr>
        <w:fldChar w:fldCharType="separate"/>
      </w:r>
      <w:r w:rsidR="007C175A">
        <w:rPr>
          <w:rFonts w:ascii="Arial" w:hAnsi="Arial" w:cs="Arial"/>
          <w:noProof/>
          <w:sz w:val="24"/>
        </w:rPr>
        <w:t>5</w:t>
      </w:r>
      <w:r w:rsidRPr="006F1D89">
        <w:rPr>
          <w:rFonts w:ascii="Arial" w:hAnsi="Arial" w:cs="Arial"/>
          <w:sz w:val="24"/>
        </w:rPr>
        <w:fldChar w:fldCharType="end"/>
      </w:r>
      <w:r w:rsidRPr="006F1D89">
        <w:rPr>
          <w:rFonts w:ascii="Arial" w:hAnsi="Arial" w:cs="Arial"/>
          <w:sz w:val="24"/>
        </w:rPr>
        <w:t>: Five Forces Assessment</w:t>
      </w:r>
      <w:bookmarkEnd w:id="54"/>
    </w:p>
    <w:tbl>
      <w:tblPr>
        <w:tblStyle w:val="TableGrid"/>
        <w:tblW w:w="0" w:type="auto"/>
        <w:tblLook w:val="04A0" w:firstRow="1" w:lastRow="0" w:firstColumn="1" w:lastColumn="0" w:noHBand="0" w:noVBand="1"/>
      </w:tblPr>
      <w:tblGrid>
        <w:gridCol w:w="3005"/>
        <w:gridCol w:w="3005"/>
        <w:gridCol w:w="3006"/>
      </w:tblGrid>
      <w:tr w:rsidR="006F1D89" w:rsidRPr="006F1D89" w14:paraId="629AB82E" w14:textId="77777777" w:rsidTr="006F1D89">
        <w:tc>
          <w:tcPr>
            <w:tcW w:w="3005" w:type="dxa"/>
          </w:tcPr>
          <w:p w14:paraId="7EF44068" w14:textId="77777777" w:rsidR="006F1D89" w:rsidRPr="007B159C" w:rsidRDefault="006F1D89" w:rsidP="0038379F">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Force</w:t>
            </w:r>
          </w:p>
        </w:tc>
        <w:tc>
          <w:tcPr>
            <w:tcW w:w="3005" w:type="dxa"/>
          </w:tcPr>
          <w:p w14:paraId="7B57D861" w14:textId="77777777" w:rsidR="006F1D89" w:rsidRPr="007B159C" w:rsidRDefault="006F1D89" w:rsidP="0038379F">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Rating</w:t>
            </w:r>
          </w:p>
        </w:tc>
        <w:tc>
          <w:tcPr>
            <w:tcW w:w="3006" w:type="dxa"/>
          </w:tcPr>
          <w:p w14:paraId="7414F227" w14:textId="77777777" w:rsidR="006F1D89" w:rsidRPr="007B159C" w:rsidRDefault="006F1D89" w:rsidP="0038379F">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Evidence and strategic implication</w:t>
            </w:r>
          </w:p>
        </w:tc>
      </w:tr>
      <w:tr w:rsidR="006F1D89" w:rsidRPr="006F1D89" w14:paraId="461B1D47" w14:textId="77777777" w:rsidTr="006F1D89">
        <w:tc>
          <w:tcPr>
            <w:tcW w:w="3005" w:type="dxa"/>
          </w:tcPr>
          <w:p w14:paraId="649899D8"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Competitive rivalry</w:t>
            </w:r>
          </w:p>
        </w:tc>
        <w:tc>
          <w:tcPr>
            <w:tcW w:w="3005" w:type="dxa"/>
          </w:tcPr>
          <w:p w14:paraId="4D52EB34"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Very high</w:t>
            </w:r>
          </w:p>
        </w:tc>
        <w:tc>
          <w:tcPr>
            <w:tcW w:w="3006" w:type="dxa"/>
          </w:tcPr>
          <w:p w14:paraId="01160DC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Multiple specialty and mainstream cafés compete within a concentrated area. Monmouth, WatchHouse and Qima already compete through quality, experience and provenance (Covent Garden London, 2026).</w:t>
            </w:r>
          </w:p>
        </w:tc>
      </w:tr>
      <w:tr w:rsidR="006F1D89" w:rsidRPr="006F1D89" w14:paraId="5B310BDC" w14:textId="77777777" w:rsidTr="006F1D89">
        <w:tc>
          <w:tcPr>
            <w:tcW w:w="3005" w:type="dxa"/>
          </w:tcPr>
          <w:p w14:paraId="193EF70D"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Buyer power</w:t>
            </w:r>
          </w:p>
        </w:tc>
        <w:tc>
          <w:tcPr>
            <w:tcW w:w="3005" w:type="dxa"/>
          </w:tcPr>
          <w:p w14:paraId="1F986CE4"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High</w:t>
            </w:r>
          </w:p>
        </w:tc>
        <w:tc>
          <w:tcPr>
            <w:tcW w:w="3006" w:type="dxa"/>
          </w:tcPr>
          <w:p w14:paraId="35961F0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Customers have numerous nearby alternatives and face minimal switching costs.</w:t>
            </w:r>
          </w:p>
        </w:tc>
      </w:tr>
      <w:tr w:rsidR="006F1D89" w:rsidRPr="006F1D89" w14:paraId="34D20E53" w14:textId="77777777" w:rsidTr="006F1D89">
        <w:tc>
          <w:tcPr>
            <w:tcW w:w="3005" w:type="dxa"/>
          </w:tcPr>
          <w:p w14:paraId="03A0D93B"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Threat of substitutes</w:t>
            </w:r>
          </w:p>
        </w:tc>
        <w:tc>
          <w:tcPr>
            <w:tcW w:w="3005" w:type="dxa"/>
          </w:tcPr>
          <w:p w14:paraId="4CBA6BE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High</w:t>
            </w:r>
          </w:p>
        </w:tc>
        <w:tc>
          <w:tcPr>
            <w:tcW w:w="3006" w:type="dxa"/>
          </w:tcPr>
          <w:p w14:paraId="26CA2AA0"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Home brewing, workplace coffee, convenience coffee, food outlets and chain cafés provide readily available alternatives.</w:t>
            </w:r>
          </w:p>
        </w:tc>
      </w:tr>
      <w:tr w:rsidR="006F1D89" w:rsidRPr="006F1D89" w14:paraId="04FBAE96" w14:textId="77777777" w:rsidTr="006F1D89">
        <w:tc>
          <w:tcPr>
            <w:tcW w:w="3005" w:type="dxa"/>
          </w:tcPr>
          <w:p w14:paraId="797C4397"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lastRenderedPageBreak/>
              <w:t>Threat of new entrants</w:t>
            </w:r>
          </w:p>
        </w:tc>
        <w:tc>
          <w:tcPr>
            <w:tcW w:w="3005" w:type="dxa"/>
          </w:tcPr>
          <w:p w14:paraId="2F39F5F6"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Moderate</w:t>
            </w:r>
          </w:p>
        </w:tc>
        <w:tc>
          <w:tcPr>
            <w:tcW w:w="3006" w:type="dxa"/>
          </w:tcPr>
          <w:p w14:paraId="5D9DACD1"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Small cafés can enter without the scale of major chains, but central-London premises, staffing, equipment, compliance and intense competition increase entry barriers.</w:t>
            </w:r>
          </w:p>
        </w:tc>
      </w:tr>
      <w:tr w:rsidR="006F1D89" w:rsidRPr="006F1D89" w14:paraId="07F4B04C" w14:textId="77777777" w:rsidTr="006F1D89">
        <w:tc>
          <w:tcPr>
            <w:tcW w:w="3005" w:type="dxa"/>
          </w:tcPr>
          <w:p w14:paraId="4665701B"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Supplier power</w:t>
            </w:r>
          </w:p>
        </w:tc>
        <w:tc>
          <w:tcPr>
            <w:tcW w:w="3005" w:type="dxa"/>
          </w:tcPr>
          <w:p w14:paraId="3C8A9DD1"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Moderate</w:t>
            </w:r>
          </w:p>
        </w:tc>
        <w:tc>
          <w:tcPr>
            <w:tcW w:w="3006" w:type="dxa"/>
          </w:tcPr>
          <w:p w14:paraId="2CD524E2" w14:textId="77777777" w:rsidR="006F1D89" w:rsidRPr="006F1D89" w:rsidRDefault="006F1D89" w:rsidP="0038379F">
            <w:pPr>
              <w:spacing w:before="240" w:line="360" w:lineRule="auto"/>
              <w:jc w:val="both"/>
              <w:rPr>
                <w:rFonts w:ascii="Arial" w:hAnsi="Arial" w:cs="Arial"/>
                <w:sz w:val="24"/>
                <w:szCs w:val="24"/>
                <w:lang w:val="en-GB" w:eastAsia="en-GB"/>
              </w:rPr>
            </w:pPr>
            <w:r w:rsidRPr="006F1D89">
              <w:rPr>
                <w:rFonts w:ascii="Arial" w:hAnsi="Arial" w:cs="Arial"/>
                <w:sz w:val="24"/>
                <w:szCs w:val="24"/>
                <w:lang w:val="en-GB" w:eastAsia="en-GB"/>
              </w:rPr>
              <w:t>Specialty and ethical coffee can create quality and sourcing dependencies, but alternative roasters and producers can reduce concentration risk.</w:t>
            </w:r>
          </w:p>
        </w:tc>
      </w:tr>
    </w:tbl>
    <w:p w14:paraId="59D23B86" w14:textId="77777777" w:rsidR="00B213BD" w:rsidRPr="00B213BD" w:rsidRDefault="00B213BD" w:rsidP="00B213BD">
      <w:pPr>
        <w:spacing w:before="240" w:line="360" w:lineRule="auto"/>
        <w:jc w:val="both"/>
        <w:rPr>
          <w:rFonts w:ascii="Arial" w:hAnsi="Arial" w:cs="Arial"/>
          <w:sz w:val="24"/>
          <w:szCs w:val="24"/>
          <w:lang w:val="en-GB" w:eastAsia="en-GB"/>
        </w:rPr>
      </w:pPr>
    </w:p>
    <w:p w14:paraId="6B986431" w14:textId="39D19F6E"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Competition is strong, especially given the continuing growth of the UK market and the increasing competition from operators based on premium quality, hospitality and differentiated experiences (World Coffee Portal, 2026). This pressure is further exacerbated by the clustering of s</w:t>
      </w:r>
      <w:r>
        <w:rPr>
          <w:rFonts w:ascii="Arial" w:hAnsi="Arial" w:cs="Arial"/>
          <w:sz w:val="24"/>
          <w:szCs w:val="24"/>
          <w:lang w:val="en-GB" w:eastAsia="en-GB"/>
        </w:rPr>
        <w:t>pecialty operators in the area.</w:t>
      </w:r>
    </w:p>
    <w:p w14:paraId="0AE52330" w14:textId="36F4236B"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High buyer power because the value of the underlying product (coffee) is easily measurable and replaceable. Switching between operators is relatively cheap and easy for customers. This aligns with the broader market landscape where consumers are more empowered than ever and are mindful of value for mon</w:t>
      </w:r>
      <w:r>
        <w:rPr>
          <w:rFonts w:ascii="Arial" w:hAnsi="Arial" w:cs="Arial"/>
          <w:sz w:val="24"/>
          <w:szCs w:val="24"/>
          <w:lang w:val="en-GB" w:eastAsia="en-GB"/>
        </w:rPr>
        <w:t>ey (World Coffee Portal, 2025).</w:t>
      </w:r>
    </w:p>
    <w:p w14:paraId="1383A655" w14:textId="77777777"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The threat of substitutes is also high. Customers can make their own coffee at home or at work, buy it from most supermarkets and convenience stores or choose to go to other cafes. Thus, The Ethical Bean must provide more than product value, in terms of service, experience and trustworthy ethical qualities.</w:t>
      </w:r>
    </w:p>
    <w:p w14:paraId="3C90BFB4" w14:textId="77777777" w:rsidR="007B159C" w:rsidRPr="007B159C" w:rsidRDefault="007B159C" w:rsidP="007B159C">
      <w:pPr>
        <w:spacing w:before="240" w:line="360" w:lineRule="auto"/>
        <w:jc w:val="both"/>
        <w:rPr>
          <w:rFonts w:ascii="Arial" w:hAnsi="Arial" w:cs="Arial"/>
          <w:sz w:val="24"/>
          <w:szCs w:val="24"/>
          <w:lang w:val="en-GB" w:eastAsia="en-GB"/>
        </w:rPr>
      </w:pPr>
    </w:p>
    <w:p w14:paraId="32988840" w14:textId="5963DBF6" w:rsidR="00B213BD" w:rsidRPr="00B213BD"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lastRenderedPageBreak/>
        <w:t>Supplier power is considered to be moderate. Ethical and specialty sourcing can include higher-quality standards and reliance on specific roasters or producers. But supplier diversification and several relationships with suppliers can minimize dependency. This is significant because independent coffee shops typically lack the economies of scale of large chains, making them more vulnerable to cost pressures from their inputs (World Coffee Portal, 2026).</w:t>
      </w:r>
    </w:p>
    <w:p w14:paraId="119BC1E6" w14:textId="3CF181C8" w:rsidR="00B213BD" w:rsidRPr="00B213BD" w:rsidRDefault="00B12DD9" w:rsidP="007B159C">
      <w:pPr>
        <w:pStyle w:val="Heading2"/>
        <w:rPr>
          <w:lang w:val="en-GB" w:eastAsia="en-GB"/>
        </w:rPr>
      </w:pPr>
      <w:bookmarkStart w:id="55" w:name="_Toc239695374"/>
      <w:r>
        <w:rPr>
          <w:lang w:val="en-GB" w:eastAsia="en-GB"/>
        </w:rPr>
        <w:t>6.4 PESTLE Analysis</w:t>
      </w:r>
      <w:bookmarkEnd w:id="55"/>
    </w:p>
    <w:p w14:paraId="3935C556" w14:textId="26BA65A8" w:rsidR="00B12DD9" w:rsidRPr="00B12DD9" w:rsidRDefault="00B12DD9" w:rsidP="00B12DD9">
      <w:pPr>
        <w:pStyle w:val="Caption"/>
        <w:keepNext/>
        <w:jc w:val="both"/>
        <w:rPr>
          <w:rFonts w:ascii="Arial" w:hAnsi="Arial" w:cs="Arial"/>
          <w:sz w:val="24"/>
        </w:rPr>
      </w:pPr>
      <w:bookmarkStart w:id="56" w:name="_Toc239695425"/>
      <w:r w:rsidRPr="00B12DD9">
        <w:rPr>
          <w:rFonts w:ascii="Arial" w:hAnsi="Arial" w:cs="Arial"/>
          <w:sz w:val="24"/>
        </w:rPr>
        <w:t xml:space="preserve">Table </w:t>
      </w:r>
      <w:r w:rsidRPr="00B12DD9">
        <w:rPr>
          <w:rFonts w:ascii="Arial" w:hAnsi="Arial" w:cs="Arial"/>
          <w:sz w:val="24"/>
        </w:rPr>
        <w:fldChar w:fldCharType="begin"/>
      </w:r>
      <w:r w:rsidRPr="00B12DD9">
        <w:rPr>
          <w:rFonts w:ascii="Arial" w:hAnsi="Arial" w:cs="Arial"/>
          <w:sz w:val="24"/>
        </w:rPr>
        <w:instrText xml:space="preserve"> SEQ Table \* ARABIC </w:instrText>
      </w:r>
      <w:r w:rsidRPr="00B12DD9">
        <w:rPr>
          <w:rFonts w:ascii="Arial" w:hAnsi="Arial" w:cs="Arial"/>
          <w:sz w:val="24"/>
        </w:rPr>
        <w:fldChar w:fldCharType="separate"/>
      </w:r>
      <w:r w:rsidR="007C175A">
        <w:rPr>
          <w:rFonts w:ascii="Arial" w:hAnsi="Arial" w:cs="Arial"/>
          <w:noProof/>
          <w:sz w:val="24"/>
        </w:rPr>
        <w:t>6</w:t>
      </w:r>
      <w:r w:rsidRPr="00B12DD9">
        <w:rPr>
          <w:rFonts w:ascii="Arial" w:hAnsi="Arial" w:cs="Arial"/>
          <w:sz w:val="24"/>
        </w:rPr>
        <w:fldChar w:fldCharType="end"/>
      </w:r>
      <w:r w:rsidRPr="00B12DD9">
        <w:rPr>
          <w:rFonts w:ascii="Arial" w:hAnsi="Arial" w:cs="Arial"/>
          <w:sz w:val="24"/>
        </w:rPr>
        <w:t>: PESTLE Analysis</w:t>
      </w:r>
      <w:bookmarkEnd w:id="56"/>
    </w:p>
    <w:tbl>
      <w:tblPr>
        <w:tblStyle w:val="TableGrid"/>
        <w:tblW w:w="0" w:type="auto"/>
        <w:tblLook w:val="04A0" w:firstRow="1" w:lastRow="0" w:firstColumn="1" w:lastColumn="0" w:noHBand="0" w:noVBand="1"/>
      </w:tblPr>
      <w:tblGrid>
        <w:gridCol w:w="3005"/>
        <w:gridCol w:w="3005"/>
        <w:gridCol w:w="3006"/>
      </w:tblGrid>
      <w:tr w:rsidR="00B12DD9" w:rsidRPr="00B12DD9" w14:paraId="39FD8485" w14:textId="77777777" w:rsidTr="00B12DD9">
        <w:tc>
          <w:tcPr>
            <w:tcW w:w="3005" w:type="dxa"/>
          </w:tcPr>
          <w:p w14:paraId="3EFEF7E4" w14:textId="77777777" w:rsidR="00B12DD9" w:rsidRPr="000866B5" w:rsidRDefault="00B12DD9" w:rsidP="0038379F">
            <w:pPr>
              <w:spacing w:before="240" w:line="360" w:lineRule="auto"/>
              <w:jc w:val="both"/>
              <w:rPr>
                <w:rFonts w:ascii="Arial" w:hAnsi="Arial" w:cs="Arial"/>
                <w:b/>
                <w:sz w:val="24"/>
                <w:szCs w:val="24"/>
                <w:lang w:val="en-GB" w:eastAsia="en-GB"/>
              </w:rPr>
            </w:pPr>
            <w:r w:rsidRPr="000866B5">
              <w:rPr>
                <w:rFonts w:ascii="Arial" w:hAnsi="Arial" w:cs="Arial"/>
                <w:b/>
                <w:sz w:val="24"/>
                <w:szCs w:val="24"/>
                <w:lang w:val="en-GB" w:eastAsia="en-GB"/>
              </w:rPr>
              <w:t>Dimension</w:t>
            </w:r>
          </w:p>
        </w:tc>
        <w:tc>
          <w:tcPr>
            <w:tcW w:w="3005" w:type="dxa"/>
          </w:tcPr>
          <w:p w14:paraId="5678B3C1" w14:textId="77777777" w:rsidR="00B12DD9" w:rsidRPr="000866B5" w:rsidRDefault="00B12DD9" w:rsidP="0038379F">
            <w:pPr>
              <w:spacing w:before="240" w:line="360" w:lineRule="auto"/>
              <w:jc w:val="both"/>
              <w:rPr>
                <w:rFonts w:ascii="Arial" w:hAnsi="Arial" w:cs="Arial"/>
                <w:b/>
                <w:sz w:val="24"/>
                <w:szCs w:val="24"/>
                <w:lang w:val="en-GB" w:eastAsia="en-GB"/>
              </w:rPr>
            </w:pPr>
            <w:r w:rsidRPr="000866B5">
              <w:rPr>
                <w:rFonts w:ascii="Arial" w:hAnsi="Arial" w:cs="Arial"/>
                <w:b/>
                <w:sz w:val="24"/>
                <w:szCs w:val="24"/>
                <w:lang w:val="en-GB" w:eastAsia="en-GB"/>
              </w:rPr>
              <w:t>Key issue</w:t>
            </w:r>
          </w:p>
        </w:tc>
        <w:tc>
          <w:tcPr>
            <w:tcW w:w="3006" w:type="dxa"/>
          </w:tcPr>
          <w:p w14:paraId="6F94C95A" w14:textId="77777777" w:rsidR="00B12DD9" w:rsidRPr="000866B5" w:rsidRDefault="00B12DD9" w:rsidP="0038379F">
            <w:pPr>
              <w:spacing w:before="240" w:line="360" w:lineRule="auto"/>
              <w:jc w:val="both"/>
              <w:rPr>
                <w:rFonts w:ascii="Arial" w:hAnsi="Arial" w:cs="Arial"/>
                <w:b/>
                <w:sz w:val="24"/>
                <w:szCs w:val="24"/>
                <w:lang w:val="en-GB" w:eastAsia="en-GB"/>
              </w:rPr>
            </w:pPr>
            <w:r w:rsidRPr="000866B5">
              <w:rPr>
                <w:rFonts w:ascii="Arial" w:hAnsi="Arial" w:cs="Arial"/>
                <w:b/>
                <w:sz w:val="24"/>
                <w:szCs w:val="24"/>
                <w:lang w:val="en-GB" w:eastAsia="en-GB"/>
              </w:rPr>
              <w:t>Impact</w:t>
            </w:r>
          </w:p>
        </w:tc>
      </w:tr>
      <w:tr w:rsidR="00B12DD9" w:rsidRPr="00B12DD9" w14:paraId="25E4F7CC" w14:textId="77777777" w:rsidTr="00B12DD9">
        <w:tc>
          <w:tcPr>
            <w:tcW w:w="3005" w:type="dxa"/>
          </w:tcPr>
          <w:p w14:paraId="4DD1C1D9"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Political</w:t>
            </w:r>
          </w:p>
        </w:tc>
        <w:tc>
          <w:tcPr>
            <w:tcW w:w="3005" w:type="dxa"/>
          </w:tcPr>
          <w:p w14:paraId="03069261"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Government policies affecting hospitality, employment and business conditions</w:t>
            </w:r>
          </w:p>
        </w:tc>
        <w:tc>
          <w:tcPr>
            <w:tcW w:w="3006" w:type="dxa"/>
          </w:tcPr>
          <w:p w14:paraId="2E2A3FF9"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Moderate</w:t>
            </w:r>
          </w:p>
        </w:tc>
      </w:tr>
      <w:tr w:rsidR="00B12DD9" w:rsidRPr="00B12DD9" w14:paraId="2E607918" w14:textId="77777777" w:rsidTr="00B12DD9">
        <w:tc>
          <w:tcPr>
            <w:tcW w:w="3005" w:type="dxa"/>
          </w:tcPr>
          <w:p w14:paraId="5C030A66"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Economic</w:t>
            </w:r>
          </w:p>
        </w:tc>
        <w:tc>
          <w:tcPr>
            <w:tcW w:w="3005" w:type="dxa"/>
          </w:tcPr>
          <w:p w14:paraId="7BB2DB38"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Rent, wages, coffee, food and energy costs; customer value sensitivity</w:t>
            </w:r>
          </w:p>
        </w:tc>
        <w:tc>
          <w:tcPr>
            <w:tcW w:w="3006" w:type="dxa"/>
          </w:tcPr>
          <w:p w14:paraId="1790F054"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r w:rsidR="00B12DD9" w:rsidRPr="00B12DD9" w14:paraId="0D6300A4" w14:textId="77777777" w:rsidTr="00B12DD9">
        <w:tc>
          <w:tcPr>
            <w:tcW w:w="3005" w:type="dxa"/>
          </w:tcPr>
          <w:p w14:paraId="4612587F"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Social</w:t>
            </w:r>
          </w:p>
        </w:tc>
        <w:tc>
          <w:tcPr>
            <w:tcW w:w="3005" w:type="dxa"/>
          </w:tcPr>
          <w:p w14:paraId="48D9E49E"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Specialty coffee, ethical consumption, hospitality and experience</w:t>
            </w:r>
          </w:p>
        </w:tc>
        <w:tc>
          <w:tcPr>
            <w:tcW w:w="3006" w:type="dxa"/>
          </w:tcPr>
          <w:p w14:paraId="6A244B20"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r w:rsidR="00B12DD9" w:rsidRPr="00B12DD9" w14:paraId="06990799" w14:textId="77777777" w:rsidTr="00B12DD9">
        <w:tc>
          <w:tcPr>
            <w:tcW w:w="3005" w:type="dxa"/>
          </w:tcPr>
          <w:p w14:paraId="2A1C4A47"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Technological</w:t>
            </w:r>
          </w:p>
        </w:tc>
        <w:tc>
          <w:tcPr>
            <w:tcW w:w="3005" w:type="dxa"/>
          </w:tcPr>
          <w:p w14:paraId="1A5A5033"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Digital discovery, social media, POS, loyalty and ordering</w:t>
            </w:r>
          </w:p>
        </w:tc>
        <w:tc>
          <w:tcPr>
            <w:tcW w:w="3006" w:type="dxa"/>
          </w:tcPr>
          <w:p w14:paraId="15C3762B"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Moderate–high</w:t>
            </w:r>
          </w:p>
        </w:tc>
      </w:tr>
      <w:tr w:rsidR="00B12DD9" w:rsidRPr="00B12DD9" w14:paraId="68D15F3F" w14:textId="77777777" w:rsidTr="00B12DD9">
        <w:tc>
          <w:tcPr>
            <w:tcW w:w="3005" w:type="dxa"/>
          </w:tcPr>
          <w:p w14:paraId="37C51FFF"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Legal</w:t>
            </w:r>
          </w:p>
        </w:tc>
        <w:tc>
          <w:tcPr>
            <w:tcW w:w="3005" w:type="dxa"/>
          </w:tcPr>
          <w:p w14:paraId="206941F2"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Food safety, employment, consumer protection, licensing and data protection</w:t>
            </w:r>
          </w:p>
        </w:tc>
        <w:tc>
          <w:tcPr>
            <w:tcW w:w="3006" w:type="dxa"/>
          </w:tcPr>
          <w:p w14:paraId="01139F42"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r w:rsidR="00B12DD9" w:rsidRPr="00B213BD" w14:paraId="676EF449" w14:textId="77777777" w:rsidTr="00B12DD9">
        <w:tc>
          <w:tcPr>
            <w:tcW w:w="3005" w:type="dxa"/>
          </w:tcPr>
          <w:p w14:paraId="433FDD89"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lastRenderedPageBreak/>
              <w:t>Environmental</w:t>
            </w:r>
          </w:p>
        </w:tc>
        <w:tc>
          <w:tcPr>
            <w:tcW w:w="3005" w:type="dxa"/>
          </w:tcPr>
          <w:p w14:paraId="0422BA6C" w14:textId="77777777" w:rsidR="00B12DD9" w:rsidRPr="00B12DD9"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Climate risks to coffee, packaging, waste, energy and resource use</w:t>
            </w:r>
          </w:p>
        </w:tc>
        <w:tc>
          <w:tcPr>
            <w:tcW w:w="3006" w:type="dxa"/>
          </w:tcPr>
          <w:p w14:paraId="4356790E" w14:textId="77777777" w:rsidR="00B12DD9" w:rsidRPr="00B213BD" w:rsidRDefault="00B12DD9" w:rsidP="0038379F">
            <w:pPr>
              <w:spacing w:before="240" w:line="360" w:lineRule="auto"/>
              <w:jc w:val="both"/>
              <w:rPr>
                <w:rFonts w:ascii="Arial" w:hAnsi="Arial" w:cs="Arial"/>
                <w:sz w:val="24"/>
                <w:szCs w:val="24"/>
                <w:lang w:val="en-GB" w:eastAsia="en-GB"/>
              </w:rPr>
            </w:pPr>
            <w:r w:rsidRPr="00B12DD9">
              <w:rPr>
                <w:rFonts w:ascii="Arial" w:hAnsi="Arial" w:cs="Arial"/>
                <w:sz w:val="24"/>
                <w:szCs w:val="24"/>
                <w:lang w:val="en-GB" w:eastAsia="en-GB"/>
              </w:rPr>
              <w:t>High</w:t>
            </w:r>
          </w:p>
        </w:tc>
      </w:tr>
    </w:tbl>
    <w:p w14:paraId="0B210BC7" w14:textId="2CE3ECC4" w:rsidR="00B213BD" w:rsidRPr="00B213BD" w:rsidRDefault="00B213BD" w:rsidP="00B213BD">
      <w:pPr>
        <w:spacing w:before="240" w:line="360" w:lineRule="auto"/>
        <w:jc w:val="both"/>
        <w:rPr>
          <w:rFonts w:ascii="Arial" w:hAnsi="Arial" w:cs="Arial"/>
          <w:sz w:val="24"/>
          <w:szCs w:val="24"/>
          <w:lang w:val="en-GB" w:eastAsia="en-GB"/>
        </w:rPr>
      </w:pPr>
    </w:p>
    <w:p w14:paraId="481DD5A1" w14:textId="1E579871" w:rsidR="007B159C" w:rsidRPr="007B159C" w:rsidRDefault="007B159C" w:rsidP="007B159C">
      <w:pPr>
        <w:spacing w:before="240" w:line="360" w:lineRule="auto"/>
        <w:jc w:val="both"/>
        <w:rPr>
          <w:rFonts w:ascii="Arial" w:hAnsi="Arial" w:cs="Arial"/>
          <w:b/>
          <w:sz w:val="24"/>
          <w:szCs w:val="24"/>
          <w:lang w:val="en-GB" w:eastAsia="en-GB"/>
        </w:rPr>
      </w:pPr>
      <w:r w:rsidRPr="007B159C">
        <w:rPr>
          <w:rFonts w:ascii="Arial" w:hAnsi="Arial" w:cs="Arial"/>
          <w:b/>
          <w:sz w:val="24"/>
          <w:szCs w:val="24"/>
          <w:lang w:val="en-GB" w:eastAsia="en-GB"/>
        </w:rPr>
        <w:t>Political</w:t>
      </w:r>
    </w:p>
    <w:p w14:paraId="052C18DF" w14:textId="124AF324"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The venture is influenced by the political environment in the aspects of business taxation, employment policy, hospitality regulation and local authority requirements. These don't all apply to the individual café, but any policy changes could impact the staffing cost and operating margins. Political conditions should thus be monitored and not used as a di</w:t>
      </w:r>
      <w:r>
        <w:rPr>
          <w:rFonts w:ascii="Arial" w:hAnsi="Arial" w:cs="Arial"/>
          <w:sz w:val="24"/>
          <w:szCs w:val="24"/>
          <w:lang w:val="en-GB" w:eastAsia="en-GB"/>
        </w:rPr>
        <w:t>rect source of differentiation</w:t>
      </w:r>
    </w:p>
    <w:p w14:paraId="5AE1919A" w14:textId="577CAAB9"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Economic</w:t>
      </w:r>
    </w:p>
    <w:p w14:paraId="634DCBFC" w14:textId="100272BC"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One of the biggest threats is economic conditions. In 2026 the UK branded coffee-shop market was valued at £6.8 billion, but the market is trending towards affordable and premium offerings (World Coffee Portal, 2026). Economic evidence also demonstrates high numbers of visits to Westminster, as well as more cautious spending behaviour: around 317m visits to Westminster in 2024, and a reduction in transaction numbers, with spend per transaction rising slightly (Westminster City Council, 2025). The implication is that this is the case if the venture wants to charge higher prices, which it has to justify based on quality and</w:t>
      </w:r>
      <w:r>
        <w:rPr>
          <w:rFonts w:ascii="Arial" w:hAnsi="Arial" w:cs="Arial"/>
          <w:sz w:val="24"/>
          <w:szCs w:val="24"/>
          <w:lang w:val="en-GB" w:eastAsia="en-GB"/>
        </w:rPr>
        <w:t xml:space="preserve"> value visible to the customer</w:t>
      </w:r>
    </w:p>
    <w:p w14:paraId="5EE7CF4B" w14:textId="4A861D7E"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Social</w:t>
      </w:r>
    </w:p>
    <w:p w14:paraId="6881B735" w14:textId="40AAC653" w:rsid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The concept is supported by social trends, as specialty coffee, personalised hospitality and ambience in coffee shops are important drivers of demand in the independent sector (World Coffee Portal, 2026). Meanwhile, the current coffee culture in Covent Garden is testament to the preference for experience-led and specialty consumption of coffee (Covent Garden London, 2026). Ethical consumption can bolster the proposition, but there are al</w:t>
      </w:r>
      <w:r>
        <w:rPr>
          <w:rFonts w:ascii="Arial" w:hAnsi="Arial" w:cs="Arial"/>
          <w:sz w:val="24"/>
          <w:szCs w:val="24"/>
          <w:lang w:val="en-GB" w:eastAsia="en-GB"/>
        </w:rPr>
        <w:t>ready competitors in this area</w:t>
      </w:r>
    </w:p>
    <w:p w14:paraId="728728DA" w14:textId="7297EA24" w:rsidR="007B159C" w:rsidRDefault="007B159C" w:rsidP="007B159C">
      <w:pPr>
        <w:spacing w:before="240" w:line="360" w:lineRule="auto"/>
        <w:jc w:val="both"/>
        <w:rPr>
          <w:rFonts w:ascii="Arial" w:hAnsi="Arial" w:cs="Arial"/>
          <w:sz w:val="24"/>
          <w:szCs w:val="24"/>
          <w:lang w:val="en-GB" w:eastAsia="en-GB"/>
        </w:rPr>
      </w:pPr>
    </w:p>
    <w:p w14:paraId="48FE4E2E" w14:textId="77777777" w:rsidR="007B159C" w:rsidRPr="007B159C" w:rsidRDefault="007B159C" w:rsidP="007B159C">
      <w:pPr>
        <w:spacing w:before="240" w:line="360" w:lineRule="auto"/>
        <w:jc w:val="both"/>
        <w:rPr>
          <w:rFonts w:ascii="Arial" w:hAnsi="Arial" w:cs="Arial"/>
          <w:sz w:val="24"/>
          <w:szCs w:val="24"/>
          <w:lang w:val="en-GB" w:eastAsia="en-GB"/>
        </w:rPr>
      </w:pPr>
    </w:p>
    <w:p w14:paraId="29E1813D" w14:textId="29314DF9"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lastRenderedPageBreak/>
        <w:t>Technological</w:t>
      </w:r>
    </w:p>
    <w:p w14:paraId="51DE6E1F" w14:textId="7929BD74"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Digital technology can be used to assist discovery, to order, to communicate with customers, to foster customer loyalty and to monitor customer performance. This becomes more pertinent as digital tools become a mechanism to reinforce convenience and engagement for coffee operators (World Coffee Portal, 2026). The Ethical Bean thinks digital shouldn't be an alternative to the physic</w:t>
      </w:r>
      <w:r>
        <w:rPr>
          <w:rFonts w:ascii="Arial" w:hAnsi="Arial" w:cs="Arial"/>
          <w:sz w:val="24"/>
          <w:szCs w:val="24"/>
          <w:lang w:val="en-GB" w:eastAsia="en-GB"/>
        </w:rPr>
        <w:t>al café, it's meant to enhance.</w:t>
      </w:r>
    </w:p>
    <w:p w14:paraId="1B0BED84" w14:textId="05BA0DDF"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Legal</w:t>
      </w:r>
    </w:p>
    <w:p w14:paraId="268A85BD" w14:textId="75F9371C" w:rsidR="007B159C" w:rsidRPr="007B159C" w:rsidRDefault="007B159C" w:rsidP="007B159C">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Legal requirements are there as a bare minimum to operate, not as a competitive differentiator. The venture will require the proper food safety procedures, employment compliance, consumer protection, licensing if needed and care of customer information if needed. Therefore, it is critical to have effective compliance to ensure that the business is not exposed to financial, oper</w:t>
      </w:r>
      <w:r>
        <w:rPr>
          <w:rFonts w:ascii="Arial" w:hAnsi="Arial" w:cs="Arial"/>
          <w:sz w:val="24"/>
          <w:szCs w:val="24"/>
          <w:lang w:val="en-GB" w:eastAsia="en-GB"/>
        </w:rPr>
        <w:t>ational and reputational risks.</w:t>
      </w:r>
    </w:p>
    <w:p w14:paraId="526BE467" w14:textId="30FF3D53" w:rsidR="007B159C" w:rsidRPr="007B159C" w:rsidRDefault="007B159C" w:rsidP="007B159C">
      <w:pPr>
        <w:spacing w:before="240" w:line="360" w:lineRule="auto"/>
        <w:jc w:val="both"/>
        <w:rPr>
          <w:rFonts w:ascii="Arial" w:hAnsi="Arial" w:cs="Arial"/>
          <w:b/>
          <w:sz w:val="24"/>
          <w:szCs w:val="24"/>
          <w:lang w:val="en-GB" w:eastAsia="en-GB"/>
        </w:rPr>
      </w:pPr>
      <w:r>
        <w:rPr>
          <w:rFonts w:ascii="Arial" w:hAnsi="Arial" w:cs="Arial"/>
          <w:b/>
          <w:sz w:val="24"/>
          <w:szCs w:val="24"/>
          <w:lang w:val="en-GB" w:eastAsia="en-GB"/>
        </w:rPr>
        <w:t>Environmental</w:t>
      </w:r>
    </w:p>
    <w:p w14:paraId="5D2A6F10" w14:textId="72323286" w:rsidR="00B213BD" w:rsidRPr="00B213BD" w:rsidRDefault="007B159C" w:rsidP="00B213BD">
      <w:pPr>
        <w:spacing w:before="240" w:line="360" w:lineRule="auto"/>
        <w:jc w:val="both"/>
        <w:rPr>
          <w:rFonts w:ascii="Arial" w:hAnsi="Arial" w:cs="Arial"/>
          <w:sz w:val="24"/>
          <w:szCs w:val="24"/>
          <w:lang w:val="en-GB" w:eastAsia="en-GB"/>
        </w:rPr>
      </w:pPr>
      <w:r w:rsidRPr="007B159C">
        <w:rPr>
          <w:rFonts w:ascii="Arial" w:hAnsi="Arial" w:cs="Arial"/>
          <w:sz w:val="24"/>
          <w:szCs w:val="24"/>
          <w:lang w:val="en-GB" w:eastAsia="en-GB"/>
        </w:rPr>
        <w:t xml:space="preserve">Environmental factors are also important from a strategic perspective as they are needed to address climate and sustainability issues in coffee supply chains, and cafés produce packaging waste, food waste and coffee ground waste. Sustainable sourcing, minimizing waste and maximizing resources can, therefore, help develop the value proposition. But if it's a claim about the environment, it has to be accompanied by credible supplier information and measurable practices or it becomes a vacuous </w:t>
      </w:r>
      <w:r>
        <w:rPr>
          <w:rFonts w:ascii="Arial" w:hAnsi="Arial" w:cs="Arial"/>
          <w:sz w:val="24"/>
          <w:szCs w:val="24"/>
          <w:lang w:val="en-GB" w:eastAsia="en-GB"/>
        </w:rPr>
        <w:t>sustainability marketing tactic.</w:t>
      </w:r>
    </w:p>
    <w:p w14:paraId="02FF6C49" w14:textId="37BDFDEF" w:rsidR="00B213BD" w:rsidRPr="00681A46" w:rsidRDefault="00B213BD" w:rsidP="00681A46">
      <w:pPr>
        <w:pStyle w:val="Heading2"/>
        <w:rPr>
          <w:lang w:val="en-GB" w:eastAsia="en-GB"/>
        </w:rPr>
      </w:pPr>
      <w:bookmarkStart w:id="57" w:name="_Toc239695375"/>
      <w:r w:rsidRPr="00B213BD">
        <w:rPr>
          <w:lang w:val="en-GB" w:eastAsia="en-GB"/>
        </w:rPr>
        <w:t>6.5 Evidence-Based Positioning Gap</w:t>
      </w:r>
      <w:bookmarkEnd w:id="57"/>
    </w:p>
    <w:p w14:paraId="76C1859E" w14:textId="337D24CC"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The competitor analysis demonstrates that the market does not contain an obvious gap for simply offering premium, specialty or ethical coffee. Monmouth already provides established specialty expertise and responsible sourcing; WatchHouse combines specialty coffee with contemporary hospitality; and Qima offers a strong provenance-led propositio</w:t>
      </w:r>
      <w:r w:rsidR="00681A46">
        <w:rPr>
          <w:rFonts w:ascii="Arial" w:hAnsi="Arial" w:cs="Arial"/>
          <w:sz w:val="24"/>
          <w:szCs w:val="24"/>
          <w:lang w:val="en-GB" w:eastAsia="en-GB"/>
        </w:rPr>
        <w:t>n (Covent Garden London, 2026).</w:t>
      </w:r>
    </w:p>
    <w:p w14:paraId="407B14CD" w14:textId="126DA54F"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 xml:space="preserve">The potential positioning opportunity is therefore integrative rather than categorical. The Ethical Bean can differentiate by combining specialty quality with highly visible </w:t>
      </w:r>
      <w:r w:rsidRPr="00B213BD">
        <w:rPr>
          <w:rFonts w:ascii="Arial" w:hAnsi="Arial" w:cs="Arial"/>
          <w:sz w:val="24"/>
          <w:szCs w:val="24"/>
          <w:lang w:val="en-GB" w:eastAsia="en-GB"/>
        </w:rPr>
        <w:lastRenderedPageBreak/>
        <w:t>sourcing transparency, sustainability, personalised service and accessible premium value. The strategic emphasis should be on making the ethical story understandable and relevant to customers while maintaining superi</w:t>
      </w:r>
      <w:r w:rsidR="00681A46">
        <w:rPr>
          <w:rFonts w:ascii="Arial" w:hAnsi="Arial" w:cs="Arial"/>
          <w:sz w:val="24"/>
          <w:szCs w:val="24"/>
          <w:lang w:val="en-GB" w:eastAsia="en-GB"/>
        </w:rPr>
        <w:t>or consistency and hospitality</w:t>
      </w:r>
    </w:p>
    <w:p w14:paraId="59CC2615" w14:textId="476A9420"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This distinction is important because ethical sourcing itself is not rare. Rather, the proposed advantage would arise from the combination and consistent delivery of several attributes, supported by supplier relationships, customer know</w:t>
      </w:r>
      <w:r w:rsidR="00681A46">
        <w:rPr>
          <w:rFonts w:ascii="Arial" w:hAnsi="Arial" w:cs="Arial"/>
          <w:sz w:val="24"/>
          <w:szCs w:val="24"/>
          <w:lang w:val="en-GB" w:eastAsia="en-GB"/>
        </w:rPr>
        <w:t>ledge and operational learning.</w:t>
      </w:r>
    </w:p>
    <w:p w14:paraId="635F836B" w14:textId="2E85B5B6" w:rsidR="00B213BD" w:rsidRPr="00681A46" w:rsidRDefault="00B213BD" w:rsidP="00681A46">
      <w:pPr>
        <w:pStyle w:val="Heading2"/>
        <w:rPr>
          <w:lang w:val="en-GB" w:eastAsia="en-GB"/>
        </w:rPr>
      </w:pPr>
      <w:bookmarkStart w:id="58" w:name="_Toc239695376"/>
      <w:r w:rsidRPr="00B213BD">
        <w:rPr>
          <w:lang w:val="en-GB" w:eastAsia="en-GB"/>
        </w:rPr>
        <w:t>6.6 Chapter Synthesis</w:t>
      </w:r>
      <w:bookmarkEnd w:id="58"/>
    </w:p>
    <w:p w14:paraId="087EE369" w14:textId="4C9CA35C" w:rsidR="00B213BD" w:rsidRPr="00B213BD"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The analysis identifies a strong but highly competitive market environment. Covent Garden provides substantial footfall and an established specialty-coffee culture, but customers have many alternatives and low switching costs. The Five Forces therefore indicate high competitive pressure, while PESTLE highlights economic and environmental risks alongside favourable s</w:t>
      </w:r>
      <w:r w:rsidR="00681A46">
        <w:rPr>
          <w:rFonts w:ascii="Arial" w:hAnsi="Arial" w:cs="Arial"/>
          <w:sz w:val="24"/>
          <w:szCs w:val="24"/>
          <w:lang w:val="en-GB" w:eastAsia="en-GB"/>
        </w:rPr>
        <w:t>ocial and technological trends</w:t>
      </w:r>
    </w:p>
    <w:p w14:paraId="677D121E" w14:textId="06E6D7CA" w:rsidR="00572CAA" w:rsidRDefault="00B213BD" w:rsidP="00B213BD">
      <w:pPr>
        <w:spacing w:before="240" w:line="360" w:lineRule="auto"/>
        <w:jc w:val="both"/>
        <w:rPr>
          <w:rFonts w:ascii="Arial" w:hAnsi="Arial" w:cs="Arial"/>
          <w:sz w:val="24"/>
          <w:szCs w:val="24"/>
          <w:lang w:val="en-GB" w:eastAsia="en-GB"/>
        </w:rPr>
      </w:pPr>
      <w:r w:rsidRPr="00B213BD">
        <w:rPr>
          <w:rFonts w:ascii="Arial" w:hAnsi="Arial" w:cs="Arial"/>
          <w:sz w:val="24"/>
          <w:szCs w:val="24"/>
          <w:lang w:val="en-GB" w:eastAsia="en-GB"/>
        </w:rPr>
        <w:t>Consequently, the evidence supports the focused staged differentiation strategy developed in Chapter 7. The venture should not attempt to compete through price leadership or imitate established specialty operators. Instead, it should target ethically conscious specialty-coffee consumers, urban professionals and relevant visitors through an integrated proposition based on quality, ethical sourcing, traceability, sustainability, personalised service and value. The resulting strategy recognises that competitive advantage will need to be developed progressively through customer loyalty, supplier relationships, brand reputation and organisational learning rather than assumed at launch.</w:t>
      </w:r>
    </w:p>
    <w:p w14:paraId="549AB285" w14:textId="4289510A" w:rsidR="00572CAA" w:rsidRDefault="00572CAA" w:rsidP="00764905">
      <w:pPr>
        <w:spacing w:before="240" w:line="360" w:lineRule="auto"/>
        <w:jc w:val="both"/>
        <w:rPr>
          <w:rFonts w:ascii="Arial" w:hAnsi="Arial" w:cs="Arial"/>
          <w:sz w:val="24"/>
          <w:szCs w:val="24"/>
          <w:lang w:val="en-GB" w:eastAsia="en-GB"/>
        </w:rPr>
      </w:pPr>
    </w:p>
    <w:p w14:paraId="28F6C054" w14:textId="51DE3A0C" w:rsidR="00572CAA" w:rsidRDefault="00572CAA" w:rsidP="00764905">
      <w:pPr>
        <w:spacing w:before="240" w:line="360" w:lineRule="auto"/>
        <w:jc w:val="both"/>
        <w:rPr>
          <w:rFonts w:ascii="Arial" w:hAnsi="Arial" w:cs="Arial"/>
          <w:sz w:val="24"/>
          <w:szCs w:val="24"/>
          <w:lang w:val="en-GB" w:eastAsia="en-GB"/>
        </w:rPr>
      </w:pPr>
    </w:p>
    <w:p w14:paraId="5565B520" w14:textId="38A1DF77" w:rsidR="00572CAA" w:rsidRDefault="00572CAA" w:rsidP="00764905">
      <w:pPr>
        <w:spacing w:before="240" w:line="360" w:lineRule="auto"/>
        <w:jc w:val="both"/>
        <w:rPr>
          <w:rFonts w:ascii="Arial" w:hAnsi="Arial" w:cs="Arial"/>
          <w:sz w:val="24"/>
          <w:szCs w:val="24"/>
          <w:lang w:val="en-GB" w:eastAsia="en-GB"/>
        </w:rPr>
      </w:pPr>
    </w:p>
    <w:p w14:paraId="3506A329" w14:textId="65DA14CD" w:rsidR="00572CAA" w:rsidRDefault="00572CAA" w:rsidP="00764905">
      <w:pPr>
        <w:spacing w:before="240" w:line="360" w:lineRule="auto"/>
        <w:jc w:val="both"/>
        <w:rPr>
          <w:rFonts w:ascii="Arial" w:hAnsi="Arial" w:cs="Arial"/>
          <w:sz w:val="24"/>
          <w:szCs w:val="24"/>
          <w:lang w:val="en-GB" w:eastAsia="en-GB"/>
        </w:rPr>
      </w:pPr>
    </w:p>
    <w:p w14:paraId="73755EC7" w14:textId="6E108DA2" w:rsidR="00572CAA" w:rsidRDefault="00572CAA" w:rsidP="00764905">
      <w:pPr>
        <w:spacing w:before="240" w:line="360" w:lineRule="auto"/>
        <w:jc w:val="both"/>
        <w:rPr>
          <w:rFonts w:ascii="Arial" w:hAnsi="Arial" w:cs="Arial"/>
          <w:sz w:val="24"/>
          <w:szCs w:val="24"/>
          <w:lang w:val="en-GB" w:eastAsia="en-GB"/>
        </w:rPr>
      </w:pPr>
    </w:p>
    <w:p w14:paraId="460D1EB8" w14:textId="4778B0C8" w:rsidR="00572CAA" w:rsidRDefault="00572CAA" w:rsidP="00764905">
      <w:pPr>
        <w:spacing w:before="240" w:line="360" w:lineRule="auto"/>
        <w:jc w:val="both"/>
        <w:rPr>
          <w:rFonts w:ascii="Arial" w:hAnsi="Arial" w:cs="Arial"/>
          <w:sz w:val="24"/>
          <w:szCs w:val="24"/>
          <w:lang w:val="en-GB" w:eastAsia="en-GB"/>
        </w:rPr>
      </w:pPr>
    </w:p>
    <w:p w14:paraId="0DF20338" w14:textId="77777777" w:rsidR="00572CAA" w:rsidRPr="00E86635" w:rsidRDefault="00572CAA" w:rsidP="00E2542F">
      <w:pPr>
        <w:pStyle w:val="Heading1"/>
        <w:jc w:val="center"/>
        <w:rPr>
          <w:rFonts w:eastAsia="Times New Roman"/>
          <w:lang w:val="en-GB" w:eastAsia="en-GB"/>
        </w:rPr>
      </w:pPr>
      <w:bookmarkStart w:id="59" w:name="_Toc239695377"/>
      <w:r w:rsidRPr="00E86635">
        <w:rPr>
          <w:rFonts w:eastAsia="Times New Roman"/>
          <w:lang w:val="en-GB" w:eastAsia="en-GB"/>
        </w:rPr>
        <w:lastRenderedPageBreak/>
        <w:t>Chapter 7: Business Strategy</w:t>
      </w:r>
      <w:bookmarkEnd w:id="59"/>
    </w:p>
    <w:p w14:paraId="187239E9" w14:textId="77777777" w:rsidR="00572CAA" w:rsidRPr="00E86635" w:rsidRDefault="00572CAA" w:rsidP="00E2542F">
      <w:pPr>
        <w:pStyle w:val="Heading2"/>
        <w:rPr>
          <w:rFonts w:eastAsia="Times New Roman"/>
          <w:lang w:val="en-GB" w:eastAsia="en-GB"/>
        </w:rPr>
      </w:pPr>
      <w:bookmarkStart w:id="60" w:name="_Toc239695378"/>
      <w:r w:rsidRPr="00E86635">
        <w:rPr>
          <w:rFonts w:eastAsia="Times New Roman"/>
          <w:lang w:val="en-GB" w:eastAsia="en-GB"/>
        </w:rPr>
        <w:t>7.1 Strategic Situation and Frameworks</w:t>
      </w:r>
      <w:bookmarkEnd w:id="60"/>
    </w:p>
    <w:p w14:paraId="57433252"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As revealed in Chapters 5 and 6, The Ethical Bean Coffee House has a very competitive market in an attractive area. In 2026, the UK coffee shop market was estimated to be around £6.8 billion, and it contained 12,313 outlets, which grew by 5.5% compared to the previous year (World Coffee Portal, 2026). Meanwhile, consumers are increasingly seeking value and independent operators are grappling with rising input and operating costs (World Coffee Portal, 2025; World Coffee Portal, 2026).</w:t>
      </w:r>
    </w:p>
    <w:p w14:paraId="1D6F9194" w14:textId="4324C51A" w:rsidR="00572CAA"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strategic challenge is not, however, whether customers are interested in buying coffee, but how a new independent coffee shop can generate enough value to overcome the strong competition, buyer switching power and substitutions. Four strategic implications emerge from chapters 5 and 6: First, the potential for a premium is in the volume of coffee consumed; second, quality and experience are important but are already available from the established specialty competitors; third, the ethical sourcing can enhance the differentiation but it is not enough to justify a premium; and fourth, the affordability and operational efficiency need to support the ethical proposition. These findings are then combined using VRIO and SWOT analysis and strategic-option evaluation to decide on the best approach. VRIO is intended to determine if the resources of the venture can enable it to achieve competitive advantage and SWOT turns internal and external evidence into strategic issues (Barney, 1991; Ferreira, Fernandes and Ferreira, 2022). The findings of recent studies are in line with the association between combinations of valuable, scarce, hard-to-imitate resources and competitive advantage and SME performance (Ferreira, Fernandes and Ferreira, 2022)</w:t>
      </w:r>
      <w:r w:rsidR="00572CAA" w:rsidRPr="00E86635">
        <w:rPr>
          <w:rFonts w:ascii="Arial" w:eastAsia="Times New Roman" w:hAnsi="Arial" w:cs="Arial"/>
          <w:sz w:val="24"/>
          <w:szCs w:val="24"/>
          <w:lang w:val="en-GB" w:eastAsia="en-GB"/>
        </w:rPr>
        <w:t>.</w:t>
      </w:r>
    </w:p>
    <w:p w14:paraId="5C3093C9" w14:textId="77777777" w:rsidR="00572CAA" w:rsidRPr="00E86635" w:rsidRDefault="00572CAA" w:rsidP="00E2542F">
      <w:pPr>
        <w:pStyle w:val="Heading2"/>
        <w:rPr>
          <w:rFonts w:eastAsia="Times New Roman"/>
          <w:lang w:val="en-GB" w:eastAsia="en-GB"/>
        </w:rPr>
      </w:pPr>
      <w:bookmarkStart w:id="61" w:name="_Toc239695379"/>
      <w:r w:rsidRPr="00E86635">
        <w:rPr>
          <w:rFonts w:eastAsia="Times New Roman"/>
          <w:lang w:val="en-GB" w:eastAsia="en-GB"/>
        </w:rPr>
        <w:t>7.2 Internal Analysis Using VRIO</w:t>
      </w:r>
      <w:bookmarkEnd w:id="61"/>
    </w:p>
    <w:p w14:paraId="48B2DD0E" w14:textId="707910FF"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most strategically relevant resources are not general resources like premises or coffee-making resources; they can be bought by other companies. Rather, it's about ethical sourcing relationships, sustainability capabilities, brand proposition, customer relationships and integrated service experience</w:t>
      </w:r>
      <w:r w:rsidR="00572CAA" w:rsidRPr="00E86635">
        <w:rPr>
          <w:rFonts w:ascii="Arial" w:eastAsia="Times New Roman" w:hAnsi="Arial" w:cs="Arial"/>
          <w:sz w:val="24"/>
          <w:szCs w:val="24"/>
          <w:lang w:val="en-GB" w:eastAsia="en-GB"/>
        </w:rPr>
        <w:t>.</w:t>
      </w:r>
    </w:p>
    <w:p w14:paraId="09DED77B" w14:textId="660CFACF" w:rsidR="00304B5F" w:rsidRPr="00E86635" w:rsidRDefault="00304B5F" w:rsidP="00E86635">
      <w:pPr>
        <w:pStyle w:val="Caption"/>
        <w:keepNext/>
        <w:spacing w:line="360" w:lineRule="auto"/>
        <w:jc w:val="both"/>
        <w:rPr>
          <w:rFonts w:ascii="Arial" w:hAnsi="Arial" w:cs="Arial"/>
          <w:sz w:val="24"/>
          <w:szCs w:val="24"/>
        </w:rPr>
      </w:pPr>
      <w:bookmarkStart w:id="62" w:name="_Toc239695426"/>
      <w:r w:rsidRPr="00E86635">
        <w:rPr>
          <w:rFonts w:ascii="Arial" w:hAnsi="Arial" w:cs="Arial"/>
          <w:sz w:val="24"/>
          <w:szCs w:val="24"/>
        </w:rPr>
        <w:lastRenderedPageBreak/>
        <w:t xml:space="preserve">Table </w:t>
      </w:r>
      <w:r w:rsidRPr="00E86635">
        <w:rPr>
          <w:rFonts w:ascii="Arial" w:hAnsi="Arial" w:cs="Arial"/>
          <w:sz w:val="24"/>
          <w:szCs w:val="24"/>
        </w:rPr>
        <w:fldChar w:fldCharType="begin"/>
      </w:r>
      <w:r w:rsidRPr="00E86635">
        <w:rPr>
          <w:rFonts w:ascii="Arial" w:hAnsi="Arial" w:cs="Arial"/>
          <w:sz w:val="24"/>
          <w:szCs w:val="24"/>
        </w:rPr>
        <w:instrText xml:space="preserve"> SEQ Table \* ARABIC </w:instrText>
      </w:r>
      <w:r w:rsidRPr="00E86635">
        <w:rPr>
          <w:rFonts w:ascii="Arial" w:hAnsi="Arial" w:cs="Arial"/>
          <w:sz w:val="24"/>
          <w:szCs w:val="24"/>
        </w:rPr>
        <w:fldChar w:fldCharType="separate"/>
      </w:r>
      <w:r w:rsidR="007C175A">
        <w:rPr>
          <w:rFonts w:ascii="Arial" w:hAnsi="Arial" w:cs="Arial"/>
          <w:noProof/>
          <w:sz w:val="24"/>
          <w:szCs w:val="24"/>
        </w:rPr>
        <w:t>7</w:t>
      </w:r>
      <w:r w:rsidRPr="00E86635">
        <w:rPr>
          <w:rFonts w:ascii="Arial" w:hAnsi="Arial" w:cs="Arial"/>
          <w:sz w:val="24"/>
          <w:szCs w:val="24"/>
        </w:rPr>
        <w:fldChar w:fldCharType="end"/>
      </w:r>
      <w:r w:rsidRPr="00E86635">
        <w:rPr>
          <w:rFonts w:ascii="Arial" w:hAnsi="Arial" w:cs="Arial"/>
          <w:sz w:val="24"/>
          <w:szCs w:val="24"/>
        </w:rPr>
        <w:t>.: VRIO Analysis of The Ethical Bean Coffee House</w:t>
      </w:r>
      <w:bookmarkEnd w:id="62"/>
    </w:p>
    <w:tbl>
      <w:tblPr>
        <w:tblStyle w:val="TableGrid"/>
        <w:tblW w:w="0" w:type="auto"/>
        <w:tblLook w:val="04A0" w:firstRow="1" w:lastRow="0" w:firstColumn="1" w:lastColumn="0" w:noHBand="0" w:noVBand="1"/>
      </w:tblPr>
      <w:tblGrid>
        <w:gridCol w:w="2485"/>
        <w:gridCol w:w="766"/>
        <w:gridCol w:w="1345"/>
        <w:gridCol w:w="1345"/>
        <w:gridCol w:w="1591"/>
        <w:gridCol w:w="1484"/>
      </w:tblGrid>
      <w:tr w:rsidR="00304B5F" w:rsidRPr="00E86635" w14:paraId="627C5604" w14:textId="77777777" w:rsidTr="00304B5F">
        <w:tc>
          <w:tcPr>
            <w:tcW w:w="2123" w:type="dxa"/>
          </w:tcPr>
          <w:p w14:paraId="17281FDE"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Resource/capability</w:t>
            </w:r>
          </w:p>
        </w:tc>
        <w:tc>
          <w:tcPr>
            <w:tcW w:w="1138" w:type="dxa"/>
          </w:tcPr>
          <w:p w14:paraId="795B3B59"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V</w:t>
            </w:r>
          </w:p>
        </w:tc>
        <w:tc>
          <w:tcPr>
            <w:tcW w:w="1404" w:type="dxa"/>
          </w:tcPr>
          <w:p w14:paraId="3C00ABE9"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R</w:t>
            </w:r>
          </w:p>
        </w:tc>
        <w:tc>
          <w:tcPr>
            <w:tcW w:w="1404" w:type="dxa"/>
          </w:tcPr>
          <w:p w14:paraId="00CFD6C0"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I</w:t>
            </w:r>
          </w:p>
        </w:tc>
        <w:tc>
          <w:tcPr>
            <w:tcW w:w="1484" w:type="dxa"/>
          </w:tcPr>
          <w:p w14:paraId="406E33B4"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O</w:t>
            </w:r>
          </w:p>
        </w:tc>
        <w:tc>
          <w:tcPr>
            <w:tcW w:w="1463" w:type="dxa"/>
          </w:tcPr>
          <w:p w14:paraId="5EC263D2" w14:textId="77777777" w:rsidR="00304B5F" w:rsidRPr="00E86635" w:rsidRDefault="00304B5F"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Strategic implication</w:t>
            </w:r>
          </w:p>
        </w:tc>
      </w:tr>
      <w:tr w:rsidR="00304B5F" w:rsidRPr="00E86635" w14:paraId="10BB8AE4" w14:textId="77777777" w:rsidTr="00304B5F">
        <w:tc>
          <w:tcPr>
            <w:tcW w:w="2123" w:type="dxa"/>
          </w:tcPr>
          <w:p w14:paraId="56FCB26A"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Ethical and transparent sourcing</w:t>
            </w:r>
          </w:p>
        </w:tc>
        <w:tc>
          <w:tcPr>
            <w:tcW w:w="1138" w:type="dxa"/>
          </w:tcPr>
          <w:p w14:paraId="375579F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6535541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04" w:type="dxa"/>
          </w:tcPr>
          <w:p w14:paraId="49E8FD1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84" w:type="dxa"/>
          </w:tcPr>
          <w:p w14:paraId="0A42D87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Not yet fully</w:t>
            </w:r>
          </w:p>
        </w:tc>
        <w:tc>
          <w:tcPr>
            <w:tcW w:w="1463" w:type="dxa"/>
          </w:tcPr>
          <w:p w14:paraId="4177170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 temporary advantage</w:t>
            </w:r>
          </w:p>
        </w:tc>
      </w:tr>
      <w:tr w:rsidR="00304B5F" w:rsidRPr="00E86635" w14:paraId="0BD7BE37" w14:textId="77777777" w:rsidTr="00304B5F">
        <w:tc>
          <w:tcPr>
            <w:tcW w:w="2123" w:type="dxa"/>
          </w:tcPr>
          <w:p w14:paraId="05CBFF6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Sustainability practices and traceability</w:t>
            </w:r>
          </w:p>
        </w:tc>
        <w:tc>
          <w:tcPr>
            <w:tcW w:w="1138" w:type="dxa"/>
          </w:tcPr>
          <w:p w14:paraId="7E12038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141F696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04" w:type="dxa"/>
          </w:tcPr>
          <w:p w14:paraId="141C6AC5"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84" w:type="dxa"/>
          </w:tcPr>
          <w:p w14:paraId="2138B7D3"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Developable</w:t>
            </w:r>
          </w:p>
        </w:tc>
        <w:tc>
          <w:tcPr>
            <w:tcW w:w="1463" w:type="dxa"/>
          </w:tcPr>
          <w:p w14:paraId="17F0CC3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Temporary advantage if embedded</w:t>
            </w:r>
          </w:p>
        </w:tc>
      </w:tr>
      <w:tr w:rsidR="00304B5F" w:rsidRPr="00E86635" w14:paraId="54ADD89A" w14:textId="77777777" w:rsidTr="00304B5F">
        <w:tc>
          <w:tcPr>
            <w:tcW w:w="2123" w:type="dxa"/>
          </w:tcPr>
          <w:p w14:paraId="6EA9021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Specialty coffee quality</w:t>
            </w:r>
          </w:p>
        </w:tc>
        <w:tc>
          <w:tcPr>
            <w:tcW w:w="1138" w:type="dxa"/>
          </w:tcPr>
          <w:p w14:paraId="64C242CF"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0B89F537"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w:t>
            </w:r>
          </w:p>
        </w:tc>
        <w:tc>
          <w:tcPr>
            <w:tcW w:w="1404" w:type="dxa"/>
          </w:tcPr>
          <w:p w14:paraId="4690F5AE"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w:t>
            </w:r>
          </w:p>
        </w:tc>
        <w:tc>
          <w:tcPr>
            <w:tcW w:w="1484" w:type="dxa"/>
          </w:tcPr>
          <w:p w14:paraId="422DDE9D"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63" w:type="dxa"/>
          </w:tcPr>
          <w:p w14:paraId="74C2150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Competitive parity</w:t>
            </w:r>
          </w:p>
        </w:tc>
      </w:tr>
      <w:tr w:rsidR="00304B5F" w:rsidRPr="00E86635" w14:paraId="0D6B5F1E" w14:textId="77777777" w:rsidTr="00304B5F">
        <w:tc>
          <w:tcPr>
            <w:tcW w:w="2123" w:type="dxa"/>
          </w:tcPr>
          <w:p w14:paraId="2C5B802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Customer experience and personalised service</w:t>
            </w:r>
          </w:p>
        </w:tc>
        <w:tc>
          <w:tcPr>
            <w:tcW w:w="1138" w:type="dxa"/>
          </w:tcPr>
          <w:p w14:paraId="4D50742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22857635"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04" w:type="dxa"/>
          </w:tcPr>
          <w:p w14:paraId="751487E6"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Partly</w:t>
            </w:r>
          </w:p>
        </w:tc>
        <w:tc>
          <w:tcPr>
            <w:tcW w:w="1484" w:type="dxa"/>
          </w:tcPr>
          <w:p w14:paraId="2FAE68AF"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Developable</w:t>
            </w:r>
          </w:p>
        </w:tc>
        <w:tc>
          <w:tcPr>
            <w:tcW w:w="1463" w:type="dxa"/>
          </w:tcPr>
          <w:p w14:paraId="50F2CB3A"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 temporary advantage</w:t>
            </w:r>
          </w:p>
        </w:tc>
      </w:tr>
      <w:tr w:rsidR="00304B5F" w:rsidRPr="00E86635" w14:paraId="4F604DC2" w14:textId="77777777" w:rsidTr="00304B5F">
        <w:tc>
          <w:tcPr>
            <w:tcW w:w="2123" w:type="dxa"/>
          </w:tcPr>
          <w:p w14:paraId="6B2CBCB7"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Ethical Bean brand identity</w:t>
            </w:r>
          </w:p>
        </w:tc>
        <w:tc>
          <w:tcPr>
            <w:tcW w:w="1138" w:type="dxa"/>
          </w:tcPr>
          <w:p w14:paraId="2E50A8E0"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676B5E88"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04" w:type="dxa"/>
          </w:tcPr>
          <w:p w14:paraId="1D167A5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84" w:type="dxa"/>
          </w:tcPr>
          <w:p w14:paraId="0260743D"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Not yet established</w:t>
            </w:r>
          </w:p>
        </w:tc>
        <w:tc>
          <w:tcPr>
            <w:tcW w:w="1463" w:type="dxa"/>
          </w:tcPr>
          <w:p w14:paraId="4957FBB6"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 future advantage</w:t>
            </w:r>
          </w:p>
        </w:tc>
      </w:tr>
      <w:tr w:rsidR="00304B5F" w:rsidRPr="00E86635" w14:paraId="359BE327" w14:textId="77777777" w:rsidTr="00304B5F">
        <w:tc>
          <w:tcPr>
            <w:tcW w:w="2123" w:type="dxa"/>
          </w:tcPr>
          <w:p w14:paraId="3C93F7C0"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Supplier/customer relationships</w:t>
            </w:r>
          </w:p>
        </w:tc>
        <w:tc>
          <w:tcPr>
            <w:tcW w:w="1138" w:type="dxa"/>
          </w:tcPr>
          <w:p w14:paraId="1394464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Yes</w:t>
            </w:r>
          </w:p>
        </w:tc>
        <w:tc>
          <w:tcPr>
            <w:tcW w:w="1404" w:type="dxa"/>
          </w:tcPr>
          <w:p w14:paraId="3A592793"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04" w:type="dxa"/>
          </w:tcPr>
          <w:p w14:paraId="09501011"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w:t>
            </w:r>
          </w:p>
        </w:tc>
        <w:tc>
          <w:tcPr>
            <w:tcW w:w="1484" w:type="dxa"/>
          </w:tcPr>
          <w:p w14:paraId="5F851199"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Dependent on development</w:t>
            </w:r>
          </w:p>
        </w:tc>
        <w:tc>
          <w:tcPr>
            <w:tcW w:w="1463" w:type="dxa"/>
          </w:tcPr>
          <w:p w14:paraId="0F0107FB" w14:textId="7777777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 future advantage</w:t>
            </w:r>
          </w:p>
        </w:tc>
      </w:tr>
    </w:tbl>
    <w:p w14:paraId="11F4A988" w14:textId="3174B7C7" w:rsidR="00304B5F" w:rsidRPr="00E86635" w:rsidRDefault="00304B5F"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b/>
          <w:sz w:val="24"/>
          <w:szCs w:val="24"/>
          <w:lang w:val="en-GB" w:eastAsia="en-GB"/>
        </w:rPr>
        <w:t>Source:</w:t>
      </w:r>
      <w:r w:rsidRPr="00E86635">
        <w:rPr>
          <w:rFonts w:ascii="Arial" w:eastAsia="Times New Roman" w:hAnsi="Arial" w:cs="Arial"/>
          <w:sz w:val="24"/>
          <w:szCs w:val="24"/>
          <w:lang w:val="en-GB" w:eastAsia="en-GB"/>
        </w:rPr>
        <w:t xml:space="preserve"> Researcher's analysis based on the findings of Chapters 5 and 6, informed by Barney's (1991) VRIO framework.</w:t>
      </w:r>
    </w:p>
    <w:p w14:paraId="7D12D3B9" w14:textId="1539B1C9" w:rsidR="001A0C2E" w:rsidRPr="00E86635" w:rsidRDefault="001A0C2E"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Product quality is a good characteristic because customers want good quality and experience, but is not unusual within the set of competing products. High quality coffee is not enough of a differentiator alone, as demonstrated by Monmouth Coffee Company and </w:t>
      </w:r>
      <w:r w:rsidR="00E2542F" w:rsidRPr="00E86635">
        <w:rPr>
          <w:rFonts w:ascii="Arial" w:eastAsia="Times New Roman" w:hAnsi="Arial" w:cs="Arial"/>
          <w:sz w:val="24"/>
          <w:szCs w:val="24"/>
          <w:lang w:val="en-GB" w:eastAsia="en-GB"/>
        </w:rPr>
        <w:t>Watch House</w:t>
      </w:r>
      <w:r w:rsidRPr="00E86635">
        <w:rPr>
          <w:rFonts w:ascii="Arial" w:eastAsia="Times New Roman" w:hAnsi="Arial" w:cs="Arial"/>
          <w:sz w:val="24"/>
          <w:szCs w:val="24"/>
          <w:lang w:val="en-GB" w:eastAsia="en-GB"/>
        </w:rPr>
        <w:t>, who already make specialty. Likewise, sustainability is emerging as a presence throughout industry, and should not be considered uncommon.</w:t>
      </w:r>
    </w:p>
    <w:p w14:paraId="565151A6" w14:textId="77777777" w:rsidR="001A0C2E" w:rsidRPr="00E86635" w:rsidRDefault="001A0C2E"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The better potential is in integrating ethical sourcing, transparency, sustainability and customer experience into a unified system. The relationship and the routines, </w:t>
      </w:r>
      <w:r w:rsidRPr="00E86635">
        <w:rPr>
          <w:rFonts w:ascii="Arial" w:eastAsia="Times New Roman" w:hAnsi="Arial" w:cs="Arial"/>
          <w:sz w:val="24"/>
          <w:szCs w:val="24"/>
          <w:lang w:val="en-GB" w:eastAsia="en-GB"/>
        </w:rPr>
        <w:lastRenderedPageBreak/>
        <w:t>knowledge and organisation to coordinate may give advantage more easily than a single product feature and may prove harder to emulate than any other. Recent studies on RBV also indicate that valuable resources and capabilities can lead to better performance if they can be effectively leveraged by the firms (Varadarajan, 2023). But the proposed business isn't yet known by a brand name, has a network of suppliers, or has an organisational history. So, these resources are planned, rather than existing sustained.</w:t>
      </w:r>
    </w:p>
    <w:p w14:paraId="69992D9F" w14:textId="49013578" w:rsidR="00572CAA" w:rsidRPr="00E86635" w:rsidRDefault="001A0C2E"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So capability development is the weakest organisational aspect. The enterprise will require legitimate ethical suppliers, tracking systems, baristas who can be trained, service standards, sustainability systems, digital systems, and adequate funding. </w:t>
      </w:r>
    </w:p>
    <w:p w14:paraId="34782818" w14:textId="77777777" w:rsidR="00572CAA" w:rsidRPr="00E86635" w:rsidRDefault="00572CAA" w:rsidP="00E2542F">
      <w:pPr>
        <w:pStyle w:val="Heading2"/>
        <w:rPr>
          <w:rFonts w:eastAsia="Times New Roman"/>
          <w:lang w:val="en-GB" w:eastAsia="en-GB"/>
        </w:rPr>
      </w:pPr>
      <w:bookmarkStart w:id="63" w:name="_Toc239695380"/>
      <w:r w:rsidRPr="00E86635">
        <w:rPr>
          <w:rFonts w:eastAsia="Times New Roman"/>
          <w:lang w:val="en-GB" w:eastAsia="en-GB"/>
        </w:rPr>
        <w:t>7.3 SWOT and Strategic Issues</w:t>
      </w:r>
      <w:bookmarkEnd w:id="63"/>
    </w:p>
    <w:p w14:paraId="4BC7DE10" w14:textId="7302266A" w:rsidR="00183A1B" w:rsidRPr="00E86635" w:rsidRDefault="00572CAA"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evidence produces a focused SWOT:</w:t>
      </w:r>
    </w:p>
    <w:p w14:paraId="3E574365" w14:textId="45D9E138" w:rsidR="00183A1B" w:rsidRPr="00E86635" w:rsidRDefault="00183A1B" w:rsidP="00E86635">
      <w:pPr>
        <w:pStyle w:val="Caption"/>
        <w:keepNext/>
        <w:spacing w:line="360" w:lineRule="auto"/>
        <w:jc w:val="both"/>
        <w:rPr>
          <w:rFonts w:ascii="Arial" w:hAnsi="Arial" w:cs="Arial"/>
          <w:sz w:val="24"/>
          <w:szCs w:val="24"/>
        </w:rPr>
      </w:pPr>
      <w:bookmarkStart w:id="64" w:name="_Toc239695427"/>
      <w:r w:rsidRPr="00E86635">
        <w:rPr>
          <w:rFonts w:ascii="Arial" w:hAnsi="Arial" w:cs="Arial"/>
          <w:sz w:val="24"/>
          <w:szCs w:val="24"/>
        </w:rPr>
        <w:t xml:space="preserve">Table </w:t>
      </w:r>
      <w:r w:rsidRPr="00E86635">
        <w:rPr>
          <w:rFonts w:ascii="Arial" w:hAnsi="Arial" w:cs="Arial"/>
          <w:sz w:val="24"/>
          <w:szCs w:val="24"/>
        </w:rPr>
        <w:fldChar w:fldCharType="begin"/>
      </w:r>
      <w:r w:rsidRPr="00E86635">
        <w:rPr>
          <w:rFonts w:ascii="Arial" w:hAnsi="Arial" w:cs="Arial"/>
          <w:sz w:val="24"/>
          <w:szCs w:val="24"/>
        </w:rPr>
        <w:instrText xml:space="preserve"> SEQ Table \* ARABIC </w:instrText>
      </w:r>
      <w:r w:rsidRPr="00E86635">
        <w:rPr>
          <w:rFonts w:ascii="Arial" w:hAnsi="Arial" w:cs="Arial"/>
          <w:sz w:val="24"/>
          <w:szCs w:val="24"/>
        </w:rPr>
        <w:fldChar w:fldCharType="separate"/>
      </w:r>
      <w:r w:rsidR="007C175A">
        <w:rPr>
          <w:rFonts w:ascii="Arial" w:hAnsi="Arial" w:cs="Arial"/>
          <w:noProof/>
          <w:sz w:val="24"/>
          <w:szCs w:val="24"/>
        </w:rPr>
        <w:t>8</w:t>
      </w:r>
      <w:r w:rsidRPr="00E86635">
        <w:rPr>
          <w:rFonts w:ascii="Arial" w:hAnsi="Arial" w:cs="Arial"/>
          <w:sz w:val="24"/>
          <w:szCs w:val="24"/>
        </w:rPr>
        <w:fldChar w:fldCharType="end"/>
      </w:r>
      <w:r w:rsidRPr="00E86635">
        <w:rPr>
          <w:rFonts w:ascii="Arial" w:hAnsi="Arial" w:cs="Arial"/>
          <w:sz w:val="24"/>
          <w:szCs w:val="24"/>
        </w:rPr>
        <w:t>: SWOT Analysis of The Ethical Bean Coffee House</w:t>
      </w:r>
      <w:bookmarkEnd w:id="64"/>
    </w:p>
    <w:tbl>
      <w:tblPr>
        <w:tblStyle w:val="TableGrid"/>
        <w:tblW w:w="0" w:type="auto"/>
        <w:tblLook w:val="04A0" w:firstRow="1" w:lastRow="0" w:firstColumn="1" w:lastColumn="0" w:noHBand="0" w:noVBand="1"/>
      </w:tblPr>
      <w:tblGrid>
        <w:gridCol w:w="4508"/>
        <w:gridCol w:w="4508"/>
      </w:tblGrid>
      <w:tr w:rsidR="00183A1B" w:rsidRPr="00E86635" w14:paraId="17E0737B" w14:textId="77777777" w:rsidTr="00183A1B">
        <w:tc>
          <w:tcPr>
            <w:tcW w:w="4508" w:type="dxa"/>
          </w:tcPr>
          <w:p w14:paraId="174AD846"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Strengths</w:t>
            </w:r>
          </w:p>
        </w:tc>
        <w:tc>
          <w:tcPr>
            <w:tcW w:w="4508" w:type="dxa"/>
          </w:tcPr>
          <w:p w14:paraId="2D57AEFA"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Weaknesses</w:t>
            </w:r>
          </w:p>
        </w:tc>
      </w:tr>
      <w:tr w:rsidR="00183A1B" w:rsidRPr="00E86635" w14:paraId="53BEB0FE" w14:textId="77777777" w:rsidTr="00183A1B">
        <w:tc>
          <w:tcPr>
            <w:tcW w:w="4508" w:type="dxa"/>
          </w:tcPr>
          <w:p w14:paraId="18BAF42D"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Clear ethical and sustainability orientation</w:t>
            </w:r>
          </w:p>
        </w:tc>
        <w:tc>
          <w:tcPr>
            <w:tcW w:w="4508" w:type="dxa"/>
          </w:tcPr>
          <w:p w14:paraId="5736288E"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New and unproven brand</w:t>
            </w:r>
          </w:p>
        </w:tc>
      </w:tr>
      <w:tr w:rsidR="00183A1B" w:rsidRPr="00E86635" w14:paraId="7B365735" w14:textId="77777777" w:rsidTr="00183A1B">
        <w:tc>
          <w:tcPr>
            <w:tcW w:w="4508" w:type="dxa"/>
          </w:tcPr>
          <w:p w14:paraId="5598DF35"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Potentially distinctive sourcing transparency</w:t>
            </w:r>
          </w:p>
        </w:tc>
        <w:tc>
          <w:tcPr>
            <w:tcW w:w="4508" w:type="dxa"/>
          </w:tcPr>
          <w:p w14:paraId="64B7D369"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Limited economies of scale</w:t>
            </w:r>
          </w:p>
        </w:tc>
      </w:tr>
      <w:tr w:rsidR="00183A1B" w:rsidRPr="00E86635" w14:paraId="33EAF391" w14:textId="77777777" w:rsidTr="00183A1B">
        <w:tc>
          <w:tcPr>
            <w:tcW w:w="4508" w:type="dxa"/>
          </w:tcPr>
          <w:p w14:paraId="6EBC73F4"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Specialty-quality coffee proposition</w:t>
            </w:r>
          </w:p>
        </w:tc>
        <w:tc>
          <w:tcPr>
            <w:tcW w:w="4508" w:type="dxa"/>
          </w:tcPr>
          <w:p w14:paraId="4EB94077"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No established customer loyalty</w:t>
            </w:r>
          </w:p>
        </w:tc>
      </w:tr>
      <w:tr w:rsidR="00183A1B" w:rsidRPr="00E86635" w14:paraId="0E42C31F" w14:textId="77777777" w:rsidTr="00183A1B">
        <w:tc>
          <w:tcPr>
            <w:tcW w:w="4508" w:type="dxa"/>
          </w:tcPr>
          <w:p w14:paraId="578ECF73"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Ability to design customer experience from inception</w:t>
            </w:r>
          </w:p>
        </w:tc>
        <w:tc>
          <w:tcPr>
            <w:tcW w:w="4508" w:type="dxa"/>
          </w:tcPr>
          <w:p w14:paraId="1CB95D73"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Dependence on external suppliers</w:t>
            </w:r>
          </w:p>
        </w:tc>
      </w:tr>
      <w:tr w:rsidR="00183A1B" w:rsidRPr="00E86635" w14:paraId="053A0A46" w14:textId="77777777" w:rsidTr="00183A1B">
        <w:tc>
          <w:tcPr>
            <w:tcW w:w="4508" w:type="dxa"/>
          </w:tcPr>
          <w:p w14:paraId="32443489"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Flexible independent operating model</w:t>
            </w:r>
          </w:p>
        </w:tc>
        <w:tc>
          <w:tcPr>
            <w:tcW w:w="4508" w:type="dxa"/>
          </w:tcPr>
          <w:p w14:paraId="7DA02F0D"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Limited financial and organisational resources</w:t>
            </w:r>
          </w:p>
        </w:tc>
      </w:tr>
      <w:tr w:rsidR="00183A1B" w:rsidRPr="00E86635" w14:paraId="70D816E1" w14:textId="77777777" w:rsidTr="00183A1B">
        <w:tc>
          <w:tcPr>
            <w:tcW w:w="4508" w:type="dxa"/>
          </w:tcPr>
          <w:p w14:paraId="1EA8DF59"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Opportunities</w:t>
            </w:r>
          </w:p>
        </w:tc>
        <w:tc>
          <w:tcPr>
            <w:tcW w:w="4508" w:type="dxa"/>
          </w:tcPr>
          <w:p w14:paraId="4F8D0A7C" w14:textId="77777777" w:rsidR="00183A1B" w:rsidRPr="00E2542F" w:rsidRDefault="00183A1B"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t>Threats</w:t>
            </w:r>
          </w:p>
        </w:tc>
      </w:tr>
      <w:tr w:rsidR="00183A1B" w:rsidRPr="00E86635" w14:paraId="6E8EB7FE" w14:textId="77777777" w:rsidTr="00183A1B">
        <w:tc>
          <w:tcPr>
            <w:tcW w:w="4508" w:type="dxa"/>
          </w:tcPr>
          <w:p w14:paraId="2CF29BCB"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Continuing UK coffee-shop market growth</w:t>
            </w:r>
          </w:p>
        </w:tc>
        <w:tc>
          <w:tcPr>
            <w:tcW w:w="4508" w:type="dxa"/>
          </w:tcPr>
          <w:p w14:paraId="724F7D81"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Strong local specialty competitors</w:t>
            </w:r>
          </w:p>
        </w:tc>
      </w:tr>
      <w:tr w:rsidR="00183A1B" w:rsidRPr="00E86635" w14:paraId="48E18D3C" w14:textId="77777777" w:rsidTr="00183A1B">
        <w:tc>
          <w:tcPr>
            <w:tcW w:w="4508" w:type="dxa"/>
          </w:tcPr>
          <w:p w14:paraId="74358E78"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Demand for quality, hospitality and experience</w:t>
            </w:r>
          </w:p>
        </w:tc>
        <w:tc>
          <w:tcPr>
            <w:tcW w:w="4508" w:type="dxa"/>
          </w:tcPr>
          <w:p w14:paraId="45A793E5"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 buyer switching power</w:t>
            </w:r>
          </w:p>
        </w:tc>
      </w:tr>
      <w:tr w:rsidR="00183A1B" w:rsidRPr="00E86635" w14:paraId="662F48C7" w14:textId="77777777" w:rsidTr="00183A1B">
        <w:tc>
          <w:tcPr>
            <w:tcW w:w="4508" w:type="dxa"/>
          </w:tcPr>
          <w:p w14:paraId="0FF416DC"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Consumer interest in ethical consumption</w:t>
            </w:r>
          </w:p>
        </w:tc>
        <w:tc>
          <w:tcPr>
            <w:tcW w:w="4508" w:type="dxa"/>
          </w:tcPr>
          <w:p w14:paraId="221DA428"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Strong substitutes, including home coffee</w:t>
            </w:r>
          </w:p>
        </w:tc>
      </w:tr>
      <w:tr w:rsidR="00183A1B" w:rsidRPr="00E86635" w14:paraId="0978C125" w14:textId="77777777" w:rsidTr="00183A1B">
        <w:tc>
          <w:tcPr>
            <w:tcW w:w="4508" w:type="dxa"/>
          </w:tcPr>
          <w:p w14:paraId="3F07E79D"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lastRenderedPageBreak/>
              <w:t>Growth of independent/specialty operators</w:t>
            </w:r>
          </w:p>
        </w:tc>
        <w:tc>
          <w:tcPr>
            <w:tcW w:w="4508" w:type="dxa"/>
          </w:tcPr>
          <w:p w14:paraId="2D4D4C66"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Inflation and operating-cost pressure</w:t>
            </w:r>
          </w:p>
        </w:tc>
      </w:tr>
      <w:tr w:rsidR="00183A1B" w:rsidRPr="00E86635" w14:paraId="505C443B" w14:textId="77777777" w:rsidTr="00183A1B">
        <w:tc>
          <w:tcPr>
            <w:tcW w:w="4508" w:type="dxa"/>
          </w:tcPr>
          <w:p w14:paraId="789664FB"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Digital ordering and customer engagement</w:t>
            </w:r>
          </w:p>
        </w:tc>
        <w:tc>
          <w:tcPr>
            <w:tcW w:w="4508" w:type="dxa"/>
          </w:tcPr>
          <w:p w14:paraId="3CACE865" w14:textId="77777777" w:rsidR="00183A1B" w:rsidRPr="00E86635" w:rsidRDefault="00183A1B"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Competitors can imitate visible sustainability features</w:t>
            </w:r>
          </w:p>
        </w:tc>
      </w:tr>
    </w:tbl>
    <w:p w14:paraId="769FC5A3" w14:textId="77777777" w:rsidR="00796EBD" w:rsidRPr="00E86635" w:rsidRDefault="00796EBD"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SWOT shows that the main strategic issue is the tension between the Wo and the St. The idea has something going for it based on the growing awareness of consumers about ethical and experiential consumption, but it is not as well known or as large as its competitors. Meanwhile, its moral claim can only ease the competition if customers feel it is believable and genuine, not marketing.</w:t>
      </w:r>
    </w:p>
    <w:p w14:paraId="0D477EB0" w14:textId="6AFE0DAA" w:rsidR="00572CAA" w:rsidRPr="00E86635" w:rsidRDefault="00796EBD"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Four strategic questions, therefore arise. The first ever thing the venture has to do, is to be more than a typical coffee specialty. Second, just as with the first, ethical differentiation needs to be transformed into something tangible for the customer. Thirdly, price needs to be kept at a level that doesn't exclude customers even in the face of increased ethical and sustainability expenses. Fourthly, there should be a focus on capability building rather than aggressive expansion</w:t>
      </w:r>
      <w:r w:rsidR="00572CAA" w:rsidRPr="00E86635">
        <w:rPr>
          <w:rFonts w:ascii="Arial" w:eastAsia="Times New Roman" w:hAnsi="Arial" w:cs="Arial"/>
          <w:sz w:val="24"/>
          <w:szCs w:val="24"/>
          <w:lang w:val="en-GB" w:eastAsia="en-GB"/>
        </w:rPr>
        <w:t>.</w:t>
      </w:r>
    </w:p>
    <w:p w14:paraId="0AD3D49F" w14:textId="77777777" w:rsidR="00572CAA" w:rsidRPr="00E86635" w:rsidRDefault="00572CAA" w:rsidP="00E2542F">
      <w:pPr>
        <w:pStyle w:val="Heading2"/>
        <w:rPr>
          <w:rFonts w:eastAsia="Times New Roman"/>
          <w:lang w:val="en-GB" w:eastAsia="en-GB"/>
        </w:rPr>
      </w:pPr>
      <w:bookmarkStart w:id="65" w:name="_Toc239695381"/>
      <w:r w:rsidRPr="00E86635">
        <w:rPr>
          <w:rFonts w:eastAsia="Times New Roman"/>
          <w:lang w:val="en-GB" w:eastAsia="en-GB"/>
        </w:rPr>
        <w:t>7.4 Strategic Alternatives and Choice</w:t>
      </w:r>
      <w:bookmarkEnd w:id="65"/>
    </w:p>
    <w:p w14:paraId="7B909174" w14:textId="77777777" w:rsidR="00572CAA" w:rsidRPr="00E86635" w:rsidRDefault="00572CAA"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Three realistic alternatives are considered.</w:t>
      </w:r>
    </w:p>
    <w:p w14:paraId="74290A18" w14:textId="77777777" w:rsidR="00572CAA" w:rsidRPr="00E86635" w:rsidRDefault="00572CAA" w:rsidP="00E2542F">
      <w:pPr>
        <w:pStyle w:val="Heading3"/>
        <w:rPr>
          <w:rFonts w:eastAsia="Times New Roman"/>
          <w:lang w:val="en-GB" w:eastAsia="en-GB"/>
        </w:rPr>
      </w:pPr>
      <w:bookmarkStart w:id="66" w:name="_Toc239695382"/>
      <w:r w:rsidRPr="00E86635">
        <w:rPr>
          <w:rFonts w:eastAsia="Times New Roman"/>
          <w:lang w:val="en-GB" w:eastAsia="en-GB"/>
        </w:rPr>
        <w:t>Alternative 1: Premium Specialty Differentiation</w:t>
      </w:r>
      <w:bookmarkEnd w:id="66"/>
    </w:p>
    <w:p w14:paraId="5A1B5ED3" w14:textId="77777777" w:rsidR="004E25D5" w:rsidRPr="00E86635" w:rsidRDefault="004E25D5"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first would relegate The Ethical Bean Coffee House to higher quality specialty coffee shop, one that would be able to market exceptional coffee, unique brewing techniques, food and high-end ambience. This would appeal to specialty-coffee drinkers and high-income consumers who want high-quality coffee experiences at their cafes.</w:t>
      </w:r>
    </w:p>
    <w:p w14:paraId="5DCF7C91" w14:textId="0FD4CD8B" w:rsidR="00572CAA" w:rsidRPr="00E86635" w:rsidRDefault="004E25D5"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It's about clarity of strategy and being able to charge more. But it is limited in terms of suitability due to the competitive landscape with strong specialty operators. WatchHouse and Monmouth have established reputations and customer recognition. The strategy would thus need to face significant credibility and brand hurdles from the new enterprise. It may also be at odds with price sensitivity found in Chapter 5. </w:t>
      </w:r>
      <w:r w:rsidRPr="00E86635">
        <w:rPr>
          <w:rFonts w:ascii="Arial" w:eastAsia="Times New Roman" w:hAnsi="Arial" w:cs="Arial"/>
          <w:sz w:val="24"/>
          <w:szCs w:val="24"/>
          <w:lang w:val="en-GB" w:eastAsia="en-GB"/>
        </w:rPr>
        <w:lastRenderedPageBreak/>
        <w:t>Agricultural and Livestock Science and Technology: Agricultural and Livestock Science and Technology: World Coffee Portal (2025) and World Coffee Portal (2026)</w:t>
      </w:r>
      <w:r w:rsidR="00572CAA" w:rsidRPr="00E86635">
        <w:rPr>
          <w:rFonts w:ascii="Arial" w:eastAsia="Times New Roman" w:hAnsi="Arial" w:cs="Arial"/>
          <w:sz w:val="24"/>
          <w:szCs w:val="24"/>
          <w:lang w:val="en-GB" w:eastAsia="en-GB"/>
        </w:rPr>
        <w:t>.</w:t>
      </w:r>
    </w:p>
    <w:p w14:paraId="7BEAA3E2" w14:textId="77777777" w:rsidR="00572CAA" w:rsidRPr="00E86635" w:rsidRDefault="00572CAA" w:rsidP="00E2542F">
      <w:pPr>
        <w:pStyle w:val="Heading3"/>
        <w:rPr>
          <w:rFonts w:eastAsia="Times New Roman"/>
          <w:lang w:val="en-GB" w:eastAsia="en-GB"/>
        </w:rPr>
      </w:pPr>
      <w:bookmarkStart w:id="67" w:name="_Toc239695383"/>
      <w:r w:rsidRPr="00E86635">
        <w:rPr>
          <w:rFonts w:eastAsia="Times New Roman"/>
          <w:lang w:val="en-GB" w:eastAsia="en-GB"/>
        </w:rPr>
        <w:t>Alternative 2: Focused Ethical Differentiation</w:t>
      </w:r>
      <w:bookmarkEnd w:id="67"/>
    </w:p>
    <w:p w14:paraId="369988DE" w14:textId="77777777" w:rsidR="00310DA3" w:rsidRPr="00E86635" w:rsidRDefault="00310DA3"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other is to aim at the customers who appreciate the quality coffee, and also who desire a legitimate ethical sourcing, a sustainable production and an genuine café experience. The venture wouldn't be a plus but rather sustainability as a part of the whole customer experience, with transparency and responsible sourcing being part of the whole package.</w:t>
      </w:r>
    </w:p>
    <w:p w14:paraId="3B247016" w14:textId="77777777" w:rsidR="00310DA3" w:rsidRPr="00E86635" w:rsidRDefault="00310DA3"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This is preferable as it takes direct action to address the positioning gap identified in Chapter 6. It also leverages the capability the venture says it would provide without competing on any particular skills. The ethical proposition may encompass supplier disclosure, responsible sourcing, decreased packaging waste, incentives to use reusable cups, and communicating the social and environmental impacts of purchasing.</w:t>
      </w:r>
    </w:p>
    <w:p w14:paraId="20627740" w14:textId="0A832E79" w:rsidR="00572CAA" w:rsidRPr="00E86635" w:rsidRDefault="00310DA3"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Its biggest drawback is that ethics are not enough if customers believe that the offer is too costly. The strategy needs to, therefore, incorporate ethics with quality, service and value. This aligns with more recent evidence from the industry that consumers are still willing to buy products from the coffee shop, but they are concerned about what they are getting for their money</w:t>
      </w:r>
      <w:r w:rsidR="00572CAA" w:rsidRPr="00E86635">
        <w:rPr>
          <w:rFonts w:ascii="Arial" w:eastAsia="Times New Roman" w:hAnsi="Arial" w:cs="Arial"/>
          <w:sz w:val="24"/>
          <w:szCs w:val="24"/>
          <w:lang w:val="en-GB" w:eastAsia="en-GB"/>
        </w:rPr>
        <w:t>.</w:t>
      </w:r>
    </w:p>
    <w:p w14:paraId="7C859BD4" w14:textId="77777777" w:rsidR="00572CAA" w:rsidRPr="00E86635" w:rsidRDefault="00572CAA" w:rsidP="00E2542F">
      <w:pPr>
        <w:pStyle w:val="Heading3"/>
        <w:rPr>
          <w:rFonts w:eastAsia="Times New Roman"/>
          <w:lang w:val="en-GB" w:eastAsia="en-GB"/>
        </w:rPr>
      </w:pPr>
      <w:bookmarkStart w:id="68" w:name="_Toc239695384"/>
      <w:r w:rsidRPr="00E86635">
        <w:rPr>
          <w:rFonts w:eastAsia="Times New Roman"/>
          <w:lang w:val="en-GB" w:eastAsia="en-GB"/>
        </w:rPr>
        <w:t>Alternative 3: Focused Entry Followed by Evidence-Led Expansion</w:t>
      </w:r>
      <w:bookmarkEnd w:id="68"/>
    </w:p>
    <w:p w14:paraId="1850BE02" w14:textId="77777777" w:rsidR="00376A06" w:rsidRPr="00E86635" w:rsidRDefault="00376A0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third combines specific ethical differentiation and a step-by-step developmental process. The first café would be carefully sited, focus on a specific customer group and gather data on repeat visits, average spends, customer satisfaction and willingness to pay. Expansion would be to takeaway, digital ordering, packaged beans, partnerships or additional locations, following initial commercial viability of the model.</w:t>
      </w:r>
    </w:p>
    <w:p w14:paraId="294EE3BC" w14:textId="6C96108A" w:rsidR="00572CAA" w:rsidRPr="00E86635" w:rsidRDefault="00376A0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This is the best alternative as it diminishes the uncertainty and limited resource risk. The business does not have to compete straight away on the basis of scale. Rather, it could be smaller in size, establish customer relationship, learn fast and continually tweak its ethical proposition.  (World Coffee Portal, 2026)</w:t>
      </w:r>
      <w:r w:rsidR="00572CAA" w:rsidRPr="00E86635">
        <w:rPr>
          <w:rFonts w:ascii="Arial" w:eastAsia="Times New Roman" w:hAnsi="Arial" w:cs="Arial"/>
          <w:sz w:val="24"/>
          <w:szCs w:val="24"/>
          <w:lang w:val="en-GB" w:eastAsia="en-GB"/>
        </w:rPr>
        <w:t>.</w:t>
      </w:r>
    </w:p>
    <w:p w14:paraId="49BBC5D0" w14:textId="67E1C1F1" w:rsidR="004774F6" w:rsidRPr="00E2542F" w:rsidRDefault="00572CAA" w:rsidP="00E86635">
      <w:pPr>
        <w:spacing w:before="100" w:beforeAutospacing="1" w:after="100" w:afterAutospacing="1" w:line="360" w:lineRule="auto"/>
        <w:jc w:val="both"/>
        <w:rPr>
          <w:rFonts w:ascii="Arial" w:eastAsia="Times New Roman" w:hAnsi="Arial" w:cs="Arial"/>
          <w:b/>
          <w:sz w:val="24"/>
          <w:szCs w:val="24"/>
          <w:lang w:val="en-GB" w:eastAsia="en-GB"/>
        </w:rPr>
      </w:pPr>
      <w:r w:rsidRPr="00E2542F">
        <w:rPr>
          <w:rFonts w:ascii="Arial" w:eastAsia="Times New Roman" w:hAnsi="Arial" w:cs="Arial"/>
          <w:b/>
          <w:sz w:val="24"/>
          <w:szCs w:val="24"/>
          <w:lang w:val="en-GB" w:eastAsia="en-GB"/>
        </w:rPr>
        <w:lastRenderedPageBreak/>
        <w:t>The alternatives can therefore be assessed as follows:</w:t>
      </w:r>
    </w:p>
    <w:p w14:paraId="773C9D34" w14:textId="086C8000" w:rsidR="004774F6" w:rsidRPr="00E86635" w:rsidRDefault="004774F6" w:rsidP="00E86635">
      <w:pPr>
        <w:pStyle w:val="Caption"/>
        <w:keepNext/>
        <w:spacing w:line="360" w:lineRule="auto"/>
        <w:jc w:val="both"/>
        <w:rPr>
          <w:rFonts w:ascii="Arial" w:hAnsi="Arial" w:cs="Arial"/>
          <w:sz w:val="24"/>
          <w:szCs w:val="24"/>
        </w:rPr>
      </w:pPr>
      <w:bookmarkStart w:id="69" w:name="_Toc239695428"/>
      <w:r w:rsidRPr="00E86635">
        <w:rPr>
          <w:rFonts w:ascii="Arial" w:hAnsi="Arial" w:cs="Arial"/>
          <w:sz w:val="24"/>
          <w:szCs w:val="24"/>
        </w:rPr>
        <w:t xml:space="preserve">Table </w:t>
      </w:r>
      <w:r w:rsidRPr="00E86635">
        <w:rPr>
          <w:rFonts w:ascii="Arial" w:hAnsi="Arial" w:cs="Arial"/>
          <w:sz w:val="24"/>
          <w:szCs w:val="24"/>
        </w:rPr>
        <w:fldChar w:fldCharType="begin"/>
      </w:r>
      <w:r w:rsidRPr="00E86635">
        <w:rPr>
          <w:rFonts w:ascii="Arial" w:hAnsi="Arial" w:cs="Arial"/>
          <w:sz w:val="24"/>
          <w:szCs w:val="24"/>
        </w:rPr>
        <w:instrText xml:space="preserve"> SEQ Table \* ARABIC </w:instrText>
      </w:r>
      <w:r w:rsidRPr="00E86635">
        <w:rPr>
          <w:rFonts w:ascii="Arial" w:hAnsi="Arial" w:cs="Arial"/>
          <w:sz w:val="24"/>
          <w:szCs w:val="24"/>
        </w:rPr>
        <w:fldChar w:fldCharType="separate"/>
      </w:r>
      <w:r w:rsidR="007C175A">
        <w:rPr>
          <w:rFonts w:ascii="Arial" w:hAnsi="Arial" w:cs="Arial"/>
          <w:noProof/>
          <w:sz w:val="24"/>
          <w:szCs w:val="24"/>
        </w:rPr>
        <w:t>9</w:t>
      </w:r>
      <w:r w:rsidRPr="00E86635">
        <w:rPr>
          <w:rFonts w:ascii="Arial" w:hAnsi="Arial" w:cs="Arial"/>
          <w:sz w:val="24"/>
          <w:szCs w:val="24"/>
        </w:rPr>
        <w:fldChar w:fldCharType="end"/>
      </w:r>
      <w:r w:rsidRPr="00E86635">
        <w:rPr>
          <w:rFonts w:ascii="Arial" w:hAnsi="Arial" w:cs="Arial"/>
          <w:sz w:val="24"/>
          <w:szCs w:val="24"/>
        </w:rPr>
        <w:t>: Evaluation of Strategic Alternatives</w:t>
      </w:r>
      <w:bookmarkEnd w:id="69"/>
    </w:p>
    <w:tbl>
      <w:tblPr>
        <w:tblStyle w:val="TableGrid"/>
        <w:tblW w:w="0" w:type="auto"/>
        <w:tblLook w:val="04A0" w:firstRow="1" w:lastRow="0" w:firstColumn="1" w:lastColumn="0" w:noHBand="0" w:noVBand="1"/>
      </w:tblPr>
      <w:tblGrid>
        <w:gridCol w:w="2254"/>
        <w:gridCol w:w="2254"/>
        <w:gridCol w:w="2254"/>
        <w:gridCol w:w="2254"/>
      </w:tblGrid>
      <w:tr w:rsidR="004774F6" w:rsidRPr="00E86635" w14:paraId="296C0F8D" w14:textId="77777777" w:rsidTr="004774F6">
        <w:tc>
          <w:tcPr>
            <w:tcW w:w="2254" w:type="dxa"/>
          </w:tcPr>
          <w:p w14:paraId="793222C0" w14:textId="77777777" w:rsidR="004774F6" w:rsidRPr="00E86635" w:rsidRDefault="004774F6"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Criterion</w:t>
            </w:r>
          </w:p>
        </w:tc>
        <w:tc>
          <w:tcPr>
            <w:tcW w:w="2254" w:type="dxa"/>
          </w:tcPr>
          <w:p w14:paraId="136C09DA" w14:textId="77777777" w:rsidR="004774F6" w:rsidRPr="00E86635" w:rsidRDefault="004774F6"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Premium specialty</w:t>
            </w:r>
          </w:p>
        </w:tc>
        <w:tc>
          <w:tcPr>
            <w:tcW w:w="2254" w:type="dxa"/>
          </w:tcPr>
          <w:p w14:paraId="32C2AB77" w14:textId="77777777" w:rsidR="004774F6" w:rsidRPr="00E86635" w:rsidRDefault="004774F6"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Ethical differentiation</w:t>
            </w:r>
          </w:p>
        </w:tc>
        <w:tc>
          <w:tcPr>
            <w:tcW w:w="2254" w:type="dxa"/>
          </w:tcPr>
          <w:p w14:paraId="7138C1B4" w14:textId="77777777" w:rsidR="004774F6" w:rsidRPr="00E86635" w:rsidRDefault="004774F6"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sz w:val="24"/>
                <w:szCs w:val="24"/>
                <w:lang w:val="en-GB" w:eastAsia="en-GB"/>
              </w:rPr>
              <w:t>Focused staged differentiation</w:t>
            </w:r>
          </w:p>
        </w:tc>
      </w:tr>
      <w:tr w:rsidR="004774F6" w:rsidRPr="00E86635" w14:paraId="7B6BA5C1" w14:textId="77777777" w:rsidTr="004774F6">
        <w:tc>
          <w:tcPr>
            <w:tcW w:w="2254" w:type="dxa"/>
          </w:tcPr>
          <w:p w14:paraId="319D6320"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Suitability</w:t>
            </w:r>
          </w:p>
        </w:tc>
        <w:tc>
          <w:tcPr>
            <w:tcW w:w="2254" w:type="dxa"/>
          </w:tcPr>
          <w:p w14:paraId="7DF0805D"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Moderate</w:t>
            </w:r>
          </w:p>
        </w:tc>
        <w:tc>
          <w:tcPr>
            <w:tcW w:w="2254" w:type="dxa"/>
          </w:tcPr>
          <w:p w14:paraId="0E796367"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w:t>
            </w:r>
          </w:p>
        </w:tc>
        <w:tc>
          <w:tcPr>
            <w:tcW w:w="2254" w:type="dxa"/>
          </w:tcPr>
          <w:p w14:paraId="61E72462"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w:t>
            </w:r>
          </w:p>
        </w:tc>
      </w:tr>
      <w:tr w:rsidR="004774F6" w:rsidRPr="00E86635" w14:paraId="31536F54" w14:textId="77777777" w:rsidTr="004774F6">
        <w:tc>
          <w:tcPr>
            <w:tcW w:w="2254" w:type="dxa"/>
          </w:tcPr>
          <w:p w14:paraId="6BC2DB5D"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Acceptability</w:t>
            </w:r>
          </w:p>
        </w:tc>
        <w:tc>
          <w:tcPr>
            <w:tcW w:w="2254" w:type="dxa"/>
          </w:tcPr>
          <w:p w14:paraId="2D668189"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Moderate</w:t>
            </w:r>
          </w:p>
        </w:tc>
        <w:tc>
          <w:tcPr>
            <w:tcW w:w="2254" w:type="dxa"/>
          </w:tcPr>
          <w:p w14:paraId="50843D42"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w:t>
            </w:r>
          </w:p>
        </w:tc>
        <w:tc>
          <w:tcPr>
            <w:tcW w:w="2254" w:type="dxa"/>
          </w:tcPr>
          <w:p w14:paraId="7C2EFAAB"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w:t>
            </w:r>
          </w:p>
        </w:tc>
      </w:tr>
      <w:tr w:rsidR="004774F6" w:rsidRPr="00E86635" w14:paraId="4DA222F5" w14:textId="77777777" w:rsidTr="004774F6">
        <w:tc>
          <w:tcPr>
            <w:tcW w:w="2254" w:type="dxa"/>
          </w:tcPr>
          <w:p w14:paraId="68E2B112"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Feasibility</w:t>
            </w:r>
          </w:p>
        </w:tc>
        <w:tc>
          <w:tcPr>
            <w:tcW w:w="2254" w:type="dxa"/>
          </w:tcPr>
          <w:p w14:paraId="5BAFEB49"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Moderate</w:t>
            </w:r>
          </w:p>
        </w:tc>
        <w:tc>
          <w:tcPr>
            <w:tcW w:w="2254" w:type="dxa"/>
          </w:tcPr>
          <w:p w14:paraId="06E23101"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w:t>
            </w:r>
          </w:p>
        </w:tc>
        <w:tc>
          <w:tcPr>
            <w:tcW w:w="2254" w:type="dxa"/>
          </w:tcPr>
          <w:p w14:paraId="2E7EB2E7"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Very high</w:t>
            </w:r>
          </w:p>
        </w:tc>
      </w:tr>
      <w:tr w:rsidR="004774F6" w:rsidRPr="00E86635" w14:paraId="077FDC1D" w14:textId="77777777" w:rsidTr="004774F6">
        <w:tc>
          <w:tcPr>
            <w:tcW w:w="2254" w:type="dxa"/>
          </w:tcPr>
          <w:p w14:paraId="6023DF14"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Coherence</w:t>
            </w:r>
          </w:p>
        </w:tc>
        <w:tc>
          <w:tcPr>
            <w:tcW w:w="2254" w:type="dxa"/>
          </w:tcPr>
          <w:p w14:paraId="5B31E672"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w:t>
            </w:r>
          </w:p>
        </w:tc>
        <w:tc>
          <w:tcPr>
            <w:tcW w:w="2254" w:type="dxa"/>
          </w:tcPr>
          <w:p w14:paraId="246277A3"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Very high</w:t>
            </w:r>
          </w:p>
        </w:tc>
        <w:tc>
          <w:tcPr>
            <w:tcW w:w="2254" w:type="dxa"/>
          </w:tcPr>
          <w:p w14:paraId="709461FB"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Very high</w:t>
            </w:r>
          </w:p>
        </w:tc>
      </w:tr>
      <w:tr w:rsidR="004774F6" w:rsidRPr="00E86635" w14:paraId="53D5883E" w14:textId="77777777" w:rsidTr="004774F6">
        <w:tc>
          <w:tcPr>
            <w:tcW w:w="2254" w:type="dxa"/>
          </w:tcPr>
          <w:p w14:paraId="4F2BF6D0"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Defensibility</w:t>
            </w:r>
          </w:p>
        </w:tc>
        <w:tc>
          <w:tcPr>
            <w:tcW w:w="2254" w:type="dxa"/>
          </w:tcPr>
          <w:p w14:paraId="64A85ED4"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Low–moderate</w:t>
            </w:r>
          </w:p>
        </w:tc>
        <w:tc>
          <w:tcPr>
            <w:tcW w:w="2254" w:type="dxa"/>
          </w:tcPr>
          <w:p w14:paraId="2A4ADFFB"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Moderate–high</w:t>
            </w:r>
          </w:p>
        </w:tc>
        <w:tc>
          <w:tcPr>
            <w:tcW w:w="2254" w:type="dxa"/>
          </w:tcPr>
          <w:p w14:paraId="157F686B" w14:textId="77777777"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High over time</w:t>
            </w:r>
          </w:p>
        </w:tc>
      </w:tr>
    </w:tbl>
    <w:p w14:paraId="63B79D3C" w14:textId="33443B35" w:rsidR="004774F6" w:rsidRPr="00E86635" w:rsidRDefault="004774F6"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b/>
          <w:sz w:val="24"/>
          <w:szCs w:val="24"/>
          <w:lang w:val="en-GB" w:eastAsia="en-GB"/>
        </w:rPr>
        <w:t>Source:</w:t>
      </w:r>
      <w:r w:rsidRPr="00E86635">
        <w:rPr>
          <w:rFonts w:ascii="Arial" w:eastAsia="Times New Roman" w:hAnsi="Arial" w:cs="Arial"/>
          <w:sz w:val="24"/>
          <w:szCs w:val="24"/>
          <w:lang w:val="en-GB" w:eastAsia="en-GB"/>
        </w:rPr>
        <w:t xml:space="preserve"> Researcher’s analysis based on Chapters 5 and 6.</w:t>
      </w:r>
    </w:p>
    <w:p w14:paraId="35F3EFFD" w14:textId="77777777" w:rsidR="004005C8" w:rsidRPr="00E86635" w:rsidRDefault="004005C8"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recommended approach is to differentiate ethically and to develop the market in stages. It has the greatest attributes of suitability, feasibility, acceptability, coherence and defensibility. It also acknowledges that the best part of the venture isn't any single element, but rather all the ethical sourcing, quality, customer experience, transparency and learning.</w:t>
      </w:r>
    </w:p>
    <w:p w14:paraId="78636172" w14:textId="29F44DE1" w:rsidR="00572CAA" w:rsidRPr="00E86635" w:rsidRDefault="004005C8"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b/>
          <w:sz w:val="24"/>
          <w:szCs w:val="24"/>
          <w:lang w:val="en-GB" w:eastAsia="en-GB"/>
        </w:rPr>
        <w:t>Mission statement:</w:t>
      </w:r>
      <w:r w:rsidRPr="00E86635">
        <w:rPr>
          <w:rFonts w:ascii="Arial" w:eastAsia="Times New Roman" w:hAnsi="Arial" w:cs="Arial"/>
          <w:sz w:val="24"/>
          <w:szCs w:val="24"/>
          <w:lang w:val="en-GB" w:eastAsia="en-GB"/>
        </w:rPr>
        <w:t xml:space="preserve"> The Ethical Bean Coffee House will provide sustainable products, high quality ethically sourced coffee and a true café experience for ethically aware students, young professionals, specialty-coffee drinkers and urban café-goers in a central London market place using a physical café complemented by digital engagement. It will act by integrating ethical difference, transparency and personalized customer experience, based on credible relationships with suppliers and disciplined operations. It will go through the initial stages targeting one focused location and customer segment and will not progress to rapid multi-site expansion until customer demand, margins and operating capacity are proven.</w:t>
      </w:r>
    </w:p>
    <w:p w14:paraId="179E4C7A" w14:textId="77777777" w:rsidR="00572CAA" w:rsidRPr="00E86635" w:rsidRDefault="00572CAA" w:rsidP="00E2542F">
      <w:pPr>
        <w:pStyle w:val="Heading2"/>
        <w:rPr>
          <w:rFonts w:eastAsia="Times New Roman"/>
          <w:lang w:val="en-GB" w:eastAsia="en-GB"/>
        </w:rPr>
      </w:pPr>
      <w:bookmarkStart w:id="70" w:name="_Toc239695385"/>
      <w:r w:rsidRPr="00E86635">
        <w:rPr>
          <w:rFonts w:eastAsia="Times New Roman"/>
          <w:lang w:val="en-GB" w:eastAsia="en-GB"/>
        </w:rPr>
        <w:t>7.5 USP, Value Proposition and Positioning</w:t>
      </w:r>
      <w:bookmarkEnd w:id="70"/>
    </w:p>
    <w:p w14:paraId="4AEC16B5"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USP has to be more than “ethical coffee” as sustainability can be clearly communicated by competitors. The USP is a blend of quality specialty coffee, ethical sourcing, transparent ethical practices, and a personal experience of the café at a value proposition that is accessible.</w:t>
      </w:r>
    </w:p>
    <w:p w14:paraId="5E2FF5A5"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lastRenderedPageBreak/>
        <w:t>The target is thus to be placed between the mass market convenience store and the high cost specialty store. The business should be seen as an ethical, transparent and inclusive specialty café that makes responsible coffee an everyday, not occasional, experience.</w:t>
      </w:r>
    </w:p>
    <w:p w14:paraId="70EF9740" w14:textId="77777777" w:rsidR="002E4CF4" w:rsidRPr="00E86635" w:rsidRDefault="002E4CF4" w:rsidP="00E86635">
      <w:pPr>
        <w:spacing w:line="360" w:lineRule="auto"/>
        <w:jc w:val="both"/>
        <w:rPr>
          <w:rFonts w:ascii="Arial" w:hAnsi="Arial" w:cs="Arial"/>
          <w:b/>
          <w:sz w:val="24"/>
          <w:szCs w:val="24"/>
          <w:lang w:val="en-GB" w:eastAsia="en-GB"/>
        </w:rPr>
      </w:pPr>
      <w:r w:rsidRPr="00E86635">
        <w:rPr>
          <w:rFonts w:ascii="Arial" w:hAnsi="Arial" w:cs="Arial"/>
          <w:b/>
          <w:sz w:val="24"/>
          <w:szCs w:val="24"/>
          <w:lang w:val="en-GB" w:eastAsia="en-GB"/>
        </w:rPr>
        <w:t>Its value proposition is:</w:t>
      </w:r>
    </w:p>
    <w:p w14:paraId="328A6A10"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Ethical Bean Coffee House offers specialty-quality coffee and a fun-filled coffee house experience based on open, ethical sourcing and actionable sustainability. Unlike traditional chain cafés and specialty baristas who differentiate themselves by their size and/or convenience, or their understanding of the coffee, The Ethical Bean differentiates themselves by offering coffee that's both high quality and visibly accountable for their ethical practice, and offers personal hospitality that’s both high-tech and high-touch.</w:t>
      </w:r>
    </w:p>
    <w:p w14:paraId="0313AC60"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evidence is that quality is not enough to differentiate and that price sensitivity is a limiting factor for a premium approach. World Coffee Portal (2026) also points to some recent market evidence which shows that specialty coffee and personalised hospitality and ambience can provide an independent café with advantages, while also exerting more cost pressure than larger chains.</w:t>
      </w:r>
    </w:p>
    <w:p w14:paraId="24C89A12" w14:textId="77777777" w:rsidR="002E4CF4" w:rsidRPr="00E86635" w:rsidRDefault="002E4CF4" w:rsidP="00E86635">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most important advantage or advantages that a business has over a competitor.</w:t>
      </w:r>
    </w:p>
    <w:p w14:paraId="610C51C9" w14:textId="597EB392" w:rsidR="002E4CF4" w:rsidRPr="00E2542F" w:rsidRDefault="002E4CF4" w:rsidP="00E2542F">
      <w:pPr>
        <w:spacing w:line="360" w:lineRule="auto"/>
        <w:jc w:val="both"/>
        <w:rPr>
          <w:rFonts w:ascii="Arial" w:hAnsi="Arial" w:cs="Arial"/>
          <w:sz w:val="24"/>
          <w:szCs w:val="24"/>
          <w:lang w:val="en-GB" w:eastAsia="en-GB"/>
        </w:rPr>
      </w:pPr>
      <w:r w:rsidRPr="00E86635">
        <w:rPr>
          <w:rFonts w:ascii="Arial" w:hAnsi="Arial" w:cs="Arial"/>
          <w:sz w:val="24"/>
          <w:szCs w:val="24"/>
          <w:lang w:val="en-GB" w:eastAsia="en-GB"/>
        </w:rPr>
        <w:t>The competitive advantage sought is thus situational, not a guaranteed way to be the best, and will likely be only generational. Specialty coffee quality offers a level of parity, but the potential for a system of ethical sourcing, transparency, sustainability and customer relationships is greater to be valuable and relatively hard to emulate, according to VRIO.</w:t>
      </w:r>
    </w:p>
    <w:p w14:paraId="19F25E08" w14:textId="0B15DEAD" w:rsidR="00572CAA" w:rsidRPr="00E86635" w:rsidRDefault="00572CAA" w:rsidP="00E2542F">
      <w:pPr>
        <w:pStyle w:val="Heading2"/>
        <w:rPr>
          <w:rFonts w:eastAsia="Times New Roman"/>
          <w:lang w:val="en-GB" w:eastAsia="en-GB"/>
        </w:rPr>
      </w:pPr>
      <w:bookmarkStart w:id="71" w:name="_Toc239695386"/>
      <w:r w:rsidRPr="00E86635">
        <w:rPr>
          <w:rFonts w:eastAsia="Times New Roman"/>
          <w:lang w:val="en-GB" w:eastAsia="en-GB"/>
        </w:rPr>
        <w:t>7.6 Competitive Advantage and Key Success Factors</w:t>
      </w:r>
      <w:bookmarkEnd w:id="71"/>
    </w:p>
    <w:p w14:paraId="7C199D93"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Firstly, credible ethical sourcing. The venture should identify suppliers who can exhibit proper ethical and environmental practices. There should be evidence of the ethical promise through supplier documentation and traceability information, as well as through a periodic review of suppliers.</w:t>
      </w:r>
    </w:p>
    <w:p w14:paraId="7DBEF913"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 xml:space="preserve">Secondly, uniformity of quality and service. Training of the baristas, standardized recipes, quality-control and customer-service standards should be determined prior to </w:t>
      </w:r>
      <w:r w:rsidRPr="00E86635">
        <w:rPr>
          <w:rFonts w:ascii="Arial" w:eastAsia="Times New Roman" w:hAnsi="Arial" w:cs="Arial"/>
          <w:sz w:val="24"/>
          <w:szCs w:val="24"/>
          <w:lang w:val="en-GB" w:eastAsia="en-GB"/>
        </w:rPr>
        <w:lastRenderedPageBreak/>
        <w:t>launch. Operational indicators for customer satisfaction, repeat purchase rate, complaint rate, product consistency should be monitored.</w:t>
      </w:r>
    </w:p>
    <w:p w14:paraId="226644AA"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Third, value-based affordability. The venture should not pass on all sustainability costs onto customers. Margins should be safeguarded by menu engineering, restricted, but distinctive product ranges, waste reduction and supplier negotiations. Before expanding, it is advisable to monitor average transaction value, gross margin, repeat visits and customer willingness to purchase.</w:t>
      </w:r>
    </w:p>
    <w:p w14:paraId="486503DA" w14:textId="77777777" w:rsidR="002E4CF4"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Digital engagement should complement these abilities with loyalty, pre-ordering, gathering and communicating customer feedback about sourcing. Technology should enhance, not detract from using the human element, which is a component of the positioning.</w:t>
      </w:r>
    </w:p>
    <w:p w14:paraId="43482474" w14:textId="6AF98851" w:rsidR="00572CAA" w:rsidRPr="00E86635" w:rsidRDefault="002E4CF4" w:rsidP="00E86635">
      <w:pPr>
        <w:spacing w:before="100" w:beforeAutospacing="1" w:after="100" w:afterAutospacing="1" w:line="360" w:lineRule="auto"/>
        <w:jc w:val="both"/>
        <w:rPr>
          <w:rFonts w:ascii="Arial" w:eastAsia="Times New Roman" w:hAnsi="Arial" w:cs="Arial"/>
          <w:sz w:val="24"/>
          <w:szCs w:val="24"/>
          <w:lang w:val="en-GB" w:eastAsia="en-GB"/>
        </w:rPr>
      </w:pPr>
      <w:r w:rsidRPr="00E86635">
        <w:rPr>
          <w:rFonts w:ascii="Arial" w:eastAsia="Times New Roman" w:hAnsi="Arial" w:cs="Arial"/>
          <w:sz w:val="24"/>
          <w:szCs w:val="24"/>
          <w:lang w:val="en-GB" w:eastAsia="en-GB"/>
        </w:rPr>
        <w:t>The advantage can be made stronger by compounding learning. Customer information, suppliers, operations and procedures, brand trust and community relationships can build up with time. However, a competitor can copy visible aspects like re-useable cups or ethical statements. So, to avoid being "imitated" to death, continuous improvement and credible evidence will be required</w:t>
      </w:r>
      <w:r w:rsidR="00572CAA" w:rsidRPr="00E86635">
        <w:rPr>
          <w:rFonts w:ascii="Arial" w:eastAsia="Times New Roman" w:hAnsi="Arial" w:cs="Arial"/>
          <w:sz w:val="24"/>
          <w:szCs w:val="24"/>
          <w:lang w:val="en-GB" w:eastAsia="en-GB"/>
        </w:rPr>
        <w:t>.</w:t>
      </w:r>
    </w:p>
    <w:p w14:paraId="41AB5A05" w14:textId="77777777" w:rsidR="00572CAA" w:rsidRPr="00E86635" w:rsidRDefault="00572CAA" w:rsidP="00E2542F">
      <w:pPr>
        <w:pStyle w:val="Heading2"/>
        <w:rPr>
          <w:rFonts w:eastAsia="Times New Roman"/>
          <w:lang w:val="en-GB" w:eastAsia="en-GB"/>
        </w:rPr>
      </w:pPr>
      <w:bookmarkStart w:id="72" w:name="_Toc239695387"/>
      <w:r w:rsidRPr="00E86635">
        <w:rPr>
          <w:rFonts w:eastAsia="Times New Roman"/>
          <w:lang w:val="en-GB" w:eastAsia="en-GB"/>
        </w:rPr>
        <w:lastRenderedPageBreak/>
        <w:t>7.7 Strategic Synthesis</w:t>
      </w:r>
      <w:bookmarkEnd w:id="72"/>
    </w:p>
    <w:p w14:paraId="0E7CBD91" w14:textId="77777777" w:rsidR="003916FE" w:rsidRPr="00E86635" w:rsidRDefault="003916FE" w:rsidP="00E2542F">
      <w:pPr>
        <w:keepNext/>
        <w:spacing w:before="100" w:beforeAutospacing="1" w:after="100" w:afterAutospacing="1" w:line="360" w:lineRule="auto"/>
        <w:jc w:val="center"/>
        <w:rPr>
          <w:rFonts w:ascii="Arial" w:hAnsi="Arial" w:cs="Arial"/>
          <w:sz w:val="24"/>
          <w:szCs w:val="24"/>
        </w:rPr>
      </w:pPr>
      <w:r w:rsidRPr="00E86635">
        <w:rPr>
          <w:rFonts w:ascii="Arial" w:eastAsia="Times New Roman" w:hAnsi="Arial" w:cs="Arial"/>
          <w:noProof/>
          <w:sz w:val="24"/>
          <w:szCs w:val="24"/>
          <w:lang w:val="en-GB" w:eastAsia="en-GB"/>
          <w14:ligatures w14:val="standardContextual"/>
        </w:rPr>
        <w:drawing>
          <wp:inline distT="0" distB="0" distL="0" distR="0" wp14:anchorId="1883D4D2" wp14:editId="484B1681">
            <wp:extent cx="3771900" cy="574895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831_17491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75545" cy="5754506"/>
                    </a:xfrm>
                    <a:prstGeom prst="rect">
                      <a:avLst/>
                    </a:prstGeom>
                  </pic:spPr>
                </pic:pic>
              </a:graphicData>
            </a:graphic>
          </wp:inline>
        </w:drawing>
      </w:r>
    </w:p>
    <w:p w14:paraId="34CCF7D6" w14:textId="34613DEE" w:rsidR="003916FE" w:rsidRPr="00E86635" w:rsidRDefault="003916FE" w:rsidP="00E86635">
      <w:pPr>
        <w:pStyle w:val="Caption"/>
        <w:spacing w:line="360" w:lineRule="auto"/>
        <w:jc w:val="both"/>
        <w:rPr>
          <w:rFonts w:ascii="Arial" w:eastAsia="Times New Roman" w:hAnsi="Arial" w:cs="Arial"/>
          <w:sz w:val="24"/>
          <w:szCs w:val="24"/>
          <w:lang w:val="en-GB" w:eastAsia="en-GB"/>
        </w:rPr>
      </w:pPr>
      <w:bookmarkStart w:id="73" w:name="_Toc239273638"/>
      <w:r w:rsidRPr="00E86635">
        <w:rPr>
          <w:rFonts w:ascii="Arial" w:hAnsi="Arial" w:cs="Arial"/>
          <w:sz w:val="24"/>
          <w:szCs w:val="24"/>
        </w:rPr>
        <w:t xml:space="preserve">Figure </w:t>
      </w:r>
      <w:r w:rsidRPr="00E86635">
        <w:rPr>
          <w:rFonts w:ascii="Arial" w:hAnsi="Arial" w:cs="Arial"/>
          <w:sz w:val="24"/>
          <w:szCs w:val="24"/>
        </w:rPr>
        <w:fldChar w:fldCharType="begin"/>
      </w:r>
      <w:r w:rsidRPr="00E86635">
        <w:rPr>
          <w:rFonts w:ascii="Arial" w:hAnsi="Arial" w:cs="Arial"/>
          <w:sz w:val="24"/>
          <w:szCs w:val="24"/>
        </w:rPr>
        <w:instrText xml:space="preserve"> SEQ Figure \* ARABIC </w:instrText>
      </w:r>
      <w:r w:rsidRPr="00E86635">
        <w:rPr>
          <w:rFonts w:ascii="Arial" w:hAnsi="Arial" w:cs="Arial"/>
          <w:sz w:val="24"/>
          <w:szCs w:val="24"/>
        </w:rPr>
        <w:fldChar w:fldCharType="separate"/>
      </w:r>
      <w:r w:rsidRPr="00E86635">
        <w:rPr>
          <w:rFonts w:ascii="Arial" w:hAnsi="Arial" w:cs="Arial"/>
          <w:noProof/>
          <w:sz w:val="24"/>
          <w:szCs w:val="24"/>
        </w:rPr>
        <w:t>1</w:t>
      </w:r>
      <w:r w:rsidRPr="00E86635">
        <w:rPr>
          <w:rFonts w:ascii="Arial" w:hAnsi="Arial" w:cs="Arial"/>
          <w:sz w:val="24"/>
          <w:szCs w:val="24"/>
        </w:rPr>
        <w:fldChar w:fldCharType="end"/>
      </w:r>
      <w:r w:rsidRPr="00E86635">
        <w:rPr>
          <w:rFonts w:ascii="Arial" w:hAnsi="Arial" w:cs="Arial"/>
          <w:sz w:val="24"/>
          <w:szCs w:val="24"/>
        </w:rPr>
        <w:t>.: Strategic Logic for The Ethical Bean Coffee House</w:t>
      </w:r>
      <w:bookmarkEnd w:id="73"/>
    </w:p>
    <w:p w14:paraId="7672ED05" w14:textId="5D202233" w:rsidR="00572CAA" w:rsidRPr="00E86635" w:rsidRDefault="00572CAA" w:rsidP="00E86635">
      <w:pPr>
        <w:spacing w:before="100" w:beforeAutospacing="1" w:after="100" w:afterAutospacing="1" w:line="360" w:lineRule="auto"/>
        <w:jc w:val="both"/>
        <w:rPr>
          <w:rFonts w:ascii="Arial" w:eastAsia="Times New Roman" w:hAnsi="Arial" w:cs="Arial"/>
          <w:b/>
          <w:sz w:val="24"/>
          <w:szCs w:val="24"/>
          <w:lang w:val="en-GB" w:eastAsia="en-GB"/>
        </w:rPr>
      </w:pPr>
      <w:r w:rsidRPr="00E86635">
        <w:rPr>
          <w:rFonts w:ascii="Arial" w:eastAsia="Times New Roman" w:hAnsi="Arial" w:cs="Arial"/>
          <w:b/>
          <w:i/>
          <w:iCs/>
          <w:sz w:val="24"/>
          <w:szCs w:val="24"/>
          <w:lang w:val="en-GB" w:eastAsia="en-GB"/>
        </w:rPr>
        <w:t>Source: Researcher's synthesis based on Chapters 5 and 6.</w:t>
      </w:r>
    </w:p>
    <w:p w14:paraId="12A35962" w14:textId="2A4278BC" w:rsidR="00764905" w:rsidRDefault="00572CAA" w:rsidP="00E2542F">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E86635">
        <w:rPr>
          <w:rFonts w:ascii="Arial" w:eastAsia="Times New Roman" w:hAnsi="Arial" w:cs="Arial"/>
          <w:sz w:val="24"/>
          <w:szCs w:val="24"/>
          <w:lang w:val="en-GB" w:eastAsia="en-GB"/>
        </w:rPr>
        <w:t>The strategy therefore creates a direct chain from evidence to choice and implementation. Chapter 8 should translate the selected strategy into the Business Model Canvas, while subsequent marketing, operations, financial and risk planning should test whether the required capabilities and assumptions are commercially achievable. Expansion should remain conditional on evidence from the initial operation rather than being treated as an automatic outcome</w:t>
      </w:r>
      <w:r w:rsidR="00E2542F">
        <w:rPr>
          <w:rFonts w:ascii="Times New Roman" w:eastAsia="Times New Roman" w:hAnsi="Times New Roman" w:cs="Times New Roman"/>
          <w:sz w:val="24"/>
          <w:szCs w:val="24"/>
          <w:lang w:val="en-GB" w:eastAsia="en-GB"/>
        </w:rPr>
        <w:t>.</w:t>
      </w:r>
    </w:p>
    <w:p w14:paraId="07647EA6" w14:textId="77777777" w:rsidR="0057579E" w:rsidRPr="00C7150E" w:rsidRDefault="0057579E" w:rsidP="00996042">
      <w:pPr>
        <w:pStyle w:val="Heading1"/>
        <w:jc w:val="center"/>
        <w:rPr>
          <w:rFonts w:eastAsia="Times New Roman"/>
          <w:lang w:val="en-GB" w:eastAsia="en-GB"/>
        </w:rPr>
      </w:pPr>
      <w:bookmarkStart w:id="74" w:name="_Toc239695388"/>
      <w:r w:rsidRPr="00C7150E">
        <w:rPr>
          <w:rFonts w:eastAsia="Times New Roman"/>
          <w:lang w:val="en-GB" w:eastAsia="en-GB"/>
        </w:rPr>
        <w:lastRenderedPageBreak/>
        <w:t>Chapter 8: Business Model Canvas</w:t>
      </w:r>
      <w:bookmarkEnd w:id="74"/>
    </w:p>
    <w:p w14:paraId="0DCF30FA" w14:textId="107B8F70" w:rsidR="0057579E" w:rsidRPr="00C7150E" w:rsidRDefault="0057579E" w:rsidP="00996042">
      <w:pPr>
        <w:pStyle w:val="Heading2"/>
        <w:rPr>
          <w:rFonts w:eastAsia="Times New Roman"/>
          <w:lang w:val="en-GB" w:eastAsia="en-GB"/>
        </w:rPr>
      </w:pPr>
      <w:bookmarkStart w:id="75" w:name="_Toc239695389"/>
      <w:r w:rsidRPr="00C7150E">
        <w:rPr>
          <w:rFonts w:eastAsia="Times New Roman"/>
          <w:lang w:val="en-GB" w:eastAsia="en-GB"/>
        </w:rPr>
        <w:t>8</w:t>
      </w:r>
      <w:r w:rsidR="00996042">
        <w:rPr>
          <w:rFonts w:eastAsia="Times New Roman"/>
          <w:lang w:val="en-GB" w:eastAsia="en-GB"/>
        </w:rPr>
        <w:t>.1 Model Overview and Alignment</w:t>
      </w:r>
      <w:bookmarkEnd w:id="75"/>
    </w:p>
    <w:p w14:paraId="0D090304" w14:textId="1C03F8FB" w:rsidR="0057579E" w:rsidRPr="00C7150E" w:rsidRDefault="00235792" w:rsidP="00C7150E">
      <w:pPr>
        <w:spacing w:before="100" w:beforeAutospacing="1" w:after="100" w:afterAutospacing="1" w:line="360" w:lineRule="auto"/>
        <w:jc w:val="both"/>
        <w:rPr>
          <w:rFonts w:ascii="Arial" w:eastAsia="Times New Roman" w:hAnsi="Arial" w:cs="Arial"/>
          <w:sz w:val="24"/>
          <w:szCs w:val="24"/>
          <w:lang w:val="en-GB" w:eastAsia="en-GB"/>
        </w:rPr>
      </w:pPr>
      <w:r w:rsidRPr="00235792">
        <w:rPr>
          <w:rFonts w:ascii="Arial" w:eastAsia="Times New Roman" w:hAnsi="Arial" w:cs="Arial"/>
          <w:sz w:val="24"/>
          <w:szCs w:val="24"/>
          <w:lang w:val="en-GB" w:eastAsia="en-GB"/>
        </w:rPr>
        <w:t>Business Model Canvas (BMC) is an explanation of how a business creates, delivers and captures value with nine interconnected parts: Customer Segments, Value Proposition, Channels, Customer Relationships, Revenue Streams, Key Resources, Key Activities, Key Partnerships and Cost Structure (Osterwalder and Pigneur, 2010). The BMC is the operational and business model for The Ethical Bean Coffee House that was arrived at by focusing the staged differentiation strategy identified in Chapter 7. The integrated ca</w:t>
      </w:r>
      <w:r>
        <w:rPr>
          <w:rFonts w:ascii="Arial" w:eastAsia="Times New Roman" w:hAnsi="Arial" w:cs="Arial"/>
          <w:sz w:val="24"/>
          <w:szCs w:val="24"/>
          <w:lang w:val="en-GB" w:eastAsia="en-GB"/>
        </w:rPr>
        <w:t>nvas is presented in Appendix 8</w:t>
      </w:r>
      <w:r w:rsidR="00B93C09">
        <w:rPr>
          <w:rFonts w:ascii="Arial" w:eastAsia="Times New Roman" w:hAnsi="Arial" w:cs="Arial"/>
          <w:sz w:val="24"/>
          <w:szCs w:val="24"/>
          <w:lang w:val="en-GB" w:eastAsia="en-GB"/>
        </w:rPr>
        <w:t>.</w:t>
      </w:r>
    </w:p>
    <w:p w14:paraId="0B23F5C8" w14:textId="4E8B859F" w:rsidR="0057579E" w:rsidRPr="007C5C09" w:rsidRDefault="0057579E" w:rsidP="007C5C09">
      <w:pPr>
        <w:pStyle w:val="Heading2"/>
        <w:rPr>
          <w:rFonts w:eastAsia="Times New Roman"/>
          <w:lang w:val="en-GB" w:eastAsia="en-GB"/>
        </w:rPr>
      </w:pPr>
      <w:bookmarkStart w:id="76" w:name="_Toc239695390"/>
      <w:r w:rsidRPr="00C7150E">
        <w:rPr>
          <w:rFonts w:eastAsia="Times New Roman"/>
          <w:lang w:val="en-GB" w:eastAsia="en-GB"/>
        </w:rPr>
        <w:t>8.2 Customer Segments and Value Proposition</w:t>
      </w:r>
      <w:bookmarkEnd w:id="76"/>
    </w:p>
    <w:p w14:paraId="51044B2A" w14:textId="0CCF2567" w:rsidR="007C5C09" w:rsidRPr="007C5C09" w:rsidRDefault="007C5C09" w:rsidP="007C5C09">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The key customer group will be those who are conscious of their ethics and the specialty-coffee shopper and urban professionals in and around Monmouth Street, Covent Garden. These customers should appreciate the quality of their coffee, convenience of service, fun and enjoyable hospitality, and responsible consumption. The second group of visitors is people visiting Covent Garden in search of a good coffee and café. This prioritisation aligns with data indicating specialty coffee, personalised hospitality and café ambience are still significant players in the UK independent coffee-shop mark</w:t>
      </w:r>
      <w:r>
        <w:rPr>
          <w:rFonts w:ascii="Arial" w:eastAsia="Times New Roman" w:hAnsi="Arial" w:cs="Arial"/>
          <w:sz w:val="24"/>
          <w:szCs w:val="24"/>
          <w:lang w:val="en-GB" w:eastAsia="en-GB"/>
        </w:rPr>
        <w:t>et (World Coffee Portal, 2026).</w:t>
      </w:r>
    </w:p>
    <w:p w14:paraId="3EF073F9" w14:textId="4191F268" w:rsidR="0057579E" w:rsidRPr="00C7150E" w:rsidRDefault="007C5C09" w:rsidP="00C7150E">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The value proposition is: specialty quality coffee, ethical sourcing, sourcing transparency, sustainable practices and personalised service. The potential to increase the price consumers may be willing to pay for sustainable coffee has been found, yet the extent to which this willingness to pay is demonstrated differs across consumer segments (Fuller and Grebitus, 2023; Abdu and Mutuku, 2021). The proposition thus caters to the functional aspects (quality, convenience and service) as well as to the ethical and experiential aspects. The project will provide a transparency of responsible sourcing and sustainability in the customer journey that will not be found within conventional chain alternatives. Ethical positioning, however, is not enough to stand out as a specialty as there are well-known specialty players that also highlight responsible sourcing. It is therefore the quality, traceability, sustainability, and personalised hospitality that is the key to the competitive difference.</w:t>
      </w:r>
    </w:p>
    <w:p w14:paraId="2C2A77AE" w14:textId="21A4AA67" w:rsidR="0057579E" w:rsidRPr="007C5C09" w:rsidRDefault="0057579E" w:rsidP="007C5C09">
      <w:pPr>
        <w:pStyle w:val="Heading2"/>
        <w:rPr>
          <w:rFonts w:eastAsia="Times New Roman"/>
          <w:lang w:val="en-GB" w:eastAsia="en-GB"/>
        </w:rPr>
      </w:pPr>
      <w:bookmarkStart w:id="77" w:name="_Toc239695391"/>
      <w:r w:rsidRPr="00C7150E">
        <w:rPr>
          <w:rFonts w:eastAsia="Times New Roman"/>
          <w:lang w:val="en-GB" w:eastAsia="en-GB"/>
        </w:rPr>
        <w:lastRenderedPageBreak/>
        <w:t>8.3 Channels and Customer Relationships</w:t>
      </w:r>
      <w:bookmarkEnd w:id="77"/>
    </w:p>
    <w:p w14:paraId="6EB09FD2" w14:textId="2606B65D" w:rsidR="007C5C09" w:rsidRPr="007C5C09" w:rsidRDefault="007C5C09" w:rsidP="007C5C09">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The principal channel will be the offline café, where people will get to experience the product, service and brand. The website and social media will enable awareness, menus discovery, location and customer engagement. After direct digital ordering, convenience and repeat purchases can be supported, depending on the</w:t>
      </w:r>
      <w:r>
        <w:rPr>
          <w:rFonts w:ascii="Arial" w:eastAsia="Times New Roman" w:hAnsi="Arial" w:cs="Arial"/>
          <w:sz w:val="24"/>
          <w:szCs w:val="24"/>
          <w:lang w:val="en-GB" w:eastAsia="en-GB"/>
        </w:rPr>
        <w:t xml:space="preserve"> affordability.</w:t>
      </w:r>
    </w:p>
    <w:p w14:paraId="6037566F" w14:textId="5B51C326" w:rsidR="0057579E" w:rsidRPr="00C7150E" w:rsidRDefault="007C5C09" w:rsidP="00C7150E">
      <w:pPr>
        <w:spacing w:before="100" w:beforeAutospacing="1" w:after="100" w:afterAutospacing="1" w:line="360" w:lineRule="auto"/>
        <w:jc w:val="both"/>
        <w:rPr>
          <w:rFonts w:ascii="Arial" w:eastAsia="Times New Roman" w:hAnsi="Arial" w:cs="Arial"/>
          <w:sz w:val="24"/>
          <w:szCs w:val="24"/>
          <w:lang w:val="en-GB" w:eastAsia="en-GB"/>
        </w:rPr>
      </w:pPr>
      <w:r w:rsidRPr="007C5C09">
        <w:rPr>
          <w:rFonts w:ascii="Arial" w:eastAsia="Times New Roman" w:hAnsi="Arial" w:cs="Arial"/>
          <w:sz w:val="24"/>
          <w:szCs w:val="24"/>
          <w:lang w:val="en-GB" w:eastAsia="en-GB"/>
        </w:rPr>
        <w:t>Customer relations will be a mix of personal support, self-service and digital interaction. Employees who are trained will be able to offer personalised service and product advice, and loyalty schemes, such as feedback and social-media communication, will help to keep the customer. Feedback/complaints by customers will be tracked to ensure that service is better and repeat purchases are facilitated. Data concerning customers gathered during digital or loyalty operations must be handled in a responsible and compliant way with regard to privacy.</w:t>
      </w:r>
    </w:p>
    <w:p w14:paraId="64F970BD" w14:textId="12CBF997" w:rsidR="0057579E" w:rsidRPr="00C7150E" w:rsidRDefault="0057579E" w:rsidP="00C04AA0">
      <w:pPr>
        <w:pStyle w:val="Heading2"/>
        <w:rPr>
          <w:rFonts w:eastAsia="Times New Roman"/>
          <w:lang w:val="en-GB" w:eastAsia="en-GB"/>
        </w:rPr>
      </w:pPr>
      <w:bookmarkStart w:id="78" w:name="_Toc239695392"/>
      <w:r w:rsidRPr="00C7150E">
        <w:rPr>
          <w:rFonts w:eastAsia="Times New Roman"/>
          <w:lang w:val="en-GB" w:eastAsia="en-GB"/>
        </w:rPr>
        <w:t>8.4 Revenue Streams and Cost Structu</w:t>
      </w:r>
      <w:r w:rsidR="00741EE0">
        <w:rPr>
          <w:rFonts w:eastAsia="Times New Roman"/>
          <w:lang w:val="en-GB" w:eastAsia="en-GB"/>
        </w:rPr>
        <w:t>re</w:t>
      </w:r>
      <w:bookmarkEnd w:id="78"/>
    </w:p>
    <w:p w14:paraId="71F2994E" w14:textId="6B45CC64" w:rsidR="00C04AA0" w:rsidRPr="00C04AA0" w:rsidRDefault="00C04AA0" w:rsidP="00C04AA0">
      <w:pPr>
        <w:spacing w:before="100" w:beforeAutospacing="1" w:after="100" w:afterAutospacing="1" w:line="360" w:lineRule="auto"/>
        <w:jc w:val="both"/>
        <w:rPr>
          <w:rFonts w:ascii="Arial" w:eastAsia="Times New Roman" w:hAnsi="Arial" w:cs="Arial"/>
          <w:sz w:val="24"/>
          <w:szCs w:val="24"/>
          <w:lang w:val="en-GB" w:eastAsia="en-GB"/>
        </w:rPr>
      </w:pPr>
      <w:r w:rsidRPr="00C04AA0">
        <w:rPr>
          <w:rFonts w:ascii="Arial" w:eastAsia="Times New Roman" w:hAnsi="Arial" w:cs="Arial"/>
          <w:sz w:val="24"/>
          <w:szCs w:val="24"/>
          <w:lang w:val="en-GB" w:eastAsia="en-GB"/>
        </w:rPr>
        <w:t>In-store sales of specialty coffee and other drinks/drinks will be the main source of income with food sales acting as the secondary income stream. Coffee beans and some complementary products are available to provide a secondary income. Revenue will thus primarily be based on transactions and will come from paying customers per transaction or per bundled offer. Prices should be premium, but attainable, and need to be compared to local competitors; don't presume customers would auto</w:t>
      </w:r>
      <w:r>
        <w:rPr>
          <w:rFonts w:ascii="Arial" w:eastAsia="Times New Roman" w:hAnsi="Arial" w:cs="Arial"/>
          <w:sz w:val="24"/>
          <w:szCs w:val="24"/>
          <w:lang w:val="en-GB" w:eastAsia="en-GB"/>
        </w:rPr>
        <w:t>matically pay the higher price.</w:t>
      </w:r>
    </w:p>
    <w:p w14:paraId="41127D33" w14:textId="2CBF3BA7" w:rsidR="0057579E" w:rsidRPr="00C7150E" w:rsidRDefault="00C04AA0" w:rsidP="00C7150E">
      <w:pPr>
        <w:spacing w:before="100" w:beforeAutospacing="1" w:after="100" w:afterAutospacing="1" w:line="360" w:lineRule="auto"/>
        <w:jc w:val="both"/>
        <w:rPr>
          <w:rFonts w:ascii="Arial" w:eastAsia="Times New Roman" w:hAnsi="Arial" w:cs="Arial"/>
          <w:sz w:val="24"/>
          <w:szCs w:val="24"/>
          <w:lang w:val="en-GB" w:eastAsia="en-GB"/>
        </w:rPr>
      </w:pPr>
      <w:r w:rsidRPr="00C04AA0">
        <w:rPr>
          <w:rFonts w:ascii="Arial" w:eastAsia="Times New Roman" w:hAnsi="Arial" w:cs="Arial"/>
          <w:sz w:val="24"/>
          <w:szCs w:val="24"/>
          <w:lang w:val="en-GB" w:eastAsia="en-GB"/>
        </w:rPr>
        <w:t xml:space="preserve">These are the major costs that are fixed such as premises, staff, insurance, licences, software and professional services. Variable costs are the costs of coffee, milk, food ingredients, packaging and payment charges. Other expenses include equipment, training, marketing and sustainability programs. Independent coffee shops are more likely to be subjected to higher costs as they do not benefit from the benefits of scale that larger chains can enjoy (World Coffee Portal, 2026). </w:t>
      </w:r>
    </w:p>
    <w:p w14:paraId="7A2DF3ED" w14:textId="264662CA" w:rsidR="0057579E" w:rsidRPr="00D44CCC" w:rsidRDefault="0057579E" w:rsidP="00D44CCC">
      <w:pPr>
        <w:pStyle w:val="Heading2"/>
        <w:rPr>
          <w:rFonts w:eastAsia="Times New Roman"/>
          <w:lang w:val="en-GB" w:eastAsia="en-GB"/>
        </w:rPr>
      </w:pPr>
      <w:bookmarkStart w:id="79" w:name="_Toc239695393"/>
      <w:r w:rsidRPr="00C7150E">
        <w:rPr>
          <w:rFonts w:eastAsia="Times New Roman"/>
          <w:lang w:val="en-GB" w:eastAsia="en-GB"/>
        </w:rPr>
        <w:t>8.5 Key Resources, Activities and Partnerships</w:t>
      </w:r>
      <w:bookmarkEnd w:id="79"/>
    </w:p>
    <w:p w14:paraId="335A6BE5" w14:textId="139F6B8C" w:rsidR="00D44CCC" w:rsidRPr="00D44CCC" w:rsidRDefault="00D44CCC" w:rsidP="00D44CCC">
      <w:pPr>
        <w:spacing w:before="100" w:beforeAutospacing="1" w:after="100" w:afterAutospacing="1" w:line="360" w:lineRule="auto"/>
        <w:jc w:val="both"/>
        <w:rPr>
          <w:rFonts w:ascii="Arial" w:eastAsia="Times New Roman" w:hAnsi="Arial" w:cs="Arial"/>
          <w:sz w:val="24"/>
          <w:szCs w:val="24"/>
          <w:lang w:val="en-GB" w:eastAsia="en-GB"/>
        </w:rPr>
      </w:pPr>
      <w:r w:rsidRPr="00D44CCC">
        <w:rPr>
          <w:rFonts w:ascii="Arial" w:eastAsia="Times New Roman" w:hAnsi="Arial" w:cs="Arial"/>
          <w:sz w:val="24"/>
          <w:szCs w:val="24"/>
          <w:lang w:val="en-GB" w:eastAsia="en-GB"/>
        </w:rPr>
        <w:t xml:space="preserve">Key assets are the Covent Garden location, professional coffee gear, qualified staff, ethical relationships with suppliers, working capital, brand identity and digital/POS. </w:t>
      </w:r>
      <w:r w:rsidRPr="00D44CCC">
        <w:rPr>
          <w:rFonts w:ascii="Arial" w:eastAsia="Times New Roman" w:hAnsi="Arial" w:cs="Arial"/>
          <w:sz w:val="24"/>
          <w:szCs w:val="24"/>
          <w:lang w:val="en-GB" w:eastAsia="en-GB"/>
        </w:rPr>
        <w:lastRenderedPageBreak/>
        <w:t>The premise and the trained staff are so crucial as the strategy relies on an experience-driven proposition. Ethical supplier relationships are the substantiation evidence needed to support sourcing claims, and working capital is required to cover rent, wages and inventory costs until the business has built a trading history. Most of these resources will have to be purcha</w:t>
      </w:r>
      <w:r>
        <w:rPr>
          <w:rFonts w:ascii="Arial" w:eastAsia="Times New Roman" w:hAnsi="Arial" w:cs="Arial"/>
          <w:sz w:val="24"/>
          <w:szCs w:val="24"/>
          <w:lang w:val="en-GB" w:eastAsia="en-GB"/>
        </w:rPr>
        <w:t>sed or created prior to launch.</w:t>
      </w:r>
    </w:p>
    <w:p w14:paraId="25769AFC" w14:textId="33E4DED9" w:rsidR="0057579E" w:rsidRPr="00C7150E" w:rsidRDefault="00D44CCC" w:rsidP="00C7150E">
      <w:pPr>
        <w:spacing w:before="100" w:beforeAutospacing="1" w:after="100" w:afterAutospacing="1" w:line="360" w:lineRule="auto"/>
        <w:jc w:val="both"/>
        <w:rPr>
          <w:rFonts w:ascii="Arial" w:eastAsia="Times New Roman" w:hAnsi="Arial" w:cs="Arial"/>
          <w:sz w:val="24"/>
          <w:szCs w:val="24"/>
          <w:lang w:val="en-GB" w:eastAsia="en-GB"/>
        </w:rPr>
      </w:pPr>
      <w:r w:rsidRPr="00D44CCC">
        <w:rPr>
          <w:rFonts w:ascii="Arial" w:eastAsia="Times New Roman" w:hAnsi="Arial" w:cs="Arial"/>
          <w:sz w:val="24"/>
          <w:szCs w:val="24"/>
          <w:lang w:val="en-GB" w:eastAsia="en-GB"/>
        </w:rPr>
        <w:t>Ethical sourcing and supplier verification, coffee preparation and quality control, customer service, inventory management, waste reduction, digital engagement and performance monitoring are key activities. These activities are directly linked to the value proposition and revenue model. Coffee consistency will need to be standardised, with staff training, and ethical positioning will call for proper records of sourcing and correct c</w:t>
      </w:r>
      <w:r>
        <w:rPr>
          <w:rFonts w:ascii="Arial" w:eastAsia="Times New Roman" w:hAnsi="Arial" w:cs="Arial"/>
          <w:sz w:val="24"/>
          <w:szCs w:val="24"/>
          <w:lang w:val="en-GB" w:eastAsia="en-GB"/>
        </w:rPr>
        <w:t>ommunication with the customer.</w:t>
      </w:r>
      <w:r w:rsidR="004809C8">
        <w:rPr>
          <w:rFonts w:ascii="Arial" w:eastAsia="Times New Roman" w:hAnsi="Arial" w:cs="Arial"/>
          <w:sz w:val="24"/>
          <w:szCs w:val="24"/>
          <w:lang w:val="en-GB" w:eastAsia="en-GB"/>
        </w:rPr>
        <w:t xml:space="preserve"> </w:t>
      </w:r>
      <w:r w:rsidRPr="00D44CCC">
        <w:rPr>
          <w:rFonts w:ascii="Arial" w:eastAsia="Times New Roman" w:hAnsi="Arial" w:cs="Arial"/>
          <w:sz w:val="24"/>
          <w:szCs w:val="24"/>
          <w:lang w:val="en-GB" w:eastAsia="en-GB"/>
        </w:rPr>
        <w:t xml:space="preserve">Some key partners include selected roasters or producers of coffee, food suppliers, sustainability and waste-management partners, and payment or technology providers. Diversifying suppliers can help mitigate against reliance on a single source and help buffer against availability, quality and price issues. </w:t>
      </w:r>
    </w:p>
    <w:p w14:paraId="5F55BDDE" w14:textId="2D861778" w:rsidR="0057579E" w:rsidRPr="00C7150E" w:rsidRDefault="0057579E" w:rsidP="00BE3014">
      <w:pPr>
        <w:pStyle w:val="Heading2"/>
        <w:rPr>
          <w:rFonts w:eastAsia="Times New Roman"/>
          <w:lang w:val="en-GB" w:eastAsia="en-GB"/>
        </w:rPr>
      </w:pPr>
      <w:bookmarkStart w:id="80" w:name="_Toc239695394"/>
      <w:r w:rsidRPr="00C7150E">
        <w:rPr>
          <w:rFonts w:eastAsia="Times New Roman"/>
          <w:lang w:val="en-GB" w:eastAsia="en-GB"/>
        </w:rPr>
        <w:t>8.6 Integrat</w:t>
      </w:r>
      <w:r w:rsidR="00573EAA">
        <w:rPr>
          <w:rFonts w:eastAsia="Times New Roman"/>
          <w:lang w:val="en-GB" w:eastAsia="en-GB"/>
        </w:rPr>
        <w:t>ion, Assumptions and Conclusion</w:t>
      </w:r>
      <w:bookmarkEnd w:id="80"/>
    </w:p>
    <w:p w14:paraId="651045A4" w14:textId="2DC7D7D9" w:rsidR="00BE3014" w:rsidRPr="00BE3014" w:rsidRDefault="00BE3014" w:rsidP="00BE3014">
      <w:pPr>
        <w:spacing w:before="100" w:beforeAutospacing="1" w:after="100" w:afterAutospacing="1" w:line="360" w:lineRule="auto"/>
        <w:jc w:val="both"/>
        <w:rPr>
          <w:rFonts w:ascii="Arial" w:eastAsia="Times New Roman" w:hAnsi="Arial" w:cs="Arial"/>
          <w:sz w:val="24"/>
          <w:szCs w:val="24"/>
          <w:lang w:val="en-GB" w:eastAsia="en-GB"/>
        </w:rPr>
      </w:pPr>
      <w:r w:rsidRPr="00BE3014">
        <w:rPr>
          <w:rFonts w:ascii="Arial" w:eastAsia="Times New Roman" w:hAnsi="Arial" w:cs="Arial"/>
          <w:sz w:val="24"/>
          <w:szCs w:val="24"/>
          <w:lang w:val="en-GB" w:eastAsia="en-GB"/>
        </w:rPr>
        <w:t>The nine components are part of a whole: the value proposition dictates the channels, relationships, resources and activities needed; partnerships enable delivery; the revenue from beverages, foods and retailing should offset the cost structure. This helps to bring in direct alignment with focused staged differe</w:t>
      </w:r>
      <w:r>
        <w:rPr>
          <w:rFonts w:ascii="Arial" w:eastAsia="Times New Roman" w:hAnsi="Arial" w:cs="Arial"/>
          <w:sz w:val="24"/>
          <w:szCs w:val="24"/>
          <w:lang w:val="en-GB" w:eastAsia="en-GB"/>
        </w:rPr>
        <w:t>ntiation outlined in Chapter 7.</w:t>
      </w:r>
    </w:p>
    <w:p w14:paraId="531E98BD" w14:textId="041A9B03" w:rsidR="0057579E" w:rsidRDefault="00BE3014" w:rsidP="00BE3014">
      <w:pPr>
        <w:spacing w:before="100" w:beforeAutospacing="1" w:after="100" w:afterAutospacing="1" w:line="360" w:lineRule="auto"/>
        <w:jc w:val="both"/>
        <w:rPr>
          <w:rFonts w:ascii="Arial" w:eastAsia="Times New Roman" w:hAnsi="Arial" w:cs="Arial"/>
          <w:sz w:val="24"/>
          <w:szCs w:val="24"/>
          <w:lang w:val="en-GB" w:eastAsia="en-GB"/>
        </w:rPr>
      </w:pPr>
      <w:r w:rsidRPr="00BE3014">
        <w:rPr>
          <w:rFonts w:ascii="Arial" w:eastAsia="Times New Roman" w:hAnsi="Arial" w:cs="Arial"/>
          <w:sz w:val="24"/>
          <w:szCs w:val="24"/>
          <w:lang w:val="en-GB" w:eastAsia="en-GB"/>
        </w:rPr>
        <w:t xml:space="preserve">The model has some assumptions that need to be validated, however. These include whether or not customers at Covent Garden are willing to pay extra for ethical and specialty characteristics and whether responsible sourcing is achievable without the unnecessary increase in prices. These assumptions would need to be validated with supplier quotes, competitor price checking, early sales information, repeat purchases and gross-margin tracking. The BMC should be considered a testable business model and not a one-dimensional plan, and the following marketing, operational, and financial chapters will build up the assumptions into </w:t>
      </w:r>
      <w:r>
        <w:rPr>
          <w:rFonts w:ascii="Arial" w:eastAsia="Times New Roman" w:hAnsi="Arial" w:cs="Arial"/>
          <w:sz w:val="24"/>
          <w:szCs w:val="24"/>
          <w:lang w:val="en-GB" w:eastAsia="en-GB"/>
        </w:rPr>
        <w:t>measurable implementation plans</w:t>
      </w:r>
      <w:r w:rsidR="0057579E" w:rsidRPr="00C7150E">
        <w:rPr>
          <w:rFonts w:ascii="Arial" w:eastAsia="Times New Roman" w:hAnsi="Arial" w:cs="Arial"/>
          <w:sz w:val="24"/>
          <w:szCs w:val="24"/>
          <w:lang w:val="en-GB" w:eastAsia="en-GB"/>
        </w:rPr>
        <w:t>.</w:t>
      </w:r>
    </w:p>
    <w:p w14:paraId="0BB973FF" w14:textId="0F5E4592" w:rsidR="00A1593B" w:rsidRDefault="00A1593B" w:rsidP="00BE3014">
      <w:pPr>
        <w:spacing w:before="100" w:beforeAutospacing="1" w:after="100" w:afterAutospacing="1" w:line="360" w:lineRule="auto"/>
        <w:jc w:val="both"/>
        <w:rPr>
          <w:rFonts w:ascii="Arial" w:eastAsia="Times New Roman" w:hAnsi="Arial" w:cs="Arial"/>
          <w:sz w:val="24"/>
          <w:szCs w:val="24"/>
          <w:lang w:val="en-GB" w:eastAsia="en-GB"/>
        </w:rPr>
      </w:pPr>
    </w:p>
    <w:p w14:paraId="0D6354EB" w14:textId="77777777" w:rsidR="00B2409B" w:rsidRPr="00B2409B" w:rsidRDefault="00B2409B" w:rsidP="00C35696">
      <w:pPr>
        <w:pStyle w:val="Heading1"/>
        <w:jc w:val="center"/>
        <w:rPr>
          <w:rFonts w:eastAsia="Times New Roman"/>
          <w:lang w:val="en-GB" w:eastAsia="en-GB"/>
        </w:rPr>
      </w:pPr>
      <w:bookmarkStart w:id="81" w:name="_Toc239695395"/>
      <w:r w:rsidRPr="00B2409B">
        <w:rPr>
          <w:rFonts w:eastAsia="Times New Roman"/>
          <w:lang w:val="en-GB" w:eastAsia="en-GB"/>
        </w:rPr>
        <w:lastRenderedPageBreak/>
        <w:t>Chapter 9: Financial, Marketing and Sales, and Human Capital Management Plan</w:t>
      </w:r>
      <w:bookmarkEnd w:id="81"/>
    </w:p>
    <w:p w14:paraId="1DA57D3F" w14:textId="53E038CD" w:rsidR="00B2409B" w:rsidRPr="00B2409B" w:rsidRDefault="0038379F" w:rsidP="00C35696">
      <w:pPr>
        <w:pStyle w:val="Heading2"/>
        <w:rPr>
          <w:rFonts w:eastAsia="Times New Roman"/>
          <w:lang w:val="en-GB" w:eastAsia="en-GB"/>
        </w:rPr>
      </w:pPr>
      <w:bookmarkStart w:id="82" w:name="_Toc239695396"/>
      <w:r>
        <w:rPr>
          <w:rFonts w:eastAsia="Times New Roman"/>
          <w:lang w:val="en-GB" w:eastAsia="en-GB"/>
        </w:rPr>
        <w:t>9.1 Integrated Plan Overview</w:t>
      </w:r>
      <w:bookmarkEnd w:id="82"/>
    </w:p>
    <w:p w14:paraId="5E5B2F5E" w14:textId="6C85EFB5" w:rsidR="00C35696" w:rsidRPr="00C35696" w:rsidRDefault="00C35696" w:rsidP="00C35696">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 xml:space="preserve">This chapter is the conversion of the market opportunity, competitive environment, focused staged differentiation strategy and Business Model Canvas developed in Chapters 5-8 into an integrated functional plan for The Ethical Bean Coffee House (TEBC). The main idea is that all financial, marketing, sales and human-capital decisions should be one. The model proposes to appeal to an audience of ethically-minded specialty-foe coffee drinkers and city professionals in and around Monmouth Street, Covent Garden, with selected visitors and local residents. The business will differentiate on specialty coffee quality, credible transparency around sourcing, sustainability and personal service at an accessible-premium price point. The Value Creation, Delivery and Financial Viability (Osterwalder and Pigneur, 2010) is the connection between value creation and value delivery and the financial viability. </w:t>
      </w:r>
    </w:p>
    <w:p w14:paraId="6B350E60" w14:textId="77777777" w:rsidR="00C35696" w:rsidRPr="00C35696" w:rsidRDefault="00C35696" w:rsidP="00C35696">
      <w:pPr>
        <w:pStyle w:val="Heading2"/>
        <w:rPr>
          <w:rFonts w:eastAsia="Times New Roman"/>
          <w:lang w:val="en-GB" w:eastAsia="en-GB"/>
        </w:rPr>
      </w:pPr>
      <w:bookmarkStart w:id="83" w:name="_Toc239695397"/>
      <w:r w:rsidRPr="00C35696">
        <w:rPr>
          <w:rFonts w:eastAsia="Times New Roman"/>
          <w:lang w:val="en-GB" w:eastAsia="en-GB"/>
        </w:rPr>
        <w:t>9.2 Financial Plan</w:t>
      </w:r>
      <w:bookmarkEnd w:id="83"/>
    </w:p>
    <w:p w14:paraId="6D7561EC" w14:textId="0149C3EF" w:rsidR="00C35696" w:rsidRPr="00C35696" w:rsidRDefault="00665C21" w:rsidP="00665C21">
      <w:pPr>
        <w:pStyle w:val="Heading3"/>
        <w:rPr>
          <w:rFonts w:eastAsia="Times New Roman"/>
          <w:lang w:val="en-GB" w:eastAsia="en-GB"/>
        </w:rPr>
      </w:pPr>
      <w:bookmarkStart w:id="84" w:name="_Toc239695398"/>
      <w:r>
        <w:rPr>
          <w:rFonts w:eastAsia="Times New Roman"/>
          <w:lang w:val="en-GB" w:eastAsia="en-GB"/>
        </w:rPr>
        <w:t>9.2.1 Economic</w:t>
      </w:r>
      <w:r w:rsidR="00C35696" w:rsidRPr="00C35696">
        <w:rPr>
          <w:rFonts w:eastAsia="Times New Roman"/>
          <w:lang w:val="en-GB" w:eastAsia="en-GB"/>
        </w:rPr>
        <w:t xml:space="preserve"> assumptions and business model</w:t>
      </w:r>
      <w:bookmarkEnd w:id="84"/>
    </w:p>
    <w:p w14:paraId="4C8B3DB9" w14:textId="220FAAF2" w:rsidR="00B2409B" w:rsidRPr="00B2409B" w:rsidRDefault="00C35696" w:rsidP="00C35696">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The financial model is bottom up, rather than based on an unbacked percentage of the broader Covent Garden market. This corresponds to a revenue that is based on customers, transactions, prices, capacity and timing. The key planning assumptions are summarised below</w:t>
      </w:r>
      <w:r>
        <w:rPr>
          <w:rFonts w:ascii="Arial" w:eastAsia="Times New Roman" w:hAnsi="Arial" w:cs="Arial"/>
          <w:sz w:val="24"/>
          <w:szCs w:val="24"/>
          <w:lang w:val="en-GB" w:eastAsia="en-GB"/>
        </w:rPr>
        <w:t>.</w:t>
      </w:r>
    </w:p>
    <w:p w14:paraId="3198F995" w14:textId="596C827E" w:rsidR="00C35696" w:rsidRPr="00C35696" w:rsidRDefault="00C35696" w:rsidP="00C35696">
      <w:pPr>
        <w:pStyle w:val="Caption"/>
        <w:keepNext/>
        <w:jc w:val="both"/>
        <w:rPr>
          <w:rFonts w:ascii="Arial" w:hAnsi="Arial" w:cs="Arial"/>
          <w:sz w:val="24"/>
        </w:rPr>
      </w:pPr>
      <w:bookmarkStart w:id="85" w:name="_Toc239695429"/>
      <w:r w:rsidRPr="00C35696">
        <w:rPr>
          <w:rFonts w:ascii="Arial" w:hAnsi="Arial" w:cs="Arial"/>
          <w:sz w:val="24"/>
        </w:rPr>
        <w:t xml:space="preserve">Table </w:t>
      </w:r>
      <w:r w:rsidRPr="00C35696">
        <w:rPr>
          <w:rFonts w:ascii="Arial" w:hAnsi="Arial" w:cs="Arial"/>
          <w:sz w:val="24"/>
        </w:rPr>
        <w:fldChar w:fldCharType="begin"/>
      </w:r>
      <w:r w:rsidRPr="00C35696">
        <w:rPr>
          <w:rFonts w:ascii="Arial" w:hAnsi="Arial" w:cs="Arial"/>
          <w:sz w:val="24"/>
        </w:rPr>
        <w:instrText xml:space="preserve"> SEQ Table \* ARABIC </w:instrText>
      </w:r>
      <w:r w:rsidRPr="00C35696">
        <w:rPr>
          <w:rFonts w:ascii="Arial" w:hAnsi="Arial" w:cs="Arial"/>
          <w:sz w:val="24"/>
        </w:rPr>
        <w:fldChar w:fldCharType="separate"/>
      </w:r>
      <w:r w:rsidR="007C175A">
        <w:rPr>
          <w:rFonts w:ascii="Arial" w:hAnsi="Arial" w:cs="Arial"/>
          <w:noProof/>
          <w:sz w:val="24"/>
        </w:rPr>
        <w:t>10</w:t>
      </w:r>
      <w:r w:rsidRPr="00C35696">
        <w:rPr>
          <w:rFonts w:ascii="Arial" w:hAnsi="Arial" w:cs="Arial"/>
          <w:sz w:val="24"/>
        </w:rPr>
        <w:fldChar w:fldCharType="end"/>
      </w:r>
      <w:r w:rsidRPr="00C35696">
        <w:rPr>
          <w:rFonts w:ascii="Arial" w:hAnsi="Arial" w:cs="Arial"/>
          <w:sz w:val="24"/>
        </w:rPr>
        <w:t>.Economic assumptions and business model</w:t>
      </w:r>
      <w:bookmarkEnd w:id="85"/>
    </w:p>
    <w:tbl>
      <w:tblPr>
        <w:tblStyle w:val="TableGrid"/>
        <w:tblW w:w="0" w:type="auto"/>
        <w:tblLook w:val="04A0" w:firstRow="1" w:lastRow="0" w:firstColumn="1" w:lastColumn="0" w:noHBand="0" w:noVBand="1"/>
      </w:tblPr>
      <w:tblGrid>
        <w:gridCol w:w="4508"/>
        <w:gridCol w:w="4508"/>
      </w:tblGrid>
      <w:tr w:rsidR="00C35696" w:rsidRPr="00C35696" w14:paraId="00C440AA" w14:textId="77777777" w:rsidTr="00C35696">
        <w:tc>
          <w:tcPr>
            <w:tcW w:w="4508" w:type="dxa"/>
          </w:tcPr>
          <w:p w14:paraId="59F2D1AB" w14:textId="77777777" w:rsidR="00C35696" w:rsidRPr="00C35696" w:rsidRDefault="00C35696" w:rsidP="00BA66A0">
            <w:pPr>
              <w:spacing w:before="100" w:beforeAutospacing="1" w:after="100" w:afterAutospacing="1" w:line="360" w:lineRule="auto"/>
              <w:jc w:val="both"/>
              <w:rPr>
                <w:rFonts w:ascii="Arial" w:eastAsia="Times New Roman" w:hAnsi="Arial" w:cs="Arial"/>
                <w:b/>
                <w:sz w:val="24"/>
                <w:szCs w:val="24"/>
                <w:lang w:val="en-GB" w:eastAsia="en-GB"/>
              </w:rPr>
            </w:pPr>
            <w:r w:rsidRPr="00C35696">
              <w:rPr>
                <w:rFonts w:ascii="Arial" w:eastAsia="Times New Roman" w:hAnsi="Arial" w:cs="Arial"/>
                <w:b/>
                <w:sz w:val="24"/>
                <w:szCs w:val="24"/>
                <w:lang w:val="en-GB" w:eastAsia="en-GB"/>
              </w:rPr>
              <w:t>Assumption</w:t>
            </w:r>
          </w:p>
        </w:tc>
        <w:tc>
          <w:tcPr>
            <w:tcW w:w="4508" w:type="dxa"/>
          </w:tcPr>
          <w:p w14:paraId="536264DC" w14:textId="77777777" w:rsidR="00C35696" w:rsidRPr="00C35696" w:rsidRDefault="00C35696" w:rsidP="00BA66A0">
            <w:pPr>
              <w:spacing w:before="100" w:beforeAutospacing="1" w:after="100" w:afterAutospacing="1" w:line="360" w:lineRule="auto"/>
              <w:jc w:val="both"/>
              <w:rPr>
                <w:rFonts w:ascii="Arial" w:eastAsia="Times New Roman" w:hAnsi="Arial" w:cs="Arial"/>
                <w:b/>
                <w:sz w:val="24"/>
                <w:szCs w:val="24"/>
                <w:lang w:val="en-GB" w:eastAsia="en-GB"/>
              </w:rPr>
            </w:pPr>
            <w:r w:rsidRPr="00C35696">
              <w:rPr>
                <w:rFonts w:ascii="Arial" w:eastAsia="Times New Roman" w:hAnsi="Arial" w:cs="Arial"/>
                <w:b/>
                <w:sz w:val="24"/>
                <w:szCs w:val="24"/>
                <w:lang w:val="en-GB" w:eastAsia="en-GB"/>
              </w:rPr>
              <w:t>Base-case planning assumption</w:t>
            </w:r>
          </w:p>
        </w:tc>
      </w:tr>
      <w:tr w:rsidR="00C35696" w:rsidRPr="00C35696" w14:paraId="7B3FD4B2" w14:textId="77777777" w:rsidTr="00C35696">
        <w:tc>
          <w:tcPr>
            <w:tcW w:w="4508" w:type="dxa"/>
          </w:tcPr>
          <w:p w14:paraId="03F16D16"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Average transaction value</w:t>
            </w:r>
          </w:p>
        </w:tc>
        <w:tc>
          <w:tcPr>
            <w:tcW w:w="4508" w:type="dxa"/>
          </w:tcPr>
          <w:p w14:paraId="5FF2A8BA"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£7.00</w:t>
            </w:r>
          </w:p>
        </w:tc>
      </w:tr>
      <w:tr w:rsidR="00C35696" w:rsidRPr="00C35696" w14:paraId="2E94F2F1" w14:textId="77777777" w:rsidTr="00C35696">
        <w:tc>
          <w:tcPr>
            <w:tcW w:w="4508" w:type="dxa"/>
          </w:tcPr>
          <w:p w14:paraId="5ACFAB8C"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Trading days</w:t>
            </w:r>
          </w:p>
        </w:tc>
        <w:tc>
          <w:tcPr>
            <w:tcW w:w="4508" w:type="dxa"/>
          </w:tcPr>
          <w:p w14:paraId="6BF4EF80"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310 days per year</w:t>
            </w:r>
          </w:p>
        </w:tc>
      </w:tr>
      <w:tr w:rsidR="00C35696" w:rsidRPr="00C35696" w14:paraId="5299FFF4" w14:textId="77777777" w:rsidTr="00C35696">
        <w:tc>
          <w:tcPr>
            <w:tcW w:w="4508" w:type="dxa"/>
          </w:tcPr>
          <w:p w14:paraId="2338E1B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1 average transactions/day</w:t>
            </w:r>
          </w:p>
        </w:tc>
        <w:tc>
          <w:tcPr>
            <w:tcW w:w="4508" w:type="dxa"/>
          </w:tcPr>
          <w:p w14:paraId="58370A7B"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135</w:t>
            </w:r>
          </w:p>
        </w:tc>
      </w:tr>
      <w:tr w:rsidR="00C35696" w:rsidRPr="00C35696" w14:paraId="761B1A48" w14:textId="77777777" w:rsidTr="00C35696">
        <w:tc>
          <w:tcPr>
            <w:tcW w:w="4508" w:type="dxa"/>
          </w:tcPr>
          <w:p w14:paraId="78FD035C"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2 average transactions/day</w:t>
            </w:r>
          </w:p>
        </w:tc>
        <w:tc>
          <w:tcPr>
            <w:tcW w:w="4508" w:type="dxa"/>
          </w:tcPr>
          <w:p w14:paraId="1D76EAD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145</w:t>
            </w:r>
          </w:p>
        </w:tc>
      </w:tr>
      <w:tr w:rsidR="00C35696" w:rsidRPr="00C35696" w14:paraId="6F868B73" w14:textId="77777777" w:rsidTr="00C35696">
        <w:tc>
          <w:tcPr>
            <w:tcW w:w="4508" w:type="dxa"/>
          </w:tcPr>
          <w:p w14:paraId="08CC2B8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3 average transactions/day</w:t>
            </w:r>
          </w:p>
        </w:tc>
        <w:tc>
          <w:tcPr>
            <w:tcW w:w="4508" w:type="dxa"/>
          </w:tcPr>
          <w:p w14:paraId="1BADA458"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165</w:t>
            </w:r>
          </w:p>
        </w:tc>
      </w:tr>
      <w:tr w:rsidR="00C35696" w:rsidRPr="00C35696" w14:paraId="4CAF26D6" w14:textId="77777777" w:rsidTr="00C35696">
        <w:tc>
          <w:tcPr>
            <w:tcW w:w="4508" w:type="dxa"/>
          </w:tcPr>
          <w:p w14:paraId="17A09F8F"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4 average transactions/day</w:t>
            </w:r>
          </w:p>
        </w:tc>
        <w:tc>
          <w:tcPr>
            <w:tcW w:w="4508" w:type="dxa"/>
          </w:tcPr>
          <w:p w14:paraId="0815F044"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185</w:t>
            </w:r>
          </w:p>
        </w:tc>
      </w:tr>
      <w:tr w:rsidR="00C35696" w:rsidRPr="00C35696" w14:paraId="1C809324" w14:textId="77777777" w:rsidTr="00C35696">
        <w:tc>
          <w:tcPr>
            <w:tcW w:w="4508" w:type="dxa"/>
          </w:tcPr>
          <w:p w14:paraId="7671BA2D"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5 average transactions/day</w:t>
            </w:r>
          </w:p>
        </w:tc>
        <w:tc>
          <w:tcPr>
            <w:tcW w:w="4508" w:type="dxa"/>
          </w:tcPr>
          <w:p w14:paraId="040059C5"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205</w:t>
            </w:r>
          </w:p>
        </w:tc>
      </w:tr>
      <w:tr w:rsidR="00C35696" w:rsidRPr="00C35696" w14:paraId="4AFEE79A" w14:textId="77777777" w:rsidTr="00C35696">
        <w:tc>
          <w:tcPr>
            <w:tcW w:w="4508" w:type="dxa"/>
          </w:tcPr>
          <w:p w14:paraId="0B9984E1"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Variable cost ratio</w:t>
            </w:r>
          </w:p>
        </w:tc>
        <w:tc>
          <w:tcPr>
            <w:tcW w:w="4508" w:type="dxa"/>
          </w:tcPr>
          <w:p w14:paraId="1B8B5314"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30% of revenue</w:t>
            </w:r>
          </w:p>
        </w:tc>
      </w:tr>
      <w:tr w:rsidR="00C35696" w:rsidRPr="00C35696" w14:paraId="2903E1D3" w14:textId="77777777" w:rsidTr="00C35696">
        <w:tc>
          <w:tcPr>
            <w:tcW w:w="4508" w:type="dxa"/>
          </w:tcPr>
          <w:p w14:paraId="3007E7C5"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lastRenderedPageBreak/>
              <w:t>Initial marketing budget</w:t>
            </w:r>
          </w:p>
        </w:tc>
        <w:tc>
          <w:tcPr>
            <w:tcW w:w="4508" w:type="dxa"/>
          </w:tcPr>
          <w:p w14:paraId="3A534ED4"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£12,000</w:t>
            </w:r>
          </w:p>
        </w:tc>
      </w:tr>
      <w:tr w:rsidR="00C35696" w:rsidRPr="00C35696" w14:paraId="09558861" w14:textId="77777777" w:rsidTr="00C35696">
        <w:tc>
          <w:tcPr>
            <w:tcW w:w="4508" w:type="dxa"/>
          </w:tcPr>
          <w:p w14:paraId="14FB2815"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Initial funding requirement</w:t>
            </w:r>
          </w:p>
        </w:tc>
        <w:tc>
          <w:tcPr>
            <w:tcW w:w="4508" w:type="dxa"/>
          </w:tcPr>
          <w:p w14:paraId="023D6B99" w14:textId="77777777" w:rsidR="00C35696" w:rsidRPr="00C35696" w:rsidRDefault="00C35696" w:rsidP="00BA66A0">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approximately £200,000</w:t>
            </w:r>
          </w:p>
        </w:tc>
      </w:tr>
    </w:tbl>
    <w:p w14:paraId="6EA2C75D" w14:textId="1B837324" w:rsidR="004537D1" w:rsidRPr="004537D1" w:rsidRDefault="004537D1" w:rsidP="004537D1">
      <w:pPr>
        <w:spacing w:before="100" w:beforeAutospacing="1" w:after="100" w:afterAutospacing="1" w:line="360" w:lineRule="auto"/>
        <w:jc w:val="both"/>
        <w:rPr>
          <w:rFonts w:ascii="Arial" w:eastAsia="Times New Roman" w:hAnsi="Arial" w:cs="Arial"/>
          <w:sz w:val="24"/>
          <w:szCs w:val="24"/>
          <w:lang w:val="en-GB" w:eastAsia="en-GB"/>
        </w:rPr>
      </w:pPr>
      <w:r w:rsidRPr="004537D1">
        <w:rPr>
          <w:rFonts w:ascii="Arial" w:eastAsia="Times New Roman" w:hAnsi="Arial" w:cs="Arial"/>
          <w:sz w:val="24"/>
          <w:szCs w:val="24"/>
          <w:lang w:val="en-GB" w:eastAsia="en-GB"/>
        </w:rPr>
        <w:t>This average transaction value of £7 is not a ‘precise’ price forecast, but rather is carried forward from the illustrative demand analysis in Chapter 5. It is based on a planning assumption of beverage and limited food purchases and needs to be confirmed by quotations from suppliers, observation and test trading with competitors. (W</w:t>
      </w:r>
      <w:r>
        <w:rPr>
          <w:rFonts w:ascii="Arial" w:eastAsia="Times New Roman" w:hAnsi="Arial" w:cs="Arial"/>
          <w:sz w:val="24"/>
          <w:szCs w:val="24"/>
          <w:lang w:val="en-GB" w:eastAsia="en-GB"/>
        </w:rPr>
        <w:t>estminster City Council, 2025).</w:t>
      </w:r>
    </w:p>
    <w:p w14:paraId="707B1526" w14:textId="244BC21E" w:rsidR="00B2409B" w:rsidRPr="00B2409B" w:rsidRDefault="004537D1" w:rsidP="00B2409B">
      <w:pPr>
        <w:spacing w:before="100" w:beforeAutospacing="1" w:after="100" w:afterAutospacing="1" w:line="360" w:lineRule="auto"/>
        <w:jc w:val="both"/>
        <w:rPr>
          <w:rFonts w:ascii="Arial" w:eastAsia="Times New Roman" w:hAnsi="Arial" w:cs="Arial"/>
          <w:sz w:val="24"/>
          <w:szCs w:val="24"/>
          <w:lang w:val="en-GB" w:eastAsia="en-GB"/>
        </w:rPr>
      </w:pPr>
      <w:r w:rsidRPr="004537D1">
        <w:rPr>
          <w:rFonts w:ascii="Arial" w:eastAsia="Times New Roman" w:hAnsi="Arial" w:cs="Arial"/>
          <w:sz w:val="24"/>
          <w:szCs w:val="24"/>
          <w:lang w:val="en-GB" w:eastAsia="en-GB"/>
        </w:rPr>
        <w:t>Its revenue streams consist of transaction fees. Coffee and other beverages are the main revenue generators, while the food product line is short and compact, and selected retail coffee products are secondary revenue generators. This would align with the Business Model Canvas outlined in Chapter 8 and the general coffee-shop market in the UK, which totalled £6.8 billion in 2026 from 12,313 branded outlets (World Coffee Portal, 2026).</w:t>
      </w:r>
    </w:p>
    <w:p w14:paraId="11D58090" w14:textId="361FF768" w:rsidR="00B2409B" w:rsidRPr="00665C21" w:rsidRDefault="00665C21" w:rsidP="00665C21">
      <w:pPr>
        <w:pStyle w:val="Heading3"/>
        <w:rPr>
          <w:rFonts w:eastAsia="Times New Roman"/>
          <w:lang w:val="en-GB" w:eastAsia="en-GB"/>
        </w:rPr>
      </w:pPr>
      <w:bookmarkStart w:id="86" w:name="_Toc239695399"/>
      <w:r>
        <w:rPr>
          <w:rFonts w:eastAsia="Times New Roman"/>
          <w:lang w:val="en-GB" w:eastAsia="en-GB"/>
        </w:rPr>
        <w:t xml:space="preserve">9.2.2 </w:t>
      </w:r>
      <w:r w:rsidR="00B2409B" w:rsidRPr="00665C21">
        <w:rPr>
          <w:rFonts w:eastAsia="Times New Roman"/>
          <w:lang w:val="en-GB" w:eastAsia="en-GB"/>
        </w:rPr>
        <w:t>Start-up investment and funding</w:t>
      </w:r>
      <w:bookmarkEnd w:id="86"/>
    </w:p>
    <w:p w14:paraId="7DF7A8D7" w14:textId="507AFCE6" w:rsidR="00665C21" w:rsidRPr="00665C21" w:rsidRDefault="00665C21" w:rsidP="00665C21">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TEBC has an estimated initial funding need of around £200,000. This is a planning estimate and not a supplier-quote investment number and is to be changed with actual supplier quotations before launch. The indicative requirement is about £80,000 for premises deposit, fit-out and installation, £55,000 for professional coffee equipment, refrigeration, furniture and point of sale (POS) technology, £15,000 for initial stock, packaging and operating materials, £10,000 for registration, insurance, branding, website, professional services and £8,000 for recruitment, training and pre-opening wages, plus a contingency of aro</w:t>
      </w:r>
      <w:r>
        <w:rPr>
          <w:rFonts w:ascii="Arial" w:eastAsia="Times New Roman" w:hAnsi="Arial" w:cs="Arial"/>
          <w:sz w:val="24"/>
          <w:szCs w:val="24"/>
          <w:lang w:val="en-GB" w:eastAsia="en-GB"/>
        </w:rPr>
        <w:t>und £20,000 as working capital.</w:t>
      </w:r>
    </w:p>
    <w:p w14:paraId="462E9595" w14:textId="7E331EF4" w:rsidR="00665C21" w:rsidRPr="00665C21" w:rsidRDefault="00665C21" w:rsidP="00665C21">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The working-capital allowance is crucial as the café is not likely to be fully populated right away. A staged launch can, therefore, minimise the risk of spending too much money initially and enable the company to find out how customers react to the acquisition, product mix and staffing level. A pre-launch requirement is also food-business registration: The Food Standards Agency require a food business to register with the appropriate local authority 28 days before they start trading</w:t>
      </w:r>
      <w:r>
        <w:rPr>
          <w:rFonts w:ascii="Arial" w:eastAsia="Times New Roman" w:hAnsi="Arial" w:cs="Arial"/>
          <w:sz w:val="24"/>
          <w:szCs w:val="24"/>
          <w:lang w:val="en-GB" w:eastAsia="en-GB"/>
        </w:rPr>
        <w:t xml:space="preserve"> (Food Standards Agency, 2026).</w:t>
      </w:r>
    </w:p>
    <w:p w14:paraId="5A636472" w14:textId="6EC91C35" w:rsidR="00665C21" w:rsidRPr="00665C21" w:rsidRDefault="00665C21" w:rsidP="00665C21">
      <w:pPr>
        <w:pStyle w:val="Heading3"/>
        <w:rPr>
          <w:rFonts w:eastAsia="Times New Roman"/>
          <w:lang w:val="en-GB" w:eastAsia="en-GB"/>
        </w:rPr>
      </w:pPr>
      <w:bookmarkStart w:id="87" w:name="_Toc239695400"/>
      <w:r>
        <w:rPr>
          <w:rFonts w:eastAsia="Times New Roman"/>
          <w:lang w:val="en-GB" w:eastAsia="en-GB"/>
        </w:rPr>
        <w:lastRenderedPageBreak/>
        <w:t>9.2.3</w:t>
      </w:r>
      <w:r w:rsidRPr="00665C21">
        <w:rPr>
          <w:rFonts w:eastAsia="Times New Roman"/>
          <w:lang w:val="en-GB" w:eastAsia="en-GB"/>
        </w:rPr>
        <w:t xml:space="preserve"> </w:t>
      </w:r>
      <w:r w:rsidRPr="00665C21">
        <w:rPr>
          <w:rFonts w:eastAsia="Times New Roman"/>
          <w:lang w:val="en-GB" w:eastAsia="en-GB"/>
        </w:rPr>
        <w:t>Operating cost structure</w:t>
      </w:r>
      <w:bookmarkEnd w:id="87"/>
    </w:p>
    <w:p w14:paraId="5ADDCB54" w14:textId="4A696BB3" w:rsidR="00665C21" w:rsidRPr="00665C21" w:rsidRDefault="00665C21" w:rsidP="00665C21">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The core staff, insurance, accounting, software and a commitment to a minimum level of marketing will be included in TEBC's fixed costs. Variable costs will be coffee beans, milk, food ingredients, packaging, and transaction and other costs. Semi variable/stepped costs such as utilities, maintenance and extra labour rise with operating intensity and capacity. The difference is crucial as independent coffee shops may be more vulnerable to cost inflation than larger chains due to less economies of scale (World Coffee Portal,</w:t>
      </w:r>
      <w:r>
        <w:rPr>
          <w:rFonts w:ascii="Arial" w:eastAsia="Times New Roman" w:hAnsi="Arial" w:cs="Arial"/>
          <w:sz w:val="24"/>
          <w:szCs w:val="24"/>
          <w:lang w:val="en-GB" w:eastAsia="en-GB"/>
        </w:rPr>
        <w:t xml:space="preserve"> 2026).</w:t>
      </w:r>
    </w:p>
    <w:p w14:paraId="3EC406AF" w14:textId="389473A5" w:rsidR="00B2409B" w:rsidRPr="00B2409B" w:rsidRDefault="00665C21" w:rsidP="00B2409B">
      <w:pPr>
        <w:spacing w:before="100" w:beforeAutospacing="1" w:after="100" w:afterAutospacing="1" w:line="360" w:lineRule="auto"/>
        <w:jc w:val="both"/>
        <w:rPr>
          <w:rFonts w:ascii="Arial" w:eastAsia="Times New Roman" w:hAnsi="Arial" w:cs="Arial"/>
          <w:sz w:val="24"/>
          <w:szCs w:val="24"/>
          <w:lang w:val="en-GB" w:eastAsia="en-GB"/>
        </w:rPr>
      </w:pPr>
      <w:r w:rsidRPr="00665C21">
        <w:rPr>
          <w:rFonts w:ascii="Arial" w:eastAsia="Times New Roman" w:hAnsi="Arial" w:cs="Arial"/>
          <w:sz w:val="24"/>
          <w:szCs w:val="24"/>
          <w:lang w:val="en-GB" w:eastAsia="en-GB"/>
        </w:rPr>
        <w:t>The model assumes, therefore, that the initial planning has a variable-cost ratio of 30% and that the contribution margin is indicative of 70%. This is an assumption that needs to be tested against supplier quotat</w:t>
      </w:r>
      <w:r w:rsidR="00DF0DAA">
        <w:rPr>
          <w:rFonts w:ascii="Arial" w:eastAsia="Times New Roman" w:hAnsi="Arial" w:cs="Arial"/>
          <w:sz w:val="24"/>
          <w:szCs w:val="24"/>
          <w:lang w:val="en-GB" w:eastAsia="en-GB"/>
        </w:rPr>
        <w:t>ions and the final product mix.</w:t>
      </w:r>
    </w:p>
    <w:p w14:paraId="3F40B3A3" w14:textId="43869F83" w:rsidR="00B2409B" w:rsidRPr="00B2409B" w:rsidRDefault="00665C21" w:rsidP="00665C21">
      <w:pPr>
        <w:pStyle w:val="Heading3"/>
        <w:rPr>
          <w:rFonts w:eastAsia="Times New Roman"/>
          <w:lang w:val="en-GB" w:eastAsia="en-GB"/>
        </w:rPr>
      </w:pPr>
      <w:bookmarkStart w:id="88" w:name="_Toc239695401"/>
      <w:r>
        <w:rPr>
          <w:rFonts w:eastAsia="Times New Roman"/>
          <w:lang w:val="en-GB" w:eastAsia="en-GB"/>
        </w:rPr>
        <w:t>9.2.4 Revenue and profitability projection</w:t>
      </w:r>
      <w:bookmarkEnd w:id="88"/>
    </w:p>
    <w:p w14:paraId="7B426A47" w14:textId="2ECD9526"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The base-case projection is based on 310 trading days annually and the assumed average transaction</w:t>
      </w:r>
      <w:r w:rsidR="00665C21">
        <w:rPr>
          <w:rFonts w:ascii="Arial" w:eastAsia="Times New Roman" w:hAnsi="Arial" w:cs="Arial"/>
          <w:sz w:val="24"/>
          <w:szCs w:val="24"/>
          <w:lang w:val="en-GB" w:eastAsia="en-GB"/>
        </w:rPr>
        <w:t xml:space="preserve"> value of £7.</w:t>
      </w:r>
    </w:p>
    <w:p w14:paraId="46A7DD48" w14:textId="5AEE0356" w:rsidR="00665C21" w:rsidRPr="00665C21" w:rsidRDefault="00665C21" w:rsidP="00665C21">
      <w:pPr>
        <w:pStyle w:val="Caption"/>
        <w:keepNext/>
        <w:rPr>
          <w:rFonts w:ascii="Arial" w:hAnsi="Arial" w:cs="Arial"/>
          <w:sz w:val="24"/>
        </w:rPr>
      </w:pPr>
      <w:bookmarkStart w:id="89" w:name="_Toc239695430"/>
      <w:r w:rsidRPr="00665C21">
        <w:rPr>
          <w:rFonts w:ascii="Arial" w:hAnsi="Arial" w:cs="Arial"/>
          <w:sz w:val="24"/>
        </w:rPr>
        <w:t xml:space="preserve">Table </w:t>
      </w:r>
      <w:r w:rsidRPr="00665C21">
        <w:rPr>
          <w:rFonts w:ascii="Arial" w:hAnsi="Arial" w:cs="Arial"/>
          <w:sz w:val="24"/>
        </w:rPr>
        <w:fldChar w:fldCharType="begin"/>
      </w:r>
      <w:r w:rsidRPr="00665C21">
        <w:rPr>
          <w:rFonts w:ascii="Arial" w:hAnsi="Arial" w:cs="Arial"/>
          <w:sz w:val="24"/>
        </w:rPr>
        <w:instrText xml:space="preserve"> SEQ Table \* ARABIC </w:instrText>
      </w:r>
      <w:r w:rsidRPr="00665C21">
        <w:rPr>
          <w:rFonts w:ascii="Arial" w:hAnsi="Arial" w:cs="Arial"/>
          <w:sz w:val="24"/>
        </w:rPr>
        <w:fldChar w:fldCharType="separate"/>
      </w:r>
      <w:r w:rsidR="007C175A">
        <w:rPr>
          <w:rFonts w:ascii="Arial" w:hAnsi="Arial" w:cs="Arial"/>
          <w:noProof/>
          <w:sz w:val="24"/>
        </w:rPr>
        <w:t>11</w:t>
      </w:r>
      <w:r w:rsidRPr="00665C21">
        <w:rPr>
          <w:rFonts w:ascii="Arial" w:hAnsi="Arial" w:cs="Arial"/>
          <w:sz w:val="24"/>
        </w:rPr>
        <w:fldChar w:fldCharType="end"/>
      </w:r>
      <w:r w:rsidRPr="00665C21">
        <w:rPr>
          <w:rFonts w:ascii="Arial" w:hAnsi="Arial" w:cs="Arial"/>
          <w:sz w:val="24"/>
        </w:rPr>
        <w:t>.Revenue and profitability projection</w:t>
      </w:r>
      <w:bookmarkEnd w:id="89"/>
    </w:p>
    <w:tbl>
      <w:tblPr>
        <w:tblStyle w:val="TableGrid"/>
        <w:tblW w:w="0" w:type="auto"/>
        <w:tblLook w:val="04A0" w:firstRow="1" w:lastRow="0" w:firstColumn="1" w:lastColumn="0" w:noHBand="0" w:noVBand="1"/>
      </w:tblPr>
      <w:tblGrid>
        <w:gridCol w:w="2254"/>
        <w:gridCol w:w="2254"/>
        <w:gridCol w:w="2254"/>
        <w:gridCol w:w="2254"/>
      </w:tblGrid>
      <w:tr w:rsidR="00C35696" w:rsidRPr="00C35696" w14:paraId="7853D81D" w14:textId="77777777" w:rsidTr="00C35696">
        <w:tc>
          <w:tcPr>
            <w:tcW w:w="2254" w:type="dxa"/>
          </w:tcPr>
          <w:p w14:paraId="44A8326E"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Year</w:t>
            </w:r>
          </w:p>
        </w:tc>
        <w:tc>
          <w:tcPr>
            <w:tcW w:w="2254" w:type="dxa"/>
          </w:tcPr>
          <w:p w14:paraId="03A38DAA"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Average transactions/day</w:t>
            </w:r>
          </w:p>
        </w:tc>
        <w:tc>
          <w:tcPr>
            <w:tcW w:w="2254" w:type="dxa"/>
          </w:tcPr>
          <w:p w14:paraId="347E7538"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Annual transactions</w:t>
            </w:r>
          </w:p>
        </w:tc>
        <w:tc>
          <w:tcPr>
            <w:tcW w:w="2254" w:type="dxa"/>
          </w:tcPr>
          <w:p w14:paraId="7263C39A" w14:textId="77777777" w:rsidR="00C35696" w:rsidRPr="000A65E5" w:rsidRDefault="00C35696" w:rsidP="00212107">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Indicative revenue</w:t>
            </w:r>
          </w:p>
        </w:tc>
      </w:tr>
      <w:tr w:rsidR="00C35696" w:rsidRPr="00C35696" w14:paraId="12075486" w14:textId="77777777" w:rsidTr="00C35696">
        <w:tc>
          <w:tcPr>
            <w:tcW w:w="2254" w:type="dxa"/>
          </w:tcPr>
          <w:p w14:paraId="4396C366"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1</w:t>
            </w:r>
          </w:p>
        </w:tc>
        <w:tc>
          <w:tcPr>
            <w:tcW w:w="2254" w:type="dxa"/>
          </w:tcPr>
          <w:p w14:paraId="09D30B6E"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135</w:t>
            </w:r>
          </w:p>
        </w:tc>
        <w:tc>
          <w:tcPr>
            <w:tcW w:w="2254" w:type="dxa"/>
          </w:tcPr>
          <w:p w14:paraId="006A399B"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41,850</w:t>
            </w:r>
          </w:p>
        </w:tc>
        <w:tc>
          <w:tcPr>
            <w:tcW w:w="2254" w:type="dxa"/>
          </w:tcPr>
          <w:p w14:paraId="06309D18"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£292,950</w:t>
            </w:r>
          </w:p>
        </w:tc>
      </w:tr>
      <w:tr w:rsidR="00C35696" w:rsidRPr="00C35696" w14:paraId="4BE7A760" w14:textId="77777777" w:rsidTr="00C35696">
        <w:tc>
          <w:tcPr>
            <w:tcW w:w="2254" w:type="dxa"/>
          </w:tcPr>
          <w:p w14:paraId="3E425D7F"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2</w:t>
            </w:r>
          </w:p>
        </w:tc>
        <w:tc>
          <w:tcPr>
            <w:tcW w:w="2254" w:type="dxa"/>
          </w:tcPr>
          <w:p w14:paraId="1309B048"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145</w:t>
            </w:r>
          </w:p>
        </w:tc>
        <w:tc>
          <w:tcPr>
            <w:tcW w:w="2254" w:type="dxa"/>
          </w:tcPr>
          <w:p w14:paraId="75BC695C"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44,950</w:t>
            </w:r>
          </w:p>
        </w:tc>
        <w:tc>
          <w:tcPr>
            <w:tcW w:w="2254" w:type="dxa"/>
          </w:tcPr>
          <w:p w14:paraId="5822D8E5"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£314,650</w:t>
            </w:r>
          </w:p>
        </w:tc>
      </w:tr>
      <w:tr w:rsidR="00C35696" w:rsidRPr="00C35696" w14:paraId="7D22EBFB" w14:textId="77777777" w:rsidTr="00C35696">
        <w:tc>
          <w:tcPr>
            <w:tcW w:w="2254" w:type="dxa"/>
          </w:tcPr>
          <w:p w14:paraId="110CF415"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3</w:t>
            </w:r>
          </w:p>
        </w:tc>
        <w:tc>
          <w:tcPr>
            <w:tcW w:w="2254" w:type="dxa"/>
          </w:tcPr>
          <w:p w14:paraId="38FC73D0"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165</w:t>
            </w:r>
          </w:p>
        </w:tc>
        <w:tc>
          <w:tcPr>
            <w:tcW w:w="2254" w:type="dxa"/>
          </w:tcPr>
          <w:p w14:paraId="47F3D684"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51,150</w:t>
            </w:r>
          </w:p>
        </w:tc>
        <w:tc>
          <w:tcPr>
            <w:tcW w:w="2254" w:type="dxa"/>
          </w:tcPr>
          <w:p w14:paraId="70796BA1"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£358,050</w:t>
            </w:r>
          </w:p>
        </w:tc>
      </w:tr>
      <w:tr w:rsidR="00C35696" w:rsidRPr="00C35696" w14:paraId="48143BAD" w14:textId="77777777" w:rsidTr="00C35696">
        <w:tc>
          <w:tcPr>
            <w:tcW w:w="2254" w:type="dxa"/>
          </w:tcPr>
          <w:p w14:paraId="3FC3FCFC"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4</w:t>
            </w:r>
          </w:p>
        </w:tc>
        <w:tc>
          <w:tcPr>
            <w:tcW w:w="2254" w:type="dxa"/>
          </w:tcPr>
          <w:p w14:paraId="5CCD32AD"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185</w:t>
            </w:r>
          </w:p>
        </w:tc>
        <w:tc>
          <w:tcPr>
            <w:tcW w:w="2254" w:type="dxa"/>
          </w:tcPr>
          <w:p w14:paraId="471DFC9A"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57,350</w:t>
            </w:r>
          </w:p>
        </w:tc>
        <w:tc>
          <w:tcPr>
            <w:tcW w:w="2254" w:type="dxa"/>
          </w:tcPr>
          <w:p w14:paraId="64706D0B"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£401,450</w:t>
            </w:r>
          </w:p>
        </w:tc>
      </w:tr>
      <w:tr w:rsidR="00C35696" w:rsidRPr="00C35696" w14:paraId="1367A29F" w14:textId="77777777" w:rsidTr="00C35696">
        <w:tc>
          <w:tcPr>
            <w:tcW w:w="2254" w:type="dxa"/>
          </w:tcPr>
          <w:p w14:paraId="4B423F47"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Year 5</w:t>
            </w:r>
          </w:p>
        </w:tc>
        <w:tc>
          <w:tcPr>
            <w:tcW w:w="2254" w:type="dxa"/>
          </w:tcPr>
          <w:p w14:paraId="4782620E"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205</w:t>
            </w:r>
          </w:p>
        </w:tc>
        <w:tc>
          <w:tcPr>
            <w:tcW w:w="2254" w:type="dxa"/>
          </w:tcPr>
          <w:p w14:paraId="6FF89610"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63,550</w:t>
            </w:r>
          </w:p>
        </w:tc>
        <w:tc>
          <w:tcPr>
            <w:tcW w:w="2254" w:type="dxa"/>
          </w:tcPr>
          <w:p w14:paraId="2EA1E1FE" w14:textId="77777777" w:rsidR="00C35696" w:rsidRPr="00C35696" w:rsidRDefault="00C35696" w:rsidP="00212107">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£444,850</w:t>
            </w:r>
          </w:p>
        </w:tc>
      </w:tr>
    </w:tbl>
    <w:p w14:paraId="74BF1A5A" w14:textId="0EBFC1CC" w:rsidR="000A65E5" w:rsidRPr="000A65E5" w:rsidRDefault="000A65E5" w:rsidP="000A65E5">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Year 1 contribution would be around £205,065 at a 30% variable cost ratio. With the fixed operating costs of around £205,000 (staff, premises, baseline marketing, insurance, software and other overheads), Year 1 would be a point near operational break-even. This is a testament to the fact that TEBC is a very margin-intensive business and requires a sufficient numbe</w:t>
      </w:r>
      <w:r>
        <w:rPr>
          <w:rFonts w:ascii="Arial" w:eastAsia="Times New Roman" w:hAnsi="Arial" w:cs="Arial"/>
          <w:sz w:val="24"/>
          <w:szCs w:val="24"/>
          <w:lang w:val="en-GB" w:eastAsia="en-GB"/>
        </w:rPr>
        <w:t>r of transactions to be viable.</w:t>
      </w:r>
    </w:p>
    <w:p w14:paraId="2D5BA082" w14:textId="4D51F3C2" w:rsidR="00B2409B" w:rsidRPr="00B2409B" w:rsidRDefault="000A65E5" w:rsidP="00B2409B">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 xml:space="preserve">The forecast should be considered as an operating scenario and not a financial outcome. It is also required to be prepared in accordance with VAT-consistent method. </w:t>
      </w:r>
      <w:r w:rsidRPr="000A65E5">
        <w:rPr>
          <w:rFonts w:ascii="Arial" w:eastAsia="Times New Roman" w:hAnsi="Arial" w:cs="Arial"/>
          <w:sz w:val="24"/>
          <w:szCs w:val="24"/>
          <w:lang w:val="en-GB" w:eastAsia="en-GB"/>
        </w:rPr>
        <w:lastRenderedPageBreak/>
        <w:t>Once confirmed, the final product level VAT treatment should be applied to TEBC's forecast, to yield customer prices that include VAT and accounting revenue that excludes VAT, where it is assumed that UK taxable turnover above £90,000 will result in VAT registration (HMRC, 2026).</w:t>
      </w:r>
    </w:p>
    <w:p w14:paraId="6032D040" w14:textId="51E36E40" w:rsidR="00B2409B" w:rsidRPr="000A65E5" w:rsidRDefault="000A65E5" w:rsidP="000A65E5">
      <w:pPr>
        <w:pStyle w:val="Heading3"/>
        <w:rPr>
          <w:rFonts w:eastAsia="Times New Roman"/>
          <w:lang w:val="en-GB" w:eastAsia="en-GB"/>
        </w:rPr>
      </w:pPr>
      <w:bookmarkStart w:id="90" w:name="_Toc239695402"/>
      <w:r>
        <w:rPr>
          <w:rFonts w:eastAsia="Times New Roman"/>
          <w:lang w:val="en-GB" w:eastAsia="en-GB"/>
        </w:rPr>
        <w:t>9.2.5 Break</w:t>
      </w:r>
      <w:r w:rsidR="00B2409B" w:rsidRPr="00B2409B">
        <w:rPr>
          <w:rFonts w:eastAsia="Times New Roman"/>
          <w:lang w:val="en-GB" w:eastAsia="en-GB"/>
        </w:rPr>
        <w:t>-even and sensitivity</w:t>
      </w:r>
      <w:bookmarkEnd w:id="90"/>
    </w:p>
    <w:p w14:paraId="02951F7B" w14:textId="27E0092C"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Using the planning assumptions, contribution pe</w:t>
      </w:r>
      <w:r w:rsidR="000A65E5">
        <w:rPr>
          <w:rFonts w:ascii="Arial" w:eastAsia="Times New Roman" w:hAnsi="Arial" w:cs="Arial"/>
          <w:sz w:val="24"/>
          <w:szCs w:val="24"/>
          <w:lang w:val="en-GB" w:eastAsia="en-GB"/>
        </w:rPr>
        <w:t>r transaction is approximately</w:t>
      </w:r>
    </w:p>
    <w:p w14:paraId="52ABFB7C" w14:textId="5329E4EC" w:rsidR="00B2409B" w:rsidRPr="00B2409B" w:rsidRDefault="000A65E5" w:rsidP="00B2409B">
      <w:pPr>
        <w:spacing w:before="100" w:beforeAutospacing="1" w:after="100" w:afterAutospacing="1" w:line="36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£7.00 − (£7.00 × 30%) = £4.90</w:t>
      </w:r>
    </w:p>
    <w:p w14:paraId="47057679" w14:textId="71339255"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If annual fixed co</w:t>
      </w:r>
      <w:r w:rsidR="000A65E5">
        <w:rPr>
          <w:rFonts w:ascii="Arial" w:eastAsia="Times New Roman" w:hAnsi="Arial" w:cs="Arial"/>
          <w:sz w:val="24"/>
          <w:szCs w:val="24"/>
          <w:lang w:val="en-GB" w:eastAsia="en-GB"/>
        </w:rPr>
        <w:t>sts are approximately £205,000:</w:t>
      </w:r>
    </w:p>
    <w:p w14:paraId="62E2A69E" w14:textId="26B7D58A" w:rsidR="00B2409B" w:rsidRPr="000A65E5" w:rsidRDefault="00B2409B" w:rsidP="00B2409B">
      <w:pPr>
        <w:spacing w:before="100" w:beforeAutospacing="1" w:after="100" w:afterAutospacing="1" w:line="360" w:lineRule="auto"/>
        <w:jc w:val="both"/>
        <w:rPr>
          <w:rFonts w:ascii="Arial" w:eastAsia="Times New Roman" w:hAnsi="Arial" w:cs="Arial"/>
          <w:b/>
          <w:sz w:val="24"/>
          <w:szCs w:val="24"/>
          <w:lang w:val="en-GB" w:eastAsia="en-GB"/>
        </w:rPr>
      </w:pPr>
      <w:r w:rsidRPr="000A65E5">
        <w:rPr>
          <w:rFonts w:ascii="Arial" w:eastAsia="Times New Roman" w:hAnsi="Arial" w:cs="Arial"/>
          <w:b/>
          <w:sz w:val="24"/>
          <w:szCs w:val="24"/>
          <w:lang w:val="en-GB" w:eastAsia="en-GB"/>
        </w:rPr>
        <w:t>Break-even transactions = £205,000 ÷ £4.90 = approximatel</w:t>
      </w:r>
      <w:r w:rsidR="000A65E5" w:rsidRPr="000A65E5">
        <w:rPr>
          <w:rFonts w:ascii="Arial" w:eastAsia="Times New Roman" w:hAnsi="Arial" w:cs="Arial"/>
          <w:b/>
          <w:sz w:val="24"/>
          <w:szCs w:val="24"/>
          <w:lang w:val="en-GB" w:eastAsia="en-GB"/>
        </w:rPr>
        <w:t>y 41,837 transactions per year.</w:t>
      </w:r>
    </w:p>
    <w:p w14:paraId="2A754137" w14:textId="3D8D6DDF" w:rsidR="000A65E5" w:rsidRPr="000A65E5" w:rsidRDefault="000A65E5" w:rsidP="000A65E5">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 xml:space="preserve">Over 310 trading days that is around 135 transactions per day. This is a significant outcome given it is very close to the Year 1 base case volume. As a result, a downtrend to around 135 transactions per day would pose a </w:t>
      </w:r>
      <w:r>
        <w:rPr>
          <w:rFonts w:ascii="Arial" w:eastAsia="Times New Roman" w:hAnsi="Arial" w:cs="Arial"/>
          <w:sz w:val="24"/>
          <w:szCs w:val="24"/>
          <w:lang w:val="en-GB" w:eastAsia="en-GB"/>
        </w:rPr>
        <w:t>significant profitability risk.</w:t>
      </w:r>
    </w:p>
    <w:p w14:paraId="15476FE1" w14:textId="551BAD91" w:rsidR="00B2409B" w:rsidRPr="00B2409B" w:rsidRDefault="000A65E5" w:rsidP="00B2409B">
      <w:pPr>
        <w:spacing w:before="100" w:beforeAutospacing="1" w:after="100" w:afterAutospacing="1" w:line="360" w:lineRule="auto"/>
        <w:jc w:val="both"/>
        <w:rPr>
          <w:rFonts w:ascii="Arial" w:eastAsia="Times New Roman" w:hAnsi="Arial" w:cs="Arial"/>
          <w:sz w:val="24"/>
          <w:szCs w:val="24"/>
          <w:lang w:val="en-GB" w:eastAsia="en-GB"/>
        </w:rPr>
      </w:pPr>
      <w:r w:rsidRPr="000A65E5">
        <w:rPr>
          <w:rFonts w:ascii="Arial" w:eastAsia="Times New Roman" w:hAnsi="Arial" w:cs="Arial"/>
          <w:sz w:val="24"/>
          <w:szCs w:val="24"/>
          <w:lang w:val="en-GB" w:eastAsia="en-GB"/>
        </w:rPr>
        <w:t xml:space="preserve">A sensitivity test should concentrate on those assumptions that have a good chance of changing. If there's a 20% drop in transactions, then Year 1 revenue will drop from £292,950 to about £234,360. Contribution would be much less than the fixed costs, and there would be an operating deficit at the same variable-cost ratio. However, customer demand is likely to be compromised if average transaction value is increased by 10%, to £7.70, without compromising it. </w:t>
      </w:r>
    </w:p>
    <w:p w14:paraId="709BBCB6" w14:textId="77777777" w:rsidR="00B2409B" w:rsidRPr="00B2409B" w:rsidRDefault="00B2409B" w:rsidP="007C175A">
      <w:pPr>
        <w:pStyle w:val="Heading2"/>
        <w:rPr>
          <w:rFonts w:eastAsia="Times New Roman"/>
          <w:lang w:val="en-GB" w:eastAsia="en-GB"/>
        </w:rPr>
      </w:pPr>
      <w:bookmarkStart w:id="91" w:name="_Toc239695403"/>
      <w:r w:rsidRPr="00B2409B">
        <w:rPr>
          <w:rFonts w:eastAsia="Times New Roman"/>
          <w:lang w:val="en-GB" w:eastAsia="en-GB"/>
        </w:rPr>
        <w:t>9.3 Marketing and Sales Plan</w:t>
      </w:r>
      <w:bookmarkEnd w:id="91"/>
    </w:p>
    <w:p w14:paraId="1C143B66" w14:textId="01FC3A4F" w:rsidR="00B2409B" w:rsidRPr="00B2409B" w:rsidRDefault="004E1586" w:rsidP="007C175A">
      <w:pPr>
        <w:pStyle w:val="Heading3"/>
        <w:rPr>
          <w:rFonts w:eastAsia="Times New Roman"/>
          <w:lang w:val="en-GB" w:eastAsia="en-GB"/>
        </w:rPr>
      </w:pPr>
      <w:bookmarkStart w:id="92" w:name="_Toc239695404"/>
      <w:r>
        <w:rPr>
          <w:rFonts w:eastAsia="Times New Roman"/>
          <w:lang w:val="en-GB" w:eastAsia="en-GB"/>
        </w:rPr>
        <w:t xml:space="preserve">9.3.1 </w:t>
      </w:r>
      <w:r w:rsidR="00B2409B" w:rsidRPr="00B2409B">
        <w:rPr>
          <w:rFonts w:eastAsia="Times New Roman"/>
          <w:lang w:val="en-GB" w:eastAsia="en-GB"/>
        </w:rPr>
        <w:t>Segmenta</w:t>
      </w:r>
      <w:r w:rsidR="00E010BA">
        <w:rPr>
          <w:rFonts w:eastAsia="Times New Roman"/>
          <w:lang w:val="en-GB" w:eastAsia="en-GB"/>
        </w:rPr>
        <w:t>tion, targeting and positioning</w:t>
      </w:r>
      <w:bookmarkEnd w:id="92"/>
    </w:p>
    <w:p w14:paraId="589CCBEB" w14:textId="6775FE47" w:rsidR="00685E78" w:rsidRPr="00685E78" w:rsidRDefault="00685E78" w:rsidP="00685E78">
      <w:pPr>
        <w:spacing w:before="100" w:beforeAutospacing="1" w:after="100" w:afterAutospacing="1" w:line="360" w:lineRule="auto"/>
        <w:jc w:val="both"/>
        <w:rPr>
          <w:rFonts w:ascii="Arial" w:eastAsia="Times New Roman" w:hAnsi="Arial" w:cs="Arial"/>
          <w:sz w:val="24"/>
          <w:szCs w:val="24"/>
          <w:lang w:val="en-GB" w:eastAsia="en-GB"/>
        </w:rPr>
      </w:pPr>
      <w:r w:rsidRPr="00685E78">
        <w:rPr>
          <w:rFonts w:ascii="Arial" w:eastAsia="Times New Roman" w:hAnsi="Arial" w:cs="Arial"/>
          <w:sz w:val="24"/>
          <w:szCs w:val="24"/>
          <w:lang w:val="en-GB" w:eastAsia="en-GB"/>
        </w:rPr>
        <w:t xml:space="preserve">The marketing plan incorporates segmentation, targeting and positioning concepts developed in previous chapters. Geographic Segmentation is based on people living within walking distance of Monmouth Street and the wider Covent Garden/West End area. Psychographic segmentation targets consumers who appreciate specialty coffee, quality, and ethical consumption and sustainability, while behavioural segmentation targets repeat local and worker customers, versus occasional visitors. There is evidence that consumers are willing to pay for attributes of sustainability in </w:t>
      </w:r>
      <w:r w:rsidRPr="00685E78">
        <w:rPr>
          <w:rFonts w:ascii="Arial" w:eastAsia="Times New Roman" w:hAnsi="Arial" w:cs="Arial"/>
          <w:sz w:val="24"/>
          <w:szCs w:val="24"/>
          <w:lang w:val="en-GB" w:eastAsia="en-GB"/>
        </w:rPr>
        <w:lastRenderedPageBreak/>
        <w:t>their coffee but this is not specific to the UK context and should therefore be used to inform and not dictate the TEBC price (Fuller and Grebitus, 2023)</w:t>
      </w:r>
      <w:r w:rsidR="00DF0DAA">
        <w:rPr>
          <w:rFonts w:ascii="Arial" w:eastAsia="Times New Roman" w:hAnsi="Arial" w:cs="Arial"/>
          <w:sz w:val="24"/>
          <w:szCs w:val="24"/>
          <w:lang w:val="en-GB" w:eastAsia="en-GB"/>
        </w:rPr>
        <w:t>.</w:t>
      </w:r>
    </w:p>
    <w:p w14:paraId="1247D83B" w14:textId="77777777" w:rsidR="00685E78" w:rsidRPr="007C175A" w:rsidRDefault="00685E78" w:rsidP="00685E78">
      <w:pPr>
        <w:spacing w:before="100" w:beforeAutospacing="1" w:after="100" w:afterAutospacing="1" w:line="360" w:lineRule="auto"/>
        <w:jc w:val="both"/>
        <w:rPr>
          <w:rFonts w:ascii="Arial" w:eastAsia="Times New Roman" w:hAnsi="Arial" w:cs="Arial"/>
          <w:b/>
          <w:sz w:val="24"/>
          <w:szCs w:val="24"/>
          <w:lang w:val="en-GB" w:eastAsia="en-GB"/>
        </w:rPr>
      </w:pPr>
      <w:r w:rsidRPr="007C175A">
        <w:rPr>
          <w:rFonts w:ascii="Arial" w:eastAsia="Times New Roman" w:hAnsi="Arial" w:cs="Arial"/>
          <w:b/>
          <w:sz w:val="24"/>
          <w:szCs w:val="24"/>
          <w:lang w:val="en-GB" w:eastAsia="en-GB"/>
        </w:rPr>
        <w:t>The suggested placement is:</w:t>
      </w:r>
    </w:p>
    <w:p w14:paraId="693F0B73" w14:textId="77777777" w:rsidR="00685E78" w:rsidRPr="00685E78" w:rsidRDefault="00685E78" w:rsidP="00685E78">
      <w:pPr>
        <w:spacing w:before="100" w:beforeAutospacing="1" w:after="100" w:afterAutospacing="1" w:line="360" w:lineRule="auto"/>
        <w:jc w:val="both"/>
        <w:rPr>
          <w:rFonts w:ascii="Arial" w:eastAsia="Times New Roman" w:hAnsi="Arial" w:cs="Arial"/>
          <w:sz w:val="24"/>
          <w:szCs w:val="24"/>
          <w:lang w:val="en-GB" w:eastAsia="en-GB"/>
        </w:rPr>
      </w:pPr>
      <w:r w:rsidRPr="00685E78">
        <w:rPr>
          <w:rFonts w:ascii="Arial" w:eastAsia="Times New Roman" w:hAnsi="Arial" w:cs="Arial"/>
          <w:sz w:val="24"/>
          <w:szCs w:val="24"/>
          <w:lang w:val="en-GB" w:eastAsia="en-GB"/>
        </w:rPr>
        <w:t>The Ethical Bean Coffee House is an accessible-premium specialty coffee bar for the ethically conscious coffee-drinker, the city professional, and some visitors in Covent Garden, providing a high-quality coffee experience with credible evidence of sourcing transparency, sustainability, and personalised service.</w:t>
      </w:r>
    </w:p>
    <w:p w14:paraId="28599E77" w14:textId="32A72793" w:rsidR="00B2409B" w:rsidRPr="00B2409B" w:rsidRDefault="00685E78" w:rsidP="00685E78">
      <w:pPr>
        <w:spacing w:before="100" w:beforeAutospacing="1" w:after="100" w:afterAutospacing="1" w:line="360" w:lineRule="auto"/>
        <w:jc w:val="both"/>
        <w:rPr>
          <w:rFonts w:ascii="Arial" w:eastAsia="Times New Roman" w:hAnsi="Arial" w:cs="Arial"/>
          <w:sz w:val="24"/>
          <w:szCs w:val="24"/>
          <w:lang w:val="en-GB" w:eastAsia="en-GB"/>
        </w:rPr>
      </w:pPr>
      <w:r w:rsidRPr="00685E78">
        <w:rPr>
          <w:rFonts w:ascii="Arial" w:eastAsia="Times New Roman" w:hAnsi="Arial" w:cs="Arial"/>
          <w:sz w:val="24"/>
          <w:szCs w:val="24"/>
          <w:lang w:val="en-GB" w:eastAsia="en-GB"/>
        </w:rPr>
        <w:t>The positioning is thus not claiming that "ethical" coffee is unusual. Instead, differentiation is based on the integrated combination of quality, transparency, sustainability and customer experience</w:t>
      </w:r>
      <w:r w:rsidR="004E1586">
        <w:rPr>
          <w:rFonts w:ascii="Arial" w:eastAsia="Times New Roman" w:hAnsi="Arial" w:cs="Arial"/>
          <w:sz w:val="24"/>
          <w:szCs w:val="24"/>
          <w:lang w:val="en-GB" w:eastAsia="en-GB"/>
        </w:rPr>
        <w:t>.</w:t>
      </w:r>
    </w:p>
    <w:p w14:paraId="388C1AC1" w14:textId="3BAD0C9D" w:rsidR="00B2409B" w:rsidRPr="00B2409B" w:rsidRDefault="004E1586" w:rsidP="007C175A">
      <w:pPr>
        <w:pStyle w:val="Heading2"/>
        <w:rPr>
          <w:rFonts w:eastAsia="Times New Roman"/>
          <w:lang w:val="en-GB" w:eastAsia="en-GB"/>
        </w:rPr>
      </w:pPr>
      <w:bookmarkStart w:id="93" w:name="_Toc239695405"/>
      <w:r>
        <w:rPr>
          <w:rFonts w:eastAsia="Times New Roman"/>
          <w:lang w:val="en-GB" w:eastAsia="en-GB"/>
        </w:rPr>
        <w:t>9.3.2 Marketing mix: 7Ps</w:t>
      </w:r>
      <w:bookmarkEnd w:id="93"/>
    </w:p>
    <w:p w14:paraId="64B50101" w14:textId="4FC79F73"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 xml:space="preserve">The 7Ps framework is appropriate because service quality and employee interaction are </w:t>
      </w:r>
      <w:r w:rsidR="004E1586">
        <w:rPr>
          <w:rFonts w:ascii="Arial" w:eastAsia="Times New Roman" w:hAnsi="Arial" w:cs="Arial"/>
          <w:sz w:val="24"/>
          <w:szCs w:val="24"/>
          <w:lang w:val="en-GB" w:eastAsia="en-GB"/>
        </w:rPr>
        <w:t>central to the café experience.</w:t>
      </w:r>
    </w:p>
    <w:p w14:paraId="4BB45BA0" w14:textId="7F864449" w:rsidR="007C175A" w:rsidRPr="007C175A" w:rsidRDefault="007C175A" w:rsidP="007C175A">
      <w:pPr>
        <w:pStyle w:val="Caption"/>
        <w:keepNext/>
        <w:jc w:val="both"/>
        <w:rPr>
          <w:rFonts w:ascii="Arial" w:hAnsi="Arial" w:cs="Arial"/>
          <w:sz w:val="24"/>
        </w:rPr>
      </w:pPr>
      <w:bookmarkStart w:id="94" w:name="_Toc239695431"/>
      <w:r w:rsidRPr="007C175A">
        <w:rPr>
          <w:rFonts w:ascii="Arial" w:hAnsi="Arial" w:cs="Arial"/>
          <w:sz w:val="24"/>
        </w:rPr>
        <w:t xml:space="preserve">Table </w:t>
      </w:r>
      <w:r w:rsidRPr="007C175A">
        <w:rPr>
          <w:rFonts w:ascii="Arial" w:hAnsi="Arial" w:cs="Arial"/>
          <w:sz w:val="24"/>
        </w:rPr>
        <w:fldChar w:fldCharType="begin"/>
      </w:r>
      <w:r w:rsidRPr="007C175A">
        <w:rPr>
          <w:rFonts w:ascii="Arial" w:hAnsi="Arial" w:cs="Arial"/>
          <w:sz w:val="24"/>
        </w:rPr>
        <w:instrText xml:space="preserve"> SEQ Table \* ARABIC </w:instrText>
      </w:r>
      <w:r w:rsidRPr="007C175A">
        <w:rPr>
          <w:rFonts w:ascii="Arial" w:hAnsi="Arial" w:cs="Arial"/>
          <w:sz w:val="24"/>
        </w:rPr>
        <w:fldChar w:fldCharType="separate"/>
      </w:r>
      <w:r w:rsidRPr="007C175A">
        <w:rPr>
          <w:rFonts w:ascii="Arial" w:hAnsi="Arial" w:cs="Arial"/>
          <w:noProof/>
          <w:sz w:val="24"/>
        </w:rPr>
        <w:t>12</w:t>
      </w:r>
      <w:r w:rsidRPr="007C175A">
        <w:rPr>
          <w:rFonts w:ascii="Arial" w:hAnsi="Arial" w:cs="Arial"/>
          <w:sz w:val="24"/>
        </w:rPr>
        <w:fldChar w:fldCharType="end"/>
      </w:r>
      <w:r w:rsidRPr="007C175A">
        <w:rPr>
          <w:rFonts w:ascii="Arial" w:hAnsi="Arial" w:cs="Arial"/>
          <w:sz w:val="24"/>
        </w:rPr>
        <w:t>.Marketing mix</w:t>
      </w:r>
      <w:bookmarkEnd w:id="94"/>
    </w:p>
    <w:tbl>
      <w:tblPr>
        <w:tblStyle w:val="TableGrid"/>
        <w:tblW w:w="0" w:type="auto"/>
        <w:tblLook w:val="04A0" w:firstRow="1" w:lastRow="0" w:firstColumn="1" w:lastColumn="0" w:noHBand="0" w:noVBand="1"/>
      </w:tblPr>
      <w:tblGrid>
        <w:gridCol w:w="4508"/>
        <w:gridCol w:w="4508"/>
      </w:tblGrid>
      <w:tr w:rsidR="00C35696" w:rsidRPr="00C35696" w14:paraId="47C5D14C" w14:textId="77777777" w:rsidTr="00C35696">
        <w:tc>
          <w:tcPr>
            <w:tcW w:w="4508" w:type="dxa"/>
          </w:tcPr>
          <w:p w14:paraId="03B0DE69" w14:textId="77777777" w:rsidR="00C35696" w:rsidRPr="00B44053" w:rsidRDefault="00C35696" w:rsidP="00F06C1E">
            <w:pPr>
              <w:spacing w:before="100" w:beforeAutospacing="1" w:after="100" w:afterAutospacing="1" w:line="360" w:lineRule="auto"/>
              <w:jc w:val="both"/>
              <w:rPr>
                <w:rFonts w:ascii="Arial" w:eastAsia="Times New Roman" w:hAnsi="Arial" w:cs="Arial"/>
                <w:b/>
                <w:sz w:val="24"/>
                <w:szCs w:val="24"/>
                <w:lang w:val="en-GB" w:eastAsia="en-GB"/>
              </w:rPr>
            </w:pPr>
            <w:r w:rsidRPr="00B44053">
              <w:rPr>
                <w:rFonts w:ascii="Arial" w:eastAsia="Times New Roman" w:hAnsi="Arial" w:cs="Arial"/>
                <w:b/>
                <w:sz w:val="24"/>
                <w:szCs w:val="24"/>
                <w:lang w:val="en-GB" w:eastAsia="en-GB"/>
              </w:rPr>
              <w:t>Element</w:t>
            </w:r>
          </w:p>
        </w:tc>
        <w:tc>
          <w:tcPr>
            <w:tcW w:w="4508" w:type="dxa"/>
          </w:tcPr>
          <w:p w14:paraId="33510F54" w14:textId="77777777" w:rsidR="00C35696" w:rsidRPr="00B44053" w:rsidRDefault="00C35696" w:rsidP="00F06C1E">
            <w:pPr>
              <w:spacing w:before="100" w:beforeAutospacing="1" w:after="100" w:afterAutospacing="1" w:line="360" w:lineRule="auto"/>
              <w:jc w:val="both"/>
              <w:rPr>
                <w:rFonts w:ascii="Arial" w:eastAsia="Times New Roman" w:hAnsi="Arial" w:cs="Arial"/>
                <w:b/>
                <w:sz w:val="24"/>
                <w:szCs w:val="24"/>
                <w:lang w:val="en-GB" w:eastAsia="en-GB"/>
              </w:rPr>
            </w:pPr>
            <w:r w:rsidRPr="00B44053">
              <w:rPr>
                <w:rFonts w:ascii="Arial" w:eastAsia="Times New Roman" w:hAnsi="Arial" w:cs="Arial"/>
                <w:b/>
                <w:sz w:val="24"/>
                <w:szCs w:val="24"/>
                <w:lang w:val="en-GB" w:eastAsia="en-GB"/>
              </w:rPr>
              <w:t>TEBC decision</w:t>
            </w:r>
          </w:p>
        </w:tc>
      </w:tr>
      <w:tr w:rsidR="00C35696" w:rsidRPr="00C35696" w14:paraId="63D34382" w14:textId="77777777" w:rsidTr="00C35696">
        <w:tc>
          <w:tcPr>
            <w:tcW w:w="4508" w:type="dxa"/>
          </w:tcPr>
          <w:p w14:paraId="0AFB2AE7"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Product</w:t>
            </w:r>
          </w:p>
        </w:tc>
        <w:tc>
          <w:tcPr>
            <w:tcW w:w="4508" w:type="dxa"/>
          </w:tcPr>
          <w:p w14:paraId="60A98EAC"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Specialty coffee, hot/cold beverages, concise food range and selected retail beans</w:t>
            </w:r>
          </w:p>
        </w:tc>
      </w:tr>
      <w:tr w:rsidR="00C35696" w:rsidRPr="00C35696" w14:paraId="3A9E46E9" w14:textId="77777777" w:rsidTr="00C35696">
        <w:tc>
          <w:tcPr>
            <w:tcW w:w="4508" w:type="dxa"/>
          </w:tcPr>
          <w:p w14:paraId="3AD1C910"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Price</w:t>
            </w:r>
          </w:p>
        </w:tc>
        <w:tc>
          <w:tcPr>
            <w:tcW w:w="4508" w:type="dxa"/>
          </w:tcPr>
          <w:p w14:paraId="1D1B47CD"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Accessible-premium pricing, benchmarked against local competitors and contribution requirements</w:t>
            </w:r>
          </w:p>
        </w:tc>
      </w:tr>
      <w:tr w:rsidR="00C35696" w:rsidRPr="00C35696" w14:paraId="02F9E18A" w14:textId="77777777" w:rsidTr="00C35696">
        <w:tc>
          <w:tcPr>
            <w:tcW w:w="4508" w:type="dxa"/>
          </w:tcPr>
          <w:p w14:paraId="65131E67"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Place</w:t>
            </w:r>
          </w:p>
        </w:tc>
        <w:tc>
          <w:tcPr>
            <w:tcW w:w="4508" w:type="dxa"/>
          </w:tcPr>
          <w:p w14:paraId="29823361"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Monmouth Street, Covent Garden, supported by digital discovery and feasible direct ordering</w:t>
            </w:r>
          </w:p>
        </w:tc>
      </w:tr>
      <w:tr w:rsidR="00C35696" w:rsidRPr="00C35696" w14:paraId="0A6ECDE2" w14:textId="77777777" w:rsidTr="00C35696">
        <w:tc>
          <w:tcPr>
            <w:tcW w:w="4508" w:type="dxa"/>
          </w:tcPr>
          <w:p w14:paraId="474E21AE"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Promotion</w:t>
            </w:r>
          </w:p>
        </w:tc>
        <w:tc>
          <w:tcPr>
            <w:tcW w:w="4508" w:type="dxa"/>
          </w:tcPr>
          <w:p w14:paraId="1B6EF30C"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Social media, local partnerships, launch activity, content marketing, reviews and loyalty communications</w:t>
            </w:r>
          </w:p>
        </w:tc>
      </w:tr>
      <w:tr w:rsidR="00C35696" w:rsidRPr="00C35696" w14:paraId="3615C0D7" w14:textId="77777777" w:rsidTr="00C35696">
        <w:tc>
          <w:tcPr>
            <w:tcW w:w="4508" w:type="dxa"/>
          </w:tcPr>
          <w:p w14:paraId="57DD0542"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lastRenderedPageBreak/>
              <w:t>People</w:t>
            </w:r>
          </w:p>
        </w:tc>
        <w:tc>
          <w:tcPr>
            <w:tcW w:w="4508" w:type="dxa"/>
          </w:tcPr>
          <w:p w14:paraId="551F8A9E"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Trained baristas and customer-facing staff able to communicate product and sourcing value</w:t>
            </w:r>
          </w:p>
        </w:tc>
      </w:tr>
      <w:tr w:rsidR="00C35696" w:rsidRPr="00C35696" w14:paraId="38FEE1AA" w14:textId="77777777" w:rsidTr="00C35696">
        <w:tc>
          <w:tcPr>
            <w:tcW w:w="4508" w:type="dxa"/>
          </w:tcPr>
          <w:p w14:paraId="7B93D217"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Process</w:t>
            </w:r>
          </w:p>
        </w:tc>
        <w:tc>
          <w:tcPr>
            <w:tcW w:w="4508" w:type="dxa"/>
          </w:tcPr>
          <w:p w14:paraId="70EFC253"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Fast ordering, consistent preparation, quality control, service recovery and loyalty registration</w:t>
            </w:r>
          </w:p>
        </w:tc>
      </w:tr>
      <w:tr w:rsidR="00C35696" w:rsidRPr="00C35696" w14:paraId="76F1F9BF" w14:textId="77777777" w:rsidTr="00C35696">
        <w:tc>
          <w:tcPr>
            <w:tcW w:w="4508" w:type="dxa"/>
          </w:tcPr>
          <w:p w14:paraId="252405CF"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Physical evidence</w:t>
            </w:r>
          </w:p>
        </w:tc>
        <w:tc>
          <w:tcPr>
            <w:tcW w:w="4508" w:type="dxa"/>
          </w:tcPr>
          <w:p w14:paraId="71FFA1E0" w14:textId="77777777" w:rsidR="00C35696" w:rsidRPr="00C35696" w:rsidRDefault="00C35696" w:rsidP="00F06C1E">
            <w:pPr>
              <w:spacing w:before="100" w:beforeAutospacing="1" w:after="100" w:afterAutospacing="1" w:line="360" w:lineRule="auto"/>
              <w:jc w:val="both"/>
              <w:rPr>
                <w:rFonts w:ascii="Arial" w:eastAsia="Times New Roman" w:hAnsi="Arial" w:cs="Arial"/>
                <w:sz w:val="24"/>
                <w:szCs w:val="24"/>
                <w:lang w:val="en-GB" w:eastAsia="en-GB"/>
              </w:rPr>
            </w:pPr>
            <w:r w:rsidRPr="00C35696">
              <w:rPr>
                <w:rFonts w:ascii="Arial" w:eastAsia="Times New Roman" w:hAnsi="Arial" w:cs="Arial"/>
                <w:sz w:val="24"/>
                <w:szCs w:val="24"/>
                <w:lang w:val="en-GB" w:eastAsia="en-GB"/>
              </w:rPr>
              <w:t>Café environment, packaging, sourcing information, reviews, staff presentation and traceability communication</w:t>
            </w:r>
          </w:p>
        </w:tc>
      </w:tr>
    </w:tbl>
    <w:p w14:paraId="447EC750" w14:textId="501D48C8" w:rsidR="00EB59AF" w:rsidRPr="00B2409B" w:rsidRDefault="00B44053" w:rsidP="00B2409B">
      <w:pPr>
        <w:spacing w:before="100" w:beforeAutospacing="1" w:after="100" w:afterAutospacing="1" w:line="360" w:lineRule="auto"/>
        <w:jc w:val="both"/>
        <w:rPr>
          <w:rFonts w:ascii="Arial" w:eastAsia="Times New Roman" w:hAnsi="Arial" w:cs="Arial"/>
          <w:sz w:val="24"/>
          <w:szCs w:val="24"/>
          <w:lang w:val="en-GB" w:eastAsia="en-GB"/>
        </w:rPr>
      </w:pPr>
      <w:r w:rsidRPr="00B44053">
        <w:rPr>
          <w:rFonts w:ascii="Arial" w:eastAsia="Times New Roman" w:hAnsi="Arial" w:cs="Arial"/>
          <w:sz w:val="24"/>
          <w:szCs w:val="24"/>
          <w:lang w:val="en-GB" w:eastAsia="en-GB"/>
        </w:rPr>
        <w:t>This approach complements the strategy as the value for the customer is created not only by the coffee itself, but also on the basis of the information provided on its origin, the atmosphere and service created, a</w:t>
      </w:r>
      <w:r w:rsidR="0009016E">
        <w:rPr>
          <w:rFonts w:ascii="Arial" w:eastAsia="Times New Roman" w:hAnsi="Arial" w:cs="Arial"/>
          <w:sz w:val="24"/>
          <w:szCs w:val="24"/>
          <w:lang w:val="en-GB" w:eastAsia="en-GB"/>
        </w:rPr>
        <w:t>s well as the surroundings</w:t>
      </w:r>
      <w:r w:rsidR="004E1586">
        <w:rPr>
          <w:rFonts w:ascii="Arial" w:eastAsia="Times New Roman" w:hAnsi="Arial" w:cs="Arial"/>
          <w:sz w:val="24"/>
          <w:szCs w:val="24"/>
          <w:lang w:val="en-GB" w:eastAsia="en-GB"/>
        </w:rPr>
        <w:t>.</w:t>
      </w:r>
    </w:p>
    <w:p w14:paraId="0AC87244" w14:textId="22BA3376" w:rsidR="00B2409B" w:rsidRPr="00EB59AF" w:rsidRDefault="004E1586" w:rsidP="00EB59AF">
      <w:pPr>
        <w:pStyle w:val="Heading3"/>
        <w:rPr>
          <w:rFonts w:eastAsia="Times New Roman"/>
          <w:lang w:val="en-GB" w:eastAsia="en-GB"/>
        </w:rPr>
      </w:pPr>
      <w:bookmarkStart w:id="95" w:name="_Toc239695406"/>
      <w:r>
        <w:rPr>
          <w:rFonts w:eastAsia="Times New Roman"/>
          <w:lang w:val="en-GB" w:eastAsia="en-GB"/>
        </w:rPr>
        <w:t>9.3.3 Customer</w:t>
      </w:r>
      <w:r w:rsidR="00B2409B" w:rsidRPr="00B2409B">
        <w:rPr>
          <w:rFonts w:eastAsia="Times New Roman"/>
          <w:lang w:val="en-GB" w:eastAsia="en-GB"/>
        </w:rPr>
        <w:t xml:space="preserve"> acquisition and sales process</w:t>
      </w:r>
      <w:bookmarkEnd w:id="95"/>
    </w:p>
    <w:p w14:paraId="59C24CA4" w14:textId="1F40BFAF"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Customer acquisition will f</w:t>
      </w:r>
      <w:r w:rsidR="00EB59AF">
        <w:rPr>
          <w:rFonts w:ascii="Arial" w:eastAsia="Times New Roman" w:hAnsi="Arial" w:cs="Arial"/>
          <w:sz w:val="24"/>
          <w:szCs w:val="24"/>
          <w:lang w:val="en-GB" w:eastAsia="en-GB"/>
        </w:rPr>
        <w:t>ollow a staged funnel:</w:t>
      </w:r>
    </w:p>
    <w:p w14:paraId="26B81218" w14:textId="4ABF9202"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4723C">
        <w:rPr>
          <w:rFonts w:ascii="Arial" w:eastAsia="Times New Roman" w:hAnsi="Arial" w:cs="Arial"/>
          <w:b/>
          <w:sz w:val="24"/>
          <w:szCs w:val="24"/>
          <w:lang w:val="en-GB" w:eastAsia="en-GB"/>
        </w:rPr>
        <w:t>Awareness → Engagement → First purchase → Repeat</w:t>
      </w:r>
      <w:r w:rsidR="00EB59AF" w:rsidRPr="00B4723C">
        <w:rPr>
          <w:rFonts w:ascii="Arial" w:eastAsia="Times New Roman" w:hAnsi="Arial" w:cs="Arial"/>
          <w:b/>
          <w:sz w:val="24"/>
          <w:szCs w:val="24"/>
          <w:lang w:val="en-GB" w:eastAsia="en-GB"/>
        </w:rPr>
        <w:t xml:space="preserve"> purchase → Loyalty → Advocacy</w:t>
      </w:r>
      <w:r w:rsidR="00EB59AF">
        <w:rPr>
          <w:rFonts w:ascii="Arial" w:eastAsia="Times New Roman" w:hAnsi="Arial" w:cs="Arial"/>
          <w:sz w:val="24"/>
          <w:szCs w:val="24"/>
          <w:lang w:val="en-GB" w:eastAsia="en-GB"/>
        </w:rPr>
        <w:t>.</w:t>
      </w:r>
    </w:p>
    <w:p w14:paraId="58607492" w14:textId="4CE0D624" w:rsidR="00B4723C" w:rsidRPr="00B4723C" w:rsidRDefault="00B4723C" w:rsidP="00B4723C">
      <w:pPr>
        <w:spacing w:before="100" w:beforeAutospacing="1" w:after="100" w:afterAutospacing="1" w:line="360" w:lineRule="auto"/>
        <w:jc w:val="both"/>
        <w:rPr>
          <w:rFonts w:ascii="Arial" w:eastAsia="Times New Roman" w:hAnsi="Arial" w:cs="Arial"/>
          <w:sz w:val="24"/>
          <w:szCs w:val="24"/>
          <w:lang w:val="en-GB" w:eastAsia="en-GB"/>
        </w:rPr>
      </w:pPr>
      <w:r w:rsidRPr="00B4723C">
        <w:rPr>
          <w:rFonts w:ascii="Arial" w:eastAsia="Times New Roman" w:hAnsi="Arial" w:cs="Arial"/>
          <w:sz w:val="24"/>
          <w:szCs w:val="24"/>
          <w:lang w:val="en-GB" w:eastAsia="en-GB"/>
        </w:rPr>
        <w:t xml:space="preserve">Instagram and social media, Google/local search and local partnerships and visually appealing content of coffee quality and sourcing will be used to raise awareness. Coffee education and producer stories and sustainability evidence will be used to encourage engagement. Conversion will be achieved by way of a controlled launch offer, not permanent discounting, which will preserve the </w:t>
      </w:r>
      <w:r>
        <w:rPr>
          <w:rFonts w:ascii="Arial" w:eastAsia="Times New Roman" w:hAnsi="Arial" w:cs="Arial"/>
          <w:sz w:val="24"/>
          <w:szCs w:val="24"/>
          <w:lang w:val="en-GB" w:eastAsia="en-GB"/>
        </w:rPr>
        <w:t>position of accessible-premium</w:t>
      </w:r>
      <w:r w:rsidR="00DF0DAA">
        <w:rPr>
          <w:rFonts w:ascii="Arial" w:eastAsia="Times New Roman" w:hAnsi="Arial" w:cs="Arial"/>
          <w:sz w:val="24"/>
          <w:szCs w:val="24"/>
          <w:lang w:val="en-GB" w:eastAsia="en-GB"/>
        </w:rPr>
        <w:t xml:space="preserve">.  </w:t>
      </w:r>
      <w:r w:rsidRPr="00B4723C">
        <w:rPr>
          <w:rFonts w:ascii="Arial" w:eastAsia="Times New Roman" w:hAnsi="Arial" w:cs="Arial"/>
          <w:sz w:val="24"/>
          <w:szCs w:val="24"/>
          <w:lang w:val="en-GB" w:eastAsia="en-GB"/>
        </w:rPr>
        <w:t xml:space="preserve">The main type of sales in a café is direct, transactional. The sales process thus includes customer discovery, store visit, purchase, service delivery, feedback, repeat purchase and referral. </w:t>
      </w:r>
    </w:p>
    <w:p w14:paraId="46F63830" w14:textId="72674F3B" w:rsidR="00B2409B" w:rsidRPr="00B2409B" w:rsidRDefault="00B4723C" w:rsidP="00B2409B">
      <w:pPr>
        <w:spacing w:before="100" w:beforeAutospacing="1" w:after="100" w:afterAutospacing="1" w:line="360" w:lineRule="auto"/>
        <w:jc w:val="both"/>
        <w:rPr>
          <w:rFonts w:ascii="Arial" w:eastAsia="Times New Roman" w:hAnsi="Arial" w:cs="Arial"/>
          <w:sz w:val="24"/>
          <w:szCs w:val="24"/>
          <w:lang w:val="en-GB" w:eastAsia="en-GB"/>
        </w:rPr>
      </w:pPr>
      <w:r w:rsidRPr="00B4723C">
        <w:rPr>
          <w:rFonts w:ascii="Arial" w:eastAsia="Times New Roman" w:hAnsi="Arial" w:cs="Arial"/>
          <w:sz w:val="24"/>
          <w:szCs w:val="24"/>
          <w:lang w:val="en-GB" w:eastAsia="en-GB"/>
        </w:rPr>
        <w:t>The marketing budget is allocated at £12,000 for Year 1, which will comprise around £3,000 for website, photography and launch assets, £4,000 for digital and targeted marketing, £2,000 for local partnerships and events and £3,000 for loyalty marketing, review generation and promotions. The budget needs to be allocated based on the actual amount of measurable perf</w:t>
      </w:r>
      <w:r w:rsidR="00DF0DAA">
        <w:rPr>
          <w:rFonts w:ascii="Arial" w:eastAsia="Times New Roman" w:hAnsi="Arial" w:cs="Arial"/>
          <w:sz w:val="24"/>
          <w:szCs w:val="24"/>
          <w:lang w:val="en-GB" w:eastAsia="en-GB"/>
        </w:rPr>
        <w:t>ormance, not evenly distributed.</w:t>
      </w:r>
    </w:p>
    <w:p w14:paraId="6ED653B0" w14:textId="77777777" w:rsidR="00B2409B" w:rsidRPr="00B2409B" w:rsidRDefault="00B2409B" w:rsidP="00CA31B4">
      <w:pPr>
        <w:pStyle w:val="Heading2"/>
        <w:rPr>
          <w:rFonts w:eastAsia="Times New Roman"/>
          <w:lang w:val="en-GB" w:eastAsia="en-GB"/>
        </w:rPr>
      </w:pPr>
      <w:bookmarkStart w:id="96" w:name="_Toc239695407"/>
      <w:r w:rsidRPr="00B2409B">
        <w:rPr>
          <w:rFonts w:eastAsia="Times New Roman"/>
          <w:lang w:val="en-GB" w:eastAsia="en-GB"/>
        </w:rPr>
        <w:lastRenderedPageBreak/>
        <w:t>9.4 Human Capital Management Plan</w:t>
      </w:r>
      <w:bookmarkEnd w:id="96"/>
    </w:p>
    <w:p w14:paraId="7F36E182" w14:textId="30F7DF21" w:rsidR="00B2409B" w:rsidRPr="00CA31B4" w:rsidRDefault="004E1586" w:rsidP="00CA31B4">
      <w:pPr>
        <w:pStyle w:val="Heading3"/>
        <w:rPr>
          <w:rFonts w:eastAsia="Times New Roman"/>
          <w:lang w:val="en-GB" w:eastAsia="en-GB"/>
        </w:rPr>
      </w:pPr>
      <w:bookmarkStart w:id="97" w:name="_Toc239695408"/>
      <w:r w:rsidRPr="004E1586">
        <w:rPr>
          <w:rFonts w:eastAsia="Times New Roman"/>
          <w:lang w:val="en-GB" w:eastAsia="en-GB"/>
        </w:rPr>
        <w:t>9.4</w:t>
      </w:r>
      <w:r>
        <w:rPr>
          <w:rFonts w:eastAsia="Times New Roman"/>
          <w:lang w:val="en-GB" w:eastAsia="en-GB"/>
        </w:rPr>
        <w:t>.1</w:t>
      </w:r>
      <w:r w:rsidRPr="004E1586">
        <w:rPr>
          <w:rFonts w:eastAsia="Times New Roman"/>
          <w:lang w:val="en-GB" w:eastAsia="en-GB"/>
        </w:rPr>
        <w:t xml:space="preserve"> </w:t>
      </w:r>
      <w:r w:rsidR="00B2409B" w:rsidRPr="00B2409B">
        <w:rPr>
          <w:rFonts w:eastAsia="Times New Roman"/>
          <w:lang w:val="en-GB" w:eastAsia="en-GB"/>
        </w:rPr>
        <w:t>Organisational structure and staffing</w:t>
      </w:r>
      <w:bookmarkEnd w:id="97"/>
    </w:p>
    <w:p w14:paraId="47492A58" w14:textId="0F570E70" w:rsidR="009D48DB" w:rsidRPr="009D48DB" w:rsidRDefault="009D48DB" w:rsidP="009D48D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Initially, TEBC will have a lean organisation with the owner/founder, the Operations/Café lead and a flexible team of trained baristas/customer service staff. Some accounting, some marketing activities, legal advice and expert technology assistance may be provided on a contract basis when it is more cost-effective than havi</w:t>
      </w:r>
      <w:r>
        <w:rPr>
          <w:rFonts w:ascii="Arial" w:eastAsia="Times New Roman" w:hAnsi="Arial" w:cs="Arial"/>
          <w:sz w:val="24"/>
          <w:szCs w:val="24"/>
          <w:lang w:val="en-GB" w:eastAsia="en-GB"/>
        </w:rPr>
        <w:t xml:space="preserve">ng staff on board. </w:t>
      </w:r>
    </w:p>
    <w:p w14:paraId="5E8EE560" w14:textId="2D7F0F91" w:rsidR="00B2409B" w:rsidRPr="00B2409B" w:rsidRDefault="009D48DB" w:rsidP="00B2409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There should be immediate staffing in relation to volume of transactions and opening hours. A model of about 3–4 FTE employees combined with flexible part-time staff with a role to cover, with founder/manager participation, is sufficient for a planning structure, to be scaled up or down based on the fina</w:t>
      </w:r>
      <w:r>
        <w:rPr>
          <w:rFonts w:ascii="Arial" w:eastAsia="Times New Roman" w:hAnsi="Arial" w:cs="Arial"/>
          <w:sz w:val="24"/>
          <w:szCs w:val="24"/>
          <w:lang w:val="en-GB" w:eastAsia="en-GB"/>
        </w:rPr>
        <w:t xml:space="preserve">l premises capacity and hours. </w:t>
      </w:r>
      <w:r w:rsidR="00DF0DAA">
        <w:rPr>
          <w:rFonts w:ascii="Arial" w:eastAsia="Times New Roman" w:hAnsi="Arial" w:cs="Arial"/>
          <w:sz w:val="24"/>
          <w:szCs w:val="24"/>
          <w:lang w:val="en-GB" w:eastAsia="en-GB"/>
        </w:rPr>
        <w:t xml:space="preserve">  </w:t>
      </w:r>
      <w:r w:rsidRPr="009D48DB">
        <w:rPr>
          <w:rFonts w:ascii="Arial" w:eastAsia="Times New Roman" w:hAnsi="Arial" w:cs="Arial"/>
          <w:sz w:val="24"/>
          <w:szCs w:val="24"/>
          <w:lang w:val="en-GB" w:eastAsia="en-GB"/>
        </w:rPr>
        <w:t xml:space="preserve">The National Living Wage will increase from £12.71 per hour for workers over 21 years from April 2026 (GOV.UK, 2026). In the financial model (HMRC, 2026), employer National Insurance and other payroll costs need to be included in basic wages. </w:t>
      </w:r>
    </w:p>
    <w:p w14:paraId="1B87A57E" w14:textId="783AA7BC" w:rsidR="00B2409B" w:rsidRPr="009D48DB" w:rsidRDefault="004E1586" w:rsidP="009D48DB">
      <w:pPr>
        <w:pStyle w:val="Heading3"/>
        <w:rPr>
          <w:rFonts w:eastAsia="Times New Roman"/>
          <w:lang w:val="en-GB" w:eastAsia="en-GB"/>
        </w:rPr>
      </w:pPr>
      <w:bookmarkStart w:id="98" w:name="_Toc239695409"/>
      <w:r w:rsidRPr="004E1586">
        <w:rPr>
          <w:rFonts w:eastAsia="Times New Roman"/>
          <w:lang w:val="en-GB" w:eastAsia="en-GB"/>
        </w:rPr>
        <w:t>9.4</w:t>
      </w:r>
      <w:r>
        <w:rPr>
          <w:rFonts w:eastAsia="Times New Roman"/>
          <w:lang w:val="en-GB" w:eastAsia="en-GB"/>
        </w:rPr>
        <w:t>.2</w:t>
      </w:r>
      <w:r w:rsidRPr="004E1586">
        <w:rPr>
          <w:rFonts w:eastAsia="Times New Roman"/>
          <w:lang w:val="en-GB" w:eastAsia="en-GB"/>
        </w:rPr>
        <w:t xml:space="preserve"> </w:t>
      </w:r>
      <w:r w:rsidR="00B2409B" w:rsidRPr="00B2409B">
        <w:rPr>
          <w:rFonts w:eastAsia="Times New Roman"/>
          <w:lang w:val="en-GB" w:eastAsia="en-GB"/>
        </w:rPr>
        <w:t>Recruitment, development and retention</w:t>
      </w:r>
      <w:bookmarkEnd w:id="98"/>
    </w:p>
    <w:p w14:paraId="57EB5022" w14:textId="3512488C" w:rsidR="009D48DB" w:rsidRPr="009D48DB" w:rsidRDefault="009D48DB" w:rsidP="009D48D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The staff's qualifications should focus on their ability to prepare coffee, customer service, reliability, communication and understanding of ethical practices. Or it may be a combination of application screening, structured interviews and practical coffee/service assessment. All staff should be inducted in Food Safety, Allergen Awareness, Health and Safety, Customer Service and POS procedure</w:t>
      </w:r>
      <w:r>
        <w:rPr>
          <w:rFonts w:ascii="Arial" w:eastAsia="Times New Roman" w:hAnsi="Arial" w:cs="Arial"/>
          <w:sz w:val="24"/>
          <w:szCs w:val="24"/>
          <w:lang w:val="en-GB" w:eastAsia="en-GB"/>
        </w:rPr>
        <w:t>s and Sustainability practices.</w:t>
      </w:r>
    </w:p>
    <w:p w14:paraId="0EC992BF" w14:textId="0921EC18" w:rsidR="009D48DB" w:rsidRPr="009D48DB" w:rsidRDefault="009D48DB" w:rsidP="009D48D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 xml:space="preserve">Espresso preparation, milk handling, quality control, product knowledge and responsible sourcing communication should be part of specialist training. Staff should also be educated on accurate reporting of provenance as well as on avoiding making unsupported sustainability claims. This is key since the proposition of differentiation is reliant on the ability of employees to convey the </w:t>
      </w:r>
      <w:r>
        <w:rPr>
          <w:rFonts w:ascii="Arial" w:eastAsia="Times New Roman" w:hAnsi="Arial" w:cs="Arial"/>
          <w:sz w:val="24"/>
          <w:szCs w:val="24"/>
          <w:lang w:val="en-GB" w:eastAsia="en-GB"/>
        </w:rPr>
        <w:t>message in a consistent manner.</w:t>
      </w:r>
    </w:p>
    <w:p w14:paraId="630208E3" w14:textId="3E15CC04" w:rsidR="00B2409B" w:rsidRPr="00B2409B" w:rsidRDefault="009D48DB" w:rsidP="00B2409B">
      <w:pPr>
        <w:spacing w:before="100" w:beforeAutospacing="1" w:after="100" w:afterAutospacing="1" w:line="360" w:lineRule="auto"/>
        <w:jc w:val="both"/>
        <w:rPr>
          <w:rFonts w:ascii="Arial" w:eastAsia="Times New Roman" w:hAnsi="Arial" w:cs="Arial"/>
          <w:sz w:val="24"/>
          <w:szCs w:val="24"/>
          <w:lang w:val="en-GB" w:eastAsia="en-GB"/>
        </w:rPr>
      </w:pPr>
      <w:r w:rsidRPr="009D48DB">
        <w:rPr>
          <w:rFonts w:ascii="Arial" w:eastAsia="Times New Roman" w:hAnsi="Arial" w:cs="Arial"/>
          <w:sz w:val="24"/>
          <w:szCs w:val="24"/>
          <w:lang w:val="en-GB" w:eastAsia="en-GB"/>
        </w:rPr>
        <w:t xml:space="preserve">They will be supported to stay through fair pay, recognition, predictable working hours, skills development and opportunities for progression. Customer indicators like reviews, service quality, repeat-purchase behaviour as well as operational indicators </w:t>
      </w:r>
      <w:r w:rsidRPr="009D48DB">
        <w:rPr>
          <w:rFonts w:ascii="Arial" w:eastAsia="Times New Roman" w:hAnsi="Arial" w:cs="Arial"/>
          <w:sz w:val="24"/>
          <w:szCs w:val="24"/>
          <w:lang w:val="en-GB" w:eastAsia="en-GB"/>
        </w:rPr>
        <w:lastRenderedPageBreak/>
        <w:t xml:space="preserve">like productivity and waste are combined in performance management. This aligns human capital with the customer </w:t>
      </w:r>
      <w:r>
        <w:rPr>
          <w:rFonts w:ascii="Arial" w:eastAsia="Times New Roman" w:hAnsi="Arial" w:cs="Arial"/>
          <w:sz w:val="24"/>
          <w:szCs w:val="24"/>
          <w:lang w:val="en-GB" w:eastAsia="en-GB"/>
        </w:rPr>
        <w:t>experience part of the strategy.</w:t>
      </w:r>
    </w:p>
    <w:p w14:paraId="28424597" w14:textId="75662F8E" w:rsidR="00B2409B" w:rsidRPr="00332C7B" w:rsidRDefault="004E1586" w:rsidP="00332C7B">
      <w:pPr>
        <w:pStyle w:val="Heading3"/>
        <w:rPr>
          <w:rFonts w:eastAsia="Times New Roman"/>
          <w:lang w:val="en-GB" w:eastAsia="en-GB"/>
        </w:rPr>
      </w:pPr>
      <w:bookmarkStart w:id="99" w:name="_Toc239695410"/>
      <w:r>
        <w:rPr>
          <w:rFonts w:eastAsia="Times New Roman"/>
          <w:lang w:val="en-GB" w:eastAsia="en-GB"/>
        </w:rPr>
        <w:t xml:space="preserve">9.4.3 </w:t>
      </w:r>
      <w:r w:rsidR="00B2409B" w:rsidRPr="00B2409B">
        <w:rPr>
          <w:rFonts w:eastAsia="Times New Roman"/>
          <w:lang w:val="en-GB" w:eastAsia="en-GB"/>
        </w:rPr>
        <w:t>Employment and operational compliance</w:t>
      </w:r>
      <w:bookmarkEnd w:id="99"/>
    </w:p>
    <w:p w14:paraId="3DB5CDA2" w14:textId="3006EAA2" w:rsidR="00B2409B" w:rsidRPr="00B2409B" w:rsidRDefault="00B2409B" w:rsidP="00B2409B">
      <w:pPr>
        <w:spacing w:before="100" w:beforeAutospacing="1" w:after="100" w:afterAutospacing="1" w:line="360" w:lineRule="auto"/>
        <w:jc w:val="both"/>
        <w:rPr>
          <w:rFonts w:ascii="Arial" w:eastAsia="Times New Roman" w:hAnsi="Arial" w:cs="Arial"/>
          <w:sz w:val="24"/>
          <w:szCs w:val="24"/>
          <w:lang w:val="en-GB" w:eastAsia="en-GB"/>
        </w:rPr>
      </w:pPr>
      <w:r w:rsidRPr="00B2409B">
        <w:rPr>
          <w:rFonts w:ascii="Arial" w:eastAsia="Times New Roman" w:hAnsi="Arial" w:cs="Arial"/>
          <w:sz w:val="24"/>
          <w:szCs w:val="24"/>
          <w:lang w:val="en-GB" w:eastAsia="en-GB"/>
        </w:rPr>
        <w:t>TEBC must incorporate employment, food-safety and customer-protection requirements into its operating system. The Food Standards Agency requires food businesses to register with the local authority at least 28 days before trading and to maintain appropriate food-safety procedures (Food Standards Agency, 2026). Employment practices should also cover contracts, right-to-work checks, working time, minimum pay, pension obligations, equality and health and safety. These are compliance requirements rather than sources of competitive differentiation, but failure to meet them could create f</w:t>
      </w:r>
      <w:r w:rsidR="00332C7B">
        <w:rPr>
          <w:rFonts w:ascii="Arial" w:eastAsia="Times New Roman" w:hAnsi="Arial" w:cs="Arial"/>
          <w:sz w:val="24"/>
          <w:szCs w:val="24"/>
          <w:lang w:val="en-GB" w:eastAsia="en-GB"/>
        </w:rPr>
        <w:t>inancial and reputational risk.</w:t>
      </w:r>
    </w:p>
    <w:p w14:paraId="16BD8C88" w14:textId="58A842D2" w:rsidR="00B2409B" w:rsidRPr="00B2409B" w:rsidRDefault="00B2409B" w:rsidP="00332C7B">
      <w:pPr>
        <w:pStyle w:val="Heading2"/>
        <w:rPr>
          <w:rFonts w:eastAsia="Times New Roman"/>
          <w:lang w:val="en-GB" w:eastAsia="en-GB"/>
        </w:rPr>
      </w:pPr>
      <w:bookmarkStart w:id="100" w:name="_Toc239695411"/>
      <w:r w:rsidRPr="00B2409B">
        <w:rPr>
          <w:rFonts w:eastAsia="Times New Roman"/>
          <w:lang w:val="en-GB" w:eastAsia="en-GB"/>
        </w:rPr>
        <w:t>9.5 Integrat</w:t>
      </w:r>
      <w:r w:rsidR="00332C7B">
        <w:rPr>
          <w:rFonts w:eastAsia="Times New Roman"/>
          <w:lang w:val="en-GB" w:eastAsia="en-GB"/>
        </w:rPr>
        <w:t>ion, Scalability and Conclusion</w:t>
      </w:r>
      <w:bookmarkEnd w:id="100"/>
    </w:p>
    <w:p w14:paraId="42707F34" w14:textId="69AC4192" w:rsidR="00332C7B" w:rsidRPr="00332C7B" w:rsidRDefault="00332C7B" w:rsidP="00332C7B">
      <w:pPr>
        <w:spacing w:before="100" w:beforeAutospacing="1" w:after="100" w:afterAutospacing="1" w:line="360" w:lineRule="auto"/>
        <w:jc w:val="both"/>
        <w:rPr>
          <w:rFonts w:ascii="Arial" w:eastAsia="Times New Roman" w:hAnsi="Arial" w:cs="Arial"/>
          <w:sz w:val="24"/>
          <w:szCs w:val="24"/>
          <w:lang w:val="en-GB" w:eastAsia="en-GB"/>
        </w:rPr>
      </w:pPr>
      <w:r w:rsidRPr="00332C7B">
        <w:rPr>
          <w:rFonts w:ascii="Arial" w:eastAsia="Times New Roman" w:hAnsi="Arial" w:cs="Arial"/>
          <w:sz w:val="24"/>
          <w:szCs w:val="24"/>
          <w:lang w:val="en-GB" w:eastAsia="en-GB"/>
        </w:rPr>
        <w:t xml:space="preserve">These three functional plans should be seen as a whole system and not individual activities. Marketing channels and messages are dependent on the target audience; marketing attracts customers to the store; sales </w:t>
      </w:r>
      <w:r w:rsidRPr="00332C7B">
        <w:rPr>
          <w:rFonts w:ascii="Arial" w:eastAsia="Times New Roman" w:hAnsi="Arial" w:cs="Arial"/>
          <w:sz w:val="24"/>
          <w:szCs w:val="24"/>
          <w:lang w:val="en-GB" w:eastAsia="en-GB"/>
        </w:rPr>
        <w:t>turn</w:t>
      </w:r>
      <w:r w:rsidRPr="00332C7B">
        <w:rPr>
          <w:rFonts w:ascii="Arial" w:eastAsia="Times New Roman" w:hAnsi="Arial" w:cs="Arial"/>
          <w:sz w:val="24"/>
          <w:szCs w:val="24"/>
          <w:lang w:val="en-GB" w:eastAsia="en-GB"/>
        </w:rPr>
        <w:t xml:space="preserve"> customers into transactions; transactions create revenue and transaction volume dictates staffin</w:t>
      </w:r>
      <w:r>
        <w:rPr>
          <w:rFonts w:ascii="Arial" w:eastAsia="Times New Roman" w:hAnsi="Arial" w:cs="Arial"/>
          <w:sz w:val="24"/>
          <w:szCs w:val="24"/>
          <w:lang w:val="en-GB" w:eastAsia="en-GB"/>
        </w:rPr>
        <w:t xml:space="preserve">g, stock and service capacity. </w:t>
      </w:r>
    </w:p>
    <w:p w14:paraId="2E9FB6E6" w14:textId="40746154" w:rsidR="00A1593B" w:rsidRDefault="00332C7B" w:rsidP="00332C7B">
      <w:pPr>
        <w:spacing w:before="100" w:beforeAutospacing="1" w:after="100" w:afterAutospacing="1" w:line="360" w:lineRule="auto"/>
        <w:jc w:val="both"/>
        <w:rPr>
          <w:rFonts w:ascii="Arial" w:eastAsia="Times New Roman" w:hAnsi="Arial" w:cs="Arial"/>
          <w:sz w:val="24"/>
          <w:szCs w:val="24"/>
          <w:lang w:val="en-GB" w:eastAsia="en-GB"/>
        </w:rPr>
      </w:pPr>
      <w:r w:rsidRPr="00332C7B">
        <w:rPr>
          <w:rFonts w:ascii="Arial" w:eastAsia="Times New Roman" w:hAnsi="Arial" w:cs="Arial"/>
          <w:sz w:val="24"/>
          <w:szCs w:val="24"/>
          <w:lang w:val="en-GB" w:eastAsia="en-GB"/>
        </w:rPr>
        <w:t xml:space="preserve">Under the assumed conditions, the base case suggests that TEBC can move towards operating break-even with around 135 transactions per day. This creates a need to acquire customers early, repeat customers and monitor contribution-margin. Before embarking on expansion, the business should work on improving the utilisation of the resources, retaining customers and optimising the working processes, in order to develop and mature the system incrementally. Where volumes of transactions regularly exceed the practical capacity of service, other staffing, equipment or premises capacity can be added. On the other hand, when volumes are not reaching break-even points, management should strive to maximise marketing, product mix, staffing schedules and </w:t>
      </w:r>
      <w:r w:rsidRPr="00332C7B">
        <w:rPr>
          <w:rFonts w:ascii="Arial" w:eastAsia="Times New Roman" w:hAnsi="Arial" w:cs="Arial"/>
          <w:sz w:val="24"/>
          <w:szCs w:val="24"/>
          <w:lang w:val="en-GB" w:eastAsia="en-GB"/>
        </w:rPr>
        <w:t>supplier’s</w:t>
      </w:r>
      <w:r w:rsidRPr="00332C7B">
        <w:rPr>
          <w:rFonts w:ascii="Arial" w:eastAsia="Times New Roman" w:hAnsi="Arial" w:cs="Arial"/>
          <w:sz w:val="24"/>
          <w:szCs w:val="24"/>
          <w:lang w:val="en-GB" w:eastAsia="en-GB"/>
        </w:rPr>
        <w:t xml:space="preserve"> costs rather than expand before they reach that point. This structured method works with the focused staged differentiation strategy outlined in Chapter 7 and is a financially managed pathway to eventual growth.</w:t>
      </w:r>
    </w:p>
    <w:p w14:paraId="04F2F28C" w14:textId="54364FA6" w:rsidR="00AA5615" w:rsidRDefault="00AA5615" w:rsidP="00B2409B">
      <w:pPr>
        <w:spacing w:before="100" w:beforeAutospacing="1" w:after="100" w:afterAutospacing="1" w:line="360" w:lineRule="auto"/>
        <w:jc w:val="both"/>
        <w:rPr>
          <w:rFonts w:ascii="Arial" w:eastAsia="Times New Roman" w:hAnsi="Arial" w:cs="Arial"/>
          <w:sz w:val="24"/>
          <w:szCs w:val="24"/>
          <w:lang w:val="en-GB" w:eastAsia="en-GB"/>
        </w:rPr>
      </w:pPr>
    </w:p>
    <w:p w14:paraId="0A363C4E" w14:textId="77777777" w:rsidR="00AA5615" w:rsidRPr="00AA5615" w:rsidRDefault="00AA5615" w:rsidP="002E019E">
      <w:pPr>
        <w:pStyle w:val="Heading1"/>
        <w:jc w:val="center"/>
        <w:rPr>
          <w:rFonts w:eastAsia="Times New Roman"/>
          <w:lang w:val="en-GB" w:eastAsia="en-GB"/>
        </w:rPr>
      </w:pPr>
      <w:bookmarkStart w:id="101" w:name="_Toc239695412"/>
      <w:r w:rsidRPr="00AA5615">
        <w:rPr>
          <w:rFonts w:eastAsia="Times New Roman"/>
          <w:lang w:val="en-GB" w:eastAsia="en-GB"/>
        </w:rPr>
        <w:lastRenderedPageBreak/>
        <w:t>Chapter 10: Operations Plan</w:t>
      </w:r>
      <w:bookmarkEnd w:id="101"/>
    </w:p>
    <w:p w14:paraId="65F400B7" w14:textId="18FF54A2" w:rsidR="00AA5615" w:rsidRPr="00AA5615" w:rsidRDefault="002E019E" w:rsidP="002E019E">
      <w:pPr>
        <w:pStyle w:val="Heading2"/>
        <w:rPr>
          <w:rFonts w:eastAsia="Times New Roman"/>
          <w:lang w:val="en-GB" w:eastAsia="en-GB"/>
        </w:rPr>
      </w:pPr>
      <w:bookmarkStart w:id="102" w:name="_Toc239695413"/>
      <w:r>
        <w:rPr>
          <w:rFonts w:eastAsia="Times New Roman"/>
          <w:lang w:val="en-GB" w:eastAsia="en-GB"/>
        </w:rPr>
        <w:t>10.1 Operating Model</w:t>
      </w:r>
      <w:bookmarkEnd w:id="102"/>
    </w:p>
    <w:p w14:paraId="7E4F164E" w14:textId="688C9C9E" w:rsidR="002E019E" w:rsidRPr="002E019E" w:rsidRDefault="002E019E" w:rsidP="002E019E">
      <w:pPr>
        <w:spacing w:before="100" w:beforeAutospacing="1" w:after="100" w:afterAutospacing="1" w:line="360" w:lineRule="auto"/>
        <w:jc w:val="both"/>
        <w:rPr>
          <w:rFonts w:ascii="Arial" w:eastAsia="Times New Roman" w:hAnsi="Arial" w:cs="Arial"/>
          <w:sz w:val="24"/>
          <w:szCs w:val="24"/>
          <w:lang w:val="en-GB" w:eastAsia="en-GB"/>
        </w:rPr>
      </w:pPr>
      <w:r w:rsidRPr="002E019E">
        <w:rPr>
          <w:rFonts w:ascii="Arial" w:eastAsia="Times New Roman" w:hAnsi="Arial" w:cs="Arial"/>
          <w:sz w:val="24"/>
          <w:szCs w:val="24"/>
          <w:lang w:val="en-GB" w:eastAsia="en-GB"/>
        </w:rPr>
        <w:t>Ethical Bean Coffee House (TEBC) is a high quality, specialty coffee shop to be found on Monmouth Street, Covent Garden, London. Its business model will be based on the experience of producing quality coffee, respectful sourcing, customized coffee experience and sustainability alongside with the business efficiencies of daily running of the café. The model is based on a physical café, digital payment, customer engagement, and stock-management systems. This is in line with the expansion of the independent coffee-shop industry in the UK, where specialty coffee and the personalisation of hospitality and unique experiences are still significant competitive advantag</w:t>
      </w:r>
      <w:r>
        <w:rPr>
          <w:rFonts w:ascii="Arial" w:eastAsia="Times New Roman" w:hAnsi="Arial" w:cs="Arial"/>
          <w:sz w:val="24"/>
          <w:szCs w:val="24"/>
          <w:lang w:val="en-GB" w:eastAsia="en-GB"/>
        </w:rPr>
        <w:t>es (World Coffee Portal, 2026).</w:t>
      </w:r>
    </w:p>
    <w:p w14:paraId="2F985557" w14:textId="7B5AB170" w:rsidR="00AA5615" w:rsidRPr="00AA5615" w:rsidRDefault="002E019E" w:rsidP="00AA5615">
      <w:pPr>
        <w:spacing w:before="100" w:beforeAutospacing="1" w:after="100" w:afterAutospacing="1" w:line="360" w:lineRule="auto"/>
        <w:jc w:val="both"/>
        <w:rPr>
          <w:rFonts w:ascii="Arial" w:eastAsia="Times New Roman" w:hAnsi="Arial" w:cs="Arial"/>
          <w:sz w:val="24"/>
          <w:szCs w:val="24"/>
          <w:lang w:val="en-GB" w:eastAsia="en-GB"/>
        </w:rPr>
      </w:pPr>
      <w:r w:rsidRPr="002E019E">
        <w:rPr>
          <w:rFonts w:ascii="Arial" w:eastAsia="Times New Roman" w:hAnsi="Arial" w:cs="Arial"/>
          <w:sz w:val="24"/>
          <w:szCs w:val="24"/>
          <w:lang w:val="en-GB" w:eastAsia="en-GB"/>
        </w:rPr>
        <w:t>The customer journey from arrival to purchase and feedback will be defined through process mapping and inventory and supply-chain principles will enable reliable product availability. The operating model will therefore aim to find a balance between service quality, speed, cost control and responsible sourcing.</w:t>
      </w:r>
    </w:p>
    <w:p w14:paraId="0BD2583F" w14:textId="4D549D0E" w:rsidR="00AA5615" w:rsidRPr="002E019E" w:rsidRDefault="00AA5615" w:rsidP="002E019E">
      <w:pPr>
        <w:pStyle w:val="Heading2"/>
        <w:rPr>
          <w:rFonts w:eastAsia="Times New Roman"/>
          <w:lang w:val="en-GB" w:eastAsia="en-GB"/>
        </w:rPr>
      </w:pPr>
      <w:bookmarkStart w:id="103" w:name="_Toc239695414"/>
      <w:r w:rsidRPr="00AA5615">
        <w:rPr>
          <w:rFonts w:eastAsia="Times New Roman"/>
          <w:lang w:val="en-GB" w:eastAsia="en-GB"/>
        </w:rPr>
        <w:t>10.2 Operational Workflow and Capacity</w:t>
      </w:r>
      <w:bookmarkEnd w:id="103"/>
    </w:p>
    <w:p w14:paraId="74751D47" w14:textId="5A6A9A8E" w:rsidR="00AA5615" w:rsidRPr="002E019E" w:rsidRDefault="00AA5615" w:rsidP="00AA5615">
      <w:pPr>
        <w:spacing w:before="100" w:beforeAutospacing="1" w:after="100" w:afterAutospacing="1" w:line="360" w:lineRule="auto"/>
        <w:jc w:val="both"/>
        <w:rPr>
          <w:rFonts w:ascii="Arial" w:eastAsia="Times New Roman" w:hAnsi="Arial" w:cs="Arial"/>
          <w:b/>
          <w:sz w:val="24"/>
          <w:szCs w:val="24"/>
          <w:lang w:val="en-GB" w:eastAsia="en-GB"/>
        </w:rPr>
      </w:pPr>
      <w:r w:rsidRPr="002E019E">
        <w:rPr>
          <w:rFonts w:ascii="Arial" w:eastAsia="Times New Roman" w:hAnsi="Arial" w:cs="Arial"/>
          <w:b/>
          <w:sz w:val="24"/>
          <w:szCs w:val="24"/>
          <w:lang w:val="en-GB" w:eastAsia="en-GB"/>
        </w:rPr>
        <w:t>The c</w:t>
      </w:r>
      <w:r w:rsidR="002E019E" w:rsidRPr="002E019E">
        <w:rPr>
          <w:rFonts w:ascii="Arial" w:eastAsia="Times New Roman" w:hAnsi="Arial" w:cs="Arial"/>
          <w:b/>
          <w:sz w:val="24"/>
          <w:szCs w:val="24"/>
          <w:lang w:val="en-GB" w:eastAsia="en-GB"/>
        </w:rPr>
        <w:t>ore operating workflow will be:</w:t>
      </w:r>
    </w:p>
    <w:p w14:paraId="3E3BB9DF" w14:textId="77777777" w:rsidR="002E019E" w:rsidRDefault="00AA5615" w:rsidP="002E019E">
      <w:pPr>
        <w:spacing w:before="100" w:beforeAutospacing="1" w:after="100" w:afterAutospacing="1" w:line="360" w:lineRule="auto"/>
        <w:jc w:val="both"/>
        <w:rPr>
          <w:rFonts w:ascii="Arial" w:eastAsia="Times New Roman" w:hAnsi="Arial" w:cs="Arial"/>
          <w:b/>
          <w:sz w:val="24"/>
          <w:szCs w:val="24"/>
          <w:lang w:val="en-GB" w:eastAsia="en-GB"/>
        </w:rPr>
      </w:pPr>
      <w:r w:rsidRPr="002E019E">
        <w:rPr>
          <w:rFonts w:ascii="Arial" w:eastAsia="Times New Roman" w:hAnsi="Arial" w:cs="Arial"/>
          <w:b/>
          <w:sz w:val="24"/>
          <w:szCs w:val="24"/>
          <w:lang w:val="en-GB" w:eastAsia="en-GB"/>
        </w:rPr>
        <w:t xml:space="preserve">Customer arrival/order → Product selection → POS order → Stock and preparation check → Coffee/food preparation → Quality check → Customer fulfilment → Payment/record → </w:t>
      </w:r>
      <w:r w:rsidR="002E019E">
        <w:rPr>
          <w:rFonts w:ascii="Arial" w:eastAsia="Times New Roman" w:hAnsi="Arial" w:cs="Arial"/>
          <w:b/>
          <w:sz w:val="24"/>
          <w:szCs w:val="24"/>
          <w:lang w:val="en-GB" w:eastAsia="en-GB"/>
        </w:rPr>
        <w:t>Feedback/loyalty → Stock update</w:t>
      </w:r>
    </w:p>
    <w:p w14:paraId="76DB5625" w14:textId="3E2A0040" w:rsidR="002E019E" w:rsidRPr="002E019E" w:rsidRDefault="002E019E" w:rsidP="002E019E">
      <w:pPr>
        <w:spacing w:before="100" w:beforeAutospacing="1" w:after="100" w:afterAutospacing="1" w:line="360" w:lineRule="auto"/>
        <w:jc w:val="both"/>
        <w:rPr>
          <w:rFonts w:ascii="Arial" w:eastAsia="Times New Roman" w:hAnsi="Arial" w:cs="Arial"/>
          <w:b/>
          <w:sz w:val="24"/>
          <w:szCs w:val="24"/>
          <w:lang w:val="en-GB" w:eastAsia="en-GB"/>
        </w:rPr>
      </w:pPr>
      <w:r w:rsidRPr="002E019E">
        <w:rPr>
          <w:rFonts w:ascii="Arial" w:eastAsia="Times New Roman" w:hAnsi="Arial" w:cs="Arial"/>
          <w:sz w:val="24"/>
          <w:szCs w:val="24"/>
          <w:lang w:val="en-GB" w:eastAsia="en-GB"/>
        </w:rPr>
        <w:t>The customer journey starts from the moment a customer comes into the café, or places an order via a available digital channel. The front of house member takes the order and checks the availability of the product through the point-of-sale (POS) system. The barista then, utilizing normal recipes and prep methods, prepares the drink. Food products are prepared or assembled based on appropriate food-safety requirements. Prior to dispatch, the order is verified for acc</w:t>
      </w:r>
      <w:r>
        <w:rPr>
          <w:rFonts w:ascii="Arial" w:eastAsia="Times New Roman" w:hAnsi="Arial" w:cs="Arial"/>
          <w:sz w:val="24"/>
          <w:szCs w:val="24"/>
          <w:lang w:val="en-GB" w:eastAsia="en-GB"/>
        </w:rPr>
        <w:t>uracy, presentation and quality</w:t>
      </w:r>
    </w:p>
    <w:p w14:paraId="0B4C3966" w14:textId="4ED0E991" w:rsidR="00AA5615" w:rsidRPr="00AA5615" w:rsidRDefault="002E019E" w:rsidP="00AA5615">
      <w:pPr>
        <w:spacing w:before="100" w:beforeAutospacing="1" w:after="100" w:afterAutospacing="1" w:line="360" w:lineRule="auto"/>
        <w:jc w:val="both"/>
        <w:rPr>
          <w:rFonts w:ascii="Arial" w:eastAsia="Times New Roman" w:hAnsi="Arial" w:cs="Arial"/>
          <w:sz w:val="24"/>
          <w:szCs w:val="24"/>
          <w:lang w:val="en-GB" w:eastAsia="en-GB"/>
        </w:rPr>
      </w:pPr>
      <w:r w:rsidRPr="002E019E">
        <w:rPr>
          <w:rFonts w:ascii="Arial" w:eastAsia="Times New Roman" w:hAnsi="Arial" w:cs="Arial"/>
          <w:sz w:val="24"/>
          <w:szCs w:val="24"/>
          <w:lang w:val="en-GB" w:eastAsia="en-GB"/>
        </w:rPr>
        <w:t xml:space="preserve">In Year 1, the financial plan is based on around 135 transactions a trading day which equals around 41,850 transactions a year over 310 trading days. This is only a </w:t>
      </w:r>
      <w:r w:rsidRPr="002E019E">
        <w:rPr>
          <w:rFonts w:ascii="Arial" w:eastAsia="Times New Roman" w:hAnsi="Arial" w:cs="Arial"/>
          <w:sz w:val="24"/>
          <w:szCs w:val="24"/>
          <w:lang w:val="en-GB" w:eastAsia="en-GB"/>
        </w:rPr>
        <w:lastRenderedPageBreak/>
        <w:t>planning figure and does not guarantee operational capacity. Some of the main potential bottlenecks include barista preparation during peak times, queues at the cashier, equipment availability, seating space, and supplier delays. To detect capacity issues, TEBC should track transactions per hour, time per transaction, number of transactions in the queue, stock-outs, and customer complaints. If operational data shows a sustained demand additional staff support during peak periods can be introduced.</w:t>
      </w:r>
    </w:p>
    <w:p w14:paraId="0642C04C" w14:textId="77777777" w:rsidR="00AA5615" w:rsidRPr="00AA5615" w:rsidRDefault="00AA5615" w:rsidP="000B4733">
      <w:pPr>
        <w:pStyle w:val="Heading2"/>
        <w:rPr>
          <w:rFonts w:eastAsia="Times New Roman"/>
          <w:lang w:val="en-GB" w:eastAsia="en-GB"/>
        </w:rPr>
      </w:pPr>
      <w:bookmarkStart w:id="104" w:name="_Toc239695415"/>
      <w:r w:rsidRPr="00AA5615">
        <w:rPr>
          <w:rFonts w:eastAsia="Times New Roman"/>
          <w:lang w:val="en-GB" w:eastAsia="en-GB"/>
        </w:rPr>
        <w:t>10.3 Location, Facilities, Equipment and Technology</w:t>
      </w:r>
      <w:bookmarkEnd w:id="104"/>
    </w:p>
    <w:p w14:paraId="14D17A08" w14:textId="197DDFE6"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The idea of extending Monmouth Street in Covent Garden is appropriate due to the nature of its potential customers, who consist of specialty-coffee drinkers, as well as urban professionals and tourists. The area has good pedestrian flow and accessibility for workers, residents and visitors, but it also brings about cost and competitive pressures. High footfall sites in Westminster were also seen to be important as the city had significant visitor numbers in 2024 (W</w:t>
      </w:r>
      <w:r>
        <w:rPr>
          <w:rFonts w:ascii="Arial" w:eastAsia="Times New Roman" w:hAnsi="Arial" w:cs="Arial"/>
          <w:sz w:val="24"/>
          <w:szCs w:val="24"/>
          <w:lang w:val="en-GB" w:eastAsia="en-GB"/>
        </w:rPr>
        <w:t>estminster City Council, 2025).</w:t>
      </w:r>
    </w:p>
    <w:p w14:paraId="06F620D6" w14:textId="0E2A2ED7"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 xml:space="preserve">The premises should have a customer seating area, service counter, </w:t>
      </w:r>
      <w:r w:rsidRPr="000B4733">
        <w:rPr>
          <w:rFonts w:ascii="Arial" w:eastAsia="Times New Roman" w:hAnsi="Arial" w:cs="Arial"/>
          <w:sz w:val="24"/>
          <w:szCs w:val="24"/>
          <w:lang w:val="en-GB" w:eastAsia="en-GB"/>
        </w:rPr>
        <w:t>an</w:t>
      </w:r>
      <w:r w:rsidRPr="000B4733">
        <w:rPr>
          <w:rFonts w:ascii="Arial" w:eastAsia="Times New Roman" w:hAnsi="Arial" w:cs="Arial"/>
          <w:sz w:val="24"/>
          <w:szCs w:val="24"/>
          <w:lang w:val="en-GB" w:eastAsia="en-GB"/>
        </w:rPr>
        <w:t xml:space="preserve"> area for coffee preparation, a food preparation area, dry and chilled storage, staff facilities and suitable waste-storage facilities. Professional espresso machines, food-preparation equipment, display units and cleaning equipment will be core equipment, along with water filtrati</w:t>
      </w:r>
      <w:r>
        <w:rPr>
          <w:rFonts w:ascii="Arial" w:eastAsia="Times New Roman" w:hAnsi="Arial" w:cs="Arial"/>
          <w:sz w:val="24"/>
          <w:szCs w:val="24"/>
          <w:lang w:val="en-GB" w:eastAsia="en-GB"/>
        </w:rPr>
        <w:t>on equipment and refrigeration.</w:t>
      </w:r>
    </w:p>
    <w:p w14:paraId="448E179E" w14:textId="23A7FA25" w:rsidR="00AA5615" w:rsidRPr="00AA5615" w:rsidRDefault="000B4733" w:rsidP="00AA5615">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Technology will feature a point-of-sale system and payment system, inventory-management, accounting software and employee-scheduling and customer-engagement digital facilities. Gathering data or information about customers should only be done when it is required, and the proper notice and data protection controls must be implemented. The ICO reiterates the need for data protection to be relevant to the small businesses that hold and use personal data, such as customer and employee information (ICO 2026).</w:t>
      </w:r>
    </w:p>
    <w:p w14:paraId="457A60A5" w14:textId="5DD4428D" w:rsidR="00AA5615" w:rsidRPr="000B4733" w:rsidRDefault="00AA5615" w:rsidP="000B4733">
      <w:pPr>
        <w:pStyle w:val="Heading2"/>
        <w:rPr>
          <w:rFonts w:eastAsia="Times New Roman"/>
          <w:lang w:val="en-GB" w:eastAsia="en-GB"/>
        </w:rPr>
      </w:pPr>
      <w:bookmarkStart w:id="105" w:name="_Toc239695416"/>
      <w:r w:rsidRPr="00AA5615">
        <w:rPr>
          <w:rFonts w:eastAsia="Times New Roman"/>
          <w:lang w:val="en-GB" w:eastAsia="en-GB"/>
        </w:rPr>
        <w:t>10.4 Supply Chain, Proc</w:t>
      </w:r>
      <w:r w:rsidR="000B4733">
        <w:rPr>
          <w:rFonts w:eastAsia="Times New Roman"/>
          <w:lang w:val="en-GB" w:eastAsia="en-GB"/>
        </w:rPr>
        <w:t>urement, Inventory and Logistic</w:t>
      </w:r>
      <w:bookmarkEnd w:id="105"/>
    </w:p>
    <w:p w14:paraId="41F9A929" w14:textId="1E96CF5D"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 xml:space="preserve">Sourcing will become much more than a marketing message and will be expected to be ethical. Coffee suppliers will thus be reviewed on their quality, ability to trace their source, proof of ethical sourcing, reliability, lead time, minimum order and capacity </w:t>
      </w:r>
      <w:r w:rsidRPr="000B4733">
        <w:rPr>
          <w:rFonts w:ascii="Arial" w:eastAsia="Times New Roman" w:hAnsi="Arial" w:cs="Arial"/>
          <w:sz w:val="24"/>
          <w:szCs w:val="24"/>
          <w:lang w:val="en-GB" w:eastAsia="en-GB"/>
        </w:rPr>
        <w:lastRenderedPageBreak/>
        <w:t>and price. TEBC should not rely too heavily on a single supplier by having an approved primary supplier and an alternate supplier that can prov</w:t>
      </w:r>
      <w:r>
        <w:rPr>
          <w:rFonts w:ascii="Arial" w:eastAsia="Times New Roman" w:hAnsi="Arial" w:cs="Arial"/>
          <w:sz w:val="24"/>
          <w:szCs w:val="24"/>
          <w:lang w:val="en-GB" w:eastAsia="en-GB"/>
        </w:rPr>
        <w:t>ide the essential requirements.</w:t>
      </w:r>
    </w:p>
    <w:p w14:paraId="7571B8CA" w14:textId="09C8866F"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Each procurement decision will be made taking into account commercial sustainability as well as ethical and quality requirements. Supplier documentation should be reviewed on a regular basis to ensure that claims in relation to responsible sourcing are backed up with evidence. It is especially relevant due to the lack of a universal legally binding definition and scientific methodology of the term “responsibly source</w:t>
      </w:r>
      <w:r>
        <w:rPr>
          <w:rFonts w:ascii="Arial" w:eastAsia="Times New Roman" w:hAnsi="Arial" w:cs="Arial"/>
          <w:sz w:val="24"/>
          <w:szCs w:val="24"/>
          <w:lang w:val="en-GB" w:eastAsia="en-GB"/>
        </w:rPr>
        <w:t>d” (World Coffee Portal, 2026).</w:t>
      </w:r>
    </w:p>
    <w:p w14:paraId="57C2461B" w14:textId="2FB4E85A"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Product characteristics will be used to manage inventory. Appropriate reorder points/safety-stock levels will be used for coffee beans, milk, food ingredients and packaging. SOP data may be used for monitoring stock on a daily basis and first expiry first out should be implemented for relevant food products. The deliveries should be planned to be made with minimal disruption and without unnecessary stock holding. Staff should inspect the number of items, packaging, product quality and relevant dates upon arrival, before ac</w:t>
      </w:r>
      <w:r>
        <w:rPr>
          <w:rFonts w:ascii="Arial" w:eastAsia="Times New Roman" w:hAnsi="Arial" w:cs="Arial"/>
          <w:sz w:val="24"/>
          <w:szCs w:val="24"/>
          <w:lang w:val="en-GB" w:eastAsia="en-GB"/>
        </w:rPr>
        <w:t>cepting and storing deliveries.</w:t>
      </w:r>
    </w:p>
    <w:p w14:paraId="01D6F4F9" w14:textId="62753E4C" w:rsidR="000B4733" w:rsidRPr="000B4733" w:rsidRDefault="000B4733" w:rsidP="000B4733">
      <w:pPr>
        <w:pStyle w:val="Heading2"/>
        <w:rPr>
          <w:rFonts w:eastAsia="Times New Roman"/>
          <w:lang w:val="en-GB" w:eastAsia="en-GB"/>
        </w:rPr>
      </w:pPr>
      <w:bookmarkStart w:id="106" w:name="_Toc239695417"/>
      <w:r w:rsidRPr="000B4733">
        <w:rPr>
          <w:rFonts w:eastAsia="Times New Roman"/>
          <w:lang w:val="en-GB" w:eastAsia="en-GB"/>
        </w:rPr>
        <w:t>10.5 Quality, Compliance and Operational Controls</w:t>
      </w:r>
      <w:bookmarkEnd w:id="106"/>
    </w:p>
    <w:p w14:paraId="16C04422" w14:textId="38809E18"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TEBC will implement standard operating procedures (SOPs) to ensure consistency in opening and preparation, service, cleaning, closing and stock-management activities. Regular cleaning of equipment, adjusting the grinders and recipe calibration should be performed to control the quality of the coffee. Standard of customer service should include requirements for accuracy, courtesy, waiting times, and how compla</w:t>
      </w:r>
      <w:r>
        <w:rPr>
          <w:rFonts w:ascii="Arial" w:eastAsia="Times New Roman" w:hAnsi="Arial" w:cs="Arial"/>
          <w:sz w:val="24"/>
          <w:szCs w:val="24"/>
          <w:lang w:val="en-GB" w:eastAsia="en-GB"/>
        </w:rPr>
        <w:t>ints will be dealt with.</w:t>
      </w:r>
    </w:p>
    <w:p w14:paraId="2227E015" w14:textId="37EAB37C"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Suitable hygienic procedures, allergen control, temperature controls, cleaning procedures and training will be required for food safety. A food business normally needs to be registered by the relevant local authority not less than 28 days before it starts trading (GOV.UK, 2026). It is also important for TEBC to keep records of food-safety pr</w:t>
      </w:r>
      <w:r>
        <w:rPr>
          <w:rFonts w:ascii="Arial" w:eastAsia="Times New Roman" w:hAnsi="Arial" w:cs="Arial"/>
          <w:sz w:val="24"/>
          <w:szCs w:val="24"/>
          <w:lang w:val="en-GB" w:eastAsia="en-GB"/>
        </w:rPr>
        <w:t>ocedures and supplier controls.</w:t>
      </w:r>
    </w:p>
    <w:p w14:paraId="2FD962E4" w14:textId="19C28121" w:rsidR="000B4733" w:rsidRPr="000B4733"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 xml:space="preserve">Compliance with the law and legal requirements will apply to employment, workplace health and safety, insurance, where applicable, data protection and taxation. Environmental controls should include waste segregation, reduction of avoidable food </w:t>
      </w:r>
      <w:r w:rsidRPr="000B4733">
        <w:rPr>
          <w:rFonts w:ascii="Arial" w:eastAsia="Times New Roman" w:hAnsi="Arial" w:cs="Arial"/>
          <w:sz w:val="24"/>
          <w:szCs w:val="24"/>
          <w:lang w:val="en-GB" w:eastAsia="en-GB"/>
        </w:rPr>
        <w:lastRenderedPageBreak/>
        <w:t xml:space="preserve">waste, responsible disposal of the grounds of coffee and proper packaging. These environmental controls are “operational” and should be incorporated into daily activities and not just </w:t>
      </w:r>
      <w:r>
        <w:rPr>
          <w:rFonts w:ascii="Arial" w:eastAsia="Times New Roman" w:hAnsi="Arial" w:cs="Arial"/>
          <w:sz w:val="24"/>
          <w:szCs w:val="24"/>
          <w:lang w:val="en-GB" w:eastAsia="en-GB"/>
        </w:rPr>
        <w:t>considered to be “promotional.”</w:t>
      </w:r>
    </w:p>
    <w:p w14:paraId="1FC17B7D" w14:textId="0255C0A1" w:rsidR="000B4733" w:rsidRPr="000B4733" w:rsidRDefault="000B4733" w:rsidP="000B4733">
      <w:pPr>
        <w:pStyle w:val="Heading2"/>
        <w:rPr>
          <w:rFonts w:eastAsia="Times New Roman"/>
          <w:lang w:val="en-GB" w:eastAsia="en-GB"/>
        </w:rPr>
      </w:pPr>
      <w:bookmarkStart w:id="107" w:name="_Toc239695418"/>
      <w:r w:rsidRPr="000B4733">
        <w:rPr>
          <w:rFonts w:eastAsia="Times New Roman"/>
          <w:lang w:val="en-GB" w:eastAsia="en-GB"/>
        </w:rPr>
        <w:t>10.6 Operational Synthesis</w:t>
      </w:r>
      <w:bookmarkEnd w:id="107"/>
    </w:p>
    <w:p w14:paraId="01D4595D" w14:textId="74186EE8" w:rsidR="00AA5615" w:rsidRDefault="000B4733" w:rsidP="000B4733">
      <w:pPr>
        <w:spacing w:before="100" w:beforeAutospacing="1" w:after="100" w:afterAutospacing="1" w:line="360" w:lineRule="auto"/>
        <w:jc w:val="both"/>
        <w:rPr>
          <w:rFonts w:ascii="Arial" w:eastAsia="Times New Roman" w:hAnsi="Arial" w:cs="Arial"/>
          <w:sz w:val="24"/>
          <w:szCs w:val="24"/>
          <w:lang w:val="en-GB" w:eastAsia="en-GB"/>
        </w:rPr>
      </w:pPr>
      <w:r w:rsidRPr="000B4733">
        <w:rPr>
          <w:rFonts w:ascii="Arial" w:eastAsia="Times New Roman" w:hAnsi="Arial" w:cs="Arial"/>
          <w:sz w:val="24"/>
          <w:szCs w:val="24"/>
          <w:lang w:val="en-GB" w:eastAsia="en-GB"/>
        </w:rPr>
        <w:t>The proposed OS translates TEBC's differential approach into hands-on activities. Consistent customer service, ethical sourcing will be supported by reliable suppliers, trained employees, correct equipment, SOPs, inventory controls and digital systems. Peak period capacity issues, reliance on suppliers, food waste, equipment failure, and increasing input costs are the main operational challenges. These risks can be addressed through staff training, diversification of suppliers, preventative maintenance, and safety stock and continuous performance monitoring. By adopting a staged operating model, TEBC will be able to test the market and operational capacity before embarking on a serious expansion.</w:t>
      </w:r>
    </w:p>
    <w:p w14:paraId="02C5810B" w14:textId="75FE28FC" w:rsidR="00066DDC" w:rsidRDefault="00066DDC" w:rsidP="00BE3014">
      <w:pPr>
        <w:spacing w:before="100" w:beforeAutospacing="1" w:after="100" w:afterAutospacing="1" w:line="360" w:lineRule="auto"/>
        <w:jc w:val="both"/>
        <w:rPr>
          <w:rFonts w:ascii="Arial" w:eastAsia="Times New Roman" w:hAnsi="Arial" w:cs="Arial"/>
          <w:sz w:val="24"/>
          <w:szCs w:val="24"/>
          <w:lang w:val="en-GB" w:eastAsia="en-GB"/>
        </w:rPr>
      </w:pPr>
    </w:p>
    <w:p w14:paraId="32774B27" w14:textId="36748C0C"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302D87D2" w14:textId="59A6FE8D"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76805BF5" w14:textId="59BA5993"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5D0B4C1E" w14:textId="1C7A001E"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0F632E42" w14:textId="44972B87"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766DA14C" w14:textId="3F87EB5C"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5C5CEEB4" w14:textId="1B578857"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08161F64" w14:textId="780B5CF8" w:rsidR="000B4733"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66FA95FF" w14:textId="77777777" w:rsidR="000B4733" w:rsidRPr="00C7150E" w:rsidRDefault="000B4733" w:rsidP="00BE3014">
      <w:pPr>
        <w:spacing w:before="100" w:beforeAutospacing="1" w:after="100" w:afterAutospacing="1" w:line="360" w:lineRule="auto"/>
        <w:jc w:val="both"/>
        <w:rPr>
          <w:rFonts w:ascii="Arial" w:eastAsia="Times New Roman" w:hAnsi="Arial" w:cs="Arial"/>
          <w:sz w:val="24"/>
          <w:szCs w:val="24"/>
          <w:lang w:val="en-GB" w:eastAsia="en-GB"/>
        </w:rPr>
      </w:pPr>
    </w:p>
    <w:p w14:paraId="1FA8BEAC" w14:textId="77777777" w:rsidR="00764905" w:rsidRPr="00764905" w:rsidRDefault="00764905" w:rsidP="00764905">
      <w:pPr>
        <w:keepNext/>
        <w:keepLines/>
        <w:spacing w:before="360" w:after="80"/>
        <w:outlineLvl w:val="0"/>
        <w:rPr>
          <w:rFonts w:ascii="Arial" w:eastAsia="Times New Roman" w:hAnsi="Arial" w:cstheme="majorBidi"/>
          <w:b/>
          <w:color w:val="000000" w:themeColor="text1"/>
          <w:sz w:val="32"/>
          <w:szCs w:val="40"/>
          <w:lang w:val="en-GB" w:eastAsia="en-GB"/>
        </w:rPr>
      </w:pPr>
      <w:bookmarkStart w:id="108" w:name="_Toc239695419"/>
      <w:r w:rsidRPr="00764905">
        <w:rPr>
          <w:rFonts w:ascii="Arial" w:eastAsia="Times New Roman" w:hAnsi="Arial" w:cstheme="majorBidi"/>
          <w:b/>
          <w:color w:val="000000" w:themeColor="text1"/>
          <w:sz w:val="32"/>
          <w:szCs w:val="40"/>
          <w:lang w:val="en-GB" w:eastAsia="en-GB"/>
        </w:rPr>
        <w:lastRenderedPageBreak/>
        <w:t>Reference</w:t>
      </w:r>
      <w:bookmarkEnd w:id="108"/>
      <w:r w:rsidRPr="00764905">
        <w:rPr>
          <w:rFonts w:ascii="Arial" w:eastAsia="Times New Roman" w:hAnsi="Arial" w:cstheme="majorBidi"/>
          <w:b/>
          <w:color w:val="000000" w:themeColor="text1"/>
          <w:sz w:val="32"/>
          <w:szCs w:val="40"/>
          <w:lang w:val="en-GB" w:eastAsia="en-GB"/>
        </w:rPr>
        <w:t xml:space="preserve"> </w:t>
      </w:r>
    </w:p>
    <w:p w14:paraId="27A79D8F"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Aaker, D.A. (1991)</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Managing Brand Equity: Capitalizing on the Value of a Brand Name</w:t>
      </w:r>
      <w:r w:rsidRPr="00764905">
        <w:rPr>
          <w:rFonts w:ascii="Arial" w:eastAsia="Times New Roman" w:hAnsi="Arial" w:cs="Arial"/>
          <w:sz w:val="24"/>
          <w:szCs w:val="24"/>
          <w:lang w:val="en-GB" w:eastAsia="en-GB"/>
        </w:rPr>
        <w:t xml:space="preserve">. New York: Free Press. </w:t>
      </w:r>
      <w:hyperlink r:id="rId13" w:history="1">
        <w:r w:rsidRPr="00764905">
          <w:rPr>
            <w:rFonts w:ascii="Arial" w:eastAsia="Times New Roman" w:hAnsi="Arial" w:cs="Arial"/>
            <w:color w:val="0563C1" w:themeColor="hyperlink"/>
            <w:sz w:val="24"/>
            <w:szCs w:val="24"/>
            <w:u w:val="single"/>
            <w:lang w:val="en-GB" w:eastAsia="en-GB"/>
          </w:rPr>
          <w:t>Aaker — book record/search</w:t>
        </w:r>
      </w:hyperlink>
      <w:r w:rsidRPr="00764905">
        <w:rPr>
          <w:rFonts w:ascii="Arial" w:eastAsia="Times New Roman" w:hAnsi="Arial" w:cs="Arial"/>
          <w:sz w:val="24"/>
          <w:szCs w:val="24"/>
          <w:lang w:val="en-GB" w:eastAsia="en-GB"/>
        </w:rPr>
        <w:t xml:space="preserve"> </w:t>
      </w:r>
    </w:p>
    <w:p w14:paraId="64543EF4"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Aaker, D.A. (1996)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Building Strong Brands</w:t>
      </w:r>
      <w:r w:rsidRPr="00764905">
        <w:rPr>
          <w:rFonts w:ascii="Arial" w:eastAsia="Times New Roman" w:hAnsi="Arial" w:cs="Arial"/>
          <w:sz w:val="24"/>
          <w:szCs w:val="24"/>
          <w:lang w:val="en-GB" w:eastAsia="en-GB"/>
        </w:rPr>
        <w:t xml:space="preserve">. New York: Free Press. </w:t>
      </w:r>
      <w:hyperlink r:id="rId14" w:history="1">
        <w:r w:rsidRPr="00764905">
          <w:rPr>
            <w:rFonts w:ascii="Arial" w:eastAsia="Times New Roman" w:hAnsi="Arial" w:cs="Arial"/>
            <w:color w:val="0563C1" w:themeColor="hyperlink"/>
            <w:sz w:val="24"/>
            <w:szCs w:val="24"/>
            <w:u w:val="single"/>
            <w:lang w:val="en-GB" w:eastAsia="en-GB"/>
          </w:rPr>
          <w:t>Aaker — book record/search</w:t>
        </w:r>
      </w:hyperlink>
      <w:r w:rsidRPr="00764905">
        <w:rPr>
          <w:rFonts w:ascii="Arial" w:eastAsia="Times New Roman" w:hAnsi="Arial" w:cs="Arial"/>
          <w:sz w:val="24"/>
          <w:szCs w:val="24"/>
          <w:lang w:val="en-GB" w:eastAsia="en-GB"/>
        </w:rPr>
        <w:t xml:space="preserve"> </w:t>
      </w:r>
    </w:p>
    <w:p w14:paraId="0F0005D6"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Arenas-Gaitán, J., Rondán-Cataluña, F.J. and Ramírez-Correa, P.E. (2020)</w:t>
      </w:r>
      <w:r w:rsidRPr="00764905">
        <w:rPr>
          <w:rFonts w:ascii="Arial" w:eastAsia="Times New Roman" w:hAnsi="Arial" w:cs="Arial"/>
          <w:sz w:val="24"/>
          <w:szCs w:val="24"/>
          <w:lang w:val="en-GB" w:eastAsia="en-GB"/>
        </w:rPr>
        <w:t xml:space="preserve"> ‘Purchase intention of specialty coffee’, </w:t>
      </w:r>
      <w:r w:rsidRPr="00764905">
        <w:rPr>
          <w:rFonts w:ascii="Arial" w:eastAsia="Times New Roman" w:hAnsi="Arial" w:cs="Arial"/>
          <w:i/>
          <w:iCs/>
          <w:sz w:val="24"/>
          <w:szCs w:val="24"/>
          <w:lang w:val="en-GB" w:eastAsia="en-GB"/>
        </w:rPr>
        <w:t>Sustainability</w:t>
      </w:r>
      <w:r w:rsidRPr="00764905">
        <w:rPr>
          <w:rFonts w:ascii="Arial" w:eastAsia="Times New Roman" w:hAnsi="Arial" w:cs="Arial"/>
          <w:sz w:val="24"/>
          <w:szCs w:val="24"/>
          <w:lang w:val="en-GB" w:eastAsia="en-GB"/>
        </w:rPr>
        <w:t>, 12(4), 1329.</w:t>
      </w:r>
      <w:r w:rsidRPr="00764905">
        <w:rPr>
          <w:rFonts w:ascii="Arial" w:eastAsia="Times New Roman" w:hAnsi="Arial" w:cs="Arial"/>
          <w:sz w:val="24"/>
          <w:szCs w:val="24"/>
          <w:lang w:val="en-GB" w:eastAsia="en-GB"/>
        </w:rPr>
        <w:br/>
      </w:r>
      <w:hyperlink r:id="rId15"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EECAB80" w14:textId="77777777" w:rsidR="00764905" w:rsidRPr="00764905" w:rsidRDefault="00764905" w:rsidP="00764905">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Armstrong, G. and Kotler, P. (2022)</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Marketing: An Introduction</w:t>
      </w:r>
      <w:r w:rsidRPr="00764905">
        <w:rPr>
          <w:rFonts w:ascii="Arial" w:eastAsia="Times New Roman" w:hAnsi="Arial" w:cs="Arial"/>
          <w:sz w:val="24"/>
          <w:szCs w:val="24"/>
          <w:lang w:val="en-GB" w:eastAsia="en-GB"/>
        </w:rPr>
        <w:t xml:space="preserve">. 15th edn. Harlow: Pearson  </w:t>
      </w:r>
      <w:hyperlink r:id="rId16" w:history="1">
        <w:r w:rsidRPr="00764905">
          <w:rPr>
            <w:rFonts w:ascii="Arial" w:eastAsia="Times New Roman" w:hAnsi="Arial" w:cs="Arial"/>
            <w:color w:val="0563C1" w:themeColor="hyperlink"/>
            <w:sz w:val="24"/>
            <w:szCs w:val="24"/>
            <w:u w:val="single"/>
            <w:lang w:val="en-GB" w:eastAsia="en-GB"/>
          </w:rPr>
          <w:t>Publisher/search record</w:t>
        </w:r>
      </w:hyperlink>
      <w:r w:rsidRPr="00764905">
        <w:rPr>
          <w:rFonts w:ascii="Arial" w:eastAsia="Times New Roman" w:hAnsi="Arial" w:cs="Arial"/>
          <w:sz w:val="24"/>
          <w:szCs w:val="24"/>
          <w:lang w:val="en-GB" w:eastAsia="en-GB"/>
        </w:rPr>
        <w:t xml:space="preserve"> </w:t>
      </w:r>
    </w:p>
    <w:p w14:paraId="287C0F4A"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Barney, J. (1991)</w:t>
      </w:r>
      <w:r w:rsidRPr="00764905">
        <w:rPr>
          <w:rFonts w:ascii="Arial" w:eastAsia="Times New Roman" w:hAnsi="Arial" w:cs="Arial"/>
          <w:sz w:val="24"/>
          <w:szCs w:val="24"/>
          <w:lang w:val="en-GB" w:eastAsia="en-GB"/>
        </w:rPr>
        <w:t xml:space="preserve"> ‘Firm resources and sustained competitive advantage’, </w:t>
      </w:r>
      <w:r w:rsidRPr="00764905">
        <w:rPr>
          <w:rFonts w:ascii="Arial" w:eastAsia="Times New Roman" w:hAnsi="Arial" w:cs="Arial"/>
          <w:i/>
          <w:iCs/>
          <w:sz w:val="24"/>
          <w:szCs w:val="24"/>
          <w:lang w:val="en-GB" w:eastAsia="en-GB"/>
        </w:rPr>
        <w:t>Journal of Management</w:t>
      </w:r>
      <w:r w:rsidRPr="00764905">
        <w:rPr>
          <w:rFonts w:ascii="Arial" w:eastAsia="Times New Roman" w:hAnsi="Arial" w:cs="Arial"/>
          <w:sz w:val="24"/>
          <w:szCs w:val="24"/>
          <w:lang w:val="en-GB" w:eastAsia="en-GB"/>
        </w:rPr>
        <w:t>, 17(1), pp. 99–120.</w:t>
      </w:r>
      <w:r w:rsidRPr="00764905">
        <w:rPr>
          <w:rFonts w:ascii="Arial" w:eastAsia="Times New Roman" w:hAnsi="Arial" w:cs="Arial"/>
          <w:sz w:val="24"/>
          <w:szCs w:val="24"/>
          <w:lang w:val="en-GB" w:eastAsia="en-GB"/>
        </w:rPr>
        <w:br/>
      </w:r>
      <w:hyperlink r:id="rId17"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3A634FCB"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Barney, J.B., Wright, M. and Ketchen, D.J. (2001)</w:t>
      </w:r>
      <w:r w:rsidRPr="00764905">
        <w:rPr>
          <w:rFonts w:ascii="Arial" w:eastAsia="Times New Roman" w:hAnsi="Arial" w:cs="Arial"/>
          <w:sz w:val="24"/>
          <w:szCs w:val="24"/>
          <w:lang w:val="en-GB" w:eastAsia="en-GB"/>
        </w:rPr>
        <w:t xml:space="preserve"> ‘The resource-based view of the firm: Ten years after 1991’, </w:t>
      </w:r>
      <w:r w:rsidRPr="00764905">
        <w:rPr>
          <w:rFonts w:ascii="Arial" w:eastAsia="Times New Roman" w:hAnsi="Arial" w:cs="Arial"/>
          <w:i/>
          <w:iCs/>
          <w:sz w:val="24"/>
          <w:szCs w:val="24"/>
          <w:lang w:val="en-GB" w:eastAsia="en-GB"/>
        </w:rPr>
        <w:t>Journal of Management</w:t>
      </w:r>
      <w:r w:rsidRPr="00764905">
        <w:rPr>
          <w:rFonts w:ascii="Arial" w:eastAsia="Times New Roman" w:hAnsi="Arial" w:cs="Arial"/>
          <w:sz w:val="24"/>
          <w:szCs w:val="24"/>
          <w:lang w:val="en-GB" w:eastAsia="en-GB"/>
        </w:rPr>
        <w:t>, 27(6), pp. 625–641.</w:t>
      </w:r>
      <w:r w:rsidRPr="00764905">
        <w:rPr>
          <w:rFonts w:ascii="Arial" w:eastAsia="Times New Roman" w:hAnsi="Arial" w:cs="Arial"/>
          <w:sz w:val="24"/>
          <w:szCs w:val="24"/>
          <w:lang w:val="en-GB" w:eastAsia="en-GB"/>
        </w:rPr>
        <w:br/>
      </w:r>
      <w:hyperlink r:id="rId1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EF8E448"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Berry, L.L., Carbone, L.P. and Haeckel, S.H. (2002)</w:t>
      </w:r>
      <w:r w:rsidRPr="00764905">
        <w:rPr>
          <w:rFonts w:ascii="Arial" w:eastAsia="Times New Roman" w:hAnsi="Arial" w:cs="Arial"/>
          <w:sz w:val="24"/>
          <w:szCs w:val="24"/>
          <w:lang w:val="en-GB" w:eastAsia="en-GB"/>
        </w:rPr>
        <w:t xml:space="preserve"> ‘Managing the total customer experience’, </w:t>
      </w:r>
      <w:r w:rsidRPr="00764905">
        <w:rPr>
          <w:rFonts w:ascii="Arial" w:eastAsia="Times New Roman" w:hAnsi="Arial" w:cs="Arial"/>
          <w:i/>
          <w:iCs/>
          <w:sz w:val="24"/>
          <w:szCs w:val="24"/>
          <w:lang w:val="en-GB" w:eastAsia="en-GB"/>
        </w:rPr>
        <w:t>MIT Sloan Management Review</w:t>
      </w:r>
      <w:r w:rsidRPr="00764905">
        <w:rPr>
          <w:rFonts w:ascii="Arial" w:eastAsia="Times New Roman" w:hAnsi="Arial" w:cs="Arial"/>
          <w:sz w:val="24"/>
          <w:szCs w:val="24"/>
          <w:lang w:val="en-GB" w:eastAsia="en-GB"/>
        </w:rPr>
        <w:t>, 43(3), pp. 85–89.</w:t>
      </w:r>
      <w:r w:rsidRPr="00764905">
        <w:rPr>
          <w:rFonts w:ascii="Arial" w:eastAsia="Times New Roman" w:hAnsi="Arial" w:cs="Arial"/>
          <w:sz w:val="24"/>
          <w:szCs w:val="24"/>
          <w:lang w:val="en-GB" w:eastAsia="en-GB"/>
        </w:rPr>
        <w:br/>
      </w:r>
      <w:hyperlink r:id="rId19" w:tgtFrame="_blank" w:history="1">
        <w:r w:rsidRPr="00764905">
          <w:rPr>
            <w:rFonts w:ascii="Arial" w:eastAsia="Times New Roman" w:hAnsi="Arial" w:cs="Arial"/>
            <w:color w:val="0000FF"/>
            <w:sz w:val="24"/>
            <w:szCs w:val="24"/>
            <w:u w:val="single"/>
            <w:lang w:val="en-GB" w:eastAsia="en-GB"/>
          </w:rPr>
          <w:t>Article/search record</w:t>
        </w:r>
      </w:hyperlink>
      <w:r w:rsidRPr="00764905">
        <w:rPr>
          <w:rFonts w:ascii="Arial" w:eastAsia="Times New Roman" w:hAnsi="Arial" w:cs="Arial"/>
          <w:sz w:val="24"/>
          <w:szCs w:val="24"/>
          <w:lang w:val="en-GB" w:eastAsia="en-GB"/>
        </w:rPr>
        <w:t xml:space="preserve"> </w:t>
      </w:r>
    </w:p>
    <w:p w14:paraId="7D5A6735"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Bitner, M.J. (1992)</w:t>
      </w:r>
      <w:r w:rsidRPr="00764905">
        <w:rPr>
          <w:rFonts w:ascii="Arial" w:eastAsia="Times New Roman" w:hAnsi="Arial" w:cs="Arial"/>
          <w:sz w:val="24"/>
          <w:szCs w:val="24"/>
          <w:lang w:val="en-GB" w:eastAsia="en-GB"/>
        </w:rPr>
        <w:t xml:space="preserve"> ‘Servicescapes: The impact of physical surroundings on customers and employees’,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56(2), pp. 57–71.</w:t>
      </w:r>
      <w:r w:rsidRPr="00764905">
        <w:rPr>
          <w:rFonts w:ascii="Arial" w:eastAsia="Times New Roman" w:hAnsi="Arial" w:cs="Arial"/>
          <w:sz w:val="24"/>
          <w:szCs w:val="24"/>
          <w:lang w:val="en-GB" w:eastAsia="en-GB"/>
        </w:rPr>
        <w:br/>
      </w:r>
      <w:hyperlink r:id="rId20"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10366048" w14:textId="77777777" w:rsidR="00764905" w:rsidRPr="00764905" w:rsidRDefault="00764905" w:rsidP="00764905">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Bocken, N.M.P., Short, S.W., Rana, P. and Evans, S. (2014)</w:t>
      </w:r>
      <w:r w:rsidRPr="00764905">
        <w:rPr>
          <w:rFonts w:ascii="Arial" w:eastAsia="Times New Roman" w:hAnsi="Arial" w:cs="Arial"/>
          <w:sz w:val="24"/>
          <w:szCs w:val="24"/>
          <w:lang w:val="en-GB" w:eastAsia="en-GB"/>
        </w:rPr>
        <w:t xml:space="preserve"> ‘A literature and practice review to develop sustainable business model archetypes’, </w:t>
      </w:r>
      <w:r w:rsidRPr="00764905">
        <w:rPr>
          <w:rFonts w:ascii="Arial" w:eastAsia="Times New Roman" w:hAnsi="Arial" w:cs="Arial"/>
          <w:i/>
          <w:iCs/>
          <w:sz w:val="24"/>
          <w:szCs w:val="24"/>
          <w:lang w:val="en-GB" w:eastAsia="en-GB"/>
        </w:rPr>
        <w:t>Journal of Cleaner Production</w:t>
      </w:r>
      <w:r w:rsidRPr="00764905">
        <w:rPr>
          <w:rFonts w:ascii="Arial" w:eastAsia="Times New Roman" w:hAnsi="Arial" w:cs="Arial"/>
          <w:sz w:val="24"/>
          <w:szCs w:val="24"/>
          <w:lang w:val="en-GB" w:eastAsia="en-GB"/>
        </w:rPr>
        <w:t>, 65, pp. 42–56.</w:t>
      </w:r>
      <w:r w:rsidRPr="00764905">
        <w:rPr>
          <w:rFonts w:ascii="Arial" w:eastAsia="Times New Roman" w:hAnsi="Arial" w:cs="Arial"/>
          <w:sz w:val="24"/>
          <w:szCs w:val="24"/>
          <w:lang w:val="en-GB" w:eastAsia="en-GB"/>
        </w:rPr>
        <w:br/>
      </w:r>
      <w:hyperlink r:id="rId21"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11185FBC"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Carrigan, M. and Attalla, A. (2001)</w:t>
      </w:r>
      <w:r w:rsidRPr="00764905">
        <w:rPr>
          <w:rFonts w:ascii="Arial" w:eastAsia="Times New Roman" w:hAnsi="Arial" w:cs="Arial"/>
          <w:sz w:val="24"/>
          <w:szCs w:val="24"/>
          <w:lang w:val="en-GB" w:eastAsia="en-GB"/>
        </w:rPr>
        <w:t xml:space="preserve"> ‘The myth of the ethical consumer – do ethics matter in purchase behaviour?’, </w:t>
      </w:r>
      <w:r w:rsidRPr="00764905">
        <w:rPr>
          <w:rFonts w:ascii="Arial" w:eastAsia="Times New Roman" w:hAnsi="Arial" w:cs="Arial"/>
          <w:i/>
          <w:iCs/>
          <w:sz w:val="24"/>
          <w:szCs w:val="24"/>
          <w:lang w:val="en-GB" w:eastAsia="en-GB"/>
        </w:rPr>
        <w:t>Journal of Consumer Marketing</w:t>
      </w:r>
      <w:r w:rsidRPr="00764905">
        <w:rPr>
          <w:rFonts w:ascii="Arial" w:eastAsia="Times New Roman" w:hAnsi="Arial" w:cs="Arial"/>
          <w:sz w:val="24"/>
          <w:szCs w:val="24"/>
          <w:lang w:val="en-GB" w:eastAsia="en-GB"/>
        </w:rPr>
        <w:t>, 18(7), pp. 560–577.</w:t>
      </w:r>
      <w:r w:rsidRPr="00764905">
        <w:rPr>
          <w:rFonts w:ascii="Arial" w:eastAsia="Times New Roman" w:hAnsi="Arial" w:cs="Arial"/>
          <w:sz w:val="24"/>
          <w:szCs w:val="24"/>
          <w:lang w:val="en-GB" w:eastAsia="en-GB"/>
        </w:rPr>
        <w:br/>
      </w:r>
      <w:hyperlink r:id="rId22"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F1D5DE6"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Carroll, A.B. (1991)</w:t>
      </w:r>
      <w:r w:rsidRPr="00764905">
        <w:rPr>
          <w:rFonts w:ascii="Arial" w:eastAsia="Times New Roman" w:hAnsi="Arial" w:cs="Arial"/>
          <w:sz w:val="24"/>
          <w:szCs w:val="24"/>
          <w:lang w:val="en-GB" w:eastAsia="en-GB"/>
        </w:rPr>
        <w:t xml:space="preserve"> ‘The pyramid of corporate social responsibility: Toward the moral management of organizational stakeholders’, </w:t>
      </w:r>
      <w:r w:rsidRPr="00764905">
        <w:rPr>
          <w:rFonts w:ascii="Arial" w:eastAsia="Times New Roman" w:hAnsi="Arial" w:cs="Arial"/>
          <w:i/>
          <w:iCs/>
          <w:sz w:val="24"/>
          <w:szCs w:val="24"/>
          <w:lang w:val="en-GB" w:eastAsia="en-GB"/>
        </w:rPr>
        <w:t>Business Horizons</w:t>
      </w:r>
      <w:r w:rsidRPr="00764905">
        <w:rPr>
          <w:rFonts w:ascii="Arial" w:eastAsia="Times New Roman" w:hAnsi="Arial" w:cs="Arial"/>
          <w:sz w:val="24"/>
          <w:szCs w:val="24"/>
          <w:lang w:val="en-GB" w:eastAsia="en-GB"/>
        </w:rPr>
        <w:t xml:space="preserve">, 34(4), </w:t>
      </w:r>
      <w:r w:rsidRPr="00764905">
        <w:rPr>
          <w:rFonts w:ascii="Arial" w:eastAsia="Times New Roman" w:hAnsi="Arial" w:cs="Arial"/>
          <w:sz w:val="24"/>
          <w:szCs w:val="24"/>
          <w:lang w:val="en-GB" w:eastAsia="en-GB"/>
        </w:rPr>
        <w:lastRenderedPageBreak/>
        <w:t>pp. 39–48.</w:t>
      </w:r>
      <w:r w:rsidRPr="00764905">
        <w:rPr>
          <w:rFonts w:ascii="Arial" w:eastAsia="Times New Roman" w:hAnsi="Arial" w:cs="Arial"/>
          <w:sz w:val="24"/>
          <w:szCs w:val="24"/>
          <w:lang w:val="en-GB" w:eastAsia="en-GB"/>
        </w:rPr>
        <w:br/>
        <w:t xml:space="preserve">DOI </w:t>
      </w:r>
    </w:p>
    <w:p w14:paraId="54A84002"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Christopher, M. (2016)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Logistics &amp; Supply Chain Management</w:t>
      </w:r>
      <w:r w:rsidRPr="00764905">
        <w:rPr>
          <w:rFonts w:ascii="Arial" w:eastAsia="Times New Roman" w:hAnsi="Arial" w:cs="Arial"/>
          <w:sz w:val="24"/>
          <w:szCs w:val="24"/>
          <w:lang w:val="en-GB" w:eastAsia="en-GB"/>
        </w:rPr>
        <w:t>. 5th edn. Harlow: Pearson.</w:t>
      </w:r>
      <w:r w:rsidRPr="00764905">
        <w:rPr>
          <w:rFonts w:ascii="Arial" w:eastAsia="Times New Roman" w:hAnsi="Arial" w:cs="Arial"/>
          <w:sz w:val="24"/>
          <w:szCs w:val="24"/>
          <w:lang w:val="en-GB" w:eastAsia="en-GB"/>
        </w:rPr>
        <w:br/>
        <w:t xml:space="preserve">Book/search record </w:t>
      </w:r>
    </w:p>
    <w:p w14:paraId="55AC6584" w14:textId="77777777" w:rsidR="00764905" w:rsidRPr="00764905" w:rsidRDefault="00764905" w:rsidP="00764905">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Churchill, G.A. and Iacobucci, D. (2010)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Marketing Research: Methodological Foundations</w:t>
      </w:r>
      <w:r w:rsidRPr="00764905">
        <w:rPr>
          <w:rFonts w:ascii="Arial" w:eastAsia="Times New Roman" w:hAnsi="Arial" w:cs="Arial"/>
          <w:sz w:val="24"/>
          <w:szCs w:val="24"/>
          <w:lang w:val="en-GB" w:eastAsia="en-GB"/>
        </w:rPr>
        <w:t>. 10th edn. Mason, OH: South-Western.</w:t>
      </w:r>
      <w:r w:rsidRPr="00764905">
        <w:rPr>
          <w:rFonts w:ascii="Arial" w:eastAsia="Times New Roman" w:hAnsi="Arial" w:cs="Arial"/>
          <w:sz w:val="24"/>
          <w:szCs w:val="24"/>
          <w:lang w:val="en-GB" w:eastAsia="en-GB"/>
        </w:rPr>
        <w:br/>
        <w:t xml:space="preserve">Book/search record </w:t>
      </w:r>
    </w:p>
    <w:p w14:paraId="51BF5C28"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Dahan, S., et al. (2026)</w:t>
      </w:r>
      <w:r w:rsidRPr="00764905">
        <w:rPr>
          <w:rFonts w:ascii="Arial" w:eastAsia="Times New Roman" w:hAnsi="Arial" w:cs="Arial"/>
          <w:sz w:val="24"/>
          <w:szCs w:val="24"/>
          <w:lang w:val="en-GB" w:eastAsia="en-GB"/>
        </w:rPr>
        <w:t xml:space="preserve"> ‘Green marketing: The relationships between marketing strategy, supply chain, and firms' environmental performance’, </w:t>
      </w:r>
      <w:r w:rsidRPr="00764905">
        <w:rPr>
          <w:rFonts w:ascii="Arial" w:eastAsia="Times New Roman" w:hAnsi="Arial" w:cs="Arial"/>
          <w:i/>
          <w:iCs/>
          <w:sz w:val="24"/>
          <w:szCs w:val="24"/>
          <w:lang w:val="en-GB" w:eastAsia="en-GB"/>
        </w:rPr>
        <w:t>Business Strategy and the Environment</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23"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353F5741"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Day, G.S. (1994)</w:t>
      </w:r>
      <w:r w:rsidRPr="00764905">
        <w:rPr>
          <w:rFonts w:ascii="Arial" w:eastAsia="Times New Roman" w:hAnsi="Arial" w:cs="Arial"/>
          <w:sz w:val="24"/>
          <w:szCs w:val="24"/>
          <w:lang w:val="en-GB" w:eastAsia="en-GB"/>
        </w:rPr>
        <w:t xml:space="preserve"> ‘The capabilities of market-driven organizations’,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58(4), pp. 37–52.</w:t>
      </w:r>
      <w:r w:rsidRPr="00764905">
        <w:rPr>
          <w:rFonts w:ascii="Arial" w:eastAsia="Times New Roman" w:hAnsi="Arial" w:cs="Arial"/>
          <w:sz w:val="24"/>
          <w:szCs w:val="24"/>
          <w:lang w:val="en-GB" w:eastAsia="en-GB"/>
        </w:rPr>
        <w:br/>
      </w:r>
      <w:hyperlink r:id="rId24"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5A032198"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De Pelsmacker, P., Driesen, L. and Rayp, G. (2005)</w:t>
      </w:r>
      <w:r w:rsidRPr="00764905">
        <w:rPr>
          <w:rFonts w:ascii="Arial" w:eastAsia="Times New Roman" w:hAnsi="Arial" w:cs="Arial"/>
          <w:sz w:val="24"/>
          <w:szCs w:val="24"/>
          <w:lang w:val="en-GB" w:eastAsia="en-GB"/>
        </w:rPr>
        <w:t xml:space="preserve"> ‘Do consumers care about ethics? Willingness to pay for fair-trade coffee’, </w:t>
      </w:r>
      <w:r w:rsidRPr="00764905">
        <w:rPr>
          <w:rFonts w:ascii="Arial" w:eastAsia="Times New Roman" w:hAnsi="Arial" w:cs="Arial"/>
          <w:i/>
          <w:iCs/>
          <w:sz w:val="24"/>
          <w:szCs w:val="24"/>
          <w:lang w:val="en-GB" w:eastAsia="en-GB"/>
        </w:rPr>
        <w:t>Journal of Consumer Affairs</w:t>
      </w:r>
      <w:r w:rsidRPr="00764905">
        <w:rPr>
          <w:rFonts w:ascii="Arial" w:eastAsia="Times New Roman" w:hAnsi="Arial" w:cs="Arial"/>
          <w:sz w:val="24"/>
          <w:szCs w:val="24"/>
          <w:lang w:val="en-GB" w:eastAsia="en-GB"/>
        </w:rPr>
        <w:t>, 39(2), pp. 363–385.</w:t>
      </w:r>
      <w:r w:rsidRPr="00764905">
        <w:rPr>
          <w:rFonts w:ascii="Arial" w:eastAsia="Times New Roman" w:hAnsi="Arial" w:cs="Arial"/>
          <w:sz w:val="24"/>
          <w:szCs w:val="24"/>
          <w:lang w:val="en-GB" w:eastAsia="en-GB"/>
        </w:rPr>
        <w:br/>
      </w:r>
      <w:hyperlink r:id="rId25"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52C9AE9" w14:textId="77777777" w:rsidR="00764905" w:rsidRPr="00764905" w:rsidRDefault="00764905" w:rsidP="00764905">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Dibb, S. and Simkin, L. (2013)</w:t>
      </w:r>
      <w:r w:rsidRPr="00764905">
        <w:rPr>
          <w:rFonts w:ascii="Arial" w:eastAsia="Times New Roman" w:hAnsi="Arial" w:cs="Arial"/>
          <w:sz w:val="24"/>
          <w:szCs w:val="24"/>
          <w:lang w:val="en-GB" w:eastAsia="en-GB"/>
        </w:rPr>
        <w:t xml:space="preserve"> ‘Market segmentation success: Making it happen!’, </w:t>
      </w:r>
      <w:r w:rsidRPr="00764905">
        <w:rPr>
          <w:rFonts w:ascii="Arial" w:eastAsia="Times New Roman" w:hAnsi="Arial" w:cs="Arial"/>
          <w:i/>
          <w:iCs/>
          <w:sz w:val="24"/>
          <w:szCs w:val="24"/>
          <w:lang w:val="en-GB" w:eastAsia="en-GB"/>
        </w:rPr>
        <w:t>Marketing Intelligence &amp; Planning</w:t>
      </w:r>
      <w:r w:rsidRPr="00764905">
        <w:rPr>
          <w:rFonts w:ascii="Arial" w:eastAsia="Times New Roman" w:hAnsi="Arial" w:cs="Arial"/>
          <w:sz w:val="24"/>
          <w:szCs w:val="24"/>
          <w:lang w:val="en-GB" w:eastAsia="en-GB"/>
        </w:rPr>
        <w:t>, 31(2), pp. 202–221.</w:t>
      </w:r>
      <w:r w:rsidRPr="00764905">
        <w:rPr>
          <w:rFonts w:ascii="Arial" w:eastAsia="Times New Roman" w:hAnsi="Arial" w:cs="Arial"/>
          <w:sz w:val="24"/>
          <w:szCs w:val="24"/>
          <w:lang w:val="en-GB" w:eastAsia="en-GB"/>
        </w:rPr>
        <w:br/>
        <w:t xml:space="preserve">DOI/search </w:t>
      </w:r>
    </w:p>
    <w:p w14:paraId="5B3FBC8D" w14:textId="77777777" w:rsidR="00764905" w:rsidRPr="00764905" w:rsidRDefault="00764905" w:rsidP="00764905">
      <w:pPr>
        <w:numPr>
          <w:ilvl w:val="0"/>
          <w:numId w:val="1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Elkington, J. (1998)</w:t>
      </w:r>
      <w:r w:rsidRPr="00764905">
        <w:rPr>
          <w:rFonts w:ascii="Arial" w:eastAsia="Times New Roman" w:hAnsi="Arial" w:cs="Arial"/>
          <w:sz w:val="24"/>
          <w:szCs w:val="24"/>
          <w:lang w:val="en-GB" w:eastAsia="en-GB"/>
        </w:rPr>
        <w:t xml:space="preserve"> ‘Partnerships from cannibals with forks: The triple bottom line of 21st-century business’, </w:t>
      </w:r>
      <w:r w:rsidRPr="00764905">
        <w:rPr>
          <w:rFonts w:ascii="Arial" w:eastAsia="Times New Roman" w:hAnsi="Arial" w:cs="Arial"/>
          <w:i/>
          <w:iCs/>
          <w:sz w:val="24"/>
          <w:szCs w:val="24"/>
          <w:lang w:val="en-GB" w:eastAsia="en-GB"/>
        </w:rPr>
        <w:t>Environmental Quality Management</w:t>
      </w:r>
      <w:r w:rsidRPr="00764905">
        <w:rPr>
          <w:rFonts w:ascii="Arial" w:eastAsia="Times New Roman" w:hAnsi="Arial" w:cs="Arial"/>
          <w:sz w:val="24"/>
          <w:szCs w:val="24"/>
          <w:lang w:val="en-GB" w:eastAsia="en-GB"/>
        </w:rPr>
        <w:t>, 8(1), pp. 37–51.</w:t>
      </w:r>
      <w:r w:rsidRPr="00764905">
        <w:rPr>
          <w:rFonts w:ascii="Arial" w:eastAsia="Times New Roman" w:hAnsi="Arial" w:cs="Arial"/>
          <w:sz w:val="24"/>
          <w:szCs w:val="24"/>
          <w:lang w:val="en-GB" w:eastAsia="en-GB"/>
        </w:rPr>
        <w:br/>
      </w:r>
      <w:hyperlink r:id="rId26"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37315A3F" w14:textId="77777777" w:rsidR="00764905" w:rsidRPr="00764905" w:rsidRDefault="00764905" w:rsidP="00764905">
      <w:pPr>
        <w:numPr>
          <w:ilvl w:val="0"/>
          <w:numId w:val="1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Ellen, P.S., Webb, D.J. and Mohr, L.A. (2006)</w:t>
      </w:r>
      <w:r w:rsidRPr="00764905">
        <w:rPr>
          <w:rFonts w:ascii="Arial" w:eastAsia="Times New Roman" w:hAnsi="Arial" w:cs="Arial"/>
          <w:sz w:val="24"/>
          <w:szCs w:val="24"/>
          <w:lang w:val="en-GB" w:eastAsia="en-GB"/>
        </w:rPr>
        <w:t xml:space="preserve"> ‘Building corporate associations: Consumer attributions for corporate socially responsible programs’, </w:t>
      </w:r>
      <w:r w:rsidRPr="00764905">
        <w:rPr>
          <w:rFonts w:ascii="Arial" w:eastAsia="Times New Roman" w:hAnsi="Arial" w:cs="Arial"/>
          <w:i/>
          <w:iCs/>
          <w:sz w:val="24"/>
          <w:szCs w:val="24"/>
          <w:lang w:val="en-GB" w:eastAsia="en-GB"/>
        </w:rPr>
        <w:t>Journal of the Academy of Marketing Science</w:t>
      </w:r>
      <w:r w:rsidRPr="00764905">
        <w:rPr>
          <w:rFonts w:ascii="Arial" w:eastAsia="Times New Roman" w:hAnsi="Arial" w:cs="Arial"/>
          <w:sz w:val="24"/>
          <w:szCs w:val="24"/>
          <w:lang w:val="en-GB" w:eastAsia="en-GB"/>
        </w:rPr>
        <w:t>, 34, pp. 147–157.</w:t>
      </w:r>
      <w:r w:rsidRPr="00764905">
        <w:rPr>
          <w:rFonts w:ascii="Arial" w:eastAsia="Times New Roman" w:hAnsi="Arial" w:cs="Arial"/>
          <w:sz w:val="24"/>
          <w:szCs w:val="24"/>
          <w:lang w:val="en-GB" w:eastAsia="en-GB"/>
        </w:rPr>
        <w:br/>
      </w:r>
      <w:hyperlink r:id="rId27"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B5FE160" w14:textId="77777777" w:rsidR="00764905" w:rsidRPr="00764905" w:rsidRDefault="00764905" w:rsidP="00764905">
      <w:pPr>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Fuller, H. and Grebitus, C. (2023)</w:t>
      </w:r>
      <w:r w:rsidRPr="00764905">
        <w:rPr>
          <w:rFonts w:ascii="Arial" w:eastAsia="Times New Roman" w:hAnsi="Arial" w:cs="Arial"/>
          <w:sz w:val="24"/>
          <w:szCs w:val="24"/>
          <w:lang w:val="en-GB" w:eastAsia="en-GB"/>
        </w:rPr>
        <w:t xml:space="preserve"> ‘Consumer preferences and willingness to pay for ethical and sustainable coffee attributes’, </w:t>
      </w:r>
      <w:r w:rsidRPr="00764905">
        <w:rPr>
          <w:rFonts w:ascii="Arial" w:eastAsia="Times New Roman" w:hAnsi="Arial" w:cs="Arial"/>
          <w:i/>
          <w:iCs/>
          <w:sz w:val="24"/>
          <w:szCs w:val="24"/>
          <w:lang w:val="en-GB" w:eastAsia="en-GB"/>
        </w:rPr>
        <w:t>Sustainability</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t xml:space="preserve">Academic search record </w:t>
      </w:r>
    </w:p>
    <w:p w14:paraId="28560C73" w14:textId="77777777" w:rsidR="00764905" w:rsidRPr="00764905" w:rsidRDefault="00764905" w:rsidP="00764905">
      <w:pPr>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Fuller, H., Grebitus, C. and Schmitz, C. (2022)</w:t>
      </w:r>
      <w:r w:rsidRPr="00764905">
        <w:rPr>
          <w:rFonts w:ascii="Arial" w:eastAsia="Times New Roman" w:hAnsi="Arial" w:cs="Arial"/>
          <w:sz w:val="24"/>
          <w:szCs w:val="24"/>
          <w:lang w:val="en-GB" w:eastAsia="en-GB"/>
        </w:rPr>
        <w:t xml:space="preserve"> ‘Consumer preferences for ethical coffee attributes’, </w:t>
      </w:r>
      <w:r w:rsidRPr="00764905">
        <w:rPr>
          <w:rFonts w:ascii="Arial" w:eastAsia="Times New Roman" w:hAnsi="Arial" w:cs="Arial"/>
          <w:i/>
          <w:iCs/>
          <w:sz w:val="24"/>
          <w:szCs w:val="24"/>
          <w:lang w:val="en-GB" w:eastAsia="en-GB"/>
        </w:rPr>
        <w:t>Food Quality and Preference</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t xml:space="preserve">Academic search record </w:t>
      </w:r>
    </w:p>
    <w:p w14:paraId="082852E6" w14:textId="77777777" w:rsidR="00764905" w:rsidRPr="00764905" w:rsidRDefault="00764905" w:rsidP="00764905">
      <w:pPr>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Grönroos, C. (1984)</w:t>
      </w:r>
      <w:r w:rsidRPr="00764905">
        <w:rPr>
          <w:rFonts w:ascii="Arial" w:eastAsia="Times New Roman" w:hAnsi="Arial" w:cs="Arial"/>
          <w:sz w:val="24"/>
          <w:szCs w:val="24"/>
          <w:lang w:val="en-GB" w:eastAsia="en-GB"/>
        </w:rPr>
        <w:t xml:space="preserve"> ‘A service quality model and its marketing implications’, </w:t>
      </w:r>
      <w:r w:rsidRPr="00764905">
        <w:rPr>
          <w:rFonts w:ascii="Arial" w:eastAsia="Times New Roman" w:hAnsi="Arial" w:cs="Arial"/>
          <w:i/>
          <w:iCs/>
          <w:sz w:val="24"/>
          <w:szCs w:val="24"/>
          <w:lang w:val="en-GB" w:eastAsia="en-GB"/>
        </w:rPr>
        <w:t>European Journal of Marketing</w:t>
      </w:r>
      <w:r w:rsidRPr="00764905">
        <w:rPr>
          <w:rFonts w:ascii="Arial" w:eastAsia="Times New Roman" w:hAnsi="Arial" w:cs="Arial"/>
          <w:sz w:val="24"/>
          <w:szCs w:val="24"/>
          <w:lang w:val="en-GB" w:eastAsia="en-GB"/>
        </w:rPr>
        <w:t>, 18(4), pp. 36–44.</w:t>
      </w:r>
      <w:r w:rsidRPr="00764905">
        <w:rPr>
          <w:rFonts w:ascii="Arial" w:eastAsia="Times New Roman" w:hAnsi="Arial" w:cs="Arial"/>
          <w:sz w:val="24"/>
          <w:szCs w:val="24"/>
          <w:lang w:val="en-GB" w:eastAsia="en-GB"/>
        </w:rPr>
        <w:br/>
        <w:t xml:space="preserve">DOI </w:t>
      </w:r>
    </w:p>
    <w:p w14:paraId="0E010119" w14:textId="77777777" w:rsidR="00764905" w:rsidRPr="00764905" w:rsidRDefault="00764905" w:rsidP="00764905">
      <w:pPr>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Grönroos, C. (2007)</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Service Management and Marketing: Customer Management in Service Competition</w:t>
      </w:r>
      <w:r w:rsidRPr="00764905">
        <w:rPr>
          <w:rFonts w:ascii="Arial" w:eastAsia="Times New Roman" w:hAnsi="Arial" w:cs="Arial"/>
          <w:sz w:val="24"/>
          <w:szCs w:val="24"/>
          <w:lang w:val="en-GB" w:eastAsia="en-GB"/>
        </w:rPr>
        <w:t>. 3rd edn. Chichester: Wiley.</w:t>
      </w:r>
      <w:r w:rsidRPr="00764905">
        <w:rPr>
          <w:rFonts w:ascii="Arial" w:eastAsia="Times New Roman" w:hAnsi="Arial" w:cs="Arial"/>
          <w:sz w:val="24"/>
          <w:szCs w:val="24"/>
          <w:lang w:val="en-GB" w:eastAsia="en-GB"/>
        </w:rPr>
        <w:br/>
        <w:t xml:space="preserve">Book/search record </w:t>
      </w:r>
    </w:p>
    <w:p w14:paraId="5793D0C1" w14:textId="77777777" w:rsidR="00764905" w:rsidRPr="00764905" w:rsidRDefault="00764905" w:rsidP="00764905">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Hofstede, G. (1980)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Culture's Consequences: International Differences in Work-Related Values</w:t>
      </w:r>
      <w:r w:rsidRPr="00764905">
        <w:rPr>
          <w:rFonts w:ascii="Arial" w:eastAsia="Times New Roman" w:hAnsi="Arial" w:cs="Arial"/>
          <w:sz w:val="24"/>
          <w:szCs w:val="24"/>
          <w:lang w:val="en-GB" w:eastAsia="en-GB"/>
        </w:rPr>
        <w:t>. Beverly Hills, CA: Sage.</w:t>
      </w:r>
      <w:r w:rsidRPr="00764905">
        <w:rPr>
          <w:rFonts w:ascii="Arial" w:eastAsia="Times New Roman" w:hAnsi="Arial" w:cs="Arial"/>
          <w:sz w:val="24"/>
          <w:szCs w:val="24"/>
          <w:lang w:val="en-GB" w:eastAsia="en-GB"/>
        </w:rPr>
        <w:br/>
        <w:t xml:space="preserve">Book/search record </w:t>
      </w:r>
    </w:p>
    <w:p w14:paraId="5CBC708D" w14:textId="77777777" w:rsidR="00764905" w:rsidRPr="00764905" w:rsidRDefault="00764905" w:rsidP="00764905">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Hofstede, G. (2001)</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Culture's Consequences: Comparing Values, Behaviors, Institutions and Organizations Across Nations</w:t>
      </w:r>
      <w:r w:rsidRPr="00764905">
        <w:rPr>
          <w:rFonts w:ascii="Arial" w:eastAsia="Times New Roman" w:hAnsi="Arial" w:cs="Arial"/>
          <w:sz w:val="24"/>
          <w:szCs w:val="24"/>
          <w:lang w:val="en-GB" w:eastAsia="en-GB"/>
        </w:rPr>
        <w:t>. 2nd edn. Thousand Oaks, CA: Sage.</w:t>
      </w:r>
      <w:r w:rsidRPr="00764905">
        <w:rPr>
          <w:rFonts w:ascii="Arial" w:eastAsia="Times New Roman" w:hAnsi="Arial" w:cs="Arial"/>
          <w:sz w:val="24"/>
          <w:szCs w:val="24"/>
          <w:lang w:val="en-GB" w:eastAsia="en-GB"/>
        </w:rPr>
        <w:br/>
        <w:t xml:space="preserve">Book/search record </w:t>
      </w:r>
    </w:p>
    <w:p w14:paraId="4436B567" w14:textId="77777777" w:rsidR="00764905" w:rsidRPr="00764905" w:rsidRDefault="00764905" w:rsidP="00764905">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Hofstede, G., Hofstede, G.J. and Minkov, M. (2010)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Cultures and Organizations: Software of the Mind</w:t>
      </w:r>
      <w:r w:rsidRPr="00764905">
        <w:rPr>
          <w:rFonts w:ascii="Arial" w:eastAsia="Times New Roman" w:hAnsi="Arial" w:cs="Arial"/>
          <w:sz w:val="24"/>
          <w:szCs w:val="24"/>
          <w:lang w:val="en-GB" w:eastAsia="en-GB"/>
        </w:rPr>
        <w:t>. 3rd edn. New York: McGraw-Hill.</w:t>
      </w:r>
      <w:r w:rsidRPr="00764905">
        <w:rPr>
          <w:rFonts w:ascii="Arial" w:eastAsia="Times New Roman" w:hAnsi="Arial" w:cs="Arial"/>
          <w:sz w:val="24"/>
          <w:szCs w:val="24"/>
          <w:lang w:val="en-GB" w:eastAsia="en-GB"/>
        </w:rPr>
        <w:br/>
        <w:t>Book/search record</w:t>
      </w:r>
    </w:p>
    <w:p w14:paraId="01DA04A4" w14:textId="77777777" w:rsidR="00764905" w:rsidRPr="00764905" w:rsidRDefault="00764905" w:rsidP="00764905">
      <w:pPr>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Jaworski, B.J. and Kohli, A.K. (1993)</w:t>
      </w:r>
      <w:r w:rsidRPr="00764905">
        <w:rPr>
          <w:rFonts w:ascii="Arial" w:eastAsia="Times New Roman" w:hAnsi="Arial" w:cs="Arial"/>
          <w:sz w:val="24"/>
          <w:szCs w:val="24"/>
          <w:lang w:val="en-GB" w:eastAsia="en-GB"/>
        </w:rPr>
        <w:t xml:space="preserve"> ‘Market orientation: Antecedents and consequences’,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57(3), pp. 53–70.</w:t>
      </w:r>
      <w:r w:rsidRPr="00764905">
        <w:rPr>
          <w:rFonts w:ascii="Arial" w:eastAsia="Times New Roman" w:hAnsi="Arial" w:cs="Arial"/>
          <w:sz w:val="24"/>
          <w:szCs w:val="24"/>
          <w:lang w:val="en-GB" w:eastAsia="en-GB"/>
        </w:rPr>
        <w:br/>
      </w:r>
      <w:hyperlink r:id="rId2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23F0C15A" w14:textId="77777777" w:rsidR="00764905" w:rsidRPr="00764905" w:rsidRDefault="00764905" w:rsidP="00764905">
      <w:pPr>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Jiang, Y., Klein, G. and Saunders, C. (2004)</w:t>
      </w:r>
      <w:r w:rsidRPr="00764905">
        <w:rPr>
          <w:rFonts w:ascii="Arial" w:eastAsia="Times New Roman" w:hAnsi="Arial" w:cs="Arial"/>
          <w:sz w:val="24"/>
          <w:szCs w:val="24"/>
          <w:lang w:val="en-GB" w:eastAsia="en-GB"/>
        </w:rPr>
        <w:t xml:space="preserve"> ‘Clustering the diffusion of electronic commerce’, </w:t>
      </w:r>
      <w:r w:rsidRPr="00764905">
        <w:rPr>
          <w:rFonts w:ascii="Arial" w:eastAsia="Times New Roman" w:hAnsi="Arial" w:cs="Arial"/>
          <w:i/>
          <w:iCs/>
          <w:sz w:val="24"/>
          <w:szCs w:val="24"/>
          <w:lang w:val="en-GB" w:eastAsia="en-GB"/>
        </w:rPr>
        <w:t>Communications of the ACM</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t xml:space="preserve">Academic search record </w:t>
      </w:r>
    </w:p>
    <w:p w14:paraId="66364EE5"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Kato, T., Hayami, K., Kasahara, K., Morino, M., Ikuma, Y. and Ikeda, R. (2023)</w:t>
      </w:r>
      <w:r w:rsidRPr="00764905">
        <w:rPr>
          <w:rFonts w:ascii="Arial" w:eastAsia="Times New Roman" w:hAnsi="Arial" w:cs="Arial"/>
          <w:sz w:val="24"/>
          <w:szCs w:val="24"/>
          <w:lang w:val="en-GB" w:eastAsia="en-GB"/>
        </w:rPr>
        <w:t xml:space="preserve"> ‘Environmental vs. labor issues: Evidence of influence on intention to purchase ethical coffee in Japan’, </w:t>
      </w:r>
      <w:r w:rsidRPr="00764905">
        <w:rPr>
          <w:rFonts w:ascii="Arial" w:eastAsia="Times New Roman" w:hAnsi="Arial" w:cs="Arial"/>
          <w:i/>
          <w:iCs/>
          <w:sz w:val="24"/>
          <w:szCs w:val="24"/>
          <w:lang w:val="en-GB" w:eastAsia="en-GB"/>
        </w:rPr>
        <w:t xml:space="preserve">Humanities and Social Sciences </w:t>
      </w:r>
      <w:r w:rsidRPr="00764905">
        <w:rPr>
          <w:rFonts w:ascii="Arial" w:eastAsia="Times New Roman" w:hAnsi="Arial" w:cs="Arial"/>
          <w:i/>
          <w:iCs/>
          <w:sz w:val="24"/>
          <w:szCs w:val="24"/>
          <w:lang w:val="en-GB" w:eastAsia="en-GB"/>
        </w:rPr>
        <w:lastRenderedPageBreak/>
        <w:t>Communications</w:t>
      </w:r>
      <w:r w:rsidRPr="00764905">
        <w:rPr>
          <w:rFonts w:ascii="Arial" w:eastAsia="Times New Roman" w:hAnsi="Arial" w:cs="Arial"/>
          <w:sz w:val="24"/>
          <w:szCs w:val="24"/>
          <w:lang w:val="en-GB" w:eastAsia="en-GB"/>
        </w:rPr>
        <w:t>, 10, 714.</w:t>
      </w:r>
      <w:r w:rsidRPr="00764905">
        <w:rPr>
          <w:rFonts w:ascii="Arial" w:eastAsia="Times New Roman" w:hAnsi="Arial" w:cs="Arial"/>
          <w:sz w:val="24"/>
          <w:szCs w:val="24"/>
          <w:lang w:val="en-GB" w:eastAsia="en-GB"/>
        </w:rPr>
        <w:br/>
      </w:r>
      <w:hyperlink r:id="rId29"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C7D96AF"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Keller, K.L. (1993)</w:t>
      </w:r>
      <w:r w:rsidRPr="00764905">
        <w:rPr>
          <w:rFonts w:ascii="Arial" w:eastAsia="Times New Roman" w:hAnsi="Arial" w:cs="Arial"/>
          <w:sz w:val="24"/>
          <w:szCs w:val="24"/>
          <w:lang w:val="en-GB" w:eastAsia="en-GB"/>
        </w:rPr>
        <w:t xml:space="preserve"> ‘Conceptualizing, measuring, and managing customer-based brand equity’,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57(1), pp. 1–22.</w:t>
      </w:r>
      <w:r w:rsidRPr="00764905">
        <w:rPr>
          <w:rFonts w:ascii="Arial" w:eastAsia="Times New Roman" w:hAnsi="Arial" w:cs="Arial"/>
          <w:sz w:val="24"/>
          <w:szCs w:val="24"/>
          <w:lang w:val="en-GB" w:eastAsia="en-GB"/>
        </w:rPr>
        <w:br/>
      </w:r>
      <w:hyperlink r:id="rId30"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90A9C35"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Keller, K.L. (2013)</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Strategic Brand Management</w:t>
      </w:r>
      <w:r w:rsidRPr="00764905">
        <w:rPr>
          <w:rFonts w:ascii="Arial" w:eastAsia="Times New Roman" w:hAnsi="Arial" w:cs="Arial"/>
          <w:sz w:val="24"/>
          <w:szCs w:val="24"/>
          <w:lang w:val="en-GB" w:eastAsia="en-GB"/>
        </w:rPr>
        <w:t>. 4th edn. Harlow: Pearson.</w:t>
      </w:r>
      <w:r w:rsidRPr="00764905">
        <w:rPr>
          <w:rFonts w:ascii="Arial" w:eastAsia="Times New Roman" w:hAnsi="Arial" w:cs="Arial"/>
          <w:sz w:val="24"/>
          <w:szCs w:val="24"/>
          <w:lang w:val="en-GB" w:eastAsia="en-GB"/>
        </w:rPr>
        <w:br/>
        <w:t xml:space="preserve">Book/search record </w:t>
      </w:r>
    </w:p>
    <w:p w14:paraId="77174E8E" w14:textId="77777777" w:rsidR="00764905" w:rsidRPr="00764905" w:rsidRDefault="00764905" w:rsidP="00764905">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Kohli, A.K. and Jaworski, B.J. (1990)</w:t>
      </w:r>
      <w:r w:rsidRPr="00764905">
        <w:rPr>
          <w:rFonts w:ascii="Arial" w:eastAsia="Times New Roman" w:hAnsi="Arial" w:cs="Arial"/>
          <w:sz w:val="24"/>
          <w:szCs w:val="24"/>
          <w:lang w:val="en-GB" w:eastAsia="en-GB"/>
        </w:rPr>
        <w:t xml:space="preserve"> ‘Market orientation: The construct, research propositions, and managerial implications’,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54(2), pp. 1–18.</w:t>
      </w:r>
      <w:r w:rsidRPr="00764905">
        <w:rPr>
          <w:rFonts w:ascii="Arial" w:eastAsia="Times New Roman" w:hAnsi="Arial" w:cs="Arial"/>
          <w:sz w:val="24"/>
          <w:szCs w:val="24"/>
          <w:lang w:val="en-GB" w:eastAsia="en-GB"/>
        </w:rPr>
        <w:br/>
      </w:r>
      <w:hyperlink r:id="rId31"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542D8B5B" w14:textId="77777777" w:rsidR="00764905" w:rsidRPr="00764905" w:rsidRDefault="00764905" w:rsidP="007649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Levitt, T. (1960)</w:t>
      </w:r>
      <w:r w:rsidRPr="00764905">
        <w:rPr>
          <w:rFonts w:ascii="Arial" w:eastAsia="Times New Roman" w:hAnsi="Arial" w:cs="Arial"/>
          <w:sz w:val="24"/>
          <w:szCs w:val="24"/>
          <w:lang w:val="en-GB" w:eastAsia="en-GB"/>
        </w:rPr>
        <w:t xml:space="preserve"> ‘Marketing myopia’,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38(4), pp. 45–56.</w:t>
      </w:r>
      <w:r w:rsidRPr="00764905">
        <w:rPr>
          <w:rFonts w:ascii="Arial" w:eastAsia="Times New Roman" w:hAnsi="Arial" w:cs="Arial"/>
          <w:sz w:val="24"/>
          <w:szCs w:val="24"/>
          <w:lang w:val="en-GB" w:eastAsia="en-GB"/>
        </w:rPr>
        <w:br/>
        <w:t xml:space="preserve">Harvard Business Review search </w:t>
      </w:r>
    </w:p>
    <w:p w14:paraId="7247FFF1" w14:textId="77777777" w:rsidR="00764905" w:rsidRPr="00764905" w:rsidRDefault="00764905" w:rsidP="00764905">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Lovelock, C. and Wirtz, J. (2016)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Services Marketing: People, Technology, Strategy</w:t>
      </w:r>
      <w:r w:rsidRPr="00764905">
        <w:rPr>
          <w:rFonts w:ascii="Arial" w:eastAsia="Times New Roman" w:hAnsi="Arial" w:cs="Arial"/>
          <w:sz w:val="24"/>
          <w:szCs w:val="24"/>
          <w:lang w:val="en-GB" w:eastAsia="en-GB"/>
        </w:rPr>
        <w:t>. 8th edn. Singapore: World Scientific.</w:t>
      </w:r>
      <w:r w:rsidRPr="00764905">
        <w:rPr>
          <w:rFonts w:ascii="Arial" w:eastAsia="Times New Roman" w:hAnsi="Arial" w:cs="Arial"/>
          <w:sz w:val="24"/>
          <w:szCs w:val="24"/>
          <w:lang w:val="en-GB" w:eastAsia="en-GB"/>
        </w:rPr>
        <w:br/>
        <w:t xml:space="preserve">Book/search record </w:t>
      </w:r>
    </w:p>
    <w:p w14:paraId="4F32B13E"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MacInnis, D.J., Park, C.W. and Priester, J. (eds) (2009)</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Handbook of Brand Relationships</w:t>
      </w:r>
      <w:r w:rsidRPr="00764905">
        <w:rPr>
          <w:rFonts w:ascii="Arial" w:eastAsia="Times New Roman" w:hAnsi="Arial" w:cs="Arial"/>
          <w:sz w:val="24"/>
          <w:szCs w:val="24"/>
          <w:lang w:val="en-GB" w:eastAsia="en-GB"/>
        </w:rPr>
        <w:t>. Armonk, NY: M.E. Sharpe.</w:t>
      </w:r>
      <w:r w:rsidRPr="00764905">
        <w:rPr>
          <w:rFonts w:ascii="Arial" w:eastAsia="Times New Roman" w:hAnsi="Arial" w:cs="Arial"/>
          <w:sz w:val="24"/>
          <w:szCs w:val="24"/>
          <w:lang w:val="en-GB" w:eastAsia="en-GB"/>
        </w:rPr>
        <w:br/>
        <w:t xml:space="preserve">Book/search record </w:t>
      </w:r>
    </w:p>
    <w:p w14:paraId="66C6788E"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Magretta, J. (2002)</w:t>
      </w:r>
      <w:r w:rsidRPr="00764905">
        <w:rPr>
          <w:rFonts w:ascii="Arial" w:eastAsia="Times New Roman" w:hAnsi="Arial" w:cs="Arial"/>
          <w:sz w:val="24"/>
          <w:szCs w:val="24"/>
          <w:lang w:val="en-GB" w:eastAsia="en-GB"/>
        </w:rPr>
        <w:t xml:space="preserve"> ‘Why business models matter’,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80(5), pp. 86–92.</w:t>
      </w:r>
      <w:r w:rsidRPr="00764905">
        <w:rPr>
          <w:rFonts w:ascii="Arial" w:eastAsia="Times New Roman" w:hAnsi="Arial" w:cs="Arial"/>
          <w:sz w:val="24"/>
          <w:szCs w:val="24"/>
          <w:lang w:val="en-GB" w:eastAsia="en-GB"/>
        </w:rPr>
        <w:br/>
        <w:t xml:space="preserve">Harvard Business Review search </w:t>
      </w:r>
    </w:p>
    <w:p w14:paraId="670BC20A"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McCarthy, E.J. (1960)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Basic Marketing: A Managerial Approach</w:t>
      </w:r>
      <w:r w:rsidRPr="00764905">
        <w:rPr>
          <w:rFonts w:ascii="Arial" w:eastAsia="Times New Roman" w:hAnsi="Arial" w:cs="Arial"/>
          <w:sz w:val="24"/>
          <w:szCs w:val="24"/>
          <w:lang w:val="en-GB" w:eastAsia="en-GB"/>
        </w:rPr>
        <w:t>. Homewood, IL: Richard D. Irwin.</w:t>
      </w:r>
      <w:r w:rsidRPr="00764905">
        <w:rPr>
          <w:rFonts w:ascii="Arial" w:eastAsia="Times New Roman" w:hAnsi="Arial" w:cs="Arial"/>
          <w:sz w:val="24"/>
          <w:szCs w:val="24"/>
          <w:lang w:val="en-GB" w:eastAsia="en-GB"/>
        </w:rPr>
        <w:br/>
        <w:t xml:space="preserve">Book/search record </w:t>
      </w:r>
    </w:p>
    <w:p w14:paraId="491FED66" w14:textId="77777777" w:rsidR="00764905" w:rsidRPr="00764905" w:rsidRDefault="00764905" w:rsidP="00764905">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Morgan, R.M. and Hunt, S.D. (1994)</w:t>
      </w:r>
      <w:r w:rsidRPr="00764905">
        <w:rPr>
          <w:rFonts w:ascii="Arial" w:eastAsia="Times New Roman" w:hAnsi="Arial" w:cs="Arial"/>
          <w:sz w:val="24"/>
          <w:szCs w:val="24"/>
          <w:lang w:val="en-GB" w:eastAsia="en-GB"/>
        </w:rPr>
        <w:t xml:space="preserve"> ‘The commitment-trust theory of relationship marketing’,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58(3), pp. 20–38.</w:t>
      </w:r>
      <w:r w:rsidRPr="00764905">
        <w:rPr>
          <w:rFonts w:ascii="Arial" w:eastAsia="Times New Roman" w:hAnsi="Arial" w:cs="Arial"/>
          <w:sz w:val="24"/>
          <w:szCs w:val="24"/>
          <w:lang w:val="en-GB" w:eastAsia="en-GB"/>
        </w:rPr>
        <w:br/>
      </w:r>
      <w:hyperlink r:id="rId32"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8E32DE1" w14:textId="77777777" w:rsidR="00764905" w:rsidRPr="00764905" w:rsidRDefault="00764905" w:rsidP="00764905">
      <w:pPr>
        <w:numPr>
          <w:ilvl w:val="0"/>
          <w:numId w:val="1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Narver, J.C. and Slater, S.F. (1990)</w:t>
      </w:r>
      <w:r w:rsidRPr="00764905">
        <w:rPr>
          <w:rFonts w:ascii="Arial" w:eastAsia="Times New Roman" w:hAnsi="Arial" w:cs="Arial"/>
          <w:sz w:val="24"/>
          <w:szCs w:val="24"/>
          <w:lang w:val="en-GB" w:eastAsia="en-GB"/>
        </w:rPr>
        <w:t xml:space="preserve"> ‘The effect of a market orientation on business profitability’,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54(4), pp. 20–35.</w:t>
      </w:r>
      <w:r w:rsidRPr="00764905">
        <w:rPr>
          <w:rFonts w:ascii="Arial" w:eastAsia="Times New Roman" w:hAnsi="Arial" w:cs="Arial"/>
          <w:sz w:val="24"/>
          <w:szCs w:val="24"/>
          <w:lang w:val="en-GB" w:eastAsia="en-GB"/>
        </w:rPr>
        <w:br/>
      </w:r>
      <w:hyperlink r:id="rId33"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E640A0B" w14:textId="77777777" w:rsidR="00764905" w:rsidRPr="00764905" w:rsidRDefault="00764905" w:rsidP="00764905">
      <w:pPr>
        <w:numPr>
          <w:ilvl w:val="0"/>
          <w:numId w:val="18"/>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Nidumolu, R., Prahalad, C.K. and Rangaswami, M.R. (2009)</w:t>
      </w:r>
      <w:r w:rsidRPr="00764905">
        <w:rPr>
          <w:rFonts w:ascii="Arial" w:eastAsia="Times New Roman" w:hAnsi="Arial" w:cs="Arial"/>
          <w:sz w:val="24"/>
          <w:szCs w:val="24"/>
          <w:lang w:val="en-GB" w:eastAsia="en-GB"/>
        </w:rPr>
        <w:t xml:space="preserve"> ‘Why sustainability is now the key driver of innovation’,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87(9), pp. 56–64.</w:t>
      </w:r>
      <w:r w:rsidRPr="00764905">
        <w:rPr>
          <w:rFonts w:ascii="Arial" w:eastAsia="Times New Roman" w:hAnsi="Arial" w:cs="Arial"/>
          <w:sz w:val="24"/>
          <w:szCs w:val="24"/>
          <w:lang w:val="en-GB" w:eastAsia="en-GB"/>
        </w:rPr>
        <w:br/>
        <w:t xml:space="preserve">Harvard Business Review search </w:t>
      </w:r>
    </w:p>
    <w:p w14:paraId="0EE24B20"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Osterwalder, A., Pigneur, Y. and Tucci, C.L. (2005)</w:t>
      </w:r>
      <w:r w:rsidRPr="00764905">
        <w:rPr>
          <w:rFonts w:ascii="Arial" w:eastAsia="Times New Roman" w:hAnsi="Arial" w:cs="Arial"/>
          <w:sz w:val="24"/>
          <w:szCs w:val="24"/>
          <w:lang w:val="en-GB" w:eastAsia="en-GB"/>
        </w:rPr>
        <w:t xml:space="preserve"> ‘Clarifying business models: Origins, present, and future of the concept’, </w:t>
      </w:r>
      <w:r w:rsidRPr="00764905">
        <w:rPr>
          <w:rFonts w:ascii="Arial" w:eastAsia="Times New Roman" w:hAnsi="Arial" w:cs="Arial"/>
          <w:i/>
          <w:iCs/>
          <w:sz w:val="24"/>
          <w:szCs w:val="24"/>
          <w:lang w:val="en-GB" w:eastAsia="en-GB"/>
        </w:rPr>
        <w:t>Communications of the Association for Information Systems</w:t>
      </w:r>
      <w:r w:rsidRPr="00764905">
        <w:rPr>
          <w:rFonts w:ascii="Arial" w:eastAsia="Times New Roman" w:hAnsi="Arial" w:cs="Arial"/>
          <w:sz w:val="24"/>
          <w:szCs w:val="24"/>
          <w:lang w:val="en-GB" w:eastAsia="en-GB"/>
        </w:rPr>
        <w:t>, 16, pp. 1–25.</w:t>
      </w:r>
      <w:r w:rsidRPr="00764905">
        <w:rPr>
          <w:rFonts w:ascii="Arial" w:eastAsia="Times New Roman" w:hAnsi="Arial" w:cs="Arial"/>
          <w:sz w:val="24"/>
          <w:szCs w:val="24"/>
          <w:lang w:val="en-GB" w:eastAsia="en-GB"/>
        </w:rPr>
        <w:br/>
        <w:t xml:space="preserve">DOI </w:t>
      </w:r>
    </w:p>
    <w:p w14:paraId="1A68B94F"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Osterwalder, A. and Pigneur, Y. (2010)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Business Model Generation</w:t>
      </w:r>
      <w:r w:rsidRPr="00764905">
        <w:rPr>
          <w:rFonts w:ascii="Arial" w:eastAsia="Times New Roman" w:hAnsi="Arial" w:cs="Arial"/>
          <w:sz w:val="24"/>
          <w:szCs w:val="24"/>
          <w:lang w:val="en-GB" w:eastAsia="en-GB"/>
        </w:rPr>
        <w:t>. Hoboken, NJ: Wiley.</w:t>
      </w:r>
      <w:r w:rsidRPr="00764905">
        <w:rPr>
          <w:rFonts w:ascii="Arial" w:eastAsia="Times New Roman" w:hAnsi="Arial" w:cs="Arial"/>
          <w:sz w:val="24"/>
          <w:szCs w:val="24"/>
          <w:lang w:val="en-GB" w:eastAsia="en-GB"/>
        </w:rPr>
        <w:br/>
        <w:t xml:space="preserve">Book/search record </w:t>
      </w:r>
    </w:p>
    <w:p w14:paraId="3E99C565"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Osterwalder, A., Pigneur, Y., Bernarda, G. and Smith, A. (2014)</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Value Proposition Design</w:t>
      </w:r>
      <w:r w:rsidRPr="00764905">
        <w:rPr>
          <w:rFonts w:ascii="Arial" w:eastAsia="Times New Roman" w:hAnsi="Arial" w:cs="Arial"/>
          <w:sz w:val="24"/>
          <w:szCs w:val="24"/>
          <w:lang w:val="en-GB" w:eastAsia="en-GB"/>
        </w:rPr>
        <w:t>. Hoboken, NJ: Wiley.</w:t>
      </w:r>
      <w:r w:rsidRPr="00764905">
        <w:rPr>
          <w:rFonts w:ascii="Arial" w:eastAsia="Times New Roman" w:hAnsi="Arial" w:cs="Arial"/>
          <w:sz w:val="24"/>
          <w:szCs w:val="24"/>
          <w:lang w:val="en-GB" w:eastAsia="en-GB"/>
        </w:rPr>
        <w:br/>
        <w:t xml:space="preserve">Book/search record </w:t>
      </w:r>
    </w:p>
    <w:p w14:paraId="2C368849" w14:textId="77777777" w:rsidR="00764905" w:rsidRPr="00764905" w:rsidRDefault="00764905" w:rsidP="00764905">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Ottman, J.A., Stafford, E.R. and Hartman, C.L. (2006)</w:t>
      </w:r>
      <w:r w:rsidRPr="00764905">
        <w:rPr>
          <w:rFonts w:ascii="Arial" w:eastAsia="Times New Roman" w:hAnsi="Arial" w:cs="Arial"/>
          <w:sz w:val="24"/>
          <w:szCs w:val="24"/>
          <w:lang w:val="en-GB" w:eastAsia="en-GB"/>
        </w:rPr>
        <w:t xml:space="preserve"> ‘Avoiding green marketing myopia’, </w:t>
      </w:r>
      <w:r w:rsidRPr="00764905">
        <w:rPr>
          <w:rFonts w:ascii="Arial" w:eastAsia="Times New Roman" w:hAnsi="Arial" w:cs="Arial"/>
          <w:i/>
          <w:iCs/>
          <w:sz w:val="24"/>
          <w:szCs w:val="24"/>
          <w:lang w:val="en-GB" w:eastAsia="en-GB"/>
        </w:rPr>
        <w:t>Environment</w:t>
      </w:r>
      <w:r w:rsidRPr="00764905">
        <w:rPr>
          <w:rFonts w:ascii="Arial" w:eastAsia="Times New Roman" w:hAnsi="Arial" w:cs="Arial"/>
          <w:sz w:val="24"/>
          <w:szCs w:val="24"/>
          <w:lang w:val="en-GB" w:eastAsia="en-GB"/>
        </w:rPr>
        <w:t>, 48(5), pp. 22–36.</w:t>
      </w:r>
      <w:r w:rsidRPr="00764905">
        <w:rPr>
          <w:rFonts w:ascii="Arial" w:eastAsia="Times New Roman" w:hAnsi="Arial" w:cs="Arial"/>
          <w:sz w:val="24"/>
          <w:szCs w:val="24"/>
          <w:lang w:val="en-GB" w:eastAsia="en-GB"/>
        </w:rPr>
        <w:br/>
      </w:r>
      <w:hyperlink r:id="rId34"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3173522"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Parasuraman, A., Zeithaml, V.A. and Berry, L.L. (1988)</w:t>
      </w:r>
      <w:r w:rsidRPr="00764905">
        <w:rPr>
          <w:rFonts w:ascii="Arial" w:eastAsia="Times New Roman" w:hAnsi="Arial" w:cs="Arial"/>
          <w:sz w:val="24"/>
          <w:szCs w:val="24"/>
          <w:lang w:val="en-GB" w:eastAsia="en-GB"/>
        </w:rPr>
        <w:t xml:space="preserve"> ‘SERVQUAL: A multiple-item scale for measuring consumer perceptions of service quality’, </w:t>
      </w:r>
      <w:r w:rsidRPr="00764905">
        <w:rPr>
          <w:rFonts w:ascii="Arial" w:eastAsia="Times New Roman" w:hAnsi="Arial" w:cs="Arial"/>
          <w:i/>
          <w:iCs/>
          <w:sz w:val="24"/>
          <w:szCs w:val="24"/>
          <w:lang w:val="en-GB" w:eastAsia="en-GB"/>
        </w:rPr>
        <w:t>Journal of Retailing</w:t>
      </w:r>
      <w:r w:rsidRPr="00764905">
        <w:rPr>
          <w:rFonts w:ascii="Arial" w:eastAsia="Times New Roman" w:hAnsi="Arial" w:cs="Arial"/>
          <w:sz w:val="24"/>
          <w:szCs w:val="24"/>
          <w:lang w:val="en-GB" w:eastAsia="en-GB"/>
        </w:rPr>
        <w:t>, 64(1), pp. 12–40.</w:t>
      </w:r>
      <w:r w:rsidRPr="00764905">
        <w:rPr>
          <w:rFonts w:ascii="Arial" w:eastAsia="Times New Roman" w:hAnsi="Arial" w:cs="Arial"/>
          <w:sz w:val="24"/>
          <w:szCs w:val="24"/>
          <w:lang w:val="en-GB" w:eastAsia="en-GB"/>
        </w:rPr>
        <w:br/>
        <w:t xml:space="preserve">Academic search record </w:t>
      </w:r>
    </w:p>
    <w:p w14:paraId="6C5E204E"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Payne, A., Frow, P. and Eggert, A. (2017)</w:t>
      </w:r>
      <w:r w:rsidRPr="00764905">
        <w:rPr>
          <w:rFonts w:ascii="Arial" w:eastAsia="Times New Roman" w:hAnsi="Arial" w:cs="Arial"/>
          <w:sz w:val="24"/>
          <w:szCs w:val="24"/>
          <w:lang w:val="en-GB" w:eastAsia="en-GB"/>
        </w:rPr>
        <w:t xml:space="preserve"> ‘The customer value proposition: Evolution, development, and application in marketing’, </w:t>
      </w:r>
      <w:r w:rsidRPr="00764905">
        <w:rPr>
          <w:rFonts w:ascii="Arial" w:eastAsia="Times New Roman" w:hAnsi="Arial" w:cs="Arial"/>
          <w:i/>
          <w:iCs/>
          <w:sz w:val="24"/>
          <w:szCs w:val="24"/>
          <w:lang w:val="en-GB" w:eastAsia="en-GB"/>
        </w:rPr>
        <w:t>Journal of the Academy of Marketing Science</w:t>
      </w:r>
      <w:r w:rsidRPr="00764905">
        <w:rPr>
          <w:rFonts w:ascii="Arial" w:eastAsia="Times New Roman" w:hAnsi="Arial" w:cs="Arial"/>
          <w:sz w:val="24"/>
          <w:szCs w:val="24"/>
          <w:lang w:val="en-GB" w:eastAsia="en-GB"/>
        </w:rPr>
        <w:t>, 45, pp. 467–489.</w:t>
      </w:r>
      <w:r w:rsidRPr="00764905">
        <w:rPr>
          <w:rFonts w:ascii="Arial" w:eastAsia="Times New Roman" w:hAnsi="Arial" w:cs="Arial"/>
          <w:sz w:val="24"/>
          <w:szCs w:val="24"/>
          <w:lang w:val="en-GB" w:eastAsia="en-GB"/>
        </w:rPr>
        <w:br/>
      </w:r>
      <w:hyperlink r:id="rId35"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20A510F"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Peattie, K. and Crane, A. (2005)</w:t>
      </w:r>
      <w:r w:rsidRPr="00764905">
        <w:rPr>
          <w:rFonts w:ascii="Arial" w:eastAsia="Times New Roman" w:hAnsi="Arial" w:cs="Arial"/>
          <w:sz w:val="24"/>
          <w:szCs w:val="24"/>
          <w:lang w:val="en-GB" w:eastAsia="en-GB"/>
        </w:rPr>
        <w:t xml:space="preserve"> ‘Green marketing: Legend, myth, farce or prophesy?’, </w:t>
      </w:r>
      <w:r w:rsidRPr="00764905">
        <w:rPr>
          <w:rFonts w:ascii="Arial" w:eastAsia="Times New Roman" w:hAnsi="Arial" w:cs="Arial"/>
          <w:i/>
          <w:iCs/>
          <w:sz w:val="24"/>
          <w:szCs w:val="24"/>
          <w:lang w:val="en-GB" w:eastAsia="en-GB"/>
        </w:rPr>
        <w:t>Qualitative Market Research</w:t>
      </w:r>
      <w:r w:rsidRPr="00764905">
        <w:rPr>
          <w:rFonts w:ascii="Arial" w:eastAsia="Times New Roman" w:hAnsi="Arial" w:cs="Arial"/>
          <w:sz w:val="24"/>
          <w:szCs w:val="24"/>
          <w:lang w:val="en-GB" w:eastAsia="en-GB"/>
        </w:rPr>
        <w:t>, 8(4), pp. 357–370.</w:t>
      </w:r>
      <w:r w:rsidRPr="00764905">
        <w:rPr>
          <w:rFonts w:ascii="Arial" w:eastAsia="Times New Roman" w:hAnsi="Arial" w:cs="Arial"/>
          <w:sz w:val="24"/>
          <w:szCs w:val="24"/>
          <w:lang w:val="en-GB" w:eastAsia="en-GB"/>
        </w:rPr>
        <w:br/>
      </w:r>
      <w:hyperlink r:id="rId36"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10D4AF0D"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Penrose, E.T. (1959)</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The Theory of the Growth of the Firm</w:t>
      </w:r>
      <w:r w:rsidRPr="00764905">
        <w:rPr>
          <w:rFonts w:ascii="Arial" w:eastAsia="Times New Roman" w:hAnsi="Arial" w:cs="Arial"/>
          <w:sz w:val="24"/>
          <w:szCs w:val="24"/>
          <w:lang w:val="en-GB" w:eastAsia="en-GB"/>
        </w:rPr>
        <w:t>. Oxford: Basil Blackwell.</w:t>
      </w:r>
      <w:r w:rsidRPr="00764905">
        <w:rPr>
          <w:rFonts w:ascii="Arial" w:eastAsia="Times New Roman" w:hAnsi="Arial" w:cs="Arial"/>
          <w:sz w:val="24"/>
          <w:szCs w:val="24"/>
          <w:lang w:val="en-GB" w:eastAsia="en-GB"/>
        </w:rPr>
        <w:br/>
        <w:t xml:space="preserve">Book/search record </w:t>
      </w:r>
    </w:p>
    <w:p w14:paraId="4A4C5047"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Pine, B.J. and Gilmore, J.H. (1998)</w:t>
      </w:r>
      <w:r w:rsidRPr="00764905">
        <w:rPr>
          <w:rFonts w:ascii="Arial" w:eastAsia="Times New Roman" w:hAnsi="Arial" w:cs="Arial"/>
          <w:sz w:val="24"/>
          <w:szCs w:val="24"/>
          <w:lang w:val="en-GB" w:eastAsia="en-GB"/>
        </w:rPr>
        <w:t xml:space="preserve"> ‘Welcome to the experience economy’,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76(4), pp. 97–105.</w:t>
      </w:r>
      <w:r w:rsidRPr="00764905">
        <w:rPr>
          <w:rFonts w:ascii="Arial" w:eastAsia="Times New Roman" w:hAnsi="Arial" w:cs="Arial"/>
          <w:sz w:val="24"/>
          <w:szCs w:val="24"/>
          <w:lang w:val="en-GB" w:eastAsia="en-GB"/>
        </w:rPr>
        <w:br/>
        <w:t xml:space="preserve">Harvard Business Review search </w:t>
      </w:r>
    </w:p>
    <w:p w14:paraId="6CB0835D"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Polonsky, M.J. (1995)</w:t>
      </w:r>
      <w:r w:rsidRPr="00764905">
        <w:rPr>
          <w:rFonts w:ascii="Arial" w:eastAsia="Times New Roman" w:hAnsi="Arial" w:cs="Arial"/>
          <w:sz w:val="24"/>
          <w:szCs w:val="24"/>
          <w:lang w:val="en-GB" w:eastAsia="en-GB"/>
        </w:rPr>
        <w:t xml:space="preserve"> ‘A stakeholder theory approach to designing environmental marketing strategy’, </w:t>
      </w:r>
      <w:r w:rsidRPr="00764905">
        <w:rPr>
          <w:rFonts w:ascii="Arial" w:eastAsia="Times New Roman" w:hAnsi="Arial" w:cs="Arial"/>
          <w:i/>
          <w:iCs/>
          <w:sz w:val="24"/>
          <w:szCs w:val="24"/>
          <w:lang w:val="en-GB" w:eastAsia="en-GB"/>
        </w:rPr>
        <w:t>Journal of Business &amp; Industrial Marketing</w:t>
      </w:r>
      <w:r w:rsidRPr="00764905">
        <w:rPr>
          <w:rFonts w:ascii="Arial" w:eastAsia="Times New Roman" w:hAnsi="Arial" w:cs="Arial"/>
          <w:sz w:val="24"/>
          <w:szCs w:val="24"/>
          <w:lang w:val="en-GB" w:eastAsia="en-GB"/>
        </w:rPr>
        <w:t>, 10(3), pp. 29–46.</w:t>
      </w:r>
      <w:r w:rsidRPr="00764905">
        <w:rPr>
          <w:rFonts w:ascii="Arial" w:eastAsia="Times New Roman" w:hAnsi="Arial" w:cs="Arial"/>
          <w:sz w:val="24"/>
          <w:szCs w:val="24"/>
          <w:lang w:val="en-GB" w:eastAsia="en-GB"/>
        </w:rPr>
        <w:br/>
        <w:t xml:space="preserve">DOI </w:t>
      </w:r>
    </w:p>
    <w:p w14:paraId="4AAC833E"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(1980)</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Competitive Strategy: Techniques for Analysing Industries and Competitors</w:t>
      </w:r>
      <w:r w:rsidRPr="00764905">
        <w:rPr>
          <w:rFonts w:ascii="Arial" w:eastAsia="Times New Roman" w:hAnsi="Arial" w:cs="Arial"/>
          <w:sz w:val="24"/>
          <w:szCs w:val="24"/>
          <w:lang w:val="en-GB" w:eastAsia="en-GB"/>
        </w:rPr>
        <w:t>. New York: Free Press.</w:t>
      </w:r>
      <w:r w:rsidRPr="00764905">
        <w:rPr>
          <w:rFonts w:ascii="Arial" w:eastAsia="Times New Roman" w:hAnsi="Arial" w:cs="Arial"/>
          <w:sz w:val="24"/>
          <w:szCs w:val="24"/>
          <w:lang w:val="en-GB" w:eastAsia="en-GB"/>
        </w:rPr>
        <w:br/>
        <w:t xml:space="preserve">Book/search record </w:t>
      </w:r>
    </w:p>
    <w:p w14:paraId="5733B01F"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(1985)</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Competitive Advantage: Creating and Sustaining Superior Performance</w:t>
      </w:r>
      <w:r w:rsidRPr="00764905">
        <w:rPr>
          <w:rFonts w:ascii="Arial" w:eastAsia="Times New Roman" w:hAnsi="Arial" w:cs="Arial"/>
          <w:sz w:val="24"/>
          <w:szCs w:val="24"/>
          <w:lang w:val="en-GB" w:eastAsia="en-GB"/>
        </w:rPr>
        <w:t>. New York: Free Press.</w:t>
      </w:r>
      <w:r w:rsidRPr="00764905">
        <w:rPr>
          <w:rFonts w:ascii="Arial" w:eastAsia="Times New Roman" w:hAnsi="Arial" w:cs="Arial"/>
          <w:sz w:val="24"/>
          <w:szCs w:val="24"/>
          <w:lang w:val="en-GB" w:eastAsia="en-GB"/>
        </w:rPr>
        <w:br/>
        <w:t xml:space="preserve">Book/search record </w:t>
      </w:r>
    </w:p>
    <w:p w14:paraId="74F883DA"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(1996)</w:t>
      </w:r>
      <w:r w:rsidRPr="00764905">
        <w:rPr>
          <w:rFonts w:ascii="Arial" w:eastAsia="Times New Roman" w:hAnsi="Arial" w:cs="Arial"/>
          <w:sz w:val="24"/>
          <w:szCs w:val="24"/>
          <w:lang w:val="en-GB" w:eastAsia="en-GB"/>
        </w:rPr>
        <w:t xml:space="preserve"> ‘What is strategy?’,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74(6), pp. 61–78.</w:t>
      </w:r>
      <w:r w:rsidRPr="00764905">
        <w:rPr>
          <w:rFonts w:ascii="Arial" w:eastAsia="Times New Roman" w:hAnsi="Arial" w:cs="Arial"/>
          <w:sz w:val="24"/>
          <w:szCs w:val="24"/>
          <w:lang w:val="en-GB" w:eastAsia="en-GB"/>
        </w:rPr>
        <w:br/>
        <w:t xml:space="preserve">Harvard Business Review search </w:t>
      </w:r>
    </w:p>
    <w:p w14:paraId="7CE7464A"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(2008)</w:t>
      </w:r>
      <w:r w:rsidRPr="00764905">
        <w:rPr>
          <w:rFonts w:ascii="Arial" w:eastAsia="Times New Roman" w:hAnsi="Arial" w:cs="Arial"/>
          <w:sz w:val="24"/>
          <w:szCs w:val="24"/>
          <w:lang w:val="en-GB" w:eastAsia="en-GB"/>
        </w:rPr>
        <w:t xml:space="preserve"> ‘The five competitive forces that shape strategy’,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86(1), pp. 78–93.</w:t>
      </w:r>
      <w:r w:rsidRPr="00764905">
        <w:rPr>
          <w:rFonts w:ascii="Arial" w:eastAsia="Times New Roman" w:hAnsi="Arial" w:cs="Arial"/>
          <w:sz w:val="24"/>
          <w:szCs w:val="24"/>
          <w:lang w:val="en-GB" w:eastAsia="en-GB"/>
        </w:rPr>
        <w:br/>
      </w:r>
      <w:hyperlink r:id="rId37" w:tgtFrame="_blank" w:history="1">
        <w:r w:rsidRPr="00764905">
          <w:rPr>
            <w:rFonts w:ascii="Arial" w:eastAsia="Times New Roman" w:hAnsi="Arial" w:cs="Arial"/>
            <w:color w:val="0000FF"/>
            <w:sz w:val="24"/>
            <w:szCs w:val="24"/>
            <w:u w:val="single"/>
            <w:lang w:val="en-GB" w:eastAsia="en-GB"/>
          </w:rPr>
          <w:t>Harvard Business Review</w:t>
        </w:r>
      </w:hyperlink>
      <w:r w:rsidRPr="00764905">
        <w:rPr>
          <w:rFonts w:ascii="Arial" w:eastAsia="Times New Roman" w:hAnsi="Arial" w:cs="Arial"/>
          <w:sz w:val="24"/>
          <w:szCs w:val="24"/>
          <w:lang w:val="en-GB" w:eastAsia="en-GB"/>
        </w:rPr>
        <w:t xml:space="preserve"> </w:t>
      </w:r>
    </w:p>
    <w:p w14:paraId="4F808E13"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and Kramer, M.R. (2011)</w:t>
      </w:r>
      <w:r w:rsidRPr="00764905">
        <w:rPr>
          <w:rFonts w:ascii="Arial" w:eastAsia="Times New Roman" w:hAnsi="Arial" w:cs="Arial"/>
          <w:sz w:val="24"/>
          <w:szCs w:val="24"/>
          <w:lang w:val="en-GB" w:eastAsia="en-GB"/>
        </w:rPr>
        <w:t xml:space="preserve"> ‘Creating shared value’,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89(1–2), pp. 62–77.</w:t>
      </w:r>
      <w:r w:rsidRPr="00764905">
        <w:rPr>
          <w:rFonts w:ascii="Arial" w:eastAsia="Times New Roman" w:hAnsi="Arial" w:cs="Arial"/>
          <w:sz w:val="24"/>
          <w:szCs w:val="24"/>
          <w:lang w:val="en-GB" w:eastAsia="en-GB"/>
        </w:rPr>
        <w:br/>
        <w:t xml:space="preserve">Harvard Business Review search </w:t>
      </w:r>
    </w:p>
    <w:p w14:paraId="11D75F39" w14:textId="77777777" w:rsidR="00764905" w:rsidRPr="00764905" w:rsidRDefault="00764905" w:rsidP="00764905">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Porter, M.E. and van der Linde, C. (1995)</w:t>
      </w:r>
      <w:r w:rsidRPr="00764905">
        <w:rPr>
          <w:rFonts w:ascii="Arial" w:eastAsia="Times New Roman" w:hAnsi="Arial" w:cs="Arial"/>
          <w:sz w:val="24"/>
          <w:szCs w:val="24"/>
          <w:lang w:val="en-GB" w:eastAsia="en-GB"/>
        </w:rPr>
        <w:t xml:space="preserve"> ‘Green and competitive: Ending the stalemate’,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73(5), pp. 120–134.</w:t>
      </w:r>
      <w:r w:rsidRPr="00764905">
        <w:rPr>
          <w:rFonts w:ascii="Arial" w:eastAsia="Times New Roman" w:hAnsi="Arial" w:cs="Arial"/>
          <w:sz w:val="24"/>
          <w:szCs w:val="24"/>
          <w:lang w:val="en-GB" w:eastAsia="en-GB"/>
        </w:rPr>
        <w:br/>
        <w:t xml:space="preserve">Harvard Business Review search </w:t>
      </w:r>
    </w:p>
    <w:p w14:paraId="0E6CCBE7" w14:textId="77777777" w:rsidR="00764905" w:rsidRPr="00764905" w:rsidRDefault="00764905" w:rsidP="00764905">
      <w:pPr>
        <w:numPr>
          <w:ilvl w:val="0"/>
          <w:numId w:val="2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Razzak, M.R. (2023)</w:t>
      </w:r>
      <w:r w:rsidRPr="00764905">
        <w:rPr>
          <w:rFonts w:ascii="Arial" w:eastAsia="Times New Roman" w:hAnsi="Arial" w:cs="Arial"/>
          <w:sz w:val="24"/>
          <w:szCs w:val="24"/>
          <w:lang w:val="en-GB" w:eastAsia="en-GB"/>
        </w:rPr>
        <w:t xml:space="preserve"> ‘Mediating effect of productivity between sustainable supply chain management practices and competitive advantage’, </w:t>
      </w:r>
      <w:r w:rsidRPr="00764905">
        <w:rPr>
          <w:rFonts w:ascii="Arial" w:eastAsia="Times New Roman" w:hAnsi="Arial" w:cs="Arial"/>
          <w:i/>
          <w:iCs/>
          <w:sz w:val="24"/>
          <w:szCs w:val="24"/>
          <w:lang w:val="en-GB" w:eastAsia="en-GB"/>
        </w:rPr>
        <w:t>Management of Environmental Quality</w:t>
      </w:r>
      <w:r w:rsidRPr="00764905">
        <w:rPr>
          <w:rFonts w:ascii="Arial" w:eastAsia="Times New Roman" w:hAnsi="Arial" w:cs="Arial"/>
          <w:sz w:val="24"/>
          <w:szCs w:val="24"/>
          <w:lang w:val="en-GB" w:eastAsia="en-GB"/>
        </w:rPr>
        <w:t>, 34(2), pp. 428–445.</w:t>
      </w:r>
      <w:r w:rsidRPr="00764905">
        <w:rPr>
          <w:rFonts w:ascii="Arial" w:eastAsia="Times New Roman" w:hAnsi="Arial" w:cs="Arial"/>
          <w:sz w:val="24"/>
          <w:szCs w:val="24"/>
          <w:lang w:val="en-GB" w:eastAsia="en-GB"/>
        </w:rPr>
        <w:br/>
      </w:r>
      <w:hyperlink r:id="rId3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ED70740" w14:textId="77777777" w:rsidR="00764905" w:rsidRPr="00764905" w:rsidRDefault="00764905" w:rsidP="00764905">
      <w:pPr>
        <w:numPr>
          <w:ilvl w:val="0"/>
          <w:numId w:val="21"/>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Reichheld, F.F. and Sasser, W.E. (1990)</w:t>
      </w:r>
      <w:r w:rsidRPr="00764905">
        <w:rPr>
          <w:rFonts w:ascii="Arial" w:eastAsia="Times New Roman" w:hAnsi="Arial" w:cs="Arial"/>
          <w:sz w:val="24"/>
          <w:szCs w:val="24"/>
          <w:lang w:val="en-GB" w:eastAsia="en-GB"/>
        </w:rPr>
        <w:t xml:space="preserve"> ‘Zero defections: Quality comes to services’, </w:t>
      </w:r>
      <w:r w:rsidRPr="00764905">
        <w:rPr>
          <w:rFonts w:ascii="Arial" w:eastAsia="Times New Roman" w:hAnsi="Arial" w:cs="Arial"/>
          <w:i/>
          <w:iCs/>
          <w:sz w:val="24"/>
          <w:szCs w:val="24"/>
          <w:lang w:val="en-GB" w:eastAsia="en-GB"/>
        </w:rPr>
        <w:t>Harvard Business Review</w:t>
      </w:r>
      <w:r w:rsidRPr="00764905">
        <w:rPr>
          <w:rFonts w:ascii="Arial" w:eastAsia="Times New Roman" w:hAnsi="Arial" w:cs="Arial"/>
          <w:sz w:val="24"/>
          <w:szCs w:val="24"/>
          <w:lang w:val="en-GB" w:eastAsia="en-GB"/>
        </w:rPr>
        <w:t>, 68(5), pp. 105–111.</w:t>
      </w:r>
      <w:r w:rsidRPr="00764905">
        <w:rPr>
          <w:rFonts w:ascii="Arial" w:eastAsia="Times New Roman" w:hAnsi="Arial" w:cs="Arial"/>
          <w:sz w:val="24"/>
          <w:szCs w:val="24"/>
          <w:lang w:val="en-GB" w:eastAsia="en-GB"/>
        </w:rPr>
        <w:br/>
        <w:t xml:space="preserve">Harvard Business Review search </w:t>
      </w:r>
    </w:p>
    <w:p w14:paraId="1A3E1425"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Saunders, M.N.K., Lewis, P. and Thornhill, A. (2023)</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Research Methods for Business Students</w:t>
      </w:r>
      <w:r w:rsidRPr="00764905">
        <w:rPr>
          <w:rFonts w:ascii="Arial" w:eastAsia="Times New Roman" w:hAnsi="Arial" w:cs="Arial"/>
          <w:sz w:val="24"/>
          <w:szCs w:val="24"/>
          <w:lang w:val="en-GB" w:eastAsia="en-GB"/>
        </w:rPr>
        <w:t>. 9th edn. Harlow: Pearson.</w:t>
      </w:r>
      <w:r w:rsidRPr="00764905">
        <w:rPr>
          <w:rFonts w:ascii="Arial" w:eastAsia="Times New Roman" w:hAnsi="Arial" w:cs="Arial"/>
          <w:sz w:val="24"/>
          <w:szCs w:val="24"/>
          <w:lang w:val="en-GB" w:eastAsia="en-GB"/>
        </w:rPr>
        <w:br/>
        <w:t xml:space="preserve">Book/search record </w:t>
      </w:r>
    </w:p>
    <w:p w14:paraId="5A978683"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Schaltegger, S., Burritt, R. and Petersen, H. (2003)</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An Introduction to Corporate Environmental Management: Striving for Sustainability</w:t>
      </w:r>
      <w:r w:rsidRPr="00764905">
        <w:rPr>
          <w:rFonts w:ascii="Arial" w:eastAsia="Times New Roman" w:hAnsi="Arial" w:cs="Arial"/>
          <w:sz w:val="24"/>
          <w:szCs w:val="24"/>
          <w:lang w:val="en-GB" w:eastAsia="en-GB"/>
        </w:rPr>
        <w:t>. Sheffield: Greenleaf.</w:t>
      </w:r>
      <w:r w:rsidRPr="00764905">
        <w:rPr>
          <w:rFonts w:ascii="Arial" w:eastAsia="Times New Roman" w:hAnsi="Arial" w:cs="Arial"/>
          <w:sz w:val="24"/>
          <w:szCs w:val="24"/>
          <w:lang w:val="en-GB" w:eastAsia="en-GB"/>
        </w:rPr>
        <w:br/>
        <w:t xml:space="preserve">Book/search record </w:t>
      </w:r>
    </w:p>
    <w:p w14:paraId="02103CD7"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Seuring, S. and Müller, M. (2008a)</w:t>
      </w:r>
      <w:r w:rsidRPr="00764905">
        <w:rPr>
          <w:rFonts w:ascii="Arial" w:eastAsia="Times New Roman" w:hAnsi="Arial" w:cs="Arial"/>
          <w:sz w:val="24"/>
          <w:szCs w:val="24"/>
          <w:lang w:val="en-GB" w:eastAsia="en-GB"/>
        </w:rPr>
        <w:t xml:space="preserve"> ‘From a literature review to a conceptual framework for sustainable supply chain management’, </w:t>
      </w:r>
      <w:r w:rsidRPr="00764905">
        <w:rPr>
          <w:rFonts w:ascii="Arial" w:eastAsia="Times New Roman" w:hAnsi="Arial" w:cs="Arial"/>
          <w:i/>
          <w:iCs/>
          <w:sz w:val="24"/>
          <w:szCs w:val="24"/>
          <w:lang w:val="en-GB" w:eastAsia="en-GB"/>
        </w:rPr>
        <w:t>Journal of Cleaner Production</w:t>
      </w:r>
      <w:r w:rsidRPr="00764905">
        <w:rPr>
          <w:rFonts w:ascii="Arial" w:eastAsia="Times New Roman" w:hAnsi="Arial" w:cs="Arial"/>
          <w:sz w:val="24"/>
          <w:szCs w:val="24"/>
          <w:lang w:val="en-GB" w:eastAsia="en-GB"/>
        </w:rPr>
        <w:t>, 16(15), pp. 1699–1710.</w:t>
      </w:r>
      <w:r w:rsidRPr="00764905">
        <w:rPr>
          <w:rFonts w:ascii="Arial" w:eastAsia="Times New Roman" w:hAnsi="Arial" w:cs="Arial"/>
          <w:sz w:val="24"/>
          <w:szCs w:val="24"/>
          <w:lang w:val="en-GB" w:eastAsia="en-GB"/>
        </w:rPr>
        <w:br/>
      </w:r>
      <w:hyperlink r:id="rId39"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43FAB123"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Seuring, S. and Müller, M. (2008b)</w:t>
      </w:r>
      <w:r w:rsidRPr="00764905">
        <w:rPr>
          <w:rFonts w:ascii="Arial" w:eastAsia="Times New Roman" w:hAnsi="Arial" w:cs="Arial"/>
          <w:sz w:val="24"/>
          <w:szCs w:val="24"/>
          <w:lang w:val="en-GB" w:eastAsia="en-GB"/>
        </w:rPr>
        <w:t xml:space="preserve"> ‘Core issues in sustainable supply chain management – a Delphi study’, </w:t>
      </w:r>
      <w:r w:rsidRPr="00764905">
        <w:rPr>
          <w:rFonts w:ascii="Arial" w:eastAsia="Times New Roman" w:hAnsi="Arial" w:cs="Arial"/>
          <w:i/>
          <w:iCs/>
          <w:sz w:val="24"/>
          <w:szCs w:val="24"/>
          <w:lang w:val="en-GB" w:eastAsia="en-GB"/>
        </w:rPr>
        <w:t>Business Strategy and the Environment</w:t>
      </w:r>
      <w:r w:rsidRPr="00764905">
        <w:rPr>
          <w:rFonts w:ascii="Arial" w:eastAsia="Times New Roman" w:hAnsi="Arial" w:cs="Arial"/>
          <w:sz w:val="24"/>
          <w:szCs w:val="24"/>
          <w:lang w:val="en-GB" w:eastAsia="en-GB"/>
        </w:rPr>
        <w:t>, 17(8), pp. 455–466.</w:t>
      </w:r>
      <w:r w:rsidRPr="00764905">
        <w:rPr>
          <w:rFonts w:ascii="Arial" w:eastAsia="Times New Roman" w:hAnsi="Arial" w:cs="Arial"/>
          <w:sz w:val="24"/>
          <w:szCs w:val="24"/>
          <w:lang w:val="en-GB" w:eastAsia="en-GB"/>
        </w:rPr>
        <w:br/>
      </w:r>
      <w:hyperlink r:id="rId40"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36A6BEE"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Shaw, D. and Clarke, I. (1999)</w:t>
      </w:r>
      <w:r w:rsidRPr="00764905">
        <w:rPr>
          <w:rFonts w:ascii="Arial" w:eastAsia="Times New Roman" w:hAnsi="Arial" w:cs="Arial"/>
          <w:sz w:val="24"/>
          <w:szCs w:val="24"/>
          <w:lang w:val="en-GB" w:eastAsia="en-GB"/>
        </w:rPr>
        <w:t xml:space="preserve"> ‘Belief formation in ethical consumer groups: An exploratory study’, </w:t>
      </w:r>
      <w:r w:rsidRPr="00764905">
        <w:rPr>
          <w:rFonts w:ascii="Arial" w:eastAsia="Times New Roman" w:hAnsi="Arial" w:cs="Arial"/>
          <w:i/>
          <w:iCs/>
          <w:sz w:val="24"/>
          <w:szCs w:val="24"/>
          <w:lang w:val="en-GB" w:eastAsia="en-GB"/>
        </w:rPr>
        <w:t>Marketing Intelligence &amp; Planning</w:t>
      </w:r>
      <w:r w:rsidRPr="00764905">
        <w:rPr>
          <w:rFonts w:ascii="Arial" w:eastAsia="Times New Roman" w:hAnsi="Arial" w:cs="Arial"/>
          <w:sz w:val="24"/>
          <w:szCs w:val="24"/>
          <w:lang w:val="en-GB" w:eastAsia="en-GB"/>
        </w:rPr>
        <w:t>, 17(2), pp. 109–119.</w:t>
      </w:r>
      <w:r w:rsidRPr="00764905">
        <w:rPr>
          <w:rFonts w:ascii="Arial" w:eastAsia="Times New Roman" w:hAnsi="Arial" w:cs="Arial"/>
          <w:sz w:val="24"/>
          <w:szCs w:val="24"/>
          <w:lang w:val="en-GB" w:eastAsia="en-GB"/>
        </w:rPr>
        <w:br/>
        <w:t xml:space="preserve">DOI/search </w:t>
      </w:r>
    </w:p>
    <w:p w14:paraId="24BB3645"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Slater, S.F. and Narver, J.C. (1994)</w:t>
      </w:r>
      <w:r w:rsidRPr="00764905">
        <w:rPr>
          <w:rFonts w:ascii="Arial" w:eastAsia="Times New Roman" w:hAnsi="Arial" w:cs="Arial"/>
          <w:sz w:val="24"/>
          <w:szCs w:val="24"/>
          <w:lang w:val="en-GB" w:eastAsia="en-GB"/>
        </w:rPr>
        <w:t xml:space="preserve"> ‘Does competitive environment moderate the market orientation-performance relationship?’,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58(1), pp. 46–55.</w:t>
      </w:r>
      <w:r w:rsidRPr="00764905">
        <w:rPr>
          <w:rFonts w:ascii="Arial" w:eastAsia="Times New Roman" w:hAnsi="Arial" w:cs="Arial"/>
          <w:sz w:val="24"/>
          <w:szCs w:val="24"/>
          <w:lang w:val="en-GB" w:eastAsia="en-GB"/>
        </w:rPr>
        <w:br/>
        <w:t xml:space="preserve">DOI </w:t>
      </w:r>
    </w:p>
    <w:p w14:paraId="3D1DC05F" w14:textId="77777777" w:rsidR="00764905" w:rsidRPr="00764905" w:rsidRDefault="00764905" w:rsidP="00764905">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Smith, A.M. and Colgate, M. (2007)</w:t>
      </w:r>
      <w:r w:rsidRPr="00764905">
        <w:rPr>
          <w:rFonts w:ascii="Arial" w:eastAsia="Times New Roman" w:hAnsi="Arial" w:cs="Arial"/>
          <w:sz w:val="24"/>
          <w:szCs w:val="24"/>
          <w:lang w:val="en-GB" w:eastAsia="en-GB"/>
        </w:rPr>
        <w:t xml:space="preserve"> ‘Customer value creation: A practical framework’, </w:t>
      </w:r>
      <w:r w:rsidRPr="00764905">
        <w:rPr>
          <w:rFonts w:ascii="Arial" w:eastAsia="Times New Roman" w:hAnsi="Arial" w:cs="Arial"/>
          <w:i/>
          <w:iCs/>
          <w:sz w:val="24"/>
          <w:szCs w:val="24"/>
          <w:lang w:val="en-GB" w:eastAsia="en-GB"/>
        </w:rPr>
        <w:t>Journal of Marketing Theory and Practice</w:t>
      </w:r>
      <w:r w:rsidRPr="00764905">
        <w:rPr>
          <w:rFonts w:ascii="Arial" w:eastAsia="Times New Roman" w:hAnsi="Arial" w:cs="Arial"/>
          <w:sz w:val="24"/>
          <w:szCs w:val="24"/>
          <w:lang w:val="en-GB" w:eastAsia="en-GB"/>
        </w:rPr>
        <w:t>, 15(1), pp. 7–23.</w:t>
      </w:r>
      <w:r w:rsidRPr="00764905">
        <w:rPr>
          <w:rFonts w:ascii="Arial" w:eastAsia="Times New Roman" w:hAnsi="Arial" w:cs="Arial"/>
          <w:sz w:val="24"/>
          <w:szCs w:val="24"/>
          <w:lang w:val="en-GB" w:eastAsia="en-GB"/>
        </w:rPr>
        <w:br/>
        <w:t xml:space="preserve">Academic search record </w:t>
      </w:r>
    </w:p>
    <w:p w14:paraId="3969C50B" w14:textId="77777777" w:rsidR="00764905" w:rsidRPr="00764905" w:rsidRDefault="00764905" w:rsidP="00764905">
      <w:pPr>
        <w:numPr>
          <w:ilvl w:val="0"/>
          <w:numId w:val="2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Teece, D.J. (2010)</w:t>
      </w:r>
      <w:r w:rsidRPr="00764905">
        <w:rPr>
          <w:rFonts w:ascii="Arial" w:eastAsia="Times New Roman" w:hAnsi="Arial" w:cs="Arial"/>
          <w:sz w:val="24"/>
          <w:szCs w:val="24"/>
          <w:lang w:val="en-GB" w:eastAsia="en-GB"/>
        </w:rPr>
        <w:t xml:space="preserve"> ‘Business models, business strategy and innovation’, </w:t>
      </w:r>
      <w:r w:rsidRPr="00764905">
        <w:rPr>
          <w:rFonts w:ascii="Arial" w:eastAsia="Times New Roman" w:hAnsi="Arial" w:cs="Arial"/>
          <w:i/>
          <w:iCs/>
          <w:sz w:val="24"/>
          <w:szCs w:val="24"/>
          <w:lang w:val="en-GB" w:eastAsia="en-GB"/>
        </w:rPr>
        <w:t>Long Range Planning</w:t>
      </w:r>
      <w:r w:rsidRPr="00764905">
        <w:rPr>
          <w:rFonts w:ascii="Arial" w:eastAsia="Times New Roman" w:hAnsi="Arial" w:cs="Arial"/>
          <w:sz w:val="24"/>
          <w:szCs w:val="24"/>
          <w:lang w:val="en-GB" w:eastAsia="en-GB"/>
        </w:rPr>
        <w:t>, 43(2–3), pp. 172–194.</w:t>
      </w:r>
      <w:r w:rsidRPr="00764905">
        <w:rPr>
          <w:rFonts w:ascii="Arial" w:eastAsia="Times New Roman" w:hAnsi="Arial" w:cs="Arial"/>
          <w:sz w:val="24"/>
          <w:szCs w:val="24"/>
          <w:lang w:val="en-GB" w:eastAsia="en-GB"/>
        </w:rPr>
        <w:br/>
      </w:r>
      <w:hyperlink r:id="rId41"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29B90A3E" w14:textId="77777777" w:rsidR="00764905" w:rsidRPr="00764905" w:rsidRDefault="00764905" w:rsidP="00764905">
      <w:pPr>
        <w:numPr>
          <w:ilvl w:val="0"/>
          <w:numId w:val="23"/>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Teece, D.J., Pisano, G. and Shuen, A. (1997)</w:t>
      </w:r>
      <w:r w:rsidRPr="00764905">
        <w:rPr>
          <w:rFonts w:ascii="Arial" w:eastAsia="Times New Roman" w:hAnsi="Arial" w:cs="Arial"/>
          <w:sz w:val="24"/>
          <w:szCs w:val="24"/>
          <w:lang w:val="en-GB" w:eastAsia="en-GB"/>
        </w:rPr>
        <w:t xml:space="preserve"> ‘Dynamic capabilities and strategic management’, </w:t>
      </w:r>
      <w:r w:rsidRPr="00764905">
        <w:rPr>
          <w:rFonts w:ascii="Arial" w:eastAsia="Times New Roman" w:hAnsi="Arial" w:cs="Arial"/>
          <w:i/>
          <w:iCs/>
          <w:sz w:val="24"/>
          <w:szCs w:val="24"/>
          <w:lang w:val="en-GB" w:eastAsia="en-GB"/>
        </w:rPr>
        <w:t>Strategic Management Journal</w:t>
      </w:r>
      <w:r w:rsidRPr="00764905">
        <w:rPr>
          <w:rFonts w:ascii="Arial" w:eastAsia="Times New Roman" w:hAnsi="Arial" w:cs="Arial"/>
          <w:sz w:val="24"/>
          <w:szCs w:val="24"/>
          <w:lang w:val="en-GB" w:eastAsia="en-GB"/>
        </w:rPr>
        <w:t>, 18(7), pp. 509–533.</w:t>
      </w:r>
      <w:r w:rsidRPr="00764905">
        <w:rPr>
          <w:rFonts w:ascii="Arial" w:eastAsia="Times New Roman" w:hAnsi="Arial" w:cs="Arial"/>
          <w:sz w:val="24"/>
          <w:szCs w:val="24"/>
          <w:lang w:val="en-GB" w:eastAsia="en-GB"/>
        </w:rPr>
        <w:br/>
        <w:t xml:space="preserve">DOI </w:t>
      </w:r>
    </w:p>
    <w:p w14:paraId="3ACABECC" w14:textId="77777777" w:rsidR="00764905" w:rsidRPr="00764905" w:rsidRDefault="00764905" w:rsidP="00764905">
      <w:pPr>
        <w:numPr>
          <w:ilvl w:val="0"/>
          <w:numId w:val="2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lastRenderedPageBreak/>
        <w:t>Vargo, S.L. and Lusch, R.F. (2004)</w:t>
      </w:r>
      <w:r w:rsidRPr="00764905">
        <w:rPr>
          <w:rFonts w:ascii="Arial" w:eastAsia="Times New Roman" w:hAnsi="Arial" w:cs="Arial"/>
          <w:sz w:val="24"/>
          <w:szCs w:val="24"/>
          <w:lang w:val="en-GB" w:eastAsia="en-GB"/>
        </w:rPr>
        <w:t xml:space="preserve"> ‘Evolving to a new dominant logic for marketing’,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68(1), pp. 1–17.</w:t>
      </w:r>
      <w:r w:rsidRPr="00764905">
        <w:rPr>
          <w:rFonts w:ascii="Arial" w:eastAsia="Times New Roman" w:hAnsi="Arial" w:cs="Arial"/>
          <w:sz w:val="24"/>
          <w:szCs w:val="24"/>
          <w:lang w:val="en-GB" w:eastAsia="en-GB"/>
        </w:rPr>
        <w:br/>
      </w:r>
      <w:hyperlink r:id="rId42"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0F065C86" w14:textId="77777777" w:rsidR="00764905" w:rsidRPr="00764905" w:rsidRDefault="00764905" w:rsidP="00764905">
      <w:pPr>
        <w:numPr>
          <w:ilvl w:val="0"/>
          <w:numId w:val="24"/>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Vargo, S.L. and Lusch, R.F. (2008)</w:t>
      </w:r>
      <w:r w:rsidRPr="00764905">
        <w:rPr>
          <w:rFonts w:ascii="Arial" w:eastAsia="Times New Roman" w:hAnsi="Arial" w:cs="Arial"/>
          <w:sz w:val="24"/>
          <w:szCs w:val="24"/>
          <w:lang w:val="en-GB" w:eastAsia="en-GB"/>
        </w:rPr>
        <w:t xml:space="preserve"> ‘Service-dominant logic: Continuing the evolution’, </w:t>
      </w:r>
      <w:r w:rsidRPr="00764905">
        <w:rPr>
          <w:rFonts w:ascii="Arial" w:eastAsia="Times New Roman" w:hAnsi="Arial" w:cs="Arial"/>
          <w:i/>
          <w:iCs/>
          <w:sz w:val="24"/>
          <w:szCs w:val="24"/>
          <w:lang w:val="en-GB" w:eastAsia="en-GB"/>
        </w:rPr>
        <w:t>Journal of the Academy of Marketing Science</w:t>
      </w:r>
      <w:r w:rsidRPr="00764905">
        <w:rPr>
          <w:rFonts w:ascii="Arial" w:eastAsia="Times New Roman" w:hAnsi="Arial" w:cs="Arial"/>
          <w:sz w:val="24"/>
          <w:szCs w:val="24"/>
          <w:lang w:val="en-GB" w:eastAsia="en-GB"/>
        </w:rPr>
        <w:t>, 36, pp. 1–10.</w:t>
      </w:r>
      <w:r w:rsidRPr="00764905">
        <w:rPr>
          <w:rFonts w:ascii="Arial" w:eastAsia="Times New Roman" w:hAnsi="Arial" w:cs="Arial"/>
          <w:sz w:val="24"/>
          <w:szCs w:val="24"/>
          <w:lang w:val="en-GB" w:eastAsia="en-GB"/>
        </w:rPr>
        <w:br/>
      </w:r>
      <w:hyperlink r:id="rId43" w:tgtFrame="_blank" w:history="1">
        <w:r w:rsidRPr="00764905">
          <w:rPr>
            <w:rFonts w:ascii="Arial" w:eastAsia="Times New Roman" w:hAnsi="Arial" w:cs="Arial"/>
            <w:color w:val="0000FF"/>
            <w:sz w:val="24"/>
            <w:szCs w:val="24"/>
            <w:u w:val="single"/>
            <w:lang w:val="en-GB" w:eastAsia="en-GB"/>
          </w:rPr>
          <w:t>DOI</w:t>
        </w:r>
      </w:hyperlink>
    </w:p>
    <w:p w14:paraId="02182DF1"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Wernerfelt, B. (1984)</w:t>
      </w:r>
      <w:r w:rsidRPr="00764905">
        <w:rPr>
          <w:rFonts w:ascii="Arial" w:eastAsia="Times New Roman" w:hAnsi="Arial" w:cs="Arial"/>
          <w:sz w:val="24"/>
          <w:szCs w:val="24"/>
          <w:lang w:val="en-GB" w:eastAsia="en-GB"/>
        </w:rPr>
        <w:t xml:space="preserve"> ‘A resource-based view of the firm’, </w:t>
      </w:r>
      <w:r w:rsidRPr="00764905">
        <w:rPr>
          <w:rFonts w:ascii="Arial" w:eastAsia="Times New Roman" w:hAnsi="Arial" w:cs="Arial"/>
          <w:i/>
          <w:iCs/>
          <w:sz w:val="24"/>
          <w:szCs w:val="24"/>
          <w:lang w:val="en-GB" w:eastAsia="en-GB"/>
        </w:rPr>
        <w:t>Strategic Management Journal</w:t>
      </w:r>
      <w:r w:rsidRPr="00764905">
        <w:rPr>
          <w:rFonts w:ascii="Arial" w:eastAsia="Times New Roman" w:hAnsi="Arial" w:cs="Arial"/>
          <w:sz w:val="24"/>
          <w:szCs w:val="24"/>
          <w:lang w:val="en-GB" w:eastAsia="en-GB"/>
        </w:rPr>
        <w:t>, 5(2), pp. 171–180.</w:t>
      </w:r>
      <w:r w:rsidRPr="00764905">
        <w:rPr>
          <w:rFonts w:ascii="Arial" w:eastAsia="Times New Roman" w:hAnsi="Arial" w:cs="Arial"/>
          <w:sz w:val="24"/>
          <w:szCs w:val="24"/>
          <w:lang w:val="en-GB" w:eastAsia="en-GB"/>
        </w:rPr>
        <w:br/>
      </w:r>
      <w:hyperlink r:id="rId44"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74A71EEF"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World Coffee Portal (2024)</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UK independent coffee shops trading strongly on quality and authenticity</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45" w:tgtFrame="_blank" w:history="1">
        <w:r w:rsidRPr="00764905">
          <w:rPr>
            <w:rFonts w:ascii="Arial" w:eastAsia="Times New Roman" w:hAnsi="Arial" w:cs="Arial"/>
            <w:color w:val="0000FF"/>
            <w:sz w:val="24"/>
            <w:szCs w:val="24"/>
            <w:u w:val="single"/>
            <w:lang w:val="en-GB" w:eastAsia="en-GB"/>
          </w:rPr>
          <w:t>World Coffee Portal</w:t>
        </w:r>
      </w:hyperlink>
      <w:r w:rsidRPr="00764905">
        <w:rPr>
          <w:rFonts w:ascii="Arial" w:eastAsia="Times New Roman" w:hAnsi="Arial" w:cs="Arial"/>
          <w:sz w:val="24"/>
          <w:szCs w:val="24"/>
          <w:lang w:val="en-GB" w:eastAsia="en-GB"/>
        </w:rPr>
        <w:t xml:space="preserve"> </w:t>
      </w:r>
    </w:p>
    <w:p w14:paraId="4A5AB35B"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World Coffee Portal (2025)</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The UK Coffee Shop Market / UK coffee-shop consumer trends</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46" w:tgtFrame="_blank" w:history="1">
        <w:r w:rsidRPr="00764905">
          <w:rPr>
            <w:rFonts w:ascii="Arial" w:eastAsia="Times New Roman" w:hAnsi="Arial" w:cs="Arial"/>
            <w:color w:val="0000FF"/>
            <w:sz w:val="24"/>
            <w:szCs w:val="24"/>
            <w:u w:val="single"/>
            <w:lang w:val="en-GB" w:eastAsia="en-GB"/>
          </w:rPr>
          <w:t>World Coffee Portal</w:t>
        </w:r>
      </w:hyperlink>
      <w:r w:rsidRPr="00764905">
        <w:rPr>
          <w:rFonts w:ascii="Arial" w:eastAsia="Times New Roman" w:hAnsi="Arial" w:cs="Arial"/>
          <w:sz w:val="24"/>
          <w:szCs w:val="24"/>
          <w:lang w:val="en-GB" w:eastAsia="en-GB"/>
        </w:rPr>
        <w:t xml:space="preserve"> </w:t>
      </w:r>
    </w:p>
    <w:p w14:paraId="149F96A2" w14:textId="77777777" w:rsidR="00764905" w:rsidRPr="00764905" w:rsidRDefault="00764905" w:rsidP="00764905">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World Coffee Portal (2026)</w:t>
      </w:r>
      <w:r w:rsidRPr="00764905">
        <w:rPr>
          <w:rFonts w:ascii="Arial" w:eastAsia="Times New Roman" w:hAnsi="Arial" w:cs="Arial"/>
          <w:sz w:val="24"/>
          <w:szCs w:val="24"/>
          <w:lang w:val="en-GB" w:eastAsia="en-GB"/>
        </w:rPr>
        <w:t xml:space="preserve"> </w:t>
      </w:r>
      <w:r w:rsidRPr="00764905">
        <w:rPr>
          <w:rFonts w:ascii="Arial" w:eastAsia="Times New Roman" w:hAnsi="Arial" w:cs="Arial"/>
          <w:i/>
          <w:iCs/>
          <w:sz w:val="24"/>
          <w:szCs w:val="24"/>
          <w:lang w:val="en-GB" w:eastAsia="en-GB"/>
        </w:rPr>
        <w:t>UK branded coffee shop market</w:t>
      </w:r>
      <w:r w:rsidRPr="00764905">
        <w:rPr>
          <w:rFonts w:ascii="Arial" w:eastAsia="Times New Roman" w:hAnsi="Arial" w:cs="Arial"/>
          <w:sz w:val="24"/>
          <w:szCs w:val="24"/>
          <w:lang w:val="en-GB" w:eastAsia="en-GB"/>
        </w:rPr>
        <w:t>.</w:t>
      </w:r>
      <w:r w:rsidRPr="00764905">
        <w:rPr>
          <w:rFonts w:ascii="Arial" w:eastAsia="Times New Roman" w:hAnsi="Arial" w:cs="Arial"/>
          <w:sz w:val="24"/>
          <w:szCs w:val="24"/>
          <w:lang w:val="en-GB" w:eastAsia="en-GB"/>
        </w:rPr>
        <w:br/>
      </w:r>
      <w:hyperlink r:id="rId47" w:tgtFrame="_blank" w:history="1">
        <w:r w:rsidRPr="00764905">
          <w:rPr>
            <w:rFonts w:ascii="Arial" w:eastAsia="Times New Roman" w:hAnsi="Arial" w:cs="Arial"/>
            <w:color w:val="0000FF"/>
            <w:sz w:val="24"/>
            <w:szCs w:val="24"/>
            <w:u w:val="single"/>
            <w:lang w:val="en-GB" w:eastAsia="en-GB"/>
          </w:rPr>
          <w:t>World Coffee Portal</w:t>
        </w:r>
      </w:hyperlink>
      <w:r w:rsidRPr="00764905">
        <w:rPr>
          <w:rFonts w:ascii="Arial" w:eastAsia="Times New Roman" w:hAnsi="Arial" w:cs="Arial"/>
          <w:sz w:val="24"/>
          <w:szCs w:val="24"/>
          <w:lang w:val="en-GB" w:eastAsia="en-GB"/>
        </w:rPr>
        <w:t xml:space="preserve"> </w:t>
      </w:r>
    </w:p>
    <w:p w14:paraId="49627FE5" w14:textId="77777777" w:rsidR="00764905" w:rsidRPr="00764905" w:rsidRDefault="00764905" w:rsidP="00764905">
      <w:pPr>
        <w:numPr>
          <w:ilvl w:val="0"/>
          <w:numId w:val="2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Zeithaml, V.A. (1988)</w:t>
      </w:r>
      <w:r w:rsidRPr="00764905">
        <w:rPr>
          <w:rFonts w:ascii="Arial" w:eastAsia="Times New Roman" w:hAnsi="Arial" w:cs="Arial"/>
          <w:sz w:val="24"/>
          <w:szCs w:val="24"/>
          <w:lang w:val="en-GB" w:eastAsia="en-GB"/>
        </w:rPr>
        <w:t xml:space="preserve"> ‘Consumer perceptions of price, quality, and value: A means-end model and synthesis of evidence’,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52(3), pp. 2–22.</w:t>
      </w:r>
      <w:r w:rsidRPr="00764905">
        <w:rPr>
          <w:rFonts w:ascii="Arial" w:eastAsia="Times New Roman" w:hAnsi="Arial" w:cs="Arial"/>
          <w:sz w:val="24"/>
          <w:szCs w:val="24"/>
          <w:lang w:val="en-GB" w:eastAsia="en-GB"/>
        </w:rPr>
        <w:br/>
      </w:r>
      <w:hyperlink r:id="rId48" w:tgtFrame="_blank" w:history="1">
        <w:r w:rsidRPr="00764905">
          <w:rPr>
            <w:rFonts w:ascii="Arial" w:eastAsia="Times New Roman" w:hAnsi="Arial" w:cs="Arial"/>
            <w:color w:val="0000FF"/>
            <w:sz w:val="24"/>
            <w:szCs w:val="24"/>
            <w:u w:val="single"/>
            <w:lang w:val="en-GB" w:eastAsia="en-GB"/>
          </w:rPr>
          <w:t>DOI</w:t>
        </w:r>
      </w:hyperlink>
      <w:r w:rsidRPr="00764905">
        <w:rPr>
          <w:rFonts w:ascii="Arial" w:eastAsia="Times New Roman" w:hAnsi="Arial" w:cs="Arial"/>
          <w:sz w:val="24"/>
          <w:szCs w:val="24"/>
          <w:lang w:val="en-GB" w:eastAsia="en-GB"/>
        </w:rPr>
        <w:t xml:space="preserve"> </w:t>
      </w:r>
    </w:p>
    <w:p w14:paraId="62D15320" w14:textId="77777777" w:rsidR="00764905" w:rsidRPr="00764905" w:rsidRDefault="00764905" w:rsidP="00764905">
      <w:pPr>
        <w:numPr>
          <w:ilvl w:val="0"/>
          <w:numId w:val="26"/>
        </w:numPr>
        <w:spacing w:before="100" w:beforeAutospacing="1" w:after="100" w:afterAutospacing="1" w:line="360" w:lineRule="auto"/>
        <w:jc w:val="both"/>
        <w:rPr>
          <w:rFonts w:ascii="Arial" w:eastAsia="Times New Roman" w:hAnsi="Arial" w:cs="Arial"/>
          <w:sz w:val="24"/>
          <w:szCs w:val="24"/>
          <w:lang w:val="en-GB" w:eastAsia="en-GB"/>
        </w:rPr>
      </w:pPr>
      <w:r w:rsidRPr="00764905">
        <w:rPr>
          <w:rFonts w:ascii="Arial" w:eastAsia="Times New Roman" w:hAnsi="Arial" w:cs="Arial"/>
          <w:b/>
          <w:bCs/>
          <w:sz w:val="24"/>
          <w:szCs w:val="24"/>
          <w:lang w:val="en-GB" w:eastAsia="en-GB"/>
        </w:rPr>
        <w:t>Zeithaml, V.A., Berry, L.L. and Parasuraman, A. (1996)</w:t>
      </w:r>
      <w:r w:rsidRPr="00764905">
        <w:rPr>
          <w:rFonts w:ascii="Arial" w:eastAsia="Times New Roman" w:hAnsi="Arial" w:cs="Arial"/>
          <w:sz w:val="24"/>
          <w:szCs w:val="24"/>
          <w:lang w:val="en-GB" w:eastAsia="en-GB"/>
        </w:rPr>
        <w:t xml:space="preserve"> ‘The behavioral consequences of service quality’, </w:t>
      </w:r>
      <w:r w:rsidRPr="00764905">
        <w:rPr>
          <w:rFonts w:ascii="Arial" w:eastAsia="Times New Roman" w:hAnsi="Arial" w:cs="Arial"/>
          <w:i/>
          <w:iCs/>
          <w:sz w:val="24"/>
          <w:szCs w:val="24"/>
          <w:lang w:val="en-GB" w:eastAsia="en-GB"/>
        </w:rPr>
        <w:t>Journal of Marketing</w:t>
      </w:r>
      <w:r w:rsidRPr="00764905">
        <w:rPr>
          <w:rFonts w:ascii="Arial" w:eastAsia="Times New Roman" w:hAnsi="Arial" w:cs="Arial"/>
          <w:sz w:val="24"/>
          <w:szCs w:val="24"/>
          <w:lang w:val="en-GB" w:eastAsia="en-GB"/>
        </w:rPr>
        <w:t>, 60(2), pp. 31–46.</w:t>
      </w:r>
      <w:r w:rsidRPr="00764905">
        <w:rPr>
          <w:rFonts w:ascii="Arial" w:eastAsia="Times New Roman" w:hAnsi="Arial" w:cs="Arial"/>
          <w:sz w:val="24"/>
          <w:szCs w:val="24"/>
          <w:lang w:val="en-GB" w:eastAsia="en-GB"/>
        </w:rPr>
        <w:br/>
      </w:r>
      <w:hyperlink r:id="rId49" w:tgtFrame="_blank" w:history="1">
        <w:r w:rsidRPr="00764905">
          <w:rPr>
            <w:rFonts w:ascii="Arial" w:eastAsia="Times New Roman" w:hAnsi="Arial" w:cs="Arial"/>
            <w:color w:val="0000FF"/>
            <w:sz w:val="24"/>
            <w:szCs w:val="24"/>
            <w:u w:val="single"/>
            <w:lang w:val="en-GB" w:eastAsia="en-GB"/>
          </w:rPr>
          <w:t>DOI</w:t>
        </w:r>
      </w:hyperlink>
    </w:p>
    <w:p w14:paraId="136ED1C9" w14:textId="77777777" w:rsidR="00764905" w:rsidRPr="00764905" w:rsidRDefault="00764905" w:rsidP="00764905">
      <w:pPr>
        <w:spacing w:line="360" w:lineRule="auto"/>
        <w:jc w:val="both"/>
        <w:rPr>
          <w:rFonts w:ascii="Arial" w:hAnsi="Arial" w:cs="Arial"/>
          <w:sz w:val="24"/>
          <w:szCs w:val="24"/>
          <w:lang w:val="en-GB"/>
        </w:rPr>
      </w:pPr>
    </w:p>
    <w:p w14:paraId="068B2324" w14:textId="46C2DB88" w:rsidR="00B00717" w:rsidRDefault="00B00717" w:rsidP="00296B61">
      <w:pPr>
        <w:spacing w:before="240" w:line="360" w:lineRule="auto"/>
        <w:jc w:val="both"/>
        <w:rPr>
          <w:rFonts w:ascii="Arial" w:hAnsi="Arial" w:cs="Arial"/>
          <w:sz w:val="24"/>
          <w:szCs w:val="24"/>
          <w:lang w:val="en-GB" w:eastAsia="en-GB"/>
        </w:rPr>
      </w:pPr>
    </w:p>
    <w:p w14:paraId="3C6CD0B1" w14:textId="4F0A4D09" w:rsidR="007C7435" w:rsidRDefault="007C7435" w:rsidP="00296B61">
      <w:pPr>
        <w:spacing w:before="240" w:line="360" w:lineRule="auto"/>
        <w:jc w:val="both"/>
        <w:rPr>
          <w:rFonts w:ascii="Arial" w:hAnsi="Arial" w:cs="Arial"/>
          <w:sz w:val="24"/>
          <w:szCs w:val="24"/>
          <w:lang w:val="en-GB" w:eastAsia="en-GB"/>
        </w:rPr>
      </w:pPr>
    </w:p>
    <w:p w14:paraId="593A3087" w14:textId="527C1E19" w:rsidR="007C7435" w:rsidRDefault="007C7435" w:rsidP="00296B61">
      <w:pPr>
        <w:spacing w:before="240" w:line="360" w:lineRule="auto"/>
        <w:jc w:val="both"/>
        <w:rPr>
          <w:rFonts w:ascii="Arial" w:hAnsi="Arial" w:cs="Arial"/>
          <w:sz w:val="24"/>
          <w:szCs w:val="24"/>
          <w:lang w:val="en-GB" w:eastAsia="en-GB"/>
        </w:rPr>
      </w:pPr>
    </w:p>
    <w:p w14:paraId="7E9B7840" w14:textId="69408BF2" w:rsidR="007C7435" w:rsidRDefault="007C7435" w:rsidP="00296B61">
      <w:pPr>
        <w:spacing w:before="240" w:line="360" w:lineRule="auto"/>
        <w:jc w:val="both"/>
        <w:rPr>
          <w:rFonts w:ascii="Arial" w:hAnsi="Arial" w:cs="Arial"/>
          <w:sz w:val="24"/>
          <w:szCs w:val="24"/>
          <w:lang w:val="en-GB" w:eastAsia="en-GB"/>
        </w:rPr>
      </w:pPr>
    </w:p>
    <w:p w14:paraId="6C45C13E" w14:textId="3CF43519" w:rsidR="007C7435" w:rsidRDefault="007C7435" w:rsidP="00296B61">
      <w:pPr>
        <w:spacing w:before="240" w:line="360" w:lineRule="auto"/>
        <w:jc w:val="both"/>
        <w:rPr>
          <w:rFonts w:ascii="Arial" w:hAnsi="Arial" w:cs="Arial"/>
          <w:sz w:val="24"/>
          <w:szCs w:val="24"/>
          <w:lang w:val="en-GB" w:eastAsia="en-GB"/>
        </w:rPr>
      </w:pPr>
    </w:p>
    <w:p w14:paraId="7FA5C649" w14:textId="70BFE7E9" w:rsidR="007C7435" w:rsidRDefault="007C7435" w:rsidP="00296B61">
      <w:pPr>
        <w:spacing w:before="240" w:line="360" w:lineRule="auto"/>
        <w:jc w:val="both"/>
        <w:rPr>
          <w:rFonts w:ascii="Arial" w:hAnsi="Arial" w:cs="Arial"/>
          <w:sz w:val="24"/>
          <w:szCs w:val="24"/>
          <w:lang w:val="en-GB" w:eastAsia="en-GB"/>
        </w:rPr>
      </w:pPr>
    </w:p>
    <w:p w14:paraId="0D30C2D2" w14:textId="2FF9BCC4" w:rsidR="007C7435" w:rsidRDefault="007C7435" w:rsidP="00296B61">
      <w:pPr>
        <w:spacing w:before="240" w:line="360" w:lineRule="auto"/>
        <w:jc w:val="both"/>
        <w:rPr>
          <w:rFonts w:ascii="Arial" w:hAnsi="Arial" w:cs="Arial"/>
          <w:sz w:val="24"/>
          <w:szCs w:val="24"/>
          <w:lang w:val="en-GB" w:eastAsia="en-GB"/>
        </w:rPr>
      </w:pPr>
    </w:p>
    <w:p w14:paraId="1ACB7011" w14:textId="7851C3BA" w:rsidR="007C7435" w:rsidRDefault="007C7435" w:rsidP="00296B61">
      <w:pPr>
        <w:spacing w:before="240" w:line="360" w:lineRule="auto"/>
        <w:jc w:val="both"/>
        <w:rPr>
          <w:rFonts w:ascii="Arial" w:hAnsi="Arial" w:cs="Arial"/>
          <w:sz w:val="24"/>
          <w:szCs w:val="24"/>
          <w:lang w:val="en-GB" w:eastAsia="en-GB"/>
        </w:rPr>
      </w:pPr>
    </w:p>
    <w:p w14:paraId="73CEB126" w14:textId="081ADF53" w:rsidR="007C7435" w:rsidRDefault="007C7435" w:rsidP="00296B61">
      <w:pPr>
        <w:spacing w:before="240" w:line="360" w:lineRule="auto"/>
        <w:jc w:val="both"/>
        <w:rPr>
          <w:rFonts w:ascii="Arial" w:hAnsi="Arial" w:cs="Arial"/>
          <w:sz w:val="24"/>
          <w:szCs w:val="24"/>
          <w:lang w:val="en-GB" w:eastAsia="en-GB"/>
        </w:rPr>
      </w:pPr>
    </w:p>
    <w:p w14:paraId="09F63445" w14:textId="1F0B6F2B" w:rsidR="007C7435" w:rsidRDefault="007C7435" w:rsidP="00296B61">
      <w:pPr>
        <w:spacing w:before="240" w:line="360" w:lineRule="auto"/>
        <w:jc w:val="both"/>
        <w:rPr>
          <w:rFonts w:ascii="Arial" w:hAnsi="Arial" w:cs="Arial"/>
          <w:sz w:val="24"/>
          <w:szCs w:val="24"/>
          <w:lang w:val="en-GB" w:eastAsia="en-GB"/>
        </w:rPr>
      </w:pPr>
    </w:p>
    <w:p w14:paraId="14B48789" w14:textId="388BBBFC" w:rsidR="007C7435" w:rsidRDefault="007C7435" w:rsidP="00296B61">
      <w:pPr>
        <w:spacing w:before="240" w:line="360" w:lineRule="auto"/>
        <w:jc w:val="both"/>
        <w:rPr>
          <w:rFonts w:ascii="Arial" w:hAnsi="Arial" w:cs="Arial"/>
          <w:sz w:val="24"/>
          <w:szCs w:val="24"/>
          <w:lang w:val="en-GB" w:eastAsia="en-GB"/>
        </w:rPr>
      </w:pPr>
    </w:p>
    <w:p w14:paraId="63B79167" w14:textId="013CB7A5" w:rsidR="007C7435" w:rsidRDefault="007C7435" w:rsidP="00296B61">
      <w:pPr>
        <w:spacing w:before="240" w:line="360" w:lineRule="auto"/>
        <w:jc w:val="both"/>
        <w:rPr>
          <w:rFonts w:ascii="Arial" w:hAnsi="Arial" w:cs="Arial"/>
          <w:sz w:val="24"/>
          <w:szCs w:val="24"/>
          <w:lang w:val="en-GB" w:eastAsia="en-GB"/>
        </w:rPr>
      </w:pPr>
    </w:p>
    <w:p w14:paraId="115DD444" w14:textId="29505342" w:rsidR="007C7435" w:rsidRDefault="007C7435" w:rsidP="00296B61">
      <w:pPr>
        <w:spacing w:before="240" w:line="360" w:lineRule="auto"/>
        <w:jc w:val="both"/>
        <w:rPr>
          <w:rFonts w:ascii="Arial" w:hAnsi="Arial" w:cs="Arial"/>
          <w:sz w:val="24"/>
          <w:szCs w:val="24"/>
          <w:lang w:val="en-GB" w:eastAsia="en-GB"/>
        </w:rPr>
      </w:pPr>
    </w:p>
    <w:p w14:paraId="0996DB3A" w14:textId="26FDE1CE" w:rsidR="007C7435" w:rsidRDefault="007C7435" w:rsidP="00296B61">
      <w:pPr>
        <w:spacing w:before="240" w:line="360" w:lineRule="auto"/>
        <w:jc w:val="both"/>
        <w:rPr>
          <w:rFonts w:ascii="Arial" w:hAnsi="Arial" w:cs="Arial"/>
          <w:sz w:val="24"/>
          <w:szCs w:val="24"/>
          <w:lang w:val="en-GB" w:eastAsia="en-GB"/>
        </w:rPr>
      </w:pPr>
    </w:p>
    <w:p w14:paraId="74CC650A" w14:textId="178422F8" w:rsidR="007C7435" w:rsidRDefault="007C7435" w:rsidP="00296B61">
      <w:pPr>
        <w:spacing w:before="240" w:line="360" w:lineRule="auto"/>
        <w:jc w:val="both"/>
        <w:rPr>
          <w:rFonts w:ascii="Arial" w:hAnsi="Arial" w:cs="Arial"/>
          <w:sz w:val="24"/>
          <w:szCs w:val="24"/>
          <w:lang w:val="en-GB" w:eastAsia="en-GB"/>
        </w:rPr>
      </w:pPr>
    </w:p>
    <w:p w14:paraId="433E3805" w14:textId="7AEE42AA" w:rsidR="007C7435" w:rsidRDefault="007C7435" w:rsidP="00296B61">
      <w:pPr>
        <w:spacing w:before="240" w:line="360" w:lineRule="auto"/>
        <w:jc w:val="both"/>
        <w:rPr>
          <w:rFonts w:ascii="Arial" w:hAnsi="Arial" w:cs="Arial"/>
          <w:sz w:val="24"/>
          <w:szCs w:val="24"/>
          <w:lang w:val="en-GB" w:eastAsia="en-GB"/>
        </w:rPr>
      </w:pPr>
    </w:p>
    <w:p w14:paraId="21807742" w14:textId="736DE237" w:rsidR="007C7435" w:rsidRDefault="007C7435" w:rsidP="00296B61">
      <w:pPr>
        <w:spacing w:before="240" w:line="360" w:lineRule="auto"/>
        <w:jc w:val="both"/>
        <w:rPr>
          <w:rFonts w:ascii="Arial" w:hAnsi="Arial" w:cs="Arial"/>
          <w:sz w:val="24"/>
          <w:szCs w:val="24"/>
          <w:lang w:val="en-GB" w:eastAsia="en-GB"/>
        </w:rPr>
      </w:pPr>
    </w:p>
    <w:p w14:paraId="598C48F9" w14:textId="00091383" w:rsidR="007C7435" w:rsidRDefault="007C7435" w:rsidP="00296B61">
      <w:pPr>
        <w:spacing w:before="240" w:line="360" w:lineRule="auto"/>
        <w:jc w:val="both"/>
        <w:rPr>
          <w:rFonts w:ascii="Arial" w:hAnsi="Arial" w:cs="Arial"/>
          <w:sz w:val="24"/>
          <w:szCs w:val="24"/>
          <w:lang w:val="en-GB" w:eastAsia="en-GB"/>
        </w:rPr>
      </w:pPr>
    </w:p>
    <w:p w14:paraId="773E2DE7" w14:textId="77777777" w:rsidR="007C7435" w:rsidRDefault="007C7435" w:rsidP="00296B61">
      <w:pPr>
        <w:spacing w:before="240" w:line="360" w:lineRule="auto"/>
        <w:jc w:val="both"/>
        <w:rPr>
          <w:rFonts w:ascii="Arial" w:hAnsi="Arial" w:cs="Arial"/>
          <w:sz w:val="24"/>
          <w:szCs w:val="24"/>
          <w:lang w:val="en-GB" w:eastAsia="en-GB"/>
        </w:rPr>
      </w:pPr>
    </w:p>
    <w:sectPr w:rsidR="007C7435" w:rsidSect="00B50C6B">
      <w:headerReference w:type="default" r:id="rId50"/>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D0869" w14:textId="77777777" w:rsidR="009130C1" w:rsidRDefault="009130C1" w:rsidP="00226B65">
      <w:pPr>
        <w:spacing w:after="0" w:line="240" w:lineRule="auto"/>
      </w:pPr>
      <w:r>
        <w:separator/>
      </w:r>
    </w:p>
  </w:endnote>
  <w:endnote w:type="continuationSeparator" w:id="0">
    <w:p w14:paraId="324D6903" w14:textId="77777777" w:rsidR="009130C1" w:rsidRDefault="009130C1"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482E9F20" w:rsidR="0038379F" w:rsidRDefault="0038379F">
        <w:pPr>
          <w:pStyle w:val="Footer"/>
          <w:jc w:val="center"/>
        </w:pPr>
        <w:r>
          <w:fldChar w:fldCharType="begin"/>
        </w:r>
        <w:r>
          <w:instrText xml:space="preserve"> PAGE   \* MERGEFORMAT </w:instrText>
        </w:r>
        <w:r>
          <w:fldChar w:fldCharType="separate"/>
        </w:r>
        <w:r w:rsidR="00E10813">
          <w:rPr>
            <w:noProof/>
          </w:rPr>
          <w:t>v</w:t>
        </w:r>
        <w:r>
          <w:rPr>
            <w:noProof/>
          </w:rPr>
          <w:fldChar w:fldCharType="end"/>
        </w:r>
      </w:p>
    </w:sdtContent>
  </w:sdt>
  <w:p w14:paraId="09932598" w14:textId="77777777" w:rsidR="0038379F" w:rsidRDefault="0038379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3D98C664" w:rsidR="0038379F" w:rsidRDefault="0038379F">
        <w:pPr>
          <w:pStyle w:val="Footer"/>
          <w:jc w:val="center"/>
        </w:pPr>
        <w:r>
          <w:fldChar w:fldCharType="begin"/>
        </w:r>
        <w:r>
          <w:instrText xml:space="preserve"> PAGE   \* MERGEFORMAT </w:instrText>
        </w:r>
        <w:r>
          <w:fldChar w:fldCharType="separate"/>
        </w:r>
        <w:r w:rsidR="00E10813">
          <w:rPr>
            <w:noProof/>
          </w:rPr>
          <w:t>50</w:t>
        </w:r>
        <w:r>
          <w:rPr>
            <w:noProof/>
          </w:rPr>
          <w:fldChar w:fldCharType="end"/>
        </w:r>
      </w:p>
    </w:sdtContent>
  </w:sdt>
  <w:p w14:paraId="751981B7" w14:textId="77777777" w:rsidR="0038379F" w:rsidRPr="00F706E3" w:rsidRDefault="0038379F">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FE15D" w14:textId="77777777" w:rsidR="009130C1" w:rsidRDefault="009130C1" w:rsidP="00226B65">
      <w:pPr>
        <w:spacing w:after="0" w:line="240" w:lineRule="auto"/>
      </w:pPr>
      <w:r>
        <w:separator/>
      </w:r>
    </w:p>
  </w:footnote>
  <w:footnote w:type="continuationSeparator" w:id="0">
    <w:p w14:paraId="1F64DB2A" w14:textId="77777777" w:rsidR="009130C1" w:rsidRDefault="009130C1"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38379F" w:rsidRDefault="003837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7D89"/>
    <w:multiLevelType w:val="multilevel"/>
    <w:tmpl w:val="A190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73141"/>
    <w:multiLevelType w:val="hybridMultilevel"/>
    <w:tmpl w:val="8052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B3613"/>
    <w:multiLevelType w:val="multilevel"/>
    <w:tmpl w:val="69C8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82967"/>
    <w:multiLevelType w:val="multilevel"/>
    <w:tmpl w:val="16B4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F395F"/>
    <w:multiLevelType w:val="hybridMultilevel"/>
    <w:tmpl w:val="4606B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337CA"/>
    <w:multiLevelType w:val="multilevel"/>
    <w:tmpl w:val="FA66E7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A0D06"/>
    <w:multiLevelType w:val="multilevel"/>
    <w:tmpl w:val="A2A64B7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8045EC"/>
    <w:multiLevelType w:val="multilevel"/>
    <w:tmpl w:val="3E70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07E1F"/>
    <w:multiLevelType w:val="multilevel"/>
    <w:tmpl w:val="6C90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00039"/>
    <w:multiLevelType w:val="multilevel"/>
    <w:tmpl w:val="8366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A52865"/>
    <w:multiLevelType w:val="multilevel"/>
    <w:tmpl w:val="D7D2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ED2DF4"/>
    <w:multiLevelType w:val="multilevel"/>
    <w:tmpl w:val="4644010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944A39"/>
    <w:multiLevelType w:val="hybridMultilevel"/>
    <w:tmpl w:val="6238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C757D"/>
    <w:multiLevelType w:val="multilevel"/>
    <w:tmpl w:val="16D08C7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D43FED"/>
    <w:multiLevelType w:val="multilevel"/>
    <w:tmpl w:val="61C401D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9F77E7"/>
    <w:multiLevelType w:val="multilevel"/>
    <w:tmpl w:val="5DD8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B5A9B"/>
    <w:multiLevelType w:val="multilevel"/>
    <w:tmpl w:val="4BBE2FA2"/>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6C21AE"/>
    <w:multiLevelType w:val="multilevel"/>
    <w:tmpl w:val="A52E55A2"/>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C1434A"/>
    <w:multiLevelType w:val="multilevel"/>
    <w:tmpl w:val="801E8B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C0639A"/>
    <w:multiLevelType w:val="multilevel"/>
    <w:tmpl w:val="C0D2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ED5A4B"/>
    <w:multiLevelType w:val="multilevel"/>
    <w:tmpl w:val="5EE61CF8"/>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727DF8"/>
    <w:multiLevelType w:val="multilevel"/>
    <w:tmpl w:val="CBAAE95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3E7CAB"/>
    <w:multiLevelType w:val="multilevel"/>
    <w:tmpl w:val="0B6EB806"/>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E04CAA"/>
    <w:multiLevelType w:val="multilevel"/>
    <w:tmpl w:val="BEDEBA6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A35FC0"/>
    <w:multiLevelType w:val="multilevel"/>
    <w:tmpl w:val="40FA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9C30E2"/>
    <w:multiLevelType w:val="multilevel"/>
    <w:tmpl w:val="FA8433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2042BE"/>
    <w:multiLevelType w:val="multilevel"/>
    <w:tmpl w:val="58ECCF1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44298A"/>
    <w:multiLevelType w:val="hybridMultilevel"/>
    <w:tmpl w:val="931E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C7BBA"/>
    <w:multiLevelType w:val="multilevel"/>
    <w:tmpl w:val="DFD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14A1D"/>
    <w:multiLevelType w:val="multilevel"/>
    <w:tmpl w:val="19AC2C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0E3608"/>
    <w:multiLevelType w:val="multilevel"/>
    <w:tmpl w:val="3CE0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1A44EC"/>
    <w:multiLevelType w:val="multilevel"/>
    <w:tmpl w:val="86002C10"/>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F036D1"/>
    <w:multiLevelType w:val="multilevel"/>
    <w:tmpl w:val="5A4A5A5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170DC5"/>
    <w:multiLevelType w:val="multilevel"/>
    <w:tmpl w:val="C33E9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165586"/>
    <w:multiLevelType w:val="multilevel"/>
    <w:tmpl w:val="5870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553623"/>
    <w:multiLevelType w:val="multilevel"/>
    <w:tmpl w:val="1DCC6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A77473"/>
    <w:multiLevelType w:val="multilevel"/>
    <w:tmpl w:val="71AE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405741"/>
    <w:multiLevelType w:val="multilevel"/>
    <w:tmpl w:val="3A6251F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56047"/>
    <w:multiLevelType w:val="hybridMultilevel"/>
    <w:tmpl w:val="9E1AD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560D82"/>
    <w:multiLevelType w:val="multilevel"/>
    <w:tmpl w:val="D708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930FA2"/>
    <w:multiLevelType w:val="multilevel"/>
    <w:tmpl w:val="CC3A580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BA5CDA"/>
    <w:multiLevelType w:val="multilevel"/>
    <w:tmpl w:val="DE3A0D5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8"/>
  </w:num>
  <w:num w:numId="3">
    <w:abstractNumId w:val="27"/>
  </w:num>
  <w:num w:numId="4">
    <w:abstractNumId w:val="12"/>
  </w:num>
  <w:num w:numId="5">
    <w:abstractNumId w:val="1"/>
  </w:num>
  <w:num w:numId="6">
    <w:abstractNumId w:val="24"/>
  </w:num>
  <w:num w:numId="7">
    <w:abstractNumId w:val="5"/>
  </w:num>
  <w:num w:numId="8">
    <w:abstractNumId w:val="25"/>
  </w:num>
  <w:num w:numId="9">
    <w:abstractNumId w:val="29"/>
  </w:num>
  <w:num w:numId="10">
    <w:abstractNumId w:val="14"/>
  </w:num>
  <w:num w:numId="11">
    <w:abstractNumId w:val="11"/>
  </w:num>
  <w:num w:numId="12">
    <w:abstractNumId w:val="41"/>
  </w:num>
  <w:num w:numId="13">
    <w:abstractNumId w:val="21"/>
  </w:num>
  <w:num w:numId="14">
    <w:abstractNumId w:val="40"/>
  </w:num>
  <w:num w:numId="15">
    <w:abstractNumId w:val="13"/>
  </w:num>
  <w:num w:numId="16">
    <w:abstractNumId w:val="6"/>
  </w:num>
  <w:num w:numId="17">
    <w:abstractNumId w:val="37"/>
  </w:num>
  <w:num w:numId="18">
    <w:abstractNumId w:val="32"/>
  </w:num>
  <w:num w:numId="19">
    <w:abstractNumId w:val="18"/>
  </w:num>
  <w:num w:numId="20">
    <w:abstractNumId w:val="20"/>
  </w:num>
  <w:num w:numId="21">
    <w:abstractNumId w:val="26"/>
  </w:num>
  <w:num w:numId="22">
    <w:abstractNumId w:val="16"/>
  </w:num>
  <w:num w:numId="23">
    <w:abstractNumId w:val="31"/>
  </w:num>
  <w:num w:numId="24">
    <w:abstractNumId w:val="23"/>
  </w:num>
  <w:num w:numId="25">
    <w:abstractNumId w:val="22"/>
  </w:num>
  <w:num w:numId="26">
    <w:abstractNumId w:val="17"/>
  </w:num>
  <w:num w:numId="27">
    <w:abstractNumId w:val="19"/>
  </w:num>
  <w:num w:numId="28">
    <w:abstractNumId w:val="7"/>
  </w:num>
  <w:num w:numId="29">
    <w:abstractNumId w:val="36"/>
  </w:num>
  <w:num w:numId="30">
    <w:abstractNumId w:val="3"/>
  </w:num>
  <w:num w:numId="31">
    <w:abstractNumId w:val="8"/>
  </w:num>
  <w:num w:numId="32">
    <w:abstractNumId w:val="33"/>
  </w:num>
  <w:num w:numId="33">
    <w:abstractNumId w:val="34"/>
  </w:num>
  <w:num w:numId="34">
    <w:abstractNumId w:val="39"/>
  </w:num>
  <w:num w:numId="35">
    <w:abstractNumId w:val="0"/>
  </w:num>
  <w:num w:numId="36">
    <w:abstractNumId w:val="2"/>
  </w:num>
  <w:num w:numId="37">
    <w:abstractNumId w:val="15"/>
  </w:num>
  <w:num w:numId="38">
    <w:abstractNumId w:val="35"/>
  </w:num>
  <w:num w:numId="39">
    <w:abstractNumId w:val="9"/>
  </w:num>
  <w:num w:numId="40">
    <w:abstractNumId w:val="28"/>
  </w:num>
  <w:num w:numId="41">
    <w:abstractNumId w:val="10"/>
  </w:num>
  <w:num w:numId="42">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4D04"/>
    <w:rsid w:val="00004D6C"/>
    <w:rsid w:val="000117E4"/>
    <w:rsid w:val="00013335"/>
    <w:rsid w:val="0001370B"/>
    <w:rsid w:val="00014A2F"/>
    <w:rsid w:val="00020A7C"/>
    <w:rsid w:val="0002406A"/>
    <w:rsid w:val="00036E37"/>
    <w:rsid w:val="0003742F"/>
    <w:rsid w:val="00043172"/>
    <w:rsid w:val="000438AB"/>
    <w:rsid w:val="00044370"/>
    <w:rsid w:val="000447C7"/>
    <w:rsid w:val="00046CE1"/>
    <w:rsid w:val="000573C7"/>
    <w:rsid w:val="0006073E"/>
    <w:rsid w:val="000621B1"/>
    <w:rsid w:val="00062B3E"/>
    <w:rsid w:val="00064403"/>
    <w:rsid w:val="00066DDC"/>
    <w:rsid w:val="00067EB2"/>
    <w:rsid w:val="000720BB"/>
    <w:rsid w:val="00072CF9"/>
    <w:rsid w:val="00073190"/>
    <w:rsid w:val="000755AF"/>
    <w:rsid w:val="00082254"/>
    <w:rsid w:val="000866B5"/>
    <w:rsid w:val="0009016E"/>
    <w:rsid w:val="00094C6A"/>
    <w:rsid w:val="00095B12"/>
    <w:rsid w:val="000A0440"/>
    <w:rsid w:val="000A297B"/>
    <w:rsid w:val="000A2CAF"/>
    <w:rsid w:val="000A65E5"/>
    <w:rsid w:val="000A7D86"/>
    <w:rsid w:val="000B2756"/>
    <w:rsid w:val="000B3E28"/>
    <w:rsid w:val="000B4733"/>
    <w:rsid w:val="000C4DA0"/>
    <w:rsid w:val="000C6B7F"/>
    <w:rsid w:val="000C7D8E"/>
    <w:rsid w:val="000C7FAD"/>
    <w:rsid w:val="000D1721"/>
    <w:rsid w:val="000D57BD"/>
    <w:rsid w:val="000D5F4B"/>
    <w:rsid w:val="000E1B28"/>
    <w:rsid w:val="000E76ED"/>
    <w:rsid w:val="000F0747"/>
    <w:rsid w:val="000F1E62"/>
    <w:rsid w:val="000F5846"/>
    <w:rsid w:val="000F5EA9"/>
    <w:rsid w:val="00100F99"/>
    <w:rsid w:val="0010342D"/>
    <w:rsid w:val="00104C38"/>
    <w:rsid w:val="00105DB6"/>
    <w:rsid w:val="00106CC9"/>
    <w:rsid w:val="00114D7F"/>
    <w:rsid w:val="00120896"/>
    <w:rsid w:val="00122C26"/>
    <w:rsid w:val="00124FA6"/>
    <w:rsid w:val="001254F4"/>
    <w:rsid w:val="001269B6"/>
    <w:rsid w:val="001335F2"/>
    <w:rsid w:val="001346AE"/>
    <w:rsid w:val="00134C55"/>
    <w:rsid w:val="0014628F"/>
    <w:rsid w:val="0014739F"/>
    <w:rsid w:val="00154BCB"/>
    <w:rsid w:val="00155F79"/>
    <w:rsid w:val="001560A9"/>
    <w:rsid w:val="001640E8"/>
    <w:rsid w:val="00167C72"/>
    <w:rsid w:val="001801FE"/>
    <w:rsid w:val="00183A1B"/>
    <w:rsid w:val="00187F30"/>
    <w:rsid w:val="001906A4"/>
    <w:rsid w:val="001929B4"/>
    <w:rsid w:val="001962E4"/>
    <w:rsid w:val="001A08AB"/>
    <w:rsid w:val="001A0C2E"/>
    <w:rsid w:val="001A2504"/>
    <w:rsid w:val="001A70A9"/>
    <w:rsid w:val="001B41A5"/>
    <w:rsid w:val="001C26FD"/>
    <w:rsid w:val="001D1268"/>
    <w:rsid w:val="001D3EBB"/>
    <w:rsid w:val="001D5EF2"/>
    <w:rsid w:val="001E0746"/>
    <w:rsid w:val="001F27A2"/>
    <w:rsid w:val="001F2E2C"/>
    <w:rsid w:val="001F60C6"/>
    <w:rsid w:val="002003D0"/>
    <w:rsid w:val="00201851"/>
    <w:rsid w:val="002049FF"/>
    <w:rsid w:val="002068A4"/>
    <w:rsid w:val="00211196"/>
    <w:rsid w:val="002119EB"/>
    <w:rsid w:val="002129FD"/>
    <w:rsid w:val="00212ED5"/>
    <w:rsid w:val="00217C41"/>
    <w:rsid w:val="00220A5E"/>
    <w:rsid w:val="00221E59"/>
    <w:rsid w:val="00226B65"/>
    <w:rsid w:val="00227CB2"/>
    <w:rsid w:val="00235395"/>
    <w:rsid w:val="00235792"/>
    <w:rsid w:val="00236100"/>
    <w:rsid w:val="00241AE4"/>
    <w:rsid w:val="00244702"/>
    <w:rsid w:val="00244CCB"/>
    <w:rsid w:val="00250651"/>
    <w:rsid w:val="002612D9"/>
    <w:rsid w:val="00262AF0"/>
    <w:rsid w:val="00265497"/>
    <w:rsid w:val="00272CF0"/>
    <w:rsid w:val="002757F5"/>
    <w:rsid w:val="00281166"/>
    <w:rsid w:val="00282863"/>
    <w:rsid w:val="00284522"/>
    <w:rsid w:val="00284693"/>
    <w:rsid w:val="00287FB7"/>
    <w:rsid w:val="002920E6"/>
    <w:rsid w:val="002930B6"/>
    <w:rsid w:val="00293DE1"/>
    <w:rsid w:val="00294FF8"/>
    <w:rsid w:val="00296B61"/>
    <w:rsid w:val="002A1E74"/>
    <w:rsid w:val="002A72BC"/>
    <w:rsid w:val="002B3460"/>
    <w:rsid w:val="002B719C"/>
    <w:rsid w:val="002B7538"/>
    <w:rsid w:val="002C23A0"/>
    <w:rsid w:val="002C2417"/>
    <w:rsid w:val="002C6544"/>
    <w:rsid w:val="002D1910"/>
    <w:rsid w:val="002D3C6B"/>
    <w:rsid w:val="002D4A25"/>
    <w:rsid w:val="002D6462"/>
    <w:rsid w:val="002D7021"/>
    <w:rsid w:val="002E019E"/>
    <w:rsid w:val="002E2D64"/>
    <w:rsid w:val="002E4CF4"/>
    <w:rsid w:val="002E4D5A"/>
    <w:rsid w:val="002E4DF0"/>
    <w:rsid w:val="002E5287"/>
    <w:rsid w:val="002F54CA"/>
    <w:rsid w:val="002F6A3D"/>
    <w:rsid w:val="002F7B54"/>
    <w:rsid w:val="00302170"/>
    <w:rsid w:val="00302559"/>
    <w:rsid w:val="00304029"/>
    <w:rsid w:val="00304B5F"/>
    <w:rsid w:val="00306545"/>
    <w:rsid w:val="00310DA3"/>
    <w:rsid w:val="00312AF4"/>
    <w:rsid w:val="003145AB"/>
    <w:rsid w:val="0031596D"/>
    <w:rsid w:val="00325211"/>
    <w:rsid w:val="00326EBB"/>
    <w:rsid w:val="0032756A"/>
    <w:rsid w:val="00332C7B"/>
    <w:rsid w:val="00335E27"/>
    <w:rsid w:val="0034076E"/>
    <w:rsid w:val="00340969"/>
    <w:rsid w:val="00345B65"/>
    <w:rsid w:val="003554EF"/>
    <w:rsid w:val="00361E3B"/>
    <w:rsid w:val="0037334C"/>
    <w:rsid w:val="00376A06"/>
    <w:rsid w:val="00376D86"/>
    <w:rsid w:val="0038198C"/>
    <w:rsid w:val="00383247"/>
    <w:rsid w:val="0038379F"/>
    <w:rsid w:val="003916FE"/>
    <w:rsid w:val="0039798E"/>
    <w:rsid w:val="003A5A93"/>
    <w:rsid w:val="003B280D"/>
    <w:rsid w:val="003B6F9C"/>
    <w:rsid w:val="003C1271"/>
    <w:rsid w:val="003C26CE"/>
    <w:rsid w:val="003C45F7"/>
    <w:rsid w:val="003C550C"/>
    <w:rsid w:val="003C7318"/>
    <w:rsid w:val="003D071E"/>
    <w:rsid w:val="003D7187"/>
    <w:rsid w:val="003D7356"/>
    <w:rsid w:val="003E554F"/>
    <w:rsid w:val="003F047C"/>
    <w:rsid w:val="004005C8"/>
    <w:rsid w:val="00403881"/>
    <w:rsid w:val="004071F9"/>
    <w:rsid w:val="00410EE2"/>
    <w:rsid w:val="00415A7C"/>
    <w:rsid w:val="00416524"/>
    <w:rsid w:val="004229B7"/>
    <w:rsid w:val="00422ACC"/>
    <w:rsid w:val="00426935"/>
    <w:rsid w:val="00433D54"/>
    <w:rsid w:val="004439A2"/>
    <w:rsid w:val="004537D1"/>
    <w:rsid w:val="00453801"/>
    <w:rsid w:val="004618F7"/>
    <w:rsid w:val="00464637"/>
    <w:rsid w:val="004664C0"/>
    <w:rsid w:val="00475CF8"/>
    <w:rsid w:val="004774F6"/>
    <w:rsid w:val="004809C8"/>
    <w:rsid w:val="00482C55"/>
    <w:rsid w:val="00486CBA"/>
    <w:rsid w:val="0048704A"/>
    <w:rsid w:val="00493CD3"/>
    <w:rsid w:val="00494567"/>
    <w:rsid w:val="00497383"/>
    <w:rsid w:val="004A3190"/>
    <w:rsid w:val="004A3ACD"/>
    <w:rsid w:val="004A4D7C"/>
    <w:rsid w:val="004B2D5C"/>
    <w:rsid w:val="004B4887"/>
    <w:rsid w:val="004C0434"/>
    <w:rsid w:val="004C1558"/>
    <w:rsid w:val="004C3838"/>
    <w:rsid w:val="004C5F1B"/>
    <w:rsid w:val="004C6A98"/>
    <w:rsid w:val="004C6BDB"/>
    <w:rsid w:val="004D0A7B"/>
    <w:rsid w:val="004E1586"/>
    <w:rsid w:val="004E25D5"/>
    <w:rsid w:val="004E5561"/>
    <w:rsid w:val="004F1B8C"/>
    <w:rsid w:val="005007A7"/>
    <w:rsid w:val="0050370C"/>
    <w:rsid w:val="0050713D"/>
    <w:rsid w:val="0051277B"/>
    <w:rsid w:val="00512825"/>
    <w:rsid w:val="0051296B"/>
    <w:rsid w:val="00517427"/>
    <w:rsid w:val="005174E7"/>
    <w:rsid w:val="00520D8F"/>
    <w:rsid w:val="00523927"/>
    <w:rsid w:val="00526E02"/>
    <w:rsid w:val="005317CE"/>
    <w:rsid w:val="00532B48"/>
    <w:rsid w:val="00534005"/>
    <w:rsid w:val="005356A2"/>
    <w:rsid w:val="005410CD"/>
    <w:rsid w:val="005438A3"/>
    <w:rsid w:val="00547219"/>
    <w:rsid w:val="005572AB"/>
    <w:rsid w:val="00562A0A"/>
    <w:rsid w:val="005663BE"/>
    <w:rsid w:val="00566FE1"/>
    <w:rsid w:val="00572CAA"/>
    <w:rsid w:val="00573E08"/>
    <w:rsid w:val="00573EAA"/>
    <w:rsid w:val="0057579E"/>
    <w:rsid w:val="00583BA8"/>
    <w:rsid w:val="005846CF"/>
    <w:rsid w:val="005859A6"/>
    <w:rsid w:val="005862EB"/>
    <w:rsid w:val="0059125D"/>
    <w:rsid w:val="005935D1"/>
    <w:rsid w:val="00596E37"/>
    <w:rsid w:val="005A3143"/>
    <w:rsid w:val="005A40ED"/>
    <w:rsid w:val="005A4E1A"/>
    <w:rsid w:val="005A5A78"/>
    <w:rsid w:val="005A6570"/>
    <w:rsid w:val="005B01FD"/>
    <w:rsid w:val="005B1786"/>
    <w:rsid w:val="005B203B"/>
    <w:rsid w:val="005B4BC5"/>
    <w:rsid w:val="005C08FE"/>
    <w:rsid w:val="005C5A1B"/>
    <w:rsid w:val="005D5DFF"/>
    <w:rsid w:val="005D7E96"/>
    <w:rsid w:val="005E651E"/>
    <w:rsid w:val="005F32BF"/>
    <w:rsid w:val="00604954"/>
    <w:rsid w:val="006119A3"/>
    <w:rsid w:val="006130A6"/>
    <w:rsid w:val="00622191"/>
    <w:rsid w:val="00624EC2"/>
    <w:rsid w:val="006255E9"/>
    <w:rsid w:val="00627208"/>
    <w:rsid w:val="0063171D"/>
    <w:rsid w:val="00641A51"/>
    <w:rsid w:val="00642665"/>
    <w:rsid w:val="006447AA"/>
    <w:rsid w:val="006524E6"/>
    <w:rsid w:val="0065437D"/>
    <w:rsid w:val="006562F7"/>
    <w:rsid w:val="00656CC7"/>
    <w:rsid w:val="00657903"/>
    <w:rsid w:val="00661BE0"/>
    <w:rsid w:val="006657D1"/>
    <w:rsid w:val="00665C21"/>
    <w:rsid w:val="00666BD6"/>
    <w:rsid w:val="0066772B"/>
    <w:rsid w:val="0067434B"/>
    <w:rsid w:val="006759BF"/>
    <w:rsid w:val="00680BC4"/>
    <w:rsid w:val="00681A46"/>
    <w:rsid w:val="00682321"/>
    <w:rsid w:val="006828AF"/>
    <w:rsid w:val="00683B26"/>
    <w:rsid w:val="00685B04"/>
    <w:rsid w:val="00685E78"/>
    <w:rsid w:val="0069026C"/>
    <w:rsid w:val="00691DE2"/>
    <w:rsid w:val="0069736A"/>
    <w:rsid w:val="006A5392"/>
    <w:rsid w:val="006A67AF"/>
    <w:rsid w:val="006B0B70"/>
    <w:rsid w:val="006B10AA"/>
    <w:rsid w:val="006B2BF5"/>
    <w:rsid w:val="006B2C43"/>
    <w:rsid w:val="006B2F97"/>
    <w:rsid w:val="006B4CFC"/>
    <w:rsid w:val="006B68BD"/>
    <w:rsid w:val="006C1E78"/>
    <w:rsid w:val="006C2520"/>
    <w:rsid w:val="006C7061"/>
    <w:rsid w:val="006D021F"/>
    <w:rsid w:val="006D0F86"/>
    <w:rsid w:val="006D1ABF"/>
    <w:rsid w:val="006D3621"/>
    <w:rsid w:val="006D4429"/>
    <w:rsid w:val="006D527A"/>
    <w:rsid w:val="006D7D71"/>
    <w:rsid w:val="006E19FF"/>
    <w:rsid w:val="006E29E7"/>
    <w:rsid w:val="006E45FD"/>
    <w:rsid w:val="006E4CEC"/>
    <w:rsid w:val="006E6B3E"/>
    <w:rsid w:val="006F1D89"/>
    <w:rsid w:val="006F5AA8"/>
    <w:rsid w:val="006F62D4"/>
    <w:rsid w:val="00706755"/>
    <w:rsid w:val="00710133"/>
    <w:rsid w:val="0071138A"/>
    <w:rsid w:val="007122FC"/>
    <w:rsid w:val="00714606"/>
    <w:rsid w:val="00717230"/>
    <w:rsid w:val="007238C4"/>
    <w:rsid w:val="007313BE"/>
    <w:rsid w:val="00741047"/>
    <w:rsid w:val="00741A4B"/>
    <w:rsid w:val="00741EE0"/>
    <w:rsid w:val="007510F2"/>
    <w:rsid w:val="007534E4"/>
    <w:rsid w:val="007645A0"/>
    <w:rsid w:val="00764905"/>
    <w:rsid w:val="007650F8"/>
    <w:rsid w:val="0076720A"/>
    <w:rsid w:val="00767602"/>
    <w:rsid w:val="007732CB"/>
    <w:rsid w:val="00773DB6"/>
    <w:rsid w:val="00776EF3"/>
    <w:rsid w:val="00783B82"/>
    <w:rsid w:val="00783E97"/>
    <w:rsid w:val="00787832"/>
    <w:rsid w:val="007958E5"/>
    <w:rsid w:val="00796EBD"/>
    <w:rsid w:val="007A2F5B"/>
    <w:rsid w:val="007A7768"/>
    <w:rsid w:val="007B0227"/>
    <w:rsid w:val="007B0C7A"/>
    <w:rsid w:val="007B159C"/>
    <w:rsid w:val="007B17AF"/>
    <w:rsid w:val="007B2D07"/>
    <w:rsid w:val="007B5032"/>
    <w:rsid w:val="007B5990"/>
    <w:rsid w:val="007B7149"/>
    <w:rsid w:val="007C175A"/>
    <w:rsid w:val="007C50AF"/>
    <w:rsid w:val="007C5C09"/>
    <w:rsid w:val="007C7435"/>
    <w:rsid w:val="007D20A3"/>
    <w:rsid w:val="007D6B38"/>
    <w:rsid w:val="007D762A"/>
    <w:rsid w:val="007E1958"/>
    <w:rsid w:val="007E238F"/>
    <w:rsid w:val="007E3FEA"/>
    <w:rsid w:val="007E55AA"/>
    <w:rsid w:val="007F44DE"/>
    <w:rsid w:val="007F46AC"/>
    <w:rsid w:val="00801A51"/>
    <w:rsid w:val="008058A4"/>
    <w:rsid w:val="00830A28"/>
    <w:rsid w:val="00835E9A"/>
    <w:rsid w:val="00842053"/>
    <w:rsid w:val="0084379F"/>
    <w:rsid w:val="00846ED2"/>
    <w:rsid w:val="008505D3"/>
    <w:rsid w:val="00856BBB"/>
    <w:rsid w:val="00864625"/>
    <w:rsid w:val="0086473A"/>
    <w:rsid w:val="00873C00"/>
    <w:rsid w:val="008740F8"/>
    <w:rsid w:val="00874FBB"/>
    <w:rsid w:val="0088501A"/>
    <w:rsid w:val="00886549"/>
    <w:rsid w:val="00887DE5"/>
    <w:rsid w:val="00892027"/>
    <w:rsid w:val="00893394"/>
    <w:rsid w:val="008A0DD0"/>
    <w:rsid w:val="008A240B"/>
    <w:rsid w:val="008A35A3"/>
    <w:rsid w:val="008B0B6B"/>
    <w:rsid w:val="008B2414"/>
    <w:rsid w:val="008B519F"/>
    <w:rsid w:val="008B52D5"/>
    <w:rsid w:val="008C346C"/>
    <w:rsid w:val="008D295A"/>
    <w:rsid w:val="008D61E6"/>
    <w:rsid w:val="008E50C2"/>
    <w:rsid w:val="00901795"/>
    <w:rsid w:val="009037D0"/>
    <w:rsid w:val="00903846"/>
    <w:rsid w:val="00906685"/>
    <w:rsid w:val="009130C1"/>
    <w:rsid w:val="009132F1"/>
    <w:rsid w:val="00913951"/>
    <w:rsid w:val="00915D41"/>
    <w:rsid w:val="0092313B"/>
    <w:rsid w:val="0092558D"/>
    <w:rsid w:val="00941029"/>
    <w:rsid w:val="00942173"/>
    <w:rsid w:val="009437F7"/>
    <w:rsid w:val="00943A03"/>
    <w:rsid w:val="009478CB"/>
    <w:rsid w:val="009658A9"/>
    <w:rsid w:val="00974088"/>
    <w:rsid w:val="009764C4"/>
    <w:rsid w:val="00981890"/>
    <w:rsid w:val="0098403E"/>
    <w:rsid w:val="009860C8"/>
    <w:rsid w:val="00996042"/>
    <w:rsid w:val="009A4E85"/>
    <w:rsid w:val="009A710A"/>
    <w:rsid w:val="009B2B4A"/>
    <w:rsid w:val="009B5010"/>
    <w:rsid w:val="009B5F1A"/>
    <w:rsid w:val="009C31FA"/>
    <w:rsid w:val="009C4671"/>
    <w:rsid w:val="009C7909"/>
    <w:rsid w:val="009D12BC"/>
    <w:rsid w:val="009D48DB"/>
    <w:rsid w:val="009E4370"/>
    <w:rsid w:val="009E77E0"/>
    <w:rsid w:val="009F083A"/>
    <w:rsid w:val="009F613F"/>
    <w:rsid w:val="00A02DC5"/>
    <w:rsid w:val="00A11C56"/>
    <w:rsid w:val="00A14AD2"/>
    <w:rsid w:val="00A1593B"/>
    <w:rsid w:val="00A15DC3"/>
    <w:rsid w:val="00A161D9"/>
    <w:rsid w:val="00A31DCA"/>
    <w:rsid w:val="00A32809"/>
    <w:rsid w:val="00A359D9"/>
    <w:rsid w:val="00A403D9"/>
    <w:rsid w:val="00A40A61"/>
    <w:rsid w:val="00A41950"/>
    <w:rsid w:val="00A46CDF"/>
    <w:rsid w:val="00A553F3"/>
    <w:rsid w:val="00A6148D"/>
    <w:rsid w:val="00A61981"/>
    <w:rsid w:val="00A61A46"/>
    <w:rsid w:val="00A629F8"/>
    <w:rsid w:val="00A64FC6"/>
    <w:rsid w:val="00A6667F"/>
    <w:rsid w:val="00A7047A"/>
    <w:rsid w:val="00A819B9"/>
    <w:rsid w:val="00A8578D"/>
    <w:rsid w:val="00A85AAC"/>
    <w:rsid w:val="00A86D90"/>
    <w:rsid w:val="00A96708"/>
    <w:rsid w:val="00A9718C"/>
    <w:rsid w:val="00AA315B"/>
    <w:rsid w:val="00AA4C37"/>
    <w:rsid w:val="00AA5615"/>
    <w:rsid w:val="00AB2619"/>
    <w:rsid w:val="00AB2863"/>
    <w:rsid w:val="00AB400A"/>
    <w:rsid w:val="00AB5361"/>
    <w:rsid w:val="00AB5E8C"/>
    <w:rsid w:val="00AC02D7"/>
    <w:rsid w:val="00AC24F6"/>
    <w:rsid w:val="00AD0545"/>
    <w:rsid w:val="00AD06AC"/>
    <w:rsid w:val="00AD507F"/>
    <w:rsid w:val="00AD5653"/>
    <w:rsid w:val="00AD5FB7"/>
    <w:rsid w:val="00AD7940"/>
    <w:rsid w:val="00AE0597"/>
    <w:rsid w:val="00AF137C"/>
    <w:rsid w:val="00AF152B"/>
    <w:rsid w:val="00AF1DB0"/>
    <w:rsid w:val="00AF39EE"/>
    <w:rsid w:val="00B00717"/>
    <w:rsid w:val="00B01263"/>
    <w:rsid w:val="00B01EDF"/>
    <w:rsid w:val="00B121DB"/>
    <w:rsid w:val="00B12DD9"/>
    <w:rsid w:val="00B1495C"/>
    <w:rsid w:val="00B16CDD"/>
    <w:rsid w:val="00B213BD"/>
    <w:rsid w:val="00B226A4"/>
    <w:rsid w:val="00B2409B"/>
    <w:rsid w:val="00B261B1"/>
    <w:rsid w:val="00B30498"/>
    <w:rsid w:val="00B31988"/>
    <w:rsid w:val="00B37F80"/>
    <w:rsid w:val="00B41158"/>
    <w:rsid w:val="00B413F3"/>
    <w:rsid w:val="00B44053"/>
    <w:rsid w:val="00B46763"/>
    <w:rsid w:val="00B4723C"/>
    <w:rsid w:val="00B50C6B"/>
    <w:rsid w:val="00B60E67"/>
    <w:rsid w:val="00B6513D"/>
    <w:rsid w:val="00B72AA4"/>
    <w:rsid w:val="00B7405D"/>
    <w:rsid w:val="00B753F2"/>
    <w:rsid w:val="00B76827"/>
    <w:rsid w:val="00B76C33"/>
    <w:rsid w:val="00B82C18"/>
    <w:rsid w:val="00B84A59"/>
    <w:rsid w:val="00B92C9F"/>
    <w:rsid w:val="00B93C09"/>
    <w:rsid w:val="00B978B6"/>
    <w:rsid w:val="00BA160D"/>
    <w:rsid w:val="00BA765C"/>
    <w:rsid w:val="00BC30E7"/>
    <w:rsid w:val="00BC3E68"/>
    <w:rsid w:val="00BD2270"/>
    <w:rsid w:val="00BD74DA"/>
    <w:rsid w:val="00BE3014"/>
    <w:rsid w:val="00BE751F"/>
    <w:rsid w:val="00BF0DEC"/>
    <w:rsid w:val="00C01F59"/>
    <w:rsid w:val="00C04AA0"/>
    <w:rsid w:val="00C0563D"/>
    <w:rsid w:val="00C056A3"/>
    <w:rsid w:val="00C13F03"/>
    <w:rsid w:val="00C14FFA"/>
    <w:rsid w:val="00C25348"/>
    <w:rsid w:val="00C26FE0"/>
    <w:rsid w:val="00C33D12"/>
    <w:rsid w:val="00C34222"/>
    <w:rsid w:val="00C34763"/>
    <w:rsid w:val="00C35696"/>
    <w:rsid w:val="00C36142"/>
    <w:rsid w:val="00C36711"/>
    <w:rsid w:val="00C370CE"/>
    <w:rsid w:val="00C37F76"/>
    <w:rsid w:val="00C41F83"/>
    <w:rsid w:val="00C5065E"/>
    <w:rsid w:val="00C5161A"/>
    <w:rsid w:val="00C53B43"/>
    <w:rsid w:val="00C666C9"/>
    <w:rsid w:val="00C7150E"/>
    <w:rsid w:val="00C7359C"/>
    <w:rsid w:val="00C810A4"/>
    <w:rsid w:val="00C9147D"/>
    <w:rsid w:val="00C9473E"/>
    <w:rsid w:val="00C95F86"/>
    <w:rsid w:val="00CA31B4"/>
    <w:rsid w:val="00CA4146"/>
    <w:rsid w:val="00CA5379"/>
    <w:rsid w:val="00CA6CF2"/>
    <w:rsid w:val="00CB058D"/>
    <w:rsid w:val="00CC1A9A"/>
    <w:rsid w:val="00CC6916"/>
    <w:rsid w:val="00CC7EF2"/>
    <w:rsid w:val="00CD0909"/>
    <w:rsid w:val="00CD1582"/>
    <w:rsid w:val="00CD28A4"/>
    <w:rsid w:val="00CD442F"/>
    <w:rsid w:val="00CD5640"/>
    <w:rsid w:val="00CF1B54"/>
    <w:rsid w:val="00CF4B19"/>
    <w:rsid w:val="00CF5763"/>
    <w:rsid w:val="00D00841"/>
    <w:rsid w:val="00D02F0E"/>
    <w:rsid w:val="00D11636"/>
    <w:rsid w:val="00D15B0A"/>
    <w:rsid w:val="00D26AC0"/>
    <w:rsid w:val="00D441EA"/>
    <w:rsid w:val="00D44498"/>
    <w:rsid w:val="00D44CCC"/>
    <w:rsid w:val="00D45A22"/>
    <w:rsid w:val="00D47C5A"/>
    <w:rsid w:val="00D67855"/>
    <w:rsid w:val="00D71118"/>
    <w:rsid w:val="00D77754"/>
    <w:rsid w:val="00D814EC"/>
    <w:rsid w:val="00D859A2"/>
    <w:rsid w:val="00D90E1F"/>
    <w:rsid w:val="00D938DF"/>
    <w:rsid w:val="00D9693D"/>
    <w:rsid w:val="00DA3BA9"/>
    <w:rsid w:val="00DA3D95"/>
    <w:rsid w:val="00DA59A3"/>
    <w:rsid w:val="00DB4F88"/>
    <w:rsid w:val="00DC0322"/>
    <w:rsid w:val="00DC2C68"/>
    <w:rsid w:val="00DC2FBB"/>
    <w:rsid w:val="00DC4E73"/>
    <w:rsid w:val="00DD3D48"/>
    <w:rsid w:val="00DE2DBB"/>
    <w:rsid w:val="00DE5877"/>
    <w:rsid w:val="00DE6ADF"/>
    <w:rsid w:val="00DE7AA6"/>
    <w:rsid w:val="00DF0DAA"/>
    <w:rsid w:val="00DF1267"/>
    <w:rsid w:val="00DF1613"/>
    <w:rsid w:val="00DF51D0"/>
    <w:rsid w:val="00DF6E27"/>
    <w:rsid w:val="00DF7256"/>
    <w:rsid w:val="00E005EF"/>
    <w:rsid w:val="00E00DD9"/>
    <w:rsid w:val="00E010BA"/>
    <w:rsid w:val="00E036D0"/>
    <w:rsid w:val="00E04D4C"/>
    <w:rsid w:val="00E0797A"/>
    <w:rsid w:val="00E10813"/>
    <w:rsid w:val="00E10BC4"/>
    <w:rsid w:val="00E122C3"/>
    <w:rsid w:val="00E1314E"/>
    <w:rsid w:val="00E16034"/>
    <w:rsid w:val="00E23192"/>
    <w:rsid w:val="00E2542F"/>
    <w:rsid w:val="00E2725F"/>
    <w:rsid w:val="00E27471"/>
    <w:rsid w:val="00E277A8"/>
    <w:rsid w:val="00E358F4"/>
    <w:rsid w:val="00E37815"/>
    <w:rsid w:val="00E43989"/>
    <w:rsid w:val="00E46B80"/>
    <w:rsid w:val="00E50839"/>
    <w:rsid w:val="00E53AA4"/>
    <w:rsid w:val="00E554F1"/>
    <w:rsid w:val="00E61039"/>
    <w:rsid w:val="00E614A3"/>
    <w:rsid w:val="00E6469B"/>
    <w:rsid w:val="00E72ADD"/>
    <w:rsid w:val="00E76418"/>
    <w:rsid w:val="00E857CE"/>
    <w:rsid w:val="00E86635"/>
    <w:rsid w:val="00E91C72"/>
    <w:rsid w:val="00E9427E"/>
    <w:rsid w:val="00E95158"/>
    <w:rsid w:val="00E9640E"/>
    <w:rsid w:val="00E97712"/>
    <w:rsid w:val="00EB0DF1"/>
    <w:rsid w:val="00EB2DD2"/>
    <w:rsid w:val="00EB59AF"/>
    <w:rsid w:val="00EC0791"/>
    <w:rsid w:val="00EC3740"/>
    <w:rsid w:val="00EC390E"/>
    <w:rsid w:val="00ED0921"/>
    <w:rsid w:val="00ED2724"/>
    <w:rsid w:val="00ED2EA7"/>
    <w:rsid w:val="00ED60A8"/>
    <w:rsid w:val="00ED6E75"/>
    <w:rsid w:val="00EE27B8"/>
    <w:rsid w:val="00EE305D"/>
    <w:rsid w:val="00EF1C26"/>
    <w:rsid w:val="00F0627D"/>
    <w:rsid w:val="00F10817"/>
    <w:rsid w:val="00F10F8D"/>
    <w:rsid w:val="00F12DAD"/>
    <w:rsid w:val="00F132E8"/>
    <w:rsid w:val="00F179A0"/>
    <w:rsid w:val="00F21C9E"/>
    <w:rsid w:val="00F22236"/>
    <w:rsid w:val="00F252C2"/>
    <w:rsid w:val="00F25E76"/>
    <w:rsid w:val="00F331CA"/>
    <w:rsid w:val="00F356CD"/>
    <w:rsid w:val="00F35AF2"/>
    <w:rsid w:val="00F44C9E"/>
    <w:rsid w:val="00F4746D"/>
    <w:rsid w:val="00F5170D"/>
    <w:rsid w:val="00F521F8"/>
    <w:rsid w:val="00F5577F"/>
    <w:rsid w:val="00F57D71"/>
    <w:rsid w:val="00F660EC"/>
    <w:rsid w:val="00F706E3"/>
    <w:rsid w:val="00F72EAF"/>
    <w:rsid w:val="00F74612"/>
    <w:rsid w:val="00F76BAB"/>
    <w:rsid w:val="00F833B7"/>
    <w:rsid w:val="00F84131"/>
    <w:rsid w:val="00F856DC"/>
    <w:rsid w:val="00FA1545"/>
    <w:rsid w:val="00FA67F3"/>
    <w:rsid w:val="00FB7982"/>
    <w:rsid w:val="00FB7E3E"/>
    <w:rsid w:val="00FC12C2"/>
    <w:rsid w:val="00FC239A"/>
    <w:rsid w:val="00FC2848"/>
    <w:rsid w:val="00FC44BA"/>
    <w:rsid w:val="00FD07B4"/>
    <w:rsid w:val="00FD2C9A"/>
    <w:rsid w:val="00FD72A6"/>
    <w:rsid w:val="00FD748D"/>
    <w:rsid w:val="00FE0FC3"/>
    <w:rsid w:val="00FE27F9"/>
    <w:rsid w:val="00FE6FF5"/>
    <w:rsid w:val="00FE7477"/>
    <w:rsid w:val="00FF313A"/>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8F4"/>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04317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4">
    <w:name w:val="toc 4"/>
    <w:basedOn w:val="Normal"/>
    <w:next w:val="Normal"/>
    <w:autoRedefine/>
    <w:uiPriority w:val="39"/>
    <w:unhideWhenUsed/>
    <w:rsid w:val="00416524"/>
    <w:pPr>
      <w:spacing w:after="100"/>
      <w:ind w:left="660"/>
    </w:pPr>
    <w:rPr>
      <w:rFonts w:eastAsiaTheme="minorEastAsia"/>
      <w:lang w:val="en-GB" w:eastAsia="en-GB"/>
    </w:rPr>
  </w:style>
  <w:style w:type="paragraph" w:styleId="TOC5">
    <w:name w:val="toc 5"/>
    <w:basedOn w:val="Normal"/>
    <w:next w:val="Normal"/>
    <w:autoRedefine/>
    <w:uiPriority w:val="39"/>
    <w:unhideWhenUsed/>
    <w:rsid w:val="00416524"/>
    <w:pPr>
      <w:spacing w:after="100"/>
      <w:ind w:left="880"/>
    </w:pPr>
    <w:rPr>
      <w:rFonts w:eastAsiaTheme="minorEastAsia"/>
      <w:lang w:val="en-GB" w:eastAsia="en-GB"/>
    </w:rPr>
  </w:style>
  <w:style w:type="paragraph" w:styleId="TOC6">
    <w:name w:val="toc 6"/>
    <w:basedOn w:val="Normal"/>
    <w:next w:val="Normal"/>
    <w:autoRedefine/>
    <w:uiPriority w:val="39"/>
    <w:unhideWhenUsed/>
    <w:rsid w:val="00416524"/>
    <w:pPr>
      <w:spacing w:after="100"/>
      <w:ind w:left="1100"/>
    </w:pPr>
    <w:rPr>
      <w:rFonts w:eastAsiaTheme="minorEastAsia"/>
      <w:lang w:val="en-GB" w:eastAsia="en-GB"/>
    </w:rPr>
  </w:style>
  <w:style w:type="paragraph" w:styleId="TOC7">
    <w:name w:val="toc 7"/>
    <w:basedOn w:val="Normal"/>
    <w:next w:val="Normal"/>
    <w:autoRedefine/>
    <w:uiPriority w:val="39"/>
    <w:unhideWhenUsed/>
    <w:rsid w:val="00416524"/>
    <w:pPr>
      <w:spacing w:after="100"/>
      <w:ind w:left="1320"/>
    </w:pPr>
    <w:rPr>
      <w:rFonts w:eastAsiaTheme="minorEastAsia"/>
      <w:lang w:val="en-GB" w:eastAsia="en-GB"/>
    </w:rPr>
  </w:style>
  <w:style w:type="paragraph" w:styleId="TOC8">
    <w:name w:val="toc 8"/>
    <w:basedOn w:val="Normal"/>
    <w:next w:val="Normal"/>
    <w:autoRedefine/>
    <w:uiPriority w:val="39"/>
    <w:unhideWhenUsed/>
    <w:rsid w:val="00416524"/>
    <w:pPr>
      <w:spacing w:after="100"/>
      <w:ind w:left="1540"/>
    </w:pPr>
    <w:rPr>
      <w:rFonts w:eastAsiaTheme="minorEastAsia"/>
      <w:lang w:val="en-GB" w:eastAsia="en-GB"/>
    </w:rPr>
  </w:style>
  <w:style w:type="paragraph" w:styleId="TOC9">
    <w:name w:val="toc 9"/>
    <w:basedOn w:val="Normal"/>
    <w:next w:val="Normal"/>
    <w:autoRedefine/>
    <w:uiPriority w:val="39"/>
    <w:unhideWhenUsed/>
    <w:rsid w:val="00416524"/>
    <w:pPr>
      <w:spacing w:after="100"/>
      <w:ind w:left="1760"/>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28942">
      <w:bodyDiv w:val="1"/>
      <w:marLeft w:val="0"/>
      <w:marRight w:val="0"/>
      <w:marTop w:val="0"/>
      <w:marBottom w:val="0"/>
      <w:divBdr>
        <w:top w:val="none" w:sz="0" w:space="0" w:color="auto"/>
        <w:left w:val="none" w:sz="0" w:space="0" w:color="auto"/>
        <w:bottom w:val="none" w:sz="0" w:space="0" w:color="auto"/>
        <w:right w:val="none" w:sz="0" w:space="0" w:color="auto"/>
      </w:divBdr>
    </w:div>
    <w:div w:id="246771693">
      <w:bodyDiv w:val="1"/>
      <w:marLeft w:val="0"/>
      <w:marRight w:val="0"/>
      <w:marTop w:val="0"/>
      <w:marBottom w:val="0"/>
      <w:divBdr>
        <w:top w:val="none" w:sz="0" w:space="0" w:color="auto"/>
        <w:left w:val="none" w:sz="0" w:space="0" w:color="auto"/>
        <w:bottom w:val="none" w:sz="0" w:space="0" w:color="auto"/>
        <w:right w:val="none" w:sz="0" w:space="0" w:color="auto"/>
      </w:divBdr>
    </w:div>
    <w:div w:id="28091820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53333512">
      <w:bodyDiv w:val="1"/>
      <w:marLeft w:val="0"/>
      <w:marRight w:val="0"/>
      <w:marTop w:val="0"/>
      <w:marBottom w:val="0"/>
      <w:divBdr>
        <w:top w:val="none" w:sz="0" w:space="0" w:color="auto"/>
        <w:left w:val="none" w:sz="0" w:space="0" w:color="auto"/>
        <w:bottom w:val="none" w:sz="0" w:space="0" w:color="auto"/>
        <w:right w:val="none" w:sz="0" w:space="0" w:color="auto"/>
      </w:divBdr>
    </w:div>
    <w:div w:id="486828178">
      <w:bodyDiv w:val="1"/>
      <w:marLeft w:val="0"/>
      <w:marRight w:val="0"/>
      <w:marTop w:val="0"/>
      <w:marBottom w:val="0"/>
      <w:divBdr>
        <w:top w:val="none" w:sz="0" w:space="0" w:color="auto"/>
        <w:left w:val="none" w:sz="0" w:space="0" w:color="auto"/>
        <w:bottom w:val="none" w:sz="0" w:space="0" w:color="auto"/>
        <w:right w:val="none" w:sz="0" w:space="0" w:color="auto"/>
      </w:divBdr>
      <w:divsChild>
        <w:div w:id="1299336956">
          <w:marLeft w:val="0"/>
          <w:marRight w:val="0"/>
          <w:marTop w:val="0"/>
          <w:marBottom w:val="0"/>
          <w:divBdr>
            <w:top w:val="none" w:sz="0" w:space="0" w:color="auto"/>
            <w:left w:val="none" w:sz="0" w:space="0" w:color="auto"/>
            <w:bottom w:val="none" w:sz="0" w:space="0" w:color="auto"/>
            <w:right w:val="none" w:sz="0" w:space="0" w:color="auto"/>
          </w:divBdr>
          <w:divsChild>
            <w:div w:id="2097091561">
              <w:marLeft w:val="0"/>
              <w:marRight w:val="0"/>
              <w:marTop w:val="0"/>
              <w:marBottom w:val="0"/>
              <w:divBdr>
                <w:top w:val="none" w:sz="0" w:space="0" w:color="auto"/>
                <w:left w:val="none" w:sz="0" w:space="0" w:color="auto"/>
                <w:bottom w:val="none" w:sz="0" w:space="0" w:color="auto"/>
                <w:right w:val="none" w:sz="0" w:space="0" w:color="auto"/>
              </w:divBdr>
            </w:div>
          </w:divsChild>
        </w:div>
        <w:div w:id="1882397218">
          <w:marLeft w:val="0"/>
          <w:marRight w:val="0"/>
          <w:marTop w:val="0"/>
          <w:marBottom w:val="0"/>
          <w:divBdr>
            <w:top w:val="none" w:sz="0" w:space="0" w:color="auto"/>
            <w:left w:val="none" w:sz="0" w:space="0" w:color="auto"/>
            <w:bottom w:val="none" w:sz="0" w:space="0" w:color="auto"/>
            <w:right w:val="none" w:sz="0" w:space="0" w:color="auto"/>
          </w:divBdr>
          <w:divsChild>
            <w:div w:id="182997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94610">
      <w:bodyDiv w:val="1"/>
      <w:marLeft w:val="0"/>
      <w:marRight w:val="0"/>
      <w:marTop w:val="0"/>
      <w:marBottom w:val="0"/>
      <w:divBdr>
        <w:top w:val="none" w:sz="0" w:space="0" w:color="auto"/>
        <w:left w:val="none" w:sz="0" w:space="0" w:color="auto"/>
        <w:bottom w:val="none" w:sz="0" w:space="0" w:color="auto"/>
        <w:right w:val="none" w:sz="0" w:space="0" w:color="auto"/>
      </w:divBdr>
    </w:div>
    <w:div w:id="693966831">
      <w:bodyDiv w:val="1"/>
      <w:marLeft w:val="0"/>
      <w:marRight w:val="0"/>
      <w:marTop w:val="0"/>
      <w:marBottom w:val="0"/>
      <w:divBdr>
        <w:top w:val="none" w:sz="0" w:space="0" w:color="auto"/>
        <w:left w:val="none" w:sz="0" w:space="0" w:color="auto"/>
        <w:bottom w:val="none" w:sz="0" w:space="0" w:color="auto"/>
        <w:right w:val="none" w:sz="0" w:space="0" w:color="auto"/>
      </w:divBdr>
    </w:div>
    <w:div w:id="750737638">
      <w:bodyDiv w:val="1"/>
      <w:marLeft w:val="0"/>
      <w:marRight w:val="0"/>
      <w:marTop w:val="0"/>
      <w:marBottom w:val="0"/>
      <w:divBdr>
        <w:top w:val="none" w:sz="0" w:space="0" w:color="auto"/>
        <w:left w:val="none" w:sz="0" w:space="0" w:color="auto"/>
        <w:bottom w:val="none" w:sz="0" w:space="0" w:color="auto"/>
        <w:right w:val="none" w:sz="0" w:space="0" w:color="auto"/>
      </w:divBdr>
    </w:div>
    <w:div w:id="754210904">
      <w:bodyDiv w:val="1"/>
      <w:marLeft w:val="0"/>
      <w:marRight w:val="0"/>
      <w:marTop w:val="0"/>
      <w:marBottom w:val="0"/>
      <w:divBdr>
        <w:top w:val="none" w:sz="0" w:space="0" w:color="auto"/>
        <w:left w:val="none" w:sz="0" w:space="0" w:color="auto"/>
        <w:bottom w:val="none" w:sz="0" w:space="0" w:color="auto"/>
        <w:right w:val="none" w:sz="0" w:space="0" w:color="auto"/>
      </w:divBdr>
      <w:divsChild>
        <w:div w:id="1862545515">
          <w:marLeft w:val="0"/>
          <w:marRight w:val="0"/>
          <w:marTop w:val="0"/>
          <w:marBottom w:val="0"/>
          <w:divBdr>
            <w:top w:val="none" w:sz="0" w:space="0" w:color="auto"/>
            <w:left w:val="none" w:sz="0" w:space="0" w:color="auto"/>
            <w:bottom w:val="none" w:sz="0" w:space="0" w:color="auto"/>
            <w:right w:val="none" w:sz="0" w:space="0" w:color="auto"/>
          </w:divBdr>
          <w:divsChild>
            <w:div w:id="1513883071">
              <w:marLeft w:val="0"/>
              <w:marRight w:val="0"/>
              <w:marTop w:val="0"/>
              <w:marBottom w:val="0"/>
              <w:divBdr>
                <w:top w:val="none" w:sz="0" w:space="0" w:color="auto"/>
                <w:left w:val="none" w:sz="0" w:space="0" w:color="auto"/>
                <w:bottom w:val="none" w:sz="0" w:space="0" w:color="auto"/>
                <w:right w:val="none" w:sz="0" w:space="0" w:color="auto"/>
              </w:divBdr>
            </w:div>
          </w:divsChild>
        </w:div>
        <w:div w:id="8340788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622615">
          <w:blockQuote w:val="1"/>
          <w:marLeft w:val="720"/>
          <w:marRight w:val="720"/>
          <w:marTop w:val="100"/>
          <w:marBottom w:val="100"/>
          <w:divBdr>
            <w:top w:val="none" w:sz="0" w:space="0" w:color="auto"/>
            <w:left w:val="none" w:sz="0" w:space="0" w:color="auto"/>
            <w:bottom w:val="none" w:sz="0" w:space="0" w:color="auto"/>
            <w:right w:val="none" w:sz="0" w:space="0" w:color="auto"/>
          </w:divBdr>
        </w:div>
        <w:div w:id="739252079">
          <w:blockQuote w:val="1"/>
          <w:marLeft w:val="720"/>
          <w:marRight w:val="720"/>
          <w:marTop w:val="100"/>
          <w:marBottom w:val="100"/>
          <w:divBdr>
            <w:top w:val="none" w:sz="0" w:space="0" w:color="auto"/>
            <w:left w:val="none" w:sz="0" w:space="0" w:color="auto"/>
            <w:bottom w:val="none" w:sz="0" w:space="0" w:color="auto"/>
            <w:right w:val="none" w:sz="0" w:space="0" w:color="auto"/>
          </w:divBdr>
        </w:div>
        <w:div w:id="970548802">
          <w:marLeft w:val="0"/>
          <w:marRight w:val="0"/>
          <w:marTop w:val="0"/>
          <w:marBottom w:val="0"/>
          <w:divBdr>
            <w:top w:val="none" w:sz="0" w:space="0" w:color="auto"/>
            <w:left w:val="none" w:sz="0" w:space="0" w:color="auto"/>
            <w:bottom w:val="none" w:sz="0" w:space="0" w:color="auto"/>
            <w:right w:val="none" w:sz="0" w:space="0" w:color="auto"/>
          </w:divBdr>
          <w:divsChild>
            <w:div w:id="1205555060">
              <w:marLeft w:val="0"/>
              <w:marRight w:val="0"/>
              <w:marTop w:val="0"/>
              <w:marBottom w:val="0"/>
              <w:divBdr>
                <w:top w:val="none" w:sz="0" w:space="0" w:color="auto"/>
                <w:left w:val="none" w:sz="0" w:space="0" w:color="auto"/>
                <w:bottom w:val="none" w:sz="0" w:space="0" w:color="auto"/>
                <w:right w:val="none" w:sz="0" w:space="0" w:color="auto"/>
              </w:divBdr>
            </w:div>
          </w:divsChild>
        </w:div>
        <w:div w:id="569733956">
          <w:blockQuote w:val="1"/>
          <w:marLeft w:val="720"/>
          <w:marRight w:val="720"/>
          <w:marTop w:val="100"/>
          <w:marBottom w:val="100"/>
          <w:divBdr>
            <w:top w:val="none" w:sz="0" w:space="0" w:color="auto"/>
            <w:left w:val="none" w:sz="0" w:space="0" w:color="auto"/>
            <w:bottom w:val="none" w:sz="0" w:space="0" w:color="auto"/>
            <w:right w:val="none" w:sz="0" w:space="0" w:color="auto"/>
          </w:divBdr>
        </w:div>
        <w:div w:id="847871728">
          <w:marLeft w:val="0"/>
          <w:marRight w:val="0"/>
          <w:marTop w:val="0"/>
          <w:marBottom w:val="0"/>
          <w:divBdr>
            <w:top w:val="none" w:sz="0" w:space="0" w:color="auto"/>
            <w:left w:val="none" w:sz="0" w:space="0" w:color="auto"/>
            <w:bottom w:val="none" w:sz="0" w:space="0" w:color="auto"/>
            <w:right w:val="none" w:sz="0" w:space="0" w:color="auto"/>
          </w:divBdr>
          <w:divsChild>
            <w:div w:id="551306519">
              <w:marLeft w:val="0"/>
              <w:marRight w:val="0"/>
              <w:marTop w:val="0"/>
              <w:marBottom w:val="0"/>
              <w:divBdr>
                <w:top w:val="none" w:sz="0" w:space="0" w:color="auto"/>
                <w:left w:val="none" w:sz="0" w:space="0" w:color="auto"/>
                <w:bottom w:val="none" w:sz="0" w:space="0" w:color="auto"/>
                <w:right w:val="none" w:sz="0" w:space="0" w:color="auto"/>
              </w:divBdr>
            </w:div>
          </w:divsChild>
        </w:div>
        <w:div w:id="1593776244">
          <w:blockQuote w:val="1"/>
          <w:marLeft w:val="720"/>
          <w:marRight w:val="720"/>
          <w:marTop w:val="100"/>
          <w:marBottom w:val="100"/>
          <w:divBdr>
            <w:top w:val="none" w:sz="0" w:space="0" w:color="auto"/>
            <w:left w:val="none" w:sz="0" w:space="0" w:color="auto"/>
            <w:bottom w:val="none" w:sz="0" w:space="0" w:color="auto"/>
            <w:right w:val="none" w:sz="0" w:space="0" w:color="auto"/>
          </w:divBdr>
        </w:div>
        <w:div w:id="549850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007053">
          <w:marLeft w:val="0"/>
          <w:marRight w:val="0"/>
          <w:marTop w:val="0"/>
          <w:marBottom w:val="0"/>
          <w:divBdr>
            <w:top w:val="none" w:sz="0" w:space="0" w:color="auto"/>
            <w:left w:val="none" w:sz="0" w:space="0" w:color="auto"/>
            <w:bottom w:val="none" w:sz="0" w:space="0" w:color="auto"/>
            <w:right w:val="none" w:sz="0" w:space="0" w:color="auto"/>
          </w:divBdr>
          <w:divsChild>
            <w:div w:id="2006593645">
              <w:marLeft w:val="0"/>
              <w:marRight w:val="0"/>
              <w:marTop w:val="0"/>
              <w:marBottom w:val="0"/>
              <w:divBdr>
                <w:top w:val="none" w:sz="0" w:space="0" w:color="auto"/>
                <w:left w:val="none" w:sz="0" w:space="0" w:color="auto"/>
                <w:bottom w:val="none" w:sz="0" w:space="0" w:color="auto"/>
                <w:right w:val="none" w:sz="0" w:space="0" w:color="auto"/>
              </w:divBdr>
            </w:div>
          </w:divsChild>
        </w:div>
        <w:div w:id="651712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504004">
          <w:marLeft w:val="0"/>
          <w:marRight w:val="0"/>
          <w:marTop w:val="0"/>
          <w:marBottom w:val="0"/>
          <w:divBdr>
            <w:top w:val="none" w:sz="0" w:space="0" w:color="auto"/>
            <w:left w:val="none" w:sz="0" w:space="0" w:color="auto"/>
            <w:bottom w:val="none" w:sz="0" w:space="0" w:color="auto"/>
            <w:right w:val="none" w:sz="0" w:space="0" w:color="auto"/>
          </w:divBdr>
          <w:divsChild>
            <w:div w:id="335498818">
              <w:marLeft w:val="0"/>
              <w:marRight w:val="0"/>
              <w:marTop w:val="0"/>
              <w:marBottom w:val="0"/>
              <w:divBdr>
                <w:top w:val="none" w:sz="0" w:space="0" w:color="auto"/>
                <w:left w:val="none" w:sz="0" w:space="0" w:color="auto"/>
                <w:bottom w:val="none" w:sz="0" w:space="0" w:color="auto"/>
                <w:right w:val="none" w:sz="0" w:space="0" w:color="auto"/>
              </w:divBdr>
            </w:div>
          </w:divsChild>
        </w:div>
        <w:div w:id="1727072026">
          <w:blockQuote w:val="1"/>
          <w:marLeft w:val="720"/>
          <w:marRight w:val="720"/>
          <w:marTop w:val="100"/>
          <w:marBottom w:val="100"/>
          <w:divBdr>
            <w:top w:val="none" w:sz="0" w:space="0" w:color="auto"/>
            <w:left w:val="none" w:sz="0" w:space="0" w:color="auto"/>
            <w:bottom w:val="none" w:sz="0" w:space="0" w:color="auto"/>
            <w:right w:val="none" w:sz="0" w:space="0" w:color="auto"/>
          </w:divBdr>
        </w:div>
        <w:div w:id="87905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876430354">
      <w:bodyDiv w:val="1"/>
      <w:marLeft w:val="0"/>
      <w:marRight w:val="0"/>
      <w:marTop w:val="0"/>
      <w:marBottom w:val="0"/>
      <w:divBdr>
        <w:top w:val="none" w:sz="0" w:space="0" w:color="auto"/>
        <w:left w:val="none" w:sz="0" w:space="0" w:color="auto"/>
        <w:bottom w:val="none" w:sz="0" w:space="0" w:color="auto"/>
        <w:right w:val="none" w:sz="0" w:space="0" w:color="auto"/>
      </w:divBdr>
      <w:divsChild>
        <w:div w:id="1652634669">
          <w:marLeft w:val="0"/>
          <w:marRight w:val="0"/>
          <w:marTop w:val="0"/>
          <w:marBottom w:val="0"/>
          <w:divBdr>
            <w:top w:val="none" w:sz="0" w:space="0" w:color="auto"/>
            <w:left w:val="none" w:sz="0" w:space="0" w:color="auto"/>
            <w:bottom w:val="none" w:sz="0" w:space="0" w:color="auto"/>
            <w:right w:val="none" w:sz="0" w:space="0" w:color="auto"/>
          </w:divBdr>
          <w:divsChild>
            <w:div w:id="146931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32013">
      <w:bodyDiv w:val="1"/>
      <w:marLeft w:val="0"/>
      <w:marRight w:val="0"/>
      <w:marTop w:val="0"/>
      <w:marBottom w:val="0"/>
      <w:divBdr>
        <w:top w:val="none" w:sz="0" w:space="0" w:color="auto"/>
        <w:left w:val="none" w:sz="0" w:space="0" w:color="auto"/>
        <w:bottom w:val="none" w:sz="0" w:space="0" w:color="auto"/>
        <w:right w:val="none" w:sz="0" w:space="0" w:color="auto"/>
      </w:divBdr>
    </w:div>
    <w:div w:id="937326862">
      <w:bodyDiv w:val="1"/>
      <w:marLeft w:val="0"/>
      <w:marRight w:val="0"/>
      <w:marTop w:val="0"/>
      <w:marBottom w:val="0"/>
      <w:divBdr>
        <w:top w:val="none" w:sz="0" w:space="0" w:color="auto"/>
        <w:left w:val="none" w:sz="0" w:space="0" w:color="auto"/>
        <w:bottom w:val="none" w:sz="0" w:space="0" w:color="auto"/>
        <w:right w:val="none" w:sz="0" w:space="0" w:color="auto"/>
      </w:divBdr>
    </w:div>
    <w:div w:id="992566435">
      <w:bodyDiv w:val="1"/>
      <w:marLeft w:val="0"/>
      <w:marRight w:val="0"/>
      <w:marTop w:val="0"/>
      <w:marBottom w:val="0"/>
      <w:divBdr>
        <w:top w:val="none" w:sz="0" w:space="0" w:color="auto"/>
        <w:left w:val="none" w:sz="0" w:space="0" w:color="auto"/>
        <w:bottom w:val="none" w:sz="0" w:space="0" w:color="auto"/>
        <w:right w:val="none" w:sz="0" w:space="0" w:color="auto"/>
      </w:divBdr>
      <w:divsChild>
        <w:div w:id="896549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197401">
      <w:bodyDiv w:val="1"/>
      <w:marLeft w:val="0"/>
      <w:marRight w:val="0"/>
      <w:marTop w:val="0"/>
      <w:marBottom w:val="0"/>
      <w:divBdr>
        <w:top w:val="none" w:sz="0" w:space="0" w:color="auto"/>
        <w:left w:val="none" w:sz="0" w:space="0" w:color="auto"/>
        <w:bottom w:val="none" w:sz="0" w:space="0" w:color="auto"/>
        <w:right w:val="none" w:sz="0" w:space="0" w:color="auto"/>
      </w:divBdr>
    </w:div>
    <w:div w:id="1114012966">
      <w:bodyDiv w:val="1"/>
      <w:marLeft w:val="0"/>
      <w:marRight w:val="0"/>
      <w:marTop w:val="0"/>
      <w:marBottom w:val="0"/>
      <w:divBdr>
        <w:top w:val="none" w:sz="0" w:space="0" w:color="auto"/>
        <w:left w:val="none" w:sz="0" w:space="0" w:color="auto"/>
        <w:bottom w:val="none" w:sz="0" w:space="0" w:color="auto"/>
        <w:right w:val="none" w:sz="0" w:space="0" w:color="auto"/>
      </w:divBdr>
    </w:div>
    <w:div w:id="1247693429">
      <w:bodyDiv w:val="1"/>
      <w:marLeft w:val="0"/>
      <w:marRight w:val="0"/>
      <w:marTop w:val="0"/>
      <w:marBottom w:val="0"/>
      <w:divBdr>
        <w:top w:val="none" w:sz="0" w:space="0" w:color="auto"/>
        <w:left w:val="none" w:sz="0" w:space="0" w:color="auto"/>
        <w:bottom w:val="none" w:sz="0" w:space="0" w:color="auto"/>
        <w:right w:val="none" w:sz="0" w:space="0" w:color="auto"/>
      </w:divBdr>
      <w:divsChild>
        <w:div w:id="509836774">
          <w:marLeft w:val="0"/>
          <w:marRight w:val="0"/>
          <w:marTop w:val="0"/>
          <w:marBottom w:val="0"/>
          <w:divBdr>
            <w:top w:val="none" w:sz="0" w:space="0" w:color="auto"/>
            <w:left w:val="none" w:sz="0" w:space="0" w:color="auto"/>
            <w:bottom w:val="none" w:sz="0" w:space="0" w:color="auto"/>
            <w:right w:val="none" w:sz="0" w:space="0" w:color="auto"/>
          </w:divBdr>
          <w:divsChild>
            <w:div w:id="14579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35127673">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529489807">
      <w:bodyDiv w:val="1"/>
      <w:marLeft w:val="0"/>
      <w:marRight w:val="0"/>
      <w:marTop w:val="0"/>
      <w:marBottom w:val="0"/>
      <w:divBdr>
        <w:top w:val="none" w:sz="0" w:space="0" w:color="auto"/>
        <w:left w:val="none" w:sz="0" w:space="0" w:color="auto"/>
        <w:bottom w:val="none" w:sz="0" w:space="0" w:color="auto"/>
        <w:right w:val="none" w:sz="0" w:space="0" w:color="auto"/>
      </w:divBdr>
    </w:div>
    <w:div w:id="1549681869">
      <w:bodyDiv w:val="1"/>
      <w:marLeft w:val="0"/>
      <w:marRight w:val="0"/>
      <w:marTop w:val="0"/>
      <w:marBottom w:val="0"/>
      <w:divBdr>
        <w:top w:val="none" w:sz="0" w:space="0" w:color="auto"/>
        <w:left w:val="none" w:sz="0" w:space="0" w:color="auto"/>
        <w:bottom w:val="none" w:sz="0" w:space="0" w:color="auto"/>
        <w:right w:val="none" w:sz="0" w:space="0" w:color="auto"/>
      </w:divBdr>
    </w:div>
    <w:div w:id="1805468839">
      <w:bodyDiv w:val="1"/>
      <w:marLeft w:val="0"/>
      <w:marRight w:val="0"/>
      <w:marTop w:val="0"/>
      <w:marBottom w:val="0"/>
      <w:divBdr>
        <w:top w:val="none" w:sz="0" w:space="0" w:color="auto"/>
        <w:left w:val="none" w:sz="0" w:space="0" w:color="auto"/>
        <w:bottom w:val="none" w:sz="0" w:space="0" w:color="auto"/>
        <w:right w:val="none" w:sz="0" w:space="0" w:color="auto"/>
      </w:divBdr>
    </w:div>
    <w:div w:id="1806316896">
      <w:bodyDiv w:val="1"/>
      <w:marLeft w:val="0"/>
      <w:marRight w:val="0"/>
      <w:marTop w:val="0"/>
      <w:marBottom w:val="0"/>
      <w:divBdr>
        <w:top w:val="none" w:sz="0" w:space="0" w:color="auto"/>
        <w:left w:val="none" w:sz="0" w:space="0" w:color="auto"/>
        <w:bottom w:val="none" w:sz="0" w:space="0" w:color="auto"/>
        <w:right w:val="none" w:sz="0" w:space="0" w:color="auto"/>
      </w:divBdr>
    </w:div>
    <w:div w:id="185684769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q=David+Aaker+Managing+Brand+Equity+1991&amp;utm_source=chatgpt.com" TargetMode="External"/><Relationship Id="rId18" Type="http://schemas.openxmlformats.org/officeDocument/2006/relationships/hyperlink" Target="https://doi.org/10.1177/014920630102700601?utm_source=chatgpt.com" TargetMode="External"/><Relationship Id="rId26" Type="http://schemas.openxmlformats.org/officeDocument/2006/relationships/hyperlink" Target="https://doi.org/10.1002/tqem.3310080106?utm_source=chatgpt.com" TargetMode="External"/><Relationship Id="rId39" Type="http://schemas.openxmlformats.org/officeDocument/2006/relationships/hyperlink" Target="https://doi.org/10.1016/j.jclepro.2008.04.020?utm_source=chatgpt.com" TargetMode="External"/><Relationship Id="rId3" Type="http://schemas.openxmlformats.org/officeDocument/2006/relationships/styles" Target="styles.xml"/><Relationship Id="rId21" Type="http://schemas.openxmlformats.org/officeDocument/2006/relationships/hyperlink" Target="https://doi.org/10.1016/j.jclepro.2013.11.039?utm_source=chatgpt.com" TargetMode="External"/><Relationship Id="rId34" Type="http://schemas.openxmlformats.org/officeDocument/2006/relationships/hyperlink" Target="https://doi.org/10.3200/ENVT.48.5.22-36?utm_source=chatgpt.com" TargetMode="External"/><Relationship Id="rId42" Type="http://schemas.openxmlformats.org/officeDocument/2006/relationships/hyperlink" Target="https://doi.org/10.1509/jmkg.68.1.1.24036?utm_source=chatgpt.com" TargetMode="External"/><Relationship Id="rId47" Type="http://schemas.openxmlformats.org/officeDocument/2006/relationships/hyperlink" Target="https://www.worldcoffeeportal.com/?utm_source=chatgpt.com"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177/014920639101700108?utm_source=chatgpt.com" TargetMode="External"/><Relationship Id="rId25" Type="http://schemas.openxmlformats.org/officeDocument/2006/relationships/hyperlink" Target="https://doi.org/10.1111/j.1745-6606.2005.00019.x?utm_source=chatgpt.com" TargetMode="External"/><Relationship Id="rId33" Type="http://schemas.openxmlformats.org/officeDocument/2006/relationships/hyperlink" Target="https://doi.org/10.1177/002224299005400403?utm_source=chatgpt.com" TargetMode="External"/><Relationship Id="rId38" Type="http://schemas.openxmlformats.org/officeDocument/2006/relationships/hyperlink" Target="https://doi.org/10.1108/MEQ-01-2022-0022?utm_source=chatgpt.com" TargetMode="External"/><Relationship Id="rId46" Type="http://schemas.openxmlformats.org/officeDocument/2006/relationships/hyperlink" Target="https://www.worldcoffeeportal.com/?utm_source=chatgpt.com" TargetMode="External"/><Relationship Id="rId2" Type="http://schemas.openxmlformats.org/officeDocument/2006/relationships/numbering" Target="numbering.xml"/><Relationship Id="rId16" Type="http://schemas.openxmlformats.org/officeDocument/2006/relationships/hyperlink" Target="https://books.google.com/books?q=Armstrong+Kotler+Marketing+An+Introduction+15th+2022&amp;utm_source=chatgpt.com" TargetMode="External"/><Relationship Id="rId20" Type="http://schemas.openxmlformats.org/officeDocument/2006/relationships/hyperlink" Target="https://doi.org/10.1177/002224299205600205?utm_source=chatgpt.com" TargetMode="External"/><Relationship Id="rId29" Type="http://schemas.openxmlformats.org/officeDocument/2006/relationships/hyperlink" Target="https://doi.org/10.1057/s41599-023-02229-1?utm_source=chatgpt.com" TargetMode="External"/><Relationship Id="rId41" Type="http://schemas.openxmlformats.org/officeDocument/2006/relationships/hyperlink" Target="https://doi.org/10.1016/j.lrp.2009.07.003?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77/002224299405800404?utm_source=chatgpt.com" TargetMode="External"/><Relationship Id="rId32" Type="http://schemas.openxmlformats.org/officeDocument/2006/relationships/hyperlink" Target="https://doi.org/10.1177/002224299405800302?utm_source=chatgpt.com" TargetMode="External"/><Relationship Id="rId37" Type="http://schemas.openxmlformats.org/officeDocument/2006/relationships/hyperlink" Target="https://hbr.org/2008/01/the-five-competitive-forces-that-shape-strategy?utm_source=chatgpt.com" TargetMode="External"/><Relationship Id="rId40" Type="http://schemas.openxmlformats.org/officeDocument/2006/relationships/hyperlink" Target="https://doi.org/10.1002/bse.607?utm_source=chatgpt.com" TargetMode="External"/><Relationship Id="rId45" Type="http://schemas.openxmlformats.org/officeDocument/2006/relationships/hyperlink" Target="https://www.worldcoffeeportal.com/?utm_source=chatgpt.co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su12041329?utm_source=chatgpt.com" TargetMode="External"/><Relationship Id="rId23" Type="http://schemas.openxmlformats.org/officeDocument/2006/relationships/hyperlink" Target="https://doi.org/10.1002/bse.70804?utm_source=chatgpt.com" TargetMode="External"/><Relationship Id="rId28" Type="http://schemas.openxmlformats.org/officeDocument/2006/relationships/hyperlink" Target="https://doi.org/10.1177/002224299305700304?utm_source=chatgpt.com" TargetMode="External"/><Relationship Id="rId36" Type="http://schemas.openxmlformats.org/officeDocument/2006/relationships/hyperlink" Target="https://doi.org/10.1108/13522750510619733?utm_source=chatgpt.com" TargetMode="External"/><Relationship Id="rId49" Type="http://schemas.openxmlformats.org/officeDocument/2006/relationships/hyperlink" Target="https://doi.org/10.1177/002224299606000203?utm_source=chatgpt.com" TargetMode="External"/><Relationship Id="rId10" Type="http://schemas.openxmlformats.org/officeDocument/2006/relationships/image" Target="media/image2.png"/><Relationship Id="rId19" Type="http://schemas.openxmlformats.org/officeDocument/2006/relationships/hyperlink" Target="https://sloanreview.mit.edu/article/managing-the-total-customer-experience/?utm_source=chatgpt.com" TargetMode="External"/><Relationship Id="rId31" Type="http://schemas.openxmlformats.org/officeDocument/2006/relationships/hyperlink" Target="https://doi.org/10.1177/002224299005400201?utm_source=chatgpt.com" TargetMode="External"/><Relationship Id="rId44" Type="http://schemas.openxmlformats.org/officeDocument/2006/relationships/hyperlink" Target="https://doi.org/10.1002/smj.4250050207?utm_source=chatgpt.com" TargetMode="External"/><Relationship Id="rId52"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books.google.com/books?q=David+Aaker+Building+Strong+Brands+1996&amp;utm_source=chatgpt.com" TargetMode="External"/><Relationship Id="rId22" Type="http://schemas.openxmlformats.org/officeDocument/2006/relationships/hyperlink" Target="https://doi.org/10.1108/07363760110410263?utm_source=chatgpt.com" TargetMode="External"/><Relationship Id="rId27" Type="http://schemas.openxmlformats.org/officeDocument/2006/relationships/hyperlink" Target="https://doi.org/10.1177/0092070305284976?utm_source=chatgpt.com" TargetMode="External"/><Relationship Id="rId30" Type="http://schemas.openxmlformats.org/officeDocument/2006/relationships/hyperlink" Target="https://doi.org/10.1177/002224299305700101?utm_source=chatgpt.com" TargetMode="External"/><Relationship Id="rId35" Type="http://schemas.openxmlformats.org/officeDocument/2006/relationships/hyperlink" Target="https://doi.org/10.1007/s11747-017-0523-z?utm_source=chatgpt.com" TargetMode="External"/><Relationship Id="rId43" Type="http://schemas.openxmlformats.org/officeDocument/2006/relationships/hyperlink" Target="https://doi.org/10.1007/s11747-007-0069-6?utm_source=chatgpt.com" TargetMode="External"/><Relationship Id="rId48" Type="http://schemas.openxmlformats.org/officeDocument/2006/relationships/hyperlink" Target="https://doi.org/10.1177/002224298805200302?utm_source=chatgpt.com" TargetMode="External"/><Relationship Id="rId8" Type="http://schemas.openxmlformats.org/officeDocument/2006/relationships/image" Target="media/image1.png"/><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4DE7C-CEF7-42D3-A8E1-1E99DDC26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72</Pages>
  <Words>18820</Words>
  <Characters>107279</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Sonet Islam</dc:creator>
  <cp:keywords/>
  <dc:description/>
  <cp:lastModifiedBy>MLC</cp:lastModifiedBy>
  <cp:revision>193</cp:revision>
  <cp:lastPrinted>2025-09-29T07:23:00Z</cp:lastPrinted>
  <dcterms:created xsi:type="dcterms:W3CDTF">2026-07-06T07:10:00Z</dcterms:created>
  <dcterms:modified xsi:type="dcterms:W3CDTF">2026-09-07T11:42:00Z</dcterms:modified>
</cp:coreProperties>
</file>